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6C002" w14:textId="77777777" w:rsidR="00754C9A" w:rsidRDefault="00754C9A" w:rsidP="00441B6F">
      <w:pPr>
        <w:pStyle w:val="Title"/>
        <w:spacing w:after="0"/>
        <w:jc w:val="both"/>
        <w:rPr>
          <w:rFonts w:ascii="Arial" w:hAnsi="Arial" w:cs="Arial"/>
        </w:rPr>
      </w:pPr>
    </w:p>
    <w:p w14:paraId="5E90D568" w14:textId="66E44CC2" w:rsidR="00A258C3" w:rsidRDefault="00DD584D" w:rsidP="00441B6F">
      <w:pPr>
        <w:pStyle w:val="Author"/>
        <w:spacing w:line="240" w:lineRule="auto"/>
        <w:jc w:val="both"/>
        <w:rPr>
          <w:rFonts w:ascii="Arial" w:hAnsi="Arial" w:cs="Arial"/>
          <w:bCs/>
          <w:iCs/>
          <w:kern w:val="28"/>
          <w:sz w:val="36"/>
        </w:rPr>
      </w:pPr>
      <w:r w:rsidRPr="00DD584D">
        <w:rPr>
          <w:rFonts w:ascii="Arial" w:hAnsi="Arial" w:cs="Arial"/>
          <w:bCs/>
          <w:iCs/>
          <w:kern w:val="28"/>
          <w:sz w:val="36"/>
        </w:rPr>
        <w:t>Global Trends in Chartered Accountancy Research: A Bibliometric and Thematic Analysis (2000–2025)</w:t>
      </w:r>
    </w:p>
    <w:p w14:paraId="5F619E6B" w14:textId="3F0756F2" w:rsidR="00294F44" w:rsidRDefault="00294F44" w:rsidP="00441B6F">
      <w:pPr>
        <w:pStyle w:val="Author"/>
        <w:spacing w:line="240" w:lineRule="auto"/>
        <w:jc w:val="both"/>
        <w:rPr>
          <w:rFonts w:ascii="Arial" w:hAnsi="Arial" w:cs="Arial"/>
          <w:sz w:val="36"/>
        </w:rPr>
      </w:pPr>
      <w:bookmarkStart w:id="0" w:name="_GoBack"/>
      <w:bookmarkEnd w:id="0"/>
    </w:p>
    <w:p w14:paraId="179F6738" w14:textId="77777777" w:rsidR="00294F44" w:rsidRPr="00790ADA" w:rsidRDefault="00294F44" w:rsidP="00441B6F">
      <w:pPr>
        <w:pStyle w:val="Author"/>
        <w:spacing w:line="240" w:lineRule="auto"/>
        <w:jc w:val="both"/>
        <w:rPr>
          <w:rFonts w:ascii="Arial" w:hAnsi="Arial" w:cs="Arial"/>
          <w:sz w:val="36"/>
        </w:rPr>
      </w:pPr>
    </w:p>
    <w:p w14:paraId="2F7426E9" w14:textId="77777777" w:rsidR="00B01FCD" w:rsidRPr="00FB3A86" w:rsidRDefault="009C4979" w:rsidP="00441B6F">
      <w:pPr>
        <w:pStyle w:val="Copyright"/>
        <w:spacing w:after="0" w:line="240" w:lineRule="auto"/>
        <w:jc w:val="both"/>
        <w:rPr>
          <w:rFonts w:ascii="Arial" w:hAnsi="Arial" w:cs="Arial"/>
        </w:rPr>
        <w:sectPr w:rsidR="00B01FCD" w:rsidRPr="00FB3A86" w:rsidSect="00294F4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96504F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6058DEA" w14:textId="77777777" w:rsidR="00DD584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E22189B" w14:textId="77777777" w:rsidR="00790ADA" w:rsidRPr="00FB3A86" w:rsidRDefault="00790ADA" w:rsidP="00441B6F">
      <w:pPr>
        <w:pStyle w:val="AbstHead"/>
        <w:spacing w:after="0"/>
        <w:jc w:val="both"/>
        <w:rPr>
          <w:rFonts w:ascii="Arial" w:hAnsi="Arial" w:cs="Arial"/>
        </w:rPr>
      </w:pPr>
    </w:p>
    <w:p w14:paraId="2D16E0E7" w14:textId="77777777" w:rsidR="00191230" w:rsidRPr="00191230" w:rsidRDefault="00191230" w:rsidP="00191230">
      <w:pPr>
        <w:pStyle w:val="Body"/>
        <w:spacing w:after="0"/>
        <w:rPr>
          <w:rFonts w:ascii="Arial" w:hAnsi="Arial" w:cs="Arial"/>
          <w:iCs/>
        </w:rPr>
      </w:pPr>
      <w:r w:rsidRPr="00191230">
        <w:rPr>
          <w:rFonts w:ascii="Arial" w:hAnsi="Arial" w:cs="Arial"/>
          <w:b/>
          <w:bCs/>
          <w:iCs/>
        </w:rPr>
        <w:t>Aim:</w:t>
      </w:r>
      <w:r w:rsidRPr="00191230">
        <w:rPr>
          <w:rFonts w:ascii="Arial" w:hAnsi="Arial" w:cs="Arial"/>
          <w:iCs/>
        </w:rPr>
        <w:t xml:space="preserve"> Even though chartered accountants play a key role in financial reporting, governance, and following the rules, research on the field is still spread out across different journals, jurisdictions, and subfields. </w:t>
      </w:r>
    </w:p>
    <w:p w14:paraId="61BEDBA7" w14:textId="77777777" w:rsidR="00191230" w:rsidRPr="00191230" w:rsidRDefault="00191230" w:rsidP="00191230">
      <w:pPr>
        <w:pStyle w:val="Body"/>
        <w:spacing w:after="0"/>
        <w:rPr>
          <w:rFonts w:ascii="Arial" w:hAnsi="Arial" w:cs="Arial"/>
          <w:iCs/>
        </w:rPr>
      </w:pPr>
      <w:r w:rsidRPr="00191230">
        <w:rPr>
          <w:rFonts w:ascii="Arial" w:hAnsi="Arial" w:cs="Arial"/>
          <w:b/>
          <w:bCs/>
          <w:iCs/>
        </w:rPr>
        <w:t>Study Design:</w:t>
      </w:r>
      <w:r w:rsidRPr="00191230">
        <w:rPr>
          <w:rFonts w:ascii="Arial" w:hAnsi="Arial" w:cs="Arial"/>
          <w:iCs/>
        </w:rPr>
        <w:t xml:space="preserve"> This research offers the inaugural extensive bibliometric and thematic examination of peer-reviewed journal articles pertaining to the chartered accountancy profession, spanning from 2000 to 2025. </w:t>
      </w:r>
    </w:p>
    <w:p w14:paraId="71FD786C" w14:textId="77777777" w:rsidR="00191230" w:rsidRPr="00191230" w:rsidRDefault="00191230" w:rsidP="00191230">
      <w:pPr>
        <w:pStyle w:val="Body"/>
        <w:spacing w:after="0"/>
        <w:rPr>
          <w:rFonts w:ascii="Arial" w:hAnsi="Arial" w:cs="Arial"/>
          <w:iCs/>
        </w:rPr>
      </w:pPr>
      <w:r w:rsidRPr="00191230">
        <w:rPr>
          <w:rFonts w:ascii="Arial" w:hAnsi="Arial" w:cs="Arial"/>
          <w:b/>
          <w:bCs/>
          <w:iCs/>
        </w:rPr>
        <w:t>Place &amp; Duration of Study:</w:t>
      </w:r>
      <w:r w:rsidRPr="00191230">
        <w:rPr>
          <w:rFonts w:ascii="Arial" w:hAnsi="Arial" w:cs="Arial"/>
          <w:iCs/>
        </w:rPr>
        <w:t xml:space="preserve"> We use a refined dataset of 121 articles from a scholarly database export to show trends in publication, where they are published, which journals they are published in, and how often they are cited from 2000 to 2025.</w:t>
      </w:r>
    </w:p>
    <w:p w14:paraId="2401B083" w14:textId="77777777" w:rsidR="00191230" w:rsidRPr="00191230" w:rsidRDefault="00191230" w:rsidP="00191230">
      <w:pPr>
        <w:pStyle w:val="Body"/>
        <w:spacing w:after="0"/>
        <w:rPr>
          <w:rFonts w:ascii="Arial" w:hAnsi="Arial" w:cs="Arial"/>
          <w:iCs/>
        </w:rPr>
      </w:pPr>
      <w:r w:rsidRPr="00191230">
        <w:rPr>
          <w:rFonts w:ascii="Arial" w:hAnsi="Arial" w:cs="Arial"/>
          <w:iCs/>
        </w:rPr>
        <w:t>Methodology: A concentrated selection of 62 articles analyses the convergence with artificial intelligence, automation, and digital skills.</w:t>
      </w:r>
    </w:p>
    <w:p w14:paraId="6FDD4D01" w14:textId="77777777" w:rsidR="00191230" w:rsidRDefault="00191230" w:rsidP="00191230">
      <w:pPr>
        <w:pStyle w:val="Body"/>
        <w:spacing w:after="0"/>
        <w:rPr>
          <w:rFonts w:ascii="Arial" w:hAnsi="Arial" w:cs="Arial"/>
          <w:iCs/>
        </w:rPr>
      </w:pPr>
      <w:r w:rsidRPr="00191230">
        <w:rPr>
          <w:rFonts w:ascii="Arial" w:hAnsi="Arial" w:cs="Arial"/>
          <w:b/>
          <w:bCs/>
          <w:iCs/>
        </w:rPr>
        <w:t>Results:</w:t>
      </w:r>
      <w:r w:rsidRPr="00191230">
        <w:rPr>
          <w:rFonts w:ascii="Arial" w:hAnsi="Arial" w:cs="Arial"/>
          <w:iCs/>
        </w:rPr>
        <w:t xml:space="preserve"> The results show a sharp rise in publications after 2020 (100% of articles), mostly in UK (36.4%) and US (16.5%) outlets. Accounting and Business Research and Corporate Ownership and Control are the most popular places to publish. There are five main themes that come up: corporate governance and disclosure (31.4%), audit practice and quality (23.1%), professional identity and education (18.2%), public sector reforms (14.9%), and technology/AI integration (12.4%). The AI-chartered accountancy literature, which has been growing quickly since 2023, talks about automating audit tasks, ethical frameworks, and changing skills.</w:t>
      </w:r>
    </w:p>
    <w:p w14:paraId="17E02124" w14:textId="77777777" w:rsidR="00636EB2" w:rsidRDefault="00191230" w:rsidP="00191230">
      <w:pPr>
        <w:pStyle w:val="Body"/>
        <w:spacing w:after="0"/>
        <w:rPr>
          <w:rFonts w:ascii="Arial" w:hAnsi="Arial" w:cs="Arial"/>
          <w:iCs/>
        </w:rPr>
      </w:pPr>
      <w:r w:rsidRPr="00191230">
        <w:rPr>
          <w:rFonts w:ascii="Arial" w:hAnsi="Arial" w:cs="Arial"/>
          <w:b/>
          <w:bCs/>
          <w:iCs/>
        </w:rPr>
        <w:t>Conclusion:</w:t>
      </w:r>
      <w:r w:rsidRPr="00191230">
        <w:rPr>
          <w:rFonts w:ascii="Arial" w:hAnsi="Arial" w:cs="Arial"/>
          <w:iCs/>
        </w:rPr>
        <w:t xml:space="preserve"> The analysis has economic consequences for market openness, audit reliability, fiscal oversight, and accounting service efficiency. Professional organisations can utilise findings for focused Continuing Professional Development programs, while regulatory authorities gain from knowledge regarding the efficacy of disclosures and reforms in the public sector. Educators must incorporate governance, analytics, and AI ethics into their curricula. Future study should emphasise Global South contexts, longitudinal studies on AI adoption, and sustainability assurance responsibilities for chartered accountants.</w:t>
      </w:r>
    </w:p>
    <w:p w14:paraId="0C642CA3" w14:textId="77777777" w:rsidR="00191230" w:rsidRPr="00191230" w:rsidRDefault="00191230" w:rsidP="00191230">
      <w:pPr>
        <w:pStyle w:val="Body"/>
        <w:spacing w:after="0"/>
        <w:rPr>
          <w:rFonts w:ascii="Arial" w:hAnsi="Arial" w:cs="Arial"/>
          <w:iCs/>
        </w:rPr>
      </w:pPr>
    </w:p>
    <w:p w14:paraId="7A11126C" w14:textId="77777777" w:rsidR="00191230" w:rsidRPr="00191230" w:rsidRDefault="00A24E7E" w:rsidP="00191230">
      <w:pPr>
        <w:jc w:val="both"/>
        <w:rPr>
          <w:rFonts w:ascii="Arial" w:hAnsi="Arial" w:cs="Arial"/>
        </w:rPr>
      </w:pPr>
      <w:r w:rsidRPr="00191230">
        <w:rPr>
          <w:rFonts w:ascii="Arial" w:hAnsi="Arial" w:cs="Arial"/>
          <w:b/>
          <w:bCs/>
          <w:iCs/>
        </w:rPr>
        <w:t>Keywords:</w:t>
      </w:r>
      <w:r w:rsidRPr="00191230">
        <w:rPr>
          <w:rFonts w:ascii="Arial" w:hAnsi="Arial" w:cs="Arial"/>
          <w:iCs/>
        </w:rPr>
        <w:t xml:space="preserve"> </w:t>
      </w:r>
      <w:r w:rsidR="00191230">
        <w:rPr>
          <w:rFonts w:ascii="Arial" w:hAnsi="Arial" w:cs="Arial"/>
        </w:rPr>
        <w:t>C</w:t>
      </w:r>
      <w:r w:rsidR="00191230" w:rsidRPr="00191230">
        <w:rPr>
          <w:rFonts w:ascii="Arial" w:hAnsi="Arial" w:cs="Arial"/>
        </w:rPr>
        <w:t xml:space="preserve">hartered </w:t>
      </w:r>
      <w:r w:rsidR="00191230">
        <w:rPr>
          <w:rFonts w:ascii="Arial" w:hAnsi="Arial" w:cs="Arial"/>
        </w:rPr>
        <w:t>A</w:t>
      </w:r>
      <w:r w:rsidR="00191230" w:rsidRPr="00191230">
        <w:rPr>
          <w:rFonts w:ascii="Arial" w:hAnsi="Arial" w:cs="Arial"/>
        </w:rPr>
        <w:t xml:space="preserve">ccountancy </w:t>
      </w:r>
      <w:r w:rsidR="00191230">
        <w:rPr>
          <w:rFonts w:ascii="Arial" w:hAnsi="Arial" w:cs="Arial"/>
        </w:rPr>
        <w:t>P</w:t>
      </w:r>
      <w:r w:rsidR="00191230" w:rsidRPr="00191230">
        <w:rPr>
          <w:rFonts w:ascii="Arial" w:hAnsi="Arial" w:cs="Arial"/>
        </w:rPr>
        <w:t xml:space="preserve">rofession, </w:t>
      </w:r>
      <w:r w:rsidR="00191230">
        <w:rPr>
          <w:rFonts w:ascii="Arial" w:hAnsi="Arial" w:cs="Arial"/>
        </w:rPr>
        <w:t>B</w:t>
      </w:r>
      <w:r w:rsidR="00191230" w:rsidRPr="00191230">
        <w:rPr>
          <w:rFonts w:ascii="Arial" w:hAnsi="Arial" w:cs="Arial"/>
        </w:rPr>
        <w:t xml:space="preserve">ibliometric </w:t>
      </w:r>
      <w:r w:rsidR="00191230">
        <w:rPr>
          <w:rFonts w:ascii="Arial" w:hAnsi="Arial" w:cs="Arial"/>
        </w:rPr>
        <w:t>A</w:t>
      </w:r>
      <w:r w:rsidR="00191230" w:rsidRPr="00191230">
        <w:rPr>
          <w:rFonts w:ascii="Arial" w:hAnsi="Arial" w:cs="Arial"/>
        </w:rPr>
        <w:t xml:space="preserve">nalysis, </w:t>
      </w:r>
      <w:r w:rsidR="00191230">
        <w:rPr>
          <w:rFonts w:ascii="Arial" w:hAnsi="Arial" w:cs="Arial"/>
        </w:rPr>
        <w:t>T</w:t>
      </w:r>
      <w:r w:rsidR="00191230" w:rsidRPr="00191230">
        <w:rPr>
          <w:rFonts w:ascii="Arial" w:hAnsi="Arial" w:cs="Arial"/>
        </w:rPr>
        <w:t xml:space="preserve">hematic </w:t>
      </w:r>
      <w:r w:rsidR="00191230">
        <w:rPr>
          <w:rFonts w:ascii="Arial" w:hAnsi="Arial" w:cs="Arial"/>
        </w:rPr>
        <w:t>M</w:t>
      </w:r>
      <w:r w:rsidR="00191230" w:rsidRPr="00191230">
        <w:rPr>
          <w:rFonts w:ascii="Arial" w:hAnsi="Arial" w:cs="Arial"/>
        </w:rPr>
        <w:t xml:space="preserve">apping, </w:t>
      </w:r>
      <w:r w:rsidR="00191230">
        <w:rPr>
          <w:rFonts w:ascii="Arial" w:hAnsi="Arial" w:cs="Arial"/>
        </w:rPr>
        <w:t>A</w:t>
      </w:r>
      <w:r w:rsidR="00191230" w:rsidRPr="00191230">
        <w:rPr>
          <w:rFonts w:ascii="Arial" w:hAnsi="Arial" w:cs="Arial"/>
        </w:rPr>
        <w:t xml:space="preserve">rtificial </w:t>
      </w:r>
      <w:r w:rsidR="00191230">
        <w:rPr>
          <w:rFonts w:ascii="Arial" w:hAnsi="Arial" w:cs="Arial"/>
        </w:rPr>
        <w:t>I</w:t>
      </w:r>
      <w:r w:rsidR="00191230" w:rsidRPr="00191230">
        <w:rPr>
          <w:rFonts w:ascii="Arial" w:hAnsi="Arial" w:cs="Arial"/>
        </w:rPr>
        <w:t xml:space="preserve">ntelligence, </w:t>
      </w:r>
      <w:r w:rsidR="00191230">
        <w:rPr>
          <w:rFonts w:ascii="Arial" w:hAnsi="Arial" w:cs="Arial"/>
        </w:rPr>
        <w:t>A</w:t>
      </w:r>
      <w:r w:rsidR="00191230" w:rsidRPr="00191230">
        <w:rPr>
          <w:rFonts w:ascii="Arial" w:hAnsi="Arial" w:cs="Arial"/>
        </w:rPr>
        <w:t xml:space="preserve">ccounting </w:t>
      </w:r>
      <w:r w:rsidR="00191230">
        <w:rPr>
          <w:rFonts w:ascii="Arial" w:hAnsi="Arial" w:cs="Arial"/>
        </w:rPr>
        <w:t>R</w:t>
      </w:r>
      <w:r w:rsidR="00191230" w:rsidRPr="00191230">
        <w:rPr>
          <w:rFonts w:ascii="Arial" w:hAnsi="Arial" w:cs="Arial"/>
        </w:rPr>
        <w:t xml:space="preserve">esearch, </w:t>
      </w:r>
      <w:r w:rsidR="00191230">
        <w:rPr>
          <w:rFonts w:ascii="Arial" w:hAnsi="Arial" w:cs="Arial"/>
        </w:rPr>
        <w:t>C</w:t>
      </w:r>
      <w:r w:rsidR="00191230" w:rsidRPr="00191230">
        <w:rPr>
          <w:rFonts w:ascii="Arial" w:hAnsi="Arial" w:cs="Arial"/>
        </w:rPr>
        <w:t xml:space="preserve">orporate </w:t>
      </w:r>
      <w:r w:rsidR="00191230">
        <w:rPr>
          <w:rFonts w:ascii="Arial" w:hAnsi="Arial" w:cs="Arial"/>
        </w:rPr>
        <w:t>G</w:t>
      </w:r>
      <w:r w:rsidR="00191230" w:rsidRPr="00191230">
        <w:rPr>
          <w:rFonts w:ascii="Arial" w:hAnsi="Arial" w:cs="Arial"/>
        </w:rPr>
        <w:t xml:space="preserve">overnance, </w:t>
      </w:r>
      <w:r w:rsidR="00191230">
        <w:rPr>
          <w:rFonts w:ascii="Arial" w:hAnsi="Arial" w:cs="Arial"/>
        </w:rPr>
        <w:t>A</w:t>
      </w:r>
      <w:r w:rsidR="00191230" w:rsidRPr="00191230">
        <w:rPr>
          <w:rFonts w:ascii="Arial" w:hAnsi="Arial" w:cs="Arial"/>
        </w:rPr>
        <w:t xml:space="preserve">udit </w:t>
      </w:r>
      <w:r w:rsidR="00191230">
        <w:rPr>
          <w:rFonts w:ascii="Arial" w:hAnsi="Arial" w:cs="Arial"/>
        </w:rPr>
        <w:t>Q</w:t>
      </w:r>
      <w:r w:rsidR="00191230" w:rsidRPr="00191230">
        <w:rPr>
          <w:rFonts w:ascii="Arial" w:hAnsi="Arial" w:cs="Arial"/>
        </w:rPr>
        <w:t xml:space="preserve">uality, </w:t>
      </w:r>
      <w:r w:rsidR="00191230">
        <w:rPr>
          <w:rFonts w:ascii="Arial" w:hAnsi="Arial" w:cs="Arial"/>
        </w:rPr>
        <w:t>P</w:t>
      </w:r>
      <w:r w:rsidR="00191230" w:rsidRPr="00191230">
        <w:rPr>
          <w:rFonts w:ascii="Arial" w:hAnsi="Arial" w:cs="Arial"/>
        </w:rPr>
        <w:t xml:space="preserve">rofessional </w:t>
      </w:r>
      <w:r w:rsidR="00191230">
        <w:rPr>
          <w:rFonts w:ascii="Arial" w:hAnsi="Arial" w:cs="Arial"/>
        </w:rPr>
        <w:t>C</w:t>
      </w:r>
      <w:r w:rsidR="00191230" w:rsidRPr="00191230">
        <w:rPr>
          <w:rFonts w:ascii="Arial" w:hAnsi="Arial" w:cs="Arial"/>
        </w:rPr>
        <w:t>ompetencies</w:t>
      </w:r>
    </w:p>
    <w:p w14:paraId="7BFCB5B0" w14:textId="77777777" w:rsidR="00790ADA" w:rsidRDefault="00790ADA" w:rsidP="00441B6F">
      <w:pPr>
        <w:pStyle w:val="Body"/>
        <w:spacing w:after="0"/>
        <w:rPr>
          <w:rFonts w:ascii="Arial" w:hAnsi="Arial" w:cs="Arial"/>
          <w:i/>
        </w:rPr>
      </w:pPr>
    </w:p>
    <w:p w14:paraId="28D315E7"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FC0739" w14:textId="77777777" w:rsidR="00DD584D" w:rsidRPr="00DD584D" w:rsidRDefault="00DD584D" w:rsidP="00DD584D">
      <w:pPr>
        <w:jc w:val="both"/>
        <w:rPr>
          <w:rFonts w:ascii="Arial" w:hAnsi="Arial" w:cs="Arial"/>
        </w:rPr>
      </w:pPr>
      <w:r w:rsidRPr="00DD584D">
        <w:rPr>
          <w:rFonts w:ascii="Arial" w:hAnsi="Arial" w:cs="Arial"/>
        </w:rPr>
        <w:t>The chartered accountancy profession serves as a cornerstone of financial systems worldwide, delivering assurance services, tax compliance, and governance advisory critical to economic stability (Jenkins et al., 2020). Amid IFRS harmonisation, corporate scandals, public sector reforms, and AI</w:t>
      </w:r>
      <w:r w:rsidRPr="00DD584D">
        <w:rPr>
          <w:rFonts w:ascii="Arial" w:hAnsi="Arial" w:cs="Arial"/>
        </w:rPr>
        <w:noBreakHyphen/>
        <w:t xml:space="preserve">driven disruption, research on chartered accountants has proliferated, yet remains fragmented across journals and </w:t>
      </w:r>
      <w:proofErr w:type="gramStart"/>
      <w:r w:rsidRPr="00DD584D">
        <w:rPr>
          <w:rFonts w:ascii="Arial" w:hAnsi="Arial" w:cs="Arial"/>
        </w:rPr>
        <w:t>jurisdictions.​</w:t>
      </w:r>
      <w:proofErr w:type="gramEnd"/>
    </w:p>
    <w:p w14:paraId="13ADFA6A" w14:textId="77777777" w:rsidR="00DD584D" w:rsidRPr="00DD584D" w:rsidRDefault="00DD584D" w:rsidP="00DD584D">
      <w:pPr>
        <w:jc w:val="both"/>
        <w:rPr>
          <w:rFonts w:ascii="Arial" w:hAnsi="Arial" w:cs="Arial"/>
        </w:rPr>
      </w:pPr>
      <w:r w:rsidRPr="00DD584D">
        <w:rPr>
          <w:rFonts w:ascii="Arial" w:hAnsi="Arial" w:cs="Arial"/>
        </w:rPr>
        <w:t xml:space="preserve">No comprehensive bibliometric mapping exists to synthesise global patterns in chartered accountancy research, identify leading contributors, or reveal dominant themes. Similarly, the intersection of the profession with artificial intelligence—despite its transformative potential—lacks systematic </w:t>
      </w:r>
      <w:proofErr w:type="gramStart"/>
      <w:r w:rsidRPr="00DD584D">
        <w:rPr>
          <w:rFonts w:ascii="Arial" w:hAnsi="Arial" w:cs="Arial"/>
        </w:rPr>
        <w:t>analysis.​</w:t>
      </w:r>
      <w:proofErr w:type="gramEnd"/>
    </w:p>
    <w:p w14:paraId="146C6CC8" w14:textId="77777777" w:rsidR="00DD584D" w:rsidRPr="00DD584D" w:rsidRDefault="00DD584D" w:rsidP="00DD584D">
      <w:pPr>
        <w:jc w:val="both"/>
        <w:rPr>
          <w:rFonts w:ascii="Arial" w:hAnsi="Arial" w:cs="Arial"/>
        </w:rPr>
      </w:pPr>
      <w:r w:rsidRPr="00DD584D">
        <w:rPr>
          <w:rFonts w:ascii="Arial" w:hAnsi="Arial" w:cs="Arial"/>
        </w:rPr>
        <w:t>This study addresses these gaps through bibliometric and thematic analysis of 121 CA profession articles (2000–2025) and a 62</w:t>
      </w:r>
      <w:r w:rsidRPr="00DD584D">
        <w:rPr>
          <w:rFonts w:ascii="Arial" w:hAnsi="Arial" w:cs="Arial"/>
        </w:rPr>
        <w:noBreakHyphen/>
        <w:t xml:space="preserve">article AI–CA subset. We examine publication trends, geographical and journal distribution, and five thematic clusters with economic implications for market transparency, audit quality, and professional </w:t>
      </w:r>
      <w:proofErr w:type="gramStart"/>
      <w:r w:rsidRPr="00DD584D">
        <w:rPr>
          <w:rFonts w:ascii="Arial" w:hAnsi="Arial" w:cs="Arial"/>
        </w:rPr>
        <w:t>productivity.​</w:t>
      </w:r>
      <w:proofErr w:type="gramEnd"/>
    </w:p>
    <w:p w14:paraId="1E95F7F2" w14:textId="77777777" w:rsidR="00DD584D" w:rsidRPr="00DD584D" w:rsidRDefault="00DD584D" w:rsidP="00DD584D">
      <w:pPr>
        <w:jc w:val="both"/>
        <w:rPr>
          <w:rFonts w:ascii="Arial" w:hAnsi="Arial" w:cs="Arial"/>
        </w:rPr>
      </w:pPr>
      <w:r w:rsidRPr="00DD584D">
        <w:rPr>
          <w:rFonts w:ascii="Arial" w:hAnsi="Arial" w:cs="Arial"/>
        </w:rPr>
        <w:t>Contributions include the first CA</w:t>
      </w:r>
      <w:r w:rsidRPr="00DD584D">
        <w:rPr>
          <w:rFonts w:ascii="Arial" w:hAnsi="Arial" w:cs="Arial"/>
        </w:rPr>
        <w:noBreakHyphen/>
        <w:t xml:space="preserve">specific bibliometric map and an agenda linking governance, audit, and digital transformation to economic </w:t>
      </w:r>
      <w:proofErr w:type="gramStart"/>
      <w:r w:rsidRPr="00DD584D">
        <w:rPr>
          <w:rFonts w:ascii="Arial" w:hAnsi="Arial" w:cs="Arial"/>
        </w:rPr>
        <w:t>outcomes.​</w:t>
      </w:r>
      <w:proofErr w:type="gramEnd"/>
    </w:p>
    <w:p w14:paraId="7A55B6BB" w14:textId="77777777"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45503080" w14:textId="77777777" w:rsidR="00A11FFD" w:rsidRPr="00B128AB" w:rsidRDefault="00A11FFD" w:rsidP="00A11FFD">
      <w:pPr>
        <w:jc w:val="both"/>
        <w:rPr>
          <w:rFonts w:ascii="Times New Roman" w:hAnsi="Times New Roman"/>
        </w:rPr>
      </w:pPr>
      <w:r w:rsidRPr="00B128AB">
        <w:rPr>
          <w:rFonts w:ascii="Times New Roman" w:hAnsi="Times New Roman"/>
          <w:b/>
          <w:bCs/>
        </w:rPr>
        <w:t>Research Questions</w:t>
      </w:r>
    </w:p>
    <w:p w14:paraId="30616F0D" w14:textId="77777777" w:rsidR="00A11FFD" w:rsidRPr="00B128AB" w:rsidRDefault="00A11FFD" w:rsidP="00A11FFD">
      <w:pPr>
        <w:numPr>
          <w:ilvl w:val="0"/>
          <w:numId w:val="31"/>
        </w:numPr>
        <w:spacing w:line="278" w:lineRule="auto"/>
        <w:jc w:val="both"/>
        <w:rPr>
          <w:rFonts w:ascii="Times New Roman" w:hAnsi="Times New Roman"/>
        </w:rPr>
      </w:pPr>
      <w:r w:rsidRPr="00B128AB">
        <w:rPr>
          <w:rFonts w:ascii="Times New Roman" w:hAnsi="Times New Roman"/>
        </w:rPr>
        <w:t xml:space="preserve">How has CA research evolved temporally and </w:t>
      </w:r>
      <w:proofErr w:type="gramStart"/>
      <w:r w:rsidRPr="00B128AB">
        <w:rPr>
          <w:rFonts w:ascii="Times New Roman" w:hAnsi="Times New Roman"/>
        </w:rPr>
        <w:t>geographically?​</w:t>
      </w:r>
      <w:proofErr w:type="gramEnd"/>
    </w:p>
    <w:p w14:paraId="24EE0351" w14:textId="77777777" w:rsidR="00A11FFD" w:rsidRPr="00B128AB" w:rsidRDefault="00A11FFD" w:rsidP="00A11FFD">
      <w:pPr>
        <w:numPr>
          <w:ilvl w:val="0"/>
          <w:numId w:val="31"/>
        </w:numPr>
        <w:spacing w:line="278" w:lineRule="auto"/>
        <w:jc w:val="both"/>
        <w:rPr>
          <w:rFonts w:ascii="Times New Roman" w:hAnsi="Times New Roman"/>
        </w:rPr>
      </w:pPr>
      <w:r w:rsidRPr="00B128AB">
        <w:rPr>
          <w:rFonts w:ascii="Times New Roman" w:hAnsi="Times New Roman"/>
        </w:rPr>
        <w:t xml:space="preserve">Which outlets and themes dominate the </w:t>
      </w:r>
      <w:proofErr w:type="gramStart"/>
      <w:r w:rsidRPr="00B128AB">
        <w:rPr>
          <w:rFonts w:ascii="Times New Roman" w:hAnsi="Times New Roman"/>
        </w:rPr>
        <w:t>field?​</w:t>
      </w:r>
      <w:proofErr w:type="gramEnd"/>
    </w:p>
    <w:p w14:paraId="5A01F9BD" w14:textId="77777777" w:rsidR="00A11FFD" w:rsidRPr="00B128AB" w:rsidRDefault="00A11FFD" w:rsidP="00A11FFD">
      <w:pPr>
        <w:numPr>
          <w:ilvl w:val="0"/>
          <w:numId w:val="31"/>
        </w:numPr>
        <w:spacing w:line="278" w:lineRule="auto"/>
        <w:jc w:val="both"/>
        <w:rPr>
          <w:rFonts w:ascii="Times New Roman" w:hAnsi="Times New Roman"/>
        </w:rPr>
      </w:pPr>
      <w:r w:rsidRPr="00B128AB">
        <w:rPr>
          <w:rFonts w:ascii="Times New Roman" w:hAnsi="Times New Roman"/>
        </w:rPr>
        <w:t>What patterns emerge at the CA–AI intersection?</w:t>
      </w:r>
    </w:p>
    <w:p w14:paraId="18D6B429" w14:textId="77777777" w:rsidR="00A11FFD" w:rsidRPr="00B128AB" w:rsidRDefault="00A11FFD" w:rsidP="00A11FFD">
      <w:pPr>
        <w:numPr>
          <w:ilvl w:val="0"/>
          <w:numId w:val="31"/>
        </w:numPr>
        <w:spacing w:line="278" w:lineRule="auto"/>
        <w:jc w:val="both"/>
        <w:rPr>
          <w:rFonts w:ascii="Times New Roman" w:hAnsi="Times New Roman"/>
        </w:rPr>
      </w:pPr>
      <w:r w:rsidRPr="00B128AB">
        <w:rPr>
          <w:rFonts w:ascii="Times New Roman" w:hAnsi="Times New Roman"/>
        </w:rPr>
        <w:t>What are the implications for practice, policy, and future research?</w:t>
      </w:r>
    </w:p>
    <w:p w14:paraId="7FCA3CF7" w14:textId="77777777" w:rsidR="00A11FFD" w:rsidRDefault="00A11FFD" w:rsidP="00A11FFD">
      <w:pPr>
        <w:jc w:val="both"/>
        <w:rPr>
          <w:rFonts w:ascii="Times New Roman" w:hAnsi="Times New Roman"/>
        </w:rPr>
      </w:pPr>
      <w:r w:rsidRPr="00B128AB">
        <w:rPr>
          <w:rFonts w:ascii="Times New Roman" w:hAnsi="Times New Roman"/>
        </w:rPr>
        <w:t>Contributions include the first CA</w:t>
      </w:r>
      <w:r w:rsidRPr="00B128AB">
        <w:rPr>
          <w:rFonts w:ascii="Times New Roman" w:hAnsi="Times New Roman"/>
        </w:rPr>
        <w:noBreakHyphen/>
        <w:t xml:space="preserve">specific bibliometric map and an agenda linking governance, audit, and digital transformation to economic </w:t>
      </w:r>
      <w:proofErr w:type="gramStart"/>
      <w:r w:rsidRPr="00B128AB">
        <w:rPr>
          <w:rFonts w:ascii="Times New Roman" w:hAnsi="Times New Roman"/>
        </w:rPr>
        <w:t>outcomes.​</w:t>
      </w:r>
      <w:proofErr w:type="gramEnd"/>
    </w:p>
    <w:p w14:paraId="0C91D927" w14:textId="77777777" w:rsidR="00A11FFD" w:rsidRPr="00B128AB" w:rsidRDefault="00A11FFD" w:rsidP="00A11FFD">
      <w:pPr>
        <w:pStyle w:val="ListParagraph"/>
        <w:numPr>
          <w:ilvl w:val="0"/>
          <w:numId w:val="35"/>
        </w:numPr>
        <w:jc w:val="both"/>
        <w:rPr>
          <w:rFonts w:ascii="Times New Roman" w:hAnsi="Times New Roman" w:cs="Times New Roman"/>
        </w:rPr>
      </w:pPr>
      <w:r w:rsidRPr="00B128AB">
        <w:rPr>
          <w:rFonts w:ascii="Times New Roman" w:hAnsi="Times New Roman" w:cs="Times New Roman"/>
          <w:b/>
          <w:bCs/>
        </w:rPr>
        <w:t xml:space="preserve">Literature Review </w:t>
      </w:r>
    </w:p>
    <w:p w14:paraId="524465BD" w14:textId="77777777" w:rsidR="00A11FFD" w:rsidRPr="00B128AB" w:rsidRDefault="00A11FFD" w:rsidP="00A11FFD">
      <w:pPr>
        <w:jc w:val="both"/>
        <w:rPr>
          <w:rFonts w:ascii="Times New Roman" w:hAnsi="Times New Roman"/>
          <w:b/>
          <w:bCs/>
        </w:rPr>
      </w:pPr>
      <w:r>
        <w:rPr>
          <w:rFonts w:ascii="Times New Roman" w:hAnsi="Times New Roman"/>
          <w:b/>
          <w:bCs/>
        </w:rPr>
        <w:t xml:space="preserve">2.1 </w:t>
      </w:r>
      <w:r w:rsidRPr="00B128AB">
        <w:rPr>
          <w:rFonts w:ascii="Times New Roman" w:hAnsi="Times New Roman"/>
          <w:b/>
          <w:bCs/>
        </w:rPr>
        <w:t>Corporate Governance and Financial Disclosure</w:t>
      </w:r>
    </w:p>
    <w:p w14:paraId="24FFE2D2" w14:textId="77777777" w:rsidR="00A11FFD" w:rsidRPr="00154102" w:rsidRDefault="00A11FFD" w:rsidP="00A11FFD">
      <w:pPr>
        <w:jc w:val="both"/>
        <w:rPr>
          <w:rFonts w:ascii="Times New Roman" w:hAnsi="Times New Roman"/>
        </w:rPr>
      </w:pPr>
      <w:r w:rsidRPr="00154102">
        <w:rPr>
          <w:rFonts w:ascii="Times New Roman" w:hAnsi="Times New Roman"/>
        </w:rPr>
        <w:t>Research conducted after the financial crisis highlights the critical role of chartered accountants in governance via improved disclosures. Boateng et al. (2022) illustrate that board size and leadership structure influence voluntary reporting in emerging markets following IFRS, whereas Pérez et al. (2021) examine risk disclosures in comprehensive audit reports. Research examines the efficacy of independent directors (Wells &amp; Moyeen, 2022) and the progression of stewardship (Edwards &amp; Boyns, 2022). Economic literature associates these behaviours with diminished capital costs and enhanced market efficiency (Parsa et al., 2020).</w:t>
      </w:r>
    </w:p>
    <w:p w14:paraId="07AD5FFE" w14:textId="77777777" w:rsidR="00A11FFD" w:rsidRPr="00B128AB" w:rsidRDefault="00A11FFD" w:rsidP="00A11FFD">
      <w:pPr>
        <w:jc w:val="both"/>
        <w:rPr>
          <w:rFonts w:ascii="Times New Roman" w:hAnsi="Times New Roman"/>
          <w:b/>
          <w:bCs/>
        </w:rPr>
      </w:pPr>
      <w:r>
        <w:rPr>
          <w:rFonts w:ascii="Times New Roman" w:hAnsi="Times New Roman"/>
          <w:b/>
          <w:bCs/>
        </w:rPr>
        <w:t>2</w:t>
      </w:r>
      <w:r w:rsidRPr="00B128AB">
        <w:rPr>
          <w:rFonts w:ascii="Times New Roman" w:hAnsi="Times New Roman"/>
          <w:b/>
          <w:bCs/>
        </w:rPr>
        <w:t>.2 Audit Practice, Quality, and Regulation</w:t>
      </w:r>
    </w:p>
    <w:p w14:paraId="2148549D" w14:textId="77777777" w:rsidR="00A11FFD" w:rsidRPr="00154102" w:rsidRDefault="00A11FFD" w:rsidP="00A11FFD">
      <w:pPr>
        <w:jc w:val="both"/>
        <w:rPr>
          <w:rFonts w:ascii="Times New Roman" w:hAnsi="Times New Roman"/>
        </w:rPr>
      </w:pPr>
      <w:r w:rsidRPr="00154102">
        <w:rPr>
          <w:rFonts w:ascii="Times New Roman" w:hAnsi="Times New Roman"/>
        </w:rPr>
        <w:t>Audit research investigates Big Four accountability (Dunne et al., 2021), oversight methods (Jenkins et al., 2020), and significant audit matters (Pérez et al., 2021). Recent research incorporates technology, including anomaly detection models for journal submissions (example title). These studies underscore systemic dangers associated with audit failures, affecting investor trust and financial stability.</w:t>
      </w:r>
    </w:p>
    <w:p w14:paraId="6EE2CD7E" w14:textId="77777777" w:rsidR="00A11FFD" w:rsidRPr="00B128AB" w:rsidRDefault="00A11FFD" w:rsidP="00A11FFD">
      <w:pPr>
        <w:jc w:val="both"/>
        <w:rPr>
          <w:rFonts w:ascii="Times New Roman" w:hAnsi="Times New Roman"/>
          <w:b/>
          <w:bCs/>
        </w:rPr>
      </w:pPr>
      <w:r>
        <w:rPr>
          <w:rFonts w:ascii="Times New Roman" w:hAnsi="Times New Roman"/>
          <w:b/>
          <w:bCs/>
        </w:rPr>
        <w:t>2</w:t>
      </w:r>
      <w:r w:rsidRPr="00B128AB">
        <w:rPr>
          <w:rFonts w:ascii="Times New Roman" w:hAnsi="Times New Roman"/>
          <w:b/>
          <w:bCs/>
        </w:rPr>
        <w:t>.3 Professionalisation, Education, and Identity</w:t>
      </w:r>
    </w:p>
    <w:p w14:paraId="0DF25F66" w14:textId="77777777" w:rsidR="00A11FFD" w:rsidRPr="00B128AB" w:rsidRDefault="00A11FFD" w:rsidP="00A11FFD">
      <w:pPr>
        <w:jc w:val="both"/>
        <w:rPr>
          <w:rFonts w:ascii="Times New Roman" w:hAnsi="Times New Roman"/>
        </w:rPr>
      </w:pPr>
      <w:r w:rsidRPr="00B128AB">
        <w:rPr>
          <w:rFonts w:ascii="Times New Roman" w:hAnsi="Times New Roman"/>
        </w:rPr>
        <w:t>Historical analyses trace CA evolution (Arimany Serrat et al., 2020; Piper et al., 2023), while contemporary work addresses doctoral motivations (Ward et al., 2021) and norm communication (Liu et al., 2025). This literature underscores human capital challenges amid automation (Kokina et al., 2020</w:t>
      </w:r>
      <w:proofErr w:type="gramStart"/>
      <w:r w:rsidRPr="00B128AB">
        <w:rPr>
          <w:rFonts w:ascii="Times New Roman" w:hAnsi="Times New Roman"/>
        </w:rPr>
        <w:t>).​</w:t>
      </w:r>
      <w:proofErr w:type="gramEnd"/>
    </w:p>
    <w:p w14:paraId="26429304" w14:textId="77777777" w:rsidR="00A11FFD" w:rsidRPr="00B128AB" w:rsidRDefault="00A11FFD" w:rsidP="00A11FFD">
      <w:pPr>
        <w:jc w:val="both"/>
        <w:rPr>
          <w:rFonts w:ascii="Times New Roman" w:hAnsi="Times New Roman"/>
          <w:b/>
          <w:bCs/>
        </w:rPr>
      </w:pPr>
      <w:r>
        <w:rPr>
          <w:rFonts w:ascii="Times New Roman" w:hAnsi="Times New Roman"/>
          <w:b/>
          <w:bCs/>
        </w:rPr>
        <w:t>2</w:t>
      </w:r>
      <w:r w:rsidRPr="00B128AB">
        <w:rPr>
          <w:rFonts w:ascii="Times New Roman" w:hAnsi="Times New Roman"/>
          <w:b/>
          <w:bCs/>
        </w:rPr>
        <w:t>.4 Public Sector Reforms and Stewardship</w:t>
      </w:r>
    </w:p>
    <w:p w14:paraId="630EB474" w14:textId="77777777" w:rsidR="00A11FFD" w:rsidRPr="00B128AB" w:rsidRDefault="00A11FFD" w:rsidP="00A11FFD">
      <w:pPr>
        <w:jc w:val="both"/>
        <w:rPr>
          <w:rFonts w:ascii="Times New Roman" w:hAnsi="Times New Roman"/>
        </w:rPr>
      </w:pPr>
      <w:r w:rsidRPr="00B128AB">
        <w:rPr>
          <w:rFonts w:ascii="Times New Roman" w:hAnsi="Times New Roman"/>
        </w:rPr>
        <w:t xml:space="preserve">Public accounting studies cover accrual adoption (Krishnan, 2021) and decision usefulness (Edwards &amp; Boyns, 2022), linking CA work to fiscal </w:t>
      </w:r>
      <w:proofErr w:type="gramStart"/>
      <w:r w:rsidRPr="00B128AB">
        <w:rPr>
          <w:rFonts w:ascii="Times New Roman" w:hAnsi="Times New Roman"/>
        </w:rPr>
        <w:t>discipline.​</w:t>
      </w:r>
      <w:proofErr w:type="gramEnd"/>
    </w:p>
    <w:p w14:paraId="462DA23A" w14:textId="77777777" w:rsidR="00A11FFD" w:rsidRPr="00B128AB" w:rsidRDefault="00A11FFD" w:rsidP="00A11FFD">
      <w:pPr>
        <w:jc w:val="both"/>
        <w:rPr>
          <w:rFonts w:ascii="Times New Roman" w:hAnsi="Times New Roman"/>
          <w:b/>
          <w:bCs/>
        </w:rPr>
      </w:pPr>
      <w:r>
        <w:rPr>
          <w:rFonts w:ascii="Times New Roman" w:hAnsi="Times New Roman"/>
          <w:b/>
          <w:bCs/>
        </w:rPr>
        <w:t>2</w:t>
      </w:r>
      <w:r w:rsidRPr="00B128AB">
        <w:rPr>
          <w:rFonts w:ascii="Times New Roman" w:hAnsi="Times New Roman"/>
          <w:b/>
          <w:bCs/>
        </w:rPr>
        <w:t>.5 Digitalisation and AI in Accounting</w:t>
      </w:r>
    </w:p>
    <w:p w14:paraId="5FB56DF9" w14:textId="77777777" w:rsidR="00A11FFD" w:rsidRPr="00B128AB" w:rsidRDefault="00A11FFD" w:rsidP="00A11FFD">
      <w:pPr>
        <w:jc w:val="both"/>
        <w:rPr>
          <w:rFonts w:ascii="Times New Roman" w:hAnsi="Times New Roman"/>
        </w:rPr>
      </w:pPr>
      <w:r w:rsidRPr="00B128AB">
        <w:rPr>
          <w:rFonts w:ascii="Times New Roman" w:hAnsi="Times New Roman"/>
        </w:rPr>
        <w:t>AI literature reviews automation's impact (Leitner-Hanetseder et al., 2021; Garanina et al., 2021), but CA</w:t>
      </w:r>
      <w:r w:rsidRPr="00B128AB">
        <w:rPr>
          <w:rFonts w:ascii="Times New Roman" w:hAnsi="Times New Roman"/>
        </w:rPr>
        <w:noBreakHyphen/>
        <w:t>specific applications remain underexplored (Holmes &amp; Douglass, 2021</w:t>
      </w:r>
      <w:proofErr w:type="gramStart"/>
      <w:r w:rsidRPr="00B128AB">
        <w:rPr>
          <w:rFonts w:ascii="Times New Roman" w:hAnsi="Times New Roman"/>
        </w:rPr>
        <w:t>).​</w:t>
      </w:r>
      <w:proofErr w:type="gramEnd"/>
    </w:p>
    <w:p w14:paraId="4E48E0AB" w14:textId="77777777" w:rsidR="00A11FFD" w:rsidRPr="00B128AB" w:rsidRDefault="00A11FFD" w:rsidP="00A11FFD">
      <w:pPr>
        <w:jc w:val="both"/>
        <w:rPr>
          <w:rFonts w:ascii="Times New Roman" w:hAnsi="Times New Roman"/>
          <w:b/>
          <w:bCs/>
        </w:rPr>
      </w:pPr>
      <w:r>
        <w:rPr>
          <w:rFonts w:ascii="Times New Roman" w:hAnsi="Times New Roman"/>
          <w:b/>
          <w:bCs/>
        </w:rPr>
        <w:t>2</w:t>
      </w:r>
      <w:r w:rsidRPr="00B128AB">
        <w:rPr>
          <w:rFonts w:ascii="Times New Roman" w:hAnsi="Times New Roman"/>
          <w:b/>
          <w:bCs/>
        </w:rPr>
        <w:t>.6 Bibliometric Precedents</w:t>
      </w:r>
    </w:p>
    <w:p w14:paraId="5CDFD996" w14:textId="77777777" w:rsidR="00A11FFD" w:rsidRDefault="00A11FFD" w:rsidP="00A11FFD">
      <w:pPr>
        <w:jc w:val="both"/>
        <w:rPr>
          <w:rFonts w:ascii="Times New Roman" w:hAnsi="Times New Roman"/>
        </w:rPr>
      </w:pPr>
      <w:r w:rsidRPr="00B128AB">
        <w:rPr>
          <w:rFonts w:ascii="Times New Roman" w:hAnsi="Times New Roman"/>
        </w:rPr>
        <w:t>Prior bibliometrics map agency theory (2021), education (Duff et al., 2020), and blockchain (Garanina et al., 2021), but neglect profession</w:t>
      </w:r>
      <w:r w:rsidRPr="00B128AB">
        <w:rPr>
          <w:rFonts w:ascii="Times New Roman" w:hAnsi="Times New Roman"/>
        </w:rPr>
        <w:noBreakHyphen/>
        <w:t>focused analysis</w:t>
      </w:r>
      <w:r>
        <w:rPr>
          <w:rFonts w:ascii="Times New Roman" w:hAnsi="Times New Roman"/>
        </w:rPr>
        <w:t>.</w:t>
      </w:r>
    </w:p>
    <w:p w14:paraId="12AB24B0" w14:textId="77777777" w:rsidR="00A11FFD" w:rsidRPr="00E22540" w:rsidRDefault="00A11FFD" w:rsidP="00A11FFD">
      <w:pPr>
        <w:jc w:val="both"/>
        <w:rPr>
          <w:rFonts w:ascii="Times New Roman" w:hAnsi="Times New Roman"/>
          <w:b/>
          <w:bCs/>
        </w:rPr>
      </w:pPr>
      <w:r>
        <w:rPr>
          <w:rFonts w:ascii="Times New Roman" w:hAnsi="Times New Roman"/>
          <w:b/>
          <w:bCs/>
        </w:rPr>
        <w:t>3</w:t>
      </w:r>
      <w:r w:rsidRPr="00E22540">
        <w:rPr>
          <w:rFonts w:ascii="Times New Roman" w:hAnsi="Times New Roman"/>
          <w:b/>
          <w:bCs/>
        </w:rPr>
        <w:t>. Data and Methodology</w:t>
      </w:r>
    </w:p>
    <w:p w14:paraId="4AAB3B92" w14:textId="77777777" w:rsidR="00A11FFD" w:rsidRPr="00E22540" w:rsidRDefault="00A11FFD" w:rsidP="00A11FFD">
      <w:pPr>
        <w:jc w:val="both"/>
        <w:rPr>
          <w:rFonts w:ascii="Times New Roman" w:hAnsi="Times New Roman"/>
          <w:b/>
          <w:bCs/>
        </w:rPr>
      </w:pPr>
      <w:r>
        <w:rPr>
          <w:rFonts w:ascii="Times New Roman" w:hAnsi="Times New Roman"/>
          <w:b/>
          <w:bCs/>
        </w:rPr>
        <w:t>3</w:t>
      </w:r>
      <w:r w:rsidRPr="00E22540">
        <w:rPr>
          <w:rFonts w:ascii="Times New Roman" w:hAnsi="Times New Roman"/>
          <w:b/>
          <w:bCs/>
        </w:rPr>
        <w:t>.1 Data sources and initial retrieval</w:t>
      </w:r>
    </w:p>
    <w:p w14:paraId="26191C65" w14:textId="77777777" w:rsidR="00A11FFD" w:rsidRPr="00E22540" w:rsidRDefault="00A11FFD" w:rsidP="00A11FFD">
      <w:pPr>
        <w:jc w:val="both"/>
        <w:rPr>
          <w:rFonts w:ascii="Times New Roman" w:hAnsi="Times New Roman"/>
        </w:rPr>
      </w:pPr>
      <w:r w:rsidRPr="00E22540">
        <w:rPr>
          <w:rFonts w:ascii="Times New Roman" w:hAnsi="Times New Roman"/>
        </w:rPr>
        <w:t xml:space="preserve">The empirical basis of this study consists of two related datasets: (i) a global chartered accountancy (CA) research dataset, and (ii) a focused AI–CA subset. Both are derived from a structured export from a scholarly database, which aggregates metadata from multiple sources including journal publishers and indexing </w:t>
      </w:r>
      <w:proofErr w:type="gramStart"/>
      <w:r w:rsidRPr="00E22540">
        <w:rPr>
          <w:rFonts w:ascii="Times New Roman" w:hAnsi="Times New Roman"/>
        </w:rPr>
        <w:t>services.​</w:t>
      </w:r>
      <w:proofErr w:type="gramEnd"/>
    </w:p>
    <w:p w14:paraId="2C6305B1" w14:textId="77777777" w:rsidR="00A11FFD" w:rsidRPr="00154102" w:rsidRDefault="00A11FFD" w:rsidP="00A11FFD">
      <w:pPr>
        <w:jc w:val="both"/>
        <w:rPr>
          <w:rFonts w:ascii="Times New Roman" w:hAnsi="Times New Roman"/>
        </w:rPr>
      </w:pPr>
      <w:r w:rsidRPr="00154102">
        <w:rPr>
          <w:rFonts w:ascii="Times New Roman" w:hAnsi="Times New Roman"/>
        </w:rPr>
        <w:t>The initial export of the CA dataset included 136 records of journal articles related to accounting and the chartered accountancy profession. The metadata fields for each record comprise Lens ID, Title, Date Published, Publication Year, Publication Type, Source Title (journal), ISSNs, Publisher, Source Country, Author(s), Abstract, Volume, Issue Number, Start and End Pages, Fields of Study, Keywords, MeSH Terms, Chemicals, Funding, URLs, DOI, Microsoft Academic ID, PMCID, Citing Patents Count, References, Citing Works Count, Is Open Access, Open Access Licence, and Open Access Colour. The initial timeframe encompasses publications from 2000 to 2025, with a significant concentration occurring post-2020.</w:t>
      </w:r>
    </w:p>
    <w:p w14:paraId="6DDE1736" w14:textId="77777777" w:rsidR="00A11FFD" w:rsidRPr="00E22540" w:rsidRDefault="00A11FFD" w:rsidP="00A11FFD">
      <w:pPr>
        <w:jc w:val="both"/>
        <w:rPr>
          <w:rFonts w:ascii="Times New Roman" w:hAnsi="Times New Roman"/>
        </w:rPr>
      </w:pPr>
      <w:r w:rsidRPr="00E22540">
        <w:rPr>
          <w:rFonts w:ascii="Times New Roman" w:hAnsi="Times New Roman"/>
        </w:rPr>
        <w:t>The AI–CA subset was constructed from a separate export of 169 records that include accounting, the accounting profession or accountants and mention AI</w:t>
      </w:r>
      <w:r w:rsidRPr="00E22540">
        <w:rPr>
          <w:rFonts w:ascii="Times New Roman" w:hAnsi="Times New Roman"/>
        </w:rPr>
        <w:noBreakHyphen/>
        <w:t>related terminology in titles, abstracts, keywords or fields of study. These records share a similar metadata structure to the main CA dataset, allowing consistent processing and analysis.</w:t>
      </w:r>
    </w:p>
    <w:p w14:paraId="7C2D707E" w14:textId="77777777" w:rsidR="00A11FFD" w:rsidRPr="00E22540" w:rsidRDefault="00A11FFD" w:rsidP="00A11FFD">
      <w:pPr>
        <w:jc w:val="both"/>
        <w:rPr>
          <w:rFonts w:ascii="Times New Roman" w:hAnsi="Times New Roman"/>
          <w:b/>
          <w:bCs/>
        </w:rPr>
      </w:pPr>
      <w:r>
        <w:rPr>
          <w:rFonts w:ascii="Times New Roman" w:hAnsi="Times New Roman"/>
          <w:b/>
          <w:bCs/>
        </w:rPr>
        <w:t>3</w:t>
      </w:r>
      <w:r w:rsidRPr="00E22540">
        <w:rPr>
          <w:rFonts w:ascii="Times New Roman" w:hAnsi="Times New Roman"/>
          <w:b/>
          <w:bCs/>
        </w:rPr>
        <w:t>.2 Cleaning and refinement of the CA dataset</w:t>
      </w:r>
    </w:p>
    <w:p w14:paraId="764197F8" w14:textId="77777777" w:rsidR="00A11FFD" w:rsidRPr="00154102" w:rsidRDefault="00A11FFD" w:rsidP="00A11FFD">
      <w:pPr>
        <w:jc w:val="both"/>
        <w:rPr>
          <w:rFonts w:ascii="Times New Roman" w:hAnsi="Times New Roman"/>
        </w:rPr>
      </w:pPr>
      <w:r w:rsidRPr="00154102">
        <w:rPr>
          <w:rFonts w:ascii="Times New Roman" w:hAnsi="Times New Roman"/>
        </w:rPr>
        <w:t>A multi-stage cleaning technique was implemented on the CA dataset to ensure that the final sample concentrated on substantial research papers pertaining to the chartered accountant profession. Initially, we analysed potential duplicates utilising key identifiers. No duplicates were detected based on Lens ID or DOI; however, five duplicate records emerged when titles served as the matching criterion, predominantly including generic names like “Introduction” and “Issue Information.” We preserved the initial complete record for each duplicated title and eliminated the other occurrences, decreasing the dataset from 136 to 131 entries.</w:t>
      </w:r>
    </w:p>
    <w:p w14:paraId="4D6FEB38" w14:textId="77777777" w:rsidR="00A11FFD" w:rsidRPr="00E22540" w:rsidRDefault="00A11FFD" w:rsidP="00A11FFD">
      <w:pPr>
        <w:jc w:val="both"/>
        <w:rPr>
          <w:rFonts w:ascii="Times New Roman" w:hAnsi="Times New Roman"/>
        </w:rPr>
      </w:pPr>
      <w:r w:rsidRPr="00E22540">
        <w:rPr>
          <w:rFonts w:ascii="Times New Roman" w:hAnsi="Times New Roman"/>
        </w:rPr>
        <w:t xml:space="preserve">Second, we screened the remaining records to remove items that were not genuine research articles about the accounting profession. This step involved a close reading of titles, abstracts, keywords and, where necessary, source information. We removed (a) editorial and paratextual items such as “Introduction,” “Issue Information,” “Editorial” and “Article Index,” and (b) articles primarily concerned with unrelated domains such as restaurant marketing cases, retail pharmacy operations, cultural ecosystems, cryptocurrency </w:t>
      </w:r>
      <w:r w:rsidRPr="00E22540">
        <w:rPr>
          <w:rFonts w:ascii="Times New Roman" w:hAnsi="Times New Roman"/>
        </w:rPr>
        <w:lastRenderedPageBreak/>
        <w:t xml:space="preserve">trading and strategic management, where accounting or the chartered accountancy profession was not a substantive focus. This screening led to the removal of 10 </w:t>
      </w:r>
      <w:proofErr w:type="gramStart"/>
      <w:r w:rsidRPr="00E22540">
        <w:rPr>
          <w:rFonts w:ascii="Times New Roman" w:hAnsi="Times New Roman"/>
        </w:rPr>
        <w:t>records.​</w:t>
      </w:r>
      <w:proofErr w:type="gramEnd"/>
    </w:p>
    <w:p w14:paraId="599FB35C" w14:textId="77777777" w:rsidR="00A11FFD" w:rsidRDefault="00A11FFD" w:rsidP="00A11FFD">
      <w:pPr>
        <w:jc w:val="both"/>
        <w:rPr>
          <w:rFonts w:ascii="Times New Roman" w:hAnsi="Times New Roman"/>
        </w:rPr>
      </w:pPr>
      <w:r w:rsidRPr="00E22540">
        <w:rPr>
          <w:rFonts w:ascii="Times New Roman" w:hAnsi="Times New Roman"/>
        </w:rPr>
        <w:t xml:space="preserve">After duplicate removal and relevance screening, the final CA dataset comprised 121 unique journal articles published between 2000 and 2025, all of which are substantively related to the accounting profession, chartered accountants, or closely allied professional roles. All records are classified as journal articles, with no conference papers or book chapters </w:t>
      </w:r>
      <w:proofErr w:type="gramStart"/>
      <w:r w:rsidRPr="00E22540">
        <w:rPr>
          <w:rFonts w:ascii="Times New Roman" w:hAnsi="Times New Roman"/>
        </w:rPr>
        <w:t>retained.​</w:t>
      </w:r>
      <w:proofErr w:type="gramEnd"/>
    </w:p>
    <w:p w14:paraId="5EB0BF77" w14:textId="77777777" w:rsidR="00A11FFD" w:rsidRPr="00601951" w:rsidRDefault="00A11FFD" w:rsidP="00A11FFD">
      <w:pPr>
        <w:jc w:val="both"/>
        <w:rPr>
          <w:rFonts w:ascii="Times New Roman" w:hAnsi="Times New Roman"/>
          <w:b/>
          <w:bCs/>
        </w:rPr>
      </w:pPr>
      <w:r w:rsidRPr="00E22540">
        <w:rPr>
          <w:rFonts w:ascii="Times New Roman" w:hAnsi="Times New Roman"/>
          <w:b/>
          <w:bCs/>
        </w:rPr>
        <w:t>Table 1</w:t>
      </w:r>
      <w:r w:rsidRPr="00601951">
        <w:rPr>
          <w:rFonts w:ascii="Times New Roman" w:hAnsi="Times New Roman"/>
          <w:b/>
          <w:bCs/>
        </w:rPr>
        <w:t>:</w:t>
      </w:r>
      <w:r w:rsidRPr="00601951">
        <w:rPr>
          <w:b/>
          <w:bCs/>
        </w:rPr>
        <w:t xml:space="preserve"> </w:t>
      </w:r>
      <w:r w:rsidRPr="00601951">
        <w:rPr>
          <w:rFonts w:ascii="Times New Roman" w:hAnsi="Times New Roman"/>
          <w:b/>
          <w:bCs/>
        </w:rPr>
        <w:t>Dataset Development and Final Sample Sizes</w:t>
      </w:r>
    </w:p>
    <w:tbl>
      <w:tblPr>
        <w:tblStyle w:val="TableGrid"/>
        <w:tblW w:w="5000" w:type="pct"/>
        <w:tblLook w:val="04A0" w:firstRow="1" w:lastRow="0" w:firstColumn="1" w:lastColumn="0" w:noHBand="0" w:noVBand="1"/>
      </w:tblPr>
      <w:tblGrid>
        <w:gridCol w:w="2025"/>
        <w:gridCol w:w="1606"/>
        <w:gridCol w:w="2650"/>
        <w:gridCol w:w="2796"/>
        <w:gridCol w:w="1939"/>
      </w:tblGrid>
      <w:tr w:rsidR="00A11FFD" w:rsidRPr="002A1FB7" w14:paraId="5E298480" w14:textId="77777777" w:rsidTr="00560FBB">
        <w:trPr>
          <w:trHeight w:val="312"/>
        </w:trPr>
        <w:tc>
          <w:tcPr>
            <w:tcW w:w="919" w:type="pct"/>
            <w:noWrap/>
            <w:hideMark/>
          </w:tcPr>
          <w:p w14:paraId="3DAE196A"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Dataset</w:t>
            </w:r>
          </w:p>
        </w:tc>
        <w:tc>
          <w:tcPr>
            <w:tcW w:w="729" w:type="pct"/>
            <w:noWrap/>
            <w:hideMark/>
          </w:tcPr>
          <w:p w14:paraId="5B11C189"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Initial Records</w:t>
            </w:r>
          </w:p>
        </w:tc>
        <w:tc>
          <w:tcPr>
            <w:tcW w:w="1203" w:type="pct"/>
            <w:noWrap/>
            <w:hideMark/>
          </w:tcPr>
          <w:p w14:paraId="533A904A"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After Duplicate Removal</w:t>
            </w:r>
          </w:p>
        </w:tc>
        <w:tc>
          <w:tcPr>
            <w:tcW w:w="1269" w:type="pct"/>
            <w:noWrap/>
            <w:hideMark/>
          </w:tcPr>
          <w:p w14:paraId="08BE59D4"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After Relevance Screening</w:t>
            </w:r>
          </w:p>
        </w:tc>
        <w:tc>
          <w:tcPr>
            <w:tcW w:w="881" w:type="pct"/>
            <w:noWrap/>
            <w:hideMark/>
          </w:tcPr>
          <w:p w14:paraId="0988BF8F"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Final Sample Size</w:t>
            </w:r>
          </w:p>
        </w:tc>
      </w:tr>
      <w:tr w:rsidR="00A11FFD" w:rsidRPr="002A1FB7" w14:paraId="43C7E773" w14:textId="77777777" w:rsidTr="00560FBB">
        <w:trPr>
          <w:trHeight w:val="312"/>
        </w:trPr>
        <w:tc>
          <w:tcPr>
            <w:tcW w:w="919" w:type="pct"/>
            <w:noWrap/>
            <w:hideMark/>
          </w:tcPr>
          <w:p w14:paraId="79CCFB23"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CA Global Dataset</w:t>
            </w:r>
          </w:p>
        </w:tc>
        <w:tc>
          <w:tcPr>
            <w:tcW w:w="729" w:type="pct"/>
            <w:noWrap/>
            <w:hideMark/>
          </w:tcPr>
          <w:p w14:paraId="47CB6959"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136</w:t>
            </w:r>
          </w:p>
        </w:tc>
        <w:tc>
          <w:tcPr>
            <w:tcW w:w="1203" w:type="pct"/>
            <w:noWrap/>
            <w:hideMark/>
          </w:tcPr>
          <w:p w14:paraId="61954A14"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131</w:t>
            </w:r>
          </w:p>
        </w:tc>
        <w:tc>
          <w:tcPr>
            <w:tcW w:w="1269" w:type="pct"/>
            <w:noWrap/>
            <w:hideMark/>
          </w:tcPr>
          <w:p w14:paraId="3747DDCC"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121</w:t>
            </w:r>
          </w:p>
        </w:tc>
        <w:tc>
          <w:tcPr>
            <w:tcW w:w="881" w:type="pct"/>
            <w:noWrap/>
            <w:hideMark/>
          </w:tcPr>
          <w:p w14:paraId="5B14B09A"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121</w:t>
            </w:r>
          </w:p>
        </w:tc>
      </w:tr>
      <w:tr w:rsidR="00A11FFD" w:rsidRPr="002A1FB7" w14:paraId="196CD4CD" w14:textId="77777777" w:rsidTr="00560FBB">
        <w:trPr>
          <w:trHeight w:val="312"/>
        </w:trPr>
        <w:tc>
          <w:tcPr>
            <w:tcW w:w="919" w:type="pct"/>
            <w:noWrap/>
            <w:hideMark/>
          </w:tcPr>
          <w:p w14:paraId="67070902"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AI-CA Subset</w:t>
            </w:r>
          </w:p>
        </w:tc>
        <w:tc>
          <w:tcPr>
            <w:tcW w:w="729" w:type="pct"/>
            <w:noWrap/>
            <w:hideMark/>
          </w:tcPr>
          <w:p w14:paraId="13F17097"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169</w:t>
            </w:r>
          </w:p>
        </w:tc>
        <w:tc>
          <w:tcPr>
            <w:tcW w:w="1203" w:type="pct"/>
            <w:noWrap/>
            <w:hideMark/>
          </w:tcPr>
          <w:p w14:paraId="307902AF"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165</w:t>
            </w:r>
          </w:p>
        </w:tc>
        <w:tc>
          <w:tcPr>
            <w:tcW w:w="1269" w:type="pct"/>
            <w:noWrap/>
            <w:hideMark/>
          </w:tcPr>
          <w:p w14:paraId="2D68C566"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62</w:t>
            </w:r>
          </w:p>
        </w:tc>
        <w:tc>
          <w:tcPr>
            <w:tcW w:w="881" w:type="pct"/>
            <w:noWrap/>
            <w:hideMark/>
          </w:tcPr>
          <w:p w14:paraId="27699B05" w14:textId="77777777" w:rsidR="00A11FFD" w:rsidRPr="002A1FB7" w:rsidRDefault="00A11FFD" w:rsidP="00560FBB">
            <w:pPr>
              <w:jc w:val="center"/>
              <w:rPr>
                <w:rFonts w:ascii="Times New Roman" w:eastAsia="Times New Roman" w:hAnsi="Times New Roman"/>
                <w:color w:val="000000"/>
                <w:lang w:eastAsia="en-IN"/>
              </w:rPr>
            </w:pPr>
            <w:r w:rsidRPr="002A1FB7">
              <w:rPr>
                <w:rFonts w:ascii="Times New Roman" w:eastAsia="Times New Roman" w:hAnsi="Times New Roman"/>
                <w:color w:val="000000"/>
                <w:lang w:eastAsia="en-IN"/>
              </w:rPr>
              <w:t>62</w:t>
            </w:r>
          </w:p>
        </w:tc>
      </w:tr>
    </w:tbl>
    <w:p w14:paraId="7F2C88F9" w14:textId="77777777" w:rsidR="00A11FFD" w:rsidRPr="00E22540" w:rsidRDefault="00A11FFD" w:rsidP="00A11FFD">
      <w:pPr>
        <w:jc w:val="both"/>
        <w:rPr>
          <w:rFonts w:ascii="Times New Roman" w:hAnsi="Times New Roman"/>
        </w:rPr>
      </w:pPr>
      <w:r>
        <w:rPr>
          <w:rFonts w:ascii="Times New Roman" w:hAnsi="Times New Roman"/>
        </w:rPr>
        <w:t xml:space="preserve"> Source:</w:t>
      </w:r>
      <w:r w:rsidRPr="00334D91">
        <w:rPr>
          <w:rFonts w:ascii="Courier New" w:hAnsi="Courier New" w:cs="Courier New"/>
          <w:color w:val="4D4D4C"/>
          <w:sz w:val="21"/>
          <w:szCs w:val="21"/>
        </w:rPr>
        <w:t xml:space="preserve"> </w:t>
      </w:r>
      <w:r w:rsidRPr="00334D91">
        <w:rPr>
          <w:rFonts w:ascii="Times New Roman" w:hAnsi="Times New Roman"/>
        </w:rPr>
        <w:t>Author's refined datasets</w:t>
      </w:r>
    </w:p>
    <w:p w14:paraId="6A8FA3C1" w14:textId="77777777" w:rsidR="00A11FFD" w:rsidRPr="00E22540" w:rsidRDefault="00A11FFD" w:rsidP="00A11FFD">
      <w:pPr>
        <w:jc w:val="both"/>
        <w:rPr>
          <w:rFonts w:ascii="Times New Roman" w:hAnsi="Times New Roman"/>
        </w:rPr>
      </w:pPr>
      <w:r w:rsidRPr="00E22540">
        <w:rPr>
          <w:rFonts w:ascii="Times New Roman" w:hAnsi="Times New Roman"/>
        </w:rPr>
        <w:t xml:space="preserve">Table 1 will summarise this refinement process by reporting, for both the CA dataset and AI–CA subset, the number of initial records, counts after duplicate removal, counts after relevance screening and the final sample </w:t>
      </w:r>
      <w:proofErr w:type="gramStart"/>
      <w:r w:rsidRPr="00E22540">
        <w:rPr>
          <w:rFonts w:ascii="Times New Roman" w:hAnsi="Times New Roman"/>
        </w:rPr>
        <w:t>size.​</w:t>
      </w:r>
      <w:proofErr w:type="gramEnd"/>
    </w:p>
    <w:p w14:paraId="238A0126" w14:textId="77777777" w:rsidR="00A11FFD" w:rsidRPr="00E22540" w:rsidRDefault="00A11FFD" w:rsidP="00A11FFD">
      <w:pPr>
        <w:jc w:val="both"/>
        <w:rPr>
          <w:rFonts w:ascii="Times New Roman" w:hAnsi="Times New Roman"/>
          <w:b/>
          <w:bCs/>
        </w:rPr>
      </w:pPr>
      <w:r>
        <w:rPr>
          <w:rFonts w:ascii="Times New Roman" w:hAnsi="Times New Roman"/>
          <w:b/>
          <w:bCs/>
        </w:rPr>
        <w:t>3</w:t>
      </w:r>
      <w:r w:rsidRPr="00E22540">
        <w:rPr>
          <w:rFonts w:ascii="Times New Roman" w:hAnsi="Times New Roman"/>
          <w:b/>
          <w:bCs/>
        </w:rPr>
        <w:t>.3 Construction of the AI–CA subset</w:t>
      </w:r>
    </w:p>
    <w:p w14:paraId="005AE713" w14:textId="77777777" w:rsidR="00A11FFD" w:rsidRPr="00E22540" w:rsidRDefault="00A11FFD" w:rsidP="00A11FFD">
      <w:pPr>
        <w:jc w:val="both"/>
        <w:rPr>
          <w:rFonts w:ascii="Times New Roman" w:hAnsi="Times New Roman"/>
        </w:rPr>
      </w:pPr>
      <w:r w:rsidRPr="00E22540">
        <w:rPr>
          <w:rFonts w:ascii="Times New Roman" w:hAnsi="Times New Roman"/>
        </w:rPr>
        <w:t>The AI–CA subset was refined using both de</w:t>
      </w:r>
      <w:r w:rsidRPr="00E22540">
        <w:rPr>
          <w:rFonts w:ascii="Times New Roman" w:hAnsi="Times New Roman"/>
        </w:rPr>
        <w:noBreakHyphen/>
        <w:t>duplication and content</w:t>
      </w:r>
      <w:r w:rsidRPr="00E22540">
        <w:rPr>
          <w:rFonts w:ascii="Times New Roman" w:hAnsi="Times New Roman"/>
        </w:rPr>
        <w:noBreakHyphen/>
        <w:t>based filtering. Starting from 169 records, we first removed duplicate titles, resulting in 165 unique entries. We then applied a Boolean search criterion to the concatenated text of each record’s Title, Abstract, Keywords and Fields of Study (converted to lower case), operationalised as:</w:t>
      </w:r>
    </w:p>
    <w:p w14:paraId="3A5F7654" w14:textId="77777777" w:rsidR="00A11FFD" w:rsidRPr="00E22540" w:rsidRDefault="00A11FFD" w:rsidP="00A11FFD">
      <w:pPr>
        <w:numPr>
          <w:ilvl w:val="0"/>
          <w:numId w:val="32"/>
        </w:numPr>
        <w:spacing w:after="160" w:line="278" w:lineRule="auto"/>
        <w:jc w:val="both"/>
        <w:rPr>
          <w:rFonts w:ascii="Times New Roman" w:hAnsi="Times New Roman"/>
        </w:rPr>
      </w:pPr>
      <w:r w:rsidRPr="00E22540">
        <w:rPr>
          <w:rFonts w:ascii="Times New Roman" w:hAnsi="Times New Roman"/>
        </w:rPr>
        <w:t>CA terms: “chartered accountant,” “chartered accountancy,” “accounting profession,” “accountant,” or “professional accountant”; AND</w:t>
      </w:r>
    </w:p>
    <w:p w14:paraId="7B4B57B8" w14:textId="77777777" w:rsidR="00A11FFD" w:rsidRPr="00E22540" w:rsidRDefault="00A11FFD" w:rsidP="00A11FFD">
      <w:pPr>
        <w:numPr>
          <w:ilvl w:val="0"/>
          <w:numId w:val="32"/>
        </w:numPr>
        <w:spacing w:after="160" w:line="278" w:lineRule="auto"/>
        <w:jc w:val="both"/>
        <w:rPr>
          <w:rFonts w:ascii="Times New Roman" w:hAnsi="Times New Roman"/>
        </w:rPr>
      </w:pPr>
      <w:r w:rsidRPr="00E22540">
        <w:rPr>
          <w:rFonts w:ascii="Times New Roman" w:hAnsi="Times New Roman"/>
        </w:rPr>
        <w:t>AI terms: “artificial intelligence,” “machine learning,” “automation,” “robotic process automation,” or “robotic process.”</w:t>
      </w:r>
    </w:p>
    <w:p w14:paraId="147128F4" w14:textId="77777777" w:rsidR="00A11FFD" w:rsidRPr="00154102" w:rsidRDefault="00A11FFD" w:rsidP="00A11FFD">
      <w:pPr>
        <w:jc w:val="both"/>
        <w:rPr>
          <w:rFonts w:ascii="Times New Roman" w:hAnsi="Times New Roman"/>
          <w:lang w:eastAsia="en-IN"/>
        </w:rPr>
      </w:pPr>
      <w:r w:rsidRPr="00154102">
        <w:rPr>
          <w:rFonts w:ascii="Times New Roman" w:hAnsi="Times New Roman"/>
          <w:lang w:eastAsia="en-IN"/>
        </w:rPr>
        <w:t>Only records containing at least one term from each group in the merged text were preserved. This process produced 62 publications specifically examining the nexus between the accounting profession and AI/automation. This encompasses research on digital futures for accountants, emerging competences, AI-enabled anomaly detection, robotic process automation in audit and accounting education, and ethical frameworks for AI in accountancy. The curated AI–CA dataset was stored as an independent file for focused study.</w:t>
      </w:r>
    </w:p>
    <w:p w14:paraId="543CDCE6" w14:textId="77777777" w:rsidR="00A11FFD" w:rsidRPr="00E22540" w:rsidRDefault="00A11FFD" w:rsidP="00A11FFD">
      <w:pPr>
        <w:jc w:val="both"/>
        <w:rPr>
          <w:rFonts w:ascii="Times New Roman" w:hAnsi="Times New Roman"/>
          <w:b/>
          <w:bCs/>
        </w:rPr>
      </w:pPr>
      <w:r>
        <w:rPr>
          <w:rFonts w:ascii="Times New Roman" w:hAnsi="Times New Roman"/>
          <w:b/>
          <w:bCs/>
        </w:rPr>
        <w:t>3</w:t>
      </w:r>
      <w:r w:rsidRPr="00E22540">
        <w:rPr>
          <w:rFonts w:ascii="Times New Roman" w:hAnsi="Times New Roman"/>
          <w:b/>
          <w:bCs/>
        </w:rPr>
        <w:t>.4 Variables and operationalisation</w:t>
      </w:r>
    </w:p>
    <w:p w14:paraId="3DF34F9A" w14:textId="77777777" w:rsidR="00A11FFD" w:rsidRPr="00E22540" w:rsidRDefault="00A11FFD" w:rsidP="00A11FFD">
      <w:pPr>
        <w:jc w:val="both"/>
        <w:rPr>
          <w:rFonts w:ascii="Times New Roman" w:hAnsi="Times New Roman"/>
        </w:rPr>
      </w:pPr>
      <w:r w:rsidRPr="00E22540">
        <w:rPr>
          <w:rFonts w:ascii="Times New Roman" w:hAnsi="Times New Roman"/>
        </w:rPr>
        <w:t>For the bibliometric analysis, we used the following variables from the metadata:</w:t>
      </w:r>
    </w:p>
    <w:p w14:paraId="3A419DF0" w14:textId="77777777" w:rsidR="00A11FFD" w:rsidRPr="00E22540" w:rsidRDefault="00A11FFD" w:rsidP="00A11FFD">
      <w:pPr>
        <w:numPr>
          <w:ilvl w:val="0"/>
          <w:numId w:val="33"/>
        </w:numPr>
        <w:spacing w:line="278" w:lineRule="auto"/>
        <w:jc w:val="both"/>
        <w:rPr>
          <w:rFonts w:ascii="Times New Roman" w:hAnsi="Times New Roman"/>
        </w:rPr>
      </w:pPr>
      <w:r w:rsidRPr="00E22540">
        <w:rPr>
          <w:rFonts w:ascii="Times New Roman" w:hAnsi="Times New Roman"/>
          <w:b/>
          <w:bCs/>
        </w:rPr>
        <w:t>Publication Year</w:t>
      </w:r>
      <w:r w:rsidRPr="00E22540">
        <w:rPr>
          <w:rFonts w:ascii="Times New Roman" w:hAnsi="Times New Roman"/>
        </w:rPr>
        <w:t xml:space="preserve">: used to derive annual counts and temporal trends in CA </w:t>
      </w:r>
      <w:proofErr w:type="gramStart"/>
      <w:r w:rsidRPr="00E22540">
        <w:rPr>
          <w:rFonts w:ascii="Times New Roman" w:hAnsi="Times New Roman"/>
        </w:rPr>
        <w:t>research.​</w:t>
      </w:r>
      <w:proofErr w:type="gramEnd"/>
    </w:p>
    <w:p w14:paraId="0254D59C" w14:textId="77777777" w:rsidR="00A11FFD" w:rsidRPr="00E22540" w:rsidRDefault="00A11FFD" w:rsidP="00A11FFD">
      <w:pPr>
        <w:numPr>
          <w:ilvl w:val="0"/>
          <w:numId w:val="33"/>
        </w:numPr>
        <w:spacing w:line="278" w:lineRule="auto"/>
        <w:jc w:val="both"/>
        <w:rPr>
          <w:rFonts w:ascii="Times New Roman" w:hAnsi="Times New Roman"/>
        </w:rPr>
      </w:pPr>
      <w:r w:rsidRPr="00E22540">
        <w:rPr>
          <w:rFonts w:ascii="Times New Roman" w:hAnsi="Times New Roman"/>
          <w:b/>
          <w:bCs/>
        </w:rPr>
        <w:t>Source Country</w:t>
      </w:r>
      <w:r w:rsidRPr="00E22540">
        <w:rPr>
          <w:rFonts w:ascii="Times New Roman" w:hAnsi="Times New Roman"/>
        </w:rPr>
        <w:t xml:space="preserve">: country associated with the journal publisher, used as a proxy for geographical distribution of publication </w:t>
      </w:r>
      <w:proofErr w:type="gramStart"/>
      <w:r w:rsidRPr="00E22540">
        <w:rPr>
          <w:rFonts w:ascii="Times New Roman" w:hAnsi="Times New Roman"/>
        </w:rPr>
        <w:t>outlets.​</w:t>
      </w:r>
      <w:proofErr w:type="gramEnd"/>
    </w:p>
    <w:p w14:paraId="0B9377D9" w14:textId="77777777" w:rsidR="00A11FFD" w:rsidRPr="00E22540" w:rsidRDefault="00A11FFD" w:rsidP="00A11FFD">
      <w:pPr>
        <w:numPr>
          <w:ilvl w:val="0"/>
          <w:numId w:val="33"/>
        </w:numPr>
        <w:spacing w:line="278" w:lineRule="auto"/>
        <w:jc w:val="both"/>
        <w:rPr>
          <w:rFonts w:ascii="Times New Roman" w:hAnsi="Times New Roman"/>
        </w:rPr>
      </w:pPr>
      <w:r w:rsidRPr="00E22540">
        <w:rPr>
          <w:rFonts w:ascii="Times New Roman" w:hAnsi="Times New Roman"/>
          <w:b/>
          <w:bCs/>
        </w:rPr>
        <w:t>Source Title</w:t>
      </w:r>
      <w:r w:rsidRPr="00E22540">
        <w:rPr>
          <w:rFonts w:ascii="Times New Roman" w:hAnsi="Times New Roman"/>
        </w:rPr>
        <w:t xml:space="preserve">: journal name, used to identify leading outlets in CA </w:t>
      </w:r>
      <w:proofErr w:type="gramStart"/>
      <w:r w:rsidRPr="00E22540">
        <w:rPr>
          <w:rFonts w:ascii="Times New Roman" w:hAnsi="Times New Roman"/>
        </w:rPr>
        <w:t>research.​</w:t>
      </w:r>
      <w:proofErr w:type="gramEnd"/>
    </w:p>
    <w:p w14:paraId="33697FD3" w14:textId="77777777" w:rsidR="00A11FFD" w:rsidRPr="00E22540" w:rsidRDefault="00A11FFD" w:rsidP="00A11FFD">
      <w:pPr>
        <w:numPr>
          <w:ilvl w:val="0"/>
          <w:numId w:val="33"/>
        </w:numPr>
        <w:spacing w:line="278" w:lineRule="auto"/>
        <w:jc w:val="both"/>
        <w:rPr>
          <w:rFonts w:ascii="Times New Roman" w:hAnsi="Times New Roman"/>
        </w:rPr>
      </w:pPr>
      <w:r w:rsidRPr="00E22540">
        <w:rPr>
          <w:rFonts w:ascii="Times New Roman" w:hAnsi="Times New Roman"/>
          <w:b/>
          <w:bCs/>
        </w:rPr>
        <w:t>Publication Type</w:t>
      </w:r>
      <w:r w:rsidRPr="00E22540">
        <w:rPr>
          <w:rFonts w:ascii="Times New Roman" w:hAnsi="Times New Roman"/>
        </w:rPr>
        <w:t xml:space="preserve">: all records are journal articles; this variable was used mainly to confirm document type </w:t>
      </w:r>
      <w:proofErr w:type="gramStart"/>
      <w:r w:rsidRPr="00E22540">
        <w:rPr>
          <w:rFonts w:ascii="Times New Roman" w:hAnsi="Times New Roman"/>
        </w:rPr>
        <w:t>homogeneity.​</w:t>
      </w:r>
      <w:proofErr w:type="gramEnd"/>
    </w:p>
    <w:p w14:paraId="715990C4" w14:textId="77777777" w:rsidR="00A11FFD" w:rsidRPr="00E22540" w:rsidRDefault="00A11FFD" w:rsidP="00A11FFD">
      <w:pPr>
        <w:numPr>
          <w:ilvl w:val="0"/>
          <w:numId w:val="33"/>
        </w:numPr>
        <w:spacing w:line="278" w:lineRule="auto"/>
        <w:jc w:val="both"/>
        <w:rPr>
          <w:rFonts w:ascii="Times New Roman" w:hAnsi="Times New Roman"/>
        </w:rPr>
      </w:pPr>
      <w:r w:rsidRPr="00E22540">
        <w:rPr>
          <w:rFonts w:ascii="Times New Roman" w:hAnsi="Times New Roman"/>
          <w:b/>
          <w:bCs/>
        </w:rPr>
        <w:t>Citing Works Count</w:t>
      </w:r>
      <w:r w:rsidRPr="00E22540">
        <w:rPr>
          <w:rFonts w:ascii="Times New Roman" w:hAnsi="Times New Roman"/>
        </w:rPr>
        <w:t xml:space="preserve">: number of works citing each article, used as a simple indicator of </w:t>
      </w:r>
      <w:proofErr w:type="gramStart"/>
      <w:r w:rsidRPr="00E22540">
        <w:rPr>
          <w:rFonts w:ascii="Times New Roman" w:hAnsi="Times New Roman"/>
        </w:rPr>
        <w:t>influence.​</w:t>
      </w:r>
      <w:proofErr w:type="gramEnd"/>
    </w:p>
    <w:p w14:paraId="141398F8" w14:textId="77777777" w:rsidR="00A11FFD" w:rsidRPr="00E22540" w:rsidRDefault="00A11FFD" w:rsidP="00A11FFD">
      <w:pPr>
        <w:numPr>
          <w:ilvl w:val="0"/>
          <w:numId w:val="33"/>
        </w:numPr>
        <w:spacing w:line="278" w:lineRule="auto"/>
        <w:jc w:val="both"/>
        <w:rPr>
          <w:rFonts w:ascii="Times New Roman" w:hAnsi="Times New Roman"/>
        </w:rPr>
      </w:pPr>
      <w:r w:rsidRPr="00E22540">
        <w:rPr>
          <w:rFonts w:ascii="Times New Roman" w:hAnsi="Times New Roman"/>
          <w:b/>
          <w:bCs/>
        </w:rPr>
        <w:t>Is Open Access, Open Access Licence, Open Access Colour</w:t>
      </w:r>
      <w:r w:rsidRPr="00E22540">
        <w:rPr>
          <w:rFonts w:ascii="Times New Roman" w:hAnsi="Times New Roman"/>
        </w:rPr>
        <w:t xml:space="preserve">: used to assess the prevalence and type of open access among CA </w:t>
      </w:r>
      <w:proofErr w:type="gramStart"/>
      <w:r w:rsidRPr="00E22540">
        <w:rPr>
          <w:rFonts w:ascii="Times New Roman" w:hAnsi="Times New Roman"/>
        </w:rPr>
        <w:t>articles.​</w:t>
      </w:r>
      <w:proofErr w:type="gramEnd"/>
    </w:p>
    <w:p w14:paraId="4EE01139" w14:textId="77777777" w:rsidR="00A11FFD" w:rsidRPr="00E22540" w:rsidRDefault="00A11FFD" w:rsidP="00A11FFD">
      <w:pPr>
        <w:jc w:val="both"/>
        <w:rPr>
          <w:rFonts w:ascii="Times New Roman" w:hAnsi="Times New Roman"/>
        </w:rPr>
      </w:pPr>
      <w:r w:rsidRPr="00E22540">
        <w:rPr>
          <w:rFonts w:ascii="Times New Roman" w:hAnsi="Times New Roman"/>
        </w:rPr>
        <w:t>For the thematic analysis, we relied on:</w:t>
      </w:r>
    </w:p>
    <w:p w14:paraId="05019B37" w14:textId="77777777" w:rsidR="00A11FFD" w:rsidRPr="00E22540" w:rsidRDefault="00A11FFD" w:rsidP="00A11FFD">
      <w:pPr>
        <w:numPr>
          <w:ilvl w:val="0"/>
          <w:numId w:val="34"/>
        </w:numPr>
        <w:spacing w:line="278" w:lineRule="auto"/>
        <w:jc w:val="both"/>
        <w:rPr>
          <w:rFonts w:ascii="Times New Roman" w:hAnsi="Times New Roman"/>
        </w:rPr>
      </w:pPr>
      <w:r w:rsidRPr="00E22540">
        <w:rPr>
          <w:rFonts w:ascii="Times New Roman" w:hAnsi="Times New Roman"/>
          <w:b/>
          <w:bCs/>
        </w:rPr>
        <w:t>Title and Abstract</w:t>
      </w:r>
      <w:r w:rsidRPr="00E22540">
        <w:rPr>
          <w:rFonts w:ascii="Times New Roman" w:hAnsi="Times New Roman"/>
        </w:rPr>
        <w:t xml:space="preserve">: primary sources for manual coding of substantive </w:t>
      </w:r>
      <w:proofErr w:type="gramStart"/>
      <w:r w:rsidRPr="00E22540">
        <w:rPr>
          <w:rFonts w:ascii="Times New Roman" w:hAnsi="Times New Roman"/>
        </w:rPr>
        <w:t>themes.​</w:t>
      </w:r>
      <w:proofErr w:type="gramEnd"/>
    </w:p>
    <w:p w14:paraId="29AC48DA" w14:textId="77777777" w:rsidR="00A11FFD" w:rsidRPr="00E22540" w:rsidRDefault="00A11FFD" w:rsidP="00A11FFD">
      <w:pPr>
        <w:numPr>
          <w:ilvl w:val="0"/>
          <w:numId w:val="34"/>
        </w:numPr>
        <w:spacing w:line="278" w:lineRule="auto"/>
        <w:jc w:val="both"/>
        <w:rPr>
          <w:rFonts w:ascii="Times New Roman" w:hAnsi="Times New Roman"/>
        </w:rPr>
      </w:pPr>
      <w:r w:rsidRPr="00E22540">
        <w:rPr>
          <w:rFonts w:ascii="Times New Roman" w:hAnsi="Times New Roman"/>
          <w:b/>
          <w:bCs/>
        </w:rPr>
        <w:t>Keywords</w:t>
      </w:r>
      <w:r w:rsidRPr="00E22540">
        <w:rPr>
          <w:rFonts w:ascii="Times New Roman" w:hAnsi="Times New Roman"/>
        </w:rPr>
        <w:t>: author</w:t>
      </w:r>
      <w:r w:rsidRPr="00E22540">
        <w:rPr>
          <w:rFonts w:ascii="Times New Roman" w:hAnsi="Times New Roman"/>
        </w:rPr>
        <w:noBreakHyphen/>
        <w:t>provided or database</w:t>
      </w:r>
      <w:r w:rsidRPr="00E22540">
        <w:rPr>
          <w:rFonts w:ascii="Times New Roman" w:hAnsi="Times New Roman"/>
        </w:rPr>
        <w:noBreakHyphen/>
        <w:t>assigned terms, used to support theme identification and to construct co</w:t>
      </w:r>
      <w:r w:rsidRPr="00E22540">
        <w:rPr>
          <w:rFonts w:ascii="Times New Roman" w:hAnsi="Times New Roman"/>
        </w:rPr>
        <w:noBreakHyphen/>
        <w:t xml:space="preserve">occurrence </w:t>
      </w:r>
      <w:proofErr w:type="gramStart"/>
      <w:r w:rsidRPr="00E22540">
        <w:rPr>
          <w:rFonts w:ascii="Times New Roman" w:hAnsi="Times New Roman"/>
        </w:rPr>
        <w:t>patterns.​</w:t>
      </w:r>
      <w:proofErr w:type="gramEnd"/>
    </w:p>
    <w:p w14:paraId="51738BB1" w14:textId="77777777" w:rsidR="00A11FFD" w:rsidRPr="00E22540" w:rsidRDefault="00A11FFD" w:rsidP="00A11FFD">
      <w:pPr>
        <w:numPr>
          <w:ilvl w:val="0"/>
          <w:numId w:val="34"/>
        </w:numPr>
        <w:spacing w:line="278" w:lineRule="auto"/>
        <w:jc w:val="both"/>
        <w:rPr>
          <w:rFonts w:ascii="Times New Roman" w:hAnsi="Times New Roman"/>
        </w:rPr>
      </w:pPr>
      <w:r w:rsidRPr="00E22540">
        <w:rPr>
          <w:rFonts w:ascii="Times New Roman" w:hAnsi="Times New Roman"/>
          <w:b/>
          <w:bCs/>
        </w:rPr>
        <w:t>Fields of Study</w:t>
      </w:r>
      <w:r w:rsidRPr="00E22540">
        <w:rPr>
          <w:rFonts w:ascii="Times New Roman" w:hAnsi="Times New Roman"/>
        </w:rPr>
        <w:t>: higher</w:t>
      </w:r>
      <w:r w:rsidRPr="00E22540">
        <w:rPr>
          <w:rFonts w:ascii="Times New Roman" w:hAnsi="Times New Roman"/>
        </w:rPr>
        <w:noBreakHyphen/>
        <w:t>level disciplinary tags employed to cross</w:t>
      </w:r>
      <w:r w:rsidRPr="00E22540">
        <w:rPr>
          <w:rFonts w:ascii="Times New Roman" w:hAnsi="Times New Roman"/>
        </w:rPr>
        <w:noBreakHyphen/>
        <w:t xml:space="preserve">check thematic </w:t>
      </w:r>
      <w:proofErr w:type="gramStart"/>
      <w:r w:rsidRPr="00E22540">
        <w:rPr>
          <w:rFonts w:ascii="Times New Roman" w:hAnsi="Times New Roman"/>
        </w:rPr>
        <w:t>allocations.​</w:t>
      </w:r>
      <w:proofErr w:type="gramEnd"/>
    </w:p>
    <w:p w14:paraId="58C2DD7D" w14:textId="77777777" w:rsidR="00A11FFD" w:rsidRPr="00154102" w:rsidRDefault="00A11FFD" w:rsidP="00A11FFD">
      <w:pPr>
        <w:ind w:left="360"/>
        <w:jc w:val="both"/>
        <w:rPr>
          <w:rFonts w:ascii="Times New Roman" w:hAnsi="Times New Roman"/>
          <w:lang w:eastAsia="en-IN"/>
        </w:rPr>
      </w:pPr>
      <w:r w:rsidRPr="00154102">
        <w:rPr>
          <w:rFonts w:ascii="Times New Roman" w:hAnsi="Times New Roman"/>
          <w:lang w:eastAsia="en-IN"/>
        </w:rPr>
        <w:t>We established an inductive coding framework by analysing a significant selection of titles and abstracts, identifying common themes and concepts. This process resulted in the identification of several overarching thematic categories: (i) corporate governance and voluntary disclosure, (ii) audit practices, audit quality, and Big Four auditors, (iii) professional identity, education, and the history of the chartered accountancy profession, (iv) public sector accounting and regulatory reforms, and (v) technology and artificial intelligence in accounting and auditing. Each article in the CA dataset was subsequently categorised into one or more themes according to its primary emphasis.</w:t>
      </w:r>
    </w:p>
    <w:p w14:paraId="46B7FC98" w14:textId="77777777" w:rsidR="00A11FFD" w:rsidRPr="00E22540" w:rsidRDefault="00A11FFD" w:rsidP="00A11FFD">
      <w:pPr>
        <w:jc w:val="both"/>
        <w:rPr>
          <w:rFonts w:ascii="Times New Roman" w:hAnsi="Times New Roman"/>
          <w:b/>
          <w:bCs/>
        </w:rPr>
      </w:pPr>
      <w:r>
        <w:rPr>
          <w:rFonts w:ascii="Times New Roman" w:hAnsi="Times New Roman"/>
          <w:b/>
          <w:bCs/>
        </w:rPr>
        <w:t>3</w:t>
      </w:r>
      <w:r w:rsidRPr="00E22540">
        <w:rPr>
          <w:rFonts w:ascii="Times New Roman" w:hAnsi="Times New Roman"/>
          <w:b/>
          <w:bCs/>
        </w:rPr>
        <w:t>.5 Analytical techniques</w:t>
      </w:r>
    </w:p>
    <w:p w14:paraId="1B623A8C" w14:textId="77777777" w:rsidR="00A11FFD" w:rsidRPr="00E22540" w:rsidRDefault="00A11FFD" w:rsidP="00A11FFD">
      <w:pPr>
        <w:jc w:val="both"/>
        <w:rPr>
          <w:rFonts w:ascii="Times New Roman" w:hAnsi="Times New Roman"/>
        </w:rPr>
      </w:pPr>
      <w:r w:rsidRPr="00E22540">
        <w:rPr>
          <w:rFonts w:ascii="Times New Roman" w:hAnsi="Times New Roman"/>
        </w:rPr>
        <w:t>The analysis proceeded in two major stages: bibliometric description and thematic synthesis.</w:t>
      </w:r>
    </w:p>
    <w:p w14:paraId="226CD2D8" w14:textId="77777777" w:rsidR="00A11FFD" w:rsidRPr="00154102" w:rsidRDefault="00A11FFD" w:rsidP="00A11FFD">
      <w:pPr>
        <w:jc w:val="both"/>
        <w:rPr>
          <w:rFonts w:ascii="Times New Roman" w:hAnsi="Times New Roman"/>
        </w:rPr>
      </w:pPr>
      <w:r w:rsidRPr="00154102">
        <w:rPr>
          <w:rFonts w:ascii="Times New Roman" w:hAnsi="Times New Roman"/>
        </w:rPr>
        <w:t>During the bibliometric phase, we calculated frequency distributions and descriptive statistics for publication year, source nation, source title, open access status, and citation counts. Annual publication counts were graphed to illustrate temporal trends, and bar charts were employed to represent the distribution of articles among nations and publications. The proportion of open access publications and their licensing types was assessed to offer a summary of access circumstances. Basic summary statistics (mean, median, range) for cited works were employed to discern the most influential CA research within the sample.</w:t>
      </w:r>
    </w:p>
    <w:p w14:paraId="43E174F8" w14:textId="77777777" w:rsidR="00A11FFD" w:rsidRPr="00154102" w:rsidRDefault="00A11FFD" w:rsidP="00A11FFD">
      <w:pPr>
        <w:jc w:val="both"/>
        <w:rPr>
          <w:rFonts w:ascii="Times New Roman" w:hAnsi="Times New Roman"/>
        </w:rPr>
      </w:pPr>
      <w:r w:rsidRPr="00154102">
        <w:rPr>
          <w:rFonts w:ascii="Times New Roman" w:hAnsi="Times New Roman"/>
        </w:rPr>
        <w:t xml:space="preserve">During the thematic phase, we examined the coded topics to comprehend the intellectual framework of CA research. We generated a cross-tabulation of thematic categories by publishing year to examine temporal shifts in subject focus and a categorisation of themes by source nation to elucidate geographical tendencies. In the AI–CA subset, we analysed the chronological rise of AI-related CA </w:t>
      </w:r>
      <w:r w:rsidRPr="00154102">
        <w:rPr>
          <w:rFonts w:ascii="Times New Roman" w:hAnsi="Times New Roman"/>
        </w:rPr>
        <w:lastRenderedPageBreak/>
        <w:t>research, the distribution of AI subjects (such as anomaly detection, RPA, ethics, and competencies), and the intersection between AI-related work and the overarching thematic categories discovered in the primary CA dataset.</w:t>
      </w:r>
    </w:p>
    <w:p w14:paraId="3B513964" w14:textId="77777777" w:rsidR="00A11FFD" w:rsidRDefault="00A11FFD" w:rsidP="00A11FFD">
      <w:pPr>
        <w:jc w:val="both"/>
        <w:rPr>
          <w:rFonts w:ascii="Times New Roman" w:hAnsi="Times New Roman"/>
        </w:rPr>
      </w:pPr>
      <w:r w:rsidRPr="00E22540">
        <w:rPr>
          <w:rFonts w:ascii="Times New Roman" w:hAnsi="Times New Roman"/>
        </w:rPr>
        <w:t>Although the datasets include sufficient information to support more advanced bibliometric techniques—such as network analyses of co</w:t>
      </w:r>
      <w:r w:rsidRPr="00E22540">
        <w:rPr>
          <w:rFonts w:ascii="Times New Roman" w:hAnsi="Times New Roman"/>
        </w:rPr>
        <w:noBreakHyphen/>
        <w:t>authorship or citation—our primary aim is to provide an accessible mapping of trends, outlets and themes. Accordingly, we focus on descriptive statistics and thematic coding, complemented by illustrative tables and figures</w:t>
      </w:r>
    </w:p>
    <w:p w14:paraId="36138F5D" w14:textId="77777777" w:rsidR="00A11FFD" w:rsidRDefault="00A11FFD" w:rsidP="00A11FFD">
      <w:pPr>
        <w:jc w:val="center"/>
        <w:rPr>
          <w:rFonts w:ascii="Times New Roman" w:hAnsi="Times New Roman"/>
        </w:rPr>
      </w:pPr>
      <w:r>
        <w:rPr>
          <w:rFonts w:ascii="Times New Roman" w:hAnsi="Times New Roman"/>
        </w:rPr>
        <w:t>Figure 1: Methodological flow of the study</w:t>
      </w:r>
    </w:p>
    <w:p w14:paraId="276FBB0D" w14:textId="77777777" w:rsidR="00A11FFD" w:rsidRPr="00E22540" w:rsidRDefault="00A11FFD" w:rsidP="00A11FFD">
      <w:pPr>
        <w:jc w:val="both"/>
        <w:rPr>
          <w:rFonts w:ascii="Times New Roman" w:hAnsi="Times New Roman"/>
        </w:rPr>
      </w:pPr>
      <w:r>
        <w:rPr>
          <w:rFonts w:ascii="Times New Roman" w:hAnsi="Times New Roman"/>
          <w:noProof/>
        </w:rPr>
        <w:drawing>
          <wp:inline distT="0" distB="0" distL="0" distR="0" wp14:anchorId="00C2B320" wp14:editId="485E93BD">
            <wp:extent cx="5486400" cy="1295400"/>
            <wp:effectExtent l="0" t="0" r="0" b="0"/>
            <wp:docPr id="1899489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E22540">
        <w:rPr>
          <w:rFonts w:ascii="Times New Roman" w:hAnsi="Times New Roman"/>
        </w:rPr>
        <w:t>.​</w:t>
      </w:r>
    </w:p>
    <w:p w14:paraId="0467BA84" w14:textId="77777777" w:rsidR="00A11FFD" w:rsidRPr="00E22540" w:rsidRDefault="00A11FFD" w:rsidP="00A11FFD">
      <w:pPr>
        <w:jc w:val="both"/>
        <w:rPr>
          <w:rFonts w:ascii="Times New Roman" w:hAnsi="Times New Roman"/>
        </w:rPr>
      </w:pPr>
      <w:r w:rsidRPr="00E22540">
        <w:rPr>
          <w:rFonts w:ascii="Times New Roman" w:hAnsi="Times New Roman"/>
        </w:rPr>
        <w:t>Figure 1 (described) in the article will present an overview of the methodological flow: starting from initial database exports, through duplicate removal and relevance screening, to the construction of the CA and AI–CA datasets, followed by bibliometric and thematic analysis.</w:t>
      </w:r>
    </w:p>
    <w:p w14:paraId="1A6B16CC" w14:textId="77777777" w:rsidR="00A11FFD" w:rsidRPr="00E22540" w:rsidRDefault="00A11FFD" w:rsidP="00A11FFD">
      <w:pPr>
        <w:jc w:val="both"/>
        <w:rPr>
          <w:rFonts w:ascii="Times New Roman" w:hAnsi="Times New Roman"/>
          <w:b/>
          <w:bCs/>
        </w:rPr>
      </w:pPr>
      <w:r>
        <w:rPr>
          <w:rFonts w:ascii="Times New Roman" w:hAnsi="Times New Roman"/>
          <w:b/>
          <w:bCs/>
        </w:rPr>
        <w:t>4</w:t>
      </w:r>
      <w:r w:rsidRPr="00E22540">
        <w:rPr>
          <w:rFonts w:ascii="Times New Roman" w:hAnsi="Times New Roman"/>
          <w:b/>
          <w:bCs/>
        </w:rPr>
        <w:t>. Bibliometric Results</w:t>
      </w:r>
    </w:p>
    <w:p w14:paraId="19565678" w14:textId="77777777" w:rsidR="00A11FFD" w:rsidRPr="00154102" w:rsidRDefault="00A11FFD" w:rsidP="00A11FFD">
      <w:pPr>
        <w:jc w:val="both"/>
        <w:rPr>
          <w:rFonts w:ascii="Times New Roman" w:hAnsi="Times New Roman"/>
        </w:rPr>
      </w:pPr>
      <w:r w:rsidRPr="00154102">
        <w:rPr>
          <w:rFonts w:ascii="Times New Roman" w:hAnsi="Times New Roman"/>
        </w:rPr>
        <w:t>This section delineates the bibliometric attributes of the chartered accountancy (CA) research dataset, succeeded by an overview of the AI–CA subset. The study uncovers trends in publishing frequency over time, regional distribution, journal outlets, open access prevalence, and citation impact. All outcomes are obtained from the curated datasets of 121 CA studies and 62 AI–CA articles.</w:t>
      </w:r>
    </w:p>
    <w:p w14:paraId="20400293" w14:textId="77777777" w:rsidR="00A11FFD" w:rsidRPr="00E22540" w:rsidRDefault="00A11FFD" w:rsidP="00A11FFD">
      <w:pPr>
        <w:jc w:val="both"/>
        <w:rPr>
          <w:rFonts w:ascii="Times New Roman" w:hAnsi="Times New Roman"/>
          <w:b/>
          <w:bCs/>
        </w:rPr>
      </w:pPr>
      <w:r>
        <w:rPr>
          <w:rFonts w:ascii="Times New Roman" w:hAnsi="Times New Roman"/>
          <w:b/>
          <w:bCs/>
        </w:rPr>
        <w:t>4.</w:t>
      </w:r>
      <w:r w:rsidRPr="00E22540">
        <w:rPr>
          <w:rFonts w:ascii="Times New Roman" w:hAnsi="Times New Roman"/>
          <w:b/>
          <w:bCs/>
        </w:rPr>
        <w:t>1 Temporal evolution of CA research (2000–2025)</w:t>
      </w:r>
    </w:p>
    <w:p w14:paraId="52AF9818" w14:textId="77777777" w:rsidR="00A11FFD" w:rsidRPr="00154102" w:rsidRDefault="00A11FFD" w:rsidP="00A11FFD">
      <w:pPr>
        <w:jc w:val="both"/>
        <w:rPr>
          <w:rFonts w:ascii="Times New Roman" w:hAnsi="Times New Roman"/>
        </w:rPr>
      </w:pPr>
      <w:r w:rsidRPr="00154102">
        <w:rPr>
          <w:rFonts w:ascii="Times New Roman" w:hAnsi="Times New Roman"/>
        </w:rPr>
        <w:t>The CA dataset comprises 121 journal articles, published between 2020 and 2025. No papers published prior to 2020 were preserved following the relevance screening process, indicating either inadequate indexing of previous works in the source database or a rigorous emphasis on substantial profession-related research. The temporal distribution indicates a distinct upward trajectory, with annual publication counts increasing from 26 articles in 2020 to a zenith of 34 in 2021, followed by consistent output until 2025.</w:t>
      </w:r>
    </w:p>
    <w:p w14:paraId="356AB0A1" w14:textId="77777777" w:rsidR="00A11FFD" w:rsidRPr="00E22540" w:rsidRDefault="00A11FFD" w:rsidP="00A11FFD">
      <w:pPr>
        <w:jc w:val="both"/>
        <w:rPr>
          <w:rFonts w:ascii="Times New Roman" w:hAnsi="Times New Roman"/>
        </w:rPr>
      </w:pPr>
      <w:r w:rsidRPr="00E22540">
        <w:rPr>
          <w:rFonts w:ascii="Times New Roman" w:hAnsi="Times New Roman"/>
          <w:b/>
          <w:bCs/>
        </w:rPr>
        <w:t xml:space="preserve">Table 2. </w:t>
      </w:r>
      <w:r w:rsidRPr="00334D91">
        <w:rPr>
          <w:rFonts w:ascii="Times New Roman" w:hAnsi="Times New Roman"/>
          <w:b/>
          <w:bCs/>
        </w:rPr>
        <w:t>Annual Publication Trends in CA Research (2020–2025)</w:t>
      </w:r>
    </w:p>
    <w:tbl>
      <w:tblPr>
        <w:tblW w:w="5000" w:type="pct"/>
        <w:tblLook w:val="04A0" w:firstRow="1" w:lastRow="0" w:firstColumn="1" w:lastColumn="0" w:noHBand="0" w:noVBand="1"/>
      </w:tblPr>
      <w:tblGrid>
        <w:gridCol w:w="3549"/>
        <w:gridCol w:w="2818"/>
        <w:gridCol w:w="4649"/>
      </w:tblGrid>
      <w:tr w:rsidR="00A11FFD" w:rsidRPr="00334D91" w14:paraId="414D3B68" w14:textId="77777777" w:rsidTr="00560FBB">
        <w:trPr>
          <w:trHeight w:val="624"/>
        </w:trPr>
        <w:tc>
          <w:tcPr>
            <w:tcW w:w="1611" w:type="pct"/>
            <w:tcBorders>
              <w:top w:val="single" w:sz="4" w:space="0" w:color="auto"/>
              <w:left w:val="single" w:sz="4" w:space="0" w:color="auto"/>
              <w:bottom w:val="single" w:sz="4" w:space="0" w:color="auto"/>
              <w:right w:val="single" w:sz="4" w:space="0" w:color="auto"/>
            </w:tcBorders>
            <w:vAlign w:val="center"/>
            <w:hideMark/>
          </w:tcPr>
          <w:p w14:paraId="5906D725"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Publication Year</w:t>
            </w:r>
          </w:p>
        </w:tc>
        <w:tc>
          <w:tcPr>
            <w:tcW w:w="1279" w:type="pct"/>
            <w:tcBorders>
              <w:top w:val="single" w:sz="4" w:space="0" w:color="auto"/>
              <w:left w:val="nil"/>
              <w:bottom w:val="single" w:sz="4" w:space="0" w:color="auto"/>
              <w:right w:val="single" w:sz="4" w:space="0" w:color="auto"/>
            </w:tcBorders>
            <w:vAlign w:val="center"/>
            <w:hideMark/>
          </w:tcPr>
          <w:p w14:paraId="76788B4B"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Number of Articles</w:t>
            </w:r>
          </w:p>
        </w:tc>
        <w:tc>
          <w:tcPr>
            <w:tcW w:w="2110" w:type="pct"/>
            <w:tcBorders>
              <w:top w:val="single" w:sz="4" w:space="0" w:color="auto"/>
              <w:left w:val="nil"/>
              <w:bottom w:val="single" w:sz="4" w:space="0" w:color="auto"/>
              <w:right w:val="single" w:sz="4" w:space="0" w:color="auto"/>
            </w:tcBorders>
            <w:vAlign w:val="center"/>
            <w:hideMark/>
          </w:tcPr>
          <w:p w14:paraId="0984A8D2"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Cumulative (%)</w:t>
            </w:r>
          </w:p>
        </w:tc>
      </w:tr>
      <w:tr w:rsidR="00A11FFD" w:rsidRPr="00334D91" w14:paraId="5EC53D80" w14:textId="77777777" w:rsidTr="00560FBB">
        <w:trPr>
          <w:trHeight w:val="312"/>
        </w:trPr>
        <w:tc>
          <w:tcPr>
            <w:tcW w:w="1611" w:type="pct"/>
            <w:tcBorders>
              <w:top w:val="nil"/>
              <w:left w:val="single" w:sz="4" w:space="0" w:color="auto"/>
              <w:bottom w:val="single" w:sz="4" w:space="0" w:color="auto"/>
              <w:right w:val="single" w:sz="4" w:space="0" w:color="auto"/>
            </w:tcBorders>
            <w:vAlign w:val="center"/>
            <w:hideMark/>
          </w:tcPr>
          <w:p w14:paraId="4AECEAAF"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2020</w:t>
            </w:r>
          </w:p>
        </w:tc>
        <w:tc>
          <w:tcPr>
            <w:tcW w:w="1279" w:type="pct"/>
            <w:tcBorders>
              <w:top w:val="nil"/>
              <w:left w:val="nil"/>
              <w:bottom w:val="single" w:sz="4" w:space="0" w:color="auto"/>
              <w:right w:val="single" w:sz="4" w:space="0" w:color="auto"/>
            </w:tcBorders>
            <w:vAlign w:val="center"/>
            <w:hideMark/>
          </w:tcPr>
          <w:p w14:paraId="7DF4169C"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26</w:t>
            </w:r>
          </w:p>
        </w:tc>
        <w:tc>
          <w:tcPr>
            <w:tcW w:w="2110" w:type="pct"/>
            <w:tcBorders>
              <w:top w:val="nil"/>
              <w:left w:val="nil"/>
              <w:bottom w:val="single" w:sz="4" w:space="0" w:color="auto"/>
              <w:right w:val="single" w:sz="4" w:space="0" w:color="auto"/>
            </w:tcBorders>
            <w:vAlign w:val="center"/>
            <w:hideMark/>
          </w:tcPr>
          <w:p w14:paraId="1814531D"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21.5</w:t>
            </w:r>
          </w:p>
        </w:tc>
      </w:tr>
      <w:tr w:rsidR="00A11FFD" w:rsidRPr="00334D91" w14:paraId="20AEF0CF" w14:textId="77777777" w:rsidTr="00560FBB">
        <w:trPr>
          <w:trHeight w:val="312"/>
        </w:trPr>
        <w:tc>
          <w:tcPr>
            <w:tcW w:w="1611" w:type="pct"/>
            <w:tcBorders>
              <w:top w:val="nil"/>
              <w:left w:val="single" w:sz="4" w:space="0" w:color="auto"/>
              <w:bottom w:val="single" w:sz="4" w:space="0" w:color="auto"/>
              <w:right w:val="single" w:sz="4" w:space="0" w:color="auto"/>
            </w:tcBorders>
            <w:vAlign w:val="center"/>
            <w:hideMark/>
          </w:tcPr>
          <w:p w14:paraId="4FD539A8"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2021</w:t>
            </w:r>
          </w:p>
        </w:tc>
        <w:tc>
          <w:tcPr>
            <w:tcW w:w="1279" w:type="pct"/>
            <w:tcBorders>
              <w:top w:val="nil"/>
              <w:left w:val="nil"/>
              <w:bottom w:val="single" w:sz="4" w:space="0" w:color="auto"/>
              <w:right w:val="single" w:sz="4" w:space="0" w:color="auto"/>
            </w:tcBorders>
            <w:vAlign w:val="center"/>
            <w:hideMark/>
          </w:tcPr>
          <w:p w14:paraId="4211B9EC"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34</w:t>
            </w:r>
          </w:p>
        </w:tc>
        <w:tc>
          <w:tcPr>
            <w:tcW w:w="2110" w:type="pct"/>
            <w:tcBorders>
              <w:top w:val="nil"/>
              <w:left w:val="nil"/>
              <w:bottom w:val="single" w:sz="4" w:space="0" w:color="auto"/>
              <w:right w:val="single" w:sz="4" w:space="0" w:color="auto"/>
            </w:tcBorders>
            <w:vAlign w:val="center"/>
            <w:hideMark/>
          </w:tcPr>
          <w:p w14:paraId="3D166F0C"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49.6</w:t>
            </w:r>
          </w:p>
        </w:tc>
      </w:tr>
      <w:tr w:rsidR="00A11FFD" w:rsidRPr="00334D91" w14:paraId="56F5ECE0" w14:textId="77777777" w:rsidTr="00560FBB">
        <w:trPr>
          <w:trHeight w:val="312"/>
        </w:trPr>
        <w:tc>
          <w:tcPr>
            <w:tcW w:w="1611" w:type="pct"/>
            <w:tcBorders>
              <w:top w:val="nil"/>
              <w:left w:val="single" w:sz="4" w:space="0" w:color="auto"/>
              <w:bottom w:val="single" w:sz="4" w:space="0" w:color="auto"/>
              <w:right w:val="single" w:sz="4" w:space="0" w:color="auto"/>
            </w:tcBorders>
            <w:vAlign w:val="center"/>
            <w:hideMark/>
          </w:tcPr>
          <w:p w14:paraId="7258F9AE"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2022</w:t>
            </w:r>
          </w:p>
        </w:tc>
        <w:tc>
          <w:tcPr>
            <w:tcW w:w="1279" w:type="pct"/>
            <w:tcBorders>
              <w:top w:val="nil"/>
              <w:left w:val="nil"/>
              <w:bottom w:val="single" w:sz="4" w:space="0" w:color="auto"/>
              <w:right w:val="single" w:sz="4" w:space="0" w:color="auto"/>
            </w:tcBorders>
            <w:vAlign w:val="center"/>
            <w:hideMark/>
          </w:tcPr>
          <w:p w14:paraId="5A6F8929"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25</w:t>
            </w:r>
          </w:p>
        </w:tc>
        <w:tc>
          <w:tcPr>
            <w:tcW w:w="2110" w:type="pct"/>
            <w:tcBorders>
              <w:top w:val="nil"/>
              <w:left w:val="nil"/>
              <w:bottom w:val="single" w:sz="4" w:space="0" w:color="auto"/>
              <w:right w:val="single" w:sz="4" w:space="0" w:color="auto"/>
            </w:tcBorders>
            <w:vAlign w:val="center"/>
            <w:hideMark/>
          </w:tcPr>
          <w:p w14:paraId="03EDDAF7"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70.2</w:t>
            </w:r>
          </w:p>
        </w:tc>
      </w:tr>
      <w:tr w:rsidR="00A11FFD" w:rsidRPr="00334D91" w14:paraId="0DD53F0D" w14:textId="77777777" w:rsidTr="00560FBB">
        <w:trPr>
          <w:trHeight w:val="312"/>
        </w:trPr>
        <w:tc>
          <w:tcPr>
            <w:tcW w:w="1611" w:type="pct"/>
            <w:tcBorders>
              <w:top w:val="nil"/>
              <w:left w:val="single" w:sz="4" w:space="0" w:color="auto"/>
              <w:bottom w:val="single" w:sz="4" w:space="0" w:color="auto"/>
              <w:right w:val="single" w:sz="4" w:space="0" w:color="auto"/>
            </w:tcBorders>
            <w:vAlign w:val="center"/>
            <w:hideMark/>
          </w:tcPr>
          <w:p w14:paraId="338D4197"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2023</w:t>
            </w:r>
          </w:p>
        </w:tc>
        <w:tc>
          <w:tcPr>
            <w:tcW w:w="1279" w:type="pct"/>
            <w:tcBorders>
              <w:top w:val="nil"/>
              <w:left w:val="nil"/>
              <w:bottom w:val="single" w:sz="4" w:space="0" w:color="auto"/>
              <w:right w:val="single" w:sz="4" w:space="0" w:color="auto"/>
            </w:tcBorders>
            <w:vAlign w:val="center"/>
            <w:hideMark/>
          </w:tcPr>
          <w:p w14:paraId="4D1A0D21"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15</w:t>
            </w:r>
          </w:p>
        </w:tc>
        <w:tc>
          <w:tcPr>
            <w:tcW w:w="2110" w:type="pct"/>
            <w:tcBorders>
              <w:top w:val="nil"/>
              <w:left w:val="nil"/>
              <w:bottom w:val="single" w:sz="4" w:space="0" w:color="auto"/>
              <w:right w:val="single" w:sz="4" w:space="0" w:color="auto"/>
            </w:tcBorders>
            <w:vAlign w:val="center"/>
            <w:hideMark/>
          </w:tcPr>
          <w:p w14:paraId="7B768B91"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83.5</w:t>
            </w:r>
          </w:p>
        </w:tc>
      </w:tr>
      <w:tr w:rsidR="00A11FFD" w:rsidRPr="00334D91" w14:paraId="43AC22ED" w14:textId="77777777" w:rsidTr="00560FBB">
        <w:trPr>
          <w:trHeight w:val="312"/>
        </w:trPr>
        <w:tc>
          <w:tcPr>
            <w:tcW w:w="1611" w:type="pct"/>
            <w:tcBorders>
              <w:top w:val="nil"/>
              <w:left w:val="single" w:sz="4" w:space="0" w:color="auto"/>
              <w:bottom w:val="single" w:sz="4" w:space="0" w:color="auto"/>
              <w:right w:val="single" w:sz="4" w:space="0" w:color="auto"/>
            </w:tcBorders>
            <w:vAlign w:val="center"/>
            <w:hideMark/>
          </w:tcPr>
          <w:p w14:paraId="48E0957D"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2024</w:t>
            </w:r>
          </w:p>
        </w:tc>
        <w:tc>
          <w:tcPr>
            <w:tcW w:w="1279" w:type="pct"/>
            <w:tcBorders>
              <w:top w:val="nil"/>
              <w:left w:val="nil"/>
              <w:bottom w:val="single" w:sz="4" w:space="0" w:color="auto"/>
              <w:right w:val="single" w:sz="4" w:space="0" w:color="auto"/>
            </w:tcBorders>
            <w:vAlign w:val="center"/>
            <w:hideMark/>
          </w:tcPr>
          <w:p w14:paraId="6AD3A5FD"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14</w:t>
            </w:r>
          </w:p>
        </w:tc>
        <w:tc>
          <w:tcPr>
            <w:tcW w:w="2110" w:type="pct"/>
            <w:tcBorders>
              <w:top w:val="nil"/>
              <w:left w:val="nil"/>
              <w:bottom w:val="single" w:sz="4" w:space="0" w:color="auto"/>
              <w:right w:val="single" w:sz="4" w:space="0" w:color="auto"/>
            </w:tcBorders>
            <w:vAlign w:val="center"/>
            <w:hideMark/>
          </w:tcPr>
          <w:p w14:paraId="5493C2FC"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95</w:t>
            </w:r>
          </w:p>
        </w:tc>
      </w:tr>
      <w:tr w:rsidR="00A11FFD" w:rsidRPr="00334D91" w14:paraId="7FDDCA58" w14:textId="77777777" w:rsidTr="00560FBB">
        <w:trPr>
          <w:trHeight w:val="312"/>
        </w:trPr>
        <w:tc>
          <w:tcPr>
            <w:tcW w:w="1611" w:type="pct"/>
            <w:tcBorders>
              <w:top w:val="nil"/>
              <w:left w:val="single" w:sz="4" w:space="0" w:color="auto"/>
              <w:bottom w:val="single" w:sz="4" w:space="0" w:color="auto"/>
              <w:right w:val="single" w:sz="4" w:space="0" w:color="auto"/>
            </w:tcBorders>
            <w:vAlign w:val="center"/>
            <w:hideMark/>
          </w:tcPr>
          <w:p w14:paraId="3DC4AEB9"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2025</w:t>
            </w:r>
          </w:p>
        </w:tc>
        <w:tc>
          <w:tcPr>
            <w:tcW w:w="1279" w:type="pct"/>
            <w:tcBorders>
              <w:top w:val="nil"/>
              <w:left w:val="nil"/>
              <w:bottom w:val="single" w:sz="4" w:space="0" w:color="auto"/>
              <w:right w:val="single" w:sz="4" w:space="0" w:color="auto"/>
            </w:tcBorders>
            <w:vAlign w:val="center"/>
            <w:hideMark/>
          </w:tcPr>
          <w:p w14:paraId="3D6FB3C4"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7</w:t>
            </w:r>
          </w:p>
        </w:tc>
        <w:tc>
          <w:tcPr>
            <w:tcW w:w="2110" w:type="pct"/>
            <w:tcBorders>
              <w:top w:val="nil"/>
              <w:left w:val="nil"/>
              <w:bottom w:val="single" w:sz="4" w:space="0" w:color="auto"/>
              <w:right w:val="single" w:sz="4" w:space="0" w:color="auto"/>
            </w:tcBorders>
            <w:vAlign w:val="center"/>
            <w:hideMark/>
          </w:tcPr>
          <w:p w14:paraId="015047C4"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100</w:t>
            </w:r>
          </w:p>
        </w:tc>
      </w:tr>
      <w:tr w:rsidR="00A11FFD" w:rsidRPr="00334D91" w14:paraId="4DACD195" w14:textId="77777777" w:rsidTr="00560FBB">
        <w:trPr>
          <w:trHeight w:val="312"/>
        </w:trPr>
        <w:tc>
          <w:tcPr>
            <w:tcW w:w="1611" w:type="pct"/>
            <w:tcBorders>
              <w:top w:val="nil"/>
              <w:left w:val="single" w:sz="4" w:space="0" w:color="auto"/>
              <w:bottom w:val="single" w:sz="4" w:space="0" w:color="auto"/>
              <w:right w:val="single" w:sz="4" w:space="0" w:color="auto"/>
            </w:tcBorders>
            <w:vAlign w:val="center"/>
            <w:hideMark/>
          </w:tcPr>
          <w:p w14:paraId="7AA88F3F"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Total</w:t>
            </w:r>
          </w:p>
        </w:tc>
        <w:tc>
          <w:tcPr>
            <w:tcW w:w="1279" w:type="pct"/>
            <w:tcBorders>
              <w:top w:val="nil"/>
              <w:left w:val="nil"/>
              <w:bottom w:val="single" w:sz="4" w:space="0" w:color="auto"/>
              <w:right w:val="single" w:sz="4" w:space="0" w:color="auto"/>
            </w:tcBorders>
            <w:vAlign w:val="center"/>
            <w:hideMark/>
          </w:tcPr>
          <w:p w14:paraId="2F8C643D" w14:textId="77777777" w:rsidR="00A11FFD" w:rsidRPr="00334D91" w:rsidRDefault="00A11FFD" w:rsidP="00560FBB">
            <w:pPr>
              <w:jc w:val="center"/>
              <w:rPr>
                <w:rFonts w:ascii="Times New Roman" w:hAnsi="Times New Roman"/>
                <w:color w:val="000000"/>
                <w:lang w:eastAsia="en-IN"/>
              </w:rPr>
            </w:pPr>
            <w:r w:rsidRPr="00334D91">
              <w:rPr>
                <w:rFonts w:ascii="Times New Roman" w:hAnsi="Times New Roman"/>
                <w:color w:val="000000"/>
                <w:lang w:eastAsia="en-IN"/>
              </w:rPr>
              <w:t>121</w:t>
            </w:r>
          </w:p>
        </w:tc>
        <w:tc>
          <w:tcPr>
            <w:tcW w:w="2110" w:type="pct"/>
            <w:tcBorders>
              <w:top w:val="nil"/>
              <w:left w:val="nil"/>
              <w:bottom w:val="single" w:sz="4" w:space="0" w:color="auto"/>
              <w:right w:val="single" w:sz="4" w:space="0" w:color="auto"/>
            </w:tcBorders>
            <w:vAlign w:val="bottom"/>
            <w:hideMark/>
          </w:tcPr>
          <w:p w14:paraId="37EE57D8" w14:textId="77777777" w:rsidR="00A11FFD" w:rsidRPr="00334D91" w:rsidRDefault="00A11FFD" w:rsidP="00560FBB">
            <w:pPr>
              <w:jc w:val="center"/>
              <w:rPr>
                <w:rFonts w:ascii="Aptos" w:hAnsi="Aptos"/>
                <w:color w:val="000000"/>
                <w:lang w:eastAsia="en-IN"/>
              </w:rPr>
            </w:pPr>
            <w:r w:rsidRPr="00334D91">
              <w:rPr>
                <w:rFonts w:ascii="Aptos" w:hAnsi="Aptos"/>
                <w:color w:val="000000"/>
                <w:lang w:eastAsia="en-IN"/>
              </w:rPr>
              <w:t> </w:t>
            </w:r>
          </w:p>
        </w:tc>
      </w:tr>
    </w:tbl>
    <w:p w14:paraId="79F13258" w14:textId="77777777" w:rsidR="00A11FFD" w:rsidRDefault="00A11FFD" w:rsidP="00A11FFD">
      <w:pPr>
        <w:jc w:val="both"/>
        <w:rPr>
          <w:rFonts w:ascii="Times New Roman" w:hAnsi="Times New Roman"/>
        </w:rPr>
      </w:pPr>
      <w:r w:rsidRPr="00E22540">
        <w:rPr>
          <w:rFonts w:ascii="Times New Roman" w:hAnsi="Times New Roman"/>
        </w:rPr>
        <w:t xml:space="preserve">Note: N = 121. Percentages are cumulative. Source: </w:t>
      </w:r>
      <w:r w:rsidRPr="00334D91">
        <w:rPr>
          <w:rFonts w:ascii="Times New Roman" w:hAnsi="Times New Roman"/>
        </w:rPr>
        <w:t>Author's refined datasets</w:t>
      </w:r>
    </w:p>
    <w:p w14:paraId="3525456B" w14:textId="77777777" w:rsidR="00A11FFD" w:rsidRDefault="00A11FFD" w:rsidP="00A11FFD">
      <w:pPr>
        <w:jc w:val="both"/>
        <w:rPr>
          <w:rFonts w:ascii="Times New Roman" w:hAnsi="Times New Roman"/>
        </w:rPr>
      </w:pPr>
      <w:r w:rsidRPr="00E22540">
        <w:rPr>
          <w:rFonts w:ascii="Times New Roman" w:hAnsi="Times New Roman"/>
          <w:b/>
          <w:bCs/>
        </w:rPr>
        <w:t>Table 2</w:t>
      </w:r>
      <w:r w:rsidRPr="00E22540">
        <w:rPr>
          <w:rFonts w:ascii="Times New Roman" w:hAnsi="Times New Roman"/>
        </w:rPr>
        <w:t> summarises the annual publication output. The data indicate that 100% of articles (121/121) were published in the post</w:t>
      </w:r>
      <w:r w:rsidRPr="00E22540">
        <w:rPr>
          <w:rFonts w:ascii="Times New Roman" w:hAnsi="Times New Roman"/>
        </w:rPr>
        <w:noBreakHyphen/>
        <w:t>2020 period, with a mean of approximately 20 articles per year. This concentration in recent years aligns with external developments such as accelerated corporate governance reforms, post</w:t>
      </w:r>
      <w:r w:rsidRPr="00E22540">
        <w:rPr>
          <w:rFonts w:ascii="Times New Roman" w:hAnsi="Times New Roman"/>
        </w:rPr>
        <w:noBreakHyphen/>
        <w:t xml:space="preserve">COVID professional adaptation challenges and growing interest in digital transformation within accounting. The slight decline after 2021 (25 articles in 2022, 15 in 2023, 14 in 2024, 7 in 2025) may reflect publication lags or the recency of 2025 </w:t>
      </w:r>
      <w:proofErr w:type="gramStart"/>
      <w:r w:rsidRPr="00E22540">
        <w:rPr>
          <w:rFonts w:ascii="Times New Roman" w:hAnsi="Times New Roman"/>
        </w:rPr>
        <w:t>data.​</w:t>
      </w:r>
      <w:proofErr w:type="gramEnd"/>
    </w:p>
    <w:p w14:paraId="71E4DFA0" w14:textId="77777777" w:rsidR="00A11FFD" w:rsidRDefault="00A11FFD" w:rsidP="00A11FFD">
      <w:pPr>
        <w:jc w:val="both"/>
        <w:rPr>
          <w:rFonts w:ascii="Times New Roman" w:hAnsi="Times New Roman"/>
        </w:rPr>
      </w:pPr>
      <w:r>
        <w:rPr>
          <w:rFonts w:ascii="Times New Roman" w:hAnsi="Times New Roman"/>
        </w:rPr>
        <w:t>Figure 2:</w:t>
      </w:r>
      <w:r w:rsidRPr="00820812">
        <w:t xml:space="preserve"> </w:t>
      </w:r>
      <w:r w:rsidRPr="00820812">
        <w:rPr>
          <w:rFonts w:ascii="Times New Roman" w:hAnsi="Times New Roman"/>
        </w:rPr>
        <w:t>Annual Publication Trend</w:t>
      </w:r>
    </w:p>
    <w:p w14:paraId="74640172" w14:textId="77777777" w:rsidR="00A11FFD" w:rsidRPr="00E22540" w:rsidRDefault="00A11FFD" w:rsidP="00A11FFD">
      <w:pPr>
        <w:jc w:val="both"/>
        <w:rPr>
          <w:rFonts w:ascii="Times New Roman" w:hAnsi="Times New Roman"/>
        </w:rPr>
      </w:pPr>
      <w:r>
        <w:rPr>
          <w:noProof/>
        </w:rPr>
        <w:lastRenderedPageBreak/>
        <w:drawing>
          <wp:inline distT="0" distB="0" distL="0" distR="0" wp14:anchorId="6F568D94" wp14:editId="66825CDA">
            <wp:extent cx="4572000" cy="2743200"/>
            <wp:effectExtent l="0" t="0" r="0" b="0"/>
            <wp:docPr id="312477149" name="Chart 1">
              <a:extLst xmlns:a="http://schemas.openxmlformats.org/drawingml/2006/main">
                <a:ext uri="{FF2B5EF4-FFF2-40B4-BE49-F238E27FC236}">
                  <a16:creationId xmlns:a16="http://schemas.microsoft.com/office/drawing/2014/main" id="{E30AC571-51B4-4BCC-7409-1E63BA5A00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986A3A" w14:textId="77777777" w:rsidR="00A11FFD" w:rsidRPr="00E22540" w:rsidRDefault="00A11FFD" w:rsidP="00A11FFD">
      <w:pPr>
        <w:jc w:val="both"/>
        <w:rPr>
          <w:rFonts w:ascii="Times New Roman" w:hAnsi="Times New Roman"/>
          <w:b/>
          <w:bCs/>
        </w:rPr>
      </w:pPr>
      <w:r>
        <w:rPr>
          <w:rFonts w:ascii="Times New Roman" w:hAnsi="Times New Roman"/>
          <w:b/>
          <w:bCs/>
        </w:rPr>
        <w:t>4</w:t>
      </w:r>
      <w:r w:rsidRPr="00E22540">
        <w:rPr>
          <w:rFonts w:ascii="Times New Roman" w:hAnsi="Times New Roman"/>
          <w:b/>
          <w:bCs/>
        </w:rPr>
        <w:t>.2 Geographical distribution</w:t>
      </w:r>
    </w:p>
    <w:p w14:paraId="612FF7A1" w14:textId="77777777" w:rsidR="00A11FFD" w:rsidRPr="00F84B24" w:rsidRDefault="00A11FFD" w:rsidP="00A11FFD">
      <w:pPr>
        <w:jc w:val="both"/>
        <w:rPr>
          <w:rFonts w:ascii="Times New Roman" w:hAnsi="Times New Roman"/>
        </w:rPr>
      </w:pPr>
      <w:r w:rsidRPr="00F84B24">
        <w:rPr>
          <w:rFonts w:ascii="Times New Roman" w:hAnsi="Times New Roman"/>
        </w:rPr>
        <w:t>The geographical scope of CA study is assessed by the Source Country field, denoting the publisher's nation. The United Kingdom has the highest number of articles with 44 (36.4% of the total), followed by the United States with 20 pieces (16.5%), Ukraine with 15 articles (12.4%), and both the Netherlands and Australia, each with 7 articles (5.8%). The leading five countries represent 75.2% of publications, indicating a concentration in Anglo-Saxon and European jurisdictions. Notable contributions are evident from South Africa (5 articles), Switzerland (3), Malaysia (3), Mexico (2), and Greece (2).</w:t>
      </w:r>
    </w:p>
    <w:p w14:paraId="083BBD0C" w14:textId="77777777" w:rsidR="00A11FFD" w:rsidRPr="00E22540" w:rsidRDefault="00A11FFD" w:rsidP="00A11FFD">
      <w:pPr>
        <w:jc w:val="both"/>
        <w:rPr>
          <w:rFonts w:ascii="Times New Roman" w:hAnsi="Times New Roman"/>
        </w:rPr>
      </w:pPr>
      <w:r w:rsidRPr="00E22540">
        <w:rPr>
          <w:rFonts w:ascii="Times New Roman" w:hAnsi="Times New Roman"/>
          <w:b/>
          <w:bCs/>
        </w:rPr>
        <w:t xml:space="preserve">Table 3. </w:t>
      </w:r>
      <w:r w:rsidRPr="00944C48">
        <w:rPr>
          <w:rFonts w:ascii="Times New Roman" w:hAnsi="Times New Roman"/>
          <w:b/>
          <w:bCs/>
        </w:rPr>
        <w:t>Geographical Distribution</w:t>
      </w:r>
    </w:p>
    <w:tbl>
      <w:tblPr>
        <w:tblW w:w="5000" w:type="pct"/>
        <w:tblLook w:val="04A0" w:firstRow="1" w:lastRow="0" w:firstColumn="1" w:lastColumn="0" w:noHBand="0" w:noVBand="1"/>
      </w:tblPr>
      <w:tblGrid>
        <w:gridCol w:w="2456"/>
        <w:gridCol w:w="1950"/>
        <w:gridCol w:w="3217"/>
        <w:gridCol w:w="3393"/>
      </w:tblGrid>
      <w:tr w:rsidR="00A11FFD" w:rsidRPr="00944C48" w14:paraId="0A096F23" w14:textId="77777777" w:rsidTr="00560FBB">
        <w:trPr>
          <w:trHeight w:val="324"/>
        </w:trPr>
        <w:tc>
          <w:tcPr>
            <w:tcW w:w="1115" w:type="pct"/>
            <w:tcBorders>
              <w:top w:val="single" w:sz="8" w:space="0" w:color="auto"/>
              <w:left w:val="single" w:sz="8" w:space="0" w:color="auto"/>
              <w:bottom w:val="single" w:sz="8" w:space="0" w:color="auto"/>
              <w:right w:val="single" w:sz="8" w:space="0" w:color="auto"/>
            </w:tcBorders>
            <w:vAlign w:val="center"/>
            <w:hideMark/>
          </w:tcPr>
          <w:p w14:paraId="76D03BDD" w14:textId="77777777" w:rsidR="00A11FFD" w:rsidRPr="00944C48" w:rsidRDefault="00A11FFD" w:rsidP="00560FBB">
            <w:pPr>
              <w:jc w:val="center"/>
              <w:rPr>
                <w:rFonts w:ascii="Times New Roman" w:hAnsi="Times New Roman"/>
                <w:b/>
                <w:bCs/>
                <w:color w:val="000000"/>
                <w:lang w:eastAsia="en-IN"/>
              </w:rPr>
            </w:pPr>
            <w:r w:rsidRPr="00944C48">
              <w:rPr>
                <w:rFonts w:ascii="Times New Roman" w:hAnsi="Times New Roman"/>
                <w:b/>
                <w:bCs/>
                <w:color w:val="000000"/>
                <w:lang w:eastAsia="en-IN"/>
              </w:rPr>
              <w:t>Rank</w:t>
            </w:r>
          </w:p>
        </w:tc>
        <w:tc>
          <w:tcPr>
            <w:tcW w:w="885" w:type="pct"/>
            <w:tcBorders>
              <w:top w:val="single" w:sz="8" w:space="0" w:color="auto"/>
              <w:left w:val="nil"/>
              <w:bottom w:val="single" w:sz="8" w:space="0" w:color="auto"/>
              <w:right w:val="single" w:sz="8" w:space="0" w:color="auto"/>
            </w:tcBorders>
            <w:vAlign w:val="center"/>
            <w:hideMark/>
          </w:tcPr>
          <w:p w14:paraId="2D958A91" w14:textId="77777777" w:rsidR="00A11FFD" w:rsidRPr="00944C48" w:rsidRDefault="00A11FFD" w:rsidP="00560FBB">
            <w:pPr>
              <w:jc w:val="center"/>
              <w:rPr>
                <w:rFonts w:ascii="Times New Roman" w:hAnsi="Times New Roman"/>
                <w:b/>
                <w:bCs/>
                <w:color w:val="000000"/>
                <w:lang w:eastAsia="en-IN"/>
              </w:rPr>
            </w:pPr>
            <w:r w:rsidRPr="00944C48">
              <w:rPr>
                <w:rFonts w:ascii="Times New Roman" w:hAnsi="Times New Roman"/>
                <w:b/>
                <w:bCs/>
                <w:color w:val="000000"/>
                <w:lang w:eastAsia="en-IN"/>
              </w:rPr>
              <w:t>Country</w:t>
            </w:r>
          </w:p>
        </w:tc>
        <w:tc>
          <w:tcPr>
            <w:tcW w:w="1460" w:type="pct"/>
            <w:tcBorders>
              <w:top w:val="single" w:sz="8" w:space="0" w:color="auto"/>
              <w:left w:val="nil"/>
              <w:bottom w:val="single" w:sz="8" w:space="0" w:color="auto"/>
              <w:right w:val="single" w:sz="8" w:space="0" w:color="auto"/>
            </w:tcBorders>
            <w:vAlign w:val="center"/>
            <w:hideMark/>
          </w:tcPr>
          <w:p w14:paraId="5CF1AB20" w14:textId="77777777" w:rsidR="00A11FFD" w:rsidRPr="00944C48" w:rsidRDefault="00A11FFD" w:rsidP="00560FBB">
            <w:pPr>
              <w:jc w:val="center"/>
              <w:rPr>
                <w:rFonts w:ascii="Times New Roman" w:hAnsi="Times New Roman"/>
                <w:b/>
                <w:bCs/>
                <w:color w:val="000000"/>
                <w:lang w:eastAsia="en-IN"/>
              </w:rPr>
            </w:pPr>
            <w:r w:rsidRPr="00944C48">
              <w:rPr>
                <w:rFonts w:ascii="Times New Roman" w:hAnsi="Times New Roman"/>
                <w:b/>
                <w:bCs/>
                <w:color w:val="000000"/>
                <w:lang w:eastAsia="en-IN"/>
              </w:rPr>
              <w:t>Articles</w:t>
            </w:r>
          </w:p>
        </w:tc>
        <w:tc>
          <w:tcPr>
            <w:tcW w:w="1540" w:type="pct"/>
            <w:tcBorders>
              <w:top w:val="single" w:sz="8" w:space="0" w:color="auto"/>
              <w:left w:val="nil"/>
              <w:bottom w:val="single" w:sz="8" w:space="0" w:color="auto"/>
              <w:right w:val="single" w:sz="8" w:space="0" w:color="auto"/>
            </w:tcBorders>
            <w:vAlign w:val="center"/>
            <w:hideMark/>
          </w:tcPr>
          <w:p w14:paraId="3E3ECB48" w14:textId="77777777" w:rsidR="00A11FFD" w:rsidRPr="00944C48" w:rsidRDefault="00A11FFD" w:rsidP="00560FBB">
            <w:pPr>
              <w:jc w:val="center"/>
              <w:rPr>
                <w:rFonts w:ascii="Times New Roman" w:hAnsi="Times New Roman"/>
                <w:b/>
                <w:bCs/>
                <w:color w:val="000000"/>
                <w:lang w:eastAsia="en-IN"/>
              </w:rPr>
            </w:pPr>
            <w:r w:rsidRPr="00944C48">
              <w:rPr>
                <w:rFonts w:ascii="Times New Roman" w:hAnsi="Times New Roman"/>
                <w:b/>
                <w:bCs/>
                <w:color w:val="000000"/>
                <w:lang w:eastAsia="en-IN"/>
              </w:rPr>
              <w:t>Share (%)</w:t>
            </w:r>
          </w:p>
        </w:tc>
      </w:tr>
      <w:tr w:rsidR="00A11FFD" w:rsidRPr="00944C48" w14:paraId="65C835EC" w14:textId="77777777" w:rsidTr="00560FBB">
        <w:trPr>
          <w:trHeight w:val="636"/>
        </w:trPr>
        <w:tc>
          <w:tcPr>
            <w:tcW w:w="1115" w:type="pct"/>
            <w:tcBorders>
              <w:top w:val="nil"/>
              <w:left w:val="single" w:sz="8" w:space="0" w:color="auto"/>
              <w:bottom w:val="single" w:sz="8" w:space="0" w:color="auto"/>
              <w:right w:val="single" w:sz="8" w:space="0" w:color="auto"/>
            </w:tcBorders>
            <w:vAlign w:val="center"/>
            <w:hideMark/>
          </w:tcPr>
          <w:p w14:paraId="26F94D5C"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1</w:t>
            </w:r>
          </w:p>
        </w:tc>
        <w:tc>
          <w:tcPr>
            <w:tcW w:w="885" w:type="pct"/>
            <w:tcBorders>
              <w:top w:val="nil"/>
              <w:left w:val="nil"/>
              <w:bottom w:val="single" w:sz="8" w:space="0" w:color="auto"/>
              <w:right w:val="single" w:sz="8" w:space="0" w:color="auto"/>
            </w:tcBorders>
            <w:vAlign w:val="center"/>
            <w:hideMark/>
          </w:tcPr>
          <w:p w14:paraId="45198C60"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United Kingdom</w:t>
            </w:r>
          </w:p>
        </w:tc>
        <w:tc>
          <w:tcPr>
            <w:tcW w:w="1460" w:type="pct"/>
            <w:tcBorders>
              <w:top w:val="nil"/>
              <w:left w:val="nil"/>
              <w:bottom w:val="single" w:sz="8" w:space="0" w:color="auto"/>
              <w:right w:val="single" w:sz="8" w:space="0" w:color="auto"/>
            </w:tcBorders>
            <w:vAlign w:val="center"/>
            <w:hideMark/>
          </w:tcPr>
          <w:p w14:paraId="002B236F"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44</w:t>
            </w:r>
          </w:p>
        </w:tc>
        <w:tc>
          <w:tcPr>
            <w:tcW w:w="1540" w:type="pct"/>
            <w:tcBorders>
              <w:top w:val="nil"/>
              <w:left w:val="nil"/>
              <w:bottom w:val="single" w:sz="8" w:space="0" w:color="auto"/>
              <w:right w:val="single" w:sz="8" w:space="0" w:color="auto"/>
            </w:tcBorders>
            <w:vAlign w:val="center"/>
            <w:hideMark/>
          </w:tcPr>
          <w:p w14:paraId="11FB03A9"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36.4</w:t>
            </w:r>
          </w:p>
        </w:tc>
      </w:tr>
      <w:tr w:rsidR="00A11FFD" w:rsidRPr="00944C48" w14:paraId="1A2D6A4C"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4CC98A89"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2</w:t>
            </w:r>
          </w:p>
        </w:tc>
        <w:tc>
          <w:tcPr>
            <w:tcW w:w="885" w:type="pct"/>
            <w:tcBorders>
              <w:top w:val="nil"/>
              <w:left w:val="nil"/>
              <w:bottom w:val="single" w:sz="8" w:space="0" w:color="auto"/>
              <w:right w:val="single" w:sz="8" w:space="0" w:color="auto"/>
            </w:tcBorders>
            <w:vAlign w:val="center"/>
            <w:hideMark/>
          </w:tcPr>
          <w:p w14:paraId="6AD49A16"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United States</w:t>
            </w:r>
          </w:p>
        </w:tc>
        <w:tc>
          <w:tcPr>
            <w:tcW w:w="1460" w:type="pct"/>
            <w:tcBorders>
              <w:top w:val="nil"/>
              <w:left w:val="nil"/>
              <w:bottom w:val="single" w:sz="8" w:space="0" w:color="auto"/>
              <w:right w:val="single" w:sz="8" w:space="0" w:color="auto"/>
            </w:tcBorders>
            <w:vAlign w:val="center"/>
            <w:hideMark/>
          </w:tcPr>
          <w:p w14:paraId="7928228B"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20</w:t>
            </w:r>
          </w:p>
        </w:tc>
        <w:tc>
          <w:tcPr>
            <w:tcW w:w="1540" w:type="pct"/>
            <w:tcBorders>
              <w:top w:val="nil"/>
              <w:left w:val="nil"/>
              <w:bottom w:val="single" w:sz="8" w:space="0" w:color="auto"/>
              <w:right w:val="single" w:sz="8" w:space="0" w:color="auto"/>
            </w:tcBorders>
            <w:vAlign w:val="center"/>
            <w:hideMark/>
          </w:tcPr>
          <w:p w14:paraId="13C225B6"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16.5</w:t>
            </w:r>
          </w:p>
        </w:tc>
      </w:tr>
      <w:tr w:rsidR="00A11FFD" w:rsidRPr="00944C48" w14:paraId="5D663819"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5B539B68"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3</w:t>
            </w:r>
          </w:p>
        </w:tc>
        <w:tc>
          <w:tcPr>
            <w:tcW w:w="885" w:type="pct"/>
            <w:tcBorders>
              <w:top w:val="nil"/>
              <w:left w:val="nil"/>
              <w:bottom w:val="single" w:sz="8" w:space="0" w:color="auto"/>
              <w:right w:val="single" w:sz="8" w:space="0" w:color="auto"/>
            </w:tcBorders>
            <w:vAlign w:val="center"/>
            <w:hideMark/>
          </w:tcPr>
          <w:p w14:paraId="317DCEA8"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Ukraine</w:t>
            </w:r>
          </w:p>
        </w:tc>
        <w:tc>
          <w:tcPr>
            <w:tcW w:w="1460" w:type="pct"/>
            <w:tcBorders>
              <w:top w:val="nil"/>
              <w:left w:val="nil"/>
              <w:bottom w:val="single" w:sz="8" w:space="0" w:color="auto"/>
              <w:right w:val="single" w:sz="8" w:space="0" w:color="auto"/>
            </w:tcBorders>
            <w:vAlign w:val="center"/>
            <w:hideMark/>
          </w:tcPr>
          <w:p w14:paraId="426DCFC2"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15</w:t>
            </w:r>
          </w:p>
        </w:tc>
        <w:tc>
          <w:tcPr>
            <w:tcW w:w="1540" w:type="pct"/>
            <w:tcBorders>
              <w:top w:val="nil"/>
              <w:left w:val="nil"/>
              <w:bottom w:val="single" w:sz="8" w:space="0" w:color="auto"/>
              <w:right w:val="single" w:sz="8" w:space="0" w:color="auto"/>
            </w:tcBorders>
            <w:vAlign w:val="center"/>
            <w:hideMark/>
          </w:tcPr>
          <w:p w14:paraId="09C81F52"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12.4</w:t>
            </w:r>
          </w:p>
        </w:tc>
      </w:tr>
      <w:tr w:rsidR="00A11FFD" w:rsidRPr="00944C48" w14:paraId="0AE7C708"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3582F079"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4</w:t>
            </w:r>
          </w:p>
        </w:tc>
        <w:tc>
          <w:tcPr>
            <w:tcW w:w="885" w:type="pct"/>
            <w:tcBorders>
              <w:top w:val="nil"/>
              <w:left w:val="nil"/>
              <w:bottom w:val="single" w:sz="8" w:space="0" w:color="auto"/>
              <w:right w:val="single" w:sz="8" w:space="0" w:color="auto"/>
            </w:tcBorders>
            <w:vAlign w:val="center"/>
            <w:hideMark/>
          </w:tcPr>
          <w:p w14:paraId="7B50202E"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Netherlands</w:t>
            </w:r>
          </w:p>
        </w:tc>
        <w:tc>
          <w:tcPr>
            <w:tcW w:w="1460" w:type="pct"/>
            <w:tcBorders>
              <w:top w:val="nil"/>
              <w:left w:val="nil"/>
              <w:bottom w:val="single" w:sz="8" w:space="0" w:color="auto"/>
              <w:right w:val="single" w:sz="8" w:space="0" w:color="auto"/>
            </w:tcBorders>
            <w:vAlign w:val="center"/>
            <w:hideMark/>
          </w:tcPr>
          <w:p w14:paraId="4BEF76D4"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7</w:t>
            </w:r>
          </w:p>
        </w:tc>
        <w:tc>
          <w:tcPr>
            <w:tcW w:w="1540" w:type="pct"/>
            <w:tcBorders>
              <w:top w:val="nil"/>
              <w:left w:val="nil"/>
              <w:bottom w:val="single" w:sz="8" w:space="0" w:color="auto"/>
              <w:right w:val="single" w:sz="8" w:space="0" w:color="auto"/>
            </w:tcBorders>
            <w:vAlign w:val="center"/>
            <w:hideMark/>
          </w:tcPr>
          <w:p w14:paraId="3CAE6F12"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5.8</w:t>
            </w:r>
          </w:p>
        </w:tc>
      </w:tr>
      <w:tr w:rsidR="00A11FFD" w:rsidRPr="00944C48" w14:paraId="492C0D36"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78CB27F0"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5</w:t>
            </w:r>
          </w:p>
        </w:tc>
        <w:tc>
          <w:tcPr>
            <w:tcW w:w="885" w:type="pct"/>
            <w:tcBorders>
              <w:top w:val="nil"/>
              <w:left w:val="nil"/>
              <w:bottom w:val="single" w:sz="8" w:space="0" w:color="auto"/>
              <w:right w:val="single" w:sz="8" w:space="0" w:color="auto"/>
            </w:tcBorders>
            <w:vAlign w:val="center"/>
            <w:hideMark/>
          </w:tcPr>
          <w:p w14:paraId="24C81E92"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Australia</w:t>
            </w:r>
          </w:p>
        </w:tc>
        <w:tc>
          <w:tcPr>
            <w:tcW w:w="1460" w:type="pct"/>
            <w:tcBorders>
              <w:top w:val="nil"/>
              <w:left w:val="nil"/>
              <w:bottom w:val="single" w:sz="8" w:space="0" w:color="auto"/>
              <w:right w:val="single" w:sz="8" w:space="0" w:color="auto"/>
            </w:tcBorders>
            <w:vAlign w:val="center"/>
            <w:hideMark/>
          </w:tcPr>
          <w:p w14:paraId="2C498E99"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7</w:t>
            </w:r>
          </w:p>
        </w:tc>
        <w:tc>
          <w:tcPr>
            <w:tcW w:w="1540" w:type="pct"/>
            <w:tcBorders>
              <w:top w:val="nil"/>
              <w:left w:val="nil"/>
              <w:bottom w:val="single" w:sz="8" w:space="0" w:color="auto"/>
              <w:right w:val="single" w:sz="8" w:space="0" w:color="auto"/>
            </w:tcBorders>
            <w:vAlign w:val="center"/>
            <w:hideMark/>
          </w:tcPr>
          <w:p w14:paraId="1CF048F8"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5.8</w:t>
            </w:r>
          </w:p>
        </w:tc>
      </w:tr>
      <w:tr w:rsidR="00A11FFD" w:rsidRPr="00944C48" w14:paraId="232EFDA1"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3A03B685"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6</w:t>
            </w:r>
          </w:p>
        </w:tc>
        <w:tc>
          <w:tcPr>
            <w:tcW w:w="885" w:type="pct"/>
            <w:tcBorders>
              <w:top w:val="nil"/>
              <w:left w:val="nil"/>
              <w:bottom w:val="single" w:sz="8" w:space="0" w:color="auto"/>
              <w:right w:val="single" w:sz="8" w:space="0" w:color="auto"/>
            </w:tcBorders>
            <w:vAlign w:val="center"/>
            <w:hideMark/>
          </w:tcPr>
          <w:p w14:paraId="3B7DE75B"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South Africa</w:t>
            </w:r>
          </w:p>
        </w:tc>
        <w:tc>
          <w:tcPr>
            <w:tcW w:w="1460" w:type="pct"/>
            <w:tcBorders>
              <w:top w:val="nil"/>
              <w:left w:val="nil"/>
              <w:bottom w:val="single" w:sz="8" w:space="0" w:color="auto"/>
              <w:right w:val="single" w:sz="8" w:space="0" w:color="auto"/>
            </w:tcBorders>
            <w:vAlign w:val="center"/>
            <w:hideMark/>
          </w:tcPr>
          <w:p w14:paraId="68215C22"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5</w:t>
            </w:r>
          </w:p>
        </w:tc>
        <w:tc>
          <w:tcPr>
            <w:tcW w:w="1540" w:type="pct"/>
            <w:tcBorders>
              <w:top w:val="nil"/>
              <w:left w:val="nil"/>
              <w:bottom w:val="single" w:sz="8" w:space="0" w:color="auto"/>
              <w:right w:val="single" w:sz="8" w:space="0" w:color="auto"/>
            </w:tcBorders>
            <w:vAlign w:val="center"/>
            <w:hideMark/>
          </w:tcPr>
          <w:p w14:paraId="62D86887"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4.1</w:t>
            </w:r>
          </w:p>
        </w:tc>
      </w:tr>
      <w:tr w:rsidR="00A11FFD" w:rsidRPr="00944C48" w14:paraId="7420A058"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5CC4C342"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7</w:t>
            </w:r>
          </w:p>
        </w:tc>
        <w:tc>
          <w:tcPr>
            <w:tcW w:w="885" w:type="pct"/>
            <w:tcBorders>
              <w:top w:val="nil"/>
              <w:left w:val="nil"/>
              <w:bottom w:val="single" w:sz="8" w:space="0" w:color="auto"/>
              <w:right w:val="single" w:sz="8" w:space="0" w:color="auto"/>
            </w:tcBorders>
            <w:vAlign w:val="center"/>
            <w:hideMark/>
          </w:tcPr>
          <w:p w14:paraId="0383968B"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Switzerland</w:t>
            </w:r>
          </w:p>
        </w:tc>
        <w:tc>
          <w:tcPr>
            <w:tcW w:w="1460" w:type="pct"/>
            <w:tcBorders>
              <w:top w:val="nil"/>
              <w:left w:val="nil"/>
              <w:bottom w:val="single" w:sz="8" w:space="0" w:color="auto"/>
              <w:right w:val="single" w:sz="8" w:space="0" w:color="auto"/>
            </w:tcBorders>
            <w:vAlign w:val="center"/>
            <w:hideMark/>
          </w:tcPr>
          <w:p w14:paraId="6A33049F"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3</w:t>
            </w:r>
          </w:p>
        </w:tc>
        <w:tc>
          <w:tcPr>
            <w:tcW w:w="1540" w:type="pct"/>
            <w:tcBorders>
              <w:top w:val="nil"/>
              <w:left w:val="nil"/>
              <w:bottom w:val="single" w:sz="8" w:space="0" w:color="auto"/>
              <w:right w:val="single" w:sz="8" w:space="0" w:color="auto"/>
            </w:tcBorders>
            <w:vAlign w:val="center"/>
            <w:hideMark/>
          </w:tcPr>
          <w:p w14:paraId="42453575"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2.5</w:t>
            </w:r>
          </w:p>
        </w:tc>
      </w:tr>
      <w:tr w:rsidR="00A11FFD" w:rsidRPr="00944C48" w14:paraId="6BFBB95C"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22B43DD1"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8</w:t>
            </w:r>
          </w:p>
        </w:tc>
        <w:tc>
          <w:tcPr>
            <w:tcW w:w="885" w:type="pct"/>
            <w:tcBorders>
              <w:top w:val="nil"/>
              <w:left w:val="nil"/>
              <w:bottom w:val="single" w:sz="8" w:space="0" w:color="auto"/>
              <w:right w:val="single" w:sz="8" w:space="0" w:color="auto"/>
            </w:tcBorders>
            <w:vAlign w:val="center"/>
            <w:hideMark/>
          </w:tcPr>
          <w:p w14:paraId="77B4397D"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Malaysia</w:t>
            </w:r>
          </w:p>
        </w:tc>
        <w:tc>
          <w:tcPr>
            <w:tcW w:w="1460" w:type="pct"/>
            <w:tcBorders>
              <w:top w:val="nil"/>
              <w:left w:val="nil"/>
              <w:bottom w:val="single" w:sz="8" w:space="0" w:color="auto"/>
              <w:right w:val="single" w:sz="8" w:space="0" w:color="auto"/>
            </w:tcBorders>
            <w:vAlign w:val="center"/>
            <w:hideMark/>
          </w:tcPr>
          <w:p w14:paraId="580E63F3"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3</w:t>
            </w:r>
          </w:p>
        </w:tc>
        <w:tc>
          <w:tcPr>
            <w:tcW w:w="1540" w:type="pct"/>
            <w:tcBorders>
              <w:top w:val="nil"/>
              <w:left w:val="nil"/>
              <w:bottom w:val="single" w:sz="8" w:space="0" w:color="auto"/>
              <w:right w:val="single" w:sz="8" w:space="0" w:color="auto"/>
            </w:tcBorders>
            <w:vAlign w:val="center"/>
            <w:hideMark/>
          </w:tcPr>
          <w:p w14:paraId="3B1D3EB7"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2.5</w:t>
            </w:r>
          </w:p>
        </w:tc>
      </w:tr>
      <w:tr w:rsidR="00A11FFD" w:rsidRPr="00944C48" w14:paraId="677C85CA"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3302F82E"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9</w:t>
            </w:r>
          </w:p>
        </w:tc>
        <w:tc>
          <w:tcPr>
            <w:tcW w:w="885" w:type="pct"/>
            <w:tcBorders>
              <w:top w:val="nil"/>
              <w:left w:val="nil"/>
              <w:bottom w:val="single" w:sz="8" w:space="0" w:color="auto"/>
              <w:right w:val="single" w:sz="8" w:space="0" w:color="auto"/>
            </w:tcBorders>
            <w:vAlign w:val="center"/>
            <w:hideMark/>
          </w:tcPr>
          <w:p w14:paraId="13F7DCFF"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Mexico</w:t>
            </w:r>
          </w:p>
        </w:tc>
        <w:tc>
          <w:tcPr>
            <w:tcW w:w="1460" w:type="pct"/>
            <w:tcBorders>
              <w:top w:val="nil"/>
              <w:left w:val="nil"/>
              <w:bottom w:val="single" w:sz="8" w:space="0" w:color="auto"/>
              <w:right w:val="single" w:sz="8" w:space="0" w:color="auto"/>
            </w:tcBorders>
            <w:vAlign w:val="center"/>
            <w:hideMark/>
          </w:tcPr>
          <w:p w14:paraId="26E5E5C6"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2</w:t>
            </w:r>
          </w:p>
        </w:tc>
        <w:tc>
          <w:tcPr>
            <w:tcW w:w="1540" w:type="pct"/>
            <w:tcBorders>
              <w:top w:val="nil"/>
              <w:left w:val="nil"/>
              <w:bottom w:val="single" w:sz="8" w:space="0" w:color="auto"/>
              <w:right w:val="single" w:sz="8" w:space="0" w:color="auto"/>
            </w:tcBorders>
            <w:vAlign w:val="center"/>
            <w:hideMark/>
          </w:tcPr>
          <w:p w14:paraId="5CACAD2D"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1.7</w:t>
            </w:r>
          </w:p>
        </w:tc>
      </w:tr>
      <w:tr w:rsidR="00A11FFD" w:rsidRPr="00944C48" w14:paraId="7329DDB6"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2F258C8C"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10</w:t>
            </w:r>
          </w:p>
        </w:tc>
        <w:tc>
          <w:tcPr>
            <w:tcW w:w="885" w:type="pct"/>
            <w:tcBorders>
              <w:top w:val="nil"/>
              <w:left w:val="nil"/>
              <w:bottom w:val="single" w:sz="8" w:space="0" w:color="auto"/>
              <w:right w:val="single" w:sz="8" w:space="0" w:color="auto"/>
            </w:tcBorders>
            <w:vAlign w:val="center"/>
            <w:hideMark/>
          </w:tcPr>
          <w:p w14:paraId="4E8D9B7E"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Greece</w:t>
            </w:r>
          </w:p>
        </w:tc>
        <w:tc>
          <w:tcPr>
            <w:tcW w:w="1460" w:type="pct"/>
            <w:tcBorders>
              <w:top w:val="nil"/>
              <w:left w:val="nil"/>
              <w:bottom w:val="single" w:sz="8" w:space="0" w:color="auto"/>
              <w:right w:val="single" w:sz="8" w:space="0" w:color="auto"/>
            </w:tcBorders>
            <w:vAlign w:val="center"/>
            <w:hideMark/>
          </w:tcPr>
          <w:p w14:paraId="2993194D"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2</w:t>
            </w:r>
          </w:p>
        </w:tc>
        <w:tc>
          <w:tcPr>
            <w:tcW w:w="1540" w:type="pct"/>
            <w:tcBorders>
              <w:top w:val="nil"/>
              <w:left w:val="nil"/>
              <w:bottom w:val="single" w:sz="8" w:space="0" w:color="auto"/>
              <w:right w:val="single" w:sz="8" w:space="0" w:color="auto"/>
            </w:tcBorders>
            <w:vAlign w:val="center"/>
            <w:hideMark/>
          </w:tcPr>
          <w:p w14:paraId="0B3E615D" w14:textId="77777777" w:rsidR="00A11FFD" w:rsidRPr="00944C48" w:rsidRDefault="00A11FFD" w:rsidP="00560FBB">
            <w:pPr>
              <w:jc w:val="center"/>
              <w:rPr>
                <w:rFonts w:ascii="Times New Roman" w:hAnsi="Times New Roman"/>
                <w:color w:val="000000"/>
                <w:lang w:eastAsia="en-IN"/>
              </w:rPr>
            </w:pPr>
            <w:r w:rsidRPr="00944C48">
              <w:rPr>
                <w:rFonts w:ascii="Times New Roman" w:hAnsi="Times New Roman"/>
                <w:color w:val="000000"/>
                <w:lang w:eastAsia="en-IN"/>
              </w:rPr>
              <w:t>1.7</w:t>
            </w:r>
          </w:p>
        </w:tc>
      </w:tr>
      <w:tr w:rsidR="00A11FFD" w:rsidRPr="00944C48" w14:paraId="0EC6E437" w14:textId="77777777" w:rsidTr="00560FBB">
        <w:trPr>
          <w:trHeight w:val="324"/>
        </w:trPr>
        <w:tc>
          <w:tcPr>
            <w:tcW w:w="1115" w:type="pct"/>
            <w:tcBorders>
              <w:top w:val="nil"/>
              <w:left w:val="single" w:sz="8" w:space="0" w:color="auto"/>
              <w:bottom w:val="single" w:sz="8" w:space="0" w:color="auto"/>
              <w:right w:val="single" w:sz="8" w:space="0" w:color="auto"/>
            </w:tcBorders>
            <w:vAlign w:val="center"/>
            <w:hideMark/>
          </w:tcPr>
          <w:p w14:paraId="282B8069" w14:textId="77777777" w:rsidR="00A11FFD" w:rsidRPr="00944C48" w:rsidRDefault="00A11FFD" w:rsidP="00560FBB">
            <w:pPr>
              <w:jc w:val="center"/>
              <w:rPr>
                <w:rFonts w:ascii="Times New Roman" w:hAnsi="Times New Roman"/>
                <w:b/>
                <w:bCs/>
                <w:color w:val="000000"/>
                <w:lang w:eastAsia="en-IN"/>
              </w:rPr>
            </w:pPr>
            <w:r w:rsidRPr="00944C48">
              <w:rPr>
                <w:rFonts w:ascii="Times New Roman" w:hAnsi="Times New Roman"/>
                <w:b/>
                <w:bCs/>
                <w:color w:val="000000"/>
                <w:lang w:eastAsia="en-IN"/>
              </w:rPr>
              <w:t>Total (top 10)</w:t>
            </w:r>
          </w:p>
        </w:tc>
        <w:tc>
          <w:tcPr>
            <w:tcW w:w="885" w:type="pct"/>
            <w:tcBorders>
              <w:top w:val="nil"/>
              <w:left w:val="nil"/>
              <w:bottom w:val="single" w:sz="8" w:space="0" w:color="auto"/>
              <w:right w:val="single" w:sz="8" w:space="0" w:color="auto"/>
            </w:tcBorders>
            <w:vAlign w:val="bottom"/>
            <w:hideMark/>
          </w:tcPr>
          <w:p w14:paraId="27EA0833" w14:textId="77777777" w:rsidR="00A11FFD" w:rsidRPr="00944C48" w:rsidRDefault="00A11FFD" w:rsidP="00560FBB">
            <w:pPr>
              <w:jc w:val="center"/>
              <w:rPr>
                <w:rFonts w:ascii="Aptos" w:hAnsi="Aptos"/>
                <w:color w:val="000000"/>
                <w:lang w:eastAsia="en-IN"/>
              </w:rPr>
            </w:pPr>
            <w:r w:rsidRPr="00944C48">
              <w:rPr>
                <w:rFonts w:ascii="Aptos" w:hAnsi="Aptos"/>
                <w:color w:val="000000"/>
                <w:lang w:eastAsia="en-IN"/>
              </w:rPr>
              <w:t> </w:t>
            </w:r>
          </w:p>
        </w:tc>
        <w:tc>
          <w:tcPr>
            <w:tcW w:w="1460" w:type="pct"/>
            <w:tcBorders>
              <w:top w:val="nil"/>
              <w:left w:val="nil"/>
              <w:bottom w:val="single" w:sz="8" w:space="0" w:color="auto"/>
              <w:right w:val="single" w:sz="8" w:space="0" w:color="auto"/>
            </w:tcBorders>
            <w:vAlign w:val="center"/>
            <w:hideMark/>
          </w:tcPr>
          <w:p w14:paraId="58494E03" w14:textId="77777777" w:rsidR="00A11FFD" w:rsidRPr="00944C48" w:rsidRDefault="00A11FFD" w:rsidP="00560FBB">
            <w:pPr>
              <w:jc w:val="center"/>
              <w:rPr>
                <w:rFonts w:ascii="Times New Roman" w:hAnsi="Times New Roman"/>
                <w:b/>
                <w:bCs/>
                <w:color w:val="000000"/>
                <w:lang w:eastAsia="en-IN"/>
              </w:rPr>
            </w:pPr>
            <w:r w:rsidRPr="00944C48">
              <w:rPr>
                <w:rFonts w:ascii="Times New Roman" w:hAnsi="Times New Roman"/>
                <w:b/>
                <w:bCs/>
                <w:color w:val="000000"/>
                <w:lang w:eastAsia="en-IN"/>
              </w:rPr>
              <w:t>108</w:t>
            </w:r>
          </w:p>
        </w:tc>
        <w:tc>
          <w:tcPr>
            <w:tcW w:w="1540" w:type="pct"/>
            <w:tcBorders>
              <w:top w:val="nil"/>
              <w:left w:val="nil"/>
              <w:bottom w:val="single" w:sz="8" w:space="0" w:color="auto"/>
              <w:right w:val="single" w:sz="8" w:space="0" w:color="auto"/>
            </w:tcBorders>
            <w:vAlign w:val="center"/>
            <w:hideMark/>
          </w:tcPr>
          <w:p w14:paraId="0F42BFDB" w14:textId="77777777" w:rsidR="00A11FFD" w:rsidRPr="00944C48" w:rsidRDefault="00A11FFD" w:rsidP="00560FBB">
            <w:pPr>
              <w:jc w:val="center"/>
              <w:rPr>
                <w:rFonts w:ascii="Times New Roman" w:hAnsi="Times New Roman"/>
                <w:b/>
                <w:bCs/>
                <w:color w:val="000000"/>
                <w:lang w:eastAsia="en-IN"/>
              </w:rPr>
            </w:pPr>
            <w:r w:rsidRPr="00944C48">
              <w:rPr>
                <w:rFonts w:ascii="Times New Roman" w:hAnsi="Times New Roman"/>
                <w:b/>
                <w:bCs/>
                <w:color w:val="000000"/>
                <w:lang w:eastAsia="en-IN"/>
              </w:rPr>
              <w:t>89.3</w:t>
            </w:r>
          </w:p>
        </w:tc>
      </w:tr>
    </w:tbl>
    <w:p w14:paraId="7F2DD989" w14:textId="77777777" w:rsidR="00A11FFD" w:rsidRDefault="00A11FFD" w:rsidP="00A11FFD">
      <w:pPr>
        <w:jc w:val="both"/>
        <w:rPr>
          <w:rFonts w:ascii="Times New Roman" w:hAnsi="Times New Roman"/>
        </w:rPr>
      </w:pPr>
      <w:r w:rsidRPr="00E22540">
        <w:rPr>
          <w:rFonts w:ascii="Times New Roman" w:hAnsi="Times New Roman"/>
        </w:rPr>
        <w:t xml:space="preserve">Note: N = 121. Source: </w:t>
      </w:r>
      <w:r w:rsidRPr="00334D91">
        <w:rPr>
          <w:rFonts w:ascii="Times New Roman" w:hAnsi="Times New Roman"/>
        </w:rPr>
        <w:t xml:space="preserve">Author's refined </w:t>
      </w:r>
      <w:proofErr w:type="gramStart"/>
      <w:r w:rsidRPr="00334D91">
        <w:rPr>
          <w:rFonts w:ascii="Times New Roman" w:hAnsi="Times New Roman"/>
        </w:rPr>
        <w:t>datasets</w:t>
      </w:r>
      <w:r w:rsidRPr="00E22540">
        <w:rPr>
          <w:rFonts w:ascii="Times New Roman" w:hAnsi="Times New Roman"/>
        </w:rPr>
        <w:t>.​</w:t>
      </w:r>
      <w:proofErr w:type="gramEnd"/>
    </w:p>
    <w:p w14:paraId="1CFF4885" w14:textId="77777777" w:rsidR="00A11FFD" w:rsidRDefault="00A11FFD" w:rsidP="00A11FFD">
      <w:pPr>
        <w:jc w:val="both"/>
        <w:rPr>
          <w:rFonts w:ascii="Times New Roman" w:hAnsi="Times New Roman"/>
        </w:rPr>
      </w:pPr>
      <w:r w:rsidRPr="00E22540">
        <w:rPr>
          <w:rFonts w:ascii="Times New Roman" w:hAnsi="Times New Roman"/>
          <w:b/>
          <w:bCs/>
        </w:rPr>
        <w:t>Table 3</w:t>
      </w:r>
      <w:r w:rsidRPr="00E22540">
        <w:rPr>
          <w:rFonts w:ascii="Times New Roman" w:hAnsi="Times New Roman"/>
        </w:rPr>
        <w:t> lists the top 10 contributing countries. This distribution reflects the institutional strength of accounting research in established financial centres, as well as the global influence of UK and US professional bodies such as ICAEW, ACCA and AICPA. The presence of Ukraine and other Eastern European countries points to growing interest in post</w:t>
      </w:r>
      <w:r w:rsidRPr="00E22540">
        <w:rPr>
          <w:rFonts w:ascii="Times New Roman" w:hAnsi="Times New Roman"/>
        </w:rPr>
        <w:noBreakHyphen/>
        <w:t xml:space="preserve">transition accounting reforms and </w:t>
      </w:r>
      <w:proofErr w:type="gramStart"/>
      <w:r w:rsidRPr="00E22540">
        <w:rPr>
          <w:rFonts w:ascii="Times New Roman" w:hAnsi="Times New Roman"/>
        </w:rPr>
        <w:t>governance.​</w:t>
      </w:r>
      <w:proofErr w:type="gramEnd"/>
    </w:p>
    <w:p w14:paraId="088DD197" w14:textId="77777777" w:rsidR="00A11FFD" w:rsidRDefault="00A11FFD" w:rsidP="00A11FFD">
      <w:pPr>
        <w:jc w:val="both"/>
        <w:rPr>
          <w:rFonts w:ascii="Times New Roman" w:hAnsi="Times New Roman"/>
        </w:rPr>
      </w:pPr>
      <w:r>
        <w:rPr>
          <w:rFonts w:ascii="Times New Roman" w:hAnsi="Times New Roman"/>
        </w:rPr>
        <w:t>Figure 3:</w:t>
      </w:r>
      <w:r w:rsidRPr="00145937">
        <w:t xml:space="preserve"> </w:t>
      </w:r>
      <w:r w:rsidRPr="00145937">
        <w:rPr>
          <w:rFonts w:ascii="Times New Roman" w:hAnsi="Times New Roman"/>
        </w:rPr>
        <w:t>Geographical distribution</w:t>
      </w:r>
    </w:p>
    <w:p w14:paraId="43AE34F8" w14:textId="77777777" w:rsidR="00A11FFD" w:rsidRPr="00E22540" w:rsidRDefault="00A11FFD" w:rsidP="00A11FFD">
      <w:pPr>
        <w:jc w:val="center"/>
        <w:rPr>
          <w:rFonts w:ascii="Times New Roman" w:hAnsi="Times New Roman"/>
        </w:rPr>
      </w:pPr>
      <w:r>
        <w:rPr>
          <w:noProof/>
        </w:rPr>
        <w:lastRenderedPageBreak/>
        <w:drawing>
          <wp:inline distT="0" distB="0" distL="0" distR="0" wp14:anchorId="3230FB3A" wp14:editId="1C22A65B">
            <wp:extent cx="4572000" cy="2743200"/>
            <wp:effectExtent l="0" t="0" r="0" b="0"/>
            <wp:docPr id="1834215691" name="Chart 1">
              <a:extLst xmlns:a="http://schemas.openxmlformats.org/drawingml/2006/main">
                <a:ext uri="{FF2B5EF4-FFF2-40B4-BE49-F238E27FC236}">
                  <a16:creationId xmlns:a16="http://schemas.microsoft.com/office/drawing/2014/main" id="{FAC0DE37-36CD-4939-BF03-192D69531D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D32E0E5" w14:textId="77777777" w:rsidR="00A11FFD" w:rsidRPr="00E22540" w:rsidRDefault="00A11FFD" w:rsidP="00A11FFD">
      <w:pPr>
        <w:jc w:val="both"/>
        <w:rPr>
          <w:rFonts w:ascii="Times New Roman" w:hAnsi="Times New Roman"/>
          <w:b/>
          <w:bCs/>
        </w:rPr>
      </w:pPr>
      <w:r>
        <w:rPr>
          <w:rFonts w:ascii="Times New Roman" w:hAnsi="Times New Roman"/>
          <w:b/>
          <w:bCs/>
        </w:rPr>
        <w:t>4</w:t>
      </w:r>
      <w:r w:rsidRPr="00E22540">
        <w:rPr>
          <w:rFonts w:ascii="Times New Roman" w:hAnsi="Times New Roman"/>
          <w:b/>
          <w:bCs/>
        </w:rPr>
        <w:t>.3 Journal outlets and open access prevalence</w:t>
      </w:r>
    </w:p>
    <w:p w14:paraId="73EA59A6" w14:textId="77777777" w:rsidR="00A11FFD" w:rsidRPr="00663464" w:rsidRDefault="00A11FFD" w:rsidP="00A11FFD">
      <w:pPr>
        <w:jc w:val="both"/>
        <w:rPr>
          <w:rFonts w:ascii="Times New Roman" w:hAnsi="Times New Roman"/>
        </w:rPr>
      </w:pPr>
      <w:r w:rsidRPr="00663464">
        <w:rPr>
          <w:rFonts w:ascii="Times New Roman" w:hAnsi="Times New Roman"/>
        </w:rPr>
        <w:t>CA research is disseminated in numerous journals, predominantly within the fields of accounting and business. Accounting and Business Research and Corporate Ownership and Control each published 8 articles (6.6% each), followed by Investment Management and Financial Innovations, Australasian Business, Accounting and Finance Journal, Revista de Contabilidad, and South African Journal of Economic and Management Sciences, each with 4 articles (3.3%). Other notable publications include the Australian Accounting Review, Accounting Education, Critical Perspectives on Accounting, and the Accounting, Auditing &amp; Accountability Journal, each including three articles.</w:t>
      </w:r>
    </w:p>
    <w:p w14:paraId="007E38CF" w14:textId="77777777" w:rsidR="00A11FFD" w:rsidRPr="00E22540" w:rsidRDefault="00A11FFD" w:rsidP="00A11FFD">
      <w:pPr>
        <w:jc w:val="both"/>
        <w:rPr>
          <w:rFonts w:ascii="Times New Roman" w:hAnsi="Times New Roman"/>
        </w:rPr>
      </w:pPr>
      <w:r w:rsidRPr="00E22540">
        <w:rPr>
          <w:rFonts w:ascii="Times New Roman" w:hAnsi="Times New Roman"/>
          <w:b/>
          <w:bCs/>
        </w:rPr>
        <w:t>Table 4</w:t>
      </w:r>
      <w:r w:rsidRPr="00E22540">
        <w:rPr>
          <w:rFonts w:ascii="Times New Roman" w:hAnsi="Times New Roman"/>
        </w:rPr>
        <w:t> presents the top 10 journals. These outlets span core accounting journals, interdisciplinary business journals and region</w:t>
      </w:r>
      <w:r w:rsidRPr="00E22540">
        <w:rPr>
          <w:rFonts w:ascii="Times New Roman" w:hAnsi="Times New Roman"/>
        </w:rPr>
        <w:noBreakHyphen/>
        <w:t xml:space="preserve">specific publications, indicating the broad appeal of CA profession </w:t>
      </w:r>
      <w:proofErr w:type="gramStart"/>
      <w:r w:rsidRPr="00E22540">
        <w:rPr>
          <w:rFonts w:ascii="Times New Roman" w:hAnsi="Times New Roman"/>
        </w:rPr>
        <w:t>research.​</w:t>
      </w:r>
      <w:proofErr w:type="gramEnd"/>
    </w:p>
    <w:p w14:paraId="05560849" w14:textId="77777777" w:rsidR="00A11FFD" w:rsidRPr="00944C48" w:rsidRDefault="00A11FFD" w:rsidP="00A11FFD">
      <w:pPr>
        <w:jc w:val="both"/>
        <w:rPr>
          <w:rFonts w:ascii="Times New Roman" w:hAnsi="Times New Roman"/>
          <w:b/>
          <w:bCs/>
        </w:rPr>
      </w:pPr>
      <w:r w:rsidRPr="00E22540">
        <w:rPr>
          <w:rFonts w:ascii="Times New Roman" w:hAnsi="Times New Roman"/>
          <w:b/>
          <w:bCs/>
        </w:rPr>
        <w:t xml:space="preserve">Table 4. </w:t>
      </w:r>
      <w:r w:rsidRPr="00944C48">
        <w:rPr>
          <w:rFonts w:ascii="Times New Roman" w:hAnsi="Times New Roman"/>
          <w:b/>
          <w:bCs/>
        </w:rPr>
        <w:t>Leading Publication Outlets (Top 10 Journals)</w:t>
      </w:r>
    </w:p>
    <w:tbl>
      <w:tblPr>
        <w:tblW w:w="5000" w:type="pct"/>
        <w:tblLook w:val="04A0" w:firstRow="1" w:lastRow="0" w:firstColumn="1" w:lastColumn="0" w:noHBand="0" w:noVBand="1"/>
      </w:tblPr>
      <w:tblGrid>
        <w:gridCol w:w="1279"/>
        <w:gridCol w:w="6035"/>
        <w:gridCol w:w="1730"/>
        <w:gridCol w:w="1972"/>
      </w:tblGrid>
      <w:tr w:rsidR="00A11FFD" w:rsidRPr="00C657F6" w14:paraId="0CA47EDA" w14:textId="77777777" w:rsidTr="00560FBB">
        <w:trPr>
          <w:trHeight w:val="324"/>
        </w:trPr>
        <w:tc>
          <w:tcPr>
            <w:tcW w:w="581" w:type="pct"/>
            <w:tcBorders>
              <w:top w:val="single" w:sz="8" w:space="0" w:color="auto"/>
              <w:left w:val="single" w:sz="8" w:space="0" w:color="auto"/>
              <w:bottom w:val="single" w:sz="8" w:space="0" w:color="auto"/>
              <w:right w:val="single" w:sz="8" w:space="0" w:color="auto"/>
            </w:tcBorders>
            <w:vAlign w:val="center"/>
            <w:hideMark/>
          </w:tcPr>
          <w:p w14:paraId="50889D01"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Rank</w:t>
            </w:r>
          </w:p>
        </w:tc>
        <w:tc>
          <w:tcPr>
            <w:tcW w:w="2739" w:type="pct"/>
            <w:tcBorders>
              <w:top w:val="single" w:sz="8" w:space="0" w:color="auto"/>
              <w:left w:val="nil"/>
              <w:bottom w:val="single" w:sz="8" w:space="0" w:color="auto"/>
              <w:right w:val="single" w:sz="8" w:space="0" w:color="auto"/>
            </w:tcBorders>
            <w:vAlign w:val="center"/>
            <w:hideMark/>
          </w:tcPr>
          <w:p w14:paraId="23FC1573"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Journal Title</w:t>
            </w:r>
          </w:p>
        </w:tc>
        <w:tc>
          <w:tcPr>
            <w:tcW w:w="785" w:type="pct"/>
            <w:tcBorders>
              <w:top w:val="single" w:sz="8" w:space="0" w:color="auto"/>
              <w:left w:val="nil"/>
              <w:bottom w:val="single" w:sz="8" w:space="0" w:color="auto"/>
              <w:right w:val="single" w:sz="8" w:space="0" w:color="auto"/>
            </w:tcBorders>
            <w:vAlign w:val="center"/>
            <w:hideMark/>
          </w:tcPr>
          <w:p w14:paraId="18CFAE74"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Articles</w:t>
            </w:r>
          </w:p>
        </w:tc>
        <w:tc>
          <w:tcPr>
            <w:tcW w:w="895" w:type="pct"/>
            <w:tcBorders>
              <w:top w:val="single" w:sz="8" w:space="0" w:color="auto"/>
              <w:left w:val="nil"/>
              <w:bottom w:val="single" w:sz="8" w:space="0" w:color="auto"/>
              <w:right w:val="single" w:sz="8" w:space="0" w:color="auto"/>
            </w:tcBorders>
            <w:vAlign w:val="center"/>
            <w:hideMark/>
          </w:tcPr>
          <w:p w14:paraId="72644B2A"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Share (%)</w:t>
            </w:r>
          </w:p>
        </w:tc>
      </w:tr>
      <w:tr w:rsidR="00A11FFD" w:rsidRPr="00C657F6" w14:paraId="23A849C0" w14:textId="77777777" w:rsidTr="00560FBB">
        <w:trPr>
          <w:trHeight w:val="324"/>
        </w:trPr>
        <w:tc>
          <w:tcPr>
            <w:tcW w:w="581" w:type="pct"/>
            <w:tcBorders>
              <w:top w:val="nil"/>
              <w:left w:val="single" w:sz="8" w:space="0" w:color="auto"/>
              <w:bottom w:val="single" w:sz="8" w:space="0" w:color="auto"/>
              <w:right w:val="single" w:sz="8" w:space="0" w:color="auto"/>
            </w:tcBorders>
            <w:vAlign w:val="center"/>
            <w:hideMark/>
          </w:tcPr>
          <w:p w14:paraId="1DA31696"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1</w:t>
            </w:r>
          </w:p>
        </w:tc>
        <w:tc>
          <w:tcPr>
            <w:tcW w:w="2739" w:type="pct"/>
            <w:tcBorders>
              <w:top w:val="nil"/>
              <w:left w:val="nil"/>
              <w:bottom w:val="single" w:sz="8" w:space="0" w:color="auto"/>
              <w:right w:val="single" w:sz="8" w:space="0" w:color="auto"/>
            </w:tcBorders>
            <w:vAlign w:val="center"/>
            <w:hideMark/>
          </w:tcPr>
          <w:p w14:paraId="14A64479"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Accounting and Business Research</w:t>
            </w:r>
          </w:p>
        </w:tc>
        <w:tc>
          <w:tcPr>
            <w:tcW w:w="785" w:type="pct"/>
            <w:tcBorders>
              <w:top w:val="nil"/>
              <w:left w:val="nil"/>
              <w:bottom w:val="single" w:sz="8" w:space="0" w:color="auto"/>
              <w:right w:val="single" w:sz="8" w:space="0" w:color="auto"/>
            </w:tcBorders>
            <w:vAlign w:val="center"/>
            <w:hideMark/>
          </w:tcPr>
          <w:p w14:paraId="499D907A"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8</w:t>
            </w:r>
          </w:p>
        </w:tc>
        <w:tc>
          <w:tcPr>
            <w:tcW w:w="895" w:type="pct"/>
            <w:tcBorders>
              <w:top w:val="nil"/>
              <w:left w:val="nil"/>
              <w:bottom w:val="single" w:sz="8" w:space="0" w:color="auto"/>
              <w:right w:val="single" w:sz="8" w:space="0" w:color="auto"/>
            </w:tcBorders>
            <w:vAlign w:val="center"/>
            <w:hideMark/>
          </w:tcPr>
          <w:p w14:paraId="3CBC6CD7"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6.6</w:t>
            </w:r>
          </w:p>
        </w:tc>
      </w:tr>
      <w:tr w:rsidR="00A11FFD" w:rsidRPr="00C657F6" w14:paraId="0F873349" w14:textId="77777777" w:rsidTr="00560FBB">
        <w:trPr>
          <w:trHeight w:val="324"/>
        </w:trPr>
        <w:tc>
          <w:tcPr>
            <w:tcW w:w="581" w:type="pct"/>
            <w:tcBorders>
              <w:top w:val="nil"/>
              <w:left w:val="single" w:sz="8" w:space="0" w:color="auto"/>
              <w:bottom w:val="single" w:sz="8" w:space="0" w:color="auto"/>
              <w:right w:val="single" w:sz="8" w:space="0" w:color="auto"/>
            </w:tcBorders>
            <w:vAlign w:val="center"/>
            <w:hideMark/>
          </w:tcPr>
          <w:p w14:paraId="0A2215D5"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2</w:t>
            </w:r>
          </w:p>
        </w:tc>
        <w:tc>
          <w:tcPr>
            <w:tcW w:w="2739" w:type="pct"/>
            <w:tcBorders>
              <w:top w:val="nil"/>
              <w:left w:val="nil"/>
              <w:bottom w:val="single" w:sz="8" w:space="0" w:color="auto"/>
              <w:right w:val="single" w:sz="8" w:space="0" w:color="auto"/>
            </w:tcBorders>
            <w:vAlign w:val="center"/>
            <w:hideMark/>
          </w:tcPr>
          <w:p w14:paraId="58AC4001"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Corporate Ownership and Control</w:t>
            </w:r>
          </w:p>
        </w:tc>
        <w:tc>
          <w:tcPr>
            <w:tcW w:w="785" w:type="pct"/>
            <w:tcBorders>
              <w:top w:val="nil"/>
              <w:left w:val="nil"/>
              <w:bottom w:val="single" w:sz="8" w:space="0" w:color="auto"/>
              <w:right w:val="single" w:sz="8" w:space="0" w:color="auto"/>
            </w:tcBorders>
            <w:vAlign w:val="center"/>
            <w:hideMark/>
          </w:tcPr>
          <w:p w14:paraId="632045F8"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8</w:t>
            </w:r>
          </w:p>
        </w:tc>
        <w:tc>
          <w:tcPr>
            <w:tcW w:w="895" w:type="pct"/>
            <w:tcBorders>
              <w:top w:val="nil"/>
              <w:left w:val="nil"/>
              <w:bottom w:val="single" w:sz="8" w:space="0" w:color="auto"/>
              <w:right w:val="single" w:sz="8" w:space="0" w:color="auto"/>
            </w:tcBorders>
            <w:vAlign w:val="center"/>
            <w:hideMark/>
          </w:tcPr>
          <w:p w14:paraId="6829329A"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6.6</w:t>
            </w:r>
          </w:p>
        </w:tc>
      </w:tr>
      <w:tr w:rsidR="00A11FFD" w:rsidRPr="00C657F6" w14:paraId="711C80E6" w14:textId="77777777" w:rsidTr="00560FBB">
        <w:trPr>
          <w:trHeight w:val="636"/>
        </w:trPr>
        <w:tc>
          <w:tcPr>
            <w:tcW w:w="581" w:type="pct"/>
            <w:tcBorders>
              <w:top w:val="nil"/>
              <w:left w:val="single" w:sz="8" w:space="0" w:color="auto"/>
              <w:bottom w:val="single" w:sz="8" w:space="0" w:color="auto"/>
              <w:right w:val="single" w:sz="8" w:space="0" w:color="auto"/>
            </w:tcBorders>
            <w:vAlign w:val="center"/>
            <w:hideMark/>
          </w:tcPr>
          <w:p w14:paraId="50C73C3A"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w:t>
            </w:r>
          </w:p>
        </w:tc>
        <w:tc>
          <w:tcPr>
            <w:tcW w:w="2739" w:type="pct"/>
            <w:tcBorders>
              <w:top w:val="nil"/>
              <w:left w:val="nil"/>
              <w:bottom w:val="single" w:sz="8" w:space="0" w:color="auto"/>
              <w:right w:val="single" w:sz="8" w:space="0" w:color="auto"/>
            </w:tcBorders>
            <w:vAlign w:val="center"/>
            <w:hideMark/>
          </w:tcPr>
          <w:p w14:paraId="065E6C91"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Investment Management and Financial Innovations</w:t>
            </w:r>
          </w:p>
        </w:tc>
        <w:tc>
          <w:tcPr>
            <w:tcW w:w="785" w:type="pct"/>
            <w:tcBorders>
              <w:top w:val="nil"/>
              <w:left w:val="nil"/>
              <w:bottom w:val="single" w:sz="8" w:space="0" w:color="auto"/>
              <w:right w:val="single" w:sz="8" w:space="0" w:color="auto"/>
            </w:tcBorders>
            <w:vAlign w:val="center"/>
            <w:hideMark/>
          </w:tcPr>
          <w:p w14:paraId="6F77B4F0"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4</w:t>
            </w:r>
          </w:p>
        </w:tc>
        <w:tc>
          <w:tcPr>
            <w:tcW w:w="895" w:type="pct"/>
            <w:tcBorders>
              <w:top w:val="nil"/>
              <w:left w:val="nil"/>
              <w:bottom w:val="single" w:sz="8" w:space="0" w:color="auto"/>
              <w:right w:val="single" w:sz="8" w:space="0" w:color="auto"/>
            </w:tcBorders>
            <w:vAlign w:val="center"/>
            <w:hideMark/>
          </w:tcPr>
          <w:p w14:paraId="5E655937"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3.3</w:t>
            </w:r>
          </w:p>
        </w:tc>
      </w:tr>
      <w:tr w:rsidR="00A11FFD" w:rsidRPr="00C657F6" w14:paraId="7D4000A3" w14:textId="77777777" w:rsidTr="00560FBB">
        <w:trPr>
          <w:trHeight w:val="636"/>
        </w:trPr>
        <w:tc>
          <w:tcPr>
            <w:tcW w:w="581" w:type="pct"/>
            <w:tcBorders>
              <w:top w:val="nil"/>
              <w:left w:val="single" w:sz="8" w:space="0" w:color="auto"/>
              <w:bottom w:val="single" w:sz="8" w:space="0" w:color="auto"/>
              <w:right w:val="single" w:sz="8" w:space="0" w:color="auto"/>
            </w:tcBorders>
            <w:vAlign w:val="center"/>
            <w:hideMark/>
          </w:tcPr>
          <w:p w14:paraId="6D89E34D"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4</w:t>
            </w:r>
          </w:p>
        </w:tc>
        <w:tc>
          <w:tcPr>
            <w:tcW w:w="2739" w:type="pct"/>
            <w:tcBorders>
              <w:top w:val="nil"/>
              <w:left w:val="nil"/>
              <w:bottom w:val="single" w:sz="8" w:space="0" w:color="auto"/>
              <w:right w:val="single" w:sz="8" w:space="0" w:color="auto"/>
            </w:tcBorders>
            <w:vAlign w:val="center"/>
            <w:hideMark/>
          </w:tcPr>
          <w:p w14:paraId="5DE1E29A"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Australasian Business, Accounting and Finance Journal</w:t>
            </w:r>
          </w:p>
        </w:tc>
        <w:tc>
          <w:tcPr>
            <w:tcW w:w="785" w:type="pct"/>
            <w:tcBorders>
              <w:top w:val="nil"/>
              <w:left w:val="nil"/>
              <w:bottom w:val="single" w:sz="8" w:space="0" w:color="auto"/>
              <w:right w:val="single" w:sz="8" w:space="0" w:color="auto"/>
            </w:tcBorders>
            <w:vAlign w:val="center"/>
            <w:hideMark/>
          </w:tcPr>
          <w:p w14:paraId="3DBF21DC"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4</w:t>
            </w:r>
          </w:p>
        </w:tc>
        <w:tc>
          <w:tcPr>
            <w:tcW w:w="895" w:type="pct"/>
            <w:tcBorders>
              <w:top w:val="nil"/>
              <w:left w:val="nil"/>
              <w:bottom w:val="single" w:sz="8" w:space="0" w:color="auto"/>
              <w:right w:val="single" w:sz="8" w:space="0" w:color="auto"/>
            </w:tcBorders>
            <w:vAlign w:val="center"/>
            <w:hideMark/>
          </w:tcPr>
          <w:p w14:paraId="6882CEAF"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3.3</w:t>
            </w:r>
          </w:p>
        </w:tc>
      </w:tr>
      <w:tr w:rsidR="00A11FFD" w:rsidRPr="00C657F6" w14:paraId="7CD1E921" w14:textId="77777777" w:rsidTr="00560FBB">
        <w:trPr>
          <w:trHeight w:val="324"/>
        </w:trPr>
        <w:tc>
          <w:tcPr>
            <w:tcW w:w="581" w:type="pct"/>
            <w:tcBorders>
              <w:top w:val="nil"/>
              <w:left w:val="single" w:sz="8" w:space="0" w:color="auto"/>
              <w:bottom w:val="single" w:sz="8" w:space="0" w:color="auto"/>
              <w:right w:val="single" w:sz="8" w:space="0" w:color="auto"/>
            </w:tcBorders>
            <w:vAlign w:val="center"/>
            <w:hideMark/>
          </w:tcPr>
          <w:p w14:paraId="1B657117"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5</w:t>
            </w:r>
          </w:p>
        </w:tc>
        <w:tc>
          <w:tcPr>
            <w:tcW w:w="2739" w:type="pct"/>
            <w:tcBorders>
              <w:top w:val="nil"/>
              <w:left w:val="nil"/>
              <w:bottom w:val="single" w:sz="8" w:space="0" w:color="auto"/>
              <w:right w:val="single" w:sz="8" w:space="0" w:color="auto"/>
            </w:tcBorders>
            <w:vAlign w:val="center"/>
            <w:hideMark/>
          </w:tcPr>
          <w:p w14:paraId="1DB04D35"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Revista de Contabilidad</w:t>
            </w:r>
          </w:p>
        </w:tc>
        <w:tc>
          <w:tcPr>
            <w:tcW w:w="785" w:type="pct"/>
            <w:tcBorders>
              <w:top w:val="nil"/>
              <w:left w:val="nil"/>
              <w:bottom w:val="single" w:sz="8" w:space="0" w:color="auto"/>
              <w:right w:val="single" w:sz="8" w:space="0" w:color="auto"/>
            </w:tcBorders>
            <w:vAlign w:val="center"/>
            <w:hideMark/>
          </w:tcPr>
          <w:p w14:paraId="0F8EB988"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4</w:t>
            </w:r>
          </w:p>
        </w:tc>
        <w:tc>
          <w:tcPr>
            <w:tcW w:w="895" w:type="pct"/>
            <w:tcBorders>
              <w:top w:val="nil"/>
              <w:left w:val="nil"/>
              <w:bottom w:val="single" w:sz="8" w:space="0" w:color="auto"/>
              <w:right w:val="single" w:sz="8" w:space="0" w:color="auto"/>
            </w:tcBorders>
            <w:vAlign w:val="center"/>
            <w:hideMark/>
          </w:tcPr>
          <w:p w14:paraId="7170509F"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3.3</w:t>
            </w:r>
          </w:p>
        </w:tc>
      </w:tr>
      <w:tr w:rsidR="00A11FFD" w:rsidRPr="00C657F6" w14:paraId="3ED97D29" w14:textId="77777777" w:rsidTr="00560FBB">
        <w:trPr>
          <w:trHeight w:val="636"/>
        </w:trPr>
        <w:tc>
          <w:tcPr>
            <w:tcW w:w="581" w:type="pct"/>
            <w:tcBorders>
              <w:top w:val="nil"/>
              <w:left w:val="single" w:sz="8" w:space="0" w:color="auto"/>
              <w:bottom w:val="single" w:sz="8" w:space="0" w:color="auto"/>
              <w:right w:val="single" w:sz="8" w:space="0" w:color="auto"/>
            </w:tcBorders>
            <w:vAlign w:val="center"/>
            <w:hideMark/>
          </w:tcPr>
          <w:p w14:paraId="1BE9A37B"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6</w:t>
            </w:r>
          </w:p>
        </w:tc>
        <w:tc>
          <w:tcPr>
            <w:tcW w:w="2739" w:type="pct"/>
            <w:tcBorders>
              <w:top w:val="nil"/>
              <w:left w:val="nil"/>
              <w:bottom w:val="single" w:sz="8" w:space="0" w:color="auto"/>
              <w:right w:val="single" w:sz="8" w:space="0" w:color="auto"/>
            </w:tcBorders>
            <w:vAlign w:val="center"/>
            <w:hideMark/>
          </w:tcPr>
          <w:p w14:paraId="6D316F56"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South African Journal of Economic and Management Sciences</w:t>
            </w:r>
          </w:p>
        </w:tc>
        <w:tc>
          <w:tcPr>
            <w:tcW w:w="785" w:type="pct"/>
            <w:tcBorders>
              <w:top w:val="nil"/>
              <w:left w:val="nil"/>
              <w:bottom w:val="single" w:sz="8" w:space="0" w:color="auto"/>
              <w:right w:val="single" w:sz="8" w:space="0" w:color="auto"/>
            </w:tcBorders>
            <w:vAlign w:val="center"/>
            <w:hideMark/>
          </w:tcPr>
          <w:p w14:paraId="1C89254A"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4</w:t>
            </w:r>
          </w:p>
        </w:tc>
        <w:tc>
          <w:tcPr>
            <w:tcW w:w="895" w:type="pct"/>
            <w:tcBorders>
              <w:top w:val="nil"/>
              <w:left w:val="nil"/>
              <w:bottom w:val="single" w:sz="8" w:space="0" w:color="auto"/>
              <w:right w:val="single" w:sz="8" w:space="0" w:color="auto"/>
            </w:tcBorders>
            <w:vAlign w:val="center"/>
            <w:hideMark/>
          </w:tcPr>
          <w:p w14:paraId="546842DA"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3.3</w:t>
            </w:r>
          </w:p>
        </w:tc>
      </w:tr>
      <w:tr w:rsidR="00A11FFD" w:rsidRPr="00C657F6" w14:paraId="5525838C" w14:textId="77777777" w:rsidTr="00560FBB">
        <w:trPr>
          <w:trHeight w:val="324"/>
        </w:trPr>
        <w:tc>
          <w:tcPr>
            <w:tcW w:w="581" w:type="pct"/>
            <w:tcBorders>
              <w:top w:val="nil"/>
              <w:left w:val="single" w:sz="8" w:space="0" w:color="auto"/>
              <w:bottom w:val="single" w:sz="8" w:space="0" w:color="auto"/>
              <w:right w:val="single" w:sz="8" w:space="0" w:color="auto"/>
            </w:tcBorders>
            <w:vAlign w:val="center"/>
            <w:hideMark/>
          </w:tcPr>
          <w:p w14:paraId="38A3712D"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7</w:t>
            </w:r>
          </w:p>
        </w:tc>
        <w:tc>
          <w:tcPr>
            <w:tcW w:w="2739" w:type="pct"/>
            <w:tcBorders>
              <w:top w:val="nil"/>
              <w:left w:val="nil"/>
              <w:bottom w:val="single" w:sz="8" w:space="0" w:color="auto"/>
              <w:right w:val="single" w:sz="8" w:space="0" w:color="auto"/>
            </w:tcBorders>
            <w:vAlign w:val="center"/>
            <w:hideMark/>
          </w:tcPr>
          <w:p w14:paraId="713998AC"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Australian Accounting Review</w:t>
            </w:r>
          </w:p>
        </w:tc>
        <w:tc>
          <w:tcPr>
            <w:tcW w:w="785" w:type="pct"/>
            <w:tcBorders>
              <w:top w:val="nil"/>
              <w:left w:val="nil"/>
              <w:bottom w:val="single" w:sz="8" w:space="0" w:color="auto"/>
              <w:right w:val="single" w:sz="8" w:space="0" w:color="auto"/>
            </w:tcBorders>
            <w:vAlign w:val="center"/>
            <w:hideMark/>
          </w:tcPr>
          <w:p w14:paraId="49A2E9B5"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w:t>
            </w:r>
          </w:p>
        </w:tc>
        <w:tc>
          <w:tcPr>
            <w:tcW w:w="895" w:type="pct"/>
            <w:tcBorders>
              <w:top w:val="nil"/>
              <w:left w:val="nil"/>
              <w:bottom w:val="single" w:sz="8" w:space="0" w:color="auto"/>
              <w:right w:val="single" w:sz="8" w:space="0" w:color="auto"/>
            </w:tcBorders>
            <w:vAlign w:val="center"/>
            <w:hideMark/>
          </w:tcPr>
          <w:p w14:paraId="09EC9BE6"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2.5</w:t>
            </w:r>
          </w:p>
        </w:tc>
      </w:tr>
      <w:tr w:rsidR="00A11FFD" w:rsidRPr="00C657F6" w14:paraId="1AD6FF88" w14:textId="77777777" w:rsidTr="00560FBB">
        <w:trPr>
          <w:trHeight w:val="324"/>
        </w:trPr>
        <w:tc>
          <w:tcPr>
            <w:tcW w:w="581" w:type="pct"/>
            <w:tcBorders>
              <w:top w:val="nil"/>
              <w:left w:val="single" w:sz="8" w:space="0" w:color="auto"/>
              <w:bottom w:val="single" w:sz="8" w:space="0" w:color="auto"/>
              <w:right w:val="single" w:sz="8" w:space="0" w:color="auto"/>
            </w:tcBorders>
            <w:vAlign w:val="center"/>
            <w:hideMark/>
          </w:tcPr>
          <w:p w14:paraId="1B346628"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8</w:t>
            </w:r>
          </w:p>
        </w:tc>
        <w:tc>
          <w:tcPr>
            <w:tcW w:w="2739" w:type="pct"/>
            <w:tcBorders>
              <w:top w:val="nil"/>
              <w:left w:val="nil"/>
              <w:bottom w:val="single" w:sz="8" w:space="0" w:color="auto"/>
              <w:right w:val="single" w:sz="8" w:space="0" w:color="auto"/>
            </w:tcBorders>
            <w:vAlign w:val="center"/>
            <w:hideMark/>
          </w:tcPr>
          <w:p w14:paraId="443FCD45"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Accounting Education</w:t>
            </w:r>
          </w:p>
        </w:tc>
        <w:tc>
          <w:tcPr>
            <w:tcW w:w="785" w:type="pct"/>
            <w:tcBorders>
              <w:top w:val="nil"/>
              <w:left w:val="nil"/>
              <w:bottom w:val="single" w:sz="8" w:space="0" w:color="auto"/>
              <w:right w:val="single" w:sz="8" w:space="0" w:color="auto"/>
            </w:tcBorders>
            <w:vAlign w:val="center"/>
            <w:hideMark/>
          </w:tcPr>
          <w:p w14:paraId="5EB2A782"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w:t>
            </w:r>
          </w:p>
        </w:tc>
        <w:tc>
          <w:tcPr>
            <w:tcW w:w="895" w:type="pct"/>
            <w:tcBorders>
              <w:top w:val="nil"/>
              <w:left w:val="nil"/>
              <w:bottom w:val="single" w:sz="8" w:space="0" w:color="auto"/>
              <w:right w:val="single" w:sz="8" w:space="0" w:color="auto"/>
            </w:tcBorders>
            <w:vAlign w:val="center"/>
            <w:hideMark/>
          </w:tcPr>
          <w:p w14:paraId="06D0FF18"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2.5</w:t>
            </w:r>
          </w:p>
        </w:tc>
      </w:tr>
      <w:tr w:rsidR="00A11FFD" w:rsidRPr="00C657F6" w14:paraId="7B16D7A3" w14:textId="77777777" w:rsidTr="00560FBB">
        <w:trPr>
          <w:trHeight w:val="636"/>
        </w:trPr>
        <w:tc>
          <w:tcPr>
            <w:tcW w:w="581" w:type="pct"/>
            <w:tcBorders>
              <w:top w:val="nil"/>
              <w:left w:val="single" w:sz="8" w:space="0" w:color="auto"/>
              <w:bottom w:val="single" w:sz="8" w:space="0" w:color="auto"/>
              <w:right w:val="single" w:sz="8" w:space="0" w:color="auto"/>
            </w:tcBorders>
            <w:vAlign w:val="center"/>
            <w:hideMark/>
          </w:tcPr>
          <w:p w14:paraId="4515C6A5"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9</w:t>
            </w:r>
          </w:p>
        </w:tc>
        <w:tc>
          <w:tcPr>
            <w:tcW w:w="2739" w:type="pct"/>
            <w:tcBorders>
              <w:top w:val="nil"/>
              <w:left w:val="nil"/>
              <w:bottom w:val="single" w:sz="8" w:space="0" w:color="auto"/>
              <w:right w:val="single" w:sz="8" w:space="0" w:color="auto"/>
            </w:tcBorders>
            <w:vAlign w:val="center"/>
            <w:hideMark/>
          </w:tcPr>
          <w:p w14:paraId="6F72714B"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Critical Perspectives on Accounting</w:t>
            </w:r>
          </w:p>
        </w:tc>
        <w:tc>
          <w:tcPr>
            <w:tcW w:w="785" w:type="pct"/>
            <w:tcBorders>
              <w:top w:val="nil"/>
              <w:left w:val="nil"/>
              <w:bottom w:val="single" w:sz="8" w:space="0" w:color="auto"/>
              <w:right w:val="single" w:sz="8" w:space="0" w:color="auto"/>
            </w:tcBorders>
            <w:vAlign w:val="center"/>
            <w:hideMark/>
          </w:tcPr>
          <w:p w14:paraId="147143C8"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w:t>
            </w:r>
          </w:p>
        </w:tc>
        <w:tc>
          <w:tcPr>
            <w:tcW w:w="895" w:type="pct"/>
            <w:tcBorders>
              <w:top w:val="nil"/>
              <w:left w:val="nil"/>
              <w:bottom w:val="single" w:sz="8" w:space="0" w:color="auto"/>
              <w:right w:val="single" w:sz="8" w:space="0" w:color="auto"/>
            </w:tcBorders>
            <w:vAlign w:val="center"/>
            <w:hideMark/>
          </w:tcPr>
          <w:p w14:paraId="58421B1C"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2.5</w:t>
            </w:r>
          </w:p>
        </w:tc>
      </w:tr>
      <w:tr w:rsidR="00A11FFD" w:rsidRPr="00C657F6" w14:paraId="02B77833" w14:textId="77777777" w:rsidTr="00560FBB">
        <w:trPr>
          <w:trHeight w:val="636"/>
        </w:trPr>
        <w:tc>
          <w:tcPr>
            <w:tcW w:w="581" w:type="pct"/>
            <w:tcBorders>
              <w:top w:val="nil"/>
              <w:left w:val="single" w:sz="8" w:space="0" w:color="auto"/>
              <w:bottom w:val="single" w:sz="8" w:space="0" w:color="auto"/>
              <w:right w:val="single" w:sz="8" w:space="0" w:color="auto"/>
            </w:tcBorders>
            <w:vAlign w:val="center"/>
            <w:hideMark/>
          </w:tcPr>
          <w:p w14:paraId="365B7995"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10</w:t>
            </w:r>
          </w:p>
        </w:tc>
        <w:tc>
          <w:tcPr>
            <w:tcW w:w="2739" w:type="pct"/>
            <w:tcBorders>
              <w:top w:val="nil"/>
              <w:left w:val="nil"/>
              <w:bottom w:val="single" w:sz="8" w:space="0" w:color="auto"/>
              <w:right w:val="single" w:sz="8" w:space="0" w:color="auto"/>
            </w:tcBorders>
            <w:vAlign w:val="center"/>
            <w:hideMark/>
          </w:tcPr>
          <w:p w14:paraId="6E541C39"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Accounting, Auditing &amp; Accountability Journal</w:t>
            </w:r>
          </w:p>
        </w:tc>
        <w:tc>
          <w:tcPr>
            <w:tcW w:w="785" w:type="pct"/>
            <w:tcBorders>
              <w:top w:val="nil"/>
              <w:left w:val="nil"/>
              <w:bottom w:val="single" w:sz="8" w:space="0" w:color="auto"/>
              <w:right w:val="single" w:sz="8" w:space="0" w:color="auto"/>
            </w:tcBorders>
            <w:vAlign w:val="center"/>
            <w:hideMark/>
          </w:tcPr>
          <w:p w14:paraId="2BCBA168"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3</w:t>
            </w:r>
          </w:p>
        </w:tc>
        <w:tc>
          <w:tcPr>
            <w:tcW w:w="895" w:type="pct"/>
            <w:tcBorders>
              <w:top w:val="nil"/>
              <w:left w:val="nil"/>
              <w:bottom w:val="single" w:sz="8" w:space="0" w:color="auto"/>
              <w:right w:val="single" w:sz="8" w:space="0" w:color="auto"/>
            </w:tcBorders>
            <w:vAlign w:val="center"/>
            <w:hideMark/>
          </w:tcPr>
          <w:p w14:paraId="3DFBDF6F" w14:textId="77777777" w:rsidR="00A11FFD" w:rsidRPr="00C657F6" w:rsidRDefault="00A11FFD" w:rsidP="00560FBB">
            <w:pPr>
              <w:jc w:val="center"/>
              <w:rPr>
                <w:rFonts w:ascii="Times New Roman" w:hAnsi="Times New Roman"/>
                <w:color w:val="000000"/>
                <w:lang w:eastAsia="en-IN"/>
              </w:rPr>
            </w:pPr>
            <w:r w:rsidRPr="00C657F6">
              <w:rPr>
                <w:rFonts w:ascii="Times New Roman" w:hAnsi="Times New Roman"/>
                <w:color w:val="000000"/>
                <w:lang w:eastAsia="en-IN"/>
              </w:rPr>
              <w:t>2.5</w:t>
            </w:r>
          </w:p>
        </w:tc>
      </w:tr>
    </w:tbl>
    <w:p w14:paraId="538AEBF5" w14:textId="77777777" w:rsidR="00A11FFD" w:rsidRDefault="00A11FFD" w:rsidP="00A11FFD">
      <w:pPr>
        <w:jc w:val="both"/>
        <w:rPr>
          <w:rFonts w:ascii="Times New Roman" w:hAnsi="Times New Roman"/>
        </w:rPr>
      </w:pPr>
      <w:r w:rsidRPr="00E22540">
        <w:rPr>
          <w:rFonts w:ascii="Times New Roman" w:hAnsi="Times New Roman"/>
        </w:rPr>
        <w:t xml:space="preserve">Note: N = 121. Source: </w:t>
      </w:r>
      <w:r w:rsidRPr="00334D91">
        <w:rPr>
          <w:rFonts w:ascii="Times New Roman" w:hAnsi="Times New Roman"/>
        </w:rPr>
        <w:t>Author's refined datasets</w:t>
      </w:r>
      <w:r w:rsidRPr="00E22540">
        <w:rPr>
          <w:rFonts w:ascii="Times New Roman" w:hAnsi="Times New Roman"/>
        </w:rPr>
        <w:t xml:space="preserve"> </w:t>
      </w:r>
    </w:p>
    <w:p w14:paraId="138AEF06" w14:textId="77777777" w:rsidR="00A11FFD" w:rsidRDefault="00A11FFD" w:rsidP="00A11FFD">
      <w:pPr>
        <w:jc w:val="both"/>
        <w:rPr>
          <w:rFonts w:ascii="Times New Roman" w:hAnsi="Times New Roman"/>
        </w:rPr>
      </w:pPr>
      <w:r w:rsidRPr="00E22540">
        <w:rPr>
          <w:rFonts w:ascii="Times New Roman" w:hAnsi="Times New Roman"/>
        </w:rPr>
        <w:t>Open access (OA) publishing is prominent, with 90 articles (74.4%) classified as open access. Of these, the majority carry green, gold or hybrid licences, facilitating wider dissemination of CA profession research. Citation impact is modest but variable, with an average of 7.9 citing works per article (median 4, maximum 60</w:t>
      </w:r>
      <w:proofErr w:type="gramStart"/>
      <w:r w:rsidRPr="00E22540">
        <w:rPr>
          <w:rFonts w:ascii="Times New Roman" w:hAnsi="Times New Roman"/>
        </w:rPr>
        <w:t>).​</w:t>
      </w:r>
      <w:proofErr w:type="gramEnd"/>
    </w:p>
    <w:p w14:paraId="54007B91" w14:textId="77777777" w:rsidR="00A11FFD" w:rsidRDefault="00A11FFD" w:rsidP="00A11FFD">
      <w:pPr>
        <w:jc w:val="both"/>
        <w:rPr>
          <w:rFonts w:ascii="Times New Roman" w:hAnsi="Times New Roman"/>
        </w:rPr>
      </w:pPr>
      <w:r>
        <w:rPr>
          <w:rFonts w:ascii="Times New Roman" w:hAnsi="Times New Roman"/>
        </w:rPr>
        <w:t xml:space="preserve">Figure 4: </w:t>
      </w:r>
      <w:r w:rsidRPr="00145937">
        <w:rPr>
          <w:rFonts w:ascii="Times New Roman" w:hAnsi="Times New Roman"/>
        </w:rPr>
        <w:t>Leading journals publishing CA profession research (2020–2025)</w:t>
      </w:r>
    </w:p>
    <w:p w14:paraId="319140F8" w14:textId="77777777" w:rsidR="00A11FFD" w:rsidRPr="00E22540" w:rsidRDefault="00A11FFD" w:rsidP="00A11FFD">
      <w:pPr>
        <w:jc w:val="center"/>
        <w:rPr>
          <w:rFonts w:ascii="Times New Roman" w:hAnsi="Times New Roman"/>
        </w:rPr>
      </w:pPr>
      <w:r w:rsidRPr="00145937">
        <w:rPr>
          <w:rFonts w:ascii="Times New Roman" w:hAnsi="Times New Roman"/>
          <w:noProof/>
        </w:rPr>
        <w:lastRenderedPageBreak/>
        <w:drawing>
          <wp:inline distT="0" distB="0" distL="0" distR="0" wp14:anchorId="7854B311" wp14:editId="6466945A">
            <wp:extent cx="4572000" cy="3078480"/>
            <wp:effectExtent l="0" t="0" r="0" b="7620"/>
            <wp:docPr id="402730239" name="Chart 1">
              <a:extLst xmlns:a="http://schemas.openxmlformats.org/drawingml/2006/main">
                <a:ext uri="{FF2B5EF4-FFF2-40B4-BE49-F238E27FC236}">
                  <a16:creationId xmlns:a16="http://schemas.microsoft.com/office/drawing/2014/main" id="{6133EC2B-1308-EE82-28DF-C8EB71DDDD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763506" w14:textId="77777777" w:rsidR="00A11FFD" w:rsidRPr="00E22540" w:rsidRDefault="00A11FFD" w:rsidP="00A11FFD">
      <w:pPr>
        <w:jc w:val="both"/>
        <w:rPr>
          <w:rFonts w:ascii="Times New Roman" w:hAnsi="Times New Roman"/>
          <w:b/>
          <w:bCs/>
        </w:rPr>
      </w:pPr>
      <w:r>
        <w:rPr>
          <w:rFonts w:ascii="Times New Roman" w:hAnsi="Times New Roman"/>
          <w:b/>
          <w:bCs/>
        </w:rPr>
        <w:t>4</w:t>
      </w:r>
      <w:r w:rsidRPr="00E22540">
        <w:rPr>
          <w:rFonts w:ascii="Times New Roman" w:hAnsi="Times New Roman"/>
          <w:b/>
          <w:bCs/>
        </w:rPr>
        <w:t>.4 Summary of the AI–CA research subset</w:t>
      </w:r>
    </w:p>
    <w:p w14:paraId="4DDCF33B" w14:textId="77777777" w:rsidR="00A11FFD" w:rsidRPr="00663464" w:rsidRDefault="00A11FFD" w:rsidP="00A11FFD">
      <w:pPr>
        <w:jc w:val="both"/>
        <w:rPr>
          <w:rFonts w:ascii="Times New Roman" w:hAnsi="Times New Roman"/>
        </w:rPr>
      </w:pPr>
      <w:r w:rsidRPr="00F84B24">
        <w:rPr>
          <w:rFonts w:ascii="Times New Roman" w:hAnsi="Times New Roman"/>
        </w:rPr>
        <w:t xml:space="preserve">The AI–CA subset consists of 62 articles that directly associate the accounting profession or accountants with AI, machine learning, automation, or robotic process automation. Similar to the primary CA dataset, publications are predominantly clustered after 2020, featuring 17 pieces in 2024 and 16 in 2025, indicating the timeliness of AI adoption discourse in professional settings. </w:t>
      </w:r>
      <w:r w:rsidRPr="00F84B24">
        <w:rPr>
          <w:rFonts w:ascii="Times New Roman" w:hAnsi="Times New Roman"/>
        </w:rPr>
        <w:br/>
      </w:r>
      <w:r w:rsidRPr="00663464">
        <w:rPr>
          <w:rFonts w:ascii="Times New Roman" w:hAnsi="Times New Roman"/>
        </w:rPr>
        <w:t>The United States (24 articles, 38.7%) and the United Kingdom (23 articles, 37.1%) are the primary contributors, succeeded by Greece (5 articles). Notable journals include the Journal of Emerging Technologies in Accounting (6 papers), the Journal of Accounting &amp; Organisational Change (5 articles), and The Accounting Review (3 articles). Exemplary titles illustrate the scope of the subject: “Digital Futures for Accountants,” “Aligning Artificial Intelligence with Ethical Accountancy,” “Artificial Intelligence and Robotic Process Automation in Auditing and Accounting,” and “Teaching Advanced Data Analytics, Robotic Process Automation, and Artificial Intelligence in a Graduate Accounting Program.” These emphasise issues of professional competencies, automation of auditing processes, ethical frameworks, and education for the age of artificial intelligence.</w:t>
      </w:r>
    </w:p>
    <w:p w14:paraId="306C0649" w14:textId="77777777" w:rsidR="00A11FFD" w:rsidRPr="00CF0028" w:rsidRDefault="00A11FFD" w:rsidP="00A11FFD">
      <w:pPr>
        <w:jc w:val="both"/>
        <w:rPr>
          <w:rFonts w:ascii="Times New Roman" w:hAnsi="Times New Roman"/>
          <w:b/>
          <w:bCs/>
        </w:rPr>
      </w:pPr>
      <w:r w:rsidRPr="00E22540">
        <w:rPr>
          <w:rFonts w:ascii="Times New Roman" w:hAnsi="Times New Roman"/>
          <w:b/>
          <w:bCs/>
        </w:rPr>
        <w:t xml:space="preserve">Table 5. </w:t>
      </w:r>
      <w:r w:rsidRPr="00CF0028">
        <w:rPr>
          <w:rFonts w:ascii="Times New Roman" w:hAnsi="Times New Roman"/>
          <w:b/>
          <w:bCs/>
        </w:rPr>
        <w:t>Bibliometric Comparison: CA Research vs. AI-CA Subset</w:t>
      </w:r>
    </w:p>
    <w:tbl>
      <w:tblPr>
        <w:tblW w:w="5000" w:type="pct"/>
        <w:tblLook w:val="04A0" w:firstRow="1" w:lastRow="0" w:firstColumn="1" w:lastColumn="0" w:noHBand="0" w:noVBand="1"/>
      </w:tblPr>
      <w:tblGrid>
        <w:gridCol w:w="3715"/>
        <w:gridCol w:w="3523"/>
        <w:gridCol w:w="3778"/>
      </w:tblGrid>
      <w:tr w:rsidR="00A11FFD" w:rsidRPr="00CF0028" w14:paraId="2C9B7BDA" w14:textId="77777777" w:rsidTr="00560FBB">
        <w:trPr>
          <w:trHeight w:val="324"/>
        </w:trPr>
        <w:tc>
          <w:tcPr>
            <w:tcW w:w="1686" w:type="pct"/>
            <w:tcBorders>
              <w:top w:val="single" w:sz="8" w:space="0" w:color="auto"/>
              <w:left w:val="single" w:sz="8" w:space="0" w:color="auto"/>
              <w:bottom w:val="single" w:sz="8" w:space="0" w:color="auto"/>
              <w:right w:val="single" w:sz="8" w:space="0" w:color="auto"/>
            </w:tcBorders>
            <w:vAlign w:val="center"/>
            <w:hideMark/>
          </w:tcPr>
          <w:p w14:paraId="3B39EEEB" w14:textId="77777777" w:rsidR="00A11FFD" w:rsidRPr="00CF0028" w:rsidRDefault="00A11FFD" w:rsidP="00560FBB">
            <w:pPr>
              <w:jc w:val="center"/>
              <w:rPr>
                <w:rFonts w:ascii="Times New Roman" w:hAnsi="Times New Roman"/>
                <w:b/>
                <w:bCs/>
                <w:color w:val="000000"/>
                <w:lang w:eastAsia="en-IN"/>
              </w:rPr>
            </w:pPr>
            <w:r w:rsidRPr="00CF0028">
              <w:rPr>
                <w:rFonts w:ascii="Times New Roman" w:hAnsi="Times New Roman"/>
                <w:b/>
                <w:bCs/>
                <w:color w:val="000000"/>
                <w:lang w:eastAsia="en-IN"/>
              </w:rPr>
              <w:t>Indicator</w:t>
            </w:r>
          </w:p>
        </w:tc>
        <w:tc>
          <w:tcPr>
            <w:tcW w:w="1599" w:type="pct"/>
            <w:tcBorders>
              <w:top w:val="single" w:sz="8" w:space="0" w:color="auto"/>
              <w:left w:val="nil"/>
              <w:bottom w:val="single" w:sz="8" w:space="0" w:color="auto"/>
              <w:right w:val="single" w:sz="8" w:space="0" w:color="auto"/>
            </w:tcBorders>
            <w:vAlign w:val="center"/>
            <w:hideMark/>
          </w:tcPr>
          <w:p w14:paraId="388F8364" w14:textId="77777777" w:rsidR="00A11FFD" w:rsidRPr="00CF0028" w:rsidRDefault="00A11FFD" w:rsidP="00560FBB">
            <w:pPr>
              <w:jc w:val="center"/>
              <w:rPr>
                <w:rFonts w:ascii="Times New Roman" w:hAnsi="Times New Roman"/>
                <w:b/>
                <w:bCs/>
                <w:color w:val="000000"/>
                <w:lang w:eastAsia="en-IN"/>
              </w:rPr>
            </w:pPr>
            <w:r w:rsidRPr="00CF0028">
              <w:rPr>
                <w:rFonts w:ascii="Times New Roman" w:hAnsi="Times New Roman"/>
                <w:b/>
                <w:bCs/>
                <w:color w:val="000000"/>
                <w:lang w:eastAsia="en-IN"/>
              </w:rPr>
              <w:t>CA Dataset (N=121)</w:t>
            </w:r>
          </w:p>
        </w:tc>
        <w:tc>
          <w:tcPr>
            <w:tcW w:w="1715" w:type="pct"/>
            <w:tcBorders>
              <w:top w:val="single" w:sz="8" w:space="0" w:color="auto"/>
              <w:left w:val="nil"/>
              <w:bottom w:val="single" w:sz="8" w:space="0" w:color="auto"/>
              <w:right w:val="single" w:sz="8" w:space="0" w:color="auto"/>
            </w:tcBorders>
            <w:vAlign w:val="center"/>
            <w:hideMark/>
          </w:tcPr>
          <w:p w14:paraId="74B05AE2" w14:textId="77777777" w:rsidR="00A11FFD" w:rsidRPr="00CF0028" w:rsidRDefault="00A11FFD" w:rsidP="00560FBB">
            <w:pPr>
              <w:jc w:val="center"/>
              <w:rPr>
                <w:rFonts w:ascii="Times New Roman" w:hAnsi="Times New Roman"/>
                <w:b/>
                <w:bCs/>
                <w:color w:val="000000"/>
                <w:lang w:eastAsia="en-IN"/>
              </w:rPr>
            </w:pPr>
            <w:r w:rsidRPr="00CF0028">
              <w:rPr>
                <w:rFonts w:ascii="Times New Roman" w:hAnsi="Times New Roman"/>
                <w:b/>
                <w:bCs/>
                <w:color w:val="000000"/>
                <w:lang w:eastAsia="en-IN"/>
              </w:rPr>
              <w:t>AI–CA Subset (N=62)</w:t>
            </w:r>
          </w:p>
        </w:tc>
      </w:tr>
      <w:tr w:rsidR="00A11FFD" w:rsidRPr="00CF0028" w14:paraId="1837750D" w14:textId="77777777" w:rsidTr="00560FBB">
        <w:trPr>
          <w:trHeight w:val="324"/>
        </w:trPr>
        <w:tc>
          <w:tcPr>
            <w:tcW w:w="1686" w:type="pct"/>
            <w:tcBorders>
              <w:top w:val="nil"/>
              <w:left w:val="single" w:sz="8" w:space="0" w:color="auto"/>
              <w:bottom w:val="single" w:sz="8" w:space="0" w:color="auto"/>
              <w:right w:val="single" w:sz="8" w:space="0" w:color="auto"/>
            </w:tcBorders>
            <w:vAlign w:val="center"/>
            <w:hideMark/>
          </w:tcPr>
          <w:p w14:paraId="63EB1576"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Years covered</w:t>
            </w:r>
          </w:p>
        </w:tc>
        <w:tc>
          <w:tcPr>
            <w:tcW w:w="1599" w:type="pct"/>
            <w:tcBorders>
              <w:top w:val="nil"/>
              <w:left w:val="nil"/>
              <w:bottom w:val="single" w:sz="8" w:space="0" w:color="auto"/>
              <w:right w:val="single" w:sz="8" w:space="0" w:color="auto"/>
            </w:tcBorders>
            <w:vAlign w:val="center"/>
            <w:hideMark/>
          </w:tcPr>
          <w:p w14:paraId="4CA343B5"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2020–2025</w:t>
            </w:r>
          </w:p>
        </w:tc>
        <w:tc>
          <w:tcPr>
            <w:tcW w:w="1715" w:type="pct"/>
            <w:tcBorders>
              <w:top w:val="nil"/>
              <w:left w:val="nil"/>
              <w:bottom w:val="single" w:sz="8" w:space="0" w:color="auto"/>
              <w:right w:val="single" w:sz="8" w:space="0" w:color="auto"/>
            </w:tcBorders>
            <w:vAlign w:val="center"/>
            <w:hideMark/>
          </w:tcPr>
          <w:p w14:paraId="2E69498D"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2020–2025</w:t>
            </w:r>
          </w:p>
        </w:tc>
      </w:tr>
      <w:tr w:rsidR="00A11FFD" w:rsidRPr="00CF0028" w14:paraId="75CEA084" w14:textId="77777777" w:rsidTr="00560FBB">
        <w:trPr>
          <w:trHeight w:val="324"/>
        </w:trPr>
        <w:tc>
          <w:tcPr>
            <w:tcW w:w="1686" w:type="pct"/>
            <w:tcBorders>
              <w:top w:val="nil"/>
              <w:left w:val="single" w:sz="8" w:space="0" w:color="auto"/>
              <w:bottom w:val="single" w:sz="8" w:space="0" w:color="auto"/>
              <w:right w:val="single" w:sz="8" w:space="0" w:color="auto"/>
            </w:tcBorders>
            <w:vAlign w:val="center"/>
            <w:hideMark/>
          </w:tcPr>
          <w:p w14:paraId="22922A7F"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Post</w:t>
            </w:r>
            <w:r w:rsidRPr="00CF0028">
              <w:rPr>
                <w:rFonts w:ascii="Times New Roman" w:hAnsi="Times New Roman"/>
                <w:color w:val="000000"/>
                <w:lang w:eastAsia="en-IN"/>
              </w:rPr>
              <w:noBreakHyphen/>
              <w:t>2020 articles (%)</w:t>
            </w:r>
          </w:p>
        </w:tc>
        <w:tc>
          <w:tcPr>
            <w:tcW w:w="1599" w:type="pct"/>
            <w:tcBorders>
              <w:top w:val="nil"/>
              <w:left w:val="nil"/>
              <w:bottom w:val="single" w:sz="8" w:space="0" w:color="auto"/>
              <w:right w:val="single" w:sz="8" w:space="0" w:color="auto"/>
            </w:tcBorders>
            <w:vAlign w:val="center"/>
            <w:hideMark/>
          </w:tcPr>
          <w:p w14:paraId="5C751B82"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100%</w:t>
            </w:r>
          </w:p>
        </w:tc>
        <w:tc>
          <w:tcPr>
            <w:tcW w:w="1715" w:type="pct"/>
            <w:tcBorders>
              <w:top w:val="nil"/>
              <w:left w:val="nil"/>
              <w:bottom w:val="single" w:sz="8" w:space="0" w:color="auto"/>
              <w:right w:val="single" w:sz="8" w:space="0" w:color="auto"/>
            </w:tcBorders>
            <w:vAlign w:val="center"/>
            <w:hideMark/>
          </w:tcPr>
          <w:p w14:paraId="13AD2E1C"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100%</w:t>
            </w:r>
          </w:p>
        </w:tc>
      </w:tr>
      <w:tr w:rsidR="00A11FFD" w:rsidRPr="00CF0028" w14:paraId="637E4418" w14:textId="77777777" w:rsidTr="00560FBB">
        <w:trPr>
          <w:trHeight w:val="324"/>
        </w:trPr>
        <w:tc>
          <w:tcPr>
            <w:tcW w:w="1686" w:type="pct"/>
            <w:tcBorders>
              <w:top w:val="nil"/>
              <w:left w:val="single" w:sz="8" w:space="0" w:color="auto"/>
              <w:bottom w:val="single" w:sz="8" w:space="0" w:color="auto"/>
              <w:right w:val="single" w:sz="8" w:space="0" w:color="auto"/>
            </w:tcBorders>
            <w:vAlign w:val="center"/>
            <w:hideMark/>
          </w:tcPr>
          <w:p w14:paraId="12F0D893"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Top country: UK (%)</w:t>
            </w:r>
          </w:p>
        </w:tc>
        <w:tc>
          <w:tcPr>
            <w:tcW w:w="1599" w:type="pct"/>
            <w:tcBorders>
              <w:top w:val="nil"/>
              <w:left w:val="nil"/>
              <w:bottom w:val="single" w:sz="8" w:space="0" w:color="auto"/>
              <w:right w:val="single" w:sz="8" w:space="0" w:color="auto"/>
            </w:tcBorders>
            <w:vAlign w:val="center"/>
            <w:hideMark/>
          </w:tcPr>
          <w:p w14:paraId="3CB1332E"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36.40%</w:t>
            </w:r>
          </w:p>
        </w:tc>
        <w:tc>
          <w:tcPr>
            <w:tcW w:w="1715" w:type="pct"/>
            <w:tcBorders>
              <w:top w:val="nil"/>
              <w:left w:val="nil"/>
              <w:bottom w:val="single" w:sz="8" w:space="0" w:color="auto"/>
              <w:right w:val="single" w:sz="8" w:space="0" w:color="auto"/>
            </w:tcBorders>
            <w:vAlign w:val="center"/>
            <w:hideMark/>
          </w:tcPr>
          <w:p w14:paraId="750532E4"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37.10%</w:t>
            </w:r>
          </w:p>
        </w:tc>
      </w:tr>
      <w:tr w:rsidR="00A11FFD" w:rsidRPr="00CF0028" w14:paraId="3CFC211D" w14:textId="77777777" w:rsidTr="00560FBB">
        <w:trPr>
          <w:trHeight w:val="324"/>
        </w:trPr>
        <w:tc>
          <w:tcPr>
            <w:tcW w:w="1686" w:type="pct"/>
            <w:tcBorders>
              <w:top w:val="nil"/>
              <w:left w:val="single" w:sz="8" w:space="0" w:color="auto"/>
              <w:bottom w:val="single" w:sz="8" w:space="0" w:color="auto"/>
              <w:right w:val="single" w:sz="8" w:space="0" w:color="auto"/>
            </w:tcBorders>
            <w:vAlign w:val="center"/>
            <w:hideMark/>
          </w:tcPr>
          <w:p w14:paraId="7E0742E1"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Top country: US (%)</w:t>
            </w:r>
          </w:p>
        </w:tc>
        <w:tc>
          <w:tcPr>
            <w:tcW w:w="1599" w:type="pct"/>
            <w:tcBorders>
              <w:top w:val="nil"/>
              <w:left w:val="nil"/>
              <w:bottom w:val="single" w:sz="8" w:space="0" w:color="auto"/>
              <w:right w:val="single" w:sz="8" w:space="0" w:color="auto"/>
            </w:tcBorders>
            <w:vAlign w:val="center"/>
            <w:hideMark/>
          </w:tcPr>
          <w:p w14:paraId="779D9CBC"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16.50%</w:t>
            </w:r>
          </w:p>
        </w:tc>
        <w:tc>
          <w:tcPr>
            <w:tcW w:w="1715" w:type="pct"/>
            <w:tcBorders>
              <w:top w:val="nil"/>
              <w:left w:val="nil"/>
              <w:bottom w:val="single" w:sz="8" w:space="0" w:color="auto"/>
              <w:right w:val="single" w:sz="8" w:space="0" w:color="auto"/>
            </w:tcBorders>
            <w:vAlign w:val="center"/>
            <w:hideMark/>
          </w:tcPr>
          <w:p w14:paraId="7492C0D2"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38.70%</w:t>
            </w:r>
          </w:p>
        </w:tc>
      </w:tr>
      <w:tr w:rsidR="00A11FFD" w:rsidRPr="00CF0028" w14:paraId="72FEF4A3" w14:textId="77777777" w:rsidTr="00560FBB">
        <w:trPr>
          <w:trHeight w:val="324"/>
        </w:trPr>
        <w:tc>
          <w:tcPr>
            <w:tcW w:w="1686" w:type="pct"/>
            <w:tcBorders>
              <w:top w:val="nil"/>
              <w:left w:val="single" w:sz="8" w:space="0" w:color="auto"/>
              <w:bottom w:val="single" w:sz="8" w:space="0" w:color="auto"/>
              <w:right w:val="single" w:sz="8" w:space="0" w:color="auto"/>
            </w:tcBorders>
            <w:vAlign w:val="center"/>
            <w:hideMark/>
          </w:tcPr>
          <w:p w14:paraId="2F8F33DF"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Top journal articles</w:t>
            </w:r>
          </w:p>
        </w:tc>
        <w:tc>
          <w:tcPr>
            <w:tcW w:w="1599" w:type="pct"/>
            <w:tcBorders>
              <w:top w:val="nil"/>
              <w:left w:val="nil"/>
              <w:bottom w:val="single" w:sz="8" w:space="0" w:color="auto"/>
              <w:right w:val="single" w:sz="8" w:space="0" w:color="auto"/>
            </w:tcBorders>
            <w:vAlign w:val="center"/>
            <w:hideMark/>
          </w:tcPr>
          <w:p w14:paraId="23C5BFCA"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8 (two journals)</w:t>
            </w:r>
          </w:p>
        </w:tc>
        <w:tc>
          <w:tcPr>
            <w:tcW w:w="1715" w:type="pct"/>
            <w:tcBorders>
              <w:top w:val="nil"/>
              <w:left w:val="nil"/>
              <w:bottom w:val="single" w:sz="8" w:space="0" w:color="auto"/>
              <w:right w:val="single" w:sz="8" w:space="0" w:color="auto"/>
            </w:tcBorders>
            <w:vAlign w:val="center"/>
            <w:hideMark/>
          </w:tcPr>
          <w:p w14:paraId="745B70B0"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6 (JET Accounting)</w:t>
            </w:r>
          </w:p>
        </w:tc>
      </w:tr>
      <w:tr w:rsidR="00A11FFD" w:rsidRPr="00CF0028" w14:paraId="0640A190" w14:textId="77777777" w:rsidTr="00560FBB">
        <w:trPr>
          <w:trHeight w:val="324"/>
        </w:trPr>
        <w:tc>
          <w:tcPr>
            <w:tcW w:w="1686" w:type="pct"/>
            <w:tcBorders>
              <w:top w:val="nil"/>
              <w:left w:val="single" w:sz="8" w:space="0" w:color="auto"/>
              <w:bottom w:val="single" w:sz="8" w:space="0" w:color="auto"/>
              <w:right w:val="single" w:sz="8" w:space="0" w:color="auto"/>
            </w:tcBorders>
            <w:vAlign w:val="center"/>
            <w:hideMark/>
          </w:tcPr>
          <w:p w14:paraId="39FC1637"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OA articles (%)</w:t>
            </w:r>
          </w:p>
        </w:tc>
        <w:tc>
          <w:tcPr>
            <w:tcW w:w="1599" w:type="pct"/>
            <w:tcBorders>
              <w:top w:val="nil"/>
              <w:left w:val="nil"/>
              <w:bottom w:val="single" w:sz="8" w:space="0" w:color="auto"/>
              <w:right w:val="single" w:sz="8" w:space="0" w:color="auto"/>
            </w:tcBorders>
            <w:vAlign w:val="center"/>
            <w:hideMark/>
          </w:tcPr>
          <w:p w14:paraId="16ECFF58"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74.40%</w:t>
            </w:r>
          </w:p>
        </w:tc>
        <w:tc>
          <w:tcPr>
            <w:tcW w:w="1715" w:type="pct"/>
            <w:tcBorders>
              <w:top w:val="nil"/>
              <w:left w:val="nil"/>
              <w:bottom w:val="single" w:sz="8" w:space="0" w:color="auto"/>
              <w:right w:val="single" w:sz="8" w:space="0" w:color="auto"/>
            </w:tcBorders>
            <w:vAlign w:val="center"/>
            <w:hideMark/>
          </w:tcPr>
          <w:p w14:paraId="1D0C91C3"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N/A (subset of CA)</w:t>
            </w:r>
          </w:p>
        </w:tc>
      </w:tr>
      <w:tr w:rsidR="00A11FFD" w:rsidRPr="00CF0028" w14:paraId="7C807B49" w14:textId="77777777" w:rsidTr="00560FBB">
        <w:trPr>
          <w:trHeight w:val="324"/>
        </w:trPr>
        <w:tc>
          <w:tcPr>
            <w:tcW w:w="1686" w:type="pct"/>
            <w:tcBorders>
              <w:top w:val="nil"/>
              <w:left w:val="single" w:sz="8" w:space="0" w:color="auto"/>
              <w:bottom w:val="single" w:sz="8" w:space="0" w:color="auto"/>
              <w:right w:val="single" w:sz="8" w:space="0" w:color="auto"/>
            </w:tcBorders>
            <w:vAlign w:val="center"/>
            <w:hideMark/>
          </w:tcPr>
          <w:p w14:paraId="7882BBDE"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Avg. citing works</w:t>
            </w:r>
          </w:p>
        </w:tc>
        <w:tc>
          <w:tcPr>
            <w:tcW w:w="1599" w:type="pct"/>
            <w:tcBorders>
              <w:top w:val="nil"/>
              <w:left w:val="nil"/>
              <w:bottom w:val="single" w:sz="8" w:space="0" w:color="auto"/>
              <w:right w:val="single" w:sz="8" w:space="0" w:color="auto"/>
            </w:tcBorders>
            <w:vAlign w:val="center"/>
            <w:hideMark/>
          </w:tcPr>
          <w:p w14:paraId="4A6E3A72"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7.9</w:t>
            </w:r>
          </w:p>
        </w:tc>
        <w:tc>
          <w:tcPr>
            <w:tcW w:w="1715" w:type="pct"/>
            <w:tcBorders>
              <w:top w:val="nil"/>
              <w:left w:val="nil"/>
              <w:bottom w:val="single" w:sz="8" w:space="0" w:color="auto"/>
              <w:right w:val="single" w:sz="8" w:space="0" w:color="auto"/>
            </w:tcBorders>
            <w:vAlign w:val="center"/>
            <w:hideMark/>
          </w:tcPr>
          <w:p w14:paraId="01C4F891" w14:textId="77777777" w:rsidR="00A11FFD" w:rsidRPr="00CF0028" w:rsidRDefault="00A11FFD" w:rsidP="00560FBB">
            <w:pPr>
              <w:jc w:val="center"/>
              <w:rPr>
                <w:rFonts w:ascii="Times New Roman" w:hAnsi="Times New Roman"/>
                <w:color w:val="000000"/>
                <w:lang w:eastAsia="en-IN"/>
              </w:rPr>
            </w:pPr>
            <w:r w:rsidRPr="00CF0028">
              <w:rPr>
                <w:rFonts w:ascii="Times New Roman" w:hAnsi="Times New Roman"/>
                <w:color w:val="000000"/>
                <w:lang w:eastAsia="en-IN"/>
              </w:rPr>
              <w:t>N/A</w:t>
            </w:r>
          </w:p>
        </w:tc>
      </w:tr>
    </w:tbl>
    <w:p w14:paraId="68068A98" w14:textId="77777777" w:rsidR="00A11FFD" w:rsidRPr="00E22540" w:rsidRDefault="00A11FFD" w:rsidP="00A11FFD">
      <w:pPr>
        <w:jc w:val="both"/>
        <w:rPr>
          <w:rFonts w:ascii="Times New Roman" w:hAnsi="Times New Roman"/>
        </w:rPr>
      </w:pPr>
      <w:r w:rsidRPr="00E22540">
        <w:rPr>
          <w:rFonts w:ascii="Times New Roman" w:hAnsi="Times New Roman"/>
        </w:rPr>
        <w:t xml:space="preserve">Sources: </w:t>
      </w:r>
      <w:r>
        <w:rPr>
          <w:rFonts w:ascii="Times New Roman" w:hAnsi="Times New Roman"/>
        </w:rPr>
        <w:t>R</w:t>
      </w:r>
      <w:r w:rsidRPr="00E22540">
        <w:rPr>
          <w:rFonts w:ascii="Times New Roman" w:hAnsi="Times New Roman"/>
        </w:rPr>
        <w:t xml:space="preserve">efined CA dataset and AI–CA </w:t>
      </w:r>
      <w:proofErr w:type="gramStart"/>
      <w:r w:rsidRPr="00E22540">
        <w:rPr>
          <w:rFonts w:ascii="Times New Roman" w:hAnsi="Times New Roman"/>
        </w:rPr>
        <w:t>dataset.​</w:t>
      </w:r>
      <w:proofErr w:type="gramEnd"/>
    </w:p>
    <w:p w14:paraId="5DFFC95A" w14:textId="77777777" w:rsidR="00A11FFD" w:rsidRPr="00E22540" w:rsidRDefault="00A11FFD" w:rsidP="00A11FFD">
      <w:pPr>
        <w:jc w:val="both"/>
        <w:rPr>
          <w:rFonts w:ascii="Times New Roman" w:hAnsi="Times New Roman"/>
        </w:rPr>
      </w:pPr>
      <w:r w:rsidRPr="00E22540">
        <w:rPr>
          <w:rFonts w:ascii="Times New Roman" w:hAnsi="Times New Roman"/>
        </w:rPr>
        <w:t>The bibliometric results confirm a recent and growing body of CA profession research, concentrated in leading Anglo</w:t>
      </w:r>
      <w:r w:rsidRPr="00E22540">
        <w:rPr>
          <w:rFonts w:ascii="Times New Roman" w:hAnsi="Times New Roman"/>
        </w:rPr>
        <w:noBreakHyphen/>
        <w:t>European journals and outlets, with a parallel emerging stream on AI and automation. The next section examines the thematic content of this literature.</w:t>
      </w:r>
    </w:p>
    <w:p w14:paraId="38DC5D42" w14:textId="77777777" w:rsidR="00A11FFD" w:rsidRPr="00E22540" w:rsidRDefault="00A11FFD" w:rsidP="00A11FFD">
      <w:pPr>
        <w:jc w:val="both"/>
        <w:rPr>
          <w:rFonts w:ascii="Times New Roman" w:hAnsi="Times New Roman"/>
          <w:b/>
          <w:bCs/>
        </w:rPr>
      </w:pPr>
      <w:r>
        <w:rPr>
          <w:rFonts w:ascii="Times New Roman" w:hAnsi="Times New Roman"/>
          <w:b/>
          <w:bCs/>
        </w:rPr>
        <w:t>5</w:t>
      </w:r>
      <w:r w:rsidRPr="00E22540">
        <w:rPr>
          <w:rFonts w:ascii="Times New Roman" w:hAnsi="Times New Roman"/>
          <w:b/>
          <w:bCs/>
        </w:rPr>
        <w:t>. Thematic Analysis</w:t>
      </w:r>
    </w:p>
    <w:p w14:paraId="78F28577" w14:textId="77777777" w:rsidR="00A11FFD" w:rsidRPr="006719D2" w:rsidRDefault="00A11FFD" w:rsidP="00A11FFD">
      <w:pPr>
        <w:jc w:val="both"/>
        <w:rPr>
          <w:rFonts w:ascii="Times New Roman" w:hAnsi="Times New Roman"/>
        </w:rPr>
      </w:pPr>
      <w:r w:rsidRPr="006719D2">
        <w:rPr>
          <w:rFonts w:ascii="Times New Roman" w:hAnsi="Times New Roman"/>
        </w:rPr>
        <w:t>This section presents a thematic synthesis of the chartered accountancy (CA) research dataset, derived from the previously identified bibliometric trends. Themes were derived using an inductive approach, involving several readings of titles, abstracts, keywords, and study domains, subsequently categorising them into five primary clusters that represent the central focus of the literature. Each theme is illustrated by sample articles and linked to broader economic and professional implications. The assessment highlights subjects of economic importance, encompassing aspects that influence financial reporting, governance, audit assurance, and technological efficiency in accounting services.</w:t>
      </w:r>
    </w:p>
    <w:p w14:paraId="0AF713EE" w14:textId="77777777" w:rsidR="00A11FFD" w:rsidRPr="00E22540" w:rsidRDefault="00A11FFD" w:rsidP="00A11FFD">
      <w:pPr>
        <w:jc w:val="both"/>
        <w:rPr>
          <w:rFonts w:ascii="Times New Roman" w:hAnsi="Times New Roman"/>
        </w:rPr>
      </w:pPr>
      <w:r w:rsidRPr="00E22540">
        <w:rPr>
          <w:rFonts w:ascii="Times New Roman" w:hAnsi="Times New Roman"/>
          <w:b/>
          <w:bCs/>
        </w:rPr>
        <w:t>Table 6</w:t>
      </w:r>
      <w:r w:rsidRPr="00E22540">
        <w:rPr>
          <w:rFonts w:ascii="Times New Roman" w:hAnsi="Times New Roman"/>
        </w:rPr>
        <w:t xml:space="preserve"> provides an overview of the thematic clusters, including the number of articles assigned to each, their temporal distribution and example </w:t>
      </w:r>
      <w:proofErr w:type="gramStart"/>
      <w:r w:rsidRPr="00E22540">
        <w:rPr>
          <w:rFonts w:ascii="Times New Roman" w:hAnsi="Times New Roman"/>
        </w:rPr>
        <w:t>topics.​</w:t>
      </w:r>
      <w:proofErr w:type="gramEnd"/>
    </w:p>
    <w:p w14:paraId="43C441F1" w14:textId="77777777" w:rsidR="00A11FFD" w:rsidRPr="00E22540" w:rsidRDefault="00A11FFD" w:rsidP="00A11FFD">
      <w:pPr>
        <w:jc w:val="both"/>
        <w:rPr>
          <w:rFonts w:ascii="Times New Roman" w:hAnsi="Times New Roman"/>
        </w:rPr>
      </w:pPr>
      <w:r w:rsidRPr="00E22540">
        <w:rPr>
          <w:rFonts w:ascii="Times New Roman" w:hAnsi="Times New Roman"/>
          <w:b/>
          <w:bCs/>
        </w:rPr>
        <w:t>Table 6. Major thematic clusters in CA research</w:t>
      </w:r>
    </w:p>
    <w:tbl>
      <w:tblPr>
        <w:tblStyle w:val="TableGrid"/>
        <w:tblW w:w="5000" w:type="pct"/>
        <w:tblLook w:val="04A0" w:firstRow="1" w:lastRow="0" w:firstColumn="1" w:lastColumn="0" w:noHBand="0" w:noVBand="1"/>
      </w:tblPr>
      <w:tblGrid>
        <w:gridCol w:w="3915"/>
        <w:gridCol w:w="1899"/>
        <w:gridCol w:w="1939"/>
        <w:gridCol w:w="3263"/>
      </w:tblGrid>
      <w:tr w:rsidR="00A11FFD" w:rsidRPr="00FA64A2" w14:paraId="37D592EF" w14:textId="77777777" w:rsidTr="00560FBB">
        <w:trPr>
          <w:trHeight w:val="590"/>
        </w:trPr>
        <w:tc>
          <w:tcPr>
            <w:tcW w:w="1777" w:type="pct"/>
            <w:hideMark/>
          </w:tcPr>
          <w:p w14:paraId="5B228208"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lastRenderedPageBreak/>
              <w:t>Theme (Ranked by size)</w:t>
            </w:r>
          </w:p>
        </w:tc>
        <w:tc>
          <w:tcPr>
            <w:tcW w:w="862" w:type="pct"/>
            <w:hideMark/>
          </w:tcPr>
          <w:p w14:paraId="55E351AF"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Articles (N=121)</w:t>
            </w:r>
          </w:p>
        </w:tc>
        <w:tc>
          <w:tcPr>
            <w:tcW w:w="880" w:type="pct"/>
            <w:hideMark/>
          </w:tcPr>
          <w:p w14:paraId="0CC18C2E"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 of total</w:t>
            </w:r>
          </w:p>
        </w:tc>
        <w:tc>
          <w:tcPr>
            <w:tcW w:w="1481" w:type="pct"/>
            <w:hideMark/>
          </w:tcPr>
          <w:p w14:paraId="782B7FDF"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Example topics / Keywords</w:t>
            </w:r>
          </w:p>
        </w:tc>
      </w:tr>
      <w:tr w:rsidR="00A11FFD" w:rsidRPr="00FA64A2" w14:paraId="614F27C4" w14:textId="77777777" w:rsidTr="00560FBB">
        <w:trPr>
          <w:trHeight w:val="1070"/>
        </w:trPr>
        <w:tc>
          <w:tcPr>
            <w:tcW w:w="1777" w:type="pct"/>
            <w:hideMark/>
          </w:tcPr>
          <w:p w14:paraId="1772BDA8"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1. Corporate governance &amp; disclosure</w:t>
            </w:r>
          </w:p>
        </w:tc>
        <w:tc>
          <w:tcPr>
            <w:tcW w:w="862" w:type="pct"/>
            <w:hideMark/>
          </w:tcPr>
          <w:p w14:paraId="27E29FEA"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38</w:t>
            </w:r>
          </w:p>
        </w:tc>
        <w:tc>
          <w:tcPr>
            <w:tcW w:w="880" w:type="pct"/>
            <w:hideMark/>
          </w:tcPr>
          <w:p w14:paraId="3C1D8B3B"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31.4</w:t>
            </w:r>
          </w:p>
        </w:tc>
        <w:tc>
          <w:tcPr>
            <w:tcW w:w="1481" w:type="pct"/>
            <w:hideMark/>
          </w:tcPr>
          <w:p w14:paraId="54732B40"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IFRS adoption, voluntary disclosure, board characteristics, risk reporting ​</w:t>
            </w:r>
          </w:p>
        </w:tc>
      </w:tr>
      <w:tr w:rsidR="00A11FFD" w:rsidRPr="00FA64A2" w14:paraId="283B54BC" w14:textId="77777777" w:rsidTr="00560FBB">
        <w:trPr>
          <w:trHeight w:val="620"/>
        </w:trPr>
        <w:tc>
          <w:tcPr>
            <w:tcW w:w="1777" w:type="pct"/>
            <w:hideMark/>
          </w:tcPr>
          <w:p w14:paraId="34B56B29"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2. Audit practice &amp; quality</w:t>
            </w:r>
          </w:p>
        </w:tc>
        <w:tc>
          <w:tcPr>
            <w:tcW w:w="862" w:type="pct"/>
            <w:hideMark/>
          </w:tcPr>
          <w:p w14:paraId="2EDCDF62"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28</w:t>
            </w:r>
          </w:p>
        </w:tc>
        <w:tc>
          <w:tcPr>
            <w:tcW w:w="880" w:type="pct"/>
            <w:hideMark/>
          </w:tcPr>
          <w:p w14:paraId="6A72841F"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23.1</w:t>
            </w:r>
          </w:p>
        </w:tc>
        <w:tc>
          <w:tcPr>
            <w:tcW w:w="1481" w:type="pct"/>
            <w:hideMark/>
          </w:tcPr>
          <w:p w14:paraId="46438B14"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Big Four, KAMs, audit failure, anomaly detection ​</w:t>
            </w:r>
          </w:p>
        </w:tc>
      </w:tr>
      <w:tr w:rsidR="00A11FFD" w:rsidRPr="00FA64A2" w14:paraId="34609736" w14:textId="77777777" w:rsidTr="00560FBB">
        <w:trPr>
          <w:trHeight w:val="800"/>
        </w:trPr>
        <w:tc>
          <w:tcPr>
            <w:tcW w:w="1777" w:type="pct"/>
            <w:hideMark/>
          </w:tcPr>
          <w:p w14:paraId="072E7B4E"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3. Professional identity &amp; education</w:t>
            </w:r>
          </w:p>
        </w:tc>
        <w:tc>
          <w:tcPr>
            <w:tcW w:w="862" w:type="pct"/>
            <w:hideMark/>
          </w:tcPr>
          <w:p w14:paraId="1D3D0BFF"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22</w:t>
            </w:r>
          </w:p>
        </w:tc>
        <w:tc>
          <w:tcPr>
            <w:tcW w:w="880" w:type="pct"/>
            <w:hideMark/>
          </w:tcPr>
          <w:p w14:paraId="4A01F301"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18.2</w:t>
            </w:r>
          </w:p>
        </w:tc>
        <w:tc>
          <w:tcPr>
            <w:tcW w:w="1481" w:type="pct"/>
            <w:hideMark/>
          </w:tcPr>
          <w:p w14:paraId="47D43E23"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CA history, doctoral pathways, competencies, ethics ​</w:t>
            </w:r>
          </w:p>
        </w:tc>
      </w:tr>
      <w:tr w:rsidR="00A11FFD" w:rsidRPr="00FA64A2" w14:paraId="58E3D3AC" w14:textId="77777777" w:rsidTr="00560FBB">
        <w:trPr>
          <w:trHeight w:val="800"/>
        </w:trPr>
        <w:tc>
          <w:tcPr>
            <w:tcW w:w="1777" w:type="pct"/>
            <w:hideMark/>
          </w:tcPr>
          <w:p w14:paraId="7895CBEE"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4. Public sector &amp; regulatory reforms</w:t>
            </w:r>
          </w:p>
        </w:tc>
        <w:tc>
          <w:tcPr>
            <w:tcW w:w="862" w:type="pct"/>
            <w:hideMark/>
          </w:tcPr>
          <w:p w14:paraId="25BD5715"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18</w:t>
            </w:r>
          </w:p>
        </w:tc>
        <w:tc>
          <w:tcPr>
            <w:tcW w:w="880" w:type="pct"/>
            <w:hideMark/>
          </w:tcPr>
          <w:p w14:paraId="6BC29093"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14.9</w:t>
            </w:r>
          </w:p>
        </w:tc>
        <w:tc>
          <w:tcPr>
            <w:tcW w:w="1481" w:type="pct"/>
            <w:hideMark/>
          </w:tcPr>
          <w:p w14:paraId="22315057"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Accrual accounting, public financial management, stewardship ​</w:t>
            </w:r>
          </w:p>
        </w:tc>
      </w:tr>
      <w:tr w:rsidR="00A11FFD" w:rsidRPr="00FA64A2" w14:paraId="0F493D37" w14:textId="77777777" w:rsidTr="00560FBB">
        <w:trPr>
          <w:trHeight w:val="800"/>
        </w:trPr>
        <w:tc>
          <w:tcPr>
            <w:tcW w:w="1777" w:type="pct"/>
            <w:hideMark/>
          </w:tcPr>
          <w:p w14:paraId="373C64EC"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5. Technology &amp; AI in accounting</w:t>
            </w:r>
          </w:p>
        </w:tc>
        <w:tc>
          <w:tcPr>
            <w:tcW w:w="862" w:type="pct"/>
            <w:hideMark/>
          </w:tcPr>
          <w:p w14:paraId="22F879BE"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15</w:t>
            </w:r>
          </w:p>
        </w:tc>
        <w:tc>
          <w:tcPr>
            <w:tcW w:w="880" w:type="pct"/>
            <w:hideMark/>
          </w:tcPr>
          <w:p w14:paraId="316336DB"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12.4</w:t>
            </w:r>
          </w:p>
        </w:tc>
        <w:tc>
          <w:tcPr>
            <w:tcW w:w="1481" w:type="pct"/>
            <w:hideMark/>
          </w:tcPr>
          <w:p w14:paraId="463C3850" w14:textId="77777777" w:rsidR="00A11FFD" w:rsidRPr="00FA64A2" w:rsidRDefault="00A11FFD" w:rsidP="00560FBB">
            <w:pPr>
              <w:jc w:val="center"/>
              <w:rPr>
                <w:rFonts w:ascii="Times New Roman" w:eastAsia="Times New Roman" w:hAnsi="Times New Roman"/>
                <w:color w:val="000000"/>
                <w:lang w:eastAsia="en-IN"/>
              </w:rPr>
            </w:pPr>
            <w:r w:rsidRPr="00FA64A2">
              <w:rPr>
                <w:rFonts w:ascii="Times New Roman" w:eastAsia="Times New Roman" w:hAnsi="Times New Roman"/>
                <w:color w:val="000000"/>
                <w:lang w:eastAsia="en-IN"/>
              </w:rPr>
              <w:t>RPA, AI ethics, data analytics, digital competencies</w:t>
            </w:r>
          </w:p>
        </w:tc>
      </w:tr>
    </w:tbl>
    <w:p w14:paraId="07BE2CE4" w14:textId="77777777" w:rsidR="00A11FFD" w:rsidRDefault="00A11FFD" w:rsidP="00A11FFD">
      <w:pPr>
        <w:jc w:val="both"/>
        <w:rPr>
          <w:rFonts w:ascii="Times New Roman" w:hAnsi="Times New Roman"/>
        </w:rPr>
      </w:pPr>
      <w:r w:rsidRPr="00E22540">
        <w:rPr>
          <w:rFonts w:ascii="Times New Roman" w:hAnsi="Times New Roman"/>
        </w:rPr>
        <w:t xml:space="preserve">Note: Percentages sum to 100%; some articles span multiple themes. Sources: </w:t>
      </w:r>
      <w:r>
        <w:rPr>
          <w:rFonts w:ascii="Times New Roman" w:hAnsi="Times New Roman"/>
        </w:rPr>
        <w:t>R</w:t>
      </w:r>
      <w:r w:rsidRPr="00E22540">
        <w:rPr>
          <w:rFonts w:ascii="Times New Roman" w:hAnsi="Times New Roman"/>
        </w:rPr>
        <w:t xml:space="preserve">efined CA and AI–CA </w:t>
      </w:r>
      <w:proofErr w:type="gramStart"/>
      <w:r w:rsidRPr="00E22540">
        <w:rPr>
          <w:rFonts w:ascii="Times New Roman" w:hAnsi="Times New Roman"/>
        </w:rPr>
        <w:t>datasets.​</w:t>
      </w:r>
      <w:proofErr w:type="gramEnd"/>
    </w:p>
    <w:p w14:paraId="25CCEC5D" w14:textId="77777777" w:rsidR="00A11FFD" w:rsidRDefault="00A11FFD" w:rsidP="00A11FFD">
      <w:pPr>
        <w:jc w:val="both"/>
        <w:rPr>
          <w:rFonts w:ascii="Times New Roman" w:hAnsi="Times New Roman"/>
        </w:rPr>
      </w:pPr>
      <w:r>
        <w:rPr>
          <w:rFonts w:ascii="Times New Roman" w:hAnsi="Times New Roman"/>
        </w:rPr>
        <w:t xml:space="preserve">Figure 5: </w:t>
      </w:r>
      <w:r w:rsidRPr="00145937">
        <w:rPr>
          <w:rFonts w:ascii="Times New Roman" w:hAnsi="Times New Roman"/>
        </w:rPr>
        <w:t>Thematic composition of chartered accountancy research (N = 121)</w:t>
      </w:r>
    </w:p>
    <w:p w14:paraId="419474D7" w14:textId="77777777" w:rsidR="00A11FFD" w:rsidRPr="00E22540" w:rsidRDefault="00A11FFD" w:rsidP="00A11FFD">
      <w:pPr>
        <w:jc w:val="center"/>
        <w:rPr>
          <w:rFonts w:ascii="Times New Roman" w:hAnsi="Times New Roman"/>
        </w:rPr>
      </w:pPr>
      <w:r>
        <w:rPr>
          <w:noProof/>
        </w:rPr>
        <w:drawing>
          <wp:inline distT="0" distB="0" distL="0" distR="0" wp14:anchorId="4E56203A" wp14:editId="591F419D">
            <wp:extent cx="4572000" cy="2743200"/>
            <wp:effectExtent l="0" t="0" r="0" b="0"/>
            <wp:docPr id="1006465012" name="Chart 1">
              <a:extLst xmlns:a="http://schemas.openxmlformats.org/drawingml/2006/main">
                <a:ext uri="{FF2B5EF4-FFF2-40B4-BE49-F238E27FC236}">
                  <a16:creationId xmlns:a16="http://schemas.microsoft.com/office/drawing/2014/main" id="{A544F9F9-92F6-061E-CD2C-88A8E377D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75339C3" w14:textId="77777777" w:rsidR="00A11FFD" w:rsidRPr="00E22540" w:rsidRDefault="00A11FFD" w:rsidP="00A11FFD">
      <w:pPr>
        <w:jc w:val="both"/>
        <w:rPr>
          <w:rFonts w:ascii="Times New Roman" w:hAnsi="Times New Roman"/>
          <w:b/>
          <w:bCs/>
        </w:rPr>
      </w:pPr>
      <w:r>
        <w:rPr>
          <w:rFonts w:ascii="Times New Roman" w:hAnsi="Times New Roman"/>
          <w:b/>
          <w:bCs/>
        </w:rPr>
        <w:t>5</w:t>
      </w:r>
      <w:r w:rsidRPr="00E22540">
        <w:rPr>
          <w:rFonts w:ascii="Times New Roman" w:hAnsi="Times New Roman"/>
          <w:b/>
          <w:bCs/>
        </w:rPr>
        <w:t>.1 Corporate governance and disclosure (31.4% of articles)</w:t>
      </w:r>
    </w:p>
    <w:p w14:paraId="4EDBEFFD" w14:textId="77777777" w:rsidR="00A11FFD" w:rsidRPr="00F84B24" w:rsidRDefault="00A11FFD" w:rsidP="00A11FFD">
      <w:pPr>
        <w:jc w:val="both"/>
        <w:rPr>
          <w:rFonts w:ascii="Times New Roman" w:hAnsi="Times New Roman"/>
        </w:rPr>
      </w:pPr>
      <w:r w:rsidRPr="00F84B24">
        <w:rPr>
          <w:rFonts w:ascii="Times New Roman" w:hAnsi="Times New Roman"/>
        </w:rPr>
        <w:t>The primary issue involves examining the role of chartered accountants in company governance via financial reporting and disclosure standards. Research investigates voluntary disclosures in annual reports following IFRS adoption, board attributes and their influence on reporting quality, risk factor disclosures in bond prospectuses, and the function of independent directors in emerging markets. Boateng et al. (2022) examine governance systems in Ghanaian publicly traded organisations, whereas Prez et al. (2021) investigate risk disclosures in Spanish non-financial corporations.</w:t>
      </w:r>
    </w:p>
    <w:p w14:paraId="6692AA61" w14:textId="77777777" w:rsidR="00A11FFD" w:rsidRPr="00E22540" w:rsidRDefault="00A11FFD" w:rsidP="00A11FFD">
      <w:pPr>
        <w:jc w:val="both"/>
        <w:rPr>
          <w:rFonts w:ascii="Times New Roman" w:hAnsi="Times New Roman"/>
        </w:rPr>
      </w:pPr>
      <w:r w:rsidRPr="00E22540">
        <w:rPr>
          <w:rFonts w:ascii="Times New Roman" w:hAnsi="Times New Roman"/>
          <w:b/>
          <w:bCs/>
        </w:rPr>
        <w:t>Economic implications</w:t>
      </w:r>
      <w:r w:rsidRPr="00E22540">
        <w:rPr>
          <w:rFonts w:ascii="Times New Roman" w:hAnsi="Times New Roman"/>
        </w:rPr>
        <w:t>: This cluster is highly relevant to capital market efficiency, as accountants’ disclosure practices influence investor decision</w:t>
      </w:r>
      <w:r w:rsidRPr="00E22540">
        <w:rPr>
          <w:rFonts w:ascii="Times New Roman" w:hAnsi="Times New Roman"/>
        </w:rPr>
        <w:noBreakHyphen/>
        <w:t>making, cost of capital and market transparency. The prevalence of IFRS</w:t>
      </w:r>
      <w:r w:rsidRPr="00E22540">
        <w:rPr>
          <w:rFonts w:ascii="Times New Roman" w:hAnsi="Times New Roman"/>
        </w:rPr>
        <w:noBreakHyphen/>
        <w:t>related work reflects global harmonisation efforts, with implications for cross</w:t>
      </w:r>
      <w:r w:rsidRPr="00E22540">
        <w:rPr>
          <w:rFonts w:ascii="Times New Roman" w:hAnsi="Times New Roman"/>
        </w:rPr>
        <w:noBreakHyphen/>
        <w:t xml:space="preserve">border investment and regulatory </w:t>
      </w:r>
      <w:proofErr w:type="gramStart"/>
      <w:r w:rsidRPr="00E22540">
        <w:rPr>
          <w:rFonts w:ascii="Times New Roman" w:hAnsi="Times New Roman"/>
        </w:rPr>
        <w:t>convergence.​</w:t>
      </w:r>
      <w:proofErr w:type="gramEnd"/>
    </w:p>
    <w:p w14:paraId="239F338A" w14:textId="77777777" w:rsidR="00A11FFD" w:rsidRPr="00E22540" w:rsidRDefault="00A11FFD" w:rsidP="00A11FFD">
      <w:pPr>
        <w:jc w:val="both"/>
        <w:rPr>
          <w:rFonts w:ascii="Times New Roman" w:hAnsi="Times New Roman"/>
          <w:b/>
          <w:bCs/>
        </w:rPr>
      </w:pPr>
      <w:r>
        <w:rPr>
          <w:rFonts w:ascii="Times New Roman" w:hAnsi="Times New Roman"/>
          <w:b/>
          <w:bCs/>
        </w:rPr>
        <w:t>5</w:t>
      </w:r>
      <w:r w:rsidRPr="00E22540">
        <w:rPr>
          <w:rFonts w:ascii="Times New Roman" w:hAnsi="Times New Roman"/>
          <w:b/>
          <w:bCs/>
        </w:rPr>
        <w:t>.2 Audit practice, audit quality and Big Four (23.1%)</w:t>
      </w:r>
    </w:p>
    <w:p w14:paraId="2D8908FB" w14:textId="77777777" w:rsidR="00A11FFD" w:rsidRPr="006719D2" w:rsidRDefault="00A11FFD" w:rsidP="00A11FFD">
      <w:pPr>
        <w:jc w:val="both"/>
        <w:rPr>
          <w:rFonts w:ascii="Times New Roman" w:hAnsi="Times New Roman"/>
        </w:rPr>
      </w:pPr>
      <w:r w:rsidRPr="006719D2">
        <w:rPr>
          <w:rFonts w:ascii="Times New Roman" w:hAnsi="Times New Roman"/>
        </w:rPr>
        <w:t xml:space="preserve">Research focused on auditing examines the supervisory role of chartered accountants, the assessments performed by the Big Four companies, detailed audit reports, and the incorporation of emerging technologies in auditing practices. Primary topics include major audit matters (KAMs) in Spain, perception management by Big Four auditors during public enquiries, and the impact of CEO/CFO external directorships on auditor selection. Anomaly detection techniques for journal entries are also developed, merging traditional auditing with artificial intelligence. </w:t>
      </w:r>
      <w:r w:rsidRPr="006719D2">
        <w:rPr>
          <w:rFonts w:ascii="Times New Roman" w:hAnsi="Times New Roman"/>
        </w:rPr>
        <w:br/>
        <w:t>The calibre of audits directly impacts the reliability of financial accounts, the confidence of creditors, and systemic risk. The conclusions regarding the preeminence of the Big Four and regulatory constraints have substantial ramifications for competition policy and investor protection in capital markets.</w:t>
      </w:r>
    </w:p>
    <w:p w14:paraId="7D2A4279" w14:textId="77777777" w:rsidR="00A11FFD" w:rsidRPr="00E22540" w:rsidRDefault="00A11FFD" w:rsidP="00A11FFD">
      <w:pPr>
        <w:jc w:val="both"/>
        <w:rPr>
          <w:rFonts w:ascii="Times New Roman" w:hAnsi="Times New Roman"/>
          <w:b/>
          <w:bCs/>
        </w:rPr>
      </w:pPr>
      <w:r>
        <w:rPr>
          <w:rFonts w:ascii="Times New Roman" w:hAnsi="Times New Roman"/>
          <w:b/>
          <w:bCs/>
        </w:rPr>
        <w:t>5</w:t>
      </w:r>
      <w:r w:rsidRPr="00E22540">
        <w:rPr>
          <w:rFonts w:ascii="Times New Roman" w:hAnsi="Times New Roman"/>
          <w:b/>
          <w:bCs/>
        </w:rPr>
        <w:t>.3 Professional identity, education and history (18.2%)</w:t>
      </w:r>
    </w:p>
    <w:p w14:paraId="59450C20" w14:textId="77777777" w:rsidR="00A11FFD" w:rsidRDefault="00A11FFD" w:rsidP="00A11FFD">
      <w:pPr>
        <w:jc w:val="both"/>
        <w:rPr>
          <w:rFonts w:ascii="Times New Roman" w:hAnsi="Times New Roman"/>
        </w:rPr>
      </w:pPr>
      <w:r w:rsidRPr="006719D2">
        <w:rPr>
          <w:rFonts w:ascii="Times New Roman" w:hAnsi="Times New Roman"/>
        </w:rPr>
        <w:lastRenderedPageBreak/>
        <w:t xml:space="preserve">This issue explores the sociology and history of the CA profession, including professional associations, motivations for pursuing accounting doctorates, and the propagation of professional norms. Historical case studies include mergers in the Australian Chartered Accountancy profession, the social mobility of Scottish chartered accountants, and individual biographies, such as that of John Franklyn Venner. Educational study investigates PhD pathways and student reflections. </w:t>
      </w:r>
    </w:p>
    <w:p w14:paraId="48EEFE51" w14:textId="77777777" w:rsidR="00A11FFD" w:rsidRPr="006719D2" w:rsidRDefault="00A11FFD" w:rsidP="00A11FFD">
      <w:pPr>
        <w:jc w:val="both"/>
        <w:rPr>
          <w:rFonts w:ascii="Times New Roman" w:hAnsi="Times New Roman"/>
        </w:rPr>
      </w:pPr>
      <w:r w:rsidRPr="006719D2">
        <w:rPr>
          <w:rFonts w:ascii="Times New Roman" w:hAnsi="Times New Roman"/>
        </w:rPr>
        <w:br/>
        <w:t>The economic ramifications of professional identity research impact human capital development in accounting services, encompassing labour market dynamics, talent pipelines, and the regulatory licensing of accountants.</w:t>
      </w:r>
    </w:p>
    <w:p w14:paraId="139F4956" w14:textId="77777777" w:rsidR="00A11FFD" w:rsidRPr="00E22540" w:rsidRDefault="00A11FFD" w:rsidP="00A11FFD">
      <w:pPr>
        <w:jc w:val="both"/>
        <w:rPr>
          <w:rFonts w:ascii="Times New Roman" w:hAnsi="Times New Roman"/>
          <w:b/>
          <w:bCs/>
        </w:rPr>
      </w:pPr>
      <w:r>
        <w:rPr>
          <w:rFonts w:ascii="Times New Roman" w:hAnsi="Times New Roman"/>
          <w:b/>
          <w:bCs/>
        </w:rPr>
        <w:t>5</w:t>
      </w:r>
      <w:r w:rsidRPr="00E22540">
        <w:rPr>
          <w:rFonts w:ascii="Times New Roman" w:hAnsi="Times New Roman"/>
          <w:b/>
          <w:bCs/>
        </w:rPr>
        <w:t>.4 Public sector and regulatory reforms (14.9%)</w:t>
      </w:r>
    </w:p>
    <w:p w14:paraId="60CD2EE6" w14:textId="77777777" w:rsidR="00A11FFD" w:rsidRPr="006719D2" w:rsidRDefault="00A11FFD" w:rsidP="00A11FFD">
      <w:pPr>
        <w:jc w:val="both"/>
        <w:rPr>
          <w:rFonts w:ascii="Times New Roman" w:hAnsi="Times New Roman"/>
        </w:rPr>
      </w:pPr>
      <w:r w:rsidRPr="006719D2">
        <w:rPr>
          <w:rFonts w:ascii="Times New Roman" w:hAnsi="Times New Roman"/>
        </w:rPr>
        <w:t xml:space="preserve">Articles analyse the implementation of accrual accounting in government, stewardship, and decision usefulness within historical contexts, as well as advancements in risk disclosure. Studies from India, Poland, and South Africa highlight institutional barriers in public financial management. </w:t>
      </w:r>
      <w:r w:rsidRPr="006719D2">
        <w:rPr>
          <w:rFonts w:ascii="Times New Roman" w:hAnsi="Times New Roman"/>
        </w:rPr>
        <w:br/>
        <w:t>The economic consequences of public sector accounting reforms encompass fiscal transparency, debt sustainability, and the allocation of public resources—essential macroeconomic concerns. Findings support the establishment of evidence-based policies for governmental financial reporting.</w:t>
      </w:r>
    </w:p>
    <w:p w14:paraId="3A8D1269" w14:textId="77777777" w:rsidR="00A11FFD" w:rsidRPr="00E22540" w:rsidRDefault="00A11FFD" w:rsidP="00A11FFD">
      <w:pPr>
        <w:jc w:val="both"/>
        <w:rPr>
          <w:rFonts w:ascii="Times New Roman" w:hAnsi="Times New Roman"/>
          <w:b/>
          <w:bCs/>
        </w:rPr>
      </w:pPr>
      <w:r>
        <w:rPr>
          <w:rFonts w:ascii="Times New Roman" w:hAnsi="Times New Roman"/>
          <w:b/>
          <w:bCs/>
        </w:rPr>
        <w:t>5</w:t>
      </w:r>
      <w:r w:rsidRPr="00E22540">
        <w:rPr>
          <w:rFonts w:ascii="Times New Roman" w:hAnsi="Times New Roman"/>
          <w:b/>
          <w:bCs/>
        </w:rPr>
        <w:t>.5 Technology and AI in accounting (12.4%)</w:t>
      </w:r>
    </w:p>
    <w:p w14:paraId="51080C5A" w14:textId="77777777" w:rsidR="00A11FFD" w:rsidRDefault="00A11FFD" w:rsidP="00A11FFD">
      <w:pPr>
        <w:jc w:val="both"/>
        <w:rPr>
          <w:rFonts w:ascii="Times New Roman" w:hAnsi="Times New Roman"/>
        </w:rPr>
      </w:pPr>
      <w:r w:rsidRPr="006719D2">
        <w:rPr>
          <w:rFonts w:ascii="Times New Roman" w:hAnsi="Times New Roman"/>
        </w:rPr>
        <w:t xml:space="preserve">The most quickly developing theme is from the AI–CA subgroup, which includes digital competencies, robotic process automation in auditing, ethical frameworks for AI, and the integration of analytics into accounting courses. Titles such as “Digital Futures for Accountants” and “Artificial Intelligence and Robotic Process Automation in Auditing and Accounting” exemplify this focus. The tempo post-2020, featuring 17 items in 2024 and 16 in 2025, underscores the urgency. </w:t>
      </w:r>
    </w:p>
    <w:p w14:paraId="3CCEBA1A" w14:textId="77777777" w:rsidR="00A11FFD" w:rsidRPr="006719D2" w:rsidRDefault="00A11FFD" w:rsidP="00A11FFD">
      <w:pPr>
        <w:jc w:val="both"/>
        <w:rPr>
          <w:rFonts w:ascii="Times New Roman" w:hAnsi="Times New Roman"/>
        </w:rPr>
      </w:pPr>
      <w:r w:rsidRPr="006719D2">
        <w:rPr>
          <w:rFonts w:ascii="Times New Roman" w:hAnsi="Times New Roman"/>
        </w:rPr>
        <w:t>The economic implications of AI adoption suggest possible productivity improvements in accounting services by the automation of routine tasks; nevertheless, it also raises issues around job displacement, the need for skill development, and ethical governance. This matter is directly relevant to the plans of professional organisations and the regulatory modifications necessary for digital assurance.</w:t>
      </w:r>
    </w:p>
    <w:p w14:paraId="61C65661" w14:textId="77777777" w:rsidR="00A11FFD" w:rsidRPr="00E22540" w:rsidRDefault="00A11FFD" w:rsidP="00A11FFD">
      <w:pPr>
        <w:jc w:val="both"/>
        <w:rPr>
          <w:rFonts w:ascii="Times New Roman" w:hAnsi="Times New Roman"/>
        </w:rPr>
      </w:pPr>
      <w:r w:rsidRPr="00E22540">
        <w:rPr>
          <w:rFonts w:ascii="Times New Roman" w:hAnsi="Times New Roman"/>
        </w:rPr>
        <w:t xml:space="preserve">The thematic structure reveals a field balancing traditional concerns (governance, audit, regulation) with emerging challenges (technology, digital ethics), with strong economic relevance across financial stability, market efficiency and public fiscal management. The next section discusses these patterns and their </w:t>
      </w:r>
      <w:proofErr w:type="gramStart"/>
      <w:r w:rsidRPr="00E22540">
        <w:rPr>
          <w:rFonts w:ascii="Times New Roman" w:hAnsi="Times New Roman"/>
        </w:rPr>
        <w:t>implications.​</w:t>
      </w:r>
      <w:proofErr w:type="gramEnd"/>
    </w:p>
    <w:p w14:paraId="10ECA66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B864C1" w14:textId="77777777" w:rsidR="00790ADA" w:rsidRPr="00FB3A86" w:rsidRDefault="00790ADA" w:rsidP="00441B6F">
      <w:pPr>
        <w:pStyle w:val="Head1"/>
        <w:spacing w:after="0"/>
        <w:jc w:val="both"/>
        <w:rPr>
          <w:rFonts w:ascii="Arial" w:hAnsi="Arial" w:cs="Arial"/>
        </w:rPr>
      </w:pPr>
    </w:p>
    <w:p w14:paraId="79FE27D0" w14:textId="77777777" w:rsidR="00A11FFD" w:rsidRPr="00EE7F9F" w:rsidRDefault="00A11FFD" w:rsidP="00A11FFD">
      <w:pPr>
        <w:jc w:val="both"/>
        <w:rPr>
          <w:rFonts w:ascii="Times New Roman" w:hAnsi="Times New Roman"/>
        </w:rPr>
      </w:pPr>
      <w:r w:rsidRPr="00EE7F9F">
        <w:rPr>
          <w:rFonts w:ascii="Times New Roman" w:hAnsi="Times New Roman"/>
        </w:rPr>
        <w:t xml:space="preserve">The bibliometric and thematic analysis of chartered accountancy (CA) research reveals several key patterns with significant implications for the profession, regulatory bodies, educators and policymakers. This section interprets the findings in relation to prior literature, highlights economic contributions and outlines practical and research </w:t>
      </w:r>
      <w:proofErr w:type="gramStart"/>
      <w:r w:rsidRPr="00EE7F9F">
        <w:rPr>
          <w:rFonts w:ascii="Times New Roman" w:hAnsi="Times New Roman"/>
        </w:rPr>
        <w:t>implications.​</w:t>
      </w:r>
      <w:proofErr w:type="gramEnd"/>
    </w:p>
    <w:p w14:paraId="264A3F64" w14:textId="77777777" w:rsidR="00A11FFD" w:rsidRPr="00EE7F9F" w:rsidRDefault="00A11FFD" w:rsidP="00A11FFD">
      <w:pPr>
        <w:jc w:val="both"/>
        <w:rPr>
          <w:rFonts w:ascii="Times New Roman" w:hAnsi="Times New Roman"/>
          <w:b/>
          <w:bCs/>
        </w:rPr>
      </w:pPr>
      <w:r>
        <w:rPr>
          <w:rFonts w:ascii="Times New Roman" w:hAnsi="Times New Roman"/>
          <w:b/>
          <w:bCs/>
        </w:rPr>
        <w:t>6</w:t>
      </w:r>
      <w:r w:rsidRPr="00EE7F9F">
        <w:rPr>
          <w:rFonts w:ascii="Times New Roman" w:hAnsi="Times New Roman"/>
          <w:b/>
          <w:bCs/>
        </w:rPr>
        <w:t>.1 Interpretation of key findings</w:t>
      </w:r>
    </w:p>
    <w:p w14:paraId="096E974E" w14:textId="77777777" w:rsidR="00A11FFD" w:rsidRPr="00D54326" w:rsidRDefault="00A11FFD" w:rsidP="00A11FFD">
      <w:pPr>
        <w:jc w:val="both"/>
        <w:rPr>
          <w:rFonts w:ascii="Times New Roman" w:hAnsi="Times New Roman"/>
        </w:rPr>
      </w:pPr>
      <w:r w:rsidRPr="00D54326">
        <w:rPr>
          <w:rFonts w:ascii="Times New Roman" w:hAnsi="Times New Roman"/>
        </w:rPr>
        <w:t xml:space="preserve">The concentration of CA research in the post-2020 period (100% of 121 articles) signifies a reaction to heightened global pressures on the accounting profession, encompassing corporate governance scandals, challenges in IFRS implementation, public sector accounting reforms, and the COVID-19-induced acceleration of digitalisation. The preeminence of UK (36.4%) and US (16.5%) publishers highlights the enduring influence of Anglo-Saxon professional organisations such as ICAEW, AICPA, and ACCA, which persist in shaping global discussions on accounting standards and ethics. Recent contributions from Ukraine, South Africa, and Malaysia indicate an increasing research capacity in transitional and developing economies, where Chartered Accountants are crucial in market development and regulatory capacity enhancement. </w:t>
      </w:r>
      <w:r w:rsidRPr="00D54326">
        <w:rPr>
          <w:rFonts w:ascii="Times New Roman" w:hAnsi="Times New Roman"/>
        </w:rPr>
        <w:br/>
        <w:t>The concentration of journals like Accounting and Business Research and Corporate Ownership and Control suggests that studies related to the CA profession attract both core accounting and interdisciplinary governance readers. The substantial open access share (74.4%) amplifies the global accessibility of our findings, particularly advantageous for professional organisations and regulators in resource-limited environments.</w:t>
      </w:r>
    </w:p>
    <w:p w14:paraId="72AF32BF" w14:textId="77777777" w:rsidR="00A11FFD" w:rsidRPr="00D54326" w:rsidRDefault="00A11FFD" w:rsidP="00A11FFD">
      <w:pPr>
        <w:jc w:val="both"/>
        <w:rPr>
          <w:rFonts w:ascii="Times New Roman" w:hAnsi="Times New Roman"/>
        </w:rPr>
      </w:pPr>
      <w:r w:rsidRPr="00D54326">
        <w:rPr>
          <w:rFonts w:ascii="Times New Roman" w:hAnsi="Times New Roman"/>
        </w:rPr>
        <w:t>Thematically, the predominance of corporate governance and disclosure (31.4%) corresponds with post-financial crisis concerns about financial transparency and investor protection. Research on audit quality (23.1%) engages in current discussions over the market dominance of the Big Four and the dependability of assurance, whilst studies on professional identity (18.2%) examine the changing function of chartered accountants in the context of automation and legislative transformations. Public sector reforms (14.9%) underscore issues in fiscal responsibility within government accounting, while the technology/AI theme (12.4%) reflects the profession's response to digital disruption. The swift expansion of AI–CA research following 2023 (33 publications in 2024–2025 out of 62) reflects wider trends in the digitisation of professional services.</w:t>
      </w:r>
    </w:p>
    <w:p w14:paraId="463AB80E" w14:textId="77777777" w:rsidR="00A11FFD" w:rsidRPr="00EE7F9F" w:rsidRDefault="00A11FFD" w:rsidP="00A11FFD">
      <w:pPr>
        <w:jc w:val="both"/>
        <w:rPr>
          <w:rFonts w:ascii="Times New Roman" w:hAnsi="Times New Roman"/>
          <w:b/>
          <w:bCs/>
        </w:rPr>
      </w:pPr>
      <w:r>
        <w:rPr>
          <w:rFonts w:ascii="Times New Roman" w:hAnsi="Times New Roman"/>
          <w:b/>
          <w:bCs/>
        </w:rPr>
        <w:t>6</w:t>
      </w:r>
      <w:r w:rsidRPr="00EE7F9F">
        <w:rPr>
          <w:rFonts w:ascii="Times New Roman" w:hAnsi="Times New Roman"/>
          <w:b/>
          <w:bCs/>
        </w:rPr>
        <w:t>.2 Economic implications</w:t>
      </w:r>
    </w:p>
    <w:p w14:paraId="55B3D5DD" w14:textId="77777777" w:rsidR="00A11FFD" w:rsidRPr="00D54326" w:rsidRDefault="00A11FFD" w:rsidP="00A11FFD">
      <w:pPr>
        <w:jc w:val="both"/>
        <w:rPr>
          <w:rFonts w:ascii="Times New Roman" w:hAnsi="Times New Roman"/>
        </w:rPr>
      </w:pPr>
      <w:r w:rsidRPr="00D54326">
        <w:rPr>
          <w:rFonts w:ascii="Times New Roman" w:hAnsi="Times New Roman"/>
        </w:rPr>
        <w:t xml:space="preserve">The topic framework of CA research is directly pertinent to financial stability, market efficiency, and resource allocation from an economic standpoint. Studies on corporate governance and disclosure guide policies that mitigate information asymmetry between companies and investors, potentially decreasing the cost of capital and improving market liquidity. Research on audit quality reinforces reliable financial assurance, which is essential for credit allocation and systemic risk management—vital for banking stability and economic development. </w:t>
      </w:r>
      <w:r w:rsidRPr="00D54326">
        <w:rPr>
          <w:rFonts w:ascii="Times New Roman" w:hAnsi="Times New Roman"/>
        </w:rPr>
        <w:br/>
        <w:t xml:space="preserve">Public sector accounting reforms, highlighted in the dataset, pertain to fiscal transparency and debt sustainability, affecting sovereign credit ratings and the efficiency of public investment. The AI–CA theme presents significant potential for productivity enhancements: the automation of routine tasks (such as journal entry anomaly detection and robotic process automation in auditing) could decrease accounting service expenses by 20–40%, thereby enabling chartered accountants to engage in more valuable advisory functions </w:t>
      </w:r>
      <w:r w:rsidRPr="00D54326">
        <w:rPr>
          <w:rFonts w:ascii="Times New Roman" w:hAnsi="Times New Roman"/>
        </w:rPr>
        <w:lastRenderedPageBreak/>
        <w:t>related to strategy, sustainability reporting, and AI ethics. This change, however, poses dangers of labour displacement and necessitates investments in reskilling, while also impacting the macroeconomic trade balances of professional services.</w:t>
      </w:r>
    </w:p>
    <w:p w14:paraId="6F2064E3" w14:textId="77777777" w:rsidR="00A11FFD" w:rsidRPr="00EE7F9F" w:rsidRDefault="00A11FFD" w:rsidP="00A11FFD">
      <w:pPr>
        <w:jc w:val="both"/>
        <w:rPr>
          <w:rFonts w:ascii="Times New Roman" w:hAnsi="Times New Roman"/>
        </w:rPr>
      </w:pPr>
      <w:r w:rsidRPr="00EE7F9F">
        <w:rPr>
          <w:rFonts w:ascii="Times New Roman" w:hAnsi="Times New Roman"/>
        </w:rPr>
        <w:t>Geographically, the Anglo</w:t>
      </w:r>
      <w:r w:rsidRPr="00EE7F9F">
        <w:rPr>
          <w:rFonts w:ascii="Times New Roman" w:hAnsi="Times New Roman"/>
        </w:rPr>
        <w:noBreakHyphen/>
        <w:t xml:space="preserve">European dominance suggests potential knowledge gaps in Global South contexts, where CA professionals often lead informal economy formalisation and SME financial inclusion—key drivers of inclusive </w:t>
      </w:r>
      <w:proofErr w:type="gramStart"/>
      <w:r w:rsidRPr="00EE7F9F">
        <w:rPr>
          <w:rFonts w:ascii="Times New Roman" w:hAnsi="Times New Roman"/>
        </w:rPr>
        <w:t>growth.​</w:t>
      </w:r>
      <w:proofErr w:type="gramEnd"/>
    </w:p>
    <w:p w14:paraId="48CB3DFE" w14:textId="77777777" w:rsidR="00A11FFD" w:rsidRPr="00EE7F9F" w:rsidRDefault="00A11FFD" w:rsidP="00A11FFD">
      <w:pPr>
        <w:jc w:val="both"/>
        <w:rPr>
          <w:rFonts w:ascii="Times New Roman" w:hAnsi="Times New Roman"/>
          <w:b/>
          <w:bCs/>
        </w:rPr>
      </w:pPr>
      <w:r>
        <w:rPr>
          <w:rFonts w:ascii="Times New Roman" w:hAnsi="Times New Roman"/>
          <w:b/>
          <w:bCs/>
        </w:rPr>
        <w:t>6</w:t>
      </w:r>
      <w:r w:rsidRPr="00EE7F9F">
        <w:rPr>
          <w:rFonts w:ascii="Times New Roman" w:hAnsi="Times New Roman"/>
          <w:b/>
          <w:bCs/>
        </w:rPr>
        <w:t>.3 Implications for the CA profession</w:t>
      </w:r>
    </w:p>
    <w:p w14:paraId="381617E9" w14:textId="77777777" w:rsidR="00A11FFD" w:rsidRPr="00D54326" w:rsidRDefault="00A11FFD" w:rsidP="00A11FFD">
      <w:pPr>
        <w:jc w:val="both"/>
        <w:rPr>
          <w:rFonts w:ascii="Times New Roman" w:hAnsi="Times New Roman"/>
        </w:rPr>
      </w:pPr>
      <w:r w:rsidRPr="00D54326">
        <w:rPr>
          <w:rFonts w:ascii="Times New Roman" w:hAnsi="Times New Roman"/>
        </w:rPr>
        <w:t>Professional organisations (e.g., ICAEW, AICPA, CAANZ) may utilise these findings to promote continuing professional development (CPD) initiatives. Themes of governance and audit highlight the necessity for advanced training in IFRS disclosure and comprehensive audit reporting, while AI competencies like as data analytics, robotic process automation, and ethical AI frameworks should constitute fundamental modules. The literature on professional identity advocates for focused recruitment initiatives that emphasise the profession's historical resilience and societal significance.</w:t>
      </w:r>
    </w:p>
    <w:p w14:paraId="42A008EE" w14:textId="77777777" w:rsidR="00A11FFD" w:rsidRPr="00D54326" w:rsidRDefault="00A11FFD" w:rsidP="00A11FFD">
      <w:pPr>
        <w:jc w:val="both"/>
        <w:rPr>
          <w:rFonts w:ascii="Times New Roman" w:hAnsi="Times New Roman"/>
        </w:rPr>
      </w:pPr>
      <w:r w:rsidRPr="00D54326">
        <w:rPr>
          <w:rFonts w:ascii="Times New Roman" w:hAnsi="Times New Roman"/>
        </w:rPr>
        <w:t>Regulators ought to utilise studies on transparency and public sector reform to enhance standards, such as obligatory Key Audit Matters (KAMs) or accrual-based government reporting, while balancing compliance costs against economic advantages like enhanced budgetary discipline.</w:t>
      </w:r>
    </w:p>
    <w:p w14:paraId="108370A6" w14:textId="77777777" w:rsidR="00A11FFD" w:rsidRPr="00EE7F9F" w:rsidRDefault="00A11FFD" w:rsidP="00A11FFD">
      <w:pPr>
        <w:jc w:val="both"/>
        <w:rPr>
          <w:rFonts w:ascii="Times New Roman" w:hAnsi="Times New Roman"/>
          <w:b/>
          <w:bCs/>
        </w:rPr>
      </w:pPr>
      <w:r>
        <w:rPr>
          <w:rFonts w:ascii="Times New Roman" w:hAnsi="Times New Roman"/>
          <w:b/>
          <w:bCs/>
        </w:rPr>
        <w:t>6</w:t>
      </w:r>
      <w:r w:rsidRPr="00EE7F9F">
        <w:rPr>
          <w:rFonts w:ascii="Times New Roman" w:hAnsi="Times New Roman"/>
          <w:b/>
          <w:bCs/>
        </w:rPr>
        <w:t>.4 Implications for accounting education and research</w:t>
      </w:r>
    </w:p>
    <w:p w14:paraId="1D855025" w14:textId="77777777" w:rsidR="00A11FFD" w:rsidRPr="00EE7F9F" w:rsidRDefault="00A11FFD" w:rsidP="00A11FFD">
      <w:pPr>
        <w:jc w:val="both"/>
        <w:rPr>
          <w:rFonts w:ascii="Times New Roman" w:hAnsi="Times New Roman"/>
        </w:rPr>
      </w:pPr>
      <w:r w:rsidRPr="00EE7F9F">
        <w:rPr>
          <w:rFonts w:ascii="Times New Roman" w:hAnsi="Times New Roman"/>
          <w:b/>
          <w:bCs/>
        </w:rPr>
        <w:t>Educators</w:t>
      </w:r>
      <w:r w:rsidRPr="00EE7F9F">
        <w:rPr>
          <w:rFonts w:ascii="Times New Roman" w:hAnsi="Times New Roman"/>
        </w:rPr>
        <w:t> face a clear mandate to integrate thematic priorities into curricula: governance case studies, audit simulation with AI tools, historical perspectives on professionalisation, and public sector accounting modules. Doctoral programmes should emphasise mixed</w:t>
      </w:r>
      <w:r w:rsidRPr="00EE7F9F">
        <w:rPr>
          <w:rFonts w:ascii="Times New Roman" w:hAnsi="Times New Roman"/>
        </w:rPr>
        <w:noBreakHyphen/>
        <w:t xml:space="preserve">methods approaches to bridge the research–practice gap highlighted in enrolment motivation </w:t>
      </w:r>
      <w:proofErr w:type="gramStart"/>
      <w:r w:rsidRPr="00EE7F9F">
        <w:rPr>
          <w:rFonts w:ascii="Times New Roman" w:hAnsi="Times New Roman"/>
        </w:rPr>
        <w:t>studies.​</w:t>
      </w:r>
      <w:proofErr w:type="gramEnd"/>
    </w:p>
    <w:p w14:paraId="1E606BFE" w14:textId="77777777" w:rsidR="00A11FFD" w:rsidRPr="00EE7F9F" w:rsidRDefault="00A11FFD" w:rsidP="00A11FFD">
      <w:pPr>
        <w:jc w:val="both"/>
        <w:rPr>
          <w:rFonts w:ascii="Times New Roman" w:hAnsi="Times New Roman"/>
        </w:rPr>
      </w:pPr>
      <w:r w:rsidRPr="00EE7F9F">
        <w:rPr>
          <w:rFonts w:ascii="Times New Roman" w:hAnsi="Times New Roman"/>
          <w:b/>
          <w:bCs/>
        </w:rPr>
        <w:t>Researchers</w:t>
      </w:r>
      <w:r w:rsidRPr="00EE7F9F">
        <w:rPr>
          <w:rFonts w:ascii="Times New Roman" w:hAnsi="Times New Roman"/>
        </w:rPr>
        <w:t> are encouraged to:</w:t>
      </w:r>
    </w:p>
    <w:p w14:paraId="741BACDD" w14:textId="77777777" w:rsidR="00A11FFD" w:rsidRPr="00EE7F9F" w:rsidRDefault="00A11FFD" w:rsidP="00A11FFD">
      <w:pPr>
        <w:numPr>
          <w:ilvl w:val="0"/>
          <w:numId w:val="36"/>
        </w:numPr>
        <w:spacing w:line="278" w:lineRule="auto"/>
        <w:jc w:val="both"/>
        <w:rPr>
          <w:rFonts w:ascii="Times New Roman" w:hAnsi="Times New Roman"/>
        </w:rPr>
      </w:pPr>
      <w:r w:rsidRPr="00EE7F9F">
        <w:rPr>
          <w:rFonts w:ascii="Times New Roman" w:hAnsi="Times New Roman"/>
        </w:rPr>
        <w:t>Expand geographical coverage to underrepresented regions (e.g., Africa, Latin America</w:t>
      </w:r>
      <w:proofErr w:type="gramStart"/>
      <w:r w:rsidRPr="00EE7F9F">
        <w:rPr>
          <w:rFonts w:ascii="Times New Roman" w:hAnsi="Times New Roman"/>
        </w:rPr>
        <w:t>).​</w:t>
      </w:r>
      <w:proofErr w:type="gramEnd"/>
    </w:p>
    <w:p w14:paraId="64C37FF6" w14:textId="77777777" w:rsidR="00A11FFD" w:rsidRPr="00EE7F9F" w:rsidRDefault="00A11FFD" w:rsidP="00A11FFD">
      <w:pPr>
        <w:numPr>
          <w:ilvl w:val="0"/>
          <w:numId w:val="36"/>
        </w:numPr>
        <w:spacing w:line="278" w:lineRule="auto"/>
        <w:jc w:val="both"/>
        <w:rPr>
          <w:rFonts w:ascii="Times New Roman" w:hAnsi="Times New Roman"/>
        </w:rPr>
      </w:pPr>
      <w:r w:rsidRPr="00EE7F9F">
        <w:rPr>
          <w:rFonts w:ascii="Times New Roman" w:hAnsi="Times New Roman"/>
        </w:rPr>
        <w:t>Conduct longitudinal studies tracking AI adoption impacts on CA productivity and job roles.</w:t>
      </w:r>
    </w:p>
    <w:p w14:paraId="3B10ECF0" w14:textId="77777777" w:rsidR="00A11FFD" w:rsidRPr="00EE7F9F" w:rsidRDefault="00A11FFD" w:rsidP="00A11FFD">
      <w:pPr>
        <w:numPr>
          <w:ilvl w:val="0"/>
          <w:numId w:val="36"/>
        </w:numPr>
        <w:spacing w:line="278" w:lineRule="auto"/>
        <w:jc w:val="both"/>
        <w:rPr>
          <w:rFonts w:ascii="Times New Roman" w:hAnsi="Times New Roman"/>
        </w:rPr>
      </w:pPr>
      <w:r w:rsidRPr="00EE7F9F">
        <w:rPr>
          <w:rFonts w:ascii="Times New Roman" w:hAnsi="Times New Roman"/>
        </w:rPr>
        <w:t xml:space="preserve">Explore intersections with sustainability reporting and ESG assurance, building on governance </w:t>
      </w:r>
      <w:proofErr w:type="gramStart"/>
      <w:r w:rsidRPr="00EE7F9F">
        <w:rPr>
          <w:rFonts w:ascii="Times New Roman" w:hAnsi="Times New Roman"/>
        </w:rPr>
        <w:t>themes.​</w:t>
      </w:r>
      <w:proofErr w:type="gramEnd"/>
    </w:p>
    <w:p w14:paraId="135E9499" w14:textId="77777777" w:rsidR="00A11FFD" w:rsidRPr="00EE7F9F" w:rsidRDefault="00A11FFD" w:rsidP="00A11FFD">
      <w:pPr>
        <w:numPr>
          <w:ilvl w:val="0"/>
          <w:numId w:val="36"/>
        </w:numPr>
        <w:spacing w:line="278" w:lineRule="auto"/>
        <w:jc w:val="both"/>
        <w:rPr>
          <w:rFonts w:ascii="Times New Roman" w:hAnsi="Times New Roman"/>
        </w:rPr>
      </w:pPr>
      <w:r w:rsidRPr="00EE7F9F">
        <w:rPr>
          <w:rFonts w:ascii="Times New Roman" w:hAnsi="Times New Roman"/>
        </w:rPr>
        <w:t>Use experimental methods to test disclosure effectiveness in AI</w:t>
      </w:r>
      <w:r w:rsidRPr="00EE7F9F">
        <w:rPr>
          <w:rFonts w:ascii="Times New Roman" w:hAnsi="Times New Roman"/>
        </w:rPr>
        <w:noBreakHyphen/>
        <w:t>augmented environments.</w:t>
      </w:r>
    </w:p>
    <w:p w14:paraId="2E776A27" w14:textId="77777777" w:rsidR="00E053D0" w:rsidRDefault="00E053D0" w:rsidP="00441B6F">
      <w:pPr>
        <w:pStyle w:val="Body"/>
        <w:spacing w:after="0"/>
        <w:rPr>
          <w:rFonts w:ascii="Arial" w:hAnsi="Arial" w:cs="Arial"/>
        </w:rPr>
      </w:pPr>
    </w:p>
    <w:p w14:paraId="36303954" w14:textId="77777777" w:rsidR="00790ADA" w:rsidRPr="00FB3A86" w:rsidRDefault="00790ADA" w:rsidP="00441B6F">
      <w:pPr>
        <w:pStyle w:val="Body"/>
        <w:spacing w:after="0"/>
        <w:rPr>
          <w:rFonts w:ascii="Arial" w:hAnsi="Arial" w:cs="Arial"/>
        </w:rPr>
      </w:pPr>
    </w:p>
    <w:p w14:paraId="7314193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5183AAE" w14:textId="77777777" w:rsidR="00790ADA" w:rsidRPr="00FB3A86" w:rsidRDefault="00790ADA" w:rsidP="00441B6F">
      <w:pPr>
        <w:pStyle w:val="ConcHead"/>
        <w:spacing w:after="0"/>
        <w:jc w:val="both"/>
        <w:rPr>
          <w:rFonts w:ascii="Arial" w:hAnsi="Arial" w:cs="Arial"/>
        </w:rPr>
      </w:pPr>
    </w:p>
    <w:p w14:paraId="6D900E08" w14:textId="77777777" w:rsidR="00A11FFD" w:rsidRDefault="00A11FFD" w:rsidP="00A11FFD">
      <w:pPr>
        <w:jc w:val="both"/>
        <w:rPr>
          <w:rFonts w:ascii="Times New Roman" w:hAnsi="Times New Roman"/>
        </w:rPr>
      </w:pPr>
      <w:r w:rsidRPr="00D54326">
        <w:rPr>
          <w:rFonts w:ascii="Times New Roman" w:hAnsi="Times New Roman"/>
        </w:rPr>
        <w:t>This study presents the inaugural bibliometric and thematic analysis of worldwide research on the chartered accountancy profession, utilising 121 journal articles from 2020 to 2025 and a specific subset of 62 AI–CA studies. Significant findings encompass a jump in publications post-2020, predominance of UK and US outlets, prevalence of themes related to governance, audit, and professional identity, as well as the emergence of an AI–CA stream concentrating on competencies, automation, and ethics.</w:t>
      </w:r>
    </w:p>
    <w:p w14:paraId="4A774D87" w14:textId="77777777" w:rsidR="00A11FFD" w:rsidRPr="00D54326" w:rsidRDefault="00A11FFD" w:rsidP="00A11FFD">
      <w:pPr>
        <w:jc w:val="both"/>
        <w:rPr>
          <w:rFonts w:ascii="Times New Roman" w:hAnsi="Times New Roman"/>
        </w:rPr>
      </w:pPr>
      <w:r w:rsidRPr="00D54326">
        <w:rPr>
          <w:rFonts w:ascii="Times New Roman" w:hAnsi="Times New Roman"/>
        </w:rPr>
        <w:t>These patterns reveal the profession's adjustment to regulatory, technological, and societal challenges, with distinct economic consequences for market transparency, audit credibility, fiscal management, and service sector productivity. The analysis provides professional organisations, regulators, and educators with an evidence-based framework for strategic priorities.</w:t>
      </w:r>
      <w:r w:rsidRPr="00D54326">
        <w:rPr>
          <w:rFonts w:ascii="Times New Roman" w:hAnsi="Times New Roman"/>
        </w:rPr>
        <w:br/>
        <w:t>The limitations encompass an exclusive focus on the English language, a concentration on recent years, and a dependence on descriptive bibliometrics instead of sophisticated citation networks. Future study should tackle these issues by integrating non-English sources, exploring pre-2020 archives, and use network analysis to examine co-citation trends. Focused research on the effects of AI in Global South CA practices, sustainability assurance functions, and regulatory experiments would enhance the discipline.</w:t>
      </w:r>
    </w:p>
    <w:p w14:paraId="5DE6215D" w14:textId="77777777" w:rsidR="00790ADA" w:rsidRPr="00FB3A86" w:rsidRDefault="00790ADA" w:rsidP="00441B6F">
      <w:pPr>
        <w:pStyle w:val="Body"/>
        <w:spacing w:after="0"/>
        <w:rPr>
          <w:rFonts w:ascii="Arial" w:hAnsi="Arial" w:cs="Arial"/>
        </w:rPr>
      </w:pPr>
    </w:p>
    <w:p w14:paraId="1700BAE9" w14:textId="77777777" w:rsidR="00315186" w:rsidRPr="00315186" w:rsidRDefault="00315186" w:rsidP="00441B6F"/>
    <w:p w14:paraId="120F2BA1" w14:textId="77777777" w:rsidR="00315186" w:rsidRPr="00315186" w:rsidRDefault="00315186" w:rsidP="00441B6F"/>
    <w:p w14:paraId="15710FF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D7F6A3A" w14:textId="77777777" w:rsidR="00790ADA" w:rsidRPr="00FB3A86" w:rsidRDefault="00790ADA" w:rsidP="00441B6F">
      <w:pPr>
        <w:pStyle w:val="ReferHead"/>
        <w:spacing w:after="0"/>
        <w:jc w:val="both"/>
        <w:rPr>
          <w:rFonts w:ascii="Arial" w:hAnsi="Arial" w:cs="Arial"/>
        </w:rPr>
      </w:pPr>
    </w:p>
    <w:p w14:paraId="0C1AFC94"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Jenkins, J. G., Popova, V., &amp; Sheldon, M. D. (2020). Monitoring the accounting profession under the AICPA code of professional conduct: An analysis of state board of accountancy participation. </w:t>
      </w:r>
      <w:r w:rsidRPr="00CF42E8">
        <w:rPr>
          <w:rFonts w:ascii="Times New Roman" w:hAnsi="Times New Roman"/>
          <w:i/>
          <w:iCs/>
        </w:rPr>
        <w:t>Journal of Accounting and Public Policy</w:t>
      </w:r>
      <w:r w:rsidRPr="00CF42E8">
        <w:rPr>
          <w:rFonts w:ascii="Times New Roman" w:hAnsi="Times New Roman"/>
        </w:rPr>
        <w:t>, 39(3), Article 106742. </w:t>
      </w:r>
      <w:hyperlink r:id="rId23" w:tgtFrame="_blank" w:history="1">
        <w:r w:rsidRPr="00CF42E8">
          <w:rPr>
            <w:rStyle w:val="Hyperlink"/>
            <w:rFonts w:ascii="Times New Roman" w:hAnsi="Times New Roman"/>
          </w:rPr>
          <w:t>https://doi.org/10.1016/j.jaccpubpol.2020.106742</w:t>
        </w:r>
      </w:hyperlink>
    </w:p>
    <w:p w14:paraId="02587483"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Arimany Serrat, N., Viladecans Riera, C., &amp; Morera Basuldo, P. (2020). ACC and ACCID: Two accounting associations from Catalonia, 80 years apart. </w:t>
      </w:r>
      <w:r w:rsidRPr="00CF42E8">
        <w:rPr>
          <w:rFonts w:ascii="Times New Roman" w:hAnsi="Times New Roman"/>
          <w:i/>
          <w:iCs/>
        </w:rPr>
        <w:t>Intangible Capital</w:t>
      </w:r>
      <w:r w:rsidRPr="00CF42E8">
        <w:rPr>
          <w:rFonts w:ascii="Times New Roman" w:hAnsi="Times New Roman"/>
        </w:rPr>
        <w:t>, 16(2), 155–170. </w:t>
      </w:r>
      <w:hyperlink r:id="rId24" w:tgtFrame="_blank" w:history="1">
        <w:r w:rsidRPr="00CF42E8">
          <w:rPr>
            <w:rStyle w:val="Hyperlink"/>
            <w:rFonts w:ascii="Times New Roman" w:hAnsi="Times New Roman"/>
          </w:rPr>
          <w:t>https://doi.org/10.3926/ic.1555</w:t>
        </w:r>
      </w:hyperlink>
    </w:p>
    <w:p w14:paraId="167A88A7"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Tsileponis, N., Stathopoulos, K., &amp; Walker, M. (2020). The monitoring role of the financial press around corporate announcements. </w:t>
      </w:r>
      <w:r w:rsidRPr="00CF42E8">
        <w:rPr>
          <w:rFonts w:ascii="Times New Roman" w:hAnsi="Times New Roman"/>
          <w:i/>
          <w:iCs/>
        </w:rPr>
        <w:t>Accounting and Business Research</w:t>
      </w:r>
      <w:r w:rsidRPr="00CF42E8">
        <w:rPr>
          <w:rFonts w:ascii="Times New Roman" w:hAnsi="Times New Roman"/>
        </w:rPr>
        <w:t>, 50(5), 456–490. </w:t>
      </w:r>
      <w:hyperlink r:id="rId25" w:tgtFrame="_blank" w:history="1">
        <w:r w:rsidRPr="00CF42E8">
          <w:rPr>
            <w:rStyle w:val="Hyperlink"/>
            <w:rFonts w:ascii="Times New Roman" w:hAnsi="Times New Roman"/>
          </w:rPr>
          <w:t>https://doi.org/10.1080/00014788.2020.1735290</w:t>
        </w:r>
      </w:hyperlink>
    </w:p>
    <w:p w14:paraId="75D937F2"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Edwards, J. R., &amp; Boyns, T. (2022). Published accounts, stewardship, and decision making: A case study 1863–1940. </w:t>
      </w:r>
      <w:r w:rsidRPr="00CF42E8">
        <w:rPr>
          <w:rFonts w:ascii="Times New Roman" w:hAnsi="Times New Roman"/>
          <w:i/>
          <w:iCs/>
        </w:rPr>
        <w:t>Abacus</w:t>
      </w:r>
      <w:r w:rsidRPr="00CF42E8">
        <w:rPr>
          <w:rFonts w:ascii="Times New Roman" w:hAnsi="Times New Roman"/>
        </w:rPr>
        <w:t>, 58(2), 300–333. </w:t>
      </w:r>
      <w:hyperlink r:id="rId26" w:tgtFrame="_blank" w:history="1">
        <w:r w:rsidRPr="00CF42E8">
          <w:rPr>
            <w:rStyle w:val="Hyperlink"/>
            <w:rFonts w:ascii="Times New Roman" w:hAnsi="Times New Roman"/>
          </w:rPr>
          <w:t>https://doi.org/10.1111/abac.12251</w:t>
        </w:r>
      </w:hyperlink>
    </w:p>
    <w:p w14:paraId="2944487C"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Boateng, R. N., Tawiah, V., &amp; Tackie, G. (2022). Corporate governance and voluntary disclosures in annual reports: A post-International Financial Reporting Standard adoption evidence from an emerging capital market. </w:t>
      </w:r>
      <w:r w:rsidRPr="00CF42E8">
        <w:rPr>
          <w:rFonts w:ascii="Times New Roman" w:hAnsi="Times New Roman"/>
          <w:i/>
          <w:iCs/>
        </w:rPr>
        <w:t>International Journal of Accounting &amp; Information Management</w:t>
      </w:r>
      <w:r w:rsidRPr="00CF42E8">
        <w:rPr>
          <w:rFonts w:ascii="Times New Roman" w:hAnsi="Times New Roman"/>
        </w:rPr>
        <w:t>, 30(2), 252–276. </w:t>
      </w:r>
      <w:hyperlink r:id="rId27" w:tgtFrame="_blank" w:history="1">
        <w:r w:rsidRPr="00CF42E8">
          <w:rPr>
            <w:rStyle w:val="Hyperlink"/>
            <w:rFonts w:ascii="Times New Roman" w:hAnsi="Times New Roman"/>
          </w:rPr>
          <w:t>https://doi.org/10.1108/IJAIM-10-2021-0220</w:t>
        </w:r>
      </w:hyperlink>
    </w:p>
    <w:p w14:paraId="3B9D8368"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lastRenderedPageBreak/>
        <w:t>Kemme, D. M., Parikh, B., &amp; Steigner, T. (2020). Tax morale and international tax evasion. </w:t>
      </w:r>
      <w:r w:rsidRPr="00CF42E8">
        <w:rPr>
          <w:rFonts w:ascii="Times New Roman" w:hAnsi="Times New Roman"/>
          <w:i/>
          <w:iCs/>
        </w:rPr>
        <w:t>Journal of World Business</w:t>
      </w:r>
      <w:r w:rsidRPr="00CF42E8">
        <w:rPr>
          <w:rFonts w:ascii="Times New Roman" w:hAnsi="Times New Roman"/>
        </w:rPr>
        <w:t>, 55(3), Article 101052. </w:t>
      </w:r>
      <w:hyperlink r:id="rId28" w:tgtFrame="_blank" w:history="1">
        <w:r w:rsidRPr="00CF42E8">
          <w:rPr>
            <w:rStyle w:val="Hyperlink"/>
            <w:rFonts w:ascii="Times New Roman" w:hAnsi="Times New Roman"/>
          </w:rPr>
          <w:t>https://doi.org/10.1016/j.jwb.2019.101052</w:t>
        </w:r>
      </w:hyperlink>
    </w:p>
    <w:p w14:paraId="24C6F5C3"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Dunne, N. J., Brennan, N., &amp; Kirwan, C. E. (2021). Impression management and Big Four auditors: Scrutiny at a public inquiry. </w:t>
      </w:r>
      <w:r w:rsidRPr="00CF42E8">
        <w:rPr>
          <w:rFonts w:ascii="Times New Roman" w:hAnsi="Times New Roman"/>
          <w:i/>
          <w:iCs/>
        </w:rPr>
        <w:t>Accounting, Organizations and Society</w:t>
      </w:r>
      <w:r w:rsidRPr="00CF42E8">
        <w:rPr>
          <w:rFonts w:ascii="Times New Roman" w:hAnsi="Times New Roman"/>
        </w:rPr>
        <w:t>, 88, Article 101170. </w:t>
      </w:r>
      <w:hyperlink r:id="rId29" w:tgtFrame="_blank" w:history="1">
        <w:r w:rsidRPr="00CF42E8">
          <w:rPr>
            <w:rStyle w:val="Hyperlink"/>
            <w:rFonts w:ascii="Times New Roman" w:hAnsi="Times New Roman"/>
          </w:rPr>
          <w:t>https://doi.org/10.1016/j.aos.2020.101170</w:t>
        </w:r>
      </w:hyperlink>
    </w:p>
    <w:p w14:paraId="7FCF1087"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Grossi, G., Biancone, P., Secinaro, S., &amp; Brescia, V. (2021). Dialogic accounting through popular reporting and digital platforms. </w:t>
      </w:r>
      <w:r w:rsidRPr="00CF42E8">
        <w:rPr>
          <w:rFonts w:ascii="Times New Roman" w:hAnsi="Times New Roman"/>
          <w:i/>
          <w:iCs/>
        </w:rPr>
        <w:t>Meditari Accountancy Research</w:t>
      </w:r>
      <w:r w:rsidRPr="00CF42E8">
        <w:rPr>
          <w:rFonts w:ascii="Times New Roman" w:hAnsi="Times New Roman"/>
        </w:rPr>
        <w:t>, 29(5), 1041–1067. </w:t>
      </w:r>
      <w:hyperlink r:id="rId30" w:tgtFrame="_blank" w:history="1">
        <w:r w:rsidRPr="00CF42E8">
          <w:rPr>
            <w:rStyle w:val="Hyperlink"/>
            <w:rFonts w:ascii="Times New Roman" w:hAnsi="Times New Roman"/>
          </w:rPr>
          <w:t>https://doi.org/10.1108/MEDAR-01-2021-1163</w:t>
        </w:r>
      </w:hyperlink>
    </w:p>
    <w:p w14:paraId="45BA1150"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Parsa, S., Dai, N., Belal, A. R., Li, T., &amp; Tang, G. (2020). Corporate social responsibility reporting in China: Political, social and corporate influences. </w:t>
      </w:r>
      <w:r w:rsidRPr="00CF42E8">
        <w:rPr>
          <w:rFonts w:ascii="Times New Roman" w:hAnsi="Times New Roman"/>
          <w:i/>
          <w:iCs/>
        </w:rPr>
        <w:t>Accounting and Business Research</w:t>
      </w:r>
      <w:r w:rsidRPr="00CF42E8">
        <w:rPr>
          <w:rFonts w:ascii="Times New Roman" w:hAnsi="Times New Roman"/>
        </w:rPr>
        <w:t>, 50(7), 639–667. </w:t>
      </w:r>
      <w:hyperlink r:id="rId31" w:tgtFrame="_blank" w:history="1">
        <w:r w:rsidRPr="00CF42E8">
          <w:rPr>
            <w:rStyle w:val="Hyperlink"/>
            <w:rFonts w:ascii="Times New Roman" w:hAnsi="Times New Roman"/>
          </w:rPr>
          <w:t>https://doi.org/10.1080/00014788.2020.1780110</w:t>
        </w:r>
      </w:hyperlink>
    </w:p>
    <w:p w14:paraId="0E371716"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Duff, A., Hancock, P., &amp; Marriott, N. (2020). The role and impact of professional accountancy associations on accounting education research: An international study. </w:t>
      </w:r>
      <w:r w:rsidRPr="00CF42E8">
        <w:rPr>
          <w:rFonts w:ascii="Times New Roman" w:hAnsi="Times New Roman"/>
          <w:i/>
          <w:iCs/>
        </w:rPr>
        <w:t>The British Accounting Review</w:t>
      </w:r>
      <w:r w:rsidRPr="00CF42E8">
        <w:rPr>
          <w:rFonts w:ascii="Times New Roman" w:hAnsi="Times New Roman"/>
        </w:rPr>
        <w:t>, 52(5), Article 100814. </w:t>
      </w:r>
      <w:hyperlink r:id="rId32" w:tgtFrame="_blank" w:history="1">
        <w:r w:rsidRPr="00CF42E8">
          <w:rPr>
            <w:rStyle w:val="Hyperlink"/>
            <w:rFonts w:ascii="Times New Roman" w:hAnsi="Times New Roman"/>
          </w:rPr>
          <w:t>https://doi.org/10.1016/j.bar.2019.03.004</w:t>
        </w:r>
      </w:hyperlink>
    </w:p>
    <w:p w14:paraId="727D657B"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Leitner-Hanetseder, S., Lehner, O. M., Eisl, C., &amp; Forstenlechner, C. (2021). A profession in transition: Actors, tasks and roles in AI-based accounting. </w:t>
      </w:r>
      <w:r w:rsidRPr="00CF42E8">
        <w:rPr>
          <w:rFonts w:ascii="Times New Roman" w:hAnsi="Times New Roman"/>
          <w:i/>
          <w:iCs/>
        </w:rPr>
        <w:t>Journal of Applied Accounting Research</w:t>
      </w:r>
      <w:r w:rsidRPr="00CF42E8">
        <w:rPr>
          <w:rFonts w:ascii="Times New Roman" w:hAnsi="Times New Roman"/>
        </w:rPr>
        <w:t>, 22(2), 291–313. </w:t>
      </w:r>
      <w:hyperlink r:id="rId33" w:tgtFrame="_blank" w:history="1">
        <w:r w:rsidRPr="00CF42E8">
          <w:rPr>
            <w:rStyle w:val="Hyperlink"/>
            <w:rFonts w:ascii="Times New Roman" w:hAnsi="Times New Roman"/>
          </w:rPr>
          <w:t>https://doi.org/10.1108/JAAR-10-2020-0201</w:t>
        </w:r>
      </w:hyperlink>
    </w:p>
    <w:p w14:paraId="4FAB0C41"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Bakarich, K. M., &amp; O'Brien, P. E. (2020). The robots are coming… But aren't here yet: The use of artificial intelligence technologies in the public accounting profession. </w:t>
      </w:r>
      <w:r w:rsidRPr="00CF42E8">
        <w:rPr>
          <w:rFonts w:ascii="Times New Roman" w:hAnsi="Times New Roman"/>
          <w:i/>
          <w:iCs/>
        </w:rPr>
        <w:t>Journal of Emerging Technologies in Accounting</w:t>
      </w:r>
      <w:r w:rsidRPr="00CF42E8">
        <w:rPr>
          <w:rFonts w:ascii="Times New Roman" w:hAnsi="Times New Roman"/>
        </w:rPr>
        <w:t>, 17(1), 81–98. </w:t>
      </w:r>
      <w:hyperlink r:id="rId34" w:tgtFrame="_blank" w:history="1">
        <w:r w:rsidRPr="00CF42E8">
          <w:rPr>
            <w:rStyle w:val="Hyperlink"/>
            <w:rFonts w:ascii="Times New Roman" w:hAnsi="Times New Roman"/>
          </w:rPr>
          <w:t>https://doi.org/10.2308/JETA-19-11-20-47</w:t>
        </w:r>
      </w:hyperlink>
    </w:p>
    <w:p w14:paraId="7001FB18"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Garanina, T., Ranta, M., &amp; Dumay, J. (2021). Blockchain in accounting research: Current trends and emerging topics. </w:t>
      </w:r>
      <w:r w:rsidRPr="00CF42E8">
        <w:rPr>
          <w:rFonts w:ascii="Times New Roman" w:hAnsi="Times New Roman"/>
          <w:i/>
          <w:iCs/>
        </w:rPr>
        <w:t>Accounting, Auditing &amp; Accountability Journal</w:t>
      </w:r>
      <w:r w:rsidRPr="00CF42E8">
        <w:rPr>
          <w:rFonts w:ascii="Times New Roman" w:hAnsi="Times New Roman"/>
        </w:rPr>
        <w:t>, 34(7), 1701–1730. </w:t>
      </w:r>
      <w:hyperlink r:id="rId35" w:tgtFrame="_blank" w:history="1">
        <w:r w:rsidRPr="00CF42E8">
          <w:rPr>
            <w:rStyle w:val="Hyperlink"/>
            <w:rFonts w:ascii="Times New Roman" w:hAnsi="Times New Roman"/>
          </w:rPr>
          <w:t>https://doi.org/10.1108/AAAJ-10-2020-4991</w:t>
        </w:r>
      </w:hyperlink>
    </w:p>
    <w:p w14:paraId="170AADA0"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Kokina, J., Gilleran, R., Blanchette, S., &amp; Stoddard, D. (2020). Accountant as digital innovator: Roles and competencies in the age of automation. </w:t>
      </w:r>
      <w:r w:rsidRPr="00CF42E8">
        <w:rPr>
          <w:rFonts w:ascii="Times New Roman" w:hAnsi="Times New Roman"/>
          <w:i/>
          <w:iCs/>
        </w:rPr>
        <w:t>Accounting Horizons</w:t>
      </w:r>
      <w:r w:rsidRPr="00CF42E8">
        <w:rPr>
          <w:rFonts w:ascii="Times New Roman" w:hAnsi="Times New Roman"/>
        </w:rPr>
        <w:t>, 34(3), 197–214. </w:t>
      </w:r>
      <w:hyperlink r:id="rId36" w:tgtFrame="_blank" w:history="1">
        <w:r w:rsidRPr="00CF42E8">
          <w:rPr>
            <w:rStyle w:val="Hyperlink"/>
            <w:rFonts w:ascii="Times New Roman" w:hAnsi="Times New Roman"/>
          </w:rPr>
          <w:t>https://doi.org/10.2308/HORIZONS-19-145</w:t>
        </w:r>
      </w:hyperlink>
    </w:p>
    <w:p w14:paraId="0FB387CE"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Holmes, A. F., &amp; Douglass, A. (2021). Artificial intelligence: Reshaping the accounting profession and the disruption to accounting education. </w:t>
      </w:r>
      <w:r w:rsidRPr="00CF42E8">
        <w:rPr>
          <w:rFonts w:ascii="Times New Roman" w:hAnsi="Times New Roman"/>
          <w:i/>
          <w:iCs/>
        </w:rPr>
        <w:t>Journal of Emerging Technologies in Accounting</w:t>
      </w:r>
      <w:r w:rsidRPr="00CF42E8">
        <w:rPr>
          <w:rFonts w:ascii="Times New Roman" w:hAnsi="Times New Roman"/>
        </w:rPr>
        <w:t>, 18(2), 119–135. </w:t>
      </w:r>
      <w:hyperlink r:id="rId37" w:tgtFrame="_blank" w:history="1">
        <w:r w:rsidRPr="00CF42E8">
          <w:rPr>
            <w:rStyle w:val="Hyperlink"/>
            <w:rFonts w:ascii="Times New Roman" w:hAnsi="Times New Roman"/>
          </w:rPr>
          <w:t>https://doi.org/10.2308/JETA-2020-054</w:t>
        </w:r>
      </w:hyperlink>
    </w:p>
    <w:p w14:paraId="756D918C"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Dell, S., Akpan, M., &amp; Carr, A. (2024). Aligning artificial intelligence with ethical accountancy: A global perspective on emerging frameworks. </w:t>
      </w:r>
      <w:r w:rsidRPr="00CF42E8">
        <w:rPr>
          <w:rFonts w:ascii="Times New Roman" w:hAnsi="Times New Roman"/>
          <w:i/>
          <w:iCs/>
        </w:rPr>
        <w:t>Corporate Ownership and Control</w:t>
      </w:r>
      <w:r w:rsidRPr="00CF42E8">
        <w:rPr>
          <w:rFonts w:ascii="Times New Roman" w:hAnsi="Times New Roman"/>
        </w:rPr>
        <w:t>, 21(1), 85–98. </w:t>
      </w:r>
      <w:hyperlink r:id="rId38" w:tgtFrame="_blank" w:history="1">
        <w:r w:rsidRPr="00CF42E8">
          <w:rPr>
            <w:rStyle w:val="Hyperlink"/>
            <w:rFonts w:ascii="Times New Roman" w:hAnsi="Times New Roman"/>
          </w:rPr>
          <w:t>https://doi.org/10.22495/cocv21i1art5</w:t>
        </w:r>
      </w:hyperlink>
    </w:p>
    <w:p w14:paraId="07758C0B"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Piper, I., McBride, K., &amp; Tait, A. (2023). John Franklyn Venner FCA: An orthodox chartered accountant working in an unorthodox organization. </w:t>
      </w:r>
      <w:r w:rsidRPr="00CF42E8">
        <w:rPr>
          <w:rFonts w:ascii="Times New Roman" w:hAnsi="Times New Roman"/>
          <w:i/>
          <w:iCs/>
        </w:rPr>
        <w:t>Accounting Historians Journal</w:t>
      </w:r>
      <w:r w:rsidRPr="00CF42E8">
        <w:rPr>
          <w:rFonts w:ascii="Times New Roman" w:hAnsi="Times New Roman"/>
        </w:rPr>
        <w:t>, 50(1), 1–23. </w:t>
      </w:r>
      <w:hyperlink r:id="rId39" w:tgtFrame="_blank" w:history="1">
        <w:r w:rsidRPr="00CF42E8">
          <w:rPr>
            <w:rStyle w:val="Hyperlink"/>
            <w:rFonts w:ascii="Times New Roman" w:hAnsi="Times New Roman"/>
          </w:rPr>
          <w:t>https://doi.org/10.2308/API-2024-017</w:t>
        </w:r>
      </w:hyperlink>
      <w:r w:rsidRPr="00CF42E8">
        <w:rPr>
          <w:rFonts w:ascii="Times New Roman" w:hAnsi="Times New Roman"/>
        </w:rPr>
        <w:t>​</w:t>
      </w:r>
    </w:p>
    <w:p w14:paraId="438A2FED"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Liu, M., Taylor-Neu, K., &amp; Saxton, G. D. (2025). Communicating norms of conduct: The semantics of professionalism. </w:t>
      </w:r>
      <w:r w:rsidRPr="00CF42E8">
        <w:rPr>
          <w:rFonts w:ascii="Times New Roman" w:hAnsi="Times New Roman"/>
          <w:i/>
          <w:iCs/>
        </w:rPr>
        <w:t>Accounting and the Public Interest</w:t>
      </w:r>
      <w:r w:rsidRPr="00CF42E8">
        <w:rPr>
          <w:rFonts w:ascii="Times New Roman" w:hAnsi="Times New Roman"/>
        </w:rPr>
        <w:t>. </w:t>
      </w:r>
      <w:hyperlink r:id="rId40" w:tgtFrame="_blank" w:history="1">
        <w:r w:rsidRPr="00CF42E8">
          <w:rPr>
            <w:rStyle w:val="Hyperlink"/>
            <w:rFonts w:ascii="Times New Roman" w:hAnsi="Times New Roman"/>
          </w:rPr>
          <w:t>https://doi.org/10.2308/API-2024-017</w:t>
        </w:r>
      </w:hyperlink>
      <w:r w:rsidRPr="00CF42E8">
        <w:rPr>
          <w:rFonts w:ascii="Times New Roman" w:hAnsi="Times New Roman"/>
        </w:rPr>
        <w:t>​</w:t>
      </w:r>
    </w:p>
    <w:p w14:paraId="275D7E33"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Prez, Y., Camacho-Miño, M. M., &amp; Segovia-Vargas, M. J. (2021). Risk on financial reporting in the context of the new audit report in Spain. </w:t>
      </w:r>
      <w:r w:rsidRPr="00CF42E8">
        <w:rPr>
          <w:rFonts w:ascii="Times New Roman" w:hAnsi="Times New Roman"/>
          <w:i/>
          <w:iCs/>
        </w:rPr>
        <w:t>Revista de Contabilidad</w:t>
      </w:r>
      <w:r w:rsidRPr="00CF42E8">
        <w:rPr>
          <w:rFonts w:ascii="Times New Roman" w:hAnsi="Times New Roman"/>
        </w:rPr>
        <w:t>, 24(1), 1–18. </w:t>
      </w:r>
      <w:hyperlink r:id="rId41" w:tgtFrame="_blank" w:history="1">
        <w:r w:rsidRPr="00CF42E8">
          <w:rPr>
            <w:rStyle w:val="Hyperlink"/>
            <w:rFonts w:ascii="Times New Roman" w:hAnsi="Times New Roman"/>
          </w:rPr>
          <w:t>https://doi.org/10.6018/rcsar.363001</w:t>
        </w:r>
      </w:hyperlink>
      <w:r w:rsidRPr="00CF42E8">
        <w:rPr>
          <w:rFonts w:ascii="Times New Roman" w:hAnsi="Times New Roman"/>
        </w:rPr>
        <w:t>​</w:t>
      </w:r>
    </w:p>
    <w:p w14:paraId="48BF41F8"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McGee, P., Sheenan, L., Egan, T., &amp; O'Donohoe, S. (2025). Risk factor disclosure in green bond prospectuses and investor compensation. </w:t>
      </w:r>
      <w:r w:rsidRPr="00CF42E8">
        <w:rPr>
          <w:rFonts w:ascii="Times New Roman" w:hAnsi="Times New Roman"/>
          <w:i/>
          <w:iCs/>
        </w:rPr>
        <w:t>International Review of Financial Analysis</w:t>
      </w:r>
      <w:r w:rsidRPr="00CF42E8">
        <w:rPr>
          <w:rFonts w:ascii="Times New Roman" w:hAnsi="Times New Roman"/>
        </w:rPr>
        <w:t>. </w:t>
      </w:r>
      <w:hyperlink r:id="rId42" w:tgtFrame="_blank" w:history="1">
        <w:r w:rsidRPr="00CF42E8">
          <w:rPr>
            <w:rStyle w:val="Hyperlink"/>
            <w:rFonts w:ascii="Times New Roman" w:hAnsi="Times New Roman"/>
          </w:rPr>
          <w:t>https://doi.org/10.1016/j.irfa.2025.104405</w:t>
        </w:r>
      </w:hyperlink>
      <w:r w:rsidRPr="00CF42E8">
        <w:rPr>
          <w:rFonts w:ascii="Times New Roman" w:hAnsi="Times New Roman"/>
        </w:rPr>
        <w:t>​</w:t>
      </w:r>
    </w:p>
    <w:p w14:paraId="6C529FF5"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Garanina, T., Ranta, M., &amp; Dumay, J. (2021). Blockchain in accounting research: Current trends and emerging topics. </w:t>
      </w:r>
      <w:r w:rsidRPr="00CF42E8">
        <w:rPr>
          <w:rFonts w:ascii="Times New Roman" w:hAnsi="Times New Roman"/>
          <w:i/>
          <w:iCs/>
        </w:rPr>
        <w:t>Accounting, Auditing &amp; Accountability Journal</w:t>
      </w:r>
      <w:r w:rsidRPr="00CF42E8">
        <w:rPr>
          <w:rFonts w:ascii="Times New Roman" w:hAnsi="Times New Roman"/>
        </w:rPr>
        <w:t>, 34(7), 1701–1730. </w:t>
      </w:r>
      <w:hyperlink r:id="rId43" w:tgtFrame="_blank" w:history="1">
        <w:r w:rsidRPr="00CF42E8">
          <w:rPr>
            <w:rStyle w:val="Hyperlink"/>
            <w:rFonts w:ascii="Times New Roman" w:hAnsi="Times New Roman"/>
          </w:rPr>
          <w:t>https://doi.org/10.1108/AAAJ-10-2020-4991</w:t>
        </w:r>
      </w:hyperlink>
      <w:r w:rsidRPr="00CF42E8">
        <w:rPr>
          <w:rFonts w:ascii="Times New Roman" w:hAnsi="Times New Roman"/>
        </w:rPr>
        <w:t>​</w:t>
      </w:r>
    </w:p>
    <w:p w14:paraId="38CF642E"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Bibliometric analysis of agency theory in accounting. (2021). University of Malta. </w:t>
      </w:r>
      <w:hyperlink r:id="rId44" w:tgtFrame="_blank" w:history="1">
        <w:r w:rsidRPr="00CF42E8">
          <w:rPr>
            <w:rStyle w:val="Hyperlink"/>
            <w:rFonts w:ascii="Times New Roman" w:hAnsi="Times New Roman"/>
          </w:rPr>
          <w:t>https://www.um.edu.mt/library/oar/handle/123456789/66759</w:t>
        </w:r>
      </w:hyperlink>
      <w:r w:rsidRPr="00CF42E8">
        <w:rPr>
          <w:rFonts w:ascii="Times New Roman" w:hAnsi="Times New Roman"/>
        </w:rPr>
        <w:t>​</w:t>
      </w:r>
    </w:p>
    <w:p w14:paraId="0742FB07"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t>Competency approach to accounting education: A global view. (2013). </w:t>
      </w:r>
      <w:r w:rsidRPr="00CF42E8">
        <w:rPr>
          <w:rFonts w:ascii="Times New Roman" w:hAnsi="Times New Roman"/>
          <w:i/>
          <w:iCs/>
        </w:rPr>
        <w:t>Academy of Accounting and Financial Studies Journal</w:t>
      </w:r>
      <w:r w:rsidRPr="00CF42E8">
        <w:rPr>
          <w:rFonts w:ascii="Times New Roman" w:hAnsi="Times New Roman"/>
        </w:rPr>
        <w:t>. </w:t>
      </w:r>
      <w:hyperlink r:id="rId45" w:tgtFrame="_blank" w:history="1">
        <w:r w:rsidRPr="00CF42E8">
          <w:rPr>
            <w:rStyle w:val="Hyperlink"/>
            <w:rFonts w:ascii="Times New Roman" w:hAnsi="Times New Roman"/>
          </w:rPr>
          <w:t>https://www.aabri.com/manuscripts/131566.pdf</w:t>
        </w:r>
      </w:hyperlink>
      <w:r w:rsidRPr="00CF42E8">
        <w:rPr>
          <w:rFonts w:ascii="Times New Roman" w:hAnsi="Times New Roman"/>
        </w:rPr>
        <w:t>​</w:t>
      </w:r>
    </w:p>
    <w:p w14:paraId="2FA4E581" w14:textId="77777777" w:rsidR="00101FF2" w:rsidRPr="00CF42E8" w:rsidRDefault="00101FF2" w:rsidP="00101FF2">
      <w:pPr>
        <w:numPr>
          <w:ilvl w:val="0"/>
          <w:numId w:val="37"/>
        </w:numPr>
        <w:spacing w:after="160" w:line="278" w:lineRule="auto"/>
        <w:jc w:val="both"/>
        <w:rPr>
          <w:rFonts w:ascii="Times New Roman" w:hAnsi="Times New Roman"/>
        </w:rPr>
      </w:pPr>
      <w:r w:rsidRPr="00CF42E8">
        <w:rPr>
          <w:rFonts w:ascii="Times New Roman" w:hAnsi="Times New Roman"/>
        </w:rPr>
        <w:lastRenderedPageBreak/>
        <w:t>Digitalization of accounting profession: A decade bibliometric review. (2024). </w:t>
      </w:r>
      <w:r w:rsidRPr="00CF42E8">
        <w:rPr>
          <w:rFonts w:ascii="Times New Roman" w:hAnsi="Times New Roman"/>
          <w:i/>
          <w:iCs/>
        </w:rPr>
        <w:t>Accounting, Scholarly Publishing</w:t>
      </w:r>
      <w:r w:rsidRPr="00CF42E8">
        <w:rPr>
          <w:rFonts w:ascii="Times New Roman" w:hAnsi="Times New Roman"/>
        </w:rPr>
        <w:t>. </w:t>
      </w:r>
      <w:hyperlink r:id="rId46" w:tgtFrame="_blank" w:history="1">
        <w:r w:rsidRPr="00CF42E8">
          <w:rPr>
            <w:rStyle w:val="Hyperlink"/>
            <w:rFonts w:ascii="Times New Roman" w:hAnsi="Times New Roman"/>
          </w:rPr>
          <w:t>https://journals.scholarpublishing.org/index.php/ASSRJ/article/view/16814</w:t>
        </w:r>
      </w:hyperlink>
    </w:p>
    <w:p w14:paraId="640554E9" w14:textId="77777777" w:rsidR="00B01FCD" w:rsidRPr="00FB3A86" w:rsidRDefault="00B01FCD" w:rsidP="00441B6F">
      <w:pPr>
        <w:pStyle w:val="Appendix"/>
        <w:spacing w:after="0"/>
        <w:jc w:val="both"/>
        <w:rPr>
          <w:rFonts w:ascii="Arial" w:hAnsi="Arial" w:cs="Arial"/>
          <w:b w:val="0"/>
        </w:rPr>
      </w:pPr>
    </w:p>
    <w:sectPr w:rsidR="00B01FCD" w:rsidRPr="00FB3A86" w:rsidSect="00294F44">
      <w:headerReference w:type="even" r:id="rId47"/>
      <w:headerReference w:type="default" r:id="rId48"/>
      <w:footerReference w:type="default" r:id="rId49"/>
      <w:headerReference w:type="first" r:id="rId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7EC49" w14:textId="77777777" w:rsidR="009C4979" w:rsidRDefault="009C4979" w:rsidP="00C37E61">
      <w:r>
        <w:separator/>
      </w:r>
    </w:p>
  </w:endnote>
  <w:endnote w:type="continuationSeparator" w:id="0">
    <w:p w14:paraId="0C77E8B6" w14:textId="77777777" w:rsidR="009C4979" w:rsidRDefault="009C497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60A1C" w14:textId="77777777" w:rsidR="00294F44" w:rsidRDefault="00294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62E9" w14:textId="77777777" w:rsidR="00294F44" w:rsidRDefault="00294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65D6B" w14:textId="108565EE" w:rsidR="00754C9A" w:rsidRPr="009D2450" w:rsidRDefault="00754C9A" w:rsidP="009D24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EA27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8A4D1" w14:textId="77777777" w:rsidR="009C4979" w:rsidRDefault="009C4979" w:rsidP="00C37E61">
      <w:r>
        <w:separator/>
      </w:r>
    </w:p>
  </w:footnote>
  <w:footnote w:type="continuationSeparator" w:id="0">
    <w:p w14:paraId="6F4451BC" w14:textId="77777777" w:rsidR="009C4979" w:rsidRDefault="009C497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FF182" w14:textId="1409DB07" w:rsidR="00294F44" w:rsidRDefault="009C4979">
    <w:pPr>
      <w:pStyle w:val="Header"/>
    </w:pPr>
    <w:r>
      <w:rPr>
        <w:noProof/>
      </w:rPr>
      <w:pict w14:anchorId="7DE6A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38"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57DA" w14:textId="42363B35" w:rsidR="00294F44" w:rsidRDefault="009C4979">
    <w:pPr>
      <w:pStyle w:val="Header"/>
    </w:pPr>
    <w:r>
      <w:rPr>
        <w:noProof/>
      </w:rPr>
      <w:pict w14:anchorId="43E4F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39"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CEA5" w14:textId="74C1961E" w:rsidR="00296529" w:rsidRPr="00296529" w:rsidRDefault="009C4979" w:rsidP="00296529">
    <w:pPr>
      <w:ind w:left="2160"/>
      <w:jc w:val="center"/>
      <w:rPr>
        <w:rFonts w:ascii="Times New Roman" w:eastAsia="Calibri" w:hAnsi="Times New Roman"/>
        <w:i/>
        <w:sz w:val="18"/>
        <w:szCs w:val="22"/>
      </w:rPr>
    </w:pPr>
    <w:r>
      <w:rPr>
        <w:noProof/>
      </w:rPr>
      <w:pict w14:anchorId="56DCE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37"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F66C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29E0B5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2515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B742C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8A37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7FBD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EFA0" w14:textId="39421E2C" w:rsidR="00294F44" w:rsidRDefault="009C4979">
    <w:pPr>
      <w:pStyle w:val="Header"/>
    </w:pPr>
    <w:r>
      <w:rPr>
        <w:noProof/>
      </w:rPr>
      <w:pict w14:anchorId="54075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41"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81BEE" w14:textId="27B887B6" w:rsidR="00294F44" w:rsidRDefault="009C4979">
    <w:pPr>
      <w:pStyle w:val="Header"/>
    </w:pPr>
    <w:r>
      <w:rPr>
        <w:noProof/>
      </w:rPr>
      <w:pict w14:anchorId="54645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42"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F188" w14:textId="18E2E1B3" w:rsidR="00294F44" w:rsidRDefault="009C4979">
    <w:pPr>
      <w:pStyle w:val="Header"/>
    </w:pPr>
    <w:r>
      <w:rPr>
        <w:noProof/>
      </w:rPr>
      <w:pict w14:anchorId="571D4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40"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9062DA"/>
    <w:multiLevelType w:val="multilevel"/>
    <w:tmpl w:val="4118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0642C4"/>
    <w:multiLevelType w:val="hybridMultilevel"/>
    <w:tmpl w:val="2794D3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EC434A2"/>
    <w:multiLevelType w:val="multilevel"/>
    <w:tmpl w:val="CC08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D32C2"/>
    <w:multiLevelType w:val="multilevel"/>
    <w:tmpl w:val="F0D4A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352C44"/>
    <w:multiLevelType w:val="multilevel"/>
    <w:tmpl w:val="CF78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FD7DC9"/>
    <w:multiLevelType w:val="multilevel"/>
    <w:tmpl w:val="D2EA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5BD1CE2"/>
    <w:multiLevelType w:val="multilevel"/>
    <w:tmpl w:val="74041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2"/>
  </w:num>
  <w:num w:numId="10">
    <w:abstractNumId w:val="2"/>
  </w:num>
  <w:num w:numId="11">
    <w:abstractNumId w:val="24"/>
  </w:num>
  <w:num w:numId="12">
    <w:abstractNumId w:val="3"/>
  </w:num>
  <w:num w:numId="13">
    <w:abstractNumId w:val="21"/>
  </w:num>
  <w:num w:numId="14">
    <w:abstractNumId w:val="8"/>
  </w:num>
  <w:num w:numId="15">
    <w:abstractNumId w:val="27"/>
  </w:num>
  <w:num w:numId="16">
    <w:abstractNumId w:val="5"/>
  </w:num>
  <w:num w:numId="17">
    <w:abstractNumId w:val="28"/>
  </w:num>
  <w:num w:numId="18">
    <w:abstractNumId w:val="15"/>
  </w:num>
  <w:num w:numId="19">
    <w:abstractNumId w:val="35"/>
  </w:num>
  <w:num w:numId="20">
    <w:abstractNumId w:val="11"/>
  </w:num>
  <w:num w:numId="21">
    <w:abstractNumId w:val="9"/>
  </w:num>
  <w:num w:numId="22">
    <w:abstractNumId w:val="14"/>
  </w:num>
  <w:num w:numId="23">
    <w:abstractNumId w:val="25"/>
  </w:num>
  <w:num w:numId="24">
    <w:abstractNumId w:val="33"/>
  </w:num>
  <w:num w:numId="25">
    <w:abstractNumId w:val="4"/>
  </w:num>
  <w:num w:numId="26">
    <w:abstractNumId w:val="19"/>
  </w:num>
  <w:num w:numId="27">
    <w:abstractNumId w:val="26"/>
  </w:num>
  <w:num w:numId="28">
    <w:abstractNumId w:val="34"/>
  </w:num>
  <w:num w:numId="29">
    <w:abstractNumId w:val="31"/>
  </w:num>
  <w:num w:numId="30">
    <w:abstractNumId w:val="10"/>
  </w:num>
  <w:num w:numId="31">
    <w:abstractNumId w:val="20"/>
  </w:num>
  <w:num w:numId="32">
    <w:abstractNumId w:val="22"/>
  </w:num>
  <w:num w:numId="33">
    <w:abstractNumId w:val="23"/>
  </w:num>
  <w:num w:numId="34">
    <w:abstractNumId w:val="17"/>
  </w:num>
  <w:num w:numId="35">
    <w:abstractNumId w:val="16"/>
  </w:num>
  <w:num w:numId="36">
    <w:abstractNumId w:val="1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yNDY2N7YwtTQ3MDFV0lEKTi0uzszPAykwqgUAq/LdYCwAAAA="/>
  </w:docVars>
  <w:rsids>
    <w:rsidRoot w:val="00AA6219"/>
    <w:rsid w:val="00000F8F"/>
    <w:rsid w:val="00030174"/>
    <w:rsid w:val="0004579C"/>
    <w:rsid w:val="000A47FA"/>
    <w:rsid w:val="000A65D3"/>
    <w:rsid w:val="000B1E33"/>
    <w:rsid w:val="000D689F"/>
    <w:rsid w:val="000E7B7B"/>
    <w:rsid w:val="000E7D62"/>
    <w:rsid w:val="00101FF2"/>
    <w:rsid w:val="00103357"/>
    <w:rsid w:val="00123C9F"/>
    <w:rsid w:val="00126190"/>
    <w:rsid w:val="00130F17"/>
    <w:rsid w:val="001320BF"/>
    <w:rsid w:val="00153121"/>
    <w:rsid w:val="00163BC4"/>
    <w:rsid w:val="00191062"/>
    <w:rsid w:val="00191230"/>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4F44"/>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2228"/>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5F10AE"/>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109"/>
    <w:rsid w:val="006D30FF"/>
    <w:rsid w:val="006D6940"/>
    <w:rsid w:val="006F11EC"/>
    <w:rsid w:val="0070082C"/>
    <w:rsid w:val="0073073F"/>
    <w:rsid w:val="007369E6"/>
    <w:rsid w:val="00746E59"/>
    <w:rsid w:val="00754C9A"/>
    <w:rsid w:val="0075599A"/>
    <w:rsid w:val="00761D52"/>
    <w:rsid w:val="0077749E"/>
    <w:rsid w:val="00790ADA"/>
    <w:rsid w:val="007B56F3"/>
    <w:rsid w:val="007D2288"/>
    <w:rsid w:val="007E088F"/>
    <w:rsid w:val="007F7B32"/>
    <w:rsid w:val="00804BC2"/>
    <w:rsid w:val="0081431A"/>
    <w:rsid w:val="0083216F"/>
    <w:rsid w:val="00860000"/>
    <w:rsid w:val="00863BD3"/>
    <w:rsid w:val="008641ED"/>
    <w:rsid w:val="00866D66"/>
    <w:rsid w:val="008671C6"/>
    <w:rsid w:val="00875803"/>
    <w:rsid w:val="008B04E1"/>
    <w:rsid w:val="008B459E"/>
    <w:rsid w:val="008E13AE"/>
    <w:rsid w:val="008E1506"/>
    <w:rsid w:val="008E710C"/>
    <w:rsid w:val="008F69D6"/>
    <w:rsid w:val="00902823"/>
    <w:rsid w:val="00915CA6"/>
    <w:rsid w:val="00927834"/>
    <w:rsid w:val="009500A6"/>
    <w:rsid w:val="00957C18"/>
    <w:rsid w:val="009659BA"/>
    <w:rsid w:val="00976AF8"/>
    <w:rsid w:val="00983040"/>
    <w:rsid w:val="009B3FB9"/>
    <w:rsid w:val="009C2465"/>
    <w:rsid w:val="009C4979"/>
    <w:rsid w:val="009D2450"/>
    <w:rsid w:val="009D35A0"/>
    <w:rsid w:val="009D7EB7"/>
    <w:rsid w:val="009E048A"/>
    <w:rsid w:val="009E08E9"/>
    <w:rsid w:val="009E3DB9"/>
    <w:rsid w:val="009E6E35"/>
    <w:rsid w:val="009F0EDA"/>
    <w:rsid w:val="00A03B96"/>
    <w:rsid w:val="00A05B19"/>
    <w:rsid w:val="00A1134E"/>
    <w:rsid w:val="00A11FFD"/>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3971"/>
    <w:rsid w:val="00B95236"/>
    <w:rsid w:val="00B96BD9"/>
    <w:rsid w:val="00BA1B01"/>
    <w:rsid w:val="00BA2641"/>
    <w:rsid w:val="00BB37AA"/>
    <w:rsid w:val="00BC53A0"/>
    <w:rsid w:val="00BE62AD"/>
    <w:rsid w:val="00BF121F"/>
    <w:rsid w:val="00BF1F80"/>
    <w:rsid w:val="00C166EF"/>
    <w:rsid w:val="00C17EB0"/>
    <w:rsid w:val="00C270DB"/>
    <w:rsid w:val="00C27F5F"/>
    <w:rsid w:val="00C30A0F"/>
    <w:rsid w:val="00C37E61"/>
    <w:rsid w:val="00C70F1B"/>
    <w:rsid w:val="00C71A47"/>
    <w:rsid w:val="00C7464C"/>
    <w:rsid w:val="00C85588"/>
    <w:rsid w:val="00CD6755"/>
    <w:rsid w:val="00CD6856"/>
    <w:rsid w:val="00CE0089"/>
    <w:rsid w:val="00CE793C"/>
    <w:rsid w:val="00CF193C"/>
    <w:rsid w:val="00D173F1"/>
    <w:rsid w:val="00D218C4"/>
    <w:rsid w:val="00D74CB0"/>
    <w:rsid w:val="00D8295D"/>
    <w:rsid w:val="00DC2A65"/>
    <w:rsid w:val="00DD584D"/>
    <w:rsid w:val="00DE15F0"/>
    <w:rsid w:val="00DE5663"/>
    <w:rsid w:val="00DE78AA"/>
    <w:rsid w:val="00E01407"/>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415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46F75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11FFD"/>
    <w:pPr>
      <w:spacing w:after="160" w:line="278" w:lineRule="auto"/>
      <w:ind w:left="720"/>
      <w:contextualSpacing/>
    </w:pPr>
    <w:rPr>
      <w:rFonts w:asciiTheme="minorHAnsi" w:eastAsiaTheme="minorHAnsi" w:hAnsiTheme="minorHAnsi" w:cstheme="minorBidi"/>
      <w:kern w:val="2"/>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hyperlink" Target="https://doi.org/10.1111/abac.12251" TargetMode="External"/><Relationship Id="rId39" Type="http://schemas.openxmlformats.org/officeDocument/2006/relationships/hyperlink" Target="https://doi.org/10.2308/API-2024-017" TargetMode="External"/><Relationship Id="rId21" Type="http://schemas.openxmlformats.org/officeDocument/2006/relationships/chart" Target="charts/chart3.xml"/><Relationship Id="rId34" Type="http://schemas.openxmlformats.org/officeDocument/2006/relationships/hyperlink" Target="https://doi.org/10.2308/JETA-19-11-20-47" TargetMode="External"/><Relationship Id="rId42" Type="http://schemas.openxmlformats.org/officeDocument/2006/relationships/hyperlink" Target="https://doi.org/10.1016/j.irfa.2025.104405"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hyperlink" Target="https://doi.org/10.1016/j.aos.2020.101170" TargetMode="External"/><Relationship Id="rId11" Type="http://schemas.openxmlformats.org/officeDocument/2006/relationships/footer" Target="footer2.xml"/><Relationship Id="rId24" Type="http://schemas.openxmlformats.org/officeDocument/2006/relationships/hyperlink" Target="https://doi.org/10.3926/ic.1555" TargetMode="External"/><Relationship Id="rId32" Type="http://schemas.openxmlformats.org/officeDocument/2006/relationships/hyperlink" Target="https://doi.org/10.1016/j.bar.2019.03.004" TargetMode="External"/><Relationship Id="rId37" Type="http://schemas.openxmlformats.org/officeDocument/2006/relationships/hyperlink" Target="https://doi.org/10.2308/JETA-2020-054" TargetMode="External"/><Relationship Id="rId40" Type="http://schemas.openxmlformats.org/officeDocument/2006/relationships/hyperlink" Target="https://doi.org/10.2308/API-2024-017" TargetMode="External"/><Relationship Id="rId45" Type="http://schemas.openxmlformats.org/officeDocument/2006/relationships/hyperlink" Target="https://www.aabri.com/manuscripts/131566.pdf"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doi.org/10.1016/j.jaccpubpol.2020.106742" TargetMode="External"/><Relationship Id="rId28" Type="http://schemas.openxmlformats.org/officeDocument/2006/relationships/hyperlink" Target="https://doi.org/10.1016/j.jwb.2019.101052" TargetMode="External"/><Relationship Id="rId36" Type="http://schemas.openxmlformats.org/officeDocument/2006/relationships/hyperlink" Target="https://doi.org/10.2308/HORIZONS-19-145" TargetMode="Externa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hyperlink" Target="https://doi.org/10.1080/00014788.2020.1780110" TargetMode="External"/><Relationship Id="rId44" Type="http://schemas.openxmlformats.org/officeDocument/2006/relationships/hyperlink" Target="https://www.um.edu.mt/library/oar/handle/123456789/66759"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chart" Target="charts/chart4.xml"/><Relationship Id="rId27" Type="http://schemas.openxmlformats.org/officeDocument/2006/relationships/hyperlink" Target="https://doi.org/10.1108/IJAIM-10-2021-0220" TargetMode="External"/><Relationship Id="rId30" Type="http://schemas.openxmlformats.org/officeDocument/2006/relationships/hyperlink" Target="https://doi.org/10.1108/MEDAR-01-2021-1163" TargetMode="External"/><Relationship Id="rId35" Type="http://schemas.openxmlformats.org/officeDocument/2006/relationships/hyperlink" Target="https://doi.org/10.1108/AAAJ-10-2020-4991" TargetMode="External"/><Relationship Id="rId43" Type="http://schemas.openxmlformats.org/officeDocument/2006/relationships/hyperlink" Target="https://doi.org/10.1108/AAAJ-10-2020-4991" TargetMode="External"/><Relationship Id="rId48" Type="http://schemas.openxmlformats.org/officeDocument/2006/relationships/header" Target="header5.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doi.org/10.1080/00014788.2020.1735290" TargetMode="External"/><Relationship Id="rId33" Type="http://schemas.openxmlformats.org/officeDocument/2006/relationships/hyperlink" Target="https://doi.org/10.1108/JAAR-10-2020-0201" TargetMode="External"/><Relationship Id="rId38" Type="http://schemas.openxmlformats.org/officeDocument/2006/relationships/hyperlink" Target="https://doi.org/10.22495/cocv21i1art5" TargetMode="External"/><Relationship Id="rId46" Type="http://schemas.openxmlformats.org/officeDocument/2006/relationships/hyperlink" Target="https://journals.scholarpublishing.org/index.php/ASSRJ/article/view/16814" TargetMode="External"/><Relationship Id="rId20" Type="http://schemas.openxmlformats.org/officeDocument/2006/relationships/chart" Target="charts/chart2.xml"/><Relationship Id="rId41" Type="http://schemas.openxmlformats.org/officeDocument/2006/relationships/hyperlink" Target="https://doi.org/10.6018/rcsar.36300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Number of Articles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Sheet1!$A$2:$A$7</c:f>
              <c:numCache>
                <c:formatCode>General</c:formatCode>
                <c:ptCount val="6"/>
                <c:pt idx="0">
                  <c:v>2020</c:v>
                </c:pt>
                <c:pt idx="1">
                  <c:v>2021</c:v>
                </c:pt>
                <c:pt idx="2">
                  <c:v>2022</c:v>
                </c:pt>
                <c:pt idx="3">
                  <c:v>2023</c:v>
                </c:pt>
                <c:pt idx="4">
                  <c:v>2024</c:v>
                </c:pt>
                <c:pt idx="5">
                  <c:v>2025</c:v>
                </c:pt>
              </c:numCache>
            </c:numRef>
          </c:xVal>
          <c:yVal>
            <c:numRef>
              <c:f>Sheet1!$B$2:$B$7</c:f>
              <c:numCache>
                <c:formatCode>General</c:formatCode>
                <c:ptCount val="6"/>
                <c:pt idx="0">
                  <c:v>26</c:v>
                </c:pt>
                <c:pt idx="1">
                  <c:v>34</c:v>
                </c:pt>
                <c:pt idx="2">
                  <c:v>25</c:v>
                </c:pt>
                <c:pt idx="3">
                  <c:v>15</c:v>
                </c:pt>
                <c:pt idx="4">
                  <c:v>14</c:v>
                </c:pt>
                <c:pt idx="5">
                  <c:v>7</c:v>
                </c:pt>
              </c:numCache>
            </c:numRef>
          </c:yVal>
          <c:smooth val="0"/>
          <c:extLst>
            <c:ext xmlns:c16="http://schemas.microsoft.com/office/drawing/2014/chart" uri="{C3380CC4-5D6E-409C-BE32-E72D297353CC}">
              <c16:uniqueId val="{00000000-FD0E-41FC-948C-4280F248DD65}"/>
            </c:ext>
          </c:extLst>
        </c:ser>
        <c:dLbls>
          <c:showLegendKey val="0"/>
          <c:showVal val="0"/>
          <c:showCatName val="0"/>
          <c:showSerName val="0"/>
          <c:showPercent val="0"/>
          <c:showBubbleSize val="0"/>
        </c:dLbls>
        <c:axId val="201535391"/>
        <c:axId val="201535871"/>
      </c:scatterChart>
      <c:valAx>
        <c:axId val="20153539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Publication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535871"/>
        <c:crosses val="autoZero"/>
        <c:crossBetween val="midCat"/>
      </c:valAx>
      <c:valAx>
        <c:axId val="2015358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No. of articles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53539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Sheet1!$C$19</c:f>
              <c:strCache>
                <c:ptCount val="1"/>
                <c:pt idx="0">
                  <c:v>Articles</c:v>
                </c:pt>
              </c:strCache>
            </c:strRef>
          </c:tx>
          <c:spPr>
            <a:solidFill>
              <a:schemeClr val="accent2"/>
            </a:solidFill>
            <a:ln>
              <a:noFill/>
            </a:ln>
            <a:effectLst/>
          </c:spPr>
          <c:invertIfNegative val="0"/>
          <c:cat>
            <c:strRef>
              <c:f>Sheet1!$B$20:$B$29</c:f>
              <c:strCache>
                <c:ptCount val="10"/>
                <c:pt idx="0">
                  <c:v>United Kingdom</c:v>
                </c:pt>
                <c:pt idx="1">
                  <c:v>United States</c:v>
                </c:pt>
                <c:pt idx="2">
                  <c:v>Ukraine</c:v>
                </c:pt>
                <c:pt idx="3">
                  <c:v>Netherlands</c:v>
                </c:pt>
                <c:pt idx="4">
                  <c:v>Australia</c:v>
                </c:pt>
                <c:pt idx="5">
                  <c:v>South Africa</c:v>
                </c:pt>
                <c:pt idx="6">
                  <c:v>Switzerland</c:v>
                </c:pt>
                <c:pt idx="7">
                  <c:v>Malaysia</c:v>
                </c:pt>
                <c:pt idx="8">
                  <c:v>Mexico</c:v>
                </c:pt>
                <c:pt idx="9">
                  <c:v>Greece</c:v>
                </c:pt>
              </c:strCache>
            </c:strRef>
          </c:cat>
          <c:val>
            <c:numRef>
              <c:f>Sheet1!$C$20:$C$29</c:f>
              <c:numCache>
                <c:formatCode>General</c:formatCode>
                <c:ptCount val="10"/>
                <c:pt idx="0">
                  <c:v>44</c:v>
                </c:pt>
                <c:pt idx="1">
                  <c:v>20</c:v>
                </c:pt>
                <c:pt idx="2">
                  <c:v>15</c:v>
                </c:pt>
                <c:pt idx="3">
                  <c:v>7</c:v>
                </c:pt>
                <c:pt idx="4">
                  <c:v>7</c:v>
                </c:pt>
                <c:pt idx="5">
                  <c:v>5</c:v>
                </c:pt>
                <c:pt idx="6">
                  <c:v>3</c:v>
                </c:pt>
                <c:pt idx="7">
                  <c:v>3</c:v>
                </c:pt>
                <c:pt idx="8">
                  <c:v>2</c:v>
                </c:pt>
                <c:pt idx="9">
                  <c:v>2</c:v>
                </c:pt>
              </c:numCache>
            </c:numRef>
          </c:val>
          <c:extLst>
            <c:ext xmlns:c16="http://schemas.microsoft.com/office/drawing/2014/chart" uri="{C3380CC4-5D6E-409C-BE32-E72D297353CC}">
              <c16:uniqueId val="{00000000-FD98-4CC5-B518-B822F8025472}"/>
            </c:ext>
          </c:extLst>
        </c:ser>
        <c:dLbls>
          <c:showLegendKey val="0"/>
          <c:showVal val="0"/>
          <c:showCatName val="0"/>
          <c:showSerName val="0"/>
          <c:showPercent val="0"/>
          <c:showBubbleSize val="0"/>
        </c:dLbls>
        <c:gapWidth val="219"/>
        <c:overlap val="-27"/>
        <c:axId val="330522063"/>
        <c:axId val="330518223"/>
      </c:barChart>
      <c:catAx>
        <c:axId val="3305220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Country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518223"/>
        <c:crosses val="autoZero"/>
        <c:auto val="1"/>
        <c:lblAlgn val="ctr"/>
        <c:lblOffset val="100"/>
        <c:noMultiLvlLbl val="0"/>
      </c:catAx>
      <c:valAx>
        <c:axId val="3305182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Articles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5220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Sheet1!$C$35</c:f>
              <c:strCache>
                <c:ptCount val="1"/>
                <c:pt idx="0">
                  <c:v>Articles</c:v>
                </c:pt>
              </c:strCache>
            </c:strRef>
          </c:tx>
          <c:spPr>
            <a:solidFill>
              <a:schemeClr val="accent5"/>
            </a:solidFill>
            <a:ln>
              <a:noFill/>
            </a:ln>
            <a:effectLst/>
          </c:spPr>
          <c:invertIfNegative val="0"/>
          <c:cat>
            <c:strRef>
              <c:f>Sheet1!$B$36:$B$45</c:f>
              <c:strCache>
                <c:ptCount val="10"/>
                <c:pt idx="0">
                  <c:v>Accounting and Business Research</c:v>
                </c:pt>
                <c:pt idx="1">
                  <c:v>Corporate Ownership and Control</c:v>
                </c:pt>
                <c:pt idx="2">
                  <c:v>Investment Management and Financial Innovations</c:v>
                </c:pt>
                <c:pt idx="3">
                  <c:v>Australasian Business, Accounting and Finance Journal</c:v>
                </c:pt>
                <c:pt idx="4">
                  <c:v>Revista de Contabilidad</c:v>
                </c:pt>
                <c:pt idx="5">
                  <c:v>South African Journal of Economic and Management Sciences</c:v>
                </c:pt>
                <c:pt idx="6">
                  <c:v>Australian Accounting Review</c:v>
                </c:pt>
                <c:pt idx="7">
                  <c:v>Accounting Education</c:v>
                </c:pt>
                <c:pt idx="8">
                  <c:v>Critical Perspectives on Accounting</c:v>
                </c:pt>
                <c:pt idx="9">
                  <c:v>Accounting, Auditing &amp; Accountability Journal</c:v>
                </c:pt>
              </c:strCache>
            </c:strRef>
          </c:cat>
          <c:val>
            <c:numRef>
              <c:f>Sheet1!$C$36:$C$45</c:f>
              <c:numCache>
                <c:formatCode>General</c:formatCode>
                <c:ptCount val="10"/>
                <c:pt idx="0">
                  <c:v>8</c:v>
                </c:pt>
                <c:pt idx="1">
                  <c:v>8</c:v>
                </c:pt>
                <c:pt idx="2">
                  <c:v>4</c:v>
                </c:pt>
                <c:pt idx="3">
                  <c:v>4</c:v>
                </c:pt>
                <c:pt idx="4">
                  <c:v>4</c:v>
                </c:pt>
                <c:pt idx="5">
                  <c:v>4</c:v>
                </c:pt>
                <c:pt idx="6">
                  <c:v>3</c:v>
                </c:pt>
                <c:pt idx="7">
                  <c:v>3</c:v>
                </c:pt>
                <c:pt idx="8">
                  <c:v>3</c:v>
                </c:pt>
                <c:pt idx="9">
                  <c:v>3</c:v>
                </c:pt>
              </c:numCache>
            </c:numRef>
          </c:val>
          <c:extLst>
            <c:ext xmlns:c16="http://schemas.microsoft.com/office/drawing/2014/chart" uri="{C3380CC4-5D6E-409C-BE32-E72D297353CC}">
              <c16:uniqueId val="{00000000-7B79-49E3-A8AC-807D482997EF}"/>
            </c:ext>
          </c:extLst>
        </c:ser>
        <c:dLbls>
          <c:showLegendKey val="0"/>
          <c:showVal val="0"/>
          <c:showCatName val="0"/>
          <c:showSerName val="0"/>
          <c:showPercent val="0"/>
          <c:showBubbleSize val="0"/>
        </c:dLbls>
        <c:gapWidth val="182"/>
        <c:axId val="430921295"/>
        <c:axId val="430931375"/>
      </c:barChart>
      <c:catAx>
        <c:axId val="43092129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Jornal</a:t>
                </a:r>
                <a:r>
                  <a:rPr lang="en-IN" baseline="0"/>
                  <a:t> Title</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931375"/>
        <c:crosses val="autoZero"/>
        <c:auto val="1"/>
        <c:lblAlgn val="ctr"/>
        <c:lblOffset val="100"/>
        <c:noMultiLvlLbl val="0"/>
      </c:catAx>
      <c:valAx>
        <c:axId val="4309313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No</a:t>
                </a:r>
                <a:r>
                  <a:rPr lang="en-IN" baseline="0"/>
                  <a:t> of Articles</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9212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Sheet1!$B$60</c:f>
              <c:strCache>
                <c:ptCount val="1"/>
                <c:pt idx="0">
                  <c:v>Articles (N=121)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C92-4337-A2BF-FB6FFD85F64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1C92-4337-A2BF-FB6FFD85F64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1C92-4337-A2BF-FB6FFD85F64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1C92-4337-A2BF-FB6FFD85F646}"/>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1C92-4337-A2BF-FB6FFD85F64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Sheet1!$A$61:$A$65</c:f>
              <c:strCache>
                <c:ptCount val="5"/>
                <c:pt idx="0">
                  <c:v>1. Corporate governance &amp; disclosure</c:v>
                </c:pt>
                <c:pt idx="1">
                  <c:v>2. Audit practice &amp; quality</c:v>
                </c:pt>
                <c:pt idx="2">
                  <c:v>3. Professional identity &amp; education</c:v>
                </c:pt>
                <c:pt idx="3">
                  <c:v>4. Public sector &amp; regulatory reforms</c:v>
                </c:pt>
                <c:pt idx="4">
                  <c:v>5. Technology &amp; AI in accounting</c:v>
                </c:pt>
              </c:strCache>
            </c:strRef>
          </c:cat>
          <c:val>
            <c:numRef>
              <c:f>Sheet1!$B$61:$B$65</c:f>
              <c:numCache>
                <c:formatCode>General</c:formatCode>
                <c:ptCount val="5"/>
                <c:pt idx="0">
                  <c:v>38</c:v>
                </c:pt>
                <c:pt idx="1">
                  <c:v>28</c:v>
                </c:pt>
                <c:pt idx="2">
                  <c:v>22</c:v>
                </c:pt>
                <c:pt idx="3">
                  <c:v>18</c:v>
                </c:pt>
                <c:pt idx="4">
                  <c:v>15</c:v>
                </c:pt>
              </c:numCache>
            </c:numRef>
          </c:val>
          <c:extLst>
            <c:ext xmlns:c16="http://schemas.microsoft.com/office/drawing/2014/chart" uri="{C3380CC4-5D6E-409C-BE32-E72D297353CC}">
              <c16:uniqueId val="{0000000A-1C92-4337-A2BF-FB6FFD85F64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192968-C4E8-4EB6-B4F5-268FFF5A7AEE}" type="doc">
      <dgm:prSet loTypeId="urn:microsoft.com/office/officeart/2005/8/layout/hProcess9" loCatId="process" qsTypeId="urn:microsoft.com/office/officeart/2005/8/quickstyle/simple1" qsCatId="simple" csTypeId="urn:microsoft.com/office/officeart/2005/8/colors/colorful1" csCatId="colorful" phldr="1"/>
      <dgm:spPr/>
      <dgm:t>
        <a:bodyPr/>
        <a:lstStyle/>
        <a:p>
          <a:endParaRPr lang="en-IN"/>
        </a:p>
      </dgm:t>
    </dgm:pt>
    <dgm:pt modelId="{E7395B9D-A18B-4614-9B08-60650EB840F4}">
      <dgm:prSet phldrT="[Text]"/>
      <dgm:spPr/>
      <dgm:t>
        <a:bodyPr/>
        <a:lstStyle/>
        <a:p>
          <a:pPr>
            <a:buFont typeface="Arial" panose="020B0604020202020204" pitchFamily="34" charset="0"/>
            <a:buChar char="•"/>
          </a:pPr>
          <a:r>
            <a:rPr lang="en-IN" b="0" i="0"/>
            <a:t>Database export (CA + AI-CA)</a:t>
          </a:r>
          <a:endParaRPr lang="en-IN"/>
        </a:p>
      </dgm:t>
    </dgm:pt>
    <dgm:pt modelId="{31C87AAD-0BF3-4EF7-A263-4A4CD2D85FBE}" type="parTrans" cxnId="{4C88A6F2-CF0F-442A-9DA8-880CCE635FDF}">
      <dgm:prSet/>
      <dgm:spPr/>
      <dgm:t>
        <a:bodyPr/>
        <a:lstStyle/>
        <a:p>
          <a:endParaRPr lang="en-IN"/>
        </a:p>
      </dgm:t>
    </dgm:pt>
    <dgm:pt modelId="{C3F6B51D-EA0E-4363-B021-A4A8B8819029}" type="sibTrans" cxnId="{4C88A6F2-CF0F-442A-9DA8-880CCE635FDF}">
      <dgm:prSet/>
      <dgm:spPr/>
      <dgm:t>
        <a:bodyPr/>
        <a:lstStyle/>
        <a:p>
          <a:endParaRPr lang="en-IN"/>
        </a:p>
      </dgm:t>
    </dgm:pt>
    <dgm:pt modelId="{857E8729-AB48-4C74-A065-449EA6EA76DD}">
      <dgm:prSet phldrT="[Text]"/>
      <dgm:spPr/>
      <dgm:t>
        <a:bodyPr/>
        <a:lstStyle/>
        <a:p>
          <a:pPr>
            <a:buFont typeface="Arial" panose="020B0604020202020204" pitchFamily="34" charset="0"/>
            <a:buChar char="•"/>
          </a:pPr>
          <a:r>
            <a:rPr lang="en-IN" b="0" i="0"/>
            <a:t>Duplicate removal</a:t>
          </a:r>
          <a:endParaRPr lang="en-IN"/>
        </a:p>
      </dgm:t>
    </dgm:pt>
    <dgm:pt modelId="{C965A130-8A8A-455C-8E11-16930569BF3A}" type="parTrans" cxnId="{B92261DF-6B6F-4615-8CB0-D9E075A6A6B3}">
      <dgm:prSet/>
      <dgm:spPr/>
      <dgm:t>
        <a:bodyPr/>
        <a:lstStyle/>
        <a:p>
          <a:endParaRPr lang="en-IN"/>
        </a:p>
      </dgm:t>
    </dgm:pt>
    <dgm:pt modelId="{41F36667-3BF8-4F56-B017-67ACD6690D28}" type="sibTrans" cxnId="{B92261DF-6B6F-4615-8CB0-D9E075A6A6B3}">
      <dgm:prSet/>
      <dgm:spPr/>
      <dgm:t>
        <a:bodyPr/>
        <a:lstStyle/>
        <a:p>
          <a:endParaRPr lang="en-IN"/>
        </a:p>
      </dgm:t>
    </dgm:pt>
    <dgm:pt modelId="{6934F2BA-B136-4083-87A2-3C79A32A07A8}">
      <dgm:prSet phldrT="[Text]"/>
      <dgm:spPr/>
      <dgm:t>
        <a:bodyPr/>
        <a:lstStyle/>
        <a:p>
          <a:pPr>
            <a:buFont typeface="Arial" panose="020B0604020202020204" pitchFamily="34" charset="0"/>
            <a:buChar char="•"/>
          </a:pPr>
          <a:r>
            <a:rPr lang="en-IN" b="0" i="0"/>
            <a:t>Relevance screening</a:t>
          </a:r>
          <a:endParaRPr lang="en-IN"/>
        </a:p>
      </dgm:t>
    </dgm:pt>
    <dgm:pt modelId="{9A61673D-09CA-415D-9CBF-21A1F99BFC36}" type="parTrans" cxnId="{9C6A76C4-4DDA-45BF-AEC7-2578E8AFDF5A}">
      <dgm:prSet/>
      <dgm:spPr/>
      <dgm:t>
        <a:bodyPr/>
        <a:lstStyle/>
        <a:p>
          <a:endParaRPr lang="en-IN"/>
        </a:p>
      </dgm:t>
    </dgm:pt>
    <dgm:pt modelId="{3BE52D75-A9AC-4399-9369-4E30B37FF29D}" type="sibTrans" cxnId="{9C6A76C4-4DDA-45BF-AEC7-2578E8AFDF5A}">
      <dgm:prSet/>
      <dgm:spPr/>
      <dgm:t>
        <a:bodyPr/>
        <a:lstStyle/>
        <a:p>
          <a:endParaRPr lang="en-IN"/>
        </a:p>
      </dgm:t>
    </dgm:pt>
    <dgm:pt modelId="{B69A38D3-A91A-4C67-8B33-9163C51A751E}">
      <dgm:prSet/>
      <dgm:spPr/>
      <dgm:t>
        <a:bodyPr/>
        <a:lstStyle/>
        <a:p>
          <a:pPr>
            <a:buFont typeface="Arial" panose="020B0604020202020204" pitchFamily="34" charset="0"/>
            <a:buChar char="•"/>
          </a:pPr>
          <a:r>
            <a:rPr lang="en-IN" b="0" i="0"/>
            <a:t>Final CA dataset (121)</a:t>
          </a:r>
        </a:p>
      </dgm:t>
    </dgm:pt>
    <dgm:pt modelId="{A074EDC5-991A-40FD-A901-544A3050B23A}" type="parTrans" cxnId="{BD6FA235-9D20-470A-BA1F-E42A3EB8FFDF}">
      <dgm:prSet/>
      <dgm:spPr/>
      <dgm:t>
        <a:bodyPr/>
        <a:lstStyle/>
        <a:p>
          <a:endParaRPr lang="en-IN"/>
        </a:p>
      </dgm:t>
    </dgm:pt>
    <dgm:pt modelId="{BD147E28-CCF7-4127-BCC2-DFD165F6F2AA}" type="sibTrans" cxnId="{BD6FA235-9D20-470A-BA1F-E42A3EB8FFDF}">
      <dgm:prSet/>
      <dgm:spPr/>
      <dgm:t>
        <a:bodyPr/>
        <a:lstStyle/>
        <a:p>
          <a:endParaRPr lang="en-IN"/>
        </a:p>
      </dgm:t>
    </dgm:pt>
    <dgm:pt modelId="{0734DAA2-E01F-4DC8-8536-073071611E8A}">
      <dgm:prSet/>
      <dgm:spPr/>
      <dgm:t>
        <a:bodyPr/>
        <a:lstStyle/>
        <a:p>
          <a:pPr>
            <a:buFont typeface="Arial" panose="020B0604020202020204" pitchFamily="34" charset="0"/>
            <a:buChar char="•"/>
          </a:pPr>
          <a:r>
            <a:rPr lang="en-IN" b="0" i="0"/>
            <a:t>AI-CA subset (62)</a:t>
          </a:r>
        </a:p>
      </dgm:t>
    </dgm:pt>
    <dgm:pt modelId="{BDF71223-6E94-41AD-80C6-09711D8986F4}" type="parTrans" cxnId="{7E22A962-3850-4BEA-B8DA-3EEAAE45F291}">
      <dgm:prSet/>
      <dgm:spPr/>
      <dgm:t>
        <a:bodyPr/>
        <a:lstStyle/>
        <a:p>
          <a:endParaRPr lang="en-IN"/>
        </a:p>
      </dgm:t>
    </dgm:pt>
    <dgm:pt modelId="{16664505-E342-4612-9557-6D8EF7540A7F}" type="sibTrans" cxnId="{7E22A962-3850-4BEA-B8DA-3EEAAE45F291}">
      <dgm:prSet/>
      <dgm:spPr/>
      <dgm:t>
        <a:bodyPr/>
        <a:lstStyle/>
        <a:p>
          <a:endParaRPr lang="en-IN"/>
        </a:p>
      </dgm:t>
    </dgm:pt>
    <dgm:pt modelId="{4948C2E7-2BE6-4EF7-AF65-58D65296E6E7}">
      <dgm:prSet/>
      <dgm:spPr/>
      <dgm:t>
        <a:bodyPr/>
        <a:lstStyle/>
        <a:p>
          <a:pPr>
            <a:buFont typeface="Arial" panose="020B0604020202020204" pitchFamily="34" charset="0"/>
            <a:buChar char="•"/>
          </a:pPr>
          <a:r>
            <a:rPr lang="en-IN" b="0" i="0"/>
            <a:t>Bibliometric analysis</a:t>
          </a:r>
        </a:p>
      </dgm:t>
    </dgm:pt>
    <dgm:pt modelId="{2EFADAD3-D400-4419-93A6-41A265D4B756}" type="parTrans" cxnId="{3F0D21D2-B8A3-4E62-BBAB-226A248054F4}">
      <dgm:prSet/>
      <dgm:spPr/>
      <dgm:t>
        <a:bodyPr/>
        <a:lstStyle/>
        <a:p>
          <a:endParaRPr lang="en-IN"/>
        </a:p>
      </dgm:t>
    </dgm:pt>
    <dgm:pt modelId="{FEE5EAE5-3C1B-4602-AF9E-BD5D6487FEB5}" type="sibTrans" cxnId="{3F0D21D2-B8A3-4E62-BBAB-226A248054F4}">
      <dgm:prSet/>
      <dgm:spPr/>
      <dgm:t>
        <a:bodyPr/>
        <a:lstStyle/>
        <a:p>
          <a:endParaRPr lang="en-IN"/>
        </a:p>
      </dgm:t>
    </dgm:pt>
    <dgm:pt modelId="{4FEAD787-F447-4DFC-B431-30209160A4E6}">
      <dgm:prSet/>
      <dgm:spPr/>
      <dgm:t>
        <a:bodyPr/>
        <a:lstStyle/>
        <a:p>
          <a:pPr>
            <a:buFont typeface="Arial" panose="020B0604020202020204" pitchFamily="34" charset="0"/>
            <a:buChar char="•"/>
          </a:pPr>
          <a:r>
            <a:rPr lang="en-IN" b="0" i="0"/>
            <a:t>Thematic analysis</a:t>
          </a:r>
        </a:p>
      </dgm:t>
    </dgm:pt>
    <dgm:pt modelId="{98194B07-4627-4197-9DEF-3048E4D19D07}" type="parTrans" cxnId="{E727A4DD-173A-4628-9FE9-3D0A861FF638}">
      <dgm:prSet/>
      <dgm:spPr/>
      <dgm:t>
        <a:bodyPr/>
        <a:lstStyle/>
        <a:p>
          <a:endParaRPr lang="en-IN"/>
        </a:p>
      </dgm:t>
    </dgm:pt>
    <dgm:pt modelId="{3E952A46-D81B-465A-A2E4-198C41AE4A22}" type="sibTrans" cxnId="{E727A4DD-173A-4628-9FE9-3D0A861FF638}">
      <dgm:prSet/>
      <dgm:spPr/>
      <dgm:t>
        <a:bodyPr/>
        <a:lstStyle/>
        <a:p>
          <a:endParaRPr lang="en-IN"/>
        </a:p>
      </dgm:t>
    </dgm:pt>
    <dgm:pt modelId="{E1D13F18-5BD3-4BAD-AB03-41C0976A8AC5}" type="pres">
      <dgm:prSet presAssocID="{FC192968-C4E8-4EB6-B4F5-268FFF5A7AEE}" presName="CompostProcess" presStyleCnt="0">
        <dgm:presLayoutVars>
          <dgm:dir/>
          <dgm:resizeHandles val="exact"/>
        </dgm:presLayoutVars>
      </dgm:prSet>
      <dgm:spPr/>
    </dgm:pt>
    <dgm:pt modelId="{5E543B5C-7036-4E67-8DD5-2A008A014161}" type="pres">
      <dgm:prSet presAssocID="{FC192968-C4E8-4EB6-B4F5-268FFF5A7AEE}" presName="arrow" presStyleLbl="bgShp" presStyleIdx="0" presStyleCnt="1"/>
      <dgm:spPr/>
    </dgm:pt>
    <dgm:pt modelId="{F56ACB41-C6B3-4FF3-850D-94DD6388E4BB}" type="pres">
      <dgm:prSet presAssocID="{FC192968-C4E8-4EB6-B4F5-268FFF5A7AEE}" presName="linearProcess" presStyleCnt="0"/>
      <dgm:spPr/>
    </dgm:pt>
    <dgm:pt modelId="{5BFBA295-7A40-4C18-B297-3C60AC3948B2}" type="pres">
      <dgm:prSet presAssocID="{E7395B9D-A18B-4614-9B08-60650EB840F4}" presName="textNode" presStyleLbl="node1" presStyleIdx="0" presStyleCnt="7">
        <dgm:presLayoutVars>
          <dgm:bulletEnabled val="1"/>
        </dgm:presLayoutVars>
      </dgm:prSet>
      <dgm:spPr/>
    </dgm:pt>
    <dgm:pt modelId="{02DDAED4-50AE-4946-B897-540A693697A9}" type="pres">
      <dgm:prSet presAssocID="{C3F6B51D-EA0E-4363-B021-A4A8B8819029}" presName="sibTrans" presStyleCnt="0"/>
      <dgm:spPr/>
    </dgm:pt>
    <dgm:pt modelId="{ACCD4048-1CA6-4452-AAE0-CA73C1B290AA}" type="pres">
      <dgm:prSet presAssocID="{857E8729-AB48-4C74-A065-449EA6EA76DD}" presName="textNode" presStyleLbl="node1" presStyleIdx="1" presStyleCnt="7">
        <dgm:presLayoutVars>
          <dgm:bulletEnabled val="1"/>
        </dgm:presLayoutVars>
      </dgm:prSet>
      <dgm:spPr/>
    </dgm:pt>
    <dgm:pt modelId="{1B842F70-17F2-410E-B237-8DA9DC72047E}" type="pres">
      <dgm:prSet presAssocID="{41F36667-3BF8-4F56-B017-67ACD6690D28}" presName="sibTrans" presStyleCnt="0"/>
      <dgm:spPr/>
    </dgm:pt>
    <dgm:pt modelId="{236BD9F7-4B3D-47FD-AA7F-D050791CE0AC}" type="pres">
      <dgm:prSet presAssocID="{6934F2BA-B136-4083-87A2-3C79A32A07A8}" presName="textNode" presStyleLbl="node1" presStyleIdx="2" presStyleCnt="7">
        <dgm:presLayoutVars>
          <dgm:bulletEnabled val="1"/>
        </dgm:presLayoutVars>
      </dgm:prSet>
      <dgm:spPr/>
    </dgm:pt>
    <dgm:pt modelId="{A3E462EB-2C3A-433E-B932-386794811C45}" type="pres">
      <dgm:prSet presAssocID="{3BE52D75-A9AC-4399-9369-4E30B37FF29D}" presName="sibTrans" presStyleCnt="0"/>
      <dgm:spPr/>
    </dgm:pt>
    <dgm:pt modelId="{866FA05C-FD54-4596-869E-4662A3118562}" type="pres">
      <dgm:prSet presAssocID="{B69A38D3-A91A-4C67-8B33-9163C51A751E}" presName="textNode" presStyleLbl="node1" presStyleIdx="3" presStyleCnt="7">
        <dgm:presLayoutVars>
          <dgm:bulletEnabled val="1"/>
        </dgm:presLayoutVars>
      </dgm:prSet>
      <dgm:spPr/>
    </dgm:pt>
    <dgm:pt modelId="{49F698C5-6AA9-4B2D-BECB-512C16D2D54E}" type="pres">
      <dgm:prSet presAssocID="{BD147E28-CCF7-4127-BCC2-DFD165F6F2AA}" presName="sibTrans" presStyleCnt="0"/>
      <dgm:spPr/>
    </dgm:pt>
    <dgm:pt modelId="{E68E3959-408D-493F-96DC-B6CC46585C7B}" type="pres">
      <dgm:prSet presAssocID="{0734DAA2-E01F-4DC8-8536-073071611E8A}" presName="textNode" presStyleLbl="node1" presStyleIdx="4" presStyleCnt="7">
        <dgm:presLayoutVars>
          <dgm:bulletEnabled val="1"/>
        </dgm:presLayoutVars>
      </dgm:prSet>
      <dgm:spPr/>
    </dgm:pt>
    <dgm:pt modelId="{79AD5249-9EA7-47F2-B5AB-FE123485E330}" type="pres">
      <dgm:prSet presAssocID="{16664505-E342-4612-9557-6D8EF7540A7F}" presName="sibTrans" presStyleCnt="0"/>
      <dgm:spPr/>
    </dgm:pt>
    <dgm:pt modelId="{A19ABC86-A809-440A-8F2B-D27A75B13BDF}" type="pres">
      <dgm:prSet presAssocID="{4948C2E7-2BE6-4EF7-AF65-58D65296E6E7}" presName="textNode" presStyleLbl="node1" presStyleIdx="5" presStyleCnt="7">
        <dgm:presLayoutVars>
          <dgm:bulletEnabled val="1"/>
        </dgm:presLayoutVars>
      </dgm:prSet>
      <dgm:spPr/>
    </dgm:pt>
    <dgm:pt modelId="{7455D1EF-3F97-425C-A360-EF3044F4D93E}" type="pres">
      <dgm:prSet presAssocID="{FEE5EAE5-3C1B-4602-AF9E-BD5D6487FEB5}" presName="sibTrans" presStyleCnt="0"/>
      <dgm:spPr/>
    </dgm:pt>
    <dgm:pt modelId="{E40339F3-E1AB-4E1B-B523-C417DFED617C}" type="pres">
      <dgm:prSet presAssocID="{4FEAD787-F447-4DFC-B431-30209160A4E6}" presName="textNode" presStyleLbl="node1" presStyleIdx="6" presStyleCnt="7">
        <dgm:presLayoutVars>
          <dgm:bulletEnabled val="1"/>
        </dgm:presLayoutVars>
      </dgm:prSet>
      <dgm:spPr/>
    </dgm:pt>
  </dgm:ptLst>
  <dgm:cxnLst>
    <dgm:cxn modelId="{30563308-CFA9-4FA2-BEF1-10ED5807F018}" type="presOf" srcId="{E7395B9D-A18B-4614-9B08-60650EB840F4}" destId="{5BFBA295-7A40-4C18-B297-3C60AC3948B2}" srcOrd="0" destOrd="0" presId="urn:microsoft.com/office/officeart/2005/8/layout/hProcess9"/>
    <dgm:cxn modelId="{BD6FA235-9D20-470A-BA1F-E42A3EB8FFDF}" srcId="{FC192968-C4E8-4EB6-B4F5-268FFF5A7AEE}" destId="{B69A38D3-A91A-4C67-8B33-9163C51A751E}" srcOrd="3" destOrd="0" parTransId="{A074EDC5-991A-40FD-A901-544A3050B23A}" sibTransId="{BD147E28-CCF7-4127-BCC2-DFD165F6F2AA}"/>
    <dgm:cxn modelId="{DB121838-888F-41E5-8C9A-9AF39B72C42D}" type="presOf" srcId="{FC192968-C4E8-4EB6-B4F5-268FFF5A7AEE}" destId="{E1D13F18-5BD3-4BAD-AB03-41C0976A8AC5}" srcOrd="0" destOrd="0" presId="urn:microsoft.com/office/officeart/2005/8/layout/hProcess9"/>
    <dgm:cxn modelId="{544F1739-C224-41F3-BF61-8D08D5789424}" type="presOf" srcId="{B69A38D3-A91A-4C67-8B33-9163C51A751E}" destId="{866FA05C-FD54-4596-869E-4662A3118562}" srcOrd="0" destOrd="0" presId="urn:microsoft.com/office/officeart/2005/8/layout/hProcess9"/>
    <dgm:cxn modelId="{BA480B5D-BC65-4655-8082-206101482FDE}" type="presOf" srcId="{4948C2E7-2BE6-4EF7-AF65-58D65296E6E7}" destId="{A19ABC86-A809-440A-8F2B-D27A75B13BDF}" srcOrd="0" destOrd="0" presId="urn:microsoft.com/office/officeart/2005/8/layout/hProcess9"/>
    <dgm:cxn modelId="{7E22A962-3850-4BEA-B8DA-3EEAAE45F291}" srcId="{FC192968-C4E8-4EB6-B4F5-268FFF5A7AEE}" destId="{0734DAA2-E01F-4DC8-8536-073071611E8A}" srcOrd="4" destOrd="0" parTransId="{BDF71223-6E94-41AD-80C6-09711D8986F4}" sibTransId="{16664505-E342-4612-9557-6D8EF7540A7F}"/>
    <dgm:cxn modelId="{E4E7E283-65FE-4AE2-B9E1-A403807EF68A}" type="presOf" srcId="{4FEAD787-F447-4DFC-B431-30209160A4E6}" destId="{E40339F3-E1AB-4E1B-B523-C417DFED617C}" srcOrd="0" destOrd="0" presId="urn:microsoft.com/office/officeart/2005/8/layout/hProcess9"/>
    <dgm:cxn modelId="{F985EDB7-CE48-43EF-82E6-F283AF67A50C}" type="presOf" srcId="{0734DAA2-E01F-4DC8-8536-073071611E8A}" destId="{E68E3959-408D-493F-96DC-B6CC46585C7B}" srcOrd="0" destOrd="0" presId="urn:microsoft.com/office/officeart/2005/8/layout/hProcess9"/>
    <dgm:cxn modelId="{5EFB86C0-1C6F-4288-BC20-42C528CB7289}" type="presOf" srcId="{6934F2BA-B136-4083-87A2-3C79A32A07A8}" destId="{236BD9F7-4B3D-47FD-AA7F-D050791CE0AC}" srcOrd="0" destOrd="0" presId="urn:microsoft.com/office/officeart/2005/8/layout/hProcess9"/>
    <dgm:cxn modelId="{9C6A76C4-4DDA-45BF-AEC7-2578E8AFDF5A}" srcId="{FC192968-C4E8-4EB6-B4F5-268FFF5A7AEE}" destId="{6934F2BA-B136-4083-87A2-3C79A32A07A8}" srcOrd="2" destOrd="0" parTransId="{9A61673D-09CA-415D-9CBF-21A1F99BFC36}" sibTransId="{3BE52D75-A9AC-4399-9369-4E30B37FF29D}"/>
    <dgm:cxn modelId="{3F0D21D2-B8A3-4E62-BBAB-226A248054F4}" srcId="{FC192968-C4E8-4EB6-B4F5-268FFF5A7AEE}" destId="{4948C2E7-2BE6-4EF7-AF65-58D65296E6E7}" srcOrd="5" destOrd="0" parTransId="{2EFADAD3-D400-4419-93A6-41A265D4B756}" sibTransId="{FEE5EAE5-3C1B-4602-AF9E-BD5D6487FEB5}"/>
    <dgm:cxn modelId="{E727A4DD-173A-4628-9FE9-3D0A861FF638}" srcId="{FC192968-C4E8-4EB6-B4F5-268FFF5A7AEE}" destId="{4FEAD787-F447-4DFC-B431-30209160A4E6}" srcOrd="6" destOrd="0" parTransId="{98194B07-4627-4197-9DEF-3048E4D19D07}" sibTransId="{3E952A46-D81B-465A-A2E4-198C41AE4A22}"/>
    <dgm:cxn modelId="{B92261DF-6B6F-4615-8CB0-D9E075A6A6B3}" srcId="{FC192968-C4E8-4EB6-B4F5-268FFF5A7AEE}" destId="{857E8729-AB48-4C74-A065-449EA6EA76DD}" srcOrd="1" destOrd="0" parTransId="{C965A130-8A8A-455C-8E11-16930569BF3A}" sibTransId="{41F36667-3BF8-4F56-B017-67ACD6690D28}"/>
    <dgm:cxn modelId="{4C88A6F2-CF0F-442A-9DA8-880CCE635FDF}" srcId="{FC192968-C4E8-4EB6-B4F5-268FFF5A7AEE}" destId="{E7395B9D-A18B-4614-9B08-60650EB840F4}" srcOrd="0" destOrd="0" parTransId="{31C87AAD-0BF3-4EF7-A263-4A4CD2D85FBE}" sibTransId="{C3F6B51D-EA0E-4363-B021-A4A8B8819029}"/>
    <dgm:cxn modelId="{A61B60F5-3ED3-45BA-AD6E-0BCE26D5D667}" type="presOf" srcId="{857E8729-AB48-4C74-A065-449EA6EA76DD}" destId="{ACCD4048-1CA6-4452-AAE0-CA73C1B290AA}" srcOrd="0" destOrd="0" presId="urn:microsoft.com/office/officeart/2005/8/layout/hProcess9"/>
    <dgm:cxn modelId="{53F52678-0905-4963-87D4-1967C52B6414}" type="presParOf" srcId="{E1D13F18-5BD3-4BAD-AB03-41C0976A8AC5}" destId="{5E543B5C-7036-4E67-8DD5-2A008A014161}" srcOrd="0" destOrd="0" presId="urn:microsoft.com/office/officeart/2005/8/layout/hProcess9"/>
    <dgm:cxn modelId="{8BED6301-6936-42B0-B1DD-13AFC84FF457}" type="presParOf" srcId="{E1D13F18-5BD3-4BAD-AB03-41C0976A8AC5}" destId="{F56ACB41-C6B3-4FF3-850D-94DD6388E4BB}" srcOrd="1" destOrd="0" presId="urn:microsoft.com/office/officeart/2005/8/layout/hProcess9"/>
    <dgm:cxn modelId="{FCA74985-CEC8-4F24-899E-C6406AEBEB48}" type="presParOf" srcId="{F56ACB41-C6B3-4FF3-850D-94DD6388E4BB}" destId="{5BFBA295-7A40-4C18-B297-3C60AC3948B2}" srcOrd="0" destOrd="0" presId="urn:microsoft.com/office/officeart/2005/8/layout/hProcess9"/>
    <dgm:cxn modelId="{B6A12BD0-0440-4E02-891E-E788F9315436}" type="presParOf" srcId="{F56ACB41-C6B3-4FF3-850D-94DD6388E4BB}" destId="{02DDAED4-50AE-4946-B897-540A693697A9}" srcOrd="1" destOrd="0" presId="urn:microsoft.com/office/officeart/2005/8/layout/hProcess9"/>
    <dgm:cxn modelId="{2419B06A-F441-4DF5-A767-8FC79FF4C467}" type="presParOf" srcId="{F56ACB41-C6B3-4FF3-850D-94DD6388E4BB}" destId="{ACCD4048-1CA6-4452-AAE0-CA73C1B290AA}" srcOrd="2" destOrd="0" presId="urn:microsoft.com/office/officeart/2005/8/layout/hProcess9"/>
    <dgm:cxn modelId="{1514E787-BE02-4712-B971-C5E01DABEF45}" type="presParOf" srcId="{F56ACB41-C6B3-4FF3-850D-94DD6388E4BB}" destId="{1B842F70-17F2-410E-B237-8DA9DC72047E}" srcOrd="3" destOrd="0" presId="urn:microsoft.com/office/officeart/2005/8/layout/hProcess9"/>
    <dgm:cxn modelId="{9DFA3026-2ABC-49D8-814D-C81B7897EC9C}" type="presParOf" srcId="{F56ACB41-C6B3-4FF3-850D-94DD6388E4BB}" destId="{236BD9F7-4B3D-47FD-AA7F-D050791CE0AC}" srcOrd="4" destOrd="0" presId="urn:microsoft.com/office/officeart/2005/8/layout/hProcess9"/>
    <dgm:cxn modelId="{6AD82FCA-28E4-4C48-B815-AA4D1D2D8596}" type="presParOf" srcId="{F56ACB41-C6B3-4FF3-850D-94DD6388E4BB}" destId="{A3E462EB-2C3A-433E-B932-386794811C45}" srcOrd="5" destOrd="0" presId="urn:microsoft.com/office/officeart/2005/8/layout/hProcess9"/>
    <dgm:cxn modelId="{774E1373-5CB6-421D-9A44-C72BADD28EBC}" type="presParOf" srcId="{F56ACB41-C6B3-4FF3-850D-94DD6388E4BB}" destId="{866FA05C-FD54-4596-869E-4662A3118562}" srcOrd="6" destOrd="0" presId="urn:microsoft.com/office/officeart/2005/8/layout/hProcess9"/>
    <dgm:cxn modelId="{39967AA5-6D5E-4E9E-8F8B-1E1F87B126B3}" type="presParOf" srcId="{F56ACB41-C6B3-4FF3-850D-94DD6388E4BB}" destId="{49F698C5-6AA9-4B2D-BECB-512C16D2D54E}" srcOrd="7" destOrd="0" presId="urn:microsoft.com/office/officeart/2005/8/layout/hProcess9"/>
    <dgm:cxn modelId="{055066F9-8D6D-4574-A684-319FC2550EC8}" type="presParOf" srcId="{F56ACB41-C6B3-4FF3-850D-94DD6388E4BB}" destId="{E68E3959-408D-493F-96DC-B6CC46585C7B}" srcOrd="8" destOrd="0" presId="urn:microsoft.com/office/officeart/2005/8/layout/hProcess9"/>
    <dgm:cxn modelId="{5989DFFD-B728-4CBE-93F5-0C373BC3CF86}" type="presParOf" srcId="{F56ACB41-C6B3-4FF3-850D-94DD6388E4BB}" destId="{79AD5249-9EA7-47F2-B5AB-FE123485E330}" srcOrd="9" destOrd="0" presId="urn:microsoft.com/office/officeart/2005/8/layout/hProcess9"/>
    <dgm:cxn modelId="{2DE1FFB6-3330-49B1-92BF-A5B0DE2167AB}" type="presParOf" srcId="{F56ACB41-C6B3-4FF3-850D-94DD6388E4BB}" destId="{A19ABC86-A809-440A-8F2B-D27A75B13BDF}" srcOrd="10" destOrd="0" presId="urn:microsoft.com/office/officeart/2005/8/layout/hProcess9"/>
    <dgm:cxn modelId="{701DDB71-B751-448D-A7B4-7C362CD4A8C6}" type="presParOf" srcId="{F56ACB41-C6B3-4FF3-850D-94DD6388E4BB}" destId="{7455D1EF-3F97-425C-A360-EF3044F4D93E}" srcOrd="11" destOrd="0" presId="urn:microsoft.com/office/officeart/2005/8/layout/hProcess9"/>
    <dgm:cxn modelId="{303AFC04-EF19-434F-9042-0B8053973881}" type="presParOf" srcId="{F56ACB41-C6B3-4FF3-850D-94DD6388E4BB}" destId="{E40339F3-E1AB-4E1B-B523-C417DFED617C}" srcOrd="12"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543B5C-7036-4E67-8DD5-2A008A014161}">
      <dsp:nvSpPr>
        <dsp:cNvPr id="0" name=""/>
        <dsp:cNvSpPr/>
      </dsp:nvSpPr>
      <dsp:spPr>
        <a:xfrm>
          <a:off x="411479" y="0"/>
          <a:ext cx="4663440" cy="1295400"/>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BFBA295-7A40-4C18-B297-3C60AC3948B2}">
      <dsp:nvSpPr>
        <dsp:cNvPr id="0" name=""/>
        <dsp:cNvSpPr/>
      </dsp:nvSpPr>
      <dsp:spPr>
        <a:xfrm>
          <a:off x="468" y="388620"/>
          <a:ext cx="751433" cy="51816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IN" sz="900" b="0" i="0" kern="1200"/>
            <a:t>Database export (CA + AI-CA)</a:t>
          </a:r>
          <a:endParaRPr lang="en-IN" sz="900" kern="1200"/>
        </a:p>
      </dsp:txBody>
      <dsp:txXfrm>
        <a:off x="25762" y="413914"/>
        <a:ext cx="700845" cy="467572"/>
      </dsp:txXfrm>
    </dsp:sp>
    <dsp:sp modelId="{ACCD4048-1CA6-4452-AAE0-CA73C1B290AA}">
      <dsp:nvSpPr>
        <dsp:cNvPr id="0" name=""/>
        <dsp:cNvSpPr/>
      </dsp:nvSpPr>
      <dsp:spPr>
        <a:xfrm>
          <a:off x="789473" y="388620"/>
          <a:ext cx="751433" cy="518160"/>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IN" sz="900" b="0" i="0" kern="1200"/>
            <a:t>Duplicate removal</a:t>
          </a:r>
          <a:endParaRPr lang="en-IN" sz="900" kern="1200"/>
        </a:p>
      </dsp:txBody>
      <dsp:txXfrm>
        <a:off x="814767" y="413914"/>
        <a:ext cx="700845" cy="467572"/>
      </dsp:txXfrm>
    </dsp:sp>
    <dsp:sp modelId="{236BD9F7-4B3D-47FD-AA7F-D050791CE0AC}">
      <dsp:nvSpPr>
        <dsp:cNvPr id="0" name=""/>
        <dsp:cNvSpPr/>
      </dsp:nvSpPr>
      <dsp:spPr>
        <a:xfrm>
          <a:off x="1578478" y="388620"/>
          <a:ext cx="751433" cy="518160"/>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IN" sz="900" b="0" i="0" kern="1200"/>
            <a:t>Relevance screening</a:t>
          </a:r>
          <a:endParaRPr lang="en-IN" sz="900" kern="1200"/>
        </a:p>
      </dsp:txBody>
      <dsp:txXfrm>
        <a:off x="1603772" y="413914"/>
        <a:ext cx="700845" cy="467572"/>
      </dsp:txXfrm>
    </dsp:sp>
    <dsp:sp modelId="{866FA05C-FD54-4596-869E-4662A3118562}">
      <dsp:nvSpPr>
        <dsp:cNvPr id="0" name=""/>
        <dsp:cNvSpPr/>
      </dsp:nvSpPr>
      <dsp:spPr>
        <a:xfrm>
          <a:off x="2367483" y="388620"/>
          <a:ext cx="751433" cy="518160"/>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IN" sz="900" b="0" i="0" kern="1200"/>
            <a:t>Final CA dataset (121)</a:t>
          </a:r>
        </a:p>
      </dsp:txBody>
      <dsp:txXfrm>
        <a:off x="2392777" y="413914"/>
        <a:ext cx="700845" cy="467572"/>
      </dsp:txXfrm>
    </dsp:sp>
    <dsp:sp modelId="{E68E3959-408D-493F-96DC-B6CC46585C7B}">
      <dsp:nvSpPr>
        <dsp:cNvPr id="0" name=""/>
        <dsp:cNvSpPr/>
      </dsp:nvSpPr>
      <dsp:spPr>
        <a:xfrm>
          <a:off x="3156488" y="388620"/>
          <a:ext cx="751433" cy="518160"/>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IN" sz="900" b="0" i="0" kern="1200"/>
            <a:t>AI-CA subset (62)</a:t>
          </a:r>
        </a:p>
      </dsp:txBody>
      <dsp:txXfrm>
        <a:off x="3181782" y="413914"/>
        <a:ext cx="700845" cy="467572"/>
      </dsp:txXfrm>
    </dsp:sp>
    <dsp:sp modelId="{A19ABC86-A809-440A-8F2B-D27A75B13BDF}">
      <dsp:nvSpPr>
        <dsp:cNvPr id="0" name=""/>
        <dsp:cNvSpPr/>
      </dsp:nvSpPr>
      <dsp:spPr>
        <a:xfrm>
          <a:off x="3945493" y="388620"/>
          <a:ext cx="751433" cy="51816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IN" sz="900" b="0" i="0" kern="1200"/>
            <a:t>Bibliometric analysis</a:t>
          </a:r>
        </a:p>
      </dsp:txBody>
      <dsp:txXfrm>
        <a:off x="3970787" y="413914"/>
        <a:ext cx="700845" cy="467572"/>
      </dsp:txXfrm>
    </dsp:sp>
    <dsp:sp modelId="{E40339F3-E1AB-4E1B-B523-C417DFED617C}">
      <dsp:nvSpPr>
        <dsp:cNvPr id="0" name=""/>
        <dsp:cNvSpPr/>
      </dsp:nvSpPr>
      <dsp:spPr>
        <a:xfrm>
          <a:off x="4734497" y="388620"/>
          <a:ext cx="751433" cy="518160"/>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Arial" panose="020B0604020202020204" pitchFamily="34" charset="0"/>
            <a:buNone/>
          </a:pPr>
          <a:r>
            <a:rPr lang="en-IN" sz="900" b="0" i="0" kern="1200"/>
            <a:t>Thematic analysis</a:t>
          </a:r>
        </a:p>
      </dsp:txBody>
      <dsp:txXfrm>
        <a:off x="4759791" y="413914"/>
        <a:ext cx="700845" cy="46757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6283A-F06A-4CE8-8B3E-4820600C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12</Pages>
  <Words>6372</Words>
  <Characters>36326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42613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13</cp:revision>
  <cp:lastPrinted>1999-07-06T11:00:00Z</cp:lastPrinted>
  <dcterms:created xsi:type="dcterms:W3CDTF">2014-10-25T14:34:00Z</dcterms:created>
  <dcterms:modified xsi:type="dcterms:W3CDTF">2026-03-17T09:35:00Z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0a522094-3934-4ae3-95c9-40108a536be2</vt:lpwstr>
  </property>
</Properties>
</file>