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058B3" w14:textId="2DF2233F" w:rsidR="00F83429" w:rsidRDefault="0072656A" w:rsidP="00F83429">
      <w:pPr>
        <w:jc w:val="center"/>
        <w:rPr>
          <w:rFonts w:ascii="Times New Roman" w:hAnsi="Times New Roman" w:cs="Times New Roman"/>
          <w:b/>
          <w:bCs/>
          <w:sz w:val="24"/>
          <w:szCs w:val="24"/>
        </w:rPr>
      </w:pPr>
      <w:r>
        <w:rPr>
          <w:rFonts w:ascii="Times New Roman" w:hAnsi="Times New Roman" w:cs="Times New Roman"/>
          <w:b/>
          <w:bCs/>
          <w:sz w:val="24"/>
          <w:szCs w:val="24"/>
        </w:rPr>
        <w:t xml:space="preserve">ANALYSIS OF </w:t>
      </w:r>
      <w:r w:rsidR="00F83429" w:rsidRPr="00F83429">
        <w:rPr>
          <w:rFonts w:ascii="Times New Roman" w:hAnsi="Times New Roman" w:cs="Times New Roman"/>
          <w:b/>
          <w:bCs/>
          <w:sz w:val="24"/>
          <w:szCs w:val="24"/>
        </w:rPr>
        <w:t>ENERGY POVERTY AND HOUSEHOLD WELFARE IN NIGERIA</w:t>
      </w:r>
    </w:p>
    <w:p w14:paraId="495EBFCA" w14:textId="77777777" w:rsidR="00487A7A" w:rsidRDefault="00487A7A" w:rsidP="00F83429">
      <w:pPr>
        <w:jc w:val="center"/>
        <w:rPr>
          <w:rFonts w:ascii="Times New Roman" w:hAnsi="Times New Roman" w:cs="Times New Roman"/>
          <w:b/>
          <w:bCs/>
          <w:sz w:val="24"/>
          <w:szCs w:val="24"/>
        </w:rPr>
      </w:pPr>
    </w:p>
    <w:p w14:paraId="62AACAF0" w14:textId="77777777" w:rsidR="00583327" w:rsidRDefault="00583327" w:rsidP="00F83429">
      <w:pPr>
        <w:rPr>
          <w:rFonts w:ascii="Times New Roman" w:hAnsi="Times New Roman" w:cs="Times New Roman"/>
          <w:b/>
          <w:bCs/>
          <w:sz w:val="24"/>
          <w:szCs w:val="24"/>
          <w:vertAlign w:val="superscript"/>
        </w:rPr>
      </w:pPr>
    </w:p>
    <w:p w14:paraId="0077A04E" w14:textId="77777777" w:rsidR="00583327" w:rsidRDefault="00583327" w:rsidP="00F83429">
      <w:pPr>
        <w:rPr>
          <w:rFonts w:ascii="Times New Roman" w:hAnsi="Times New Roman" w:cs="Times New Roman"/>
          <w:b/>
          <w:bCs/>
          <w:sz w:val="24"/>
          <w:szCs w:val="24"/>
        </w:rPr>
      </w:pPr>
    </w:p>
    <w:p w14:paraId="679C53B4" w14:textId="084D8038" w:rsidR="00F83429" w:rsidRDefault="004C327F" w:rsidP="00F83429">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Abstract </w:t>
      </w:r>
    </w:p>
    <w:p w14:paraId="29E306CC" w14:textId="75FAFDBA" w:rsidR="004C327F" w:rsidRDefault="004C327F" w:rsidP="004C327F">
      <w:pPr>
        <w:spacing w:after="0" w:line="240" w:lineRule="auto"/>
        <w:jc w:val="both"/>
        <w:rPr>
          <w:rFonts w:ascii="Times New Roman" w:hAnsi="Times New Roman" w:cs="Times New Roman"/>
          <w:i/>
          <w:iCs/>
          <w:sz w:val="24"/>
          <w:szCs w:val="24"/>
        </w:rPr>
      </w:pPr>
      <w:r w:rsidRPr="004C327F">
        <w:rPr>
          <w:rFonts w:ascii="Times New Roman" w:hAnsi="Times New Roman" w:cs="Times New Roman"/>
          <w:i/>
          <w:iCs/>
          <w:sz w:val="24"/>
          <w:szCs w:val="24"/>
        </w:rPr>
        <w:t>This study examined the impact of energy poverty on household welfare in Nigeria using electricity access (EA), electricity consumption (EC), and electricity use (EU), as key energy poverty indicators, while</w:t>
      </w:r>
      <w:r w:rsidR="00662FA4" w:rsidRPr="004C327F">
        <w:rPr>
          <w:rFonts w:ascii="Times New Roman" w:hAnsi="Times New Roman" w:cs="Times New Roman"/>
          <w:i/>
          <w:iCs/>
          <w:sz w:val="24"/>
          <w:szCs w:val="24"/>
        </w:rPr>
        <w:t xml:space="preserve"> electricity generation (EG) </w:t>
      </w:r>
      <w:r w:rsidR="00662FA4">
        <w:rPr>
          <w:rFonts w:ascii="Times New Roman" w:hAnsi="Times New Roman" w:cs="Times New Roman"/>
          <w:i/>
          <w:iCs/>
          <w:sz w:val="24"/>
          <w:szCs w:val="24"/>
        </w:rPr>
        <w:t xml:space="preserve">and </w:t>
      </w:r>
      <w:r w:rsidRPr="004C327F">
        <w:rPr>
          <w:rFonts w:ascii="Times New Roman" w:hAnsi="Times New Roman" w:cs="Times New Roman"/>
          <w:i/>
          <w:iCs/>
          <w:sz w:val="24"/>
          <w:szCs w:val="24"/>
        </w:rPr>
        <w:t>inflation (IF) was included as a control variable. The study was motivated by the persistent energy deprivation in Nigeria despite the country’s abundant energy resources. Annual time-series data were analyzed using the Nonlinear Autoregressive Distributed Lag (NARDL) model to capture both symmetric and asymmetric effects of energy variables on household welfare. Preliminary tests, including the Augmented Dickey–Fuller unit root test and the Bounds cointegration test, confirmed stationarity and the existence of a long-run relationship among the variables. The long-run results reveal that positive changes in electricity access significantly improve household welfare (EA_POS = 0.013357, p &lt; 0.01), while negative changes in electricity access are insignificant (EA_NEG = 0.000648, p &gt; 0.05). Electricity consumption shows a significant negative long-run effect on welfare for both positive and negative shocks (EC_POS = −0.002744, p &lt; 0.01; EC_NEG = −0.001149, p &lt; 0.05). Similarly, positive changes in electricity use have a significant negative effect on welfare (EU_POS = −0.000607, p &lt; 0.05), while negative changes remain insignificant (EU_NEG = 0.000519, p &gt; 0.05). Electricity generation has a negative but statistically insignificant effect on welfare (EG = −0.002394, p &gt; 0.05). Inflation also shows a positive but insignificant long-run effect (IF = 0.000318, p &gt; 0.05). In the short run, positive shocks to electricity access and electricity consumption significantly improve welfare, while inflation significantly reduces welfare. The error correction term is negative and statistically significant, indicating long-run convergence of the system. The study concludes that improving electricity access plays a critical role in enhancing household welfare in Nigeria, although inefficiencies in electricity consumption and energy use may reduce welfare gains. The study recommends strengthening electricity infrastructure, promoting efficient energy utilization, and implementing policies that ensure affordable and reliable energy supply to improve household welfare.</w:t>
      </w:r>
    </w:p>
    <w:p w14:paraId="737FD78E" w14:textId="77777777" w:rsidR="004C327F" w:rsidRPr="004C327F" w:rsidRDefault="004C327F" w:rsidP="004C327F">
      <w:pPr>
        <w:spacing w:after="0" w:line="240" w:lineRule="auto"/>
        <w:jc w:val="both"/>
        <w:rPr>
          <w:rFonts w:ascii="Times New Roman" w:hAnsi="Times New Roman" w:cs="Times New Roman"/>
          <w:i/>
          <w:iCs/>
          <w:sz w:val="24"/>
          <w:szCs w:val="24"/>
        </w:rPr>
      </w:pPr>
    </w:p>
    <w:p w14:paraId="4167A7F8" w14:textId="66B7187B" w:rsidR="004C327F" w:rsidRPr="004C327F" w:rsidRDefault="004C327F" w:rsidP="004C327F">
      <w:pPr>
        <w:jc w:val="both"/>
        <w:rPr>
          <w:rFonts w:ascii="Times New Roman" w:hAnsi="Times New Roman" w:cs="Times New Roman"/>
          <w:sz w:val="24"/>
          <w:szCs w:val="24"/>
        </w:rPr>
      </w:pPr>
      <w:r w:rsidRPr="004C327F">
        <w:rPr>
          <w:rFonts w:ascii="Times New Roman" w:hAnsi="Times New Roman" w:cs="Times New Roman"/>
          <w:b/>
          <w:bCs/>
          <w:sz w:val="24"/>
          <w:szCs w:val="24"/>
        </w:rPr>
        <w:t>Keywords:</w:t>
      </w:r>
      <w:r w:rsidRPr="004C327F">
        <w:rPr>
          <w:rFonts w:ascii="Times New Roman" w:hAnsi="Times New Roman" w:cs="Times New Roman"/>
          <w:sz w:val="24"/>
          <w:szCs w:val="24"/>
        </w:rPr>
        <w:t xml:space="preserve"> Sustainable Energy, Electricity access, </w:t>
      </w:r>
      <w:r>
        <w:rPr>
          <w:rFonts w:ascii="Times New Roman" w:hAnsi="Times New Roman" w:cs="Times New Roman"/>
          <w:sz w:val="24"/>
          <w:szCs w:val="24"/>
        </w:rPr>
        <w:t>Energy use</w:t>
      </w:r>
      <w:r w:rsidRPr="004C327F">
        <w:rPr>
          <w:rFonts w:ascii="Times New Roman" w:hAnsi="Times New Roman" w:cs="Times New Roman"/>
          <w:sz w:val="24"/>
          <w:szCs w:val="24"/>
        </w:rPr>
        <w:t>, Energy Security</w:t>
      </w:r>
      <w:r>
        <w:rPr>
          <w:rFonts w:ascii="Times New Roman" w:hAnsi="Times New Roman" w:cs="Times New Roman"/>
          <w:sz w:val="24"/>
          <w:szCs w:val="24"/>
        </w:rPr>
        <w:t xml:space="preserve">, </w:t>
      </w:r>
      <w:r w:rsidRPr="004C327F">
        <w:rPr>
          <w:rFonts w:ascii="Times New Roman" w:hAnsi="Times New Roman" w:cs="Times New Roman"/>
          <w:sz w:val="24"/>
          <w:szCs w:val="24"/>
        </w:rPr>
        <w:t>Household welfare.</w:t>
      </w:r>
    </w:p>
    <w:p w14:paraId="1572B21D" w14:textId="1CD314C0" w:rsidR="00F83429" w:rsidRDefault="00F83429" w:rsidP="00F83429">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Introduction</w:t>
      </w:r>
    </w:p>
    <w:p w14:paraId="4F592775" w14:textId="232907FA" w:rsidR="004609A4" w:rsidRPr="004609A4" w:rsidRDefault="004609A4" w:rsidP="004609A4">
      <w:pPr>
        <w:jc w:val="both"/>
        <w:rPr>
          <w:rFonts w:ascii="Times New Roman" w:hAnsi="Times New Roman" w:cs="Times New Roman"/>
          <w:sz w:val="24"/>
          <w:szCs w:val="24"/>
        </w:rPr>
      </w:pPr>
      <w:r w:rsidRPr="004609A4">
        <w:rPr>
          <w:rFonts w:ascii="Times New Roman" w:hAnsi="Times New Roman" w:cs="Times New Roman"/>
          <w:sz w:val="24"/>
          <w:szCs w:val="24"/>
        </w:rPr>
        <w:t>Energy plays a fundamental role in economic development, human welfare, and social transformation</w:t>
      </w:r>
      <w:r w:rsidR="006F1932">
        <w:rPr>
          <w:rFonts w:ascii="Times New Roman" w:hAnsi="Times New Roman" w:cs="Times New Roman"/>
          <w:sz w:val="24"/>
          <w:szCs w:val="24"/>
        </w:rPr>
        <w:t xml:space="preserve"> (</w:t>
      </w:r>
      <w:r w:rsidR="006E05B7" w:rsidRPr="006E05B7">
        <w:rPr>
          <w:rFonts w:ascii="Times New Roman" w:hAnsi="Times New Roman" w:cs="Times New Roman"/>
          <w:sz w:val="24"/>
          <w:szCs w:val="24"/>
        </w:rPr>
        <w:t xml:space="preserve">Pachauri &amp; </w:t>
      </w:r>
      <w:proofErr w:type="spellStart"/>
      <w:r w:rsidR="006E05B7" w:rsidRPr="006E05B7">
        <w:rPr>
          <w:rFonts w:ascii="Times New Roman" w:hAnsi="Times New Roman" w:cs="Times New Roman"/>
          <w:sz w:val="24"/>
          <w:szCs w:val="24"/>
        </w:rPr>
        <w:t>Spreng</w:t>
      </w:r>
      <w:proofErr w:type="spellEnd"/>
      <w:r w:rsidR="006E05B7" w:rsidRPr="006E05B7">
        <w:rPr>
          <w:rFonts w:ascii="Times New Roman" w:hAnsi="Times New Roman" w:cs="Times New Roman"/>
          <w:sz w:val="24"/>
          <w:szCs w:val="24"/>
        </w:rPr>
        <w:t xml:space="preserve">, 2011; </w:t>
      </w:r>
      <w:proofErr w:type="spellStart"/>
      <w:r w:rsidR="006E05B7" w:rsidRPr="006E05B7">
        <w:rPr>
          <w:rFonts w:ascii="Times New Roman" w:hAnsi="Times New Roman" w:cs="Times New Roman"/>
          <w:sz w:val="24"/>
          <w:szCs w:val="24"/>
        </w:rPr>
        <w:t>Sovacool</w:t>
      </w:r>
      <w:proofErr w:type="spellEnd"/>
      <w:r w:rsidR="006E05B7" w:rsidRPr="006E05B7">
        <w:rPr>
          <w:rFonts w:ascii="Times New Roman" w:hAnsi="Times New Roman" w:cs="Times New Roman"/>
          <w:sz w:val="24"/>
          <w:szCs w:val="24"/>
        </w:rPr>
        <w:t xml:space="preserve"> et al., 2017; </w:t>
      </w:r>
      <w:proofErr w:type="spellStart"/>
      <w:r w:rsidR="006E05B7" w:rsidRPr="006E05B7">
        <w:rPr>
          <w:rFonts w:ascii="Times New Roman" w:hAnsi="Times New Roman" w:cs="Times New Roman"/>
          <w:sz w:val="24"/>
          <w:szCs w:val="24"/>
        </w:rPr>
        <w:t>Nteegah</w:t>
      </w:r>
      <w:proofErr w:type="spellEnd"/>
      <w:r w:rsidR="006E05B7" w:rsidRPr="006E05B7">
        <w:rPr>
          <w:rFonts w:ascii="Times New Roman" w:hAnsi="Times New Roman" w:cs="Times New Roman"/>
          <w:sz w:val="24"/>
          <w:szCs w:val="24"/>
        </w:rPr>
        <w:t xml:space="preserve"> &amp; </w:t>
      </w:r>
      <w:proofErr w:type="spellStart"/>
      <w:r w:rsidR="006E05B7" w:rsidRPr="006E05B7">
        <w:rPr>
          <w:rFonts w:ascii="Times New Roman" w:hAnsi="Times New Roman" w:cs="Times New Roman"/>
          <w:sz w:val="24"/>
          <w:szCs w:val="24"/>
        </w:rPr>
        <w:t>Ihejirika</w:t>
      </w:r>
      <w:proofErr w:type="spellEnd"/>
      <w:r w:rsidR="006E05B7" w:rsidRPr="006E05B7">
        <w:rPr>
          <w:rFonts w:ascii="Times New Roman" w:hAnsi="Times New Roman" w:cs="Times New Roman"/>
          <w:sz w:val="24"/>
          <w:szCs w:val="24"/>
        </w:rPr>
        <w:t>, 2024</w:t>
      </w:r>
      <w:r w:rsidR="006E05B7">
        <w:rPr>
          <w:rFonts w:ascii="Times New Roman" w:hAnsi="Times New Roman" w:cs="Times New Roman"/>
          <w:sz w:val="24"/>
          <w:szCs w:val="24"/>
        </w:rPr>
        <w:t>;</w:t>
      </w:r>
      <w:r w:rsidR="006F1932" w:rsidRPr="006F1932">
        <w:rPr>
          <w:rFonts w:ascii="Times New Roman" w:hAnsi="Times New Roman" w:cs="Times New Roman"/>
          <w:sz w:val="24"/>
          <w:szCs w:val="24"/>
        </w:rPr>
        <w:t xml:space="preserve"> and </w:t>
      </w:r>
      <w:proofErr w:type="spellStart"/>
      <w:r w:rsidR="006F1932" w:rsidRPr="006F1932">
        <w:rPr>
          <w:rFonts w:ascii="Times New Roman" w:hAnsi="Times New Roman" w:cs="Times New Roman"/>
          <w:sz w:val="24"/>
          <w:szCs w:val="24"/>
        </w:rPr>
        <w:t>Nteegah</w:t>
      </w:r>
      <w:proofErr w:type="spellEnd"/>
      <w:r w:rsidR="006F1932" w:rsidRPr="006F1932">
        <w:rPr>
          <w:rFonts w:ascii="Times New Roman" w:hAnsi="Times New Roman" w:cs="Times New Roman"/>
          <w:sz w:val="24"/>
          <w:szCs w:val="24"/>
        </w:rPr>
        <w:t xml:space="preserve"> </w:t>
      </w:r>
      <w:r w:rsidR="006F1932">
        <w:rPr>
          <w:rFonts w:ascii="Times New Roman" w:hAnsi="Times New Roman" w:cs="Times New Roman"/>
          <w:sz w:val="24"/>
          <w:szCs w:val="24"/>
        </w:rPr>
        <w:t>&amp;</w:t>
      </w:r>
      <w:r w:rsidR="006F1932" w:rsidRPr="006F1932">
        <w:rPr>
          <w:rFonts w:ascii="Times New Roman" w:hAnsi="Times New Roman" w:cs="Times New Roman"/>
          <w:sz w:val="24"/>
          <w:szCs w:val="24"/>
        </w:rPr>
        <w:t xml:space="preserve"> </w:t>
      </w:r>
      <w:proofErr w:type="spellStart"/>
      <w:r w:rsidR="006F1932" w:rsidRPr="006F1932">
        <w:rPr>
          <w:rFonts w:ascii="Times New Roman" w:hAnsi="Times New Roman" w:cs="Times New Roman"/>
          <w:sz w:val="24"/>
          <w:szCs w:val="24"/>
        </w:rPr>
        <w:t>Ihejirika</w:t>
      </w:r>
      <w:proofErr w:type="spellEnd"/>
      <w:r w:rsidR="006F1932">
        <w:rPr>
          <w:rFonts w:ascii="Times New Roman" w:hAnsi="Times New Roman" w:cs="Times New Roman"/>
          <w:sz w:val="24"/>
          <w:szCs w:val="24"/>
        </w:rPr>
        <w:t xml:space="preserve">, </w:t>
      </w:r>
      <w:r w:rsidR="006F1932" w:rsidRPr="006F1932">
        <w:rPr>
          <w:rFonts w:ascii="Times New Roman" w:hAnsi="Times New Roman" w:cs="Times New Roman"/>
          <w:sz w:val="24"/>
          <w:szCs w:val="24"/>
        </w:rPr>
        <w:t>2024</w:t>
      </w:r>
      <w:r w:rsidR="006F1932">
        <w:rPr>
          <w:rFonts w:ascii="Times New Roman" w:hAnsi="Times New Roman" w:cs="Times New Roman"/>
          <w:sz w:val="24"/>
          <w:szCs w:val="24"/>
        </w:rPr>
        <w:t>)</w:t>
      </w:r>
      <w:r w:rsidRPr="004609A4">
        <w:rPr>
          <w:rFonts w:ascii="Times New Roman" w:hAnsi="Times New Roman" w:cs="Times New Roman"/>
          <w:sz w:val="24"/>
          <w:szCs w:val="24"/>
        </w:rPr>
        <w:t xml:space="preserve">. </w:t>
      </w:r>
      <w:r w:rsidR="00914926" w:rsidRPr="00914926">
        <w:rPr>
          <w:rFonts w:ascii="Times New Roman" w:hAnsi="Times New Roman" w:cs="Times New Roman"/>
          <w:sz w:val="24"/>
          <w:szCs w:val="24"/>
        </w:rPr>
        <w:t xml:space="preserve">Access to reliable and affordable modern energy services enables households to meet essential needs such as lighting, cooking, heating, communication, and productive activities (Pachauri &amp; </w:t>
      </w:r>
      <w:proofErr w:type="spellStart"/>
      <w:r w:rsidR="00914926" w:rsidRPr="00914926">
        <w:rPr>
          <w:rFonts w:ascii="Times New Roman" w:hAnsi="Times New Roman" w:cs="Times New Roman"/>
          <w:sz w:val="24"/>
          <w:szCs w:val="24"/>
        </w:rPr>
        <w:t>Spreng</w:t>
      </w:r>
      <w:proofErr w:type="spellEnd"/>
      <w:r w:rsidR="00914926" w:rsidRPr="00914926">
        <w:rPr>
          <w:rFonts w:ascii="Times New Roman" w:hAnsi="Times New Roman" w:cs="Times New Roman"/>
          <w:sz w:val="24"/>
          <w:szCs w:val="24"/>
        </w:rPr>
        <w:t xml:space="preserve">, 2011; </w:t>
      </w:r>
      <w:proofErr w:type="spellStart"/>
      <w:r w:rsidR="00914926" w:rsidRPr="00914926">
        <w:rPr>
          <w:rFonts w:ascii="Times New Roman" w:hAnsi="Times New Roman" w:cs="Times New Roman"/>
          <w:sz w:val="24"/>
          <w:szCs w:val="24"/>
        </w:rPr>
        <w:t>Sovacool</w:t>
      </w:r>
      <w:proofErr w:type="spellEnd"/>
      <w:r w:rsidR="00914926" w:rsidRPr="00914926">
        <w:rPr>
          <w:rFonts w:ascii="Times New Roman" w:hAnsi="Times New Roman" w:cs="Times New Roman"/>
          <w:sz w:val="24"/>
          <w:szCs w:val="24"/>
        </w:rPr>
        <w:t xml:space="preserve">, Burke, Baker, </w:t>
      </w:r>
      <w:proofErr w:type="spellStart"/>
      <w:r w:rsidR="00914926" w:rsidRPr="00914926">
        <w:rPr>
          <w:rFonts w:ascii="Times New Roman" w:hAnsi="Times New Roman" w:cs="Times New Roman"/>
          <w:sz w:val="24"/>
          <w:szCs w:val="24"/>
        </w:rPr>
        <w:t>Kotikalapudi</w:t>
      </w:r>
      <w:proofErr w:type="spellEnd"/>
      <w:r w:rsidR="00914926" w:rsidRPr="00914926">
        <w:rPr>
          <w:rFonts w:ascii="Times New Roman" w:hAnsi="Times New Roman" w:cs="Times New Roman"/>
          <w:sz w:val="24"/>
          <w:szCs w:val="24"/>
        </w:rPr>
        <w:t xml:space="preserve">, &amp; </w:t>
      </w:r>
      <w:proofErr w:type="spellStart"/>
      <w:r w:rsidR="00914926" w:rsidRPr="00914926">
        <w:rPr>
          <w:rFonts w:ascii="Times New Roman" w:hAnsi="Times New Roman" w:cs="Times New Roman"/>
          <w:sz w:val="24"/>
          <w:szCs w:val="24"/>
        </w:rPr>
        <w:t>Wlokas</w:t>
      </w:r>
      <w:proofErr w:type="spellEnd"/>
      <w:r w:rsidR="00914926" w:rsidRPr="00914926">
        <w:rPr>
          <w:rFonts w:ascii="Times New Roman" w:hAnsi="Times New Roman" w:cs="Times New Roman"/>
          <w:sz w:val="24"/>
          <w:szCs w:val="24"/>
        </w:rPr>
        <w:t>, 2017; International Energy Agency, 2023).</w:t>
      </w:r>
      <w:r w:rsidRPr="004609A4">
        <w:rPr>
          <w:rFonts w:ascii="Times New Roman" w:hAnsi="Times New Roman" w:cs="Times New Roman"/>
          <w:sz w:val="24"/>
          <w:szCs w:val="24"/>
        </w:rPr>
        <w:t xml:space="preserve"> </w:t>
      </w:r>
      <w:r w:rsidR="00413381" w:rsidRPr="00413381">
        <w:rPr>
          <w:rFonts w:ascii="Times New Roman" w:hAnsi="Times New Roman" w:cs="Times New Roman"/>
          <w:sz w:val="24"/>
          <w:szCs w:val="24"/>
        </w:rPr>
        <w:t>As a result, energy access has become a key priority in global development policy, particularly within the framework of the United Nations’s Sustainable Development Goal 7, which aims to ensure universal access to affordable, reliable, sustainable, and modern energy for all by 2030 (United Nations, 2015; International Energy Agency</w:t>
      </w:r>
      <w:r w:rsidR="00730B0E">
        <w:rPr>
          <w:rFonts w:ascii="Times New Roman" w:hAnsi="Times New Roman" w:cs="Times New Roman"/>
          <w:sz w:val="24"/>
          <w:szCs w:val="24"/>
        </w:rPr>
        <w:t xml:space="preserve"> [IEA]</w:t>
      </w:r>
      <w:r w:rsidR="00413381" w:rsidRPr="00413381">
        <w:rPr>
          <w:rFonts w:ascii="Times New Roman" w:hAnsi="Times New Roman" w:cs="Times New Roman"/>
          <w:sz w:val="24"/>
          <w:szCs w:val="24"/>
        </w:rPr>
        <w:t>, World Bank, World Health Organization</w:t>
      </w:r>
      <w:r w:rsidR="00730B0E">
        <w:rPr>
          <w:rFonts w:ascii="Times New Roman" w:hAnsi="Times New Roman" w:cs="Times New Roman"/>
          <w:sz w:val="24"/>
          <w:szCs w:val="24"/>
        </w:rPr>
        <w:t xml:space="preserve"> [WHO]</w:t>
      </w:r>
      <w:r w:rsidR="00413381" w:rsidRPr="00413381">
        <w:rPr>
          <w:rFonts w:ascii="Times New Roman" w:hAnsi="Times New Roman" w:cs="Times New Roman"/>
          <w:sz w:val="24"/>
          <w:szCs w:val="24"/>
        </w:rPr>
        <w:t xml:space="preserve">, </w:t>
      </w:r>
      <w:r w:rsidR="00413381" w:rsidRPr="00413381">
        <w:rPr>
          <w:rFonts w:ascii="Times New Roman" w:hAnsi="Times New Roman" w:cs="Times New Roman"/>
          <w:sz w:val="24"/>
          <w:szCs w:val="24"/>
        </w:rPr>
        <w:lastRenderedPageBreak/>
        <w:t>International Renewable Energy Agency</w:t>
      </w:r>
      <w:r w:rsidR="00730B0E">
        <w:rPr>
          <w:rFonts w:ascii="Times New Roman" w:hAnsi="Times New Roman" w:cs="Times New Roman"/>
          <w:sz w:val="24"/>
          <w:szCs w:val="24"/>
        </w:rPr>
        <w:t xml:space="preserve"> [IREA]</w:t>
      </w:r>
      <w:r w:rsidR="00413381" w:rsidRPr="00413381">
        <w:rPr>
          <w:rFonts w:ascii="Times New Roman" w:hAnsi="Times New Roman" w:cs="Times New Roman"/>
          <w:sz w:val="24"/>
          <w:szCs w:val="24"/>
        </w:rPr>
        <w:t>, &amp; United Nations Statistics Division</w:t>
      </w:r>
      <w:r w:rsidR="00730B0E">
        <w:rPr>
          <w:rFonts w:ascii="Times New Roman" w:hAnsi="Times New Roman" w:cs="Times New Roman"/>
          <w:sz w:val="24"/>
          <w:szCs w:val="24"/>
        </w:rPr>
        <w:t xml:space="preserve"> [UNSD]</w:t>
      </w:r>
      <w:r w:rsidR="00413381" w:rsidRPr="00413381">
        <w:rPr>
          <w:rFonts w:ascii="Times New Roman" w:hAnsi="Times New Roman" w:cs="Times New Roman"/>
          <w:sz w:val="24"/>
          <w:szCs w:val="24"/>
        </w:rPr>
        <w:t>, 2024)</w:t>
      </w:r>
      <w:r w:rsidRPr="004609A4">
        <w:rPr>
          <w:rFonts w:ascii="Times New Roman" w:hAnsi="Times New Roman" w:cs="Times New Roman"/>
          <w:sz w:val="24"/>
          <w:szCs w:val="24"/>
        </w:rPr>
        <w:t xml:space="preserve">. </w:t>
      </w:r>
      <w:r w:rsidR="00413381" w:rsidRPr="00413381">
        <w:rPr>
          <w:rFonts w:ascii="Times New Roman" w:hAnsi="Times New Roman" w:cs="Times New Roman"/>
          <w:sz w:val="24"/>
          <w:szCs w:val="24"/>
        </w:rPr>
        <w:t>Despite global improvements in electrification, energy poverty remains a persistent problem, especially in developing regions such as sub-Saharan Africa (</w:t>
      </w:r>
      <w:r w:rsidR="00413381">
        <w:rPr>
          <w:rFonts w:ascii="Times New Roman" w:hAnsi="Times New Roman" w:cs="Times New Roman"/>
          <w:sz w:val="24"/>
          <w:szCs w:val="24"/>
        </w:rPr>
        <w:t>IEA 2024</w:t>
      </w:r>
      <w:r w:rsidR="00413381" w:rsidRPr="00413381">
        <w:rPr>
          <w:rFonts w:ascii="Times New Roman" w:hAnsi="Times New Roman" w:cs="Times New Roman"/>
          <w:sz w:val="24"/>
          <w:szCs w:val="24"/>
        </w:rPr>
        <w:t>, United Nations Statistics Division, 2024;</w:t>
      </w:r>
      <w:r w:rsidR="00413381">
        <w:rPr>
          <w:rFonts w:ascii="Times New Roman" w:hAnsi="Times New Roman" w:cs="Times New Roman"/>
          <w:sz w:val="24"/>
          <w:szCs w:val="24"/>
        </w:rPr>
        <w:t xml:space="preserve"> &amp;</w:t>
      </w:r>
      <w:r w:rsidR="00413381" w:rsidRPr="00413381">
        <w:rPr>
          <w:rFonts w:ascii="Times New Roman" w:hAnsi="Times New Roman" w:cs="Times New Roman"/>
          <w:sz w:val="24"/>
          <w:szCs w:val="24"/>
        </w:rPr>
        <w:t xml:space="preserve"> Pachauri &amp; Spreng, 2011)</w:t>
      </w:r>
      <w:r w:rsidRPr="004609A4">
        <w:rPr>
          <w:rFonts w:ascii="Times New Roman" w:hAnsi="Times New Roman" w:cs="Times New Roman"/>
          <w:sz w:val="24"/>
          <w:szCs w:val="24"/>
        </w:rPr>
        <w:t>. Energy poverty refers to the inability of households to obtain adequate, affordable, and reliable energy services required to maintain acceptable living standards and participate fully in economic and social life (</w:t>
      </w:r>
      <w:proofErr w:type="spellStart"/>
      <w:r w:rsidRPr="004609A4">
        <w:rPr>
          <w:rFonts w:ascii="Times New Roman" w:hAnsi="Times New Roman" w:cs="Times New Roman"/>
          <w:sz w:val="24"/>
          <w:szCs w:val="24"/>
        </w:rPr>
        <w:t>Sovacool</w:t>
      </w:r>
      <w:proofErr w:type="spellEnd"/>
      <w:r w:rsidRPr="004609A4">
        <w:rPr>
          <w:rFonts w:ascii="Times New Roman" w:hAnsi="Times New Roman" w:cs="Times New Roman"/>
          <w:sz w:val="24"/>
          <w:szCs w:val="24"/>
        </w:rPr>
        <w:t xml:space="preserve">, Burke, Baker, </w:t>
      </w:r>
      <w:proofErr w:type="spellStart"/>
      <w:r w:rsidRPr="004609A4">
        <w:rPr>
          <w:rFonts w:ascii="Times New Roman" w:hAnsi="Times New Roman" w:cs="Times New Roman"/>
          <w:sz w:val="24"/>
          <w:szCs w:val="24"/>
        </w:rPr>
        <w:t>Kotikalapudi</w:t>
      </w:r>
      <w:proofErr w:type="spellEnd"/>
      <w:r w:rsidRPr="004609A4">
        <w:rPr>
          <w:rFonts w:ascii="Times New Roman" w:hAnsi="Times New Roman" w:cs="Times New Roman"/>
          <w:sz w:val="24"/>
          <w:szCs w:val="24"/>
        </w:rPr>
        <w:t xml:space="preserve">, &amp; </w:t>
      </w:r>
      <w:proofErr w:type="spellStart"/>
      <w:r w:rsidRPr="004609A4">
        <w:rPr>
          <w:rFonts w:ascii="Times New Roman" w:hAnsi="Times New Roman" w:cs="Times New Roman"/>
          <w:sz w:val="24"/>
          <w:szCs w:val="24"/>
        </w:rPr>
        <w:t>Wlokas</w:t>
      </w:r>
      <w:proofErr w:type="spellEnd"/>
      <w:r w:rsidRPr="004609A4">
        <w:rPr>
          <w:rFonts w:ascii="Times New Roman" w:hAnsi="Times New Roman" w:cs="Times New Roman"/>
          <w:sz w:val="24"/>
          <w:szCs w:val="24"/>
        </w:rPr>
        <w:t xml:space="preserve">, 2017; Thomson, </w:t>
      </w:r>
      <w:proofErr w:type="spellStart"/>
      <w:r w:rsidRPr="004609A4">
        <w:rPr>
          <w:rFonts w:ascii="Times New Roman" w:hAnsi="Times New Roman" w:cs="Times New Roman"/>
          <w:sz w:val="24"/>
          <w:szCs w:val="24"/>
        </w:rPr>
        <w:t>Bouzarovski</w:t>
      </w:r>
      <w:proofErr w:type="spellEnd"/>
      <w:r w:rsidRPr="004609A4">
        <w:rPr>
          <w:rFonts w:ascii="Times New Roman" w:hAnsi="Times New Roman" w:cs="Times New Roman"/>
          <w:sz w:val="24"/>
          <w:szCs w:val="24"/>
        </w:rPr>
        <w:t>, &amp; Snell, 2017). Over time, the concept has evolved beyond the simple absence of electricity access to include broader dimensions such as affordability, reliability, and quality of energy services (</w:t>
      </w:r>
      <w:proofErr w:type="spellStart"/>
      <w:r w:rsidRPr="004609A4">
        <w:rPr>
          <w:rFonts w:ascii="Times New Roman" w:hAnsi="Times New Roman" w:cs="Times New Roman"/>
          <w:sz w:val="24"/>
          <w:szCs w:val="24"/>
        </w:rPr>
        <w:t>Bouzarovski</w:t>
      </w:r>
      <w:proofErr w:type="spellEnd"/>
      <w:r w:rsidRPr="004609A4">
        <w:rPr>
          <w:rFonts w:ascii="Times New Roman" w:hAnsi="Times New Roman" w:cs="Times New Roman"/>
          <w:sz w:val="24"/>
          <w:szCs w:val="24"/>
        </w:rPr>
        <w:t xml:space="preserve"> &amp; </w:t>
      </w:r>
      <w:proofErr w:type="spellStart"/>
      <w:r w:rsidRPr="004609A4">
        <w:rPr>
          <w:rFonts w:ascii="Times New Roman" w:hAnsi="Times New Roman" w:cs="Times New Roman"/>
          <w:sz w:val="24"/>
          <w:szCs w:val="24"/>
        </w:rPr>
        <w:t>Petrova</w:t>
      </w:r>
      <w:proofErr w:type="spellEnd"/>
      <w:r w:rsidRPr="004609A4">
        <w:rPr>
          <w:rFonts w:ascii="Times New Roman" w:hAnsi="Times New Roman" w:cs="Times New Roman"/>
          <w:sz w:val="24"/>
          <w:szCs w:val="24"/>
        </w:rPr>
        <w:t>, 2015; O’Sullivan, Barnes, &amp; O’Shea, 2020).</w:t>
      </w:r>
    </w:p>
    <w:p w14:paraId="2E4F4818" w14:textId="5F62679D" w:rsidR="004609A4" w:rsidRPr="004609A4" w:rsidRDefault="004609A4" w:rsidP="004609A4">
      <w:pPr>
        <w:jc w:val="both"/>
        <w:rPr>
          <w:rFonts w:ascii="Times New Roman" w:hAnsi="Times New Roman" w:cs="Times New Roman"/>
          <w:sz w:val="24"/>
          <w:szCs w:val="24"/>
        </w:rPr>
      </w:pPr>
      <w:r w:rsidRPr="004609A4">
        <w:rPr>
          <w:rFonts w:ascii="Times New Roman" w:hAnsi="Times New Roman" w:cs="Times New Roman"/>
          <w:sz w:val="24"/>
          <w:szCs w:val="24"/>
        </w:rPr>
        <w:t>Globally, energy poverty continues to affect a substantial share of the world’s population</w:t>
      </w:r>
      <w:r w:rsidR="00FA7528">
        <w:rPr>
          <w:rFonts w:ascii="Times New Roman" w:hAnsi="Times New Roman" w:cs="Times New Roman"/>
          <w:sz w:val="24"/>
          <w:szCs w:val="24"/>
        </w:rPr>
        <w:t xml:space="preserve"> </w:t>
      </w:r>
      <w:r w:rsidR="00FA7528" w:rsidRPr="00FA7528">
        <w:rPr>
          <w:rFonts w:ascii="Times New Roman" w:hAnsi="Times New Roman" w:cs="Times New Roman"/>
          <w:sz w:val="24"/>
          <w:szCs w:val="24"/>
        </w:rPr>
        <w:t>(</w:t>
      </w:r>
      <w:r w:rsidR="00FA7528">
        <w:rPr>
          <w:rFonts w:ascii="Times New Roman" w:hAnsi="Times New Roman" w:cs="Times New Roman"/>
          <w:sz w:val="24"/>
          <w:szCs w:val="24"/>
        </w:rPr>
        <w:t>IEA</w:t>
      </w:r>
      <w:r w:rsidR="00FA7528" w:rsidRPr="00FA7528">
        <w:rPr>
          <w:rFonts w:ascii="Times New Roman" w:hAnsi="Times New Roman" w:cs="Times New Roman"/>
          <w:sz w:val="24"/>
          <w:szCs w:val="24"/>
        </w:rPr>
        <w:t>, 2023; World Bank, 2023; United Nations, 2023)</w:t>
      </w:r>
      <w:r w:rsidRPr="004609A4">
        <w:rPr>
          <w:rFonts w:ascii="Times New Roman" w:hAnsi="Times New Roman" w:cs="Times New Roman"/>
          <w:sz w:val="24"/>
          <w:szCs w:val="24"/>
        </w:rPr>
        <w:t>. According to the International Energy Agency</w:t>
      </w:r>
      <w:r w:rsidR="000E23CB">
        <w:rPr>
          <w:rFonts w:ascii="Times New Roman" w:hAnsi="Times New Roman" w:cs="Times New Roman"/>
          <w:sz w:val="24"/>
          <w:szCs w:val="24"/>
        </w:rPr>
        <w:t xml:space="preserve"> (2023)</w:t>
      </w:r>
      <w:r w:rsidRPr="004609A4">
        <w:rPr>
          <w:rFonts w:ascii="Times New Roman" w:hAnsi="Times New Roman" w:cs="Times New Roman"/>
          <w:sz w:val="24"/>
          <w:szCs w:val="24"/>
        </w:rPr>
        <w:t xml:space="preserve"> and the World Bank</w:t>
      </w:r>
      <w:r w:rsidR="000E23CB">
        <w:rPr>
          <w:rFonts w:ascii="Times New Roman" w:hAnsi="Times New Roman" w:cs="Times New Roman"/>
          <w:sz w:val="24"/>
          <w:szCs w:val="24"/>
        </w:rPr>
        <w:t xml:space="preserve"> (2023)</w:t>
      </w:r>
      <w:r w:rsidRPr="004609A4">
        <w:rPr>
          <w:rFonts w:ascii="Times New Roman" w:hAnsi="Times New Roman" w:cs="Times New Roman"/>
          <w:sz w:val="24"/>
          <w:szCs w:val="24"/>
        </w:rPr>
        <w:t>, about 666 million people worldwide still lacked access to electricity in 2023, although this represents progress compared to the more than 1.2 billion people without electricity in 2010</w:t>
      </w:r>
      <w:r w:rsidR="00FA7528">
        <w:rPr>
          <w:rFonts w:ascii="Times New Roman" w:hAnsi="Times New Roman" w:cs="Times New Roman"/>
          <w:sz w:val="24"/>
          <w:szCs w:val="24"/>
        </w:rPr>
        <w:t xml:space="preserve"> (</w:t>
      </w:r>
      <w:r w:rsidR="00FA7528" w:rsidRPr="00FA7528">
        <w:rPr>
          <w:rFonts w:ascii="Times New Roman" w:hAnsi="Times New Roman" w:cs="Times New Roman"/>
          <w:sz w:val="24"/>
          <w:szCs w:val="24"/>
        </w:rPr>
        <w:t>World Bank, 2023; United Nations, 2023</w:t>
      </w:r>
      <w:r w:rsidR="00FA7528">
        <w:rPr>
          <w:rFonts w:ascii="Times New Roman" w:hAnsi="Times New Roman" w:cs="Times New Roman"/>
          <w:sz w:val="24"/>
          <w:szCs w:val="24"/>
        </w:rPr>
        <w:t>)</w:t>
      </w:r>
      <w:r w:rsidRPr="004609A4">
        <w:rPr>
          <w:rFonts w:ascii="Times New Roman" w:hAnsi="Times New Roman" w:cs="Times New Roman"/>
          <w:sz w:val="24"/>
          <w:szCs w:val="24"/>
        </w:rPr>
        <w:t>. However, projections suggest that approximately 645 million people may still remain without electricity access by 2030 under current policy trajectories, indicating that the SDG 7 target may not be fully achieved without significant policy reforms and investment</w:t>
      </w:r>
      <w:r w:rsidR="00FA7528">
        <w:rPr>
          <w:rFonts w:ascii="Times New Roman" w:hAnsi="Times New Roman" w:cs="Times New Roman"/>
          <w:sz w:val="24"/>
          <w:szCs w:val="24"/>
        </w:rPr>
        <w:t xml:space="preserve"> </w:t>
      </w:r>
      <w:r w:rsidR="00FA7528" w:rsidRPr="00FA7528">
        <w:rPr>
          <w:rFonts w:ascii="Times New Roman" w:hAnsi="Times New Roman" w:cs="Times New Roman"/>
          <w:sz w:val="24"/>
          <w:szCs w:val="24"/>
        </w:rPr>
        <w:t>(I</w:t>
      </w:r>
      <w:r w:rsidR="00730B0E">
        <w:rPr>
          <w:rFonts w:ascii="Times New Roman" w:hAnsi="Times New Roman" w:cs="Times New Roman"/>
          <w:sz w:val="24"/>
          <w:szCs w:val="24"/>
        </w:rPr>
        <w:t>EA</w:t>
      </w:r>
      <w:r w:rsidR="00FA7528" w:rsidRPr="00FA7528">
        <w:rPr>
          <w:rFonts w:ascii="Times New Roman" w:hAnsi="Times New Roman" w:cs="Times New Roman"/>
          <w:sz w:val="24"/>
          <w:szCs w:val="24"/>
        </w:rPr>
        <w:t>, 2023; World Bank, 2023</w:t>
      </w:r>
      <w:r w:rsidR="00FA7528">
        <w:rPr>
          <w:rFonts w:ascii="Times New Roman" w:hAnsi="Times New Roman" w:cs="Times New Roman"/>
          <w:sz w:val="24"/>
          <w:szCs w:val="24"/>
        </w:rPr>
        <w:t>)</w:t>
      </w:r>
      <w:r w:rsidRPr="004609A4">
        <w:rPr>
          <w:rFonts w:ascii="Times New Roman" w:hAnsi="Times New Roman" w:cs="Times New Roman"/>
          <w:sz w:val="24"/>
          <w:szCs w:val="24"/>
        </w:rPr>
        <w:t xml:space="preserve">. </w:t>
      </w:r>
      <w:r w:rsidR="00FA7528" w:rsidRPr="00FA7528">
        <w:rPr>
          <w:rFonts w:ascii="Times New Roman" w:hAnsi="Times New Roman" w:cs="Times New Roman"/>
          <w:sz w:val="24"/>
          <w:szCs w:val="24"/>
        </w:rPr>
        <w:t>Sub-Saharan Africa remains the epicentre of global energy poverty, accounting for roughly 85 percent of the global population without electricity access (</w:t>
      </w:r>
      <w:r w:rsidR="00730B0E">
        <w:rPr>
          <w:rFonts w:ascii="Times New Roman" w:hAnsi="Times New Roman" w:cs="Times New Roman"/>
          <w:sz w:val="24"/>
          <w:szCs w:val="24"/>
        </w:rPr>
        <w:t>IEA</w:t>
      </w:r>
      <w:r w:rsidR="00FA7528" w:rsidRPr="00FA7528">
        <w:rPr>
          <w:rFonts w:ascii="Times New Roman" w:hAnsi="Times New Roman" w:cs="Times New Roman"/>
          <w:sz w:val="24"/>
          <w:szCs w:val="24"/>
        </w:rPr>
        <w:t>, IRENA, UNSD, World Bank, &amp; WHO, 2025).</w:t>
      </w:r>
      <w:r w:rsidR="00FA7528">
        <w:rPr>
          <w:rFonts w:ascii="Times New Roman" w:hAnsi="Times New Roman" w:cs="Times New Roman"/>
          <w:sz w:val="24"/>
          <w:szCs w:val="24"/>
        </w:rPr>
        <w:t xml:space="preserve"> </w:t>
      </w:r>
      <w:r w:rsidRPr="004609A4">
        <w:rPr>
          <w:rFonts w:ascii="Times New Roman" w:hAnsi="Times New Roman" w:cs="Times New Roman"/>
          <w:sz w:val="24"/>
          <w:szCs w:val="24"/>
        </w:rPr>
        <w:t>This situation is largely driven by rapid population growth, weak energy infrastructure, and limited investment in electricity generation and distribution systems.</w:t>
      </w:r>
    </w:p>
    <w:p w14:paraId="493DE3E5" w14:textId="0ED99F71" w:rsidR="00C65E35" w:rsidRDefault="00C65E35" w:rsidP="004609A4">
      <w:pPr>
        <w:jc w:val="both"/>
        <w:rPr>
          <w:rFonts w:ascii="Times New Roman" w:hAnsi="Times New Roman" w:cs="Times New Roman"/>
          <w:sz w:val="24"/>
          <w:szCs w:val="24"/>
        </w:rPr>
      </w:pPr>
      <w:r w:rsidRPr="00C65E35">
        <w:rPr>
          <w:rFonts w:ascii="Times New Roman" w:hAnsi="Times New Roman" w:cs="Times New Roman"/>
          <w:sz w:val="24"/>
          <w:szCs w:val="24"/>
        </w:rPr>
        <w:t>Nigeria represents a striking example of the paradox of energy abundance coexisting with widespread energy deprivation (I</w:t>
      </w:r>
      <w:r>
        <w:rPr>
          <w:rFonts w:ascii="Times New Roman" w:hAnsi="Times New Roman" w:cs="Times New Roman"/>
          <w:sz w:val="24"/>
          <w:szCs w:val="24"/>
        </w:rPr>
        <w:t>EA</w:t>
      </w:r>
      <w:r w:rsidRPr="00C65E35">
        <w:rPr>
          <w:rFonts w:ascii="Times New Roman" w:hAnsi="Times New Roman" w:cs="Times New Roman"/>
          <w:sz w:val="24"/>
          <w:szCs w:val="24"/>
        </w:rPr>
        <w:t>, World Bank, &amp; United Nations, 2025). Although the country possesses significant reserves of oil, natural gas, and renewable energy resources, access to modern energy services remains limited for a large proportion of the population (</w:t>
      </w:r>
      <w:r>
        <w:rPr>
          <w:rFonts w:ascii="Times New Roman" w:hAnsi="Times New Roman" w:cs="Times New Roman"/>
          <w:sz w:val="24"/>
          <w:szCs w:val="24"/>
        </w:rPr>
        <w:t>IEA</w:t>
      </w:r>
      <w:r w:rsidRPr="00C65E35">
        <w:rPr>
          <w:rFonts w:ascii="Times New Roman" w:hAnsi="Times New Roman" w:cs="Times New Roman"/>
          <w:sz w:val="24"/>
          <w:szCs w:val="24"/>
        </w:rPr>
        <w:t xml:space="preserve">, IREA, &amp; </w:t>
      </w:r>
      <w:r w:rsidRPr="00FA7528">
        <w:rPr>
          <w:rFonts w:ascii="Times New Roman" w:hAnsi="Times New Roman" w:cs="Times New Roman"/>
          <w:sz w:val="24"/>
          <w:szCs w:val="24"/>
        </w:rPr>
        <w:t>UNSD</w:t>
      </w:r>
      <w:r w:rsidRPr="00C65E35">
        <w:rPr>
          <w:rFonts w:ascii="Times New Roman" w:hAnsi="Times New Roman" w:cs="Times New Roman"/>
          <w:sz w:val="24"/>
          <w:szCs w:val="24"/>
        </w:rPr>
        <w:t xml:space="preserve">, 2025). According to the Tracking SDG 7: The Energy Progress Report 2025, Nigeria has the largest electricity access deficit globally, with approximately 86.8 million people lacking electricity access as of 2023 (World Bank, </w:t>
      </w:r>
      <w:r w:rsidR="00255D20">
        <w:rPr>
          <w:rFonts w:ascii="Times New Roman" w:hAnsi="Times New Roman" w:cs="Times New Roman"/>
          <w:sz w:val="24"/>
          <w:szCs w:val="24"/>
        </w:rPr>
        <w:t>WHO</w:t>
      </w:r>
      <w:r w:rsidRPr="00C65E35">
        <w:rPr>
          <w:rFonts w:ascii="Times New Roman" w:hAnsi="Times New Roman" w:cs="Times New Roman"/>
          <w:sz w:val="24"/>
          <w:szCs w:val="24"/>
        </w:rPr>
        <w:t>, 2025). The report further indicates that only about 61 percent of the population has access to electricity, while merely 26 percent have access to clean cooking energy, highlighting the severity of energy deprivation across households (</w:t>
      </w:r>
      <w:r>
        <w:rPr>
          <w:rFonts w:ascii="Times New Roman" w:hAnsi="Times New Roman" w:cs="Times New Roman"/>
          <w:sz w:val="24"/>
          <w:szCs w:val="24"/>
        </w:rPr>
        <w:t>IEA</w:t>
      </w:r>
      <w:r w:rsidRPr="00C65E35">
        <w:rPr>
          <w:rFonts w:ascii="Times New Roman" w:hAnsi="Times New Roman" w:cs="Times New Roman"/>
          <w:sz w:val="24"/>
          <w:szCs w:val="24"/>
        </w:rPr>
        <w:t>, World Bank, IRENA, &amp; UNSD, 2025).</w:t>
      </w:r>
    </w:p>
    <w:p w14:paraId="015F4148" w14:textId="2A27A1A4" w:rsidR="004609A4" w:rsidRPr="004609A4" w:rsidRDefault="00120F96" w:rsidP="004609A4">
      <w:pPr>
        <w:jc w:val="both"/>
        <w:rPr>
          <w:rFonts w:ascii="Times New Roman" w:hAnsi="Times New Roman" w:cs="Times New Roman"/>
          <w:sz w:val="24"/>
          <w:szCs w:val="24"/>
        </w:rPr>
      </w:pPr>
      <w:r w:rsidRPr="00120F96">
        <w:rPr>
          <w:rFonts w:ascii="Times New Roman" w:hAnsi="Times New Roman" w:cs="Times New Roman"/>
          <w:sz w:val="24"/>
          <w:szCs w:val="24"/>
        </w:rPr>
        <w:t>Beyond limited access, the reliability and quality of electricity supply remain major challenges. Nigeria’s electricity generation capacity is inadequate relative to its population of over 200 million people, with the national grid often delivering only about 3,000–4,000 megawatts of electricity (Nigerian Electricity Regulatory Commission</w:t>
      </w:r>
      <w:r w:rsidR="00255D20">
        <w:rPr>
          <w:rFonts w:ascii="Times New Roman" w:hAnsi="Times New Roman" w:cs="Times New Roman"/>
          <w:sz w:val="24"/>
          <w:szCs w:val="24"/>
        </w:rPr>
        <w:t xml:space="preserve"> [NERC]</w:t>
      </w:r>
      <w:r w:rsidRPr="00120F96">
        <w:rPr>
          <w:rFonts w:ascii="Times New Roman" w:hAnsi="Times New Roman" w:cs="Times New Roman"/>
          <w:sz w:val="24"/>
          <w:szCs w:val="24"/>
        </w:rPr>
        <w:t xml:space="preserve">, 2023; </w:t>
      </w:r>
      <w:r w:rsidR="00255D20">
        <w:rPr>
          <w:rFonts w:ascii="Times New Roman" w:hAnsi="Times New Roman" w:cs="Times New Roman"/>
          <w:sz w:val="24"/>
          <w:szCs w:val="24"/>
        </w:rPr>
        <w:t>IEA</w:t>
      </w:r>
      <w:r w:rsidRPr="00120F96">
        <w:rPr>
          <w:rFonts w:ascii="Times New Roman" w:hAnsi="Times New Roman" w:cs="Times New Roman"/>
          <w:sz w:val="24"/>
          <w:szCs w:val="24"/>
        </w:rPr>
        <w:t>, 2023; World Bank, 2023)</w:t>
      </w:r>
      <w:r w:rsidR="004609A4" w:rsidRPr="004609A4">
        <w:rPr>
          <w:rFonts w:ascii="Times New Roman" w:hAnsi="Times New Roman" w:cs="Times New Roman"/>
          <w:sz w:val="24"/>
          <w:szCs w:val="24"/>
        </w:rPr>
        <w:t xml:space="preserve">. </w:t>
      </w:r>
      <w:r w:rsidRPr="00120F96">
        <w:rPr>
          <w:rFonts w:ascii="Times New Roman" w:hAnsi="Times New Roman" w:cs="Times New Roman"/>
          <w:sz w:val="24"/>
          <w:szCs w:val="24"/>
        </w:rPr>
        <w:t>This level of supply falls significantly short of national demand and results in frequent power outages, grid instability, and voltage fluctuations</w:t>
      </w:r>
      <w:r w:rsidR="00EB495C">
        <w:rPr>
          <w:rFonts w:ascii="Times New Roman" w:hAnsi="Times New Roman" w:cs="Times New Roman"/>
          <w:sz w:val="24"/>
          <w:szCs w:val="24"/>
        </w:rPr>
        <w:t xml:space="preserve"> </w:t>
      </w:r>
      <w:r w:rsidR="00EB495C" w:rsidRPr="00EB495C">
        <w:rPr>
          <w:rFonts w:ascii="Times New Roman" w:hAnsi="Times New Roman" w:cs="Times New Roman"/>
          <w:sz w:val="24"/>
          <w:szCs w:val="24"/>
        </w:rPr>
        <w:t>(IEA, 2023; NERC, 2023; World Bank, 2023)</w:t>
      </w:r>
      <w:r w:rsidRPr="00120F96">
        <w:rPr>
          <w:rFonts w:ascii="Times New Roman" w:hAnsi="Times New Roman" w:cs="Times New Roman"/>
          <w:sz w:val="24"/>
          <w:szCs w:val="24"/>
        </w:rPr>
        <w:t>. Consequently, many households depend on alternative energy sources such as petrol and diesel generators, kerosene lamps, and traditional biomass fuels. Although these alternatives help households cope with electricity shortages, they are often inefficient, expensive, and environmentally harmful (I</w:t>
      </w:r>
      <w:r>
        <w:rPr>
          <w:rFonts w:ascii="Times New Roman" w:hAnsi="Times New Roman" w:cs="Times New Roman"/>
          <w:sz w:val="24"/>
          <w:szCs w:val="24"/>
        </w:rPr>
        <w:t>EA</w:t>
      </w:r>
      <w:r w:rsidRPr="00120F96">
        <w:rPr>
          <w:rFonts w:ascii="Times New Roman" w:hAnsi="Times New Roman" w:cs="Times New Roman"/>
          <w:sz w:val="24"/>
          <w:szCs w:val="24"/>
        </w:rPr>
        <w:t>, 2023; Mould &amp; Baker, 2017; World Bank, 2023).</w:t>
      </w:r>
    </w:p>
    <w:p w14:paraId="58107AFC" w14:textId="66F30798" w:rsidR="004609A4" w:rsidRDefault="002A205E" w:rsidP="004609A4">
      <w:pPr>
        <w:jc w:val="both"/>
        <w:rPr>
          <w:rFonts w:ascii="Times New Roman" w:hAnsi="Times New Roman" w:cs="Times New Roman"/>
          <w:sz w:val="24"/>
          <w:szCs w:val="24"/>
        </w:rPr>
      </w:pPr>
      <w:r w:rsidRPr="002A205E">
        <w:rPr>
          <w:rFonts w:ascii="Times New Roman" w:hAnsi="Times New Roman" w:cs="Times New Roman"/>
          <w:sz w:val="24"/>
          <w:szCs w:val="24"/>
        </w:rPr>
        <w:lastRenderedPageBreak/>
        <w:t>Energy poverty is particularly pronounced in rural communities, where electrification rates are substantially lower than in urban areas (</w:t>
      </w:r>
      <w:r>
        <w:rPr>
          <w:rFonts w:ascii="Times New Roman" w:hAnsi="Times New Roman" w:cs="Times New Roman"/>
          <w:sz w:val="24"/>
          <w:szCs w:val="24"/>
        </w:rPr>
        <w:t>IEA</w:t>
      </w:r>
      <w:r w:rsidRPr="002A205E">
        <w:rPr>
          <w:rFonts w:ascii="Times New Roman" w:hAnsi="Times New Roman" w:cs="Times New Roman"/>
          <w:sz w:val="24"/>
          <w:szCs w:val="24"/>
        </w:rPr>
        <w:t>, 2023; World Bank, 2023). Many rural households rely heavily on traditional biomass fuels such as firewood and charcoal for cooking and heating (Pachauri &amp; Spreng, 2011; Nguyen &amp; Su, 2021). This dependence exposes households to serious environmental and health risks, including indoor air pollution, respiratory illnesses, and deforestation (Mould &amp; Baker, 2017; Pachauri &amp; Spreng, 2011; Nguyen &amp; Su, 2021).</w:t>
      </w:r>
      <w:r w:rsidR="004609A4" w:rsidRPr="004609A4">
        <w:rPr>
          <w:rFonts w:ascii="Times New Roman" w:hAnsi="Times New Roman" w:cs="Times New Roman"/>
          <w:sz w:val="24"/>
          <w:szCs w:val="24"/>
        </w:rPr>
        <w:t xml:space="preserve"> Empirical research published in leading energy journals highlights that reliance on traditional fuels is strongly associated with poor health outcomes, lower labour productivity, and environmental degradation (Pachauri &amp; Spreng, 2011; Mould &amp; Baker, 2017; Nguyen &amp; Su, 2021). </w:t>
      </w:r>
      <w:r w:rsidR="006C73A2" w:rsidRPr="006C73A2">
        <w:rPr>
          <w:rFonts w:ascii="Times New Roman" w:hAnsi="Times New Roman" w:cs="Times New Roman"/>
          <w:sz w:val="24"/>
          <w:szCs w:val="24"/>
        </w:rPr>
        <w:t xml:space="preserve">Women and children are especially vulnerable, as they are disproportionately exposed to indoor smoke and often responsible for collecting firewood in rural areas (Pachauri &amp; Spreng, 2011; Mould &amp; Baker, 2017; Nguyen &amp; Su, 2021). The consequences of energy poverty extend beyond health and environmental concerns to significantly affect household welfare. </w:t>
      </w:r>
      <w:r w:rsidR="00346019" w:rsidRPr="00346019">
        <w:rPr>
          <w:rFonts w:ascii="Times New Roman" w:hAnsi="Times New Roman" w:cs="Times New Roman"/>
          <w:sz w:val="24"/>
          <w:szCs w:val="24"/>
        </w:rPr>
        <w:t>Access to reliable electricity improves household productivity by enabling income-generating activities such as agro-processing, small-scale manufacturing, and digital entrepreneurship (</w:t>
      </w:r>
      <w:proofErr w:type="spellStart"/>
      <w:r w:rsidR="00D17588" w:rsidRPr="00D17588">
        <w:rPr>
          <w:rFonts w:ascii="Times New Roman" w:hAnsi="Times New Roman" w:cs="Times New Roman"/>
          <w:sz w:val="24"/>
          <w:szCs w:val="24"/>
        </w:rPr>
        <w:t>Nteegah</w:t>
      </w:r>
      <w:proofErr w:type="spellEnd"/>
      <w:r w:rsidR="00D17588" w:rsidRPr="00D17588">
        <w:rPr>
          <w:rFonts w:ascii="Times New Roman" w:hAnsi="Times New Roman" w:cs="Times New Roman"/>
          <w:sz w:val="24"/>
          <w:szCs w:val="24"/>
        </w:rPr>
        <w:t xml:space="preserve"> &amp; </w:t>
      </w:r>
      <w:proofErr w:type="spellStart"/>
      <w:r w:rsidR="00D17588" w:rsidRPr="00D17588">
        <w:rPr>
          <w:rFonts w:ascii="Times New Roman" w:hAnsi="Times New Roman" w:cs="Times New Roman"/>
          <w:sz w:val="24"/>
          <w:szCs w:val="24"/>
        </w:rPr>
        <w:t>Ihejirika</w:t>
      </w:r>
      <w:proofErr w:type="spellEnd"/>
      <w:r w:rsidR="00D17588" w:rsidRPr="00D17588">
        <w:rPr>
          <w:rFonts w:ascii="Times New Roman" w:hAnsi="Times New Roman" w:cs="Times New Roman"/>
          <w:sz w:val="24"/>
          <w:szCs w:val="24"/>
        </w:rPr>
        <w:t>, 2024</w:t>
      </w:r>
      <w:r w:rsidR="00346019" w:rsidRPr="00346019">
        <w:rPr>
          <w:rFonts w:ascii="Times New Roman" w:hAnsi="Times New Roman" w:cs="Times New Roman"/>
          <w:sz w:val="24"/>
          <w:szCs w:val="24"/>
        </w:rPr>
        <w:t>; Apergis &amp; Payne, 2014)</w:t>
      </w:r>
      <w:r w:rsidR="006C73A2" w:rsidRPr="006C73A2">
        <w:rPr>
          <w:rFonts w:ascii="Times New Roman" w:hAnsi="Times New Roman" w:cs="Times New Roman"/>
          <w:sz w:val="24"/>
          <w:szCs w:val="24"/>
        </w:rPr>
        <w:t>. It also enhances educational outcomes by allowing students to study at night and access modern learning technologies (Apergis &amp; Payne, 2014; Chakravorty, Pelli, &amp; Marchand, 2014)</w:t>
      </w:r>
      <w:r w:rsidR="004609A4" w:rsidRPr="004609A4">
        <w:rPr>
          <w:rFonts w:ascii="Times New Roman" w:hAnsi="Times New Roman" w:cs="Times New Roman"/>
          <w:sz w:val="24"/>
          <w:szCs w:val="24"/>
        </w:rPr>
        <w:t>. Empirical studies show</w:t>
      </w:r>
      <w:r w:rsidR="009A6908">
        <w:rPr>
          <w:rFonts w:ascii="Times New Roman" w:hAnsi="Times New Roman" w:cs="Times New Roman"/>
          <w:sz w:val="24"/>
          <w:szCs w:val="24"/>
        </w:rPr>
        <w:t>ed</w:t>
      </w:r>
      <w:r w:rsidR="004609A4" w:rsidRPr="004609A4">
        <w:rPr>
          <w:rFonts w:ascii="Times New Roman" w:hAnsi="Times New Roman" w:cs="Times New Roman"/>
          <w:sz w:val="24"/>
          <w:szCs w:val="24"/>
        </w:rPr>
        <w:t xml:space="preserve"> that improved electricity access contributes to poverty reduction, human capital development, and </w:t>
      </w:r>
      <w:r w:rsidR="009A6908" w:rsidRPr="004609A4">
        <w:rPr>
          <w:rFonts w:ascii="Times New Roman" w:hAnsi="Times New Roman" w:cs="Times New Roman"/>
          <w:sz w:val="24"/>
          <w:szCs w:val="24"/>
        </w:rPr>
        <w:t>inclusive</w:t>
      </w:r>
      <w:r w:rsidR="004609A4" w:rsidRPr="004609A4">
        <w:rPr>
          <w:rFonts w:ascii="Times New Roman" w:hAnsi="Times New Roman" w:cs="Times New Roman"/>
          <w:sz w:val="24"/>
          <w:szCs w:val="24"/>
        </w:rPr>
        <w:t xml:space="preserve"> welfare improvement in developing countries (Chakravorty, Pelli, &amp; Marchand, 2014). In contrast, persistent energy deprivation can trap households in cycles of poverty by limiting economic opportunities and increasing expenditures on inefficient alternative energy source</w:t>
      </w:r>
      <w:r w:rsidR="004609A4" w:rsidRPr="001013ED">
        <w:rPr>
          <w:rFonts w:ascii="Times New Roman" w:hAnsi="Times New Roman" w:cs="Times New Roman"/>
          <w:sz w:val="24"/>
          <w:szCs w:val="24"/>
        </w:rPr>
        <w:t>s</w:t>
      </w:r>
      <w:r w:rsidR="009A6908">
        <w:rPr>
          <w:rFonts w:ascii="Times New Roman" w:hAnsi="Times New Roman" w:cs="Times New Roman"/>
          <w:sz w:val="24"/>
          <w:szCs w:val="24"/>
        </w:rPr>
        <w:t xml:space="preserve"> </w:t>
      </w:r>
      <w:r w:rsidR="009A6908" w:rsidRPr="009A6908">
        <w:rPr>
          <w:rFonts w:ascii="Times New Roman" w:hAnsi="Times New Roman" w:cs="Times New Roman"/>
          <w:sz w:val="24"/>
          <w:szCs w:val="24"/>
        </w:rPr>
        <w:t>(</w:t>
      </w:r>
      <w:proofErr w:type="spellStart"/>
      <w:r w:rsidR="009A6908" w:rsidRPr="009A6908">
        <w:rPr>
          <w:rFonts w:ascii="Times New Roman" w:hAnsi="Times New Roman" w:cs="Times New Roman"/>
          <w:sz w:val="24"/>
          <w:szCs w:val="24"/>
        </w:rPr>
        <w:t>Nteegah</w:t>
      </w:r>
      <w:proofErr w:type="spellEnd"/>
      <w:r w:rsidR="009A6908" w:rsidRPr="009A6908">
        <w:rPr>
          <w:rFonts w:ascii="Times New Roman" w:hAnsi="Times New Roman" w:cs="Times New Roman"/>
          <w:sz w:val="24"/>
          <w:szCs w:val="24"/>
        </w:rPr>
        <w:t xml:space="preserve"> &amp; </w:t>
      </w:r>
      <w:proofErr w:type="spellStart"/>
      <w:r w:rsidR="009A6908" w:rsidRPr="009A6908">
        <w:rPr>
          <w:rFonts w:ascii="Times New Roman" w:hAnsi="Times New Roman" w:cs="Times New Roman"/>
          <w:sz w:val="24"/>
          <w:szCs w:val="24"/>
        </w:rPr>
        <w:t>Ihejirika</w:t>
      </w:r>
      <w:proofErr w:type="spellEnd"/>
      <w:r w:rsidR="009A6908" w:rsidRPr="009A6908">
        <w:rPr>
          <w:rFonts w:ascii="Times New Roman" w:hAnsi="Times New Roman" w:cs="Times New Roman"/>
          <w:sz w:val="24"/>
          <w:szCs w:val="24"/>
        </w:rPr>
        <w:t>, 2024)</w:t>
      </w:r>
      <w:r w:rsidR="004609A4" w:rsidRPr="001013ED">
        <w:rPr>
          <w:rFonts w:ascii="Times New Roman" w:hAnsi="Times New Roman" w:cs="Times New Roman"/>
          <w:sz w:val="24"/>
          <w:szCs w:val="24"/>
        </w:rPr>
        <w:t>.</w:t>
      </w:r>
    </w:p>
    <w:p w14:paraId="58523228" w14:textId="6FD0526C" w:rsidR="004609A4" w:rsidRPr="004609A4" w:rsidRDefault="001013ED" w:rsidP="004609A4">
      <w:pPr>
        <w:jc w:val="both"/>
        <w:rPr>
          <w:rFonts w:ascii="Times New Roman" w:hAnsi="Times New Roman" w:cs="Times New Roman"/>
          <w:sz w:val="24"/>
          <w:szCs w:val="24"/>
        </w:rPr>
      </w:pPr>
      <w:r w:rsidRPr="001013ED">
        <w:rPr>
          <w:rFonts w:ascii="Times New Roman" w:hAnsi="Times New Roman" w:cs="Times New Roman"/>
          <w:sz w:val="24"/>
          <w:szCs w:val="24"/>
        </w:rPr>
        <w:t xml:space="preserve">Household welfare </w:t>
      </w:r>
      <w:r w:rsidR="006C4B1E" w:rsidRPr="001013ED">
        <w:rPr>
          <w:rFonts w:ascii="Times New Roman" w:hAnsi="Times New Roman" w:cs="Times New Roman"/>
          <w:sz w:val="24"/>
          <w:szCs w:val="24"/>
        </w:rPr>
        <w:t>denotes</w:t>
      </w:r>
      <w:r w:rsidR="006C4B1E">
        <w:rPr>
          <w:rFonts w:ascii="Times New Roman" w:hAnsi="Times New Roman" w:cs="Times New Roman"/>
          <w:sz w:val="24"/>
          <w:szCs w:val="24"/>
        </w:rPr>
        <w:t xml:space="preserve"> </w:t>
      </w:r>
      <w:r w:rsidRPr="001013ED">
        <w:rPr>
          <w:rFonts w:ascii="Times New Roman" w:hAnsi="Times New Roman" w:cs="Times New Roman"/>
          <w:sz w:val="24"/>
          <w:szCs w:val="24"/>
        </w:rPr>
        <w:t xml:space="preserve">the extent to which households can secure adequate food, shelter, healthcare, education, and other essential services required for a decent standard of living (Deaton &amp; Zaidi, 2002; </w:t>
      </w:r>
      <w:proofErr w:type="spellStart"/>
      <w:r w:rsidRPr="001013ED">
        <w:rPr>
          <w:rFonts w:ascii="Times New Roman" w:hAnsi="Times New Roman" w:cs="Times New Roman"/>
          <w:sz w:val="24"/>
          <w:szCs w:val="24"/>
        </w:rPr>
        <w:t>Ravallion</w:t>
      </w:r>
      <w:proofErr w:type="spellEnd"/>
      <w:r w:rsidRPr="001013ED">
        <w:rPr>
          <w:rFonts w:ascii="Times New Roman" w:hAnsi="Times New Roman" w:cs="Times New Roman"/>
          <w:sz w:val="24"/>
          <w:szCs w:val="24"/>
        </w:rPr>
        <w:t xml:space="preserve">, 2016). </w:t>
      </w:r>
      <w:r w:rsidR="006C4B1E">
        <w:rPr>
          <w:rFonts w:ascii="Times New Roman" w:hAnsi="Times New Roman" w:cs="Times New Roman"/>
          <w:sz w:val="24"/>
          <w:szCs w:val="24"/>
        </w:rPr>
        <w:t>It</w:t>
      </w:r>
      <w:r w:rsidRPr="001013ED">
        <w:rPr>
          <w:rFonts w:ascii="Times New Roman" w:hAnsi="Times New Roman" w:cs="Times New Roman"/>
          <w:sz w:val="24"/>
          <w:szCs w:val="24"/>
        </w:rPr>
        <w:t xml:space="preserve"> is commonly </w:t>
      </w:r>
      <w:r w:rsidR="00F372E8" w:rsidRPr="001013ED">
        <w:rPr>
          <w:rFonts w:ascii="Times New Roman" w:hAnsi="Times New Roman" w:cs="Times New Roman"/>
          <w:sz w:val="24"/>
          <w:szCs w:val="24"/>
        </w:rPr>
        <w:t>measured</w:t>
      </w:r>
      <w:r w:rsidRPr="001013ED">
        <w:rPr>
          <w:rFonts w:ascii="Times New Roman" w:hAnsi="Times New Roman" w:cs="Times New Roman"/>
          <w:sz w:val="24"/>
          <w:szCs w:val="24"/>
        </w:rPr>
        <w:t xml:space="preserve"> through indicators such as income levels, </w:t>
      </w:r>
      <w:r w:rsidR="00F372E8">
        <w:rPr>
          <w:rFonts w:ascii="Times New Roman" w:hAnsi="Times New Roman" w:cs="Times New Roman"/>
          <w:sz w:val="24"/>
          <w:szCs w:val="24"/>
        </w:rPr>
        <w:t xml:space="preserve">poverty level, </w:t>
      </w:r>
      <w:r w:rsidRPr="001013ED">
        <w:rPr>
          <w:rFonts w:ascii="Times New Roman" w:hAnsi="Times New Roman" w:cs="Times New Roman"/>
          <w:sz w:val="24"/>
          <w:szCs w:val="24"/>
        </w:rPr>
        <w:t xml:space="preserve">consumption expenditure, asset ownership, health status, educational attainment, housing quality, and access to public services (Alkire &amp; Foster, 2011; World Bank, 2023). </w:t>
      </w:r>
      <w:r w:rsidR="00155563" w:rsidRPr="00155563">
        <w:rPr>
          <w:rFonts w:ascii="Times New Roman" w:hAnsi="Times New Roman" w:cs="Times New Roman"/>
          <w:sz w:val="24"/>
          <w:szCs w:val="24"/>
        </w:rPr>
        <w:t xml:space="preserve">In Nigeria, the welfare implications of energy poverty are particularly severe due to broader socioeconomic challenges such as high poverty levels, unemployment, and income inequality (World Bank, 2023; </w:t>
      </w:r>
      <w:proofErr w:type="spellStart"/>
      <w:r w:rsidR="00155563" w:rsidRPr="00155563">
        <w:rPr>
          <w:rFonts w:ascii="Times New Roman" w:hAnsi="Times New Roman" w:cs="Times New Roman"/>
          <w:sz w:val="24"/>
          <w:szCs w:val="24"/>
        </w:rPr>
        <w:t>Nteegah</w:t>
      </w:r>
      <w:proofErr w:type="spellEnd"/>
      <w:r w:rsidR="00155563" w:rsidRPr="00155563">
        <w:rPr>
          <w:rFonts w:ascii="Times New Roman" w:hAnsi="Times New Roman" w:cs="Times New Roman"/>
          <w:sz w:val="24"/>
          <w:szCs w:val="24"/>
        </w:rPr>
        <w:t xml:space="preserve"> &amp; </w:t>
      </w:r>
      <w:proofErr w:type="spellStart"/>
      <w:r w:rsidR="00155563" w:rsidRPr="00155563">
        <w:rPr>
          <w:rFonts w:ascii="Times New Roman" w:hAnsi="Times New Roman" w:cs="Times New Roman"/>
          <w:sz w:val="24"/>
          <w:szCs w:val="24"/>
        </w:rPr>
        <w:t>Ihejirika</w:t>
      </w:r>
      <w:proofErr w:type="spellEnd"/>
      <w:r w:rsidR="00155563" w:rsidRPr="00155563">
        <w:rPr>
          <w:rFonts w:ascii="Times New Roman" w:hAnsi="Times New Roman" w:cs="Times New Roman"/>
          <w:sz w:val="24"/>
          <w:szCs w:val="24"/>
        </w:rPr>
        <w:t>, 2024). Without reliable electricity, households often face higher energy costs, lower productivity, and limited opportunities for economic advancement (</w:t>
      </w:r>
      <w:r w:rsidR="00155563">
        <w:rPr>
          <w:rFonts w:ascii="Times New Roman" w:hAnsi="Times New Roman" w:cs="Times New Roman"/>
          <w:sz w:val="24"/>
          <w:szCs w:val="24"/>
        </w:rPr>
        <w:t>IEA</w:t>
      </w:r>
      <w:r w:rsidR="00155563" w:rsidRPr="00155563">
        <w:rPr>
          <w:rFonts w:ascii="Times New Roman" w:hAnsi="Times New Roman" w:cs="Times New Roman"/>
          <w:sz w:val="24"/>
          <w:szCs w:val="24"/>
        </w:rPr>
        <w:t>, 2023; World Bank, 2023)</w:t>
      </w:r>
      <w:r w:rsidR="004609A4" w:rsidRPr="004609A4">
        <w:rPr>
          <w:rFonts w:ascii="Times New Roman" w:hAnsi="Times New Roman" w:cs="Times New Roman"/>
          <w:sz w:val="24"/>
          <w:szCs w:val="24"/>
        </w:rPr>
        <w:t>. Empirical evidence suggests that improvements in electricity generation and energy access significantly reduce poverty levels and enhance household welfare outcomes in Nigeria (</w:t>
      </w:r>
      <w:proofErr w:type="spellStart"/>
      <w:r w:rsidR="004609A4" w:rsidRPr="004609A4">
        <w:rPr>
          <w:rFonts w:ascii="Times New Roman" w:hAnsi="Times New Roman" w:cs="Times New Roman"/>
          <w:sz w:val="24"/>
          <w:szCs w:val="24"/>
        </w:rPr>
        <w:t>Nteegah</w:t>
      </w:r>
      <w:proofErr w:type="spellEnd"/>
      <w:r w:rsidR="004609A4" w:rsidRPr="004609A4">
        <w:rPr>
          <w:rFonts w:ascii="Times New Roman" w:hAnsi="Times New Roman" w:cs="Times New Roman"/>
          <w:sz w:val="24"/>
          <w:szCs w:val="24"/>
        </w:rPr>
        <w:t xml:space="preserve"> &amp; </w:t>
      </w:r>
      <w:proofErr w:type="spellStart"/>
      <w:r w:rsidR="004609A4" w:rsidRPr="004609A4">
        <w:rPr>
          <w:rFonts w:ascii="Times New Roman" w:hAnsi="Times New Roman" w:cs="Times New Roman"/>
          <w:sz w:val="24"/>
          <w:szCs w:val="24"/>
        </w:rPr>
        <w:t>Ihejirika</w:t>
      </w:r>
      <w:proofErr w:type="spellEnd"/>
      <w:r w:rsidR="004609A4" w:rsidRPr="004609A4">
        <w:rPr>
          <w:rFonts w:ascii="Times New Roman" w:hAnsi="Times New Roman" w:cs="Times New Roman"/>
          <w:sz w:val="24"/>
          <w:szCs w:val="24"/>
        </w:rPr>
        <w:t>, 2024). These findings highlight the importance of energy access as a critical determinant of welfare improvement in developing economies.</w:t>
      </w:r>
    </w:p>
    <w:p w14:paraId="14905001" w14:textId="66E11BE8" w:rsidR="004609A4" w:rsidRPr="004609A4" w:rsidRDefault="004609A4" w:rsidP="004609A4">
      <w:pPr>
        <w:jc w:val="both"/>
        <w:rPr>
          <w:rFonts w:ascii="Times New Roman" w:hAnsi="Times New Roman" w:cs="Times New Roman"/>
          <w:sz w:val="24"/>
          <w:szCs w:val="24"/>
        </w:rPr>
      </w:pPr>
      <w:r w:rsidRPr="004609A4">
        <w:rPr>
          <w:rFonts w:ascii="Times New Roman" w:hAnsi="Times New Roman" w:cs="Times New Roman"/>
          <w:sz w:val="24"/>
          <w:szCs w:val="24"/>
        </w:rPr>
        <w:t xml:space="preserve">The multidimensional nature of energy poverty has also gained growing attention in academic literature. </w:t>
      </w:r>
      <w:r w:rsidR="00155563" w:rsidRPr="00155563">
        <w:rPr>
          <w:rFonts w:ascii="Times New Roman" w:hAnsi="Times New Roman" w:cs="Times New Roman"/>
          <w:sz w:val="24"/>
          <w:szCs w:val="24"/>
        </w:rPr>
        <w:t>Traditional indicators that measure only electricity access often fail to capture important aspects such as affordability, reliability, and access to clean cooking technologies (</w:t>
      </w:r>
      <w:proofErr w:type="spellStart"/>
      <w:r w:rsidR="00155563" w:rsidRPr="00155563">
        <w:rPr>
          <w:rFonts w:ascii="Times New Roman" w:hAnsi="Times New Roman" w:cs="Times New Roman"/>
          <w:sz w:val="24"/>
          <w:szCs w:val="24"/>
        </w:rPr>
        <w:t>Bouzarovski</w:t>
      </w:r>
      <w:proofErr w:type="spellEnd"/>
      <w:r w:rsidR="00155563" w:rsidRPr="00155563">
        <w:rPr>
          <w:rFonts w:ascii="Times New Roman" w:hAnsi="Times New Roman" w:cs="Times New Roman"/>
          <w:sz w:val="24"/>
          <w:szCs w:val="24"/>
        </w:rPr>
        <w:t xml:space="preserve"> &amp; </w:t>
      </w:r>
      <w:proofErr w:type="spellStart"/>
      <w:r w:rsidR="00155563" w:rsidRPr="00155563">
        <w:rPr>
          <w:rFonts w:ascii="Times New Roman" w:hAnsi="Times New Roman" w:cs="Times New Roman"/>
          <w:sz w:val="24"/>
          <w:szCs w:val="24"/>
        </w:rPr>
        <w:t>Petrova</w:t>
      </w:r>
      <w:proofErr w:type="spellEnd"/>
      <w:r w:rsidR="00155563" w:rsidRPr="00155563">
        <w:rPr>
          <w:rFonts w:ascii="Times New Roman" w:hAnsi="Times New Roman" w:cs="Times New Roman"/>
          <w:sz w:val="24"/>
          <w:szCs w:val="24"/>
        </w:rPr>
        <w:t>, 2015; O’Sullivan, Barnes, &amp; O’Shea, 2020).</w:t>
      </w:r>
      <w:r w:rsidRPr="004609A4">
        <w:rPr>
          <w:rFonts w:ascii="Times New Roman" w:hAnsi="Times New Roman" w:cs="Times New Roman"/>
          <w:sz w:val="24"/>
          <w:szCs w:val="24"/>
        </w:rPr>
        <w:t xml:space="preserve"> To address this limitation, scholars have developed multidimensional energy poverty indices that incorporate several indicators of energy deprivation. Studies using these frameworks demonstrate that energy poverty is closely linked with income poverty, inadequate infrastructure, and weak institutional capacity (</w:t>
      </w:r>
      <w:proofErr w:type="spellStart"/>
      <w:r w:rsidRPr="004609A4">
        <w:rPr>
          <w:rFonts w:ascii="Times New Roman" w:hAnsi="Times New Roman" w:cs="Times New Roman"/>
          <w:sz w:val="24"/>
          <w:szCs w:val="24"/>
        </w:rPr>
        <w:t>Nussbaumer</w:t>
      </w:r>
      <w:proofErr w:type="spellEnd"/>
      <w:r w:rsidRPr="004609A4">
        <w:rPr>
          <w:rFonts w:ascii="Times New Roman" w:hAnsi="Times New Roman" w:cs="Times New Roman"/>
          <w:sz w:val="24"/>
          <w:szCs w:val="24"/>
        </w:rPr>
        <w:t xml:space="preserve">, </w:t>
      </w:r>
      <w:proofErr w:type="spellStart"/>
      <w:r w:rsidRPr="004609A4">
        <w:rPr>
          <w:rFonts w:ascii="Times New Roman" w:hAnsi="Times New Roman" w:cs="Times New Roman"/>
          <w:sz w:val="24"/>
          <w:szCs w:val="24"/>
        </w:rPr>
        <w:t>Bazilian</w:t>
      </w:r>
      <w:proofErr w:type="spellEnd"/>
      <w:r w:rsidRPr="004609A4">
        <w:rPr>
          <w:rFonts w:ascii="Times New Roman" w:hAnsi="Times New Roman" w:cs="Times New Roman"/>
          <w:sz w:val="24"/>
          <w:szCs w:val="24"/>
        </w:rPr>
        <w:t xml:space="preserve">, &amp; Modi, 2012; Day, Walker, &amp; Simcock, 2016). </w:t>
      </w:r>
      <w:r w:rsidR="00155563" w:rsidRPr="00155563">
        <w:rPr>
          <w:rFonts w:ascii="Times New Roman" w:hAnsi="Times New Roman" w:cs="Times New Roman"/>
          <w:sz w:val="24"/>
          <w:szCs w:val="24"/>
        </w:rPr>
        <w:lastRenderedPageBreak/>
        <w:t>In Nigeria, multidimensional energy poverty manifests through limited electricity access, heavy reliance on biomass fuels, and restricted ownership of energy-related appliances necessary for improved living standards (</w:t>
      </w:r>
      <w:proofErr w:type="spellStart"/>
      <w:r w:rsidR="00155563" w:rsidRPr="00155563">
        <w:rPr>
          <w:rFonts w:ascii="Times New Roman" w:hAnsi="Times New Roman" w:cs="Times New Roman"/>
          <w:sz w:val="24"/>
          <w:szCs w:val="24"/>
        </w:rPr>
        <w:t>Nussbaumer</w:t>
      </w:r>
      <w:proofErr w:type="spellEnd"/>
      <w:r w:rsidR="00155563" w:rsidRPr="00155563">
        <w:rPr>
          <w:rFonts w:ascii="Times New Roman" w:hAnsi="Times New Roman" w:cs="Times New Roman"/>
          <w:sz w:val="24"/>
          <w:szCs w:val="24"/>
        </w:rPr>
        <w:t xml:space="preserve">, </w:t>
      </w:r>
      <w:proofErr w:type="spellStart"/>
      <w:r w:rsidR="00155563" w:rsidRPr="00155563">
        <w:rPr>
          <w:rFonts w:ascii="Times New Roman" w:hAnsi="Times New Roman" w:cs="Times New Roman"/>
          <w:sz w:val="24"/>
          <w:szCs w:val="24"/>
        </w:rPr>
        <w:t>Bazilian</w:t>
      </w:r>
      <w:proofErr w:type="spellEnd"/>
      <w:r w:rsidR="00155563" w:rsidRPr="00155563">
        <w:rPr>
          <w:rFonts w:ascii="Times New Roman" w:hAnsi="Times New Roman" w:cs="Times New Roman"/>
          <w:sz w:val="24"/>
          <w:szCs w:val="24"/>
        </w:rPr>
        <w:t xml:space="preserve">, &amp; Modi, 2012; Day, Walker, &amp; Simcock, 2016; </w:t>
      </w:r>
      <w:proofErr w:type="spellStart"/>
      <w:r w:rsidR="00155563" w:rsidRPr="00155563">
        <w:rPr>
          <w:rFonts w:ascii="Times New Roman" w:hAnsi="Times New Roman" w:cs="Times New Roman"/>
          <w:sz w:val="24"/>
          <w:szCs w:val="24"/>
        </w:rPr>
        <w:t>Ashagidigbi</w:t>
      </w:r>
      <w:proofErr w:type="spellEnd"/>
      <w:r w:rsidR="00155563" w:rsidRPr="00155563">
        <w:rPr>
          <w:rFonts w:ascii="Times New Roman" w:hAnsi="Times New Roman" w:cs="Times New Roman"/>
          <w:sz w:val="24"/>
          <w:szCs w:val="24"/>
        </w:rPr>
        <w:t xml:space="preserve">, Babatunde, </w:t>
      </w:r>
      <w:proofErr w:type="spellStart"/>
      <w:r w:rsidR="00155563" w:rsidRPr="00155563">
        <w:rPr>
          <w:rFonts w:ascii="Times New Roman" w:hAnsi="Times New Roman" w:cs="Times New Roman"/>
          <w:sz w:val="24"/>
          <w:szCs w:val="24"/>
        </w:rPr>
        <w:t>Ogunniyi</w:t>
      </w:r>
      <w:proofErr w:type="spellEnd"/>
      <w:r w:rsidR="00155563" w:rsidRPr="00155563">
        <w:rPr>
          <w:rFonts w:ascii="Times New Roman" w:hAnsi="Times New Roman" w:cs="Times New Roman"/>
          <w:sz w:val="24"/>
          <w:szCs w:val="24"/>
        </w:rPr>
        <w:t xml:space="preserve">, </w:t>
      </w:r>
      <w:proofErr w:type="spellStart"/>
      <w:r w:rsidR="00155563" w:rsidRPr="00155563">
        <w:rPr>
          <w:rFonts w:ascii="Times New Roman" w:hAnsi="Times New Roman" w:cs="Times New Roman"/>
          <w:sz w:val="24"/>
          <w:szCs w:val="24"/>
        </w:rPr>
        <w:t>Olagunju</w:t>
      </w:r>
      <w:proofErr w:type="spellEnd"/>
      <w:r w:rsidR="00155563" w:rsidRPr="00155563">
        <w:rPr>
          <w:rFonts w:ascii="Times New Roman" w:hAnsi="Times New Roman" w:cs="Times New Roman"/>
          <w:sz w:val="24"/>
          <w:szCs w:val="24"/>
        </w:rPr>
        <w:t>, &amp; Omotayo, 2020)</w:t>
      </w:r>
      <w:r w:rsidRPr="004609A4">
        <w:rPr>
          <w:rFonts w:ascii="Times New Roman" w:hAnsi="Times New Roman" w:cs="Times New Roman"/>
          <w:sz w:val="24"/>
          <w:szCs w:val="24"/>
        </w:rPr>
        <w:t>.</w:t>
      </w:r>
    </w:p>
    <w:p w14:paraId="68CFBDC0" w14:textId="57707D18" w:rsidR="00F83429" w:rsidRDefault="00E81A8E" w:rsidP="004609A4">
      <w:pPr>
        <w:jc w:val="both"/>
        <w:rPr>
          <w:rFonts w:ascii="Times New Roman" w:hAnsi="Times New Roman" w:cs="Times New Roman"/>
          <w:sz w:val="24"/>
          <w:szCs w:val="24"/>
        </w:rPr>
      </w:pPr>
      <w:r w:rsidRPr="00E81A8E">
        <w:rPr>
          <w:rFonts w:ascii="Times New Roman" w:hAnsi="Times New Roman" w:cs="Times New Roman"/>
          <w:sz w:val="24"/>
          <w:szCs w:val="24"/>
        </w:rPr>
        <w:t xml:space="preserve">Despite numerous policy initiatives aimed at expanding energy access, including rural electrification programs, renewable energy policies, and power sector reforms, Nigeria continues to face significant challenges in reducing energy poverty (World Bank, 2023; </w:t>
      </w:r>
      <w:r>
        <w:rPr>
          <w:rFonts w:ascii="Times New Roman" w:hAnsi="Times New Roman" w:cs="Times New Roman"/>
          <w:sz w:val="24"/>
          <w:szCs w:val="24"/>
        </w:rPr>
        <w:t>IEA</w:t>
      </w:r>
      <w:r w:rsidRPr="00E81A8E">
        <w:rPr>
          <w:rFonts w:ascii="Times New Roman" w:hAnsi="Times New Roman" w:cs="Times New Roman"/>
          <w:sz w:val="24"/>
          <w:szCs w:val="24"/>
        </w:rPr>
        <w:t xml:space="preserve">, 2023; </w:t>
      </w:r>
      <w:proofErr w:type="spellStart"/>
      <w:r w:rsidRPr="00E81A8E">
        <w:rPr>
          <w:rFonts w:ascii="Times New Roman" w:hAnsi="Times New Roman" w:cs="Times New Roman"/>
          <w:sz w:val="24"/>
          <w:szCs w:val="24"/>
        </w:rPr>
        <w:t>Ashagidigbi</w:t>
      </w:r>
      <w:proofErr w:type="spellEnd"/>
      <w:r w:rsidRPr="00E81A8E">
        <w:rPr>
          <w:rFonts w:ascii="Times New Roman" w:hAnsi="Times New Roman" w:cs="Times New Roman"/>
          <w:sz w:val="24"/>
          <w:szCs w:val="24"/>
        </w:rPr>
        <w:t xml:space="preserve">, Babatunde, </w:t>
      </w:r>
      <w:proofErr w:type="spellStart"/>
      <w:r w:rsidRPr="00E81A8E">
        <w:rPr>
          <w:rFonts w:ascii="Times New Roman" w:hAnsi="Times New Roman" w:cs="Times New Roman"/>
          <w:sz w:val="24"/>
          <w:szCs w:val="24"/>
        </w:rPr>
        <w:t>Ogunniyi</w:t>
      </w:r>
      <w:proofErr w:type="spellEnd"/>
      <w:r w:rsidRPr="00E81A8E">
        <w:rPr>
          <w:rFonts w:ascii="Times New Roman" w:hAnsi="Times New Roman" w:cs="Times New Roman"/>
          <w:sz w:val="24"/>
          <w:szCs w:val="24"/>
        </w:rPr>
        <w:t xml:space="preserve">, </w:t>
      </w:r>
      <w:proofErr w:type="spellStart"/>
      <w:r w:rsidRPr="00E81A8E">
        <w:rPr>
          <w:rFonts w:ascii="Times New Roman" w:hAnsi="Times New Roman" w:cs="Times New Roman"/>
          <w:sz w:val="24"/>
          <w:szCs w:val="24"/>
        </w:rPr>
        <w:t>Olagunju</w:t>
      </w:r>
      <w:proofErr w:type="spellEnd"/>
      <w:r w:rsidRPr="00E81A8E">
        <w:rPr>
          <w:rFonts w:ascii="Times New Roman" w:hAnsi="Times New Roman" w:cs="Times New Roman"/>
          <w:sz w:val="24"/>
          <w:szCs w:val="24"/>
        </w:rPr>
        <w:t xml:space="preserve">, &amp; Omotayo, 2020). Structural constraints such as insufficient infrastructure investment, transmission bottlenecks, regulatory inefficiencies, and rapid population growth have slowed progress toward universal energy access (World Bank, 2023; </w:t>
      </w:r>
      <w:r>
        <w:rPr>
          <w:rFonts w:ascii="Times New Roman" w:hAnsi="Times New Roman" w:cs="Times New Roman"/>
          <w:sz w:val="24"/>
          <w:szCs w:val="24"/>
        </w:rPr>
        <w:t>IEA</w:t>
      </w:r>
      <w:r w:rsidRPr="00E81A8E">
        <w:rPr>
          <w:rFonts w:ascii="Times New Roman" w:hAnsi="Times New Roman" w:cs="Times New Roman"/>
          <w:sz w:val="24"/>
          <w:szCs w:val="24"/>
        </w:rPr>
        <w:t>, 2023). Consequently, a large proportion of households remain energy-poor, limiting improvements in welfare and socioeconomic development (</w:t>
      </w:r>
      <w:proofErr w:type="spellStart"/>
      <w:r w:rsidRPr="00E81A8E">
        <w:rPr>
          <w:rFonts w:ascii="Times New Roman" w:hAnsi="Times New Roman" w:cs="Times New Roman"/>
          <w:sz w:val="24"/>
          <w:szCs w:val="24"/>
        </w:rPr>
        <w:t>Nteegah</w:t>
      </w:r>
      <w:proofErr w:type="spellEnd"/>
      <w:r w:rsidRPr="00E81A8E">
        <w:rPr>
          <w:rFonts w:ascii="Times New Roman" w:hAnsi="Times New Roman" w:cs="Times New Roman"/>
          <w:sz w:val="24"/>
          <w:szCs w:val="24"/>
        </w:rPr>
        <w:t xml:space="preserve"> &amp; </w:t>
      </w:r>
      <w:proofErr w:type="spellStart"/>
      <w:r w:rsidRPr="00E81A8E">
        <w:rPr>
          <w:rFonts w:ascii="Times New Roman" w:hAnsi="Times New Roman" w:cs="Times New Roman"/>
          <w:sz w:val="24"/>
          <w:szCs w:val="24"/>
        </w:rPr>
        <w:t>Ihejirika</w:t>
      </w:r>
      <w:proofErr w:type="spellEnd"/>
      <w:r w:rsidRPr="00E81A8E">
        <w:rPr>
          <w:rFonts w:ascii="Times New Roman" w:hAnsi="Times New Roman" w:cs="Times New Roman"/>
          <w:sz w:val="24"/>
          <w:szCs w:val="24"/>
        </w:rPr>
        <w:t>, 2024). Importantly, a significant knowledge gap remains regarding the comprehensive assessment of how multidimensional energy poverty affects household welfare in Nigeria over time</w:t>
      </w:r>
      <w:r w:rsidR="004609A4" w:rsidRPr="004609A4">
        <w:rPr>
          <w:rFonts w:ascii="Times New Roman" w:hAnsi="Times New Roman" w:cs="Times New Roman"/>
          <w:sz w:val="24"/>
          <w:szCs w:val="24"/>
        </w:rPr>
        <w:t>. Many existing studies focus on single indicators of energy access or rely on micro-level household surveys that capture only specific aspects of welfare (</w:t>
      </w:r>
      <w:proofErr w:type="spellStart"/>
      <w:r w:rsidR="004609A4" w:rsidRPr="004609A4">
        <w:rPr>
          <w:rFonts w:ascii="Times New Roman" w:hAnsi="Times New Roman" w:cs="Times New Roman"/>
          <w:sz w:val="24"/>
          <w:szCs w:val="24"/>
        </w:rPr>
        <w:t>Nteegah</w:t>
      </w:r>
      <w:proofErr w:type="spellEnd"/>
      <w:r w:rsidR="004609A4" w:rsidRPr="004609A4">
        <w:rPr>
          <w:rFonts w:ascii="Times New Roman" w:hAnsi="Times New Roman" w:cs="Times New Roman"/>
          <w:sz w:val="24"/>
          <w:szCs w:val="24"/>
        </w:rPr>
        <w:t xml:space="preserve"> &amp; </w:t>
      </w:r>
      <w:proofErr w:type="spellStart"/>
      <w:r w:rsidR="004609A4" w:rsidRPr="004609A4">
        <w:rPr>
          <w:rFonts w:ascii="Times New Roman" w:hAnsi="Times New Roman" w:cs="Times New Roman"/>
          <w:sz w:val="24"/>
          <w:szCs w:val="24"/>
        </w:rPr>
        <w:t>Ihejirika</w:t>
      </w:r>
      <w:proofErr w:type="spellEnd"/>
      <w:r w:rsidR="004609A4" w:rsidRPr="004609A4">
        <w:rPr>
          <w:rFonts w:ascii="Times New Roman" w:hAnsi="Times New Roman" w:cs="Times New Roman"/>
          <w:sz w:val="24"/>
          <w:szCs w:val="24"/>
        </w:rPr>
        <w:t>, 2024). Others examine either the health or income effects of energy poverty without providing a broader macro-level analysis integrating multiple energy indicators with overall household welfare outcomes. Addressing this gap, the present study investigates the impact of energy poverty on household welfare using a multidimensional energy perspective and macroeconomic data.</w:t>
      </w:r>
      <w:r w:rsidR="00890A07">
        <w:rPr>
          <w:rFonts w:ascii="Times New Roman" w:hAnsi="Times New Roman" w:cs="Times New Roman"/>
          <w:sz w:val="24"/>
          <w:szCs w:val="24"/>
        </w:rPr>
        <w:t xml:space="preserve"> </w:t>
      </w:r>
    </w:p>
    <w:p w14:paraId="0B1765C4" w14:textId="19CDBB2D" w:rsidR="004609A4" w:rsidRPr="004609A4" w:rsidRDefault="004609A4" w:rsidP="004609A4">
      <w:pPr>
        <w:pStyle w:val="ListParagraph"/>
        <w:numPr>
          <w:ilvl w:val="0"/>
          <w:numId w:val="1"/>
        </w:numPr>
        <w:jc w:val="both"/>
        <w:rPr>
          <w:rFonts w:ascii="Times New Roman" w:hAnsi="Times New Roman" w:cs="Times New Roman"/>
          <w:b/>
          <w:bCs/>
          <w:sz w:val="24"/>
          <w:szCs w:val="24"/>
        </w:rPr>
      </w:pPr>
      <w:r w:rsidRPr="004609A4">
        <w:rPr>
          <w:rFonts w:ascii="Times New Roman" w:hAnsi="Times New Roman" w:cs="Times New Roman"/>
          <w:b/>
          <w:bCs/>
          <w:sz w:val="24"/>
          <w:szCs w:val="24"/>
        </w:rPr>
        <w:t>Literature Review</w:t>
      </w:r>
    </w:p>
    <w:p w14:paraId="096FA292" w14:textId="448952D6" w:rsidR="00D94D45" w:rsidRPr="00AD0AC7" w:rsidRDefault="00D94D45" w:rsidP="001013ED">
      <w:pPr>
        <w:jc w:val="both"/>
        <w:rPr>
          <w:rFonts w:ascii="Times New Roman" w:hAnsi="Times New Roman" w:cs="Times New Roman"/>
          <w:b/>
          <w:bCs/>
          <w:i/>
          <w:iCs/>
          <w:sz w:val="24"/>
          <w:szCs w:val="24"/>
        </w:rPr>
      </w:pPr>
      <w:r w:rsidRPr="00AD0AC7">
        <w:rPr>
          <w:rFonts w:ascii="Times New Roman" w:hAnsi="Times New Roman" w:cs="Times New Roman"/>
          <w:b/>
          <w:bCs/>
          <w:i/>
          <w:iCs/>
          <w:sz w:val="24"/>
          <w:szCs w:val="24"/>
        </w:rPr>
        <w:t>Theoretical Framework</w:t>
      </w:r>
    </w:p>
    <w:p w14:paraId="70DAF7B2" w14:textId="6DD01A4B" w:rsidR="00A16D9C" w:rsidRP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This study is anchored on the Capability Approach, which was originally developed by Amartya Sen to explain human welfare and development beyond conventional income-based measures. The Capability Approach posits that development should be evaluated in terms of individuals’ capabilities to achieve valued “functionings,” such as good health, education, adequate nutrition, and productive participation in society (Sen, 1999). According to this theory, welfare is not solely determined by the level of income or resources available to individuals but by their ability to convert those resources into meaningful life outcomes. This perspective has become widely applied in development economics, poverty studies, and energy policy research because it emphasizes multidimensional well-being rather than narrow economic indicators.</w:t>
      </w:r>
    </w:p>
    <w:p w14:paraId="7817FD00" w14:textId="77777777" w:rsidR="00AD0AC7" w:rsidRDefault="00A16D9C" w:rsidP="00AD0AC7">
      <w:pPr>
        <w:jc w:val="both"/>
        <w:rPr>
          <w:rFonts w:ascii="Times New Roman" w:hAnsi="Times New Roman" w:cs="Times New Roman"/>
          <w:sz w:val="24"/>
          <w:szCs w:val="24"/>
        </w:rPr>
      </w:pPr>
      <w:r w:rsidRPr="00A16D9C">
        <w:rPr>
          <w:rFonts w:ascii="Times New Roman" w:hAnsi="Times New Roman" w:cs="Times New Roman"/>
          <w:sz w:val="24"/>
          <w:szCs w:val="24"/>
        </w:rPr>
        <w:t>Within the context of energy economics, the Capability Approach provides a strong conceptual basis for understanding the relationship between energy access and human welfare. Access to modern energy services</w:t>
      </w:r>
      <w:r>
        <w:rPr>
          <w:rFonts w:ascii="Times New Roman" w:hAnsi="Times New Roman" w:cs="Times New Roman"/>
          <w:sz w:val="24"/>
          <w:szCs w:val="24"/>
        </w:rPr>
        <w:t xml:space="preserve">, </w:t>
      </w:r>
      <w:r w:rsidRPr="00A16D9C">
        <w:rPr>
          <w:rFonts w:ascii="Times New Roman" w:hAnsi="Times New Roman" w:cs="Times New Roman"/>
          <w:sz w:val="24"/>
          <w:szCs w:val="24"/>
        </w:rPr>
        <w:t>such as electricity, clean cooking fuels, and reliable heating</w:t>
      </w:r>
      <w:r>
        <w:rPr>
          <w:rFonts w:ascii="Times New Roman" w:hAnsi="Times New Roman" w:cs="Times New Roman"/>
          <w:sz w:val="24"/>
          <w:szCs w:val="24"/>
        </w:rPr>
        <w:t xml:space="preserve">, </w:t>
      </w:r>
      <w:r w:rsidRPr="00A16D9C">
        <w:rPr>
          <w:rFonts w:ascii="Times New Roman" w:hAnsi="Times New Roman" w:cs="Times New Roman"/>
          <w:sz w:val="24"/>
          <w:szCs w:val="24"/>
        </w:rPr>
        <w:t>enhances individuals’ capabilities by enabling improved health outcomes, better educational opportunities, and greater economic productivity (Day, Walker, &amp; Simcock, 2016). Conversely, energy poverty constrains these capabilities by limiting households’ ability to perform essential activities such as studying at night, operating small businesses, preserving food, or accessing information technologies. Studies have shown that inadequate access to energy services reduces human development outcomes and reinforces multidimensional poverty, particularly in developing economies (</w:t>
      </w:r>
      <w:proofErr w:type="spellStart"/>
      <w:r w:rsidRPr="00A16D9C">
        <w:rPr>
          <w:rFonts w:ascii="Times New Roman" w:hAnsi="Times New Roman" w:cs="Times New Roman"/>
          <w:sz w:val="24"/>
          <w:szCs w:val="24"/>
        </w:rPr>
        <w:t>Nussbaumer</w:t>
      </w:r>
      <w:proofErr w:type="spellEnd"/>
      <w:r w:rsidRPr="00A16D9C">
        <w:rPr>
          <w:rFonts w:ascii="Times New Roman" w:hAnsi="Times New Roman" w:cs="Times New Roman"/>
          <w:sz w:val="24"/>
          <w:szCs w:val="24"/>
        </w:rPr>
        <w:t xml:space="preserve">, </w:t>
      </w:r>
      <w:proofErr w:type="spellStart"/>
      <w:r w:rsidRPr="00A16D9C">
        <w:rPr>
          <w:rFonts w:ascii="Times New Roman" w:hAnsi="Times New Roman" w:cs="Times New Roman"/>
          <w:sz w:val="24"/>
          <w:szCs w:val="24"/>
        </w:rPr>
        <w:t>Bazilian</w:t>
      </w:r>
      <w:proofErr w:type="spellEnd"/>
      <w:r w:rsidRPr="00A16D9C">
        <w:rPr>
          <w:rFonts w:ascii="Times New Roman" w:hAnsi="Times New Roman" w:cs="Times New Roman"/>
          <w:sz w:val="24"/>
          <w:szCs w:val="24"/>
        </w:rPr>
        <w:t xml:space="preserve">, &amp; Modi, 2012; </w:t>
      </w:r>
      <w:proofErr w:type="spellStart"/>
      <w:r w:rsidRPr="00A16D9C">
        <w:rPr>
          <w:rFonts w:ascii="Times New Roman" w:hAnsi="Times New Roman" w:cs="Times New Roman"/>
          <w:sz w:val="24"/>
          <w:szCs w:val="24"/>
        </w:rPr>
        <w:t>Sovacool</w:t>
      </w:r>
      <w:proofErr w:type="spellEnd"/>
      <w:r w:rsidRPr="00A16D9C">
        <w:rPr>
          <w:rFonts w:ascii="Times New Roman" w:hAnsi="Times New Roman" w:cs="Times New Roman"/>
          <w:sz w:val="24"/>
          <w:szCs w:val="24"/>
        </w:rPr>
        <w:t xml:space="preserve"> et al., 2017).</w:t>
      </w:r>
      <w:r w:rsidR="004858CF">
        <w:rPr>
          <w:rFonts w:ascii="Times New Roman" w:hAnsi="Times New Roman" w:cs="Times New Roman"/>
          <w:sz w:val="24"/>
          <w:szCs w:val="24"/>
        </w:rPr>
        <w:t xml:space="preserve"> </w:t>
      </w:r>
      <w:r w:rsidRPr="00A16D9C">
        <w:rPr>
          <w:rFonts w:ascii="Times New Roman" w:hAnsi="Times New Roman" w:cs="Times New Roman"/>
          <w:sz w:val="24"/>
          <w:szCs w:val="24"/>
        </w:rPr>
        <w:t xml:space="preserve">The relevance of the Capability Approach to this study lies in its ability </w:t>
      </w:r>
      <w:r w:rsidRPr="00A16D9C">
        <w:rPr>
          <w:rFonts w:ascii="Times New Roman" w:hAnsi="Times New Roman" w:cs="Times New Roman"/>
          <w:sz w:val="24"/>
          <w:szCs w:val="24"/>
        </w:rPr>
        <w:lastRenderedPageBreak/>
        <w:t xml:space="preserve">to explain how energy poverty directly affects household welfare through multiple pathways. In the Nigerian context, limited access to reliable electricity and clean cooking fuels restricts households’ opportunities for economic participation, education, and improved health conditions. </w:t>
      </w:r>
      <w:r w:rsidR="004858CF">
        <w:rPr>
          <w:rFonts w:ascii="Times New Roman" w:hAnsi="Times New Roman" w:cs="Times New Roman"/>
          <w:sz w:val="24"/>
          <w:szCs w:val="24"/>
        </w:rPr>
        <w:t>Therefore, the application of</w:t>
      </w:r>
      <w:r w:rsidRPr="00A16D9C">
        <w:rPr>
          <w:rFonts w:ascii="Times New Roman" w:hAnsi="Times New Roman" w:cs="Times New Roman"/>
          <w:sz w:val="24"/>
          <w:szCs w:val="24"/>
        </w:rPr>
        <w:t xml:space="preserve"> </w:t>
      </w:r>
      <w:r w:rsidR="004858CF">
        <w:rPr>
          <w:rFonts w:ascii="Times New Roman" w:hAnsi="Times New Roman" w:cs="Times New Roman"/>
          <w:sz w:val="24"/>
          <w:szCs w:val="24"/>
        </w:rPr>
        <w:t>c</w:t>
      </w:r>
      <w:r w:rsidRPr="00A16D9C">
        <w:rPr>
          <w:rFonts w:ascii="Times New Roman" w:hAnsi="Times New Roman" w:cs="Times New Roman"/>
          <w:sz w:val="24"/>
          <w:szCs w:val="24"/>
        </w:rPr>
        <w:t xml:space="preserve">apability </w:t>
      </w:r>
      <w:r w:rsidR="004858CF">
        <w:rPr>
          <w:rFonts w:ascii="Times New Roman" w:hAnsi="Times New Roman" w:cs="Times New Roman"/>
          <w:sz w:val="24"/>
          <w:szCs w:val="24"/>
        </w:rPr>
        <w:t>a</w:t>
      </w:r>
      <w:r w:rsidRPr="00A16D9C">
        <w:rPr>
          <w:rFonts w:ascii="Times New Roman" w:hAnsi="Times New Roman" w:cs="Times New Roman"/>
          <w:sz w:val="24"/>
          <w:szCs w:val="24"/>
        </w:rPr>
        <w:t>pproach</w:t>
      </w:r>
      <w:r w:rsidR="004858CF">
        <w:rPr>
          <w:rFonts w:ascii="Times New Roman" w:hAnsi="Times New Roman" w:cs="Times New Roman"/>
          <w:sz w:val="24"/>
          <w:szCs w:val="24"/>
        </w:rPr>
        <w:t xml:space="preserve"> to</w:t>
      </w:r>
      <w:r w:rsidRPr="00A16D9C">
        <w:rPr>
          <w:rFonts w:ascii="Times New Roman" w:hAnsi="Times New Roman" w:cs="Times New Roman"/>
          <w:sz w:val="24"/>
          <w:szCs w:val="24"/>
        </w:rPr>
        <w:t xml:space="preserve"> this study</w:t>
      </w:r>
      <w:r w:rsidR="004858CF">
        <w:rPr>
          <w:rFonts w:ascii="Times New Roman" w:hAnsi="Times New Roman" w:cs="Times New Roman"/>
          <w:sz w:val="24"/>
          <w:szCs w:val="24"/>
        </w:rPr>
        <w:t>, facilitates the</w:t>
      </w:r>
      <w:r w:rsidRPr="00A16D9C">
        <w:rPr>
          <w:rFonts w:ascii="Times New Roman" w:hAnsi="Times New Roman" w:cs="Times New Roman"/>
          <w:sz w:val="24"/>
          <w:szCs w:val="24"/>
        </w:rPr>
        <w:t xml:space="preserve"> conceptualiz</w:t>
      </w:r>
      <w:r w:rsidR="004858CF">
        <w:rPr>
          <w:rFonts w:ascii="Times New Roman" w:hAnsi="Times New Roman" w:cs="Times New Roman"/>
          <w:sz w:val="24"/>
          <w:szCs w:val="24"/>
        </w:rPr>
        <w:t>ation of the</w:t>
      </w:r>
      <w:r w:rsidRPr="00A16D9C">
        <w:rPr>
          <w:rFonts w:ascii="Times New Roman" w:hAnsi="Times New Roman" w:cs="Times New Roman"/>
          <w:sz w:val="24"/>
          <w:szCs w:val="24"/>
        </w:rPr>
        <w:t xml:space="preserve"> household welfare as the ability of households to achieve improved living standards and well-being through access to essential resources such as modern energy services. </w:t>
      </w:r>
      <w:r w:rsidR="004858CF" w:rsidRPr="00A16D9C">
        <w:rPr>
          <w:rFonts w:ascii="Times New Roman" w:hAnsi="Times New Roman" w:cs="Times New Roman"/>
          <w:sz w:val="24"/>
          <w:szCs w:val="24"/>
        </w:rPr>
        <w:t>Consequently</w:t>
      </w:r>
      <w:r w:rsidRPr="00A16D9C">
        <w:rPr>
          <w:rFonts w:ascii="Times New Roman" w:hAnsi="Times New Roman" w:cs="Times New Roman"/>
          <w:sz w:val="24"/>
          <w:szCs w:val="24"/>
        </w:rPr>
        <w:t>, the theory provides a comprehensive framework for examining how reducing energy poverty can enhance household capabilities, expand livelihood opportunities, and ultimately improve overall household welfare in Nigeria.</w:t>
      </w:r>
    </w:p>
    <w:p w14:paraId="416C75BD" w14:textId="428B6113" w:rsidR="00A16D9C" w:rsidRPr="00AD0AC7" w:rsidRDefault="00A16D9C" w:rsidP="00AD0AC7">
      <w:pPr>
        <w:jc w:val="both"/>
        <w:rPr>
          <w:rFonts w:ascii="Times New Roman" w:hAnsi="Times New Roman" w:cs="Times New Roman"/>
          <w:i/>
          <w:iCs/>
          <w:sz w:val="24"/>
          <w:szCs w:val="24"/>
        </w:rPr>
      </w:pPr>
      <w:r w:rsidRPr="00AD0AC7">
        <w:rPr>
          <w:rFonts w:ascii="Times New Roman" w:hAnsi="Times New Roman" w:cs="Times New Roman"/>
          <w:b/>
          <w:bCs/>
          <w:i/>
          <w:iCs/>
          <w:sz w:val="24"/>
          <w:szCs w:val="24"/>
        </w:rPr>
        <w:t>Empirical Review</w:t>
      </w:r>
    </w:p>
    <w:p w14:paraId="5DEA96DF" w14:textId="79E91A33" w:rsidR="00A16D9C" w:rsidRP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 xml:space="preserve">One of the early multidimensional studies in Nigeria was conducted by </w:t>
      </w:r>
      <w:proofErr w:type="spellStart"/>
      <w:r w:rsidRPr="00A16D9C">
        <w:rPr>
          <w:rFonts w:ascii="Times New Roman" w:hAnsi="Times New Roman" w:cs="Times New Roman"/>
          <w:sz w:val="24"/>
          <w:szCs w:val="24"/>
        </w:rPr>
        <w:t>Ashagidigbi</w:t>
      </w:r>
      <w:proofErr w:type="spellEnd"/>
      <w:r w:rsidRPr="00A16D9C">
        <w:rPr>
          <w:rFonts w:ascii="Times New Roman" w:hAnsi="Times New Roman" w:cs="Times New Roman"/>
          <w:sz w:val="24"/>
          <w:szCs w:val="24"/>
        </w:rPr>
        <w:t xml:space="preserve">, Babatunde, </w:t>
      </w:r>
      <w:proofErr w:type="spellStart"/>
      <w:r w:rsidRPr="00A16D9C">
        <w:rPr>
          <w:rFonts w:ascii="Times New Roman" w:hAnsi="Times New Roman" w:cs="Times New Roman"/>
          <w:sz w:val="24"/>
          <w:szCs w:val="24"/>
        </w:rPr>
        <w:t>Ogunniyi</w:t>
      </w:r>
      <w:proofErr w:type="spellEnd"/>
      <w:r w:rsidRPr="00A16D9C">
        <w:rPr>
          <w:rFonts w:ascii="Times New Roman" w:hAnsi="Times New Roman" w:cs="Times New Roman"/>
          <w:sz w:val="24"/>
          <w:szCs w:val="24"/>
        </w:rPr>
        <w:t xml:space="preserve">, </w:t>
      </w:r>
      <w:proofErr w:type="spellStart"/>
      <w:r w:rsidRPr="00A16D9C">
        <w:rPr>
          <w:rFonts w:ascii="Times New Roman" w:hAnsi="Times New Roman" w:cs="Times New Roman"/>
          <w:sz w:val="24"/>
          <w:szCs w:val="24"/>
        </w:rPr>
        <w:t>Olagunju</w:t>
      </w:r>
      <w:proofErr w:type="spellEnd"/>
      <w:r w:rsidRPr="00A16D9C">
        <w:rPr>
          <w:rFonts w:ascii="Times New Roman" w:hAnsi="Times New Roman" w:cs="Times New Roman"/>
          <w:sz w:val="24"/>
          <w:szCs w:val="24"/>
        </w:rPr>
        <w:t>, and Omotayo (2020) in their study titled “Estimation and Determinants of Multidimensional Energy Poverty among Households in Nigeria.” The study examined energy poverty and household socioeconomic characteristics using the Multidimensional Energy Poverty Index (MEPI) as the primary measure of energy deprivation. Using National Demographic and Health Survey (NDHS) data and employing MEPI estimation and Tobit regression analysis, the findings revealed that the average national MEPI was 0.38, indicating a high level of energy deprivation among Nigerian households. The results further showed that income level, access to credit, and education significantly reduce energy poverty, while rural residence and demographic factors increase vulnerability. The study concluded that improving household income and expanding energy infrastructure are essential for reducing energy poverty and improving welfare outcomes.</w:t>
      </w:r>
    </w:p>
    <w:p w14:paraId="321BAA32" w14:textId="3474A4F5" w:rsidR="00A16D9C" w:rsidRP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Similarly, Ajayi (2023) examined the relationship between energy poverty and household wellbeing in Nigeria in the study titled “Energy Poverty and Household Wellbeing in Nigeria.” The study used health outcomes as a proxy for household welfare, while energy poverty was measured through access to clean cooking fuels. Using 2015/2016 General Household Survey (GHS) data and econometric estimation techniques, the results revealed that energy poverty significantly increases the probability of respiratory diseases among household members, particularly children. The study concluded that improving access to clean energy sources such as electricity and liquefied petroleum gas (LPG) can significantly enhance household health and welfare outcomes.</w:t>
      </w:r>
    </w:p>
    <w:p w14:paraId="0DA20DBC" w14:textId="21A43AE8" w:rsidR="00A16D9C" w:rsidRP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 xml:space="preserve">Beyond Nigeria, several empirical studies have investigated the welfare implications of energy poverty in other developing countries. For example, Yeboah, </w:t>
      </w:r>
      <w:proofErr w:type="spellStart"/>
      <w:r w:rsidRPr="00A16D9C">
        <w:rPr>
          <w:rFonts w:ascii="Times New Roman" w:hAnsi="Times New Roman" w:cs="Times New Roman"/>
          <w:sz w:val="24"/>
          <w:szCs w:val="24"/>
        </w:rPr>
        <w:t>Amaning</w:t>
      </w:r>
      <w:proofErr w:type="spellEnd"/>
      <w:r w:rsidRPr="00A16D9C">
        <w:rPr>
          <w:rFonts w:ascii="Times New Roman" w:hAnsi="Times New Roman" w:cs="Times New Roman"/>
          <w:sz w:val="24"/>
          <w:szCs w:val="24"/>
        </w:rPr>
        <w:t>, Zakaria, and Owusu (2020) examined “An Economic Assessment of Energy Poverty and Household Welfare in Ghana.” The study analyzed energy poverty and household welfare indicators such as income and energy expenditure using data from the Ghana Living Standards Survey involving 16,048 households. Employing a binomial logistic regression model, the findings indicated that approximately 38 percent of households were energy poor, with rural households being significantly more vulnerable. The results further showed that education, income, and welfare levels significantly reduce the likelihood of energy poverty. The study concluded that rural electrification and off-grid energy programs are essential for improving household welfare.</w:t>
      </w:r>
    </w:p>
    <w:p w14:paraId="12DC0DA9" w14:textId="520EECEE" w:rsidR="00A16D9C" w:rsidRP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 xml:space="preserve">In Asia, Xie and Xie (2023) investigated the welfare effects of energy poverty in the study titled “Measuring and Analyzing the Welfare Effects of Energy Poverty in Rural China Based on a Multidimensional Energy Poverty Index.” The study examined energy poverty, household </w:t>
      </w:r>
      <w:r w:rsidRPr="00A16D9C">
        <w:rPr>
          <w:rFonts w:ascii="Times New Roman" w:hAnsi="Times New Roman" w:cs="Times New Roman"/>
          <w:sz w:val="24"/>
          <w:szCs w:val="24"/>
        </w:rPr>
        <w:lastRenderedPageBreak/>
        <w:t>income, health, and education outcomes using a multidimensional energy poverty index and rural household data. The authors employed two-stage least squares (2SLS) estimation and hierarchical logit models to analyze the data. The findings showed that improved electricity access significantly reduces energy poverty and enhances household income, education, and health outcomes. The study concluded that investments in rural electrification and energy infrastructure play a critical role in improving household welfare.</w:t>
      </w:r>
    </w:p>
    <w:p w14:paraId="1413A1C1" w14:textId="40BDF28D" w:rsidR="00A16D9C" w:rsidRP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 xml:space="preserve">Further empirical evidence from Africa was provided by </w:t>
      </w:r>
      <w:proofErr w:type="spellStart"/>
      <w:r w:rsidRPr="00A16D9C">
        <w:rPr>
          <w:rFonts w:ascii="Times New Roman" w:hAnsi="Times New Roman" w:cs="Times New Roman"/>
          <w:sz w:val="24"/>
          <w:szCs w:val="24"/>
        </w:rPr>
        <w:t>Mkomba</w:t>
      </w:r>
      <w:proofErr w:type="spellEnd"/>
      <w:r w:rsidRPr="00A16D9C">
        <w:rPr>
          <w:rFonts w:ascii="Times New Roman" w:hAnsi="Times New Roman" w:cs="Times New Roman"/>
          <w:sz w:val="24"/>
          <w:szCs w:val="24"/>
        </w:rPr>
        <w:t xml:space="preserve"> (2021) in the study titled “Household-Level Effects of Energy Insecurity on Welfare in Malawi.” The study examined energy insecurity and household welfare indicators such as food and education expenditure using data from the Malawi Fourth Integrated Household Survey (IHS4). Employing econometric analysis, the study found that energy-insecure households significantly reduce food consumption and education expenditure when energy costs increase. Specifically, a 1 percent increase in energy cost share reduces food expenditure by about 2.3 percent and education spending by 3.6 percent. The study concluded that energy insecurity undermines household welfare and may have long-term implications for human capital development.</w:t>
      </w:r>
    </w:p>
    <w:p w14:paraId="1A143A2C" w14:textId="77777777" w:rsid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 xml:space="preserve">Recent global studies also emphasize the welfare implications of energy reliability and price shocks. For instance, </w:t>
      </w:r>
      <w:proofErr w:type="spellStart"/>
      <w:r w:rsidRPr="00A16D9C">
        <w:rPr>
          <w:rFonts w:ascii="Times New Roman" w:hAnsi="Times New Roman" w:cs="Times New Roman"/>
          <w:sz w:val="24"/>
          <w:szCs w:val="24"/>
        </w:rPr>
        <w:t>Oseni</w:t>
      </w:r>
      <w:proofErr w:type="spellEnd"/>
      <w:r w:rsidRPr="00A16D9C">
        <w:rPr>
          <w:rFonts w:ascii="Times New Roman" w:hAnsi="Times New Roman" w:cs="Times New Roman"/>
          <w:sz w:val="24"/>
          <w:szCs w:val="24"/>
        </w:rPr>
        <w:t xml:space="preserve"> (2022) </w:t>
      </w:r>
      <w:proofErr w:type="spellStart"/>
      <w:r w:rsidRPr="00A16D9C">
        <w:rPr>
          <w:rFonts w:ascii="Times New Roman" w:hAnsi="Times New Roman" w:cs="Times New Roman"/>
          <w:sz w:val="24"/>
          <w:szCs w:val="24"/>
        </w:rPr>
        <w:t>analyzed</w:t>
      </w:r>
      <w:proofErr w:type="spellEnd"/>
      <w:r w:rsidRPr="00A16D9C">
        <w:rPr>
          <w:rFonts w:ascii="Times New Roman" w:hAnsi="Times New Roman" w:cs="Times New Roman"/>
          <w:sz w:val="24"/>
          <w:szCs w:val="24"/>
        </w:rPr>
        <w:t xml:space="preserve"> “Household Welfare Loss from Electricity Blackouts in Developing Countries” using household survey data from Ethiopia and applying willingness-to-pay estimation techniques. The study found that households experience significant welfare losses due to frequent electricity outages, with households willing to pay around 1 percent of their annual income to eliminate power outages. The study concluded that improving electricity reliability is essential for enhancing household welfare and reducing the economic costs associated with energy poverty.</w:t>
      </w:r>
      <w:r>
        <w:rPr>
          <w:rFonts w:ascii="Times New Roman" w:hAnsi="Times New Roman" w:cs="Times New Roman"/>
          <w:sz w:val="24"/>
          <w:szCs w:val="24"/>
        </w:rPr>
        <w:t xml:space="preserve"> </w:t>
      </w:r>
    </w:p>
    <w:p w14:paraId="0F49B485" w14:textId="436258ED" w:rsidR="00A16D9C" w:rsidRDefault="00A16D9C" w:rsidP="00A16D9C">
      <w:pPr>
        <w:jc w:val="both"/>
        <w:rPr>
          <w:rFonts w:ascii="Times New Roman" w:hAnsi="Times New Roman" w:cs="Times New Roman"/>
          <w:sz w:val="24"/>
          <w:szCs w:val="24"/>
        </w:rPr>
      </w:pPr>
      <w:r w:rsidRPr="00A16D9C">
        <w:rPr>
          <w:rFonts w:ascii="Times New Roman" w:hAnsi="Times New Roman" w:cs="Times New Roman"/>
          <w:sz w:val="24"/>
          <w:szCs w:val="24"/>
        </w:rPr>
        <w:t>More recent studies have also explored the relationship between energy poverty and health outcomes. For example, Umar et al. (2025) examined the study “Impact of Energy Poverty on Human Capital: Evidence from Rural Households in Kano State, Nigeria.” The study analyzed energy poverty and health index indicators using cross-sectional household survey data and regression analysis. The findings revealed that energy poverty significantly reduces the health index, implying that energy-poor households experience higher risks of respiratory diseases, child mortality, and other health complications. The study concluded that improving energy access can enhance human capital development and household welfare.</w:t>
      </w:r>
      <w:r>
        <w:rPr>
          <w:rFonts w:ascii="Times New Roman" w:hAnsi="Times New Roman" w:cs="Times New Roman"/>
          <w:sz w:val="24"/>
          <w:szCs w:val="24"/>
        </w:rPr>
        <w:t xml:space="preserve"> Consequently, e</w:t>
      </w:r>
      <w:r w:rsidRPr="00A16D9C">
        <w:rPr>
          <w:rFonts w:ascii="Times New Roman" w:hAnsi="Times New Roman" w:cs="Times New Roman"/>
          <w:sz w:val="24"/>
          <w:szCs w:val="24"/>
        </w:rPr>
        <w:t>xisting empirical studies have largely examined energy poverty using micro-level household surveys and narrow welfare indicators such as health, income, or expenditure (</w:t>
      </w:r>
      <w:proofErr w:type="spellStart"/>
      <w:r w:rsidRPr="00A16D9C">
        <w:rPr>
          <w:rFonts w:ascii="Times New Roman" w:hAnsi="Times New Roman" w:cs="Times New Roman"/>
          <w:sz w:val="24"/>
          <w:szCs w:val="24"/>
        </w:rPr>
        <w:t>Ashagidigbi</w:t>
      </w:r>
      <w:proofErr w:type="spellEnd"/>
      <w:r w:rsidRPr="00A16D9C">
        <w:rPr>
          <w:rFonts w:ascii="Times New Roman" w:hAnsi="Times New Roman" w:cs="Times New Roman"/>
          <w:sz w:val="24"/>
          <w:szCs w:val="24"/>
        </w:rPr>
        <w:t xml:space="preserve"> et al., 2020; Ajayi, 2023; </w:t>
      </w:r>
      <w:proofErr w:type="spellStart"/>
      <w:r w:rsidRPr="00A16D9C">
        <w:rPr>
          <w:rFonts w:ascii="Times New Roman" w:hAnsi="Times New Roman" w:cs="Times New Roman"/>
          <w:sz w:val="24"/>
          <w:szCs w:val="24"/>
        </w:rPr>
        <w:t>Mkomba</w:t>
      </w:r>
      <w:proofErr w:type="spellEnd"/>
      <w:r w:rsidRPr="00A16D9C">
        <w:rPr>
          <w:rFonts w:ascii="Times New Roman" w:hAnsi="Times New Roman" w:cs="Times New Roman"/>
          <w:sz w:val="24"/>
          <w:szCs w:val="24"/>
        </w:rPr>
        <w:t>, 2021). However, limited studies provide a comprehensive macro-level analysis integrating multidimensional energy poverty indicators with broader household welfare outcomes over time, particularly in Nigeria.</w:t>
      </w:r>
    </w:p>
    <w:p w14:paraId="2EFA557D" w14:textId="32071C55" w:rsidR="00A16D9C" w:rsidRPr="00585D00" w:rsidRDefault="00A16D9C" w:rsidP="00585D00">
      <w:pPr>
        <w:pStyle w:val="ListParagraph"/>
        <w:numPr>
          <w:ilvl w:val="0"/>
          <w:numId w:val="1"/>
        </w:numPr>
        <w:jc w:val="both"/>
        <w:rPr>
          <w:rFonts w:ascii="Times New Roman" w:hAnsi="Times New Roman" w:cs="Times New Roman"/>
          <w:b/>
          <w:bCs/>
          <w:sz w:val="24"/>
          <w:szCs w:val="24"/>
        </w:rPr>
      </w:pPr>
      <w:r w:rsidRPr="00585D00">
        <w:rPr>
          <w:rFonts w:ascii="Times New Roman" w:hAnsi="Times New Roman" w:cs="Times New Roman"/>
          <w:b/>
          <w:bCs/>
          <w:sz w:val="24"/>
          <w:szCs w:val="24"/>
        </w:rPr>
        <w:t>Methodology</w:t>
      </w:r>
    </w:p>
    <w:p w14:paraId="7BC7A263" w14:textId="000A9676" w:rsidR="00A16D9C" w:rsidRPr="00F26FDB" w:rsidRDefault="00A16D9C" w:rsidP="00A16D9C">
      <w:pPr>
        <w:jc w:val="both"/>
        <w:rPr>
          <w:rFonts w:ascii="Times New Roman" w:hAnsi="Times New Roman" w:cs="Times New Roman"/>
          <w:b/>
          <w:bCs/>
          <w:i/>
          <w:iCs/>
          <w:sz w:val="24"/>
          <w:szCs w:val="24"/>
        </w:rPr>
      </w:pPr>
      <w:r w:rsidRPr="00F26FDB">
        <w:rPr>
          <w:rFonts w:ascii="Times New Roman" w:hAnsi="Times New Roman" w:cs="Times New Roman"/>
          <w:b/>
          <w:bCs/>
          <w:i/>
          <w:iCs/>
          <w:sz w:val="24"/>
          <w:szCs w:val="24"/>
        </w:rPr>
        <w:t>Data Source</w:t>
      </w:r>
    </w:p>
    <w:p w14:paraId="313AD15C" w14:textId="2DC4C987" w:rsidR="00A16D9C" w:rsidRDefault="00A16D9C" w:rsidP="005400B5">
      <w:pPr>
        <w:spacing w:line="240" w:lineRule="auto"/>
        <w:jc w:val="both"/>
        <w:rPr>
          <w:rFonts w:ascii="Times New Roman" w:hAnsi="Times New Roman" w:cs="Times New Roman"/>
          <w:sz w:val="24"/>
          <w:szCs w:val="24"/>
        </w:rPr>
      </w:pPr>
      <w:r w:rsidRPr="00A16D9C">
        <w:rPr>
          <w:rFonts w:ascii="Times New Roman" w:hAnsi="Times New Roman" w:cs="Times New Roman"/>
          <w:sz w:val="24"/>
          <w:szCs w:val="24"/>
        </w:rPr>
        <w:t xml:space="preserve">The study relies on secondary time-series data obtained from credible international and national databases. Data on electricity access, electricity consumption, and energy use are obtained from the International Energy Agency (IEA) and the World Bank’s World Development Indicators (WDI), while household welfare indicator such as </w:t>
      </w:r>
      <w:r w:rsidR="00FB1185">
        <w:rPr>
          <w:rFonts w:ascii="Times New Roman" w:hAnsi="Times New Roman" w:cs="Times New Roman"/>
          <w:sz w:val="24"/>
          <w:szCs w:val="24"/>
        </w:rPr>
        <w:t>household income</w:t>
      </w:r>
      <w:r w:rsidR="00914725">
        <w:rPr>
          <w:rFonts w:ascii="Times New Roman" w:hAnsi="Times New Roman" w:cs="Times New Roman"/>
          <w:sz w:val="24"/>
          <w:szCs w:val="24"/>
        </w:rPr>
        <w:t xml:space="preserve"> was</w:t>
      </w:r>
      <w:r w:rsidRPr="00A16D9C">
        <w:rPr>
          <w:rFonts w:ascii="Times New Roman" w:hAnsi="Times New Roman" w:cs="Times New Roman"/>
          <w:sz w:val="24"/>
          <w:szCs w:val="24"/>
        </w:rPr>
        <w:t xml:space="preserve"> sourced from the National Bureau of Statistics (NBS) and World Bank databases. </w:t>
      </w:r>
      <w:r w:rsidR="00F26FDB" w:rsidRPr="00F26FDB">
        <w:rPr>
          <w:rFonts w:ascii="Times New Roman" w:hAnsi="Times New Roman" w:cs="Times New Roman"/>
          <w:sz w:val="24"/>
          <w:szCs w:val="24"/>
        </w:rPr>
        <w:t>The study covers a period</w:t>
      </w:r>
      <w:r w:rsidR="00F26FDB">
        <w:rPr>
          <w:rFonts w:ascii="Times New Roman" w:hAnsi="Times New Roman" w:cs="Times New Roman"/>
          <w:sz w:val="24"/>
          <w:szCs w:val="24"/>
        </w:rPr>
        <w:t xml:space="preserve"> on </w:t>
      </w:r>
      <w:r w:rsidR="00F26FDB">
        <w:rPr>
          <w:rFonts w:ascii="Times New Roman" w:hAnsi="Times New Roman" w:cs="Times New Roman"/>
          <w:sz w:val="24"/>
          <w:szCs w:val="24"/>
        </w:rPr>
        <w:lastRenderedPageBreak/>
        <w:t>1990-202</w:t>
      </w:r>
      <w:r w:rsidR="00FB1185">
        <w:rPr>
          <w:rFonts w:ascii="Times New Roman" w:hAnsi="Times New Roman" w:cs="Times New Roman"/>
          <w:sz w:val="24"/>
          <w:szCs w:val="24"/>
        </w:rPr>
        <w:t>4</w:t>
      </w:r>
      <w:r w:rsidR="00F26FDB">
        <w:rPr>
          <w:rFonts w:ascii="Times New Roman" w:hAnsi="Times New Roman" w:cs="Times New Roman"/>
          <w:sz w:val="24"/>
          <w:szCs w:val="24"/>
        </w:rPr>
        <w:t xml:space="preserve">. This </w:t>
      </w:r>
      <w:r w:rsidR="00F26FDB" w:rsidRPr="00F26FDB">
        <w:rPr>
          <w:rFonts w:ascii="Times New Roman" w:hAnsi="Times New Roman" w:cs="Times New Roman"/>
          <w:sz w:val="24"/>
          <w:szCs w:val="24"/>
        </w:rPr>
        <w:t xml:space="preserve">period </w:t>
      </w:r>
      <w:r w:rsidR="00F26FDB">
        <w:rPr>
          <w:rFonts w:ascii="Times New Roman" w:hAnsi="Times New Roman" w:cs="Times New Roman"/>
          <w:sz w:val="24"/>
          <w:szCs w:val="24"/>
        </w:rPr>
        <w:t xml:space="preserve">is </w:t>
      </w:r>
      <w:r w:rsidR="00F26FDB" w:rsidRPr="00F26FDB">
        <w:rPr>
          <w:rFonts w:ascii="Times New Roman" w:hAnsi="Times New Roman" w:cs="Times New Roman"/>
          <w:sz w:val="24"/>
          <w:szCs w:val="24"/>
        </w:rPr>
        <w:t>sufficient to capture structural changes in Nigeria’s energy sector and welfare outcomes, typically spanning several decades depending on data availability.</w:t>
      </w:r>
    </w:p>
    <w:p w14:paraId="6618B6D1" w14:textId="23D940BF" w:rsidR="00F26FDB" w:rsidRDefault="00F26FDB" w:rsidP="00A16D9C">
      <w:pPr>
        <w:jc w:val="both"/>
        <w:rPr>
          <w:rFonts w:ascii="Times New Roman" w:hAnsi="Times New Roman" w:cs="Times New Roman"/>
          <w:b/>
          <w:bCs/>
          <w:i/>
          <w:iCs/>
          <w:sz w:val="24"/>
          <w:szCs w:val="24"/>
        </w:rPr>
      </w:pPr>
      <w:r w:rsidRPr="00F26FDB">
        <w:rPr>
          <w:rFonts w:ascii="Times New Roman" w:hAnsi="Times New Roman" w:cs="Times New Roman"/>
          <w:b/>
          <w:bCs/>
          <w:i/>
          <w:iCs/>
          <w:sz w:val="24"/>
          <w:szCs w:val="24"/>
        </w:rPr>
        <w:t>Model Specification</w:t>
      </w:r>
    </w:p>
    <w:p w14:paraId="6F168F2E" w14:textId="77777777" w:rsidR="00CB67C8" w:rsidRPr="00CB67C8" w:rsidRDefault="00CB67C8"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B67C8">
        <w:rPr>
          <w:rFonts w:ascii="Times New Roman" w:eastAsia="Times New Roman" w:hAnsi="Times New Roman" w:cs="Times New Roman"/>
          <w:sz w:val="24"/>
          <w:szCs w:val="24"/>
          <w:lang w:eastAsia="en-GB"/>
        </w:rPr>
        <w:t xml:space="preserve">The model specification for this study is adapted from the empirical frameworks used by </w:t>
      </w:r>
      <w:proofErr w:type="spellStart"/>
      <w:r w:rsidRPr="00CB67C8">
        <w:rPr>
          <w:rFonts w:ascii="Times New Roman" w:eastAsia="Times New Roman" w:hAnsi="Times New Roman" w:cs="Times New Roman"/>
          <w:sz w:val="24"/>
          <w:szCs w:val="24"/>
          <w:lang w:eastAsia="en-GB"/>
        </w:rPr>
        <w:t>Nteegah</w:t>
      </w:r>
      <w:proofErr w:type="spellEnd"/>
      <w:r w:rsidRPr="00CB67C8">
        <w:rPr>
          <w:rFonts w:ascii="Times New Roman" w:eastAsia="Times New Roman" w:hAnsi="Times New Roman" w:cs="Times New Roman"/>
          <w:sz w:val="24"/>
          <w:szCs w:val="24"/>
          <w:lang w:eastAsia="en-GB"/>
        </w:rPr>
        <w:t xml:space="preserve"> and </w:t>
      </w:r>
      <w:proofErr w:type="spellStart"/>
      <w:r w:rsidRPr="00CB67C8">
        <w:rPr>
          <w:rFonts w:ascii="Times New Roman" w:eastAsia="Times New Roman" w:hAnsi="Times New Roman" w:cs="Times New Roman"/>
          <w:sz w:val="24"/>
          <w:szCs w:val="24"/>
          <w:lang w:eastAsia="en-GB"/>
        </w:rPr>
        <w:t>Ihejirika</w:t>
      </w:r>
      <w:proofErr w:type="spellEnd"/>
      <w:r w:rsidRPr="00CB67C8">
        <w:rPr>
          <w:rFonts w:ascii="Times New Roman" w:eastAsia="Times New Roman" w:hAnsi="Times New Roman" w:cs="Times New Roman"/>
          <w:sz w:val="24"/>
          <w:szCs w:val="24"/>
          <w:lang w:eastAsia="en-GB"/>
        </w:rPr>
        <w:t xml:space="preserve"> (2024) and Ogbeide-Osaretin (2021), who examined the relationship between energy access and poverty reduction using an Autoregressive Distributed Lag (ARDL) framework. The present study extends and modifies their model to capture the impact of energy poverty indicators on household welfare in Nigeria. The modification is necessary because energy poverty is a multidimensional phenomenon that can influence welfare through different channels such as electricity access, electricity consumption, and the actual utilization of electricity for household and productive purposes.</w:t>
      </w:r>
    </w:p>
    <w:p w14:paraId="4F7FC0D6" w14:textId="0BE8A7B4" w:rsidR="00CB67C8" w:rsidRPr="00CB67C8" w:rsidRDefault="00AF4B28"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F4B28">
        <w:rPr>
          <w:rFonts w:ascii="Times New Roman" w:eastAsia="Times New Roman" w:hAnsi="Times New Roman" w:cs="Times New Roman"/>
          <w:sz w:val="24"/>
          <w:szCs w:val="24"/>
          <w:lang w:eastAsia="en-GB"/>
        </w:rPr>
        <w:t>Conceptually, household welfare is assumed to be a function of energy poverty indicators because access to modern and reliable energy services influences households’ living standards, productivity, health conditions, and overall well-being (</w:t>
      </w:r>
      <w:proofErr w:type="spellStart"/>
      <w:r w:rsidRPr="00AF4B28">
        <w:rPr>
          <w:rFonts w:ascii="Times New Roman" w:eastAsia="Times New Roman" w:hAnsi="Times New Roman" w:cs="Times New Roman"/>
          <w:sz w:val="24"/>
          <w:szCs w:val="24"/>
          <w:lang w:eastAsia="en-GB"/>
        </w:rPr>
        <w:t>Nussbaumer</w:t>
      </w:r>
      <w:proofErr w:type="spellEnd"/>
      <w:r w:rsidRPr="00AF4B28">
        <w:rPr>
          <w:rFonts w:ascii="Times New Roman" w:eastAsia="Times New Roman" w:hAnsi="Times New Roman" w:cs="Times New Roman"/>
          <w:sz w:val="24"/>
          <w:szCs w:val="24"/>
          <w:lang w:eastAsia="en-GB"/>
        </w:rPr>
        <w:t xml:space="preserve">, </w:t>
      </w:r>
      <w:proofErr w:type="spellStart"/>
      <w:r w:rsidRPr="00AF4B28">
        <w:rPr>
          <w:rFonts w:ascii="Times New Roman" w:eastAsia="Times New Roman" w:hAnsi="Times New Roman" w:cs="Times New Roman"/>
          <w:sz w:val="24"/>
          <w:szCs w:val="24"/>
          <w:lang w:eastAsia="en-GB"/>
        </w:rPr>
        <w:t>Bazilian</w:t>
      </w:r>
      <w:proofErr w:type="spellEnd"/>
      <w:r w:rsidRPr="00AF4B28">
        <w:rPr>
          <w:rFonts w:ascii="Times New Roman" w:eastAsia="Times New Roman" w:hAnsi="Times New Roman" w:cs="Times New Roman"/>
          <w:sz w:val="24"/>
          <w:szCs w:val="24"/>
          <w:lang w:eastAsia="en-GB"/>
        </w:rPr>
        <w:t xml:space="preserve">, &amp; Modi, 2012; </w:t>
      </w:r>
      <w:proofErr w:type="spellStart"/>
      <w:r w:rsidRPr="00AF4B28">
        <w:rPr>
          <w:rFonts w:ascii="Times New Roman" w:eastAsia="Times New Roman" w:hAnsi="Times New Roman" w:cs="Times New Roman"/>
          <w:sz w:val="24"/>
          <w:szCs w:val="24"/>
          <w:lang w:eastAsia="en-GB"/>
        </w:rPr>
        <w:t>Sovacool</w:t>
      </w:r>
      <w:proofErr w:type="spellEnd"/>
      <w:r w:rsidRPr="00AF4B28">
        <w:rPr>
          <w:rFonts w:ascii="Times New Roman" w:eastAsia="Times New Roman" w:hAnsi="Times New Roman" w:cs="Times New Roman"/>
          <w:sz w:val="24"/>
          <w:szCs w:val="24"/>
          <w:lang w:eastAsia="en-GB"/>
        </w:rPr>
        <w:t xml:space="preserve">, Burke, Baker, </w:t>
      </w:r>
      <w:proofErr w:type="spellStart"/>
      <w:r w:rsidRPr="00AF4B28">
        <w:rPr>
          <w:rFonts w:ascii="Times New Roman" w:eastAsia="Times New Roman" w:hAnsi="Times New Roman" w:cs="Times New Roman"/>
          <w:sz w:val="24"/>
          <w:szCs w:val="24"/>
          <w:lang w:eastAsia="en-GB"/>
        </w:rPr>
        <w:t>Kotikalapudi</w:t>
      </w:r>
      <w:proofErr w:type="spellEnd"/>
      <w:r w:rsidRPr="00AF4B28">
        <w:rPr>
          <w:rFonts w:ascii="Times New Roman" w:eastAsia="Times New Roman" w:hAnsi="Times New Roman" w:cs="Times New Roman"/>
          <w:sz w:val="24"/>
          <w:szCs w:val="24"/>
          <w:lang w:eastAsia="en-GB"/>
        </w:rPr>
        <w:t xml:space="preserve">, &amp; </w:t>
      </w:r>
      <w:proofErr w:type="spellStart"/>
      <w:r w:rsidRPr="00AF4B28">
        <w:rPr>
          <w:rFonts w:ascii="Times New Roman" w:eastAsia="Times New Roman" w:hAnsi="Times New Roman" w:cs="Times New Roman"/>
          <w:sz w:val="24"/>
          <w:szCs w:val="24"/>
          <w:lang w:eastAsia="en-GB"/>
        </w:rPr>
        <w:t>Wlokas</w:t>
      </w:r>
      <w:proofErr w:type="spellEnd"/>
      <w:r w:rsidRPr="00AF4B28">
        <w:rPr>
          <w:rFonts w:ascii="Times New Roman" w:eastAsia="Times New Roman" w:hAnsi="Times New Roman" w:cs="Times New Roman"/>
          <w:sz w:val="24"/>
          <w:szCs w:val="24"/>
          <w:lang w:eastAsia="en-GB"/>
        </w:rPr>
        <w:t>, 2017)</w:t>
      </w:r>
      <w:r w:rsidR="00CB67C8" w:rsidRPr="00CB67C8">
        <w:rPr>
          <w:rFonts w:ascii="Times New Roman" w:eastAsia="Times New Roman" w:hAnsi="Times New Roman" w:cs="Times New Roman"/>
          <w:sz w:val="24"/>
          <w:szCs w:val="24"/>
          <w:lang w:eastAsia="en-GB"/>
        </w:rPr>
        <w:t>. This relationship is expressed in functional form as:</w:t>
      </w:r>
    </w:p>
    <w:p w14:paraId="4E03AA7A" w14:textId="119E8BC4" w:rsidR="00E45A7A" w:rsidRPr="00E45A7A" w:rsidRDefault="00CB67C8" w:rsidP="00E45A7A">
      <w:pPr>
        <w:spacing w:after="0" w:line="240" w:lineRule="auto"/>
        <w:jc w:val="center"/>
        <w:rPr>
          <w:rFonts w:ascii="Times New Roman" w:eastAsia="Times New Roman" w:hAnsi="Times New Roman" w:cs="Times New Roman"/>
          <w:i/>
          <w:iCs/>
          <w:sz w:val="24"/>
          <w:szCs w:val="24"/>
          <w:lang w:eastAsia="en-GB"/>
        </w:rPr>
      </w:pPr>
      <w:r w:rsidRPr="00CB67C8">
        <w:rPr>
          <w:rFonts w:ascii="Times New Roman" w:eastAsia="Times New Roman" w:hAnsi="Times New Roman" w:cs="Times New Roman"/>
          <w:i/>
          <w:iCs/>
          <w:sz w:val="24"/>
          <w:szCs w:val="24"/>
          <w:lang w:eastAsia="en-GB"/>
        </w:rPr>
        <w:t>HW=</w:t>
      </w:r>
      <w:r w:rsidR="00E45A7A" w:rsidRPr="00E45A7A">
        <w:rPr>
          <w:rFonts w:ascii="Times New Roman" w:eastAsia="Times New Roman" w:hAnsi="Times New Roman" w:cs="Times New Roman"/>
          <w:i/>
          <w:iCs/>
          <w:sz w:val="24"/>
          <w:szCs w:val="24"/>
          <w:lang w:eastAsia="en-GB"/>
        </w:rPr>
        <w:t xml:space="preserve"> </w:t>
      </w:r>
      <w:r w:rsidRPr="00CB67C8">
        <w:rPr>
          <w:rFonts w:ascii="Times New Roman" w:eastAsia="Times New Roman" w:hAnsi="Times New Roman" w:cs="Times New Roman"/>
          <w:i/>
          <w:iCs/>
          <w:sz w:val="24"/>
          <w:szCs w:val="24"/>
          <w:lang w:eastAsia="en-GB"/>
        </w:rPr>
        <w:t>f</w:t>
      </w:r>
      <w:r w:rsidR="00E45A7A" w:rsidRPr="00E45A7A">
        <w:rPr>
          <w:rFonts w:ascii="Times New Roman" w:eastAsia="Times New Roman" w:hAnsi="Times New Roman" w:cs="Times New Roman"/>
          <w:i/>
          <w:iCs/>
          <w:sz w:val="24"/>
          <w:szCs w:val="24"/>
          <w:lang w:eastAsia="en-GB"/>
        </w:rPr>
        <w:t xml:space="preserve"> </w:t>
      </w:r>
      <w:r w:rsidRPr="00CB67C8">
        <w:rPr>
          <w:rFonts w:ascii="Times New Roman" w:eastAsia="Times New Roman" w:hAnsi="Times New Roman" w:cs="Times New Roman"/>
          <w:i/>
          <w:iCs/>
          <w:sz w:val="24"/>
          <w:szCs w:val="24"/>
          <w:lang w:eastAsia="en-GB"/>
        </w:rPr>
        <w:t>(EP)</w:t>
      </w:r>
      <w:r w:rsidR="00E45A7A" w:rsidRPr="00E45A7A">
        <w:rPr>
          <w:rFonts w:ascii="Times New Roman" w:eastAsia="Times New Roman" w:hAnsi="Times New Roman" w:cs="Times New Roman"/>
          <w:i/>
          <w:iCs/>
          <w:sz w:val="24"/>
          <w:szCs w:val="24"/>
          <w:lang w:eastAsia="en-GB"/>
        </w:rPr>
        <w:tab/>
      </w:r>
      <w:r w:rsidR="00E45A7A" w:rsidRPr="00E45A7A">
        <w:rPr>
          <w:rFonts w:ascii="Times New Roman" w:eastAsia="Times New Roman" w:hAnsi="Times New Roman" w:cs="Times New Roman"/>
          <w:i/>
          <w:iCs/>
          <w:sz w:val="24"/>
          <w:szCs w:val="24"/>
          <w:lang w:eastAsia="en-GB"/>
        </w:rPr>
        <w:tab/>
      </w:r>
      <w:r w:rsidR="00E45A7A" w:rsidRPr="00E45A7A">
        <w:rPr>
          <w:rFonts w:ascii="Times New Roman" w:eastAsia="Times New Roman" w:hAnsi="Times New Roman" w:cs="Times New Roman"/>
          <w:i/>
          <w:iCs/>
          <w:sz w:val="24"/>
          <w:szCs w:val="24"/>
          <w:lang w:eastAsia="en-GB"/>
        </w:rPr>
        <w:tab/>
      </w:r>
      <w:r w:rsidR="00E45A7A" w:rsidRPr="00E45A7A">
        <w:rPr>
          <w:rFonts w:ascii="Times New Roman" w:eastAsia="Times New Roman" w:hAnsi="Times New Roman" w:cs="Times New Roman"/>
          <w:i/>
          <w:iCs/>
          <w:sz w:val="24"/>
          <w:szCs w:val="24"/>
          <w:lang w:eastAsia="en-GB"/>
        </w:rPr>
        <w:tab/>
      </w:r>
      <w:r w:rsidR="00E45A7A" w:rsidRPr="00E45A7A">
        <w:rPr>
          <w:rFonts w:ascii="Times New Roman" w:eastAsia="Times New Roman" w:hAnsi="Times New Roman" w:cs="Times New Roman"/>
          <w:i/>
          <w:iCs/>
          <w:sz w:val="24"/>
          <w:szCs w:val="24"/>
          <w:lang w:eastAsia="en-GB"/>
        </w:rPr>
        <w:tab/>
      </w:r>
      <w:proofErr w:type="spellStart"/>
      <w:r w:rsidR="00E45A7A" w:rsidRPr="00E45A7A">
        <w:rPr>
          <w:rFonts w:ascii="Times New Roman" w:eastAsia="Times New Roman" w:hAnsi="Times New Roman" w:cs="Times New Roman"/>
          <w:i/>
          <w:iCs/>
          <w:sz w:val="24"/>
          <w:szCs w:val="24"/>
          <w:lang w:eastAsia="en-GB"/>
        </w:rPr>
        <w:t>eq</w:t>
      </w:r>
      <w:proofErr w:type="spellEnd"/>
      <w:r w:rsidR="00E45A7A" w:rsidRPr="00E45A7A">
        <w:rPr>
          <w:rFonts w:ascii="Times New Roman" w:eastAsia="Times New Roman" w:hAnsi="Times New Roman" w:cs="Times New Roman"/>
          <w:i/>
          <w:iCs/>
          <w:sz w:val="24"/>
          <w:szCs w:val="24"/>
          <w:lang w:eastAsia="en-GB"/>
        </w:rPr>
        <w:t xml:space="preserve"> (1)</w:t>
      </w:r>
    </w:p>
    <w:p w14:paraId="207E4F26" w14:textId="1B6D5FDF" w:rsidR="00CB67C8" w:rsidRPr="00CB67C8" w:rsidRDefault="00CB67C8" w:rsidP="00E45A7A">
      <w:pPr>
        <w:spacing w:after="0" w:line="240" w:lineRule="auto"/>
        <w:jc w:val="both"/>
        <w:rPr>
          <w:rFonts w:ascii="Times New Roman" w:eastAsia="Times New Roman" w:hAnsi="Times New Roman" w:cs="Times New Roman"/>
          <w:sz w:val="24"/>
          <w:szCs w:val="24"/>
          <w:lang w:eastAsia="en-GB"/>
        </w:rPr>
      </w:pPr>
      <w:r w:rsidRPr="00CB67C8">
        <w:rPr>
          <w:rFonts w:ascii="Times New Roman" w:eastAsia="Times New Roman" w:hAnsi="Times New Roman" w:cs="Times New Roman"/>
          <w:sz w:val="24"/>
          <w:szCs w:val="24"/>
          <w:lang w:eastAsia="en-GB"/>
        </w:rPr>
        <w:t>Where:</w:t>
      </w:r>
    </w:p>
    <w:p w14:paraId="63A1AD07" w14:textId="4B50DB8C" w:rsidR="00CB67C8" w:rsidRPr="00CB67C8" w:rsidRDefault="00CB67C8"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B67C8">
        <w:rPr>
          <w:rFonts w:ascii="Times New Roman" w:eastAsia="Times New Roman" w:hAnsi="Times New Roman" w:cs="Times New Roman"/>
          <w:sz w:val="24"/>
          <w:szCs w:val="24"/>
          <w:lang w:eastAsia="en-GB"/>
        </w:rPr>
        <w:t>HW represents household welfare</w:t>
      </w:r>
      <w:r w:rsidR="009C5856">
        <w:rPr>
          <w:rFonts w:ascii="Times New Roman" w:eastAsia="Times New Roman" w:hAnsi="Times New Roman" w:cs="Times New Roman"/>
          <w:sz w:val="24"/>
          <w:szCs w:val="24"/>
          <w:lang w:eastAsia="en-GB"/>
        </w:rPr>
        <w:t xml:space="preserve"> (measured through </w:t>
      </w:r>
      <w:r w:rsidR="00D35C9C">
        <w:rPr>
          <w:rFonts w:ascii="Times New Roman" w:eastAsia="Times New Roman" w:hAnsi="Times New Roman" w:cs="Times New Roman"/>
          <w:sz w:val="24"/>
          <w:szCs w:val="24"/>
          <w:lang w:eastAsia="en-GB"/>
        </w:rPr>
        <w:t>GDP per capita income</w:t>
      </w:r>
      <w:r w:rsidR="009C5856">
        <w:rPr>
          <w:rFonts w:ascii="Times New Roman" w:eastAsia="Times New Roman" w:hAnsi="Times New Roman" w:cs="Times New Roman"/>
          <w:sz w:val="24"/>
          <w:szCs w:val="24"/>
          <w:lang w:eastAsia="en-GB"/>
        </w:rPr>
        <w:t>)</w:t>
      </w:r>
      <w:r w:rsidRPr="00CB67C8">
        <w:rPr>
          <w:rFonts w:ascii="Times New Roman" w:eastAsia="Times New Roman" w:hAnsi="Times New Roman" w:cs="Times New Roman"/>
          <w:sz w:val="24"/>
          <w:szCs w:val="24"/>
          <w:lang w:eastAsia="en-GB"/>
        </w:rPr>
        <w:t>,</w:t>
      </w:r>
      <w:r w:rsidR="009E7BE6">
        <w:rPr>
          <w:rFonts w:ascii="Times New Roman" w:eastAsia="Times New Roman" w:hAnsi="Times New Roman" w:cs="Times New Roman"/>
          <w:sz w:val="24"/>
          <w:szCs w:val="24"/>
          <w:lang w:eastAsia="en-GB"/>
        </w:rPr>
        <w:t xml:space="preserve"> and </w:t>
      </w:r>
      <w:r w:rsidRPr="00CB67C8">
        <w:rPr>
          <w:rFonts w:ascii="Times New Roman" w:eastAsia="Times New Roman" w:hAnsi="Times New Roman" w:cs="Times New Roman"/>
          <w:sz w:val="24"/>
          <w:szCs w:val="24"/>
          <w:lang w:eastAsia="en-GB"/>
        </w:rPr>
        <w:t>EP represents energy poverty indicators.</w:t>
      </w:r>
    </w:p>
    <w:p w14:paraId="4C77DC9B" w14:textId="529E8072" w:rsidR="00CB67C8" w:rsidRPr="00CB67C8" w:rsidRDefault="00153900"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w:t>
      </w:r>
      <w:r w:rsidR="00EB422D" w:rsidRPr="00EB422D">
        <w:rPr>
          <w:rFonts w:ascii="Times New Roman" w:eastAsia="Times New Roman" w:hAnsi="Times New Roman" w:cs="Times New Roman"/>
          <w:sz w:val="24"/>
          <w:szCs w:val="24"/>
          <w:lang w:eastAsia="en-GB"/>
        </w:rPr>
        <w:t xml:space="preserve">n this study, energy poverty (EP) is operationalized through three key indicators: electricity access (EA), electricity consumption (EC), and </w:t>
      </w:r>
      <w:r w:rsidR="00853AE4">
        <w:rPr>
          <w:rFonts w:ascii="Times New Roman" w:eastAsia="Times New Roman" w:hAnsi="Times New Roman" w:cs="Times New Roman"/>
          <w:sz w:val="24"/>
          <w:szCs w:val="24"/>
          <w:lang w:eastAsia="en-GB"/>
        </w:rPr>
        <w:t>energy use</w:t>
      </w:r>
      <w:r w:rsidR="00EB422D" w:rsidRPr="00EB422D">
        <w:rPr>
          <w:rFonts w:ascii="Times New Roman" w:eastAsia="Times New Roman" w:hAnsi="Times New Roman" w:cs="Times New Roman"/>
          <w:sz w:val="24"/>
          <w:szCs w:val="24"/>
          <w:lang w:eastAsia="en-GB"/>
        </w:rPr>
        <w:t xml:space="preserve"> (E</w:t>
      </w:r>
      <w:r w:rsidR="00853AE4">
        <w:rPr>
          <w:rFonts w:ascii="Times New Roman" w:eastAsia="Times New Roman" w:hAnsi="Times New Roman" w:cs="Times New Roman"/>
          <w:sz w:val="24"/>
          <w:szCs w:val="24"/>
          <w:lang w:eastAsia="en-GB"/>
        </w:rPr>
        <w:t>U</w:t>
      </w:r>
      <w:r w:rsidR="00EB422D" w:rsidRPr="00EB422D">
        <w:rPr>
          <w:rFonts w:ascii="Times New Roman" w:eastAsia="Times New Roman" w:hAnsi="Times New Roman" w:cs="Times New Roman"/>
          <w:sz w:val="24"/>
          <w:szCs w:val="24"/>
          <w:lang w:eastAsia="en-GB"/>
        </w:rPr>
        <w:t xml:space="preserve">), which collectively capture both the availability and intensity of energy services at the household level. Electricity access (EA) reflects whether households are connected to the national grid or alternative electricity sources, serving as a fundamental prerequisite for engaging in productive, educational, and domestic activities (Pachauri &amp; </w:t>
      </w:r>
      <w:proofErr w:type="spellStart"/>
      <w:r w:rsidR="00EB422D" w:rsidRPr="00EB422D">
        <w:rPr>
          <w:rFonts w:ascii="Times New Roman" w:eastAsia="Times New Roman" w:hAnsi="Times New Roman" w:cs="Times New Roman"/>
          <w:sz w:val="24"/>
          <w:szCs w:val="24"/>
          <w:lang w:eastAsia="en-GB"/>
        </w:rPr>
        <w:t>Spreng</w:t>
      </w:r>
      <w:proofErr w:type="spellEnd"/>
      <w:r w:rsidR="00EB422D" w:rsidRPr="00EB422D">
        <w:rPr>
          <w:rFonts w:ascii="Times New Roman" w:eastAsia="Times New Roman" w:hAnsi="Times New Roman" w:cs="Times New Roman"/>
          <w:sz w:val="24"/>
          <w:szCs w:val="24"/>
          <w:lang w:eastAsia="en-GB"/>
        </w:rPr>
        <w:t xml:space="preserve">, 2011; </w:t>
      </w:r>
      <w:proofErr w:type="spellStart"/>
      <w:r w:rsidR="00EB422D" w:rsidRPr="00EB422D">
        <w:rPr>
          <w:rFonts w:ascii="Times New Roman" w:eastAsia="Times New Roman" w:hAnsi="Times New Roman" w:cs="Times New Roman"/>
          <w:sz w:val="24"/>
          <w:szCs w:val="24"/>
          <w:lang w:eastAsia="en-GB"/>
        </w:rPr>
        <w:t>Ashagidigbi</w:t>
      </w:r>
      <w:proofErr w:type="spellEnd"/>
      <w:r w:rsidR="00EB422D" w:rsidRPr="00EB422D">
        <w:rPr>
          <w:rFonts w:ascii="Times New Roman" w:eastAsia="Times New Roman" w:hAnsi="Times New Roman" w:cs="Times New Roman"/>
          <w:sz w:val="24"/>
          <w:szCs w:val="24"/>
          <w:lang w:eastAsia="en-GB"/>
        </w:rPr>
        <w:t xml:space="preserve"> et al., 2020).</w:t>
      </w:r>
      <w:r w:rsidR="00EB422D">
        <w:rPr>
          <w:rFonts w:ascii="Times New Roman" w:eastAsia="Times New Roman" w:hAnsi="Times New Roman" w:cs="Times New Roman"/>
          <w:sz w:val="24"/>
          <w:szCs w:val="24"/>
          <w:lang w:eastAsia="en-GB"/>
        </w:rPr>
        <w:t xml:space="preserve"> </w:t>
      </w:r>
      <w:r w:rsidR="00CB67C8" w:rsidRPr="00CB67C8">
        <w:rPr>
          <w:rFonts w:ascii="Times New Roman" w:eastAsia="Times New Roman" w:hAnsi="Times New Roman" w:cs="Times New Roman"/>
          <w:sz w:val="24"/>
          <w:szCs w:val="24"/>
          <w:lang w:eastAsia="en-GB"/>
        </w:rPr>
        <w:t xml:space="preserve">In addition, </w:t>
      </w:r>
      <w:r w:rsidR="00137A53">
        <w:rPr>
          <w:rFonts w:ascii="Times New Roman" w:eastAsia="Times New Roman" w:hAnsi="Times New Roman" w:cs="Times New Roman"/>
          <w:sz w:val="24"/>
          <w:szCs w:val="24"/>
          <w:lang w:eastAsia="en-GB"/>
        </w:rPr>
        <w:t xml:space="preserve">electricity generation (EG), and </w:t>
      </w:r>
      <w:r w:rsidR="00CB67C8" w:rsidRPr="00CB67C8">
        <w:rPr>
          <w:rFonts w:ascii="Times New Roman" w:eastAsia="Times New Roman" w:hAnsi="Times New Roman" w:cs="Times New Roman"/>
          <w:sz w:val="24"/>
          <w:szCs w:val="24"/>
          <w:lang w:eastAsia="en-GB"/>
        </w:rPr>
        <w:t xml:space="preserve">inflation (IF) </w:t>
      </w:r>
      <w:r w:rsidR="00137A53">
        <w:rPr>
          <w:rFonts w:ascii="Times New Roman" w:eastAsia="Times New Roman" w:hAnsi="Times New Roman" w:cs="Times New Roman"/>
          <w:sz w:val="24"/>
          <w:szCs w:val="24"/>
          <w:lang w:eastAsia="en-GB"/>
        </w:rPr>
        <w:t>are</w:t>
      </w:r>
      <w:r w:rsidR="00CB67C8" w:rsidRPr="00CB67C8">
        <w:rPr>
          <w:rFonts w:ascii="Times New Roman" w:eastAsia="Times New Roman" w:hAnsi="Times New Roman" w:cs="Times New Roman"/>
          <w:sz w:val="24"/>
          <w:szCs w:val="24"/>
          <w:lang w:eastAsia="en-GB"/>
        </w:rPr>
        <w:t xml:space="preserve"> incorporated as control variable</w:t>
      </w:r>
      <w:r w:rsidR="00137A53">
        <w:rPr>
          <w:rFonts w:ascii="Times New Roman" w:eastAsia="Times New Roman" w:hAnsi="Times New Roman" w:cs="Times New Roman"/>
          <w:sz w:val="24"/>
          <w:szCs w:val="24"/>
          <w:lang w:eastAsia="en-GB"/>
        </w:rPr>
        <w:t>s.</w:t>
      </w:r>
      <w:r w:rsidR="00CB67C8" w:rsidRPr="00CB67C8">
        <w:rPr>
          <w:rFonts w:ascii="Times New Roman" w:eastAsia="Times New Roman" w:hAnsi="Times New Roman" w:cs="Times New Roman"/>
          <w:sz w:val="24"/>
          <w:szCs w:val="24"/>
          <w:lang w:eastAsia="en-GB"/>
        </w:rPr>
        <w:t xml:space="preserve"> </w:t>
      </w:r>
      <w:r w:rsidR="00137A53">
        <w:rPr>
          <w:rFonts w:ascii="Times New Roman" w:eastAsia="Times New Roman" w:hAnsi="Times New Roman" w:cs="Times New Roman"/>
          <w:sz w:val="24"/>
          <w:szCs w:val="24"/>
          <w:lang w:eastAsia="en-GB"/>
        </w:rPr>
        <w:t>While, electricity generation accounts for</w:t>
      </w:r>
      <w:r w:rsidR="00137A53" w:rsidRPr="00137A53">
        <w:rPr>
          <w:rFonts w:ascii="Times New Roman" w:eastAsia="Times New Roman" w:hAnsi="Times New Roman" w:cs="Times New Roman"/>
          <w:sz w:val="24"/>
          <w:szCs w:val="24"/>
          <w:lang w:eastAsia="en-GB"/>
        </w:rPr>
        <w:t xml:space="preserve"> the overall capacity and availability of electricity produced within the economy, which determines the extent to which households can access reliable power for daily activities (Chakravorty, Pelli, &amp; Marchand, 2014)</w:t>
      </w:r>
      <w:r w:rsidR="00137A53">
        <w:rPr>
          <w:rFonts w:ascii="Times New Roman" w:eastAsia="Times New Roman" w:hAnsi="Times New Roman" w:cs="Times New Roman"/>
          <w:sz w:val="24"/>
          <w:szCs w:val="24"/>
          <w:lang w:eastAsia="en-GB"/>
        </w:rPr>
        <w:t xml:space="preserve">, inflation </w:t>
      </w:r>
      <w:r w:rsidR="00CB67C8" w:rsidRPr="00CB67C8">
        <w:rPr>
          <w:rFonts w:ascii="Times New Roman" w:eastAsia="Times New Roman" w:hAnsi="Times New Roman" w:cs="Times New Roman"/>
          <w:sz w:val="24"/>
          <w:szCs w:val="24"/>
          <w:lang w:eastAsia="en-GB"/>
        </w:rPr>
        <w:t>account for broader macroeconomic conditions that may influence household welfare independent of energy factors. Thus, the functional relationship is re-specified as:</w:t>
      </w:r>
    </w:p>
    <w:p w14:paraId="2D56F1D6" w14:textId="61E389AB" w:rsidR="00CB67C8" w:rsidRPr="00CB67C8" w:rsidRDefault="00CB67C8" w:rsidP="00E45A7A">
      <w:pPr>
        <w:spacing w:after="0" w:line="240" w:lineRule="auto"/>
        <w:jc w:val="center"/>
        <w:rPr>
          <w:rFonts w:ascii="Times New Roman" w:eastAsia="Times New Roman" w:hAnsi="Times New Roman" w:cs="Times New Roman"/>
          <w:i/>
          <w:iCs/>
          <w:sz w:val="24"/>
          <w:szCs w:val="24"/>
          <w:lang w:eastAsia="en-GB"/>
        </w:rPr>
      </w:pPr>
      <w:r w:rsidRPr="00CB67C8">
        <w:rPr>
          <w:rFonts w:ascii="Times New Roman" w:eastAsia="Times New Roman" w:hAnsi="Times New Roman" w:cs="Times New Roman"/>
          <w:i/>
          <w:iCs/>
          <w:sz w:val="24"/>
          <w:szCs w:val="24"/>
          <w:lang w:eastAsia="en-GB"/>
        </w:rPr>
        <w:t>HW=</w:t>
      </w:r>
      <w:r w:rsidR="00E45A7A" w:rsidRPr="00E45A7A">
        <w:rPr>
          <w:rFonts w:ascii="Times New Roman" w:eastAsia="Times New Roman" w:hAnsi="Times New Roman" w:cs="Times New Roman"/>
          <w:i/>
          <w:iCs/>
          <w:sz w:val="24"/>
          <w:szCs w:val="24"/>
          <w:lang w:eastAsia="en-GB"/>
        </w:rPr>
        <w:t xml:space="preserve">f (EA, EC, </w:t>
      </w:r>
      <w:r w:rsidR="00137A53">
        <w:rPr>
          <w:rFonts w:ascii="Times New Roman" w:eastAsia="Times New Roman" w:hAnsi="Times New Roman" w:cs="Times New Roman"/>
          <w:i/>
          <w:iCs/>
          <w:sz w:val="24"/>
          <w:szCs w:val="24"/>
          <w:lang w:eastAsia="en-GB"/>
        </w:rPr>
        <w:t xml:space="preserve">EU, </w:t>
      </w:r>
      <w:r w:rsidR="00E45A7A" w:rsidRPr="00E45A7A">
        <w:rPr>
          <w:rFonts w:ascii="Times New Roman" w:eastAsia="Times New Roman" w:hAnsi="Times New Roman" w:cs="Times New Roman"/>
          <w:i/>
          <w:iCs/>
          <w:sz w:val="24"/>
          <w:szCs w:val="24"/>
          <w:lang w:eastAsia="en-GB"/>
        </w:rPr>
        <w:t>E</w:t>
      </w:r>
      <w:r w:rsidR="00867435">
        <w:rPr>
          <w:rFonts w:ascii="Times New Roman" w:eastAsia="Times New Roman" w:hAnsi="Times New Roman" w:cs="Times New Roman"/>
          <w:i/>
          <w:iCs/>
          <w:sz w:val="24"/>
          <w:szCs w:val="24"/>
          <w:lang w:eastAsia="en-GB"/>
        </w:rPr>
        <w:t>G</w:t>
      </w:r>
      <w:r w:rsidR="00E45A7A" w:rsidRPr="00E45A7A">
        <w:rPr>
          <w:rFonts w:ascii="Times New Roman" w:eastAsia="Times New Roman" w:hAnsi="Times New Roman" w:cs="Times New Roman"/>
          <w:i/>
          <w:iCs/>
          <w:sz w:val="24"/>
          <w:szCs w:val="24"/>
          <w:lang w:eastAsia="en-GB"/>
        </w:rPr>
        <w:t xml:space="preserve">, </w:t>
      </w:r>
      <w:proofErr w:type="gramStart"/>
      <w:r w:rsidR="00AF4B28" w:rsidRPr="00E45A7A">
        <w:rPr>
          <w:rFonts w:ascii="Times New Roman" w:eastAsia="Times New Roman" w:hAnsi="Times New Roman" w:cs="Times New Roman"/>
          <w:i/>
          <w:iCs/>
          <w:sz w:val="24"/>
          <w:szCs w:val="24"/>
          <w:lang w:eastAsia="en-GB"/>
        </w:rPr>
        <w:t>IF</w:t>
      </w:r>
      <w:r w:rsidR="00AF4B28" w:rsidRPr="00CB67C8">
        <w:rPr>
          <w:rFonts w:ascii="Times New Roman" w:eastAsia="Times New Roman" w:hAnsi="Times New Roman" w:cs="Times New Roman"/>
          <w:i/>
          <w:iCs/>
          <w:sz w:val="24"/>
          <w:szCs w:val="24"/>
          <w:lang w:eastAsia="en-GB"/>
        </w:rPr>
        <w:t>)</w:t>
      </w:r>
      <w:r w:rsidR="00AF4B28" w:rsidRPr="00E45A7A">
        <w:rPr>
          <w:rFonts w:ascii="Times New Roman" w:eastAsia="Times New Roman" w:hAnsi="Times New Roman" w:cs="Times New Roman"/>
          <w:i/>
          <w:iCs/>
          <w:sz w:val="24"/>
          <w:szCs w:val="24"/>
          <w:lang w:eastAsia="en-GB"/>
        </w:rPr>
        <w:t xml:space="preserve">  </w:t>
      </w:r>
      <w:r w:rsidR="00E45A7A" w:rsidRPr="00E45A7A">
        <w:rPr>
          <w:rFonts w:ascii="Times New Roman" w:eastAsia="Times New Roman" w:hAnsi="Times New Roman" w:cs="Times New Roman"/>
          <w:i/>
          <w:iCs/>
          <w:sz w:val="24"/>
          <w:szCs w:val="24"/>
          <w:lang w:eastAsia="en-GB"/>
        </w:rPr>
        <w:t xml:space="preserve"> </w:t>
      </w:r>
      <w:proofErr w:type="gramEnd"/>
      <w:r w:rsidR="00E45A7A" w:rsidRPr="00E45A7A">
        <w:rPr>
          <w:rFonts w:ascii="Times New Roman" w:eastAsia="Times New Roman" w:hAnsi="Times New Roman" w:cs="Times New Roman"/>
          <w:i/>
          <w:iCs/>
          <w:sz w:val="24"/>
          <w:szCs w:val="24"/>
          <w:lang w:eastAsia="en-GB"/>
        </w:rPr>
        <w:t xml:space="preserve">     </w:t>
      </w:r>
      <w:r w:rsidR="00E45A7A">
        <w:rPr>
          <w:rFonts w:ascii="Times New Roman" w:eastAsia="Times New Roman" w:hAnsi="Times New Roman" w:cs="Times New Roman"/>
          <w:i/>
          <w:iCs/>
          <w:sz w:val="24"/>
          <w:szCs w:val="24"/>
          <w:lang w:eastAsia="en-GB"/>
        </w:rPr>
        <w:t xml:space="preserve">                 </w:t>
      </w:r>
      <w:proofErr w:type="spellStart"/>
      <w:r w:rsidR="00E45A7A" w:rsidRPr="00E45A7A">
        <w:rPr>
          <w:rFonts w:ascii="Times New Roman" w:eastAsia="Times New Roman" w:hAnsi="Times New Roman" w:cs="Times New Roman"/>
          <w:i/>
          <w:iCs/>
          <w:sz w:val="24"/>
          <w:szCs w:val="24"/>
          <w:lang w:eastAsia="en-GB"/>
        </w:rPr>
        <w:t>eq</w:t>
      </w:r>
      <w:proofErr w:type="spellEnd"/>
      <w:r w:rsidR="00E45A7A" w:rsidRPr="00E45A7A">
        <w:rPr>
          <w:rFonts w:ascii="Times New Roman" w:eastAsia="Times New Roman" w:hAnsi="Times New Roman" w:cs="Times New Roman"/>
          <w:i/>
          <w:iCs/>
          <w:sz w:val="24"/>
          <w:szCs w:val="24"/>
          <w:lang w:eastAsia="en-GB"/>
        </w:rPr>
        <w:t xml:space="preserve"> (2)</w:t>
      </w:r>
    </w:p>
    <w:p w14:paraId="6494FEC0" w14:textId="5A15FB71" w:rsidR="00CB67C8" w:rsidRDefault="00EB422D"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Here, e</w:t>
      </w:r>
      <w:r w:rsidR="00CB67C8" w:rsidRPr="00CB67C8">
        <w:rPr>
          <w:rFonts w:ascii="Times New Roman" w:eastAsia="Times New Roman" w:hAnsi="Times New Roman" w:cs="Times New Roman"/>
          <w:sz w:val="24"/>
          <w:szCs w:val="24"/>
          <w:lang w:eastAsia="en-GB"/>
        </w:rPr>
        <w:t xml:space="preserve">lectricity access (EA) captures the proportion of the population with access to electricity and serves as a key indicator of energy availability. Improved electricity access reduces energy poverty and enhances household welfare by enabling access to lighting, communication technologies, and productive economic activities (Apergis &amp; Payne, 2014). </w:t>
      </w:r>
      <w:r w:rsidR="006E3453" w:rsidRPr="006E3453">
        <w:rPr>
          <w:rFonts w:ascii="Times New Roman" w:eastAsia="Times New Roman" w:hAnsi="Times New Roman" w:cs="Times New Roman"/>
          <w:sz w:val="24"/>
          <w:szCs w:val="24"/>
          <w:lang w:eastAsia="en-GB"/>
        </w:rPr>
        <w:t>Electricity consumption (EC) reflects the actual level of electricity usage within the economy, indicating the intensity of energy utilization and the extent to which households benefit from available energy infrastructure (International Energy Agency, 2023; World Bank, 2022)</w:t>
      </w:r>
      <w:r w:rsidR="00CB67C8" w:rsidRPr="00CB67C8">
        <w:rPr>
          <w:rFonts w:ascii="Times New Roman" w:eastAsia="Times New Roman" w:hAnsi="Times New Roman" w:cs="Times New Roman"/>
          <w:sz w:val="24"/>
          <w:szCs w:val="24"/>
          <w:lang w:eastAsia="en-GB"/>
        </w:rPr>
        <w:t xml:space="preserve">. Higher electricity consumption is often associated with improved living standards and increased economic productivity (IEA, 2023). </w:t>
      </w:r>
      <w:r w:rsidR="00137A53">
        <w:rPr>
          <w:rFonts w:ascii="Times New Roman" w:eastAsia="Times New Roman" w:hAnsi="Times New Roman" w:cs="Times New Roman"/>
          <w:sz w:val="24"/>
          <w:szCs w:val="24"/>
          <w:lang w:eastAsia="en-GB"/>
        </w:rPr>
        <w:t>Energy use</w:t>
      </w:r>
      <w:r w:rsidR="00137A53" w:rsidRPr="00867435">
        <w:rPr>
          <w:rFonts w:ascii="Times New Roman" w:eastAsia="Times New Roman" w:hAnsi="Times New Roman" w:cs="Times New Roman"/>
          <w:sz w:val="24"/>
          <w:szCs w:val="24"/>
          <w:lang w:eastAsia="en-GB"/>
        </w:rPr>
        <w:t xml:space="preserve"> (E</w:t>
      </w:r>
      <w:r w:rsidR="00137A53">
        <w:rPr>
          <w:rFonts w:ascii="Times New Roman" w:eastAsia="Times New Roman" w:hAnsi="Times New Roman" w:cs="Times New Roman"/>
          <w:sz w:val="24"/>
          <w:szCs w:val="24"/>
          <w:lang w:eastAsia="en-GB"/>
        </w:rPr>
        <w:t>U</w:t>
      </w:r>
      <w:r w:rsidR="00137A53" w:rsidRPr="00867435">
        <w:rPr>
          <w:rFonts w:ascii="Times New Roman" w:eastAsia="Times New Roman" w:hAnsi="Times New Roman" w:cs="Times New Roman"/>
          <w:sz w:val="24"/>
          <w:szCs w:val="24"/>
          <w:lang w:eastAsia="en-GB"/>
        </w:rPr>
        <w:t xml:space="preserve">) </w:t>
      </w:r>
      <w:r w:rsidR="00137A53" w:rsidRPr="00137A53">
        <w:rPr>
          <w:rFonts w:ascii="Times New Roman" w:eastAsia="Times New Roman" w:hAnsi="Times New Roman" w:cs="Times New Roman"/>
          <w:sz w:val="24"/>
          <w:szCs w:val="24"/>
          <w:lang w:eastAsia="en-GB"/>
        </w:rPr>
        <w:t xml:space="preserve">reflects the practical application of </w:t>
      </w:r>
      <w:r w:rsidR="00137A53" w:rsidRPr="00137A53">
        <w:rPr>
          <w:rFonts w:ascii="Times New Roman" w:eastAsia="Times New Roman" w:hAnsi="Times New Roman" w:cs="Times New Roman"/>
          <w:sz w:val="24"/>
          <w:szCs w:val="24"/>
          <w:lang w:eastAsia="en-GB"/>
        </w:rPr>
        <w:lastRenderedPageBreak/>
        <w:t>electricity in household activities, including cooking, lighting, and small-scale economic production. Increased electricity use can enhance income-generating opportunities, improve educational outcomes, and contribute to overall welfare improvements (Chakravorty, Pelli, &amp; Marchand, 2014).</w:t>
      </w:r>
      <w:r w:rsidR="00137A53">
        <w:rPr>
          <w:rFonts w:ascii="Times New Roman" w:eastAsia="Times New Roman" w:hAnsi="Times New Roman" w:cs="Times New Roman"/>
          <w:sz w:val="24"/>
          <w:szCs w:val="24"/>
          <w:lang w:eastAsia="en-GB"/>
        </w:rPr>
        <w:t xml:space="preserve"> </w:t>
      </w:r>
      <w:r w:rsidR="00137A53" w:rsidRPr="00137A53">
        <w:rPr>
          <w:rFonts w:ascii="Times New Roman" w:eastAsia="Times New Roman" w:hAnsi="Times New Roman" w:cs="Times New Roman"/>
          <w:sz w:val="24"/>
          <w:szCs w:val="24"/>
          <w:lang w:eastAsia="en-GB"/>
        </w:rPr>
        <w:t xml:space="preserve">Electricity generation (EG) </w:t>
      </w:r>
      <w:r w:rsidR="00137A53">
        <w:rPr>
          <w:rFonts w:ascii="Times New Roman" w:eastAsia="Times New Roman" w:hAnsi="Times New Roman" w:cs="Times New Roman"/>
          <w:sz w:val="24"/>
          <w:szCs w:val="24"/>
          <w:lang w:eastAsia="en-GB"/>
        </w:rPr>
        <w:t>as a control variable denotes that h</w:t>
      </w:r>
      <w:r w:rsidR="00867435" w:rsidRPr="00867435">
        <w:rPr>
          <w:rFonts w:ascii="Times New Roman" w:eastAsia="Times New Roman" w:hAnsi="Times New Roman" w:cs="Times New Roman"/>
          <w:sz w:val="24"/>
          <w:szCs w:val="24"/>
          <w:lang w:eastAsia="en-GB"/>
        </w:rPr>
        <w:t>igher electricity generation improves the stability of power supply and supports household activities such as lighting, cooking, and small-scale economic production. Increased electricity availability can enhance income-generating opportunities, improve educational outcomes, and contribute to overall welfare improvements (Chakravorty, Pelli, &amp; Marchand, 2014; Apergis &amp; Payne, 2014).</w:t>
      </w:r>
      <w:r w:rsidR="00867435">
        <w:rPr>
          <w:rFonts w:ascii="Times New Roman" w:eastAsia="Times New Roman" w:hAnsi="Times New Roman" w:cs="Times New Roman"/>
          <w:sz w:val="24"/>
          <w:szCs w:val="24"/>
          <w:lang w:eastAsia="en-GB"/>
        </w:rPr>
        <w:t xml:space="preserve"> </w:t>
      </w:r>
      <w:r w:rsidR="00137A53">
        <w:rPr>
          <w:rFonts w:ascii="Times New Roman" w:eastAsia="Times New Roman" w:hAnsi="Times New Roman" w:cs="Times New Roman"/>
          <w:sz w:val="24"/>
          <w:szCs w:val="24"/>
          <w:lang w:eastAsia="en-GB"/>
        </w:rPr>
        <w:t xml:space="preserve">Similarly, </w:t>
      </w:r>
      <w:r w:rsidR="006E3453" w:rsidRPr="006E3453">
        <w:rPr>
          <w:rFonts w:ascii="Times New Roman" w:eastAsia="Times New Roman" w:hAnsi="Times New Roman" w:cs="Times New Roman"/>
          <w:sz w:val="24"/>
          <w:szCs w:val="24"/>
          <w:lang w:eastAsia="en-GB"/>
        </w:rPr>
        <w:t xml:space="preserve">Inflation (IF) is introduced as a control variable because macroeconomic instability and rising prices can significantly affect household welfare by reducing purchasing power and increasing the cost of essential goods and services (World Bank, 2023; International Monetary Fund, 2022; </w:t>
      </w:r>
      <w:proofErr w:type="spellStart"/>
      <w:r w:rsidR="006E3453" w:rsidRPr="006E3453">
        <w:rPr>
          <w:rFonts w:ascii="Times New Roman" w:eastAsia="Times New Roman" w:hAnsi="Times New Roman" w:cs="Times New Roman"/>
          <w:sz w:val="24"/>
          <w:szCs w:val="24"/>
          <w:lang w:eastAsia="en-GB"/>
        </w:rPr>
        <w:t>Ravallion</w:t>
      </w:r>
      <w:proofErr w:type="spellEnd"/>
      <w:r w:rsidR="006E3453" w:rsidRPr="006E3453">
        <w:rPr>
          <w:rFonts w:ascii="Times New Roman" w:eastAsia="Times New Roman" w:hAnsi="Times New Roman" w:cs="Times New Roman"/>
          <w:sz w:val="24"/>
          <w:szCs w:val="24"/>
          <w:lang w:eastAsia="en-GB"/>
        </w:rPr>
        <w:t>, 2016)</w:t>
      </w:r>
      <w:r w:rsidR="00CB67C8" w:rsidRPr="00CB67C8">
        <w:rPr>
          <w:rFonts w:ascii="Times New Roman" w:eastAsia="Times New Roman" w:hAnsi="Times New Roman" w:cs="Times New Roman"/>
          <w:sz w:val="24"/>
          <w:szCs w:val="24"/>
          <w:lang w:eastAsia="en-GB"/>
        </w:rPr>
        <w:t>. In developing economies such as Nigeria, high inflation can erode real income, increase energy costs, and constrain household expenditure on welfare-enhancing goods such as healthcare, education, and food (</w:t>
      </w:r>
      <w:proofErr w:type="spellStart"/>
      <w:r w:rsidR="00CB67C8" w:rsidRPr="00CB67C8">
        <w:rPr>
          <w:rFonts w:ascii="Times New Roman" w:eastAsia="Times New Roman" w:hAnsi="Times New Roman" w:cs="Times New Roman"/>
          <w:sz w:val="24"/>
          <w:szCs w:val="24"/>
          <w:lang w:eastAsia="en-GB"/>
        </w:rPr>
        <w:t>Ravallion</w:t>
      </w:r>
      <w:proofErr w:type="spellEnd"/>
      <w:r w:rsidR="00CB67C8" w:rsidRPr="00CB67C8">
        <w:rPr>
          <w:rFonts w:ascii="Times New Roman" w:eastAsia="Times New Roman" w:hAnsi="Times New Roman" w:cs="Times New Roman"/>
          <w:sz w:val="24"/>
          <w:szCs w:val="24"/>
          <w:lang w:eastAsia="en-GB"/>
        </w:rPr>
        <w:t xml:space="preserve">, 2016). Consequently, controlling for inflation helps isolate the specific effect of energy poverty indicators on household welfare. Empirical studies have also shown that inflation significantly influences household welfare and poverty outcomes, particularly in economies characterized by unstable price levels (World Bank, 2023; </w:t>
      </w:r>
      <w:proofErr w:type="spellStart"/>
      <w:r w:rsidR="00CB67C8" w:rsidRPr="00CB67C8">
        <w:rPr>
          <w:rFonts w:ascii="Times New Roman" w:eastAsia="Times New Roman" w:hAnsi="Times New Roman" w:cs="Times New Roman"/>
          <w:sz w:val="24"/>
          <w:szCs w:val="24"/>
          <w:lang w:eastAsia="en-GB"/>
        </w:rPr>
        <w:t>Nteegah</w:t>
      </w:r>
      <w:proofErr w:type="spellEnd"/>
      <w:r w:rsidR="00CB67C8" w:rsidRPr="00CB67C8">
        <w:rPr>
          <w:rFonts w:ascii="Times New Roman" w:eastAsia="Times New Roman" w:hAnsi="Times New Roman" w:cs="Times New Roman"/>
          <w:sz w:val="24"/>
          <w:szCs w:val="24"/>
          <w:lang w:eastAsia="en-GB"/>
        </w:rPr>
        <w:t xml:space="preserve"> &amp; </w:t>
      </w:r>
      <w:proofErr w:type="spellStart"/>
      <w:r w:rsidR="00CB67C8" w:rsidRPr="00CB67C8">
        <w:rPr>
          <w:rFonts w:ascii="Times New Roman" w:eastAsia="Times New Roman" w:hAnsi="Times New Roman" w:cs="Times New Roman"/>
          <w:sz w:val="24"/>
          <w:szCs w:val="24"/>
          <w:lang w:eastAsia="en-GB"/>
        </w:rPr>
        <w:t>Ihejirika</w:t>
      </w:r>
      <w:proofErr w:type="spellEnd"/>
      <w:r w:rsidR="00CB67C8" w:rsidRPr="00CB67C8">
        <w:rPr>
          <w:rFonts w:ascii="Times New Roman" w:eastAsia="Times New Roman" w:hAnsi="Times New Roman" w:cs="Times New Roman"/>
          <w:sz w:val="24"/>
          <w:szCs w:val="24"/>
          <w:lang w:eastAsia="en-GB"/>
        </w:rPr>
        <w:t>, 2024).</w:t>
      </w:r>
    </w:p>
    <w:p w14:paraId="4A7AFF91" w14:textId="31318367" w:rsidR="00E45A7A" w:rsidRPr="00E45A7A" w:rsidRDefault="00E45A7A"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45A7A">
        <w:rPr>
          <w:rFonts w:ascii="Times New Roman" w:eastAsia="Times New Roman" w:hAnsi="Times New Roman" w:cs="Times New Roman"/>
          <w:sz w:val="24"/>
          <w:szCs w:val="24"/>
          <w:lang w:eastAsia="en-GB"/>
        </w:rPr>
        <w:t xml:space="preserve">To capture potential asymmetric effects of energy poverty indicators on household welfare, this study employs the Nonlinear Autoregressive Distributed Lag Model developed by Shin, Yu, and Greenwood-Nimmo (2014). </w:t>
      </w:r>
      <w:r w:rsidR="006E3453" w:rsidRPr="006E3453">
        <w:rPr>
          <w:rFonts w:ascii="Times New Roman" w:eastAsia="Times New Roman" w:hAnsi="Times New Roman" w:cs="Times New Roman"/>
          <w:sz w:val="24"/>
          <w:szCs w:val="24"/>
          <w:lang w:eastAsia="en-GB"/>
        </w:rPr>
        <w:t>The Nonlinear Autoregressive Distributed Lag Model extends the traditional Autoregressive Distributed Lag Model framework by allowing positive and negative changes in explanatory variables to exert different effects on the dependent variable (Shin, Yu, and Greenwood-Nimmo, 2014).</w:t>
      </w:r>
      <w:r w:rsidR="006E3453">
        <w:rPr>
          <w:rFonts w:ascii="Times New Roman" w:eastAsia="Times New Roman" w:hAnsi="Times New Roman" w:cs="Times New Roman"/>
          <w:sz w:val="24"/>
          <w:szCs w:val="24"/>
          <w:lang w:eastAsia="en-GB"/>
        </w:rPr>
        <w:t xml:space="preserve"> </w:t>
      </w:r>
      <w:r w:rsidR="006E3453" w:rsidRPr="006E3453">
        <w:rPr>
          <w:rFonts w:ascii="Times New Roman" w:eastAsia="Times New Roman" w:hAnsi="Times New Roman" w:cs="Times New Roman"/>
          <w:sz w:val="24"/>
          <w:szCs w:val="24"/>
          <w:lang w:eastAsia="en-GB"/>
        </w:rPr>
        <w:t xml:space="preserve">This is particularly relevant in the context of energy poverty because improvements in electricity access or consumption may affect welfare differently compared to declines in energy availability or reliability (Shin, Yu, and Greenwood-Nimmo, 2014; </w:t>
      </w:r>
      <w:proofErr w:type="spellStart"/>
      <w:r w:rsidR="006E3453" w:rsidRPr="006E3453">
        <w:rPr>
          <w:rFonts w:ascii="Times New Roman" w:eastAsia="Times New Roman" w:hAnsi="Times New Roman" w:cs="Times New Roman"/>
          <w:sz w:val="24"/>
          <w:szCs w:val="24"/>
          <w:lang w:eastAsia="en-GB"/>
        </w:rPr>
        <w:t>Sovacool</w:t>
      </w:r>
      <w:proofErr w:type="spellEnd"/>
      <w:r w:rsidR="006E3453" w:rsidRPr="006E3453">
        <w:rPr>
          <w:rFonts w:ascii="Times New Roman" w:eastAsia="Times New Roman" w:hAnsi="Times New Roman" w:cs="Times New Roman"/>
          <w:sz w:val="24"/>
          <w:szCs w:val="24"/>
          <w:lang w:eastAsia="en-GB"/>
        </w:rPr>
        <w:t xml:space="preserve">, Burke, Baker, </w:t>
      </w:r>
      <w:proofErr w:type="spellStart"/>
      <w:r w:rsidR="006E3453" w:rsidRPr="006E3453">
        <w:rPr>
          <w:rFonts w:ascii="Times New Roman" w:eastAsia="Times New Roman" w:hAnsi="Times New Roman" w:cs="Times New Roman"/>
          <w:sz w:val="24"/>
          <w:szCs w:val="24"/>
          <w:lang w:eastAsia="en-GB"/>
        </w:rPr>
        <w:t>Kotikalapudi</w:t>
      </w:r>
      <w:proofErr w:type="spellEnd"/>
      <w:r w:rsidR="006E3453" w:rsidRPr="006E3453">
        <w:rPr>
          <w:rFonts w:ascii="Times New Roman" w:eastAsia="Times New Roman" w:hAnsi="Times New Roman" w:cs="Times New Roman"/>
          <w:sz w:val="24"/>
          <w:szCs w:val="24"/>
          <w:lang w:eastAsia="en-GB"/>
        </w:rPr>
        <w:t xml:space="preserve">, &amp; </w:t>
      </w:r>
      <w:proofErr w:type="spellStart"/>
      <w:r w:rsidR="006E3453" w:rsidRPr="006E3453">
        <w:rPr>
          <w:rFonts w:ascii="Times New Roman" w:eastAsia="Times New Roman" w:hAnsi="Times New Roman" w:cs="Times New Roman"/>
          <w:sz w:val="24"/>
          <w:szCs w:val="24"/>
          <w:lang w:eastAsia="en-GB"/>
        </w:rPr>
        <w:t>Wlokas</w:t>
      </w:r>
      <w:proofErr w:type="spellEnd"/>
      <w:r w:rsidR="006E3453" w:rsidRPr="006E3453">
        <w:rPr>
          <w:rFonts w:ascii="Times New Roman" w:eastAsia="Times New Roman" w:hAnsi="Times New Roman" w:cs="Times New Roman"/>
          <w:sz w:val="24"/>
          <w:szCs w:val="24"/>
          <w:lang w:eastAsia="en-GB"/>
        </w:rPr>
        <w:t>, 2017)</w:t>
      </w:r>
      <w:r w:rsidRPr="00E45A7A">
        <w:rPr>
          <w:rFonts w:ascii="Times New Roman" w:eastAsia="Times New Roman" w:hAnsi="Times New Roman" w:cs="Times New Roman"/>
          <w:sz w:val="24"/>
          <w:szCs w:val="24"/>
          <w:lang w:eastAsia="en-GB"/>
        </w:rPr>
        <w:t>. For example, an increase in electricity access may significantly enhance welfare outcomes, while a reduction in access may impose disproportionate welfare losses on households.</w:t>
      </w:r>
    </w:p>
    <w:p w14:paraId="7158E3EE" w14:textId="1152A28A" w:rsidR="00E45A7A" w:rsidRDefault="00E45A7A"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45A7A">
        <w:rPr>
          <w:rFonts w:ascii="Times New Roman" w:eastAsia="Times New Roman" w:hAnsi="Times New Roman" w:cs="Times New Roman"/>
          <w:sz w:val="24"/>
          <w:szCs w:val="24"/>
          <w:lang w:eastAsia="en-GB"/>
        </w:rPr>
        <w:t>The NARDL specification decomposes the explanatory variables into positive and negative partial sums to capture these asymmetric effects. The long-run NARDL model can be expressed as:</w:t>
      </w:r>
    </w:p>
    <w:p w14:paraId="2F8520B8" w14:textId="6F14AF03" w:rsidR="00E45A7A" w:rsidRPr="00E45A7A" w:rsidRDefault="00E45A7A" w:rsidP="00E45A7A">
      <w:pPr>
        <w:spacing w:after="0" w:line="240" w:lineRule="auto"/>
        <w:rPr>
          <w:rFonts w:ascii="Times New Roman" w:eastAsia="Times New Roman" w:hAnsi="Times New Roman" w:cs="Times New Roman"/>
          <w:i/>
          <w:iCs/>
          <w:sz w:val="24"/>
          <w:szCs w:val="24"/>
          <w:lang w:eastAsia="en-GB"/>
        </w:rPr>
      </w:pPr>
      <w:proofErr w:type="spellStart"/>
      <w:r w:rsidRPr="00E45A7A">
        <w:rPr>
          <w:rFonts w:ascii="Times New Roman" w:eastAsia="Times New Roman" w:hAnsi="Times New Roman" w:cs="Times New Roman"/>
          <w:i/>
          <w:iCs/>
          <w:sz w:val="24"/>
          <w:szCs w:val="24"/>
          <w:lang w:eastAsia="en-GB"/>
        </w:rPr>
        <w:t>HW</w:t>
      </w:r>
      <w:r w:rsidRPr="00E45A7A">
        <w:rPr>
          <w:rFonts w:ascii="Times New Roman" w:eastAsia="Times New Roman" w:hAnsi="Times New Roman" w:cs="Times New Roman"/>
          <w:i/>
          <w:iCs/>
          <w:sz w:val="24"/>
          <w:szCs w:val="24"/>
          <w:vertAlign w:val="subscript"/>
          <w:lang w:eastAsia="en-GB"/>
        </w:rPr>
        <w:t>t</w:t>
      </w:r>
      <w:proofErr w:type="spellEnd"/>
      <w:r w:rsidRPr="00E45A7A">
        <w:rPr>
          <w:rFonts w:ascii="Times New Roman" w:eastAsia="Times New Roman" w:hAnsi="Times New Roman" w:cs="Times New Roman"/>
          <w:i/>
          <w:iCs/>
          <w:sz w:val="24"/>
          <w:szCs w:val="24"/>
          <w:vertAlign w:val="subscript"/>
          <w:lang w:eastAsia="en-GB"/>
        </w:rPr>
        <w:t>​</w:t>
      </w:r>
      <w:r>
        <w:rPr>
          <w:rFonts w:ascii="Times New Roman" w:eastAsia="Times New Roman" w:hAnsi="Times New Roman" w:cs="Times New Roman"/>
          <w:i/>
          <w:iCs/>
          <w:sz w:val="24"/>
          <w:szCs w:val="24"/>
          <w:lang w:eastAsia="en-GB"/>
        </w:rPr>
        <w:t xml:space="preserve"> </w:t>
      </w:r>
      <w:r w:rsidRPr="00E45A7A">
        <w:rPr>
          <w:rFonts w:ascii="Times New Roman" w:eastAsia="Times New Roman" w:hAnsi="Times New Roman" w:cs="Times New Roman"/>
          <w:i/>
          <w:iCs/>
          <w:sz w:val="24"/>
          <w:szCs w:val="24"/>
          <w:lang w:eastAsia="en-GB"/>
        </w:rPr>
        <w:t>=α</w:t>
      </w:r>
      <w:r w:rsidRPr="00E45A7A">
        <w:rPr>
          <w:rFonts w:ascii="Times New Roman" w:eastAsia="Times New Roman" w:hAnsi="Times New Roman" w:cs="Times New Roman"/>
          <w:i/>
          <w:iCs/>
          <w:sz w:val="24"/>
          <w:szCs w:val="24"/>
          <w:vertAlign w:val="subscript"/>
          <w:lang w:eastAsia="en-GB"/>
        </w:rPr>
        <w:t xml:space="preserve">0​ </w:t>
      </w:r>
      <w:r w:rsidRPr="00E45A7A">
        <w:rPr>
          <w:rFonts w:ascii="Times New Roman" w:eastAsia="Times New Roman" w:hAnsi="Times New Roman" w:cs="Times New Roman"/>
          <w:i/>
          <w:iCs/>
          <w:sz w:val="24"/>
          <w:szCs w:val="24"/>
          <w:lang w:eastAsia="en-GB"/>
        </w:rPr>
        <w:t>+α</w:t>
      </w:r>
      <w:r w:rsidRPr="00E45A7A">
        <w:rPr>
          <w:rFonts w:ascii="Times New Roman" w:eastAsia="Times New Roman" w:hAnsi="Times New Roman" w:cs="Times New Roman"/>
          <w:i/>
          <w:iCs/>
          <w:sz w:val="24"/>
          <w:szCs w:val="24"/>
          <w:vertAlign w:val="subscript"/>
          <w:lang w:eastAsia="en-GB"/>
        </w:rPr>
        <w:t>1​</w:t>
      </w:r>
      <w:proofErr w:type="spellStart"/>
      <w:r w:rsidRPr="00E45A7A">
        <w:rPr>
          <w:rFonts w:ascii="Times New Roman" w:eastAsia="Times New Roman" w:hAnsi="Times New Roman" w:cs="Times New Roman"/>
          <w:i/>
          <w:iCs/>
          <w:sz w:val="24"/>
          <w:szCs w:val="24"/>
          <w:lang w:eastAsia="en-GB"/>
        </w:rPr>
        <w:t>EA</w:t>
      </w:r>
      <w:r w:rsidRPr="00E45A7A">
        <w:rPr>
          <w:rFonts w:ascii="Times New Roman" w:eastAsia="Times New Roman" w:hAnsi="Times New Roman" w:cs="Times New Roman"/>
          <w:i/>
          <w:iCs/>
          <w:sz w:val="24"/>
          <w:szCs w:val="24"/>
          <w:vertAlign w:val="subscript"/>
          <w:lang w:eastAsia="en-GB"/>
        </w:rPr>
        <w:t>t</w:t>
      </w:r>
      <w:proofErr w:type="spellEnd"/>
      <w:r w:rsidRPr="00E45A7A">
        <w:rPr>
          <w:rFonts w:ascii="Times New Roman" w:eastAsia="Times New Roman" w:hAnsi="Times New Roman" w:cs="Times New Roman"/>
          <w:i/>
          <w:iCs/>
          <w:sz w:val="24"/>
          <w:szCs w:val="24"/>
          <w:vertAlign w:val="superscript"/>
          <w:lang w:eastAsia="en-GB"/>
        </w:rPr>
        <w:t>+</w:t>
      </w:r>
      <w:r w:rsidRPr="00E45A7A">
        <w:rPr>
          <w:rFonts w:ascii="Times New Roman" w:eastAsia="Times New Roman" w:hAnsi="Times New Roman" w:cs="Times New Roman"/>
          <w:i/>
          <w:iCs/>
          <w:sz w:val="24"/>
          <w:szCs w:val="24"/>
          <w:lang w:eastAsia="en-GB"/>
        </w:rPr>
        <w:t>​+α</w:t>
      </w:r>
      <w:r w:rsidRPr="00E45A7A">
        <w:rPr>
          <w:rFonts w:ascii="Times New Roman" w:eastAsia="Times New Roman" w:hAnsi="Times New Roman" w:cs="Times New Roman"/>
          <w:i/>
          <w:iCs/>
          <w:sz w:val="24"/>
          <w:szCs w:val="24"/>
          <w:vertAlign w:val="subscript"/>
          <w:lang w:eastAsia="en-GB"/>
        </w:rPr>
        <w:t>2​</w:t>
      </w:r>
      <w:proofErr w:type="spellStart"/>
      <w:r w:rsidRPr="00E45A7A">
        <w:rPr>
          <w:rFonts w:ascii="Times New Roman" w:eastAsia="Times New Roman" w:hAnsi="Times New Roman" w:cs="Times New Roman"/>
          <w:i/>
          <w:iCs/>
          <w:sz w:val="24"/>
          <w:szCs w:val="24"/>
          <w:lang w:eastAsia="en-GB"/>
        </w:rPr>
        <w:t>EA</w:t>
      </w:r>
      <w:r w:rsidRPr="00E45A7A">
        <w:rPr>
          <w:rFonts w:ascii="Times New Roman" w:eastAsia="Times New Roman" w:hAnsi="Times New Roman" w:cs="Times New Roman"/>
          <w:i/>
          <w:iCs/>
          <w:sz w:val="24"/>
          <w:szCs w:val="24"/>
          <w:vertAlign w:val="subscript"/>
          <w:lang w:eastAsia="en-GB"/>
        </w:rPr>
        <w:t>t</w:t>
      </w:r>
      <w:proofErr w:type="spellEnd"/>
      <w:r w:rsidRPr="00E45A7A">
        <w:rPr>
          <w:rFonts w:ascii="Times New Roman" w:eastAsia="Times New Roman" w:hAnsi="Times New Roman" w:cs="Times New Roman"/>
          <w:i/>
          <w:iCs/>
          <w:sz w:val="24"/>
          <w:szCs w:val="24"/>
          <w:vertAlign w:val="superscript"/>
          <w:lang w:eastAsia="en-GB"/>
        </w:rPr>
        <w:t>−</w:t>
      </w:r>
      <w:r w:rsidRPr="00E45A7A">
        <w:rPr>
          <w:rFonts w:ascii="Times New Roman" w:eastAsia="Times New Roman" w:hAnsi="Times New Roman" w:cs="Times New Roman"/>
          <w:i/>
          <w:iCs/>
          <w:sz w:val="24"/>
          <w:szCs w:val="24"/>
          <w:lang w:eastAsia="en-GB"/>
        </w:rPr>
        <w:t>​+α</w:t>
      </w:r>
      <w:r w:rsidRPr="00E45A7A">
        <w:rPr>
          <w:rFonts w:ascii="Times New Roman" w:eastAsia="Times New Roman" w:hAnsi="Times New Roman" w:cs="Times New Roman"/>
          <w:i/>
          <w:iCs/>
          <w:sz w:val="24"/>
          <w:szCs w:val="24"/>
          <w:vertAlign w:val="subscript"/>
          <w:lang w:eastAsia="en-GB"/>
        </w:rPr>
        <w:t>3​</w:t>
      </w:r>
      <w:proofErr w:type="spellStart"/>
      <w:r w:rsidRPr="00E45A7A">
        <w:rPr>
          <w:rFonts w:ascii="Times New Roman" w:eastAsia="Times New Roman" w:hAnsi="Times New Roman" w:cs="Times New Roman"/>
          <w:i/>
          <w:iCs/>
          <w:sz w:val="24"/>
          <w:szCs w:val="24"/>
          <w:lang w:eastAsia="en-GB"/>
        </w:rPr>
        <w:t>EC</w:t>
      </w:r>
      <w:r w:rsidRPr="00E45A7A">
        <w:rPr>
          <w:rFonts w:ascii="Times New Roman" w:eastAsia="Times New Roman" w:hAnsi="Times New Roman" w:cs="Times New Roman"/>
          <w:i/>
          <w:iCs/>
          <w:sz w:val="24"/>
          <w:szCs w:val="24"/>
          <w:vertAlign w:val="subscript"/>
          <w:lang w:eastAsia="en-GB"/>
        </w:rPr>
        <w:t>t</w:t>
      </w:r>
      <w:proofErr w:type="spellEnd"/>
      <w:r w:rsidRPr="00E45A7A">
        <w:rPr>
          <w:rFonts w:ascii="Times New Roman" w:eastAsia="Times New Roman" w:hAnsi="Times New Roman" w:cs="Times New Roman"/>
          <w:i/>
          <w:iCs/>
          <w:sz w:val="24"/>
          <w:szCs w:val="24"/>
          <w:vertAlign w:val="superscript"/>
          <w:lang w:eastAsia="en-GB"/>
        </w:rPr>
        <w:t>+</w:t>
      </w:r>
      <w:r w:rsidRPr="00E45A7A">
        <w:rPr>
          <w:rFonts w:ascii="Times New Roman" w:eastAsia="Times New Roman" w:hAnsi="Times New Roman" w:cs="Times New Roman"/>
          <w:i/>
          <w:iCs/>
          <w:sz w:val="24"/>
          <w:szCs w:val="24"/>
          <w:lang w:eastAsia="en-GB"/>
        </w:rPr>
        <w:t>​+α</w:t>
      </w:r>
      <w:r w:rsidRPr="00E45A7A">
        <w:rPr>
          <w:rFonts w:ascii="Times New Roman" w:eastAsia="Times New Roman" w:hAnsi="Times New Roman" w:cs="Times New Roman"/>
          <w:i/>
          <w:iCs/>
          <w:sz w:val="24"/>
          <w:szCs w:val="24"/>
          <w:vertAlign w:val="subscript"/>
          <w:lang w:eastAsia="en-GB"/>
        </w:rPr>
        <w:t>4​</w:t>
      </w:r>
      <w:proofErr w:type="spellStart"/>
      <w:r w:rsidRPr="00E45A7A">
        <w:rPr>
          <w:rFonts w:ascii="Times New Roman" w:eastAsia="Times New Roman" w:hAnsi="Times New Roman" w:cs="Times New Roman"/>
          <w:i/>
          <w:iCs/>
          <w:sz w:val="24"/>
          <w:szCs w:val="24"/>
          <w:lang w:eastAsia="en-GB"/>
        </w:rPr>
        <w:t>EC</w:t>
      </w:r>
      <w:r w:rsidRPr="00E45A7A">
        <w:rPr>
          <w:rFonts w:ascii="Times New Roman" w:eastAsia="Times New Roman" w:hAnsi="Times New Roman" w:cs="Times New Roman"/>
          <w:i/>
          <w:iCs/>
          <w:sz w:val="24"/>
          <w:szCs w:val="24"/>
          <w:vertAlign w:val="subscript"/>
          <w:lang w:eastAsia="en-GB"/>
        </w:rPr>
        <w:t>t</w:t>
      </w:r>
      <w:proofErr w:type="spellEnd"/>
      <w:r w:rsidRPr="00E45A7A">
        <w:rPr>
          <w:rFonts w:ascii="Times New Roman" w:eastAsia="Times New Roman" w:hAnsi="Times New Roman" w:cs="Times New Roman"/>
          <w:i/>
          <w:iCs/>
          <w:sz w:val="24"/>
          <w:szCs w:val="24"/>
          <w:vertAlign w:val="superscript"/>
          <w:lang w:eastAsia="en-GB"/>
        </w:rPr>
        <w:t>−</w:t>
      </w:r>
      <w:r w:rsidRPr="00E45A7A">
        <w:rPr>
          <w:rFonts w:ascii="Times New Roman" w:eastAsia="Times New Roman" w:hAnsi="Times New Roman" w:cs="Times New Roman"/>
          <w:i/>
          <w:iCs/>
          <w:sz w:val="24"/>
          <w:szCs w:val="24"/>
          <w:lang w:eastAsia="en-GB"/>
        </w:rPr>
        <w:t>​+α</w:t>
      </w:r>
      <w:r w:rsidRPr="00E45A7A">
        <w:rPr>
          <w:rFonts w:ascii="Times New Roman" w:eastAsia="Times New Roman" w:hAnsi="Times New Roman" w:cs="Times New Roman"/>
          <w:i/>
          <w:iCs/>
          <w:sz w:val="24"/>
          <w:szCs w:val="24"/>
          <w:vertAlign w:val="subscript"/>
          <w:lang w:eastAsia="en-GB"/>
        </w:rPr>
        <w:t>5​</w:t>
      </w:r>
      <w:proofErr w:type="spellStart"/>
      <w:r w:rsidRPr="00E45A7A">
        <w:rPr>
          <w:rFonts w:ascii="Times New Roman" w:eastAsia="Times New Roman" w:hAnsi="Times New Roman" w:cs="Times New Roman"/>
          <w:i/>
          <w:iCs/>
          <w:sz w:val="24"/>
          <w:szCs w:val="24"/>
          <w:lang w:eastAsia="en-GB"/>
        </w:rPr>
        <w:t>E</w:t>
      </w:r>
      <w:r w:rsidR="00CA4357">
        <w:rPr>
          <w:rFonts w:ascii="Times New Roman" w:eastAsia="Times New Roman" w:hAnsi="Times New Roman" w:cs="Times New Roman"/>
          <w:i/>
          <w:iCs/>
          <w:sz w:val="24"/>
          <w:szCs w:val="24"/>
          <w:lang w:eastAsia="en-GB"/>
        </w:rPr>
        <w:t>U</w:t>
      </w:r>
      <w:r w:rsidRPr="00E45A7A">
        <w:rPr>
          <w:rFonts w:ascii="Times New Roman" w:eastAsia="Times New Roman" w:hAnsi="Times New Roman" w:cs="Times New Roman"/>
          <w:i/>
          <w:iCs/>
          <w:sz w:val="24"/>
          <w:szCs w:val="24"/>
          <w:vertAlign w:val="subscript"/>
          <w:lang w:eastAsia="en-GB"/>
        </w:rPr>
        <w:t>t</w:t>
      </w:r>
      <w:proofErr w:type="spellEnd"/>
      <w:r w:rsidRPr="00E45A7A">
        <w:rPr>
          <w:rFonts w:ascii="Times New Roman" w:eastAsia="Times New Roman" w:hAnsi="Times New Roman" w:cs="Times New Roman"/>
          <w:i/>
          <w:iCs/>
          <w:sz w:val="24"/>
          <w:szCs w:val="24"/>
          <w:vertAlign w:val="superscript"/>
          <w:lang w:eastAsia="en-GB"/>
        </w:rPr>
        <w:t>+</w:t>
      </w:r>
      <w:r w:rsidRPr="00E45A7A">
        <w:rPr>
          <w:rFonts w:ascii="Times New Roman" w:eastAsia="Times New Roman" w:hAnsi="Times New Roman" w:cs="Times New Roman"/>
          <w:i/>
          <w:iCs/>
          <w:sz w:val="24"/>
          <w:szCs w:val="24"/>
          <w:lang w:eastAsia="en-GB"/>
        </w:rPr>
        <w:t>​+α</w:t>
      </w:r>
      <w:r w:rsidRPr="00E45A7A">
        <w:rPr>
          <w:rFonts w:ascii="Times New Roman" w:eastAsia="Times New Roman" w:hAnsi="Times New Roman" w:cs="Times New Roman"/>
          <w:i/>
          <w:iCs/>
          <w:sz w:val="24"/>
          <w:szCs w:val="24"/>
          <w:vertAlign w:val="subscript"/>
          <w:lang w:eastAsia="en-GB"/>
        </w:rPr>
        <w:t>6​</w:t>
      </w:r>
      <w:proofErr w:type="spellStart"/>
      <w:r w:rsidRPr="00E45A7A">
        <w:rPr>
          <w:rFonts w:ascii="Times New Roman" w:eastAsia="Times New Roman" w:hAnsi="Times New Roman" w:cs="Times New Roman"/>
          <w:i/>
          <w:iCs/>
          <w:sz w:val="24"/>
          <w:szCs w:val="24"/>
          <w:lang w:eastAsia="en-GB"/>
        </w:rPr>
        <w:t>E</w:t>
      </w:r>
      <w:r w:rsidR="00CA4357">
        <w:rPr>
          <w:rFonts w:ascii="Times New Roman" w:eastAsia="Times New Roman" w:hAnsi="Times New Roman" w:cs="Times New Roman"/>
          <w:i/>
          <w:iCs/>
          <w:sz w:val="24"/>
          <w:szCs w:val="24"/>
          <w:lang w:eastAsia="en-GB"/>
        </w:rPr>
        <w:t>U</w:t>
      </w:r>
      <w:r w:rsidRPr="00E45A7A">
        <w:rPr>
          <w:rFonts w:ascii="Times New Roman" w:eastAsia="Times New Roman" w:hAnsi="Times New Roman" w:cs="Times New Roman"/>
          <w:i/>
          <w:iCs/>
          <w:sz w:val="24"/>
          <w:szCs w:val="24"/>
          <w:vertAlign w:val="subscript"/>
          <w:lang w:eastAsia="en-GB"/>
        </w:rPr>
        <w:t>t</w:t>
      </w:r>
      <w:proofErr w:type="spellEnd"/>
      <w:r w:rsidRPr="00E45A7A">
        <w:rPr>
          <w:rFonts w:ascii="Times New Roman" w:eastAsia="Times New Roman" w:hAnsi="Times New Roman" w:cs="Times New Roman"/>
          <w:i/>
          <w:iCs/>
          <w:sz w:val="24"/>
          <w:szCs w:val="24"/>
          <w:vertAlign w:val="superscript"/>
          <w:lang w:eastAsia="en-GB"/>
        </w:rPr>
        <w:t>−​</w:t>
      </w:r>
      <w:r w:rsidRPr="00E45A7A">
        <w:rPr>
          <w:rFonts w:ascii="Times New Roman" w:eastAsia="Times New Roman" w:hAnsi="Times New Roman" w:cs="Times New Roman"/>
          <w:i/>
          <w:iCs/>
          <w:sz w:val="24"/>
          <w:szCs w:val="24"/>
          <w:lang w:eastAsia="en-GB"/>
        </w:rPr>
        <w:t>+</w:t>
      </w:r>
      <w:r w:rsidR="00CA4357" w:rsidRPr="00E45A7A">
        <w:rPr>
          <w:rFonts w:ascii="Times New Roman" w:eastAsia="Times New Roman" w:hAnsi="Times New Roman" w:cs="Times New Roman"/>
          <w:i/>
          <w:iCs/>
          <w:sz w:val="24"/>
          <w:szCs w:val="24"/>
          <w:lang w:eastAsia="en-GB"/>
        </w:rPr>
        <w:t>α</w:t>
      </w:r>
      <w:r w:rsidR="00CA4357" w:rsidRPr="00E45A7A">
        <w:rPr>
          <w:rFonts w:ascii="Times New Roman" w:eastAsia="Times New Roman" w:hAnsi="Times New Roman" w:cs="Times New Roman"/>
          <w:i/>
          <w:iCs/>
          <w:sz w:val="24"/>
          <w:szCs w:val="24"/>
          <w:vertAlign w:val="subscript"/>
          <w:lang w:eastAsia="en-GB"/>
        </w:rPr>
        <w:t>7</w:t>
      </w:r>
      <w:r w:rsidR="00CA4357">
        <w:rPr>
          <w:rFonts w:ascii="Times New Roman" w:eastAsia="Times New Roman" w:hAnsi="Times New Roman" w:cs="Times New Roman"/>
          <w:i/>
          <w:iCs/>
          <w:sz w:val="24"/>
          <w:szCs w:val="24"/>
          <w:vertAlign w:val="subscript"/>
          <w:lang w:eastAsia="en-GB"/>
        </w:rPr>
        <w:t xml:space="preserve"> </w:t>
      </w:r>
      <w:r w:rsidR="00CA4357">
        <w:rPr>
          <w:rFonts w:ascii="Times New Roman" w:eastAsia="Times New Roman" w:hAnsi="Times New Roman" w:cs="Times New Roman"/>
          <w:i/>
          <w:iCs/>
          <w:sz w:val="24"/>
          <w:szCs w:val="24"/>
          <w:lang w:eastAsia="en-GB"/>
        </w:rPr>
        <w:t>EG+</w:t>
      </w:r>
      <w:r w:rsidRPr="00E45A7A">
        <w:rPr>
          <w:rFonts w:ascii="Times New Roman" w:eastAsia="Times New Roman" w:hAnsi="Times New Roman" w:cs="Times New Roman"/>
          <w:i/>
          <w:iCs/>
          <w:sz w:val="24"/>
          <w:szCs w:val="24"/>
          <w:lang w:eastAsia="en-GB"/>
        </w:rPr>
        <w:t>α</w:t>
      </w:r>
      <w:r w:rsidR="00CA4357">
        <w:rPr>
          <w:rFonts w:ascii="Times New Roman" w:eastAsia="Times New Roman" w:hAnsi="Times New Roman" w:cs="Times New Roman"/>
          <w:i/>
          <w:iCs/>
          <w:sz w:val="24"/>
          <w:szCs w:val="24"/>
          <w:vertAlign w:val="subscript"/>
          <w:lang w:eastAsia="en-GB"/>
        </w:rPr>
        <w:t>8</w:t>
      </w:r>
      <w:r w:rsidRPr="00E45A7A">
        <w:rPr>
          <w:rFonts w:ascii="Times New Roman" w:eastAsia="Times New Roman" w:hAnsi="Times New Roman" w:cs="Times New Roman"/>
          <w:i/>
          <w:iCs/>
          <w:sz w:val="24"/>
          <w:szCs w:val="24"/>
          <w:lang w:eastAsia="en-GB"/>
        </w:rPr>
        <w:t>IF</w:t>
      </w:r>
      <w:r w:rsidRPr="00E45A7A">
        <w:rPr>
          <w:rFonts w:ascii="Times New Roman" w:eastAsia="Times New Roman" w:hAnsi="Times New Roman" w:cs="Times New Roman"/>
          <w:i/>
          <w:iCs/>
          <w:sz w:val="24"/>
          <w:szCs w:val="24"/>
          <w:vertAlign w:val="subscript"/>
          <w:lang w:eastAsia="en-GB"/>
        </w:rPr>
        <w:t>t​</w:t>
      </w:r>
      <w:r>
        <w:rPr>
          <w:rFonts w:ascii="Times New Roman" w:eastAsia="Times New Roman" w:hAnsi="Times New Roman" w:cs="Times New Roman"/>
          <w:i/>
          <w:iCs/>
          <w:sz w:val="24"/>
          <w:szCs w:val="24"/>
          <w:lang w:eastAsia="en-GB"/>
        </w:rPr>
        <w:t xml:space="preserve"> </w:t>
      </w:r>
      <w:r w:rsidRPr="00E45A7A">
        <w:rPr>
          <w:rFonts w:ascii="Times New Roman" w:eastAsia="Times New Roman" w:hAnsi="Times New Roman" w:cs="Times New Roman"/>
          <w:i/>
          <w:iCs/>
          <w:sz w:val="24"/>
          <w:szCs w:val="24"/>
          <w:lang w:eastAsia="en-GB"/>
        </w:rPr>
        <w:t>+</w:t>
      </w:r>
      <w:proofErr w:type="spellStart"/>
      <w:r w:rsidRPr="00E45A7A">
        <w:rPr>
          <w:rFonts w:ascii="Times New Roman" w:eastAsia="Times New Roman" w:hAnsi="Times New Roman" w:cs="Times New Roman"/>
          <w:i/>
          <w:iCs/>
          <w:sz w:val="24"/>
          <w:szCs w:val="24"/>
          <w:lang w:eastAsia="en-GB"/>
        </w:rPr>
        <w:t>ε</w:t>
      </w:r>
      <w:r w:rsidRPr="00E45A7A">
        <w:rPr>
          <w:rFonts w:ascii="Times New Roman" w:eastAsia="Times New Roman" w:hAnsi="Times New Roman" w:cs="Times New Roman"/>
          <w:i/>
          <w:iCs/>
          <w:sz w:val="24"/>
          <w:szCs w:val="24"/>
          <w:vertAlign w:val="subscript"/>
          <w:lang w:eastAsia="en-GB"/>
        </w:rPr>
        <w:t>t</w:t>
      </w:r>
      <w:proofErr w:type="spellEnd"/>
      <w:r w:rsidRPr="00E45A7A">
        <w:rPr>
          <w:rFonts w:ascii="Times New Roman" w:eastAsia="Times New Roman" w:hAnsi="Times New Roman" w:cs="Times New Roman"/>
          <w:i/>
          <w:iCs/>
          <w:sz w:val="24"/>
          <w:szCs w:val="24"/>
          <w:vertAlign w:val="subscript"/>
          <w:lang w:eastAsia="en-GB"/>
        </w:rPr>
        <w:t>​</w:t>
      </w:r>
      <w:r w:rsidRPr="00E45A7A">
        <w:rPr>
          <w:rFonts w:ascii="Times New Roman" w:eastAsia="Times New Roman" w:hAnsi="Times New Roman" w:cs="Times New Roman"/>
          <w:i/>
          <w:iCs/>
          <w:sz w:val="24"/>
          <w:szCs w:val="24"/>
          <w:lang w:eastAsia="en-GB"/>
        </w:rPr>
        <w:t xml:space="preserve"> </w:t>
      </w:r>
      <w:r w:rsidR="00CA4357">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eastAsia="en-GB"/>
        </w:rPr>
        <w:t>eq</w:t>
      </w:r>
      <w:proofErr w:type="spellEnd"/>
      <w:r>
        <w:rPr>
          <w:rFonts w:ascii="Times New Roman" w:eastAsia="Times New Roman" w:hAnsi="Times New Roman" w:cs="Times New Roman"/>
          <w:i/>
          <w:iCs/>
          <w:sz w:val="24"/>
          <w:szCs w:val="24"/>
          <w:lang w:eastAsia="en-GB"/>
        </w:rPr>
        <w:t xml:space="preserve"> (3)</w:t>
      </w:r>
    </w:p>
    <w:p w14:paraId="7A3D6F7E" w14:textId="77777777" w:rsidR="00E45A7A" w:rsidRDefault="00E45A7A" w:rsidP="00E45A7A">
      <w:pPr>
        <w:spacing w:before="100" w:beforeAutospacing="1" w:after="100" w:afterAutospacing="1" w:line="240" w:lineRule="auto"/>
        <w:rPr>
          <w:rFonts w:ascii="Times New Roman" w:eastAsia="Times New Roman" w:hAnsi="Times New Roman" w:cs="Times New Roman"/>
          <w:sz w:val="24"/>
          <w:szCs w:val="24"/>
          <w:lang w:eastAsia="en-GB"/>
        </w:rPr>
      </w:pPr>
      <w:r w:rsidRPr="00E45A7A">
        <w:rPr>
          <w:rFonts w:ascii="Times New Roman" w:eastAsia="Times New Roman" w:hAnsi="Times New Roman" w:cs="Times New Roman"/>
          <w:sz w:val="24"/>
          <w:szCs w:val="24"/>
          <w:lang w:eastAsia="en-GB"/>
        </w:rPr>
        <w:t>Where:</w:t>
      </w:r>
    </w:p>
    <w:p w14:paraId="5CBF55E1" w14:textId="7D07D9AC" w:rsidR="00C6192E" w:rsidRDefault="00E45A7A" w:rsidP="00C6192E">
      <w:pPr>
        <w:spacing w:before="240" w:line="240" w:lineRule="auto"/>
        <w:jc w:val="both"/>
        <w:rPr>
          <w:rFonts w:ascii="Times New Roman" w:eastAsia="Times New Roman" w:hAnsi="Times New Roman" w:cs="Times New Roman"/>
          <w:sz w:val="24"/>
          <w:szCs w:val="24"/>
        </w:rPr>
      </w:pPr>
      <w:r w:rsidRPr="00E45A7A">
        <w:rPr>
          <w:rFonts w:ascii="Times New Roman" w:eastAsia="Times New Roman" w:hAnsi="Times New Roman" w:cs="Times New Roman"/>
          <w:sz w:val="24"/>
          <w:szCs w:val="24"/>
          <w:lang w:eastAsia="en-GB"/>
        </w:rPr>
        <w:t>EA</w:t>
      </w:r>
      <w:r w:rsidRPr="00E45A7A">
        <w:rPr>
          <w:rFonts w:ascii="Times New Roman" w:eastAsia="Times New Roman" w:hAnsi="Times New Roman" w:cs="Times New Roman"/>
          <w:sz w:val="24"/>
          <w:szCs w:val="24"/>
          <w:vertAlign w:val="superscript"/>
          <w:lang w:eastAsia="en-GB"/>
        </w:rPr>
        <w:t>+</w:t>
      </w:r>
      <w:r w:rsidRPr="00E45A7A">
        <w:rPr>
          <w:rFonts w:ascii="Times New Roman" w:eastAsia="Times New Roman" w:hAnsi="Times New Roman" w:cs="Times New Roman"/>
          <w:sz w:val="24"/>
          <w:szCs w:val="24"/>
          <w:lang w:eastAsia="en-GB"/>
        </w:rPr>
        <w:t>, EC</w:t>
      </w:r>
      <w:r w:rsidRPr="00E45A7A">
        <w:rPr>
          <w:rFonts w:ascii="Times New Roman" w:eastAsia="Times New Roman" w:hAnsi="Times New Roman" w:cs="Times New Roman"/>
          <w:sz w:val="24"/>
          <w:szCs w:val="24"/>
          <w:vertAlign w:val="superscript"/>
          <w:lang w:eastAsia="en-GB"/>
        </w:rPr>
        <w:t>+</w:t>
      </w:r>
      <w:r w:rsidRPr="00E45A7A">
        <w:rPr>
          <w:rFonts w:ascii="Times New Roman" w:eastAsia="Times New Roman" w:hAnsi="Times New Roman" w:cs="Times New Roman"/>
          <w:sz w:val="24"/>
          <w:szCs w:val="24"/>
          <w:lang w:eastAsia="en-GB"/>
        </w:rPr>
        <w:t>, and E</w:t>
      </w:r>
      <w:r w:rsidR="00CA4357">
        <w:rPr>
          <w:rFonts w:ascii="Times New Roman" w:eastAsia="Times New Roman" w:hAnsi="Times New Roman" w:cs="Times New Roman"/>
          <w:sz w:val="24"/>
          <w:szCs w:val="24"/>
          <w:lang w:eastAsia="en-GB"/>
        </w:rPr>
        <w:t>U</w:t>
      </w:r>
      <w:r w:rsidRPr="00E45A7A">
        <w:rPr>
          <w:rFonts w:ascii="Times New Roman" w:eastAsia="Times New Roman" w:hAnsi="Times New Roman" w:cs="Times New Roman"/>
          <w:sz w:val="24"/>
          <w:szCs w:val="24"/>
          <w:vertAlign w:val="superscript"/>
          <w:lang w:eastAsia="en-GB"/>
        </w:rPr>
        <w:t xml:space="preserve">+ </w:t>
      </w:r>
      <w:r w:rsidRPr="00E45A7A">
        <w:rPr>
          <w:rFonts w:ascii="Times New Roman" w:eastAsia="Times New Roman" w:hAnsi="Times New Roman" w:cs="Times New Roman"/>
          <w:sz w:val="24"/>
          <w:szCs w:val="24"/>
          <w:lang w:eastAsia="en-GB"/>
        </w:rPr>
        <w:t>represent positive changes in energy variables,</w:t>
      </w:r>
      <w:r>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sz w:val="24"/>
          <w:szCs w:val="24"/>
          <w:lang w:eastAsia="en-GB"/>
        </w:rPr>
        <w:t>EA</w:t>
      </w:r>
      <w:r w:rsidRPr="00E45A7A">
        <w:rPr>
          <w:rFonts w:ascii="Times New Roman" w:eastAsia="Times New Roman" w:hAnsi="Times New Roman" w:cs="Times New Roman"/>
          <w:sz w:val="24"/>
          <w:szCs w:val="24"/>
          <w:vertAlign w:val="superscript"/>
          <w:lang w:eastAsia="en-GB"/>
        </w:rPr>
        <w:t>−</w:t>
      </w:r>
      <w:r w:rsidRPr="00E45A7A">
        <w:rPr>
          <w:rFonts w:ascii="Times New Roman" w:eastAsia="Times New Roman" w:hAnsi="Times New Roman" w:cs="Times New Roman"/>
          <w:sz w:val="24"/>
          <w:szCs w:val="24"/>
          <w:lang w:eastAsia="en-GB"/>
        </w:rPr>
        <w:t>, EC</w:t>
      </w:r>
      <w:r w:rsidRPr="00E45A7A">
        <w:rPr>
          <w:rFonts w:ascii="Times New Roman" w:eastAsia="Times New Roman" w:hAnsi="Times New Roman" w:cs="Times New Roman"/>
          <w:sz w:val="24"/>
          <w:szCs w:val="24"/>
          <w:vertAlign w:val="superscript"/>
          <w:lang w:eastAsia="en-GB"/>
        </w:rPr>
        <w:t>−</w:t>
      </w:r>
      <w:r w:rsidRPr="00E45A7A">
        <w:rPr>
          <w:rFonts w:ascii="Times New Roman" w:eastAsia="Times New Roman" w:hAnsi="Times New Roman" w:cs="Times New Roman"/>
          <w:sz w:val="24"/>
          <w:szCs w:val="24"/>
          <w:lang w:eastAsia="en-GB"/>
        </w:rPr>
        <w:t>, and E</w:t>
      </w:r>
      <w:r w:rsidR="00CA4357">
        <w:rPr>
          <w:rFonts w:ascii="Times New Roman" w:eastAsia="Times New Roman" w:hAnsi="Times New Roman" w:cs="Times New Roman"/>
          <w:sz w:val="24"/>
          <w:szCs w:val="24"/>
          <w:lang w:eastAsia="en-GB"/>
        </w:rPr>
        <w:t>U</w:t>
      </w:r>
      <w:r w:rsidRPr="00E45A7A">
        <w:rPr>
          <w:rFonts w:ascii="Times New Roman" w:eastAsia="Times New Roman" w:hAnsi="Times New Roman" w:cs="Times New Roman"/>
          <w:sz w:val="24"/>
          <w:szCs w:val="24"/>
          <w:vertAlign w:val="superscript"/>
          <w:lang w:eastAsia="en-GB"/>
        </w:rPr>
        <w:t>−</w:t>
      </w:r>
      <w:r>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sz w:val="24"/>
          <w:szCs w:val="24"/>
          <w:lang w:eastAsia="en-GB"/>
        </w:rPr>
        <w:t>represent negative changes in energy variables,</w:t>
      </w:r>
      <w:r>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sz w:val="24"/>
          <w:szCs w:val="24"/>
          <w:lang w:eastAsia="en-GB"/>
        </w:rPr>
        <w:t>IF represents inflation as a control variable,</w:t>
      </w:r>
      <w:r>
        <w:rPr>
          <w:rFonts w:ascii="Times New Roman" w:eastAsia="Times New Roman" w:hAnsi="Times New Roman" w:cs="Times New Roman"/>
          <w:sz w:val="24"/>
          <w:szCs w:val="24"/>
          <w:lang w:eastAsia="en-GB"/>
        </w:rPr>
        <w:t xml:space="preserve"> and </w:t>
      </w:r>
      <w:proofErr w:type="spellStart"/>
      <w:r w:rsidRPr="00E45A7A">
        <w:rPr>
          <w:rFonts w:ascii="Times New Roman" w:eastAsia="Times New Roman" w:hAnsi="Times New Roman" w:cs="Times New Roman"/>
          <w:sz w:val="24"/>
          <w:szCs w:val="24"/>
          <w:lang w:eastAsia="en-GB"/>
        </w:rPr>
        <w:t>εt</w:t>
      </w:r>
      <w:proofErr w:type="spellEnd"/>
      <w:r w:rsidRPr="00E45A7A">
        <w:rPr>
          <w:rFonts w:ascii="Times New Roman" w:eastAsia="Times New Roman" w:hAnsi="Times New Roman" w:cs="Times New Roman"/>
          <w:sz w:val="24"/>
          <w:szCs w:val="24"/>
          <w:lang w:eastAsia="en-GB"/>
        </w:rPr>
        <w:t>​ represents the stochastic error term.</w:t>
      </w:r>
      <w:r w:rsidR="00C6192E">
        <w:rPr>
          <w:rFonts w:ascii="Times New Roman" w:eastAsia="Times New Roman" w:hAnsi="Times New Roman" w:cs="Times New Roman"/>
          <w:sz w:val="24"/>
          <w:szCs w:val="24"/>
          <w:lang w:eastAsia="en-GB"/>
        </w:rPr>
        <w:t xml:space="preserve"> </w:t>
      </w:r>
      <w:r w:rsidR="00C6192E">
        <w:rPr>
          <w:rFonts w:ascii="Times New Roman" w:eastAsia="Times New Roman" w:hAnsi="Times New Roman" w:cs="Times New Roman"/>
          <w:sz w:val="24"/>
          <w:szCs w:val="24"/>
        </w:rPr>
        <w:t>The equation 3 is further respecified i</w:t>
      </w:r>
      <w:r w:rsidR="00C6192E" w:rsidRPr="00C13971">
        <w:rPr>
          <w:rFonts w:ascii="Times New Roman" w:eastAsia="Times New Roman" w:hAnsi="Times New Roman" w:cs="Times New Roman"/>
          <w:sz w:val="24"/>
          <w:szCs w:val="24"/>
        </w:rPr>
        <w:t xml:space="preserve">n </w:t>
      </w:r>
      <w:r w:rsidR="00C6192E">
        <w:rPr>
          <w:rFonts w:ascii="Times New Roman" w:eastAsia="Times New Roman" w:hAnsi="Times New Roman" w:cs="Times New Roman"/>
          <w:sz w:val="24"/>
          <w:szCs w:val="24"/>
        </w:rPr>
        <w:t xml:space="preserve">a </w:t>
      </w:r>
      <w:r w:rsidR="00C6192E" w:rsidRPr="00C13971">
        <w:rPr>
          <w:rFonts w:ascii="Times New Roman" w:eastAsia="Times New Roman" w:hAnsi="Times New Roman" w:cs="Times New Roman"/>
          <w:sz w:val="24"/>
          <w:szCs w:val="24"/>
        </w:rPr>
        <w:t>dynamic NARDL form, with lags included,</w:t>
      </w:r>
      <w:r w:rsidR="00C6192E">
        <w:rPr>
          <w:rFonts w:ascii="Times New Roman" w:eastAsia="Times New Roman" w:hAnsi="Times New Roman" w:cs="Times New Roman"/>
          <w:sz w:val="24"/>
          <w:szCs w:val="24"/>
        </w:rPr>
        <w:t xml:space="preserve"> and</w:t>
      </w:r>
      <w:r w:rsidR="00C6192E" w:rsidRPr="00C13971">
        <w:rPr>
          <w:rFonts w:ascii="Times New Roman" w:eastAsia="Times New Roman" w:hAnsi="Times New Roman" w:cs="Times New Roman"/>
          <w:sz w:val="24"/>
          <w:szCs w:val="24"/>
        </w:rPr>
        <w:t xml:space="preserve"> the error correction model (ECM) representation </w:t>
      </w:r>
      <w:r w:rsidR="00C6192E">
        <w:rPr>
          <w:rFonts w:ascii="Times New Roman" w:eastAsia="Times New Roman" w:hAnsi="Times New Roman" w:cs="Times New Roman"/>
          <w:sz w:val="24"/>
          <w:szCs w:val="24"/>
        </w:rPr>
        <w:t xml:space="preserve">to arrive at equation 4 specified as: </w:t>
      </w:r>
    </w:p>
    <w:p w14:paraId="334E6E88" w14:textId="6967F942" w:rsidR="00C6192E" w:rsidRPr="00AD1AF5" w:rsidRDefault="00F740B3" w:rsidP="00C6192E">
      <w:pPr>
        <w:spacing w:before="240" w:line="240" w:lineRule="auto"/>
        <w:jc w:val="both"/>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lnHW</m:t>
              </m:r>
            </m:e>
            <m:sub>
              <m:r>
                <w:rPr>
                  <w:rFonts w:ascii="Cambria Math" w:eastAsia="Calibri" w:hAnsi="Cambria Math" w:cs="Times New Roman"/>
                  <w:sz w:val="24"/>
                  <w:szCs w:val="24"/>
                </w:rPr>
                <m:t>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m:t>
              </m:r>
              <m:r>
                <w:rPr>
                  <w:rFonts w:ascii="Cambria Math" w:eastAsia="Calibri" w:hAnsi="Cambria Math" w:cs="Times New Roman"/>
                  <w:sz w:val="24"/>
                  <w:szCs w:val="24"/>
                </w:rPr>
                <m:t>=0</m:t>
              </m:r>
            </m:sub>
            <m:sup>
              <m:r>
                <w:rPr>
                  <w:rFonts w:ascii="Cambria Math" w:eastAsia="Calibri" w:hAnsi="Cambria Math" w:cs="Times New Roman"/>
                  <w:sz w:val="24"/>
                  <w:szCs w:val="24"/>
                </w:rPr>
                <m:t>p</m:t>
              </m:r>
            </m:sup>
            <m:e>
              <m:sSub>
                <m:sSubPr>
                  <m:ctrlPr>
                    <w:rPr>
                      <w:rFonts w:ascii="Cambria Math" w:eastAsia="Calibri" w:hAnsi="Cambria Math" w:cs="Times New Roman"/>
                      <w:i/>
                      <w:sz w:val="24"/>
                      <w:szCs w:val="24"/>
                    </w:rPr>
                  </m:ctrlPr>
                </m:sSubPr>
                <m:e>
                  <m:r>
                    <w:rPr>
                      <w:rFonts w:ascii="Cambria Math" w:eastAsia="Times New Roman" w:hAnsi="Cambria Math" w:cs="Times New Roman"/>
                      <w:sz w:val="24"/>
                      <w:szCs w:val="24"/>
                      <w:lang w:eastAsia="en-GB"/>
                    </w:rPr>
                    <m:t>α</m:t>
                  </m:r>
                </m:e>
                <m:sub>
                  <m:r>
                    <w:rPr>
                      <w:rFonts w:ascii="Cambria Math" w:eastAsia="Calibri" w:hAnsi="Cambria Math" w:cs="Times New Roman"/>
                      <w:sz w:val="24"/>
                      <w:szCs w:val="24"/>
                    </w:rPr>
                    <m:t>1</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t>
                  </m:r>
                  <m:r>
                    <w:rPr>
                      <w:rFonts w:ascii="Cambria Math" w:eastAsia="Calibri" w:hAnsi="Cambria Math" w:cs="Times New Roman"/>
                      <w:sz w:val="24"/>
                      <w:szCs w:val="24"/>
                    </w:rPr>
                    <m:t>lnHW</m:t>
                  </m:r>
                </m:e>
                <m:sub>
                  <m:r>
                    <w:rPr>
                      <w:rFonts w:ascii="Cambria Math" w:eastAsia="Calibri" w:hAnsi="Cambria Math" w:cs="Times New Roman"/>
                      <w:sz w:val="24"/>
                      <w:szCs w:val="24"/>
                    </w:rPr>
                    <m:t>t</m:t>
                  </m:r>
                  <m:r>
                    <w:rPr>
                      <w:rFonts w:ascii="Cambria Math" w:eastAsia="Calibri" w:hAnsi="Cambria Math" w:cs="Times New Roman"/>
                      <w:sz w:val="24"/>
                      <w:szCs w:val="24"/>
                    </w:rPr>
                    <m:t>-</m:t>
                  </m:r>
                  <m:r>
                    <w:rPr>
                      <w:rFonts w:ascii="Cambria Math" w:eastAsia="Calibri" w:hAnsi="Cambria Math" w:cs="Times New Roman"/>
                      <w:sz w:val="24"/>
                      <w:szCs w:val="24"/>
                    </w:rPr>
                    <m:t>i</m:t>
                  </m:r>
                </m:sub>
              </m:sSub>
            </m:e>
          </m:nary>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m:t>
              </m:r>
              <m:r>
                <w:rPr>
                  <w:rFonts w:ascii="Cambria Math" w:eastAsia="Calibri" w:hAnsi="Cambria Math" w:cs="Times New Roman"/>
                  <w:sz w:val="24"/>
                  <w:szCs w:val="24"/>
                </w:rPr>
                <m:t>=0</m:t>
              </m:r>
            </m:sub>
            <m:sup>
              <m:r>
                <w:rPr>
                  <w:rFonts w:ascii="Cambria Math" w:eastAsia="Calibri" w:hAnsi="Cambria Math" w:cs="Times New Roman"/>
                  <w:sz w:val="24"/>
                  <w:szCs w:val="24"/>
                </w:rPr>
                <m:t>p</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r>
                    <w:rPr>
                      <w:rFonts w:ascii="Cambria Math" w:eastAsia="Times New Roman" w:hAnsi="Cambria Math" w:cs="Times New Roman"/>
                      <w:sz w:val="24"/>
                      <w:szCs w:val="24"/>
                      <w:lang w:eastAsia="en-GB"/>
                    </w:rPr>
                    <m:t>α</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m:t>
                  </m:r>
                </m:sup>
              </m:sSubSup>
              <m:r>
                <w:rPr>
                  <w:rFonts w:ascii="Cambria Math" w:eastAsia="Calibri" w:hAnsi="Cambria Math" w:cs="Times New Roman"/>
                  <w:sz w:val="24"/>
                  <w:szCs w:val="24"/>
                </w:rPr>
                <m:t>∆</m:t>
              </m:r>
              <m:r>
                <w:rPr>
                  <w:rFonts w:ascii="Cambria Math" w:eastAsia="Calibri" w:hAnsi="Cambria Math" w:cs="Times New Roman"/>
                  <w:sz w:val="24"/>
                  <w:szCs w:val="24"/>
                </w:rPr>
                <m:t xml:space="preserve"> </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InEA</m:t>
                  </m:r>
                </m:e>
                <m:sub>
                  <m:r>
                    <w:rPr>
                      <w:rFonts w:ascii="Cambria Math" w:eastAsia="Times New Roman" w:hAnsi="Cambria Math" w:cs="Times New Roman"/>
                      <w:sz w:val="24"/>
                      <w:szCs w:val="24"/>
                    </w:rPr>
                    <m:t>t</m:t>
                  </m:r>
                  <m:r>
                    <w:rPr>
                      <w:rFonts w:ascii="Cambria Math" w:eastAsia="Times New Roman" w:hAnsi="Cambria Math" w:cs="Times New Roman"/>
                      <w:sz w:val="24"/>
                      <w:szCs w:val="24"/>
                    </w:rPr>
                    <m:t>-</m:t>
                  </m:r>
                  <m:r>
                    <w:rPr>
                      <w:rFonts w:ascii="Cambria Math" w:eastAsia="Times New Roman" w:hAnsi="Cambria Math" w:cs="Times New Roman"/>
                      <w:sz w:val="24"/>
                      <w:szCs w:val="24"/>
                    </w:rPr>
                    <m:t>i</m:t>
                  </m:r>
                </m:sub>
                <m:sup>
                  <m:r>
                    <w:rPr>
                      <w:rFonts w:ascii="Cambria Math" w:eastAsia="Times New Roman" w:hAnsi="Cambria Math" w:cs="Times New Roman"/>
                      <w:sz w:val="24"/>
                      <w:szCs w:val="24"/>
                    </w:rPr>
                    <m:t>+</m:t>
                  </m:r>
                </m:sup>
              </m:sSubSup>
              <m:r>
                <w:rPr>
                  <w:rFonts w:ascii="Cambria Math" w:eastAsia="Calibri"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lang w:eastAsia="en-GB"/>
                    </w:rPr>
                    <m:t>α</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m:t>
                  </m:r>
                </m:sup>
              </m:sSubSup>
              <m:sSubSup>
                <m:sSubSupPr>
                  <m:ctrlPr>
                    <w:rPr>
                      <w:rFonts w:ascii="Cambria Math" w:eastAsia="Times New Roman" w:hAnsi="Cambria Math" w:cs="Times New Roman"/>
                      <w:i/>
                      <w:sz w:val="24"/>
                      <w:szCs w:val="24"/>
                    </w:rPr>
                  </m:ctrlPr>
                </m:sSubSupPr>
                <m:e>
                  <m:r>
                    <w:rPr>
                      <w:rFonts w:ascii="Cambria Math" w:eastAsia="Calibri" w:hAnsi="Cambria Math" w:cs="Times New Roman"/>
                      <w:sz w:val="24"/>
                      <w:szCs w:val="24"/>
                    </w:rPr>
                    <m:t>∆</m:t>
                  </m:r>
                  <m:r>
                    <w:rPr>
                      <w:rFonts w:ascii="Cambria Math" w:eastAsia="Calibri" w:hAnsi="Cambria Math" w:cs="Times New Roman"/>
                      <w:sz w:val="24"/>
                      <w:szCs w:val="24"/>
                    </w:rPr>
                    <m:t xml:space="preserve"> </m:t>
                  </m:r>
                  <m:r>
                    <w:rPr>
                      <w:rFonts w:ascii="Cambria Math" w:eastAsia="Times New Roman" w:hAnsi="Cambria Math" w:cs="Times New Roman"/>
                      <w:sz w:val="24"/>
                      <w:szCs w:val="24"/>
                    </w:rPr>
                    <m:t>InEA</m:t>
                  </m:r>
                </m:e>
                <m:sub>
                  <m:r>
                    <w:rPr>
                      <w:rFonts w:ascii="Cambria Math" w:eastAsia="Times New Roman" w:hAnsi="Cambria Math" w:cs="Times New Roman"/>
                      <w:sz w:val="24"/>
                      <w:szCs w:val="24"/>
                    </w:rPr>
                    <m:t>t</m:t>
                  </m:r>
                  <m:r>
                    <w:rPr>
                      <w:rFonts w:ascii="Cambria Math" w:eastAsia="Times New Roman" w:hAnsi="Cambria Math" w:cs="Times New Roman"/>
                      <w:sz w:val="24"/>
                      <w:szCs w:val="24"/>
                    </w:rPr>
                    <m:t>-</m:t>
                  </m:r>
                  <m:r>
                    <w:rPr>
                      <w:rFonts w:ascii="Cambria Math" w:eastAsia="Times New Roman" w:hAnsi="Cambria Math" w:cs="Times New Roman"/>
                      <w:sz w:val="24"/>
                      <w:szCs w:val="24"/>
                    </w:rPr>
                    <m:t>i</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e>
          </m:nary>
          <m:r>
            <w:rPr>
              <w:rFonts w:ascii="Cambria Math" w:eastAsia="Calibri" w:hAnsi="Cambria Math" w:cs="Times New Roman"/>
              <w:sz w:val="24"/>
              <w:szCs w:val="24"/>
            </w:rPr>
            <m:t xml:space="preserve">+ </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m:t>
              </m:r>
              <m:r>
                <w:rPr>
                  <w:rFonts w:ascii="Cambria Math" w:eastAsia="Calibri" w:hAnsi="Cambria Math" w:cs="Times New Roman"/>
                  <w:sz w:val="24"/>
                  <w:szCs w:val="24"/>
                </w:rPr>
                <m:t>=0</m:t>
              </m:r>
            </m:sub>
            <m:sup>
              <m:r>
                <w:rPr>
                  <w:rFonts w:ascii="Cambria Math" w:eastAsia="Calibri" w:hAnsi="Cambria Math" w:cs="Times New Roman"/>
                  <w:sz w:val="24"/>
                  <w:szCs w:val="24"/>
                </w:rPr>
                <m:t>p</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r>
                    <w:rPr>
                      <w:rFonts w:ascii="Cambria Math" w:eastAsia="Times New Roman" w:hAnsi="Cambria Math" w:cs="Times New Roman"/>
                      <w:sz w:val="24"/>
                      <w:szCs w:val="24"/>
                      <w:lang w:eastAsia="en-GB"/>
                    </w:rPr>
                    <m:t>α</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sSubSup>
                <m:sSubSupPr>
                  <m:ctrlPr>
                    <w:rPr>
                      <w:rFonts w:ascii="Cambria Math" w:eastAsia="Times New Roman" w:hAnsi="Cambria Math" w:cs="Times New Roman"/>
                      <w:i/>
                      <w:sz w:val="24"/>
                      <w:szCs w:val="24"/>
                    </w:rPr>
                  </m:ctrlPr>
                </m:sSubSupPr>
                <m:e>
                  <m:r>
                    <w:rPr>
                      <w:rFonts w:ascii="Cambria Math" w:eastAsia="Calibri" w:hAnsi="Cambria Math" w:cs="Times New Roman"/>
                      <w:sz w:val="24"/>
                      <w:szCs w:val="24"/>
                    </w:rPr>
                    <m:t>∆</m:t>
                  </m:r>
                  <m:r>
                    <w:rPr>
                      <w:rFonts w:ascii="Cambria Math" w:eastAsia="Calibri" w:hAnsi="Cambria Math" w:cs="Times New Roman"/>
                      <w:sz w:val="24"/>
                      <w:szCs w:val="24"/>
                    </w:rPr>
                    <m:t xml:space="preserve"> </m:t>
                  </m:r>
                  <m:r>
                    <w:rPr>
                      <w:rFonts w:ascii="Cambria Math" w:eastAsia="Times New Roman" w:hAnsi="Cambria Math" w:cs="Times New Roman"/>
                      <w:sz w:val="24"/>
                      <w:szCs w:val="24"/>
                    </w:rPr>
                    <m:t>InEC</m:t>
                  </m:r>
                </m:e>
                <m:sub>
                  <m:r>
                    <w:rPr>
                      <w:rFonts w:ascii="Cambria Math" w:eastAsia="Times New Roman" w:hAnsi="Cambria Math" w:cs="Times New Roman"/>
                      <w:sz w:val="24"/>
                      <w:szCs w:val="24"/>
                    </w:rPr>
                    <m:t>t</m:t>
                  </m:r>
                  <m:r>
                    <w:rPr>
                      <w:rFonts w:ascii="Cambria Math" w:eastAsia="Times New Roman" w:hAnsi="Cambria Math" w:cs="Times New Roman"/>
                      <w:sz w:val="24"/>
                      <w:szCs w:val="24"/>
                    </w:rPr>
                    <m:t>-</m:t>
                  </m:r>
                  <m:r>
                    <w:rPr>
                      <w:rFonts w:ascii="Cambria Math" w:eastAsia="Times New Roman" w:hAnsi="Cambria Math" w:cs="Times New Roman"/>
                      <w:sz w:val="24"/>
                      <w:szCs w:val="24"/>
                    </w:rPr>
                    <m:t>i</m:t>
                  </m:r>
                </m:sub>
                <m:sup>
                  <m:r>
                    <w:rPr>
                      <w:rFonts w:ascii="Cambria Math" w:eastAsia="Times New Roman" w:hAnsi="Cambria Math" w:cs="Times New Roman"/>
                      <w:sz w:val="24"/>
                      <w:szCs w:val="24"/>
                    </w:rPr>
                    <m:t>+</m:t>
                  </m:r>
                </m:sup>
              </m:sSubSup>
              <m:r>
                <w:rPr>
                  <w:rFonts w:ascii="Cambria Math" w:eastAsia="Calibri"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lang w:eastAsia="en-GB"/>
                    </w:rPr>
                    <m:t>α</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r>
                <w:rPr>
                  <w:rFonts w:ascii="Cambria Math" w:eastAsia="Calibri" w:hAnsi="Cambria Math" w:cs="Times New Roman"/>
                  <w:sz w:val="24"/>
                  <w:szCs w:val="24"/>
                </w:rPr>
                <m:t>∆</m:t>
              </m:r>
              <m:r>
                <w:rPr>
                  <w:rFonts w:ascii="Cambria Math" w:eastAsia="Calibri" w:hAnsi="Cambria Math" w:cs="Times New Roman"/>
                  <w:sz w:val="24"/>
                  <w:szCs w:val="24"/>
                </w:rPr>
                <m:t xml:space="preserve"> </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InEC</m:t>
                  </m:r>
                </m:e>
                <m:sub>
                  <m:r>
                    <w:rPr>
                      <w:rFonts w:ascii="Cambria Math" w:eastAsia="Times New Roman" w:hAnsi="Cambria Math" w:cs="Times New Roman"/>
                      <w:sz w:val="24"/>
                      <w:szCs w:val="24"/>
                    </w:rPr>
                    <m:t>t</m:t>
                  </m:r>
                  <m:r>
                    <w:rPr>
                      <w:rFonts w:ascii="Cambria Math" w:eastAsia="Times New Roman" w:hAnsi="Cambria Math" w:cs="Times New Roman"/>
                      <w:sz w:val="24"/>
                      <w:szCs w:val="24"/>
                    </w:rPr>
                    <m:t>-</m:t>
                  </m:r>
                  <m:r>
                    <w:rPr>
                      <w:rFonts w:ascii="Cambria Math" w:eastAsia="Times New Roman" w:hAnsi="Cambria Math" w:cs="Times New Roman"/>
                      <w:sz w:val="24"/>
                      <w:szCs w:val="24"/>
                    </w:rPr>
                    <m:t>i</m:t>
                  </m:r>
                </m:sub>
                <m:sup>
                  <m:r>
                    <w:rPr>
                      <w:rFonts w:ascii="Cambria Math" w:eastAsia="Times New Roman" w:hAnsi="Cambria Math" w:cs="Times New Roman"/>
                      <w:sz w:val="24"/>
                      <w:szCs w:val="24"/>
                    </w:rPr>
                    <m:t>-</m:t>
                  </m:r>
                </m:sup>
              </m:sSubSup>
            </m:e>
          </m:nary>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m:t>
              </m:r>
              <m:r>
                <w:rPr>
                  <w:rFonts w:ascii="Cambria Math" w:eastAsia="Calibri" w:hAnsi="Cambria Math" w:cs="Times New Roman"/>
                  <w:sz w:val="24"/>
                  <w:szCs w:val="24"/>
                </w:rPr>
                <m:t>=0</m:t>
              </m:r>
            </m:sub>
            <m:sup>
              <m:r>
                <w:rPr>
                  <w:rFonts w:ascii="Cambria Math" w:eastAsia="Calibri" w:hAnsi="Cambria Math" w:cs="Times New Roman"/>
                  <w:sz w:val="24"/>
                  <w:szCs w:val="24"/>
                </w:rPr>
                <m:t>p</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r>
                    <w:rPr>
                      <w:rFonts w:ascii="Cambria Math" w:eastAsia="Times New Roman" w:hAnsi="Cambria Math" w:cs="Times New Roman"/>
                      <w:sz w:val="24"/>
                      <w:szCs w:val="24"/>
                      <w:lang w:eastAsia="en-GB"/>
                    </w:rPr>
                    <m:t>α</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m:t>
                  </m:r>
                </m:sup>
              </m:sSubSup>
              <m:sSubSup>
                <m:sSubSupPr>
                  <m:ctrlPr>
                    <w:rPr>
                      <w:rFonts w:ascii="Cambria Math" w:eastAsia="Times New Roman" w:hAnsi="Cambria Math" w:cs="Times New Roman"/>
                      <w:i/>
                      <w:sz w:val="24"/>
                      <w:szCs w:val="24"/>
                    </w:rPr>
                  </m:ctrlPr>
                </m:sSubSupPr>
                <m:e>
                  <m:r>
                    <w:rPr>
                      <w:rFonts w:ascii="Cambria Math" w:eastAsia="Calibri" w:hAnsi="Cambria Math" w:cs="Times New Roman"/>
                      <w:sz w:val="24"/>
                      <w:szCs w:val="24"/>
                    </w:rPr>
                    <m:t>∆</m:t>
                  </m:r>
                  <m:r>
                    <w:rPr>
                      <w:rFonts w:ascii="Cambria Math" w:eastAsia="Calibri" w:hAnsi="Cambria Math" w:cs="Times New Roman"/>
                      <w:sz w:val="24"/>
                      <w:szCs w:val="24"/>
                    </w:rPr>
                    <m:t xml:space="preserve"> </m:t>
                  </m:r>
                  <m:r>
                    <w:rPr>
                      <w:rFonts w:ascii="Cambria Math" w:eastAsia="Times New Roman" w:hAnsi="Cambria Math" w:cs="Times New Roman"/>
                      <w:sz w:val="24"/>
                      <w:szCs w:val="24"/>
                    </w:rPr>
                    <m:t>InEU</m:t>
                  </m:r>
                </m:e>
                <m:sub>
                  <m:r>
                    <w:rPr>
                      <w:rFonts w:ascii="Cambria Math" w:eastAsia="Times New Roman" w:hAnsi="Cambria Math" w:cs="Times New Roman"/>
                      <w:sz w:val="24"/>
                      <w:szCs w:val="24"/>
                    </w:rPr>
                    <m:t>t</m:t>
                  </m:r>
                  <m:r>
                    <w:rPr>
                      <w:rFonts w:ascii="Cambria Math" w:eastAsia="Times New Roman" w:hAnsi="Cambria Math" w:cs="Times New Roman"/>
                      <w:sz w:val="24"/>
                      <w:szCs w:val="24"/>
                    </w:rPr>
                    <m:t>-</m:t>
                  </m:r>
                  <m:r>
                    <w:rPr>
                      <w:rFonts w:ascii="Cambria Math" w:eastAsia="Times New Roman" w:hAnsi="Cambria Math" w:cs="Times New Roman"/>
                      <w:sz w:val="24"/>
                      <w:szCs w:val="24"/>
                    </w:rPr>
                    <m:t>i</m:t>
                  </m:r>
                </m:sub>
                <m:sup>
                  <m:r>
                    <w:rPr>
                      <w:rFonts w:ascii="Cambria Math" w:eastAsia="Times New Roman" w:hAnsi="Cambria Math" w:cs="Times New Roman"/>
                      <w:sz w:val="24"/>
                      <w:szCs w:val="24"/>
                    </w:rPr>
                    <m:t>+</m:t>
                  </m:r>
                </m:sup>
              </m:sSubSup>
              <m:r>
                <w:rPr>
                  <w:rFonts w:ascii="Cambria Math" w:eastAsia="Calibri"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lang w:eastAsia="en-GB"/>
                    </w:rPr>
                    <m:t>α</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m:t>
                  </m:r>
                </m:sup>
              </m:sSubSup>
              <m:r>
                <w:rPr>
                  <w:rFonts w:ascii="Cambria Math" w:eastAsia="Calibri" w:hAnsi="Cambria Math" w:cs="Times New Roman"/>
                  <w:sz w:val="24"/>
                  <w:szCs w:val="24"/>
                </w:rPr>
                <m:t>∆</m:t>
              </m:r>
              <m:r>
                <w:rPr>
                  <w:rFonts w:ascii="Cambria Math" w:eastAsia="Calibri" w:hAnsi="Cambria Math" w:cs="Times New Roman"/>
                  <w:sz w:val="24"/>
                  <w:szCs w:val="24"/>
                </w:rPr>
                <m:t xml:space="preserve"> </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InEU</m:t>
                  </m:r>
                </m:e>
                <m:sub>
                  <m:r>
                    <w:rPr>
                      <w:rFonts w:ascii="Cambria Math" w:eastAsia="Times New Roman" w:hAnsi="Cambria Math" w:cs="Times New Roman"/>
                      <w:sz w:val="24"/>
                      <w:szCs w:val="24"/>
                    </w:rPr>
                    <m:t>t</m:t>
                  </m:r>
                  <m:r>
                    <w:rPr>
                      <w:rFonts w:ascii="Cambria Math" w:eastAsia="Times New Roman" w:hAnsi="Cambria Math" w:cs="Times New Roman"/>
                      <w:sz w:val="24"/>
                      <w:szCs w:val="24"/>
                    </w:rPr>
                    <m:t>-</m:t>
                  </m:r>
                  <m:r>
                    <w:rPr>
                      <w:rFonts w:ascii="Cambria Math" w:eastAsia="Times New Roman" w:hAnsi="Cambria Math" w:cs="Times New Roman"/>
                      <w:sz w:val="24"/>
                      <w:szCs w:val="24"/>
                    </w:rPr>
                    <m:t>i</m:t>
                  </m:r>
                </m:sub>
                <m:sup>
                  <m:r>
                    <w:rPr>
                      <w:rFonts w:ascii="Cambria Math" w:eastAsia="Times New Roman" w:hAnsi="Cambria Math" w:cs="Times New Roman"/>
                      <w:sz w:val="24"/>
                      <w:szCs w:val="24"/>
                    </w:rPr>
                    <m:t>-</m:t>
                  </m:r>
                </m:sup>
              </m:sSubSup>
            </m:e>
          </m:nary>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m:t>
              </m:r>
              <m:r>
                <w:rPr>
                  <w:rFonts w:ascii="Cambria Math" w:eastAsia="Calibri" w:hAnsi="Cambria Math" w:cs="Times New Roman"/>
                  <w:sz w:val="24"/>
                  <w:szCs w:val="24"/>
                </w:rPr>
                <m:t>=0</m:t>
              </m:r>
            </m:sub>
            <m:sup>
              <m:r>
                <w:rPr>
                  <w:rFonts w:ascii="Cambria Math" w:eastAsia="Calibri" w:hAnsi="Cambria Math" w:cs="Times New Roman"/>
                  <w:sz w:val="24"/>
                  <w:szCs w:val="24"/>
                </w:rPr>
                <m:t>p</m:t>
              </m:r>
            </m:sup>
            <m:e>
              <m:sSub>
                <m:sSubPr>
                  <m:ctrlPr>
                    <w:rPr>
                      <w:rFonts w:ascii="Cambria Math" w:eastAsia="Calibri" w:hAnsi="Cambria Math" w:cs="Times New Roman"/>
                      <w:i/>
                      <w:sz w:val="24"/>
                      <w:szCs w:val="24"/>
                    </w:rPr>
                  </m:ctrlPr>
                </m:sSubPr>
                <m:e>
                  <m:r>
                    <w:rPr>
                      <w:rFonts w:ascii="Cambria Math" w:eastAsia="Times New Roman" w:hAnsi="Cambria Math" w:cs="Times New Roman"/>
                      <w:sz w:val="24"/>
                      <w:szCs w:val="24"/>
                      <w:lang w:eastAsia="en-GB"/>
                    </w:rPr>
                    <m:t>α</m:t>
                  </m:r>
                </m:e>
                <m:sub>
                  <m:r>
                    <w:rPr>
                      <w:rFonts w:ascii="Cambria Math" w:eastAsia="Calibri" w:hAnsi="Cambria Math" w:cs="Times New Roman"/>
                      <w:sz w:val="24"/>
                      <w:szCs w:val="24"/>
                    </w:rPr>
                    <m:t>5</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t>
                  </m:r>
                  <m:r>
                    <w:rPr>
                      <w:rFonts w:ascii="Cambria Math" w:eastAsia="Calibri" w:hAnsi="Cambria Math" w:cs="Times New Roman"/>
                      <w:sz w:val="24"/>
                      <w:szCs w:val="24"/>
                    </w:rPr>
                    <m:t>lnEG</m:t>
                  </m:r>
                </m:e>
                <m:sub>
                  <m:r>
                    <w:rPr>
                      <w:rFonts w:ascii="Cambria Math" w:eastAsia="Calibri" w:hAnsi="Cambria Math" w:cs="Times New Roman"/>
                      <w:sz w:val="24"/>
                      <w:szCs w:val="24"/>
                    </w:rPr>
                    <m:t>t</m:t>
                  </m:r>
                  <m:r>
                    <w:rPr>
                      <w:rFonts w:ascii="Cambria Math" w:eastAsia="Calibri" w:hAnsi="Cambria Math" w:cs="Times New Roman"/>
                      <w:sz w:val="24"/>
                      <w:szCs w:val="24"/>
                    </w:rPr>
                    <m:t>-</m:t>
                  </m:r>
                  <m:r>
                    <w:rPr>
                      <w:rFonts w:ascii="Cambria Math" w:eastAsia="Calibri" w:hAnsi="Cambria Math" w:cs="Times New Roman"/>
                      <w:sz w:val="24"/>
                      <w:szCs w:val="24"/>
                    </w:rPr>
                    <m:t>i</m:t>
                  </m:r>
                </m:sub>
              </m:sSub>
            </m:e>
          </m:nary>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m:t>
              </m:r>
              <m:r>
                <w:rPr>
                  <w:rFonts w:ascii="Cambria Math" w:eastAsia="Calibri" w:hAnsi="Cambria Math" w:cs="Times New Roman"/>
                  <w:sz w:val="24"/>
                  <w:szCs w:val="24"/>
                </w:rPr>
                <m:t>=0</m:t>
              </m:r>
            </m:sub>
            <m:sup>
              <m:r>
                <w:rPr>
                  <w:rFonts w:ascii="Cambria Math" w:eastAsia="Calibri" w:hAnsi="Cambria Math" w:cs="Times New Roman"/>
                  <w:sz w:val="24"/>
                  <w:szCs w:val="24"/>
                </w:rPr>
                <m:t>p</m:t>
              </m:r>
            </m:sup>
            <m:e>
              <m:sSub>
                <m:sSubPr>
                  <m:ctrlPr>
                    <w:rPr>
                      <w:rFonts w:ascii="Cambria Math" w:eastAsia="Calibri" w:hAnsi="Cambria Math" w:cs="Times New Roman"/>
                      <w:i/>
                      <w:sz w:val="24"/>
                      <w:szCs w:val="24"/>
                    </w:rPr>
                  </m:ctrlPr>
                </m:sSubPr>
                <m:e>
                  <m:r>
                    <w:rPr>
                      <w:rFonts w:ascii="Cambria Math" w:eastAsia="Times New Roman" w:hAnsi="Cambria Math" w:cs="Times New Roman"/>
                      <w:sz w:val="24"/>
                      <w:szCs w:val="24"/>
                      <w:lang w:eastAsia="en-GB"/>
                    </w:rPr>
                    <m:t>α</m:t>
                  </m:r>
                </m:e>
                <m:sub>
                  <m:r>
                    <w:rPr>
                      <w:rFonts w:ascii="Cambria Math" w:eastAsia="Calibri" w:hAnsi="Cambria Math" w:cs="Times New Roman"/>
                      <w:sz w:val="24"/>
                      <w:szCs w:val="24"/>
                    </w:rPr>
                    <m:t>6</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t>
                  </m:r>
                  <m:r>
                    <w:rPr>
                      <w:rFonts w:ascii="Cambria Math" w:eastAsia="Calibri" w:hAnsi="Cambria Math" w:cs="Times New Roman"/>
                      <w:sz w:val="24"/>
                      <w:szCs w:val="24"/>
                    </w:rPr>
                    <m:t>lnIF</m:t>
                  </m:r>
                </m:e>
                <m:sub>
                  <m:r>
                    <w:rPr>
                      <w:rFonts w:ascii="Cambria Math" w:eastAsia="Calibri" w:hAnsi="Cambria Math" w:cs="Times New Roman"/>
                      <w:sz w:val="24"/>
                      <w:szCs w:val="24"/>
                    </w:rPr>
                    <m:t>t</m:t>
                  </m:r>
                  <m:r>
                    <w:rPr>
                      <w:rFonts w:ascii="Cambria Math" w:eastAsia="Calibri" w:hAnsi="Cambria Math" w:cs="Times New Roman"/>
                      <w:sz w:val="24"/>
                      <w:szCs w:val="24"/>
                    </w:rPr>
                    <m:t>-</m:t>
                  </m:r>
                  <m:r>
                    <w:rPr>
                      <w:rFonts w:ascii="Cambria Math" w:eastAsia="Calibri" w:hAnsi="Cambria Math" w:cs="Times New Roman"/>
                      <w:sz w:val="24"/>
                      <w:szCs w:val="24"/>
                    </w:rPr>
                    <m:t>i</m:t>
                  </m:r>
                </m:sub>
              </m:sSub>
            </m:e>
          </m:nary>
          <m:r>
            <w:rPr>
              <w:rFonts w:ascii="Cambria Math" w:eastAsia="Calibri" w:hAnsi="Cambria Math" w:cs="Times New Roman"/>
              <w:sz w:val="24"/>
              <w:szCs w:val="24"/>
            </w:rPr>
            <m:t>+</m:t>
          </m:r>
          <m:r>
            <m:rPr>
              <m:sty m:val="p"/>
            </m:rPr>
            <w:rPr>
              <w:rFonts w:ascii="Cambria Math" w:hAnsi="Cambria Math"/>
            </w:rPr>
            <m:t>ϕ</m:t>
          </m:r>
          <m:r>
            <w:rPr>
              <w:rFonts w:ascii="Cambria Math" w:eastAsia="Calibri" w:hAnsi="Cambria Math" w:cs="Times New Roman"/>
              <w:sz w:val="24"/>
              <w:szCs w:val="24"/>
            </w:rPr>
            <m:t>ECM</m:t>
          </m:r>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μ</m:t>
              </m:r>
            </m:e>
            <m:sub>
              <m:r>
                <w:rPr>
                  <w:rFonts w:ascii="Cambria Math" w:eastAsia="Calibri" w:hAnsi="Cambria Math" w:cs="Times New Roman"/>
                  <w:sz w:val="24"/>
                  <w:szCs w:val="24"/>
                </w:rPr>
                <m:t>t</m:t>
              </m:r>
            </m:sub>
          </m:sSub>
        </m:oMath>
      </m:oMathPara>
    </w:p>
    <w:p w14:paraId="62F3306B" w14:textId="77777777" w:rsidR="00C6192E" w:rsidRPr="00E93BDE" w:rsidRDefault="00C6192E" w:rsidP="00C6192E">
      <w:pPr>
        <w:spacing w:before="240" w:line="240" w:lineRule="auto"/>
        <w:rPr>
          <w:rFonts w:ascii="Times New Roman" w:eastAsia="Times New Roman" w:hAnsi="Times New Roman" w:cs="Times New Roman"/>
          <w:sz w:val="24"/>
          <w:szCs w:val="24"/>
          <w:lang w:eastAsia="en-GB"/>
        </w:rPr>
      </w:pPr>
      <w:r w:rsidRPr="00E93BDE">
        <w:rPr>
          <w:rFonts w:ascii="Times New Roman" w:eastAsia="Times New Roman" w:hAnsi="Times New Roman" w:cs="Times New Roman"/>
          <w:sz w:val="24"/>
          <w:szCs w:val="24"/>
          <w:lang w:eastAsia="en-GB"/>
        </w:rPr>
        <w:t>Where:</w:t>
      </w:r>
    </w:p>
    <w:p w14:paraId="7BD11A67" w14:textId="11130D23" w:rsidR="00E45A7A" w:rsidRPr="00E45A7A" w:rsidRDefault="00C6192E" w:rsidP="00C6192E">
      <w:pPr>
        <w:spacing w:before="240" w:line="240" w:lineRule="auto"/>
        <w:jc w:val="both"/>
        <w:rPr>
          <w:rFonts w:ascii="Times New Roman" w:eastAsia="Times New Roman" w:hAnsi="Times New Roman" w:cs="Times New Roman"/>
          <w:sz w:val="24"/>
          <w:szCs w:val="24"/>
          <w:lang w:eastAsia="en-GB"/>
        </w:rPr>
      </w:pPr>
      <w:r w:rsidRPr="00E93BDE">
        <w:rPr>
          <w:rFonts w:ascii="Times New Roman" w:eastAsia="Times New Roman" w:hAnsi="Times New Roman" w:cs="Times New Roman"/>
          <w:sz w:val="24"/>
          <w:szCs w:val="24"/>
          <w:lang w:eastAsia="en-GB"/>
        </w:rPr>
        <w:t>Δ is the first-difference operator.</w:t>
      </w:r>
      <w:r w:rsidR="0084223A">
        <w:rPr>
          <w:rFonts w:ascii="Times New Roman" w:eastAsia="Times New Roman" w:hAnsi="Times New Roman" w:cs="Times New Roman"/>
          <w:sz w:val="24"/>
          <w:szCs w:val="24"/>
          <w:lang w:eastAsia="en-GB"/>
        </w:rPr>
        <w:t xml:space="preserve"> </w:t>
      </w:r>
      <w:r w:rsidRPr="00E93BDE">
        <w:rPr>
          <w:rFonts w:ascii="Times New Roman" w:eastAsia="Times New Roman" w:hAnsi="Times New Roman" w:cs="Times New Roman"/>
          <w:sz w:val="24"/>
          <w:szCs w:val="24"/>
          <w:lang w:eastAsia="en-GB"/>
        </w:rPr>
        <w:t>ECT</w:t>
      </w:r>
      <w:r w:rsidRPr="00E93BDE">
        <w:rPr>
          <w:rFonts w:ascii="Times New Roman" w:eastAsia="Times New Roman" w:hAnsi="Times New Roman" w:cs="Times New Roman"/>
          <w:sz w:val="24"/>
          <w:szCs w:val="24"/>
          <w:vertAlign w:val="subscript"/>
          <w:lang w:eastAsia="en-GB"/>
        </w:rPr>
        <w:t>t−1</w:t>
      </w:r>
      <w:r w:rsidRPr="00E93BDE">
        <w:rPr>
          <w:rFonts w:ascii="Times New Roman" w:eastAsia="Times New Roman" w:hAnsi="Times New Roman" w:cs="Times New Roman"/>
          <w:sz w:val="24"/>
          <w:szCs w:val="24"/>
          <w:lang w:eastAsia="en-GB"/>
        </w:rPr>
        <w:t>​ is the error correction term derived from the long-run equation.</w:t>
      </w:r>
      <w:r w:rsidR="0084223A">
        <w:rPr>
          <w:rFonts w:ascii="Times New Roman" w:eastAsia="Times New Roman" w:hAnsi="Times New Roman" w:cs="Times New Roman"/>
          <w:sz w:val="24"/>
          <w:szCs w:val="24"/>
          <w:lang w:eastAsia="en-GB"/>
        </w:rPr>
        <w:t xml:space="preserve"> </w:t>
      </w:r>
      <w:r w:rsidRPr="00E93BDE">
        <w:rPr>
          <w:rFonts w:ascii="Times New Roman" w:eastAsia="Times New Roman" w:hAnsi="Times New Roman" w:cs="Times New Roman"/>
          <w:sz w:val="24"/>
          <w:szCs w:val="24"/>
          <w:lang w:eastAsia="en-GB"/>
        </w:rPr>
        <w:t>ϕ is the speed of adjustment coefficient.</w:t>
      </w:r>
      <w:r w:rsidR="0084223A">
        <w:rPr>
          <w:rFonts w:ascii="Times New Roman" w:eastAsia="Times New Roman" w:hAnsi="Times New Roman" w:cs="Times New Roman"/>
          <w:sz w:val="24"/>
          <w:szCs w:val="24"/>
          <w:lang w:eastAsia="en-GB"/>
        </w:rPr>
        <w:t xml:space="preserve"> </w:t>
      </w:r>
      <w:r w:rsidRPr="00E93BDE">
        <w:rPr>
          <w:rFonts w:ascii="Times New Roman" w:eastAsia="Times New Roman" w:hAnsi="Times New Roman" w:cs="Times New Roman"/>
          <w:sz w:val="24"/>
          <w:szCs w:val="24"/>
          <w:lang w:eastAsia="en-GB"/>
        </w:rPr>
        <w:t>Δ</w:t>
      </w:r>
      <w:r>
        <w:rPr>
          <w:rFonts w:ascii="Times New Roman" w:eastAsia="Times New Roman" w:hAnsi="Times New Roman" w:cs="Times New Roman"/>
          <w:sz w:val="24"/>
          <w:szCs w:val="24"/>
          <w:vertAlign w:val="subscript"/>
          <w:lang w:eastAsia="en-GB"/>
        </w:rPr>
        <w:t>2</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δ</w:t>
      </w:r>
      <w:r>
        <w:rPr>
          <w:rFonts w:ascii="Times New Roman" w:eastAsia="Times New Roman" w:hAnsi="Times New Roman" w:cs="Times New Roman"/>
          <w:sz w:val="24"/>
          <w:szCs w:val="24"/>
          <w:vertAlign w:val="subscript"/>
          <w:lang w:eastAsia="en-GB"/>
        </w:rPr>
        <w:t>2</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δ</w:t>
      </w:r>
      <w:r>
        <w:rPr>
          <w:rFonts w:ascii="Times New Roman" w:eastAsia="Times New Roman" w:hAnsi="Times New Roman" w:cs="Times New Roman"/>
          <w:sz w:val="24"/>
          <w:szCs w:val="24"/>
          <w:vertAlign w:val="subscript"/>
          <w:lang w:eastAsia="en-GB"/>
        </w:rPr>
        <w:t>3</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δ</w:t>
      </w:r>
      <w:r>
        <w:rPr>
          <w:rFonts w:ascii="Times New Roman" w:eastAsia="Times New Roman" w:hAnsi="Times New Roman" w:cs="Times New Roman"/>
          <w:sz w:val="24"/>
          <w:szCs w:val="24"/>
          <w:vertAlign w:val="subscript"/>
          <w:lang w:eastAsia="en-GB"/>
        </w:rPr>
        <w:t>3</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r w:rsidR="00B35CCE">
        <w:rPr>
          <w:rFonts w:ascii="Times New Roman" w:eastAsia="Times New Roman" w:hAnsi="Times New Roman" w:cs="Times New Roman"/>
          <w:sz w:val="24"/>
          <w:szCs w:val="24"/>
          <w:lang w:eastAsia="en-GB"/>
        </w:rPr>
        <w:t xml:space="preserve"> </w:t>
      </w:r>
      <w:r w:rsidRPr="00E93BDE">
        <w:rPr>
          <w:rFonts w:ascii="Times New Roman" w:eastAsia="Times New Roman" w:hAnsi="Times New Roman" w:cs="Times New Roman"/>
          <w:sz w:val="24"/>
          <w:szCs w:val="24"/>
          <w:lang w:eastAsia="en-GB"/>
        </w:rPr>
        <w:t>δ</w:t>
      </w:r>
      <w:r w:rsidRPr="00AD1AF5">
        <w:rPr>
          <w:rFonts w:ascii="Times New Roman" w:eastAsia="Times New Roman" w:hAnsi="Times New Roman" w:cs="Times New Roman"/>
          <w:sz w:val="24"/>
          <w:szCs w:val="24"/>
          <w:vertAlign w:val="subscript"/>
          <w:lang w:eastAsia="en-GB"/>
        </w:rPr>
        <w:t>4</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δ</w:t>
      </w:r>
      <w:r>
        <w:rPr>
          <w:rFonts w:ascii="Times New Roman" w:eastAsia="Times New Roman" w:hAnsi="Times New Roman" w:cs="Times New Roman"/>
          <w:sz w:val="24"/>
          <w:szCs w:val="24"/>
          <w:vertAlign w:val="subscript"/>
          <w:lang w:eastAsia="en-GB"/>
        </w:rPr>
        <w:t>4</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capture the short-run asymmetries.</w:t>
      </w:r>
      <w:r w:rsidR="0084223A">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i/>
          <w:iCs/>
          <w:sz w:val="24"/>
          <w:szCs w:val="24"/>
          <w:lang w:eastAsia="en-GB"/>
        </w:rPr>
        <w:t>α</w:t>
      </w:r>
      <w:r>
        <w:rPr>
          <w:rFonts w:ascii="Times New Roman" w:eastAsia="Times New Roman" w:hAnsi="Times New Roman" w:cs="Times New Roman"/>
          <w:sz w:val="24"/>
          <w:szCs w:val="24"/>
          <w:vertAlign w:val="subscript"/>
          <w:lang w:eastAsia="en-GB"/>
        </w:rPr>
        <w:t>2</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i/>
          <w:iCs/>
          <w:sz w:val="24"/>
          <w:szCs w:val="24"/>
          <w:lang w:eastAsia="en-GB"/>
        </w:rPr>
        <w:t>α</w:t>
      </w:r>
      <w:r>
        <w:rPr>
          <w:rFonts w:ascii="Times New Roman" w:eastAsia="Times New Roman" w:hAnsi="Times New Roman" w:cs="Times New Roman"/>
          <w:sz w:val="24"/>
          <w:szCs w:val="24"/>
          <w:vertAlign w:val="subscript"/>
          <w:lang w:eastAsia="en-GB"/>
        </w:rPr>
        <w:t>2</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i/>
          <w:iCs/>
          <w:sz w:val="24"/>
          <w:szCs w:val="24"/>
          <w:lang w:eastAsia="en-GB"/>
        </w:rPr>
        <w:t>α</w:t>
      </w:r>
      <w:r>
        <w:rPr>
          <w:rFonts w:ascii="Times New Roman" w:eastAsia="Times New Roman" w:hAnsi="Times New Roman" w:cs="Times New Roman"/>
          <w:sz w:val="24"/>
          <w:szCs w:val="24"/>
          <w:vertAlign w:val="subscript"/>
          <w:lang w:eastAsia="en-GB"/>
        </w:rPr>
        <w:t>3</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i/>
          <w:iCs/>
          <w:sz w:val="24"/>
          <w:szCs w:val="24"/>
          <w:lang w:eastAsia="en-GB"/>
        </w:rPr>
        <w:t>α</w:t>
      </w:r>
      <w:r>
        <w:rPr>
          <w:rFonts w:ascii="Times New Roman" w:eastAsia="Times New Roman" w:hAnsi="Times New Roman" w:cs="Times New Roman"/>
          <w:sz w:val="24"/>
          <w:szCs w:val="24"/>
          <w:vertAlign w:val="subscript"/>
          <w:lang w:eastAsia="en-GB"/>
        </w:rPr>
        <w:t>3</w:t>
      </w:r>
      <w:r w:rsidRPr="00E93BDE">
        <w:rPr>
          <w:rFonts w:ascii="Times New Roman" w:eastAsia="Times New Roman" w:hAnsi="Times New Roman" w:cs="Times New Roman"/>
          <w:sz w:val="24"/>
          <w:szCs w:val="24"/>
          <w:vertAlign w:val="superscript"/>
          <w:lang w:eastAsia="en-GB"/>
        </w:rPr>
        <w:t>−</w:t>
      </w:r>
      <w:r>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i/>
          <w:iCs/>
          <w:sz w:val="24"/>
          <w:szCs w:val="24"/>
          <w:lang w:eastAsia="en-GB"/>
        </w:rPr>
        <w:t>α</w:t>
      </w:r>
      <w:r>
        <w:rPr>
          <w:rFonts w:ascii="Times New Roman" w:eastAsia="Times New Roman" w:hAnsi="Times New Roman" w:cs="Times New Roman"/>
          <w:sz w:val="24"/>
          <w:szCs w:val="24"/>
          <w:vertAlign w:val="subscript"/>
          <w:lang w:eastAsia="en-GB"/>
        </w:rPr>
        <w:t>4</w:t>
      </w:r>
      <w:r w:rsidRPr="00E93BDE">
        <w:rPr>
          <w:rFonts w:ascii="Times New Roman" w:eastAsia="Times New Roman" w:hAnsi="Times New Roman" w:cs="Times New Roman"/>
          <w:sz w:val="24"/>
          <w:szCs w:val="24"/>
          <w:vertAlign w:val="superscript"/>
          <w:lang w:eastAsia="en-GB"/>
        </w:rPr>
        <w:t>+</w:t>
      </w:r>
      <w:r w:rsidRPr="00E93BDE">
        <w:rPr>
          <w:rFonts w:ascii="Times New Roman" w:eastAsia="Times New Roman" w:hAnsi="Times New Roman" w:cs="Times New Roman"/>
          <w:sz w:val="24"/>
          <w:szCs w:val="24"/>
          <w:lang w:eastAsia="en-GB"/>
        </w:rPr>
        <w:t xml:space="preserve">, </w:t>
      </w:r>
      <w:r w:rsidRPr="00E45A7A">
        <w:rPr>
          <w:rFonts w:ascii="Times New Roman" w:eastAsia="Times New Roman" w:hAnsi="Times New Roman" w:cs="Times New Roman"/>
          <w:i/>
          <w:iCs/>
          <w:sz w:val="24"/>
          <w:szCs w:val="24"/>
          <w:lang w:eastAsia="en-GB"/>
        </w:rPr>
        <w:t>α</w:t>
      </w:r>
      <w:r>
        <w:rPr>
          <w:rFonts w:ascii="Times New Roman" w:eastAsia="Times New Roman" w:hAnsi="Times New Roman" w:cs="Times New Roman"/>
          <w:sz w:val="24"/>
          <w:szCs w:val="24"/>
          <w:vertAlign w:val="subscript"/>
          <w:lang w:eastAsia="en-GB"/>
        </w:rPr>
        <w:t>4</w:t>
      </w:r>
      <w:r w:rsidRPr="00E93BDE">
        <w:rPr>
          <w:rFonts w:ascii="Times New Roman" w:eastAsia="Times New Roman" w:hAnsi="Times New Roman" w:cs="Times New Roman"/>
          <w:sz w:val="24"/>
          <w:szCs w:val="24"/>
          <w:vertAlign w:val="superscript"/>
          <w:lang w:eastAsia="en-GB"/>
        </w:rPr>
        <w:t>−</w:t>
      </w:r>
      <w:r>
        <w:rPr>
          <w:rFonts w:ascii="Times New Roman" w:eastAsia="Times New Roman" w:hAnsi="Times New Roman" w:cs="Times New Roman"/>
          <w:sz w:val="24"/>
          <w:szCs w:val="24"/>
          <w:lang w:eastAsia="en-GB"/>
        </w:rPr>
        <w:t xml:space="preserve"> </w:t>
      </w:r>
      <w:r w:rsidRPr="00E93BDE">
        <w:rPr>
          <w:rFonts w:ascii="Times New Roman" w:eastAsia="Times New Roman" w:hAnsi="Times New Roman" w:cs="Times New Roman"/>
          <w:sz w:val="24"/>
          <w:szCs w:val="24"/>
          <w:lang w:eastAsia="en-GB"/>
        </w:rPr>
        <w:t>capture the long-run asymmetries.</w:t>
      </w:r>
    </w:p>
    <w:p w14:paraId="01F72322" w14:textId="1C86E25F" w:rsidR="00894934" w:rsidRPr="00E45A7A" w:rsidRDefault="00A74ED8" w:rsidP="00E45A7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74ED8">
        <w:rPr>
          <w:rFonts w:ascii="Times New Roman" w:eastAsia="Times New Roman" w:hAnsi="Times New Roman" w:cs="Times New Roman"/>
          <w:sz w:val="24"/>
          <w:szCs w:val="24"/>
          <w:lang w:eastAsia="en-GB"/>
        </w:rPr>
        <w:t xml:space="preserve">The error-correction representation of the Nonlinear Autoregressive Distributed Lag Model allows the estimation of both short-run dynamics and long-run equilibrium relationships between energy poverty indicators and household welfare (Shin, Yu, and Greenwood-Nimmo, 2014; </w:t>
      </w:r>
      <w:proofErr w:type="spellStart"/>
      <w:r w:rsidRPr="00A74ED8">
        <w:rPr>
          <w:rFonts w:ascii="Times New Roman" w:eastAsia="Times New Roman" w:hAnsi="Times New Roman" w:cs="Times New Roman"/>
          <w:sz w:val="24"/>
          <w:szCs w:val="24"/>
          <w:lang w:eastAsia="en-GB"/>
        </w:rPr>
        <w:t>Pesaran</w:t>
      </w:r>
      <w:proofErr w:type="spellEnd"/>
      <w:r w:rsidRPr="00A74ED8">
        <w:rPr>
          <w:rFonts w:ascii="Times New Roman" w:eastAsia="Times New Roman" w:hAnsi="Times New Roman" w:cs="Times New Roman"/>
          <w:sz w:val="24"/>
          <w:szCs w:val="24"/>
          <w:lang w:eastAsia="en-GB"/>
        </w:rPr>
        <w:t xml:space="preserve">, Shin, &amp; Smith, 2001). The choice of the NARDL approach is justified because it can accommodate variables integrated of order </w:t>
      </w:r>
      <w:proofErr w:type="gramStart"/>
      <w:r w:rsidRPr="00A74ED8">
        <w:rPr>
          <w:rFonts w:ascii="Times New Roman" w:eastAsia="Times New Roman" w:hAnsi="Times New Roman" w:cs="Times New Roman"/>
          <w:sz w:val="24"/>
          <w:szCs w:val="24"/>
          <w:lang w:eastAsia="en-GB"/>
        </w:rPr>
        <w:t>I(</w:t>
      </w:r>
      <w:proofErr w:type="gramEnd"/>
      <w:r w:rsidRPr="00A74ED8">
        <w:rPr>
          <w:rFonts w:ascii="Times New Roman" w:eastAsia="Times New Roman" w:hAnsi="Times New Roman" w:cs="Times New Roman"/>
          <w:sz w:val="24"/>
          <w:szCs w:val="24"/>
          <w:lang w:eastAsia="en-GB"/>
        </w:rPr>
        <w:t xml:space="preserve">0) and I(1), capture asymmetric relationships, and provide both short-run and long-run estimates within a single framework (Shin, Yu, &amp; Greenwood-Nimmo, 2014). This makes it particularly suitable for macroeconomic time-series analysis in developing economies where structural shocks and nonlinear dynamics often influence the relationship between energy access and welfare outcomes (Shin, Yu, and Greenwood-Nimmo, 2014; </w:t>
      </w:r>
      <w:proofErr w:type="spellStart"/>
      <w:r w:rsidRPr="00A74ED8">
        <w:rPr>
          <w:rFonts w:ascii="Times New Roman" w:eastAsia="Times New Roman" w:hAnsi="Times New Roman" w:cs="Times New Roman"/>
          <w:sz w:val="24"/>
          <w:szCs w:val="24"/>
          <w:lang w:eastAsia="en-GB"/>
        </w:rPr>
        <w:t>Pesaran</w:t>
      </w:r>
      <w:proofErr w:type="spellEnd"/>
      <w:r w:rsidRPr="00A74ED8">
        <w:rPr>
          <w:rFonts w:ascii="Times New Roman" w:eastAsia="Times New Roman" w:hAnsi="Times New Roman" w:cs="Times New Roman"/>
          <w:sz w:val="24"/>
          <w:szCs w:val="24"/>
          <w:lang w:eastAsia="en-GB"/>
        </w:rPr>
        <w:t>, Shin, &amp; Smith, 2001)</w:t>
      </w:r>
      <w:r w:rsidR="00E45A7A" w:rsidRPr="00E45A7A">
        <w:rPr>
          <w:rFonts w:ascii="Times New Roman" w:eastAsia="Times New Roman" w:hAnsi="Times New Roman" w:cs="Times New Roman"/>
          <w:sz w:val="24"/>
          <w:szCs w:val="24"/>
          <w:lang w:eastAsia="en-GB"/>
        </w:rPr>
        <w:t>.</w:t>
      </w:r>
    </w:p>
    <w:p w14:paraId="2A325250" w14:textId="399A4DB2" w:rsidR="00E45A7A" w:rsidRPr="00741D4C" w:rsidRDefault="00741D4C" w:rsidP="00585D00">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741D4C">
        <w:rPr>
          <w:rFonts w:ascii="Times New Roman" w:eastAsia="Times New Roman" w:hAnsi="Times New Roman" w:cs="Times New Roman"/>
          <w:b/>
          <w:bCs/>
          <w:sz w:val="24"/>
          <w:szCs w:val="24"/>
          <w:lang w:eastAsia="en-GB"/>
        </w:rPr>
        <w:t xml:space="preserve">Result and Discussion </w:t>
      </w:r>
    </w:p>
    <w:p w14:paraId="6FA372FD" w14:textId="072D822A" w:rsidR="00741D4C" w:rsidRDefault="00E3448E" w:rsidP="00E3448E">
      <w:pPr>
        <w:spacing w:after="0" w:line="240" w:lineRule="auto"/>
        <w:jc w:val="center"/>
        <w:rPr>
          <w:rFonts w:ascii="Times New Roman" w:eastAsia="Times New Roman" w:hAnsi="Times New Roman" w:cs="Times New Roman"/>
          <w:sz w:val="24"/>
          <w:szCs w:val="24"/>
          <w:lang w:eastAsia="en-GB"/>
        </w:rPr>
      </w:pPr>
      <w:r>
        <w:rPr>
          <w:noProof/>
        </w:rPr>
        <w:drawing>
          <wp:inline distT="0" distB="0" distL="0" distR="0" wp14:anchorId="0A36185E" wp14:editId="3FBADD10">
            <wp:extent cx="4572000" cy="1714500"/>
            <wp:effectExtent l="0" t="0" r="0" b="0"/>
            <wp:docPr id="1" name="Chart 1">
              <a:extLst xmlns:a="http://schemas.openxmlformats.org/drawingml/2006/main">
                <a:ext uri="{FF2B5EF4-FFF2-40B4-BE49-F238E27FC236}">
                  <a16:creationId xmlns:a16="http://schemas.microsoft.com/office/drawing/2014/main" id="{1CB77EA8-BA34-4747-B7D9-341F4142AF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7E729D2" w14:textId="245CFBF4" w:rsidR="00E3448E" w:rsidRPr="00E3448E" w:rsidRDefault="00E3448E" w:rsidP="00E3448E">
      <w:pPr>
        <w:spacing w:after="0" w:line="240" w:lineRule="auto"/>
        <w:ind w:firstLine="720"/>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4"/>
          <w:szCs w:val="24"/>
          <w:lang w:eastAsia="en-GB"/>
        </w:rPr>
        <w:t xml:space="preserve">   </w:t>
      </w:r>
      <w:r w:rsidRPr="00E3448E">
        <w:rPr>
          <w:rFonts w:ascii="Times New Roman" w:eastAsia="Times New Roman" w:hAnsi="Times New Roman" w:cs="Times New Roman"/>
          <w:b/>
          <w:bCs/>
          <w:sz w:val="20"/>
          <w:szCs w:val="20"/>
          <w:lang w:eastAsia="en-GB"/>
        </w:rPr>
        <w:t>Fig 1: Dynamic Trend of Variables used in the study</w:t>
      </w:r>
    </w:p>
    <w:p w14:paraId="28B05075" w14:textId="4C79EB95" w:rsidR="00E3448E" w:rsidRDefault="00E3448E" w:rsidP="00E3448E">
      <w:pPr>
        <w:spacing w:after="0" w:line="240" w:lineRule="auto"/>
        <w:ind w:firstLine="720"/>
        <w:rPr>
          <w:rFonts w:ascii="Times New Roman" w:eastAsia="Times New Roman" w:hAnsi="Times New Roman" w:cs="Times New Roman"/>
          <w:b/>
          <w:bCs/>
          <w:sz w:val="20"/>
          <w:szCs w:val="20"/>
          <w:lang w:eastAsia="en-GB"/>
        </w:rPr>
      </w:pPr>
      <w:r w:rsidRPr="00E3448E">
        <w:rPr>
          <w:rFonts w:ascii="Times New Roman" w:eastAsia="Times New Roman" w:hAnsi="Times New Roman" w:cs="Times New Roman"/>
          <w:b/>
          <w:bCs/>
          <w:sz w:val="20"/>
          <w:szCs w:val="20"/>
          <w:lang w:eastAsia="en-GB"/>
        </w:rPr>
        <w:t xml:space="preserve">   Source: Authors determined</w:t>
      </w:r>
      <w:r>
        <w:rPr>
          <w:rFonts w:ascii="Times New Roman" w:eastAsia="Times New Roman" w:hAnsi="Times New Roman" w:cs="Times New Roman"/>
          <w:b/>
          <w:bCs/>
          <w:sz w:val="20"/>
          <w:szCs w:val="20"/>
          <w:lang w:eastAsia="en-GB"/>
        </w:rPr>
        <w:t>, 2026</w:t>
      </w:r>
    </w:p>
    <w:p w14:paraId="7C4F9F8C" w14:textId="1BD84F87" w:rsidR="00961C6F" w:rsidRPr="00961C6F" w:rsidRDefault="00961C6F" w:rsidP="00961C6F">
      <w:pPr>
        <w:spacing w:after="0" w:line="240" w:lineRule="auto"/>
        <w:jc w:val="both"/>
        <w:rPr>
          <w:rFonts w:ascii="Times New Roman" w:eastAsia="Times New Roman" w:hAnsi="Times New Roman" w:cs="Times New Roman"/>
          <w:sz w:val="24"/>
          <w:szCs w:val="24"/>
          <w:lang w:eastAsia="en-GB"/>
        </w:rPr>
      </w:pPr>
      <w:r w:rsidRPr="00961C6F">
        <w:rPr>
          <w:rFonts w:ascii="Times New Roman" w:eastAsia="Times New Roman" w:hAnsi="Times New Roman" w:cs="Times New Roman"/>
          <w:sz w:val="24"/>
          <w:szCs w:val="24"/>
          <w:lang w:eastAsia="en-GB"/>
        </w:rPr>
        <w:t xml:space="preserve">The figure </w:t>
      </w:r>
      <w:r>
        <w:rPr>
          <w:rFonts w:ascii="Times New Roman" w:eastAsia="Times New Roman" w:hAnsi="Times New Roman" w:cs="Times New Roman"/>
          <w:sz w:val="24"/>
          <w:szCs w:val="24"/>
          <w:lang w:eastAsia="en-GB"/>
        </w:rPr>
        <w:t xml:space="preserve">1 showed that </w:t>
      </w:r>
      <w:r w:rsidRPr="00961C6F">
        <w:rPr>
          <w:rFonts w:ascii="Times New Roman" w:eastAsia="Times New Roman" w:hAnsi="Times New Roman" w:cs="Times New Roman"/>
          <w:sz w:val="24"/>
          <w:szCs w:val="24"/>
          <w:lang w:eastAsia="en-GB"/>
        </w:rPr>
        <w:t>increases in electricity access (EA), electricity consumption (EC), and electricity generation (EG) are generally associated with improvements in household welfare (HW) over time, indicating that better energy availability may enhance living standards. This aligns with studies showing that improved electricity access supports income generation, productivity, and overall welfare (Chakravorty, Pelli, &amp; Marchand, 2014; Dinkelman, 2011). However, the fluctuations observed also suggest that increased energy supply does not always translate directly into welfare gains, particularly where institutional inefficiencies and unreliable supply persist (</w:t>
      </w:r>
      <w:proofErr w:type="spellStart"/>
      <w:r w:rsidRPr="00961C6F">
        <w:rPr>
          <w:rFonts w:ascii="Times New Roman" w:eastAsia="Times New Roman" w:hAnsi="Times New Roman" w:cs="Times New Roman"/>
          <w:sz w:val="24"/>
          <w:szCs w:val="24"/>
          <w:lang w:eastAsia="en-GB"/>
        </w:rPr>
        <w:t>Bouzarovski</w:t>
      </w:r>
      <w:proofErr w:type="spellEnd"/>
      <w:r w:rsidRPr="00961C6F">
        <w:rPr>
          <w:rFonts w:ascii="Times New Roman" w:eastAsia="Times New Roman" w:hAnsi="Times New Roman" w:cs="Times New Roman"/>
          <w:sz w:val="24"/>
          <w:szCs w:val="24"/>
          <w:lang w:eastAsia="en-GB"/>
        </w:rPr>
        <w:t xml:space="preserve"> &amp; </w:t>
      </w:r>
      <w:proofErr w:type="spellStart"/>
      <w:r w:rsidRPr="00961C6F">
        <w:rPr>
          <w:rFonts w:ascii="Times New Roman" w:eastAsia="Times New Roman" w:hAnsi="Times New Roman" w:cs="Times New Roman"/>
          <w:sz w:val="24"/>
          <w:szCs w:val="24"/>
          <w:lang w:eastAsia="en-GB"/>
        </w:rPr>
        <w:t>Petrova</w:t>
      </w:r>
      <w:proofErr w:type="spellEnd"/>
      <w:r w:rsidRPr="00961C6F">
        <w:rPr>
          <w:rFonts w:ascii="Times New Roman" w:eastAsia="Times New Roman" w:hAnsi="Times New Roman" w:cs="Times New Roman"/>
          <w:sz w:val="24"/>
          <w:szCs w:val="24"/>
          <w:lang w:eastAsia="en-GB"/>
        </w:rPr>
        <w:t>, 2015). In contrast, some studies argue that without improved energy affordability and reliability, welfare improvements may remain limited despite rising electricity indicators (Pachauri &amp; Spreng, 2011).</w:t>
      </w:r>
    </w:p>
    <w:p w14:paraId="34AC5CC6" w14:textId="63E9FECD" w:rsidR="00F26FDB" w:rsidRPr="00E3448E" w:rsidRDefault="00E3448E" w:rsidP="00C823B8">
      <w:pPr>
        <w:spacing w:before="240"/>
        <w:jc w:val="center"/>
        <w:rPr>
          <w:rFonts w:ascii="Times New Roman" w:hAnsi="Times New Roman" w:cs="Times New Roman"/>
          <w:b/>
          <w:bCs/>
          <w:sz w:val="24"/>
          <w:szCs w:val="24"/>
        </w:rPr>
      </w:pPr>
      <w:r w:rsidRPr="00E3448E">
        <w:rPr>
          <w:rFonts w:ascii="Times New Roman" w:hAnsi="Times New Roman" w:cs="Times New Roman"/>
          <w:b/>
          <w:bCs/>
          <w:sz w:val="24"/>
          <w:szCs w:val="24"/>
        </w:rPr>
        <w:lastRenderedPageBreak/>
        <w:t>Table 1: Correlation Matrix</w:t>
      </w:r>
    </w:p>
    <w:tbl>
      <w:tblPr>
        <w:tblStyle w:val="PlainTable2"/>
        <w:tblW w:w="8100" w:type="dxa"/>
        <w:jc w:val="center"/>
        <w:tblLayout w:type="fixed"/>
        <w:tblLook w:val="06A0" w:firstRow="1" w:lastRow="0" w:firstColumn="1" w:lastColumn="0" w:noHBand="1" w:noVBand="1"/>
      </w:tblPr>
      <w:tblGrid>
        <w:gridCol w:w="1165"/>
        <w:gridCol w:w="1170"/>
        <w:gridCol w:w="1145"/>
        <w:gridCol w:w="1260"/>
        <w:gridCol w:w="1260"/>
        <w:gridCol w:w="1170"/>
        <w:gridCol w:w="630"/>
        <w:gridCol w:w="300"/>
      </w:tblGrid>
      <w:tr w:rsidR="00302FE1" w:rsidRPr="00302FE1" w14:paraId="182ED38B" w14:textId="51C8D01A" w:rsidTr="00C823B8">
        <w:trPr>
          <w:cnfStyle w:val="100000000000" w:firstRow="1" w:lastRow="0" w:firstColumn="0" w:lastColumn="0" w:oddVBand="0" w:evenVBand="0" w:oddHBand="0" w:evenHBand="0" w:firstRowFirstColumn="0" w:firstRowLastColumn="0" w:lastRowFirstColumn="0" w:lastRowLastColumn="0"/>
          <w:trHeight w:hRule="exact" w:val="712"/>
          <w:jc w:val="center"/>
        </w:trPr>
        <w:tc>
          <w:tcPr>
            <w:cnfStyle w:val="001000000000" w:firstRow="0" w:lastRow="0" w:firstColumn="1" w:lastColumn="0" w:oddVBand="0" w:evenVBand="0" w:oddHBand="0" w:evenHBand="0" w:firstRowFirstColumn="0" w:firstRowLastColumn="0" w:lastRowFirstColumn="0" w:lastRowLastColumn="0"/>
            <w:tcW w:w="1165" w:type="dxa"/>
          </w:tcPr>
          <w:p w14:paraId="4D9E2EF1" w14:textId="77777777" w:rsidR="00302FE1" w:rsidRDefault="00302FE1" w:rsidP="00302FE1">
            <w:pPr>
              <w:autoSpaceDE w:val="0"/>
              <w:autoSpaceDN w:val="0"/>
              <w:adjustRightInd w:val="0"/>
              <w:rPr>
                <w:rFonts w:ascii="Times New Roman" w:hAnsi="Times New Roman" w:cs="Times New Roman"/>
                <w:b w:val="0"/>
                <w:bCs w:val="0"/>
                <w:color w:val="000000"/>
                <w:sz w:val="18"/>
                <w:szCs w:val="18"/>
              </w:rPr>
            </w:pPr>
            <w:r>
              <w:rPr>
                <w:rFonts w:ascii="Times New Roman" w:hAnsi="Times New Roman" w:cs="Times New Roman"/>
                <w:color w:val="000000"/>
                <w:sz w:val="18"/>
                <w:szCs w:val="18"/>
              </w:rPr>
              <w:t>C</w:t>
            </w:r>
            <w:r w:rsidRPr="00302FE1">
              <w:rPr>
                <w:rFonts w:ascii="Times New Roman" w:hAnsi="Times New Roman" w:cs="Times New Roman"/>
                <w:color w:val="000000"/>
                <w:sz w:val="18"/>
                <w:szCs w:val="18"/>
              </w:rPr>
              <w:t>orrelation</w:t>
            </w:r>
          </w:p>
          <w:p w14:paraId="1DA02863" w14:textId="487BC092" w:rsidR="00302FE1" w:rsidRPr="00302FE1" w:rsidRDefault="00302FE1" w:rsidP="00302FE1">
            <w:pPr>
              <w:autoSpaceDE w:val="0"/>
              <w:autoSpaceDN w:val="0"/>
              <w:adjustRightInd w:val="0"/>
              <w:rPr>
                <w:rFonts w:ascii="Times New Roman" w:hAnsi="Times New Roman" w:cs="Times New Roman"/>
                <w:color w:val="000000"/>
                <w:sz w:val="18"/>
                <w:szCs w:val="18"/>
              </w:rPr>
            </w:pPr>
            <w:r w:rsidRPr="00302FE1">
              <w:rPr>
                <w:rFonts w:ascii="Times New Roman" w:hAnsi="Times New Roman" w:cs="Times New Roman"/>
                <w:color w:val="000000"/>
                <w:sz w:val="18"/>
                <w:szCs w:val="18"/>
              </w:rPr>
              <w:t>t-Statistic</w:t>
            </w:r>
          </w:p>
        </w:tc>
        <w:tc>
          <w:tcPr>
            <w:tcW w:w="1170" w:type="dxa"/>
          </w:tcPr>
          <w:p w14:paraId="243A14F7" w14:textId="03C97FBC" w:rsidR="00302FE1" w:rsidRPr="00302FE1" w:rsidRDefault="00302FE1" w:rsidP="00302FE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302FE1">
              <w:rPr>
                <w:rFonts w:ascii="Times New Roman" w:hAnsi="Times New Roman" w:cs="Times New Roman"/>
                <w:color w:val="000000"/>
                <w:sz w:val="18"/>
                <w:szCs w:val="18"/>
              </w:rPr>
              <w:t>HW </w:t>
            </w:r>
          </w:p>
        </w:tc>
        <w:tc>
          <w:tcPr>
            <w:tcW w:w="1145" w:type="dxa"/>
          </w:tcPr>
          <w:p w14:paraId="634307A4" w14:textId="6A605D41" w:rsidR="00302FE1" w:rsidRPr="00302FE1" w:rsidRDefault="00302FE1" w:rsidP="00302FE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302FE1">
              <w:rPr>
                <w:rFonts w:ascii="Times New Roman" w:hAnsi="Times New Roman" w:cs="Times New Roman"/>
                <w:color w:val="000000"/>
                <w:sz w:val="18"/>
                <w:szCs w:val="18"/>
              </w:rPr>
              <w:t>EA </w:t>
            </w:r>
          </w:p>
        </w:tc>
        <w:tc>
          <w:tcPr>
            <w:tcW w:w="1260" w:type="dxa"/>
          </w:tcPr>
          <w:p w14:paraId="1D891C76" w14:textId="5F218171" w:rsidR="00302FE1" w:rsidRPr="00302FE1" w:rsidRDefault="00302FE1" w:rsidP="00302FE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302FE1">
              <w:rPr>
                <w:rFonts w:ascii="Times New Roman" w:hAnsi="Times New Roman" w:cs="Times New Roman"/>
                <w:color w:val="000000"/>
                <w:sz w:val="18"/>
                <w:szCs w:val="18"/>
              </w:rPr>
              <w:t>EC </w:t>
            </w:r>
          </w:p>
        </w:tc>
        <w:tc>
          <w:tcPr>
            <w:tcW w:w="1260" w:type="dxa"/>
          </w:tcPr>
          <w:p w14:paraId="30159457" w14:textId="70620846" w:rsidR="00302FE1" w:rsidRPr="00302FE1" w:rsidRDefault="00302FE1" w:rsidP="00302FE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302FE1">
              <w:rPr>
                <w:rFonts w:ascii="Times New Roman" w:hAnsi="Times New Roman" w:cs="Times New Roman"/>
                <w:color w:val="000000"/>
                <w:sz w:val="18"/>
                <w:szCs w:val="18"/>
              </w:rPr>
              <w:t>EU </w:t>
            </w:r>
          </w:p>
        </w:tc>
        <w:tc>
          <w:tcPr>
            <w:tcW w:w="1170" w:type="dxa"/>
          </w:tcPr>
          <w:p w14:paraId="46E88D4B" w14:textId="2C17AE86" w:rsidR="00302FE1" w:rsidRPr="00302FE1" w:rsidRDefault="00302FE1" w:rsidP="00302FE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302FE1">
              <w:rPr>
                <w:rFonts w:ascii="Times New Roman" w:hAnsi="Times New Roman" w:cs="Times New Roman"/>
                <w:color w:val="000000"/>
                <w:sz w:val="18"/>
                <w:szCs w:val="18"/>
              </w:rPr>
              <w:t>EG </w:t>
            </w:r>
          </w:p>
        </w:tc>
        <w:tc>
          <w:tcPr>
            <w:tcW w:w="630" w:type="dxa"/>
          </w:tcPr>
          <w:p w14:paraId="62815F38" w14:textId="75F4E8B5" w:rsidR="00302FE1" w:rsidRPr="00302FE1" w:rsidRDefault="00302FE1" w:rsidP="00302FE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302FE1">
              <w:rPr>
                <w:rFonts w:ascii="Times New Roman" w:hAnsi="Times New Roman" w:cs="Times New Roman"/>
                <w:color w:val="000000"/>
                <w:sz w:val="18"/>
                <w:szCs w:val="18"/>
              </w:rPr>
              <w:t>IF </w:t>
            </w:r>
          </w:p>
        </w:tc>
        <w:tc>
          <w:tcPr>
            <w:tcW w:w="300" w:type="dxa"/>
          </w:tcPr>
          <w:p w14:paraId="1FE44BFD" w14:textId="2E23B00B" w:rsidR="00302FE1" w:rsidRPr="00302FE1" w:rsidRDefault="00302FE1" w:rsidP="00302F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62A34413"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715C9F09"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r w:rsidRPr="00302FE1">
              <w:rPr>
                <w:rFonts w:ascii="Times New Roman" w:hAnsi="Times New Roman" w:cs="Times New Roman"/>
                <w:color w:val="000000"/>
                <w:sz w:val="18"/>
                <w:szCs w:val="18"/>
              </w:rPr>
              <w:t>HW </w:t>
            </w:r>
          </w:p>
        </w:tc>
        <w:tc>
          <w:tcPr>
            <w:tcW w:w="1170" w:type="dxa"/>
          </w:tcPr>
          <w:p w14:paraId="094E0D7D" w14:textId="47F81958"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w:t>
            </w:r>
          </w:p>
        </w:tc>
        <w:tc>
          <w:tcPr>
            <w:tcW w:w="1145" w:type="dxa"/>
          </w:tcPr>
          <w:p w14:paraId="12683992"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4375629E"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0955134E"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1FD24AE4"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618FBF1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503B9A86"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2C7781DE"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7FBDE9E0"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 </w:t>
            </w:r>
          </w:p>
        </w:tc>
        <w:tc>
          <w:tcPr>
            <w:tcW w:w="1145" w:type="dxa"/>
          </w:tcPr>
          <w:p w14:paraId="33C23A7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3D4A16C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5E590D43"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195EA0EE"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5E5078E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74481F36"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19A3E7A4"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3FFA33B4"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7C9E51E9"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60B94975"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3F440A69"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3050301E"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0F52BDCD"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1B53B3B6"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0DE24E3C"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r w:rsidRPr="00302FE1">
              <w:rPr>
                <w:rFonts w:ascii="Times New Roman" w:hAnsi="Times New Roman" w:cs="Times New Roman"/>
                <w:color w:val="000000"/>
                <w:sz w:val="18"/>
                <w:szCs w:val="18"/>
              </w:rPr>
              <w:t>EA </w:t>
            </w:r>
          </w:p>
        </w:tc>
        <w:tc>
          <w:tcPr>
            <w:tcW w:w="1170" w:type="dxa"/>
          </w:tcPr>
          <w:p w14:paraId="3DE011C3"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0.483341</w:t>
            </w:r>
          </w:p>
        </w:tc>
        <w:tc>
          <w:tcPr>
            <w:tcW w:w="1145" w:type="dxa"/>
          </w:tcPr>
          <w:p w14:paraId="581647FF" w14:textId="1F6A7033"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w:t>
            </w:r>
          </w:p>
        </w:tc>
        <w:tc>
          <w:tcPr>
            <w:tcW w:w="1260" w:type="dxa"/>
          </w:tcPr>
          <w:p w14:paraId="69D4D986"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25A9EC5B"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02DD3082"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7A9AAFB5"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2713E7B1"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75220862"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35A88B71" w14:textId="63F9F0D3"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(3.171667)</w:t>
            </w:r>
          </w:p>
        </w:tc>
        <w:tc>
          <w:tcPr>
            <w:tcW w:w="1145" w:type="dxa"/>
          </w:tcPr>
          <w:p w14:paraId="1DFA4100"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 </w:t>
            </w:r>
          </w:p>
        </w:tc>
        <w:tc>
          <w:tcPr>
            <w:tcW w:w="1260" w:type="dxa"/>
          </w:tcPr>
          <w:p w14:paraId="249C5366"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1C3844F3"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35B9F066"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394855E4"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6A95B982"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41AC3F4D"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08054A30"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4DFBC56A"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4ED15344"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4F7436C9"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3866AA1E"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5599065B"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17AEFA0F"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0CFA9203"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r w:rsidRPr="00302FE1">
              <w:rPr>
                <w:rFonts w:ascii="Times New Roman" w:hAnsi="Times New Roman" w:cs="Times New Roman"/>
                <w:color w:val="000000"/>
                <w:sz w:val="18"/>
                <w:szCs w:val="18"/>
              </w:rPr>
              <w:t>EC </w:t>
            </w:r>
          </w:p>
        </w:tc>
        <w:tc>
          <w:tcPr>
            <w:tcW w:w="1170" w:type="dxa"/>
          </w:tcPr>
          <w:p w14:paraId="03C03225"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0.348433</w:t>
            </w:r>
          </w:p>
        </w:tc>
        <w:tc>
          <w:tcPr>
            <w:tcW w:w="1145" w:type="dxa"/>
          </w:tcPr>
          <w:p w14:paraId="7F5059A1"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0.548603</w:t>
            </w:r>
          </w:p>
        </w:tc>
        <w:tc>
          <w:tcPr>
            <w:tcW w:w="1260" w:type="dxa"/>
          </w:tcPr>
          <w:p w14:paraId="488B6B6D" w14:textId="6B8F5F42"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w:t>
            </w:r>
          </w:p>
        </w:tc>
        <w:tc>
          <w:tcPr>
            <w:tcW w:w="1260" w:type="dxa"/>
          </w:tcPr>
          <w:p w14:paraId="27A50AD8"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019DB692"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1A71B810"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38F9BD43"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2EBBD1ED"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76714354" w14:textId="2E9DC0BC"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(2.135414)</w:t>
            </w:r>
          </w:p>
        </w:tc>
        <w:tc>
          <w:tcPr>
            <w:tcW w:w="1145" w:type="dxa"/>
          </w:tcPr>
          <w:p w14:paraId="7230E7FC" w14:textId="5BFB321E"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(3.769342)</w:t>
            </w:r>
          </w:p>
        </w:tc>
        <w:tc>
          <w:tcPr>
            <w:tcW w:w="1260" w:type="dxa"/>
          </w:tcPr>
          <w:p w14:paraId="59409785"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 </w:t>
            </w:r>
          </w:p>
        </w:tc>
        <w:tc>
          <w:tcPr>
            <w:tcW w:w="1260" w:type="dxa"/>
          </w:tcPr>
          <w:p w14:paraId="1E01B597"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42A02764"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1513F063"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5C882F7B"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5FDE8F20"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7825AC04"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58451D26"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6E7C12D8"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28EBD2B8"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79FFA632"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5F97C5B2"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3945E333"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6F925826"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r w:rsidRPr="00302FE1">
              <w:rPr>
                <w:rFonts w:ascii="Times New Roman" w:hAnsi="Times New Roman" w:cs="Times New Roman"/>
                <w:color w:val="000000"/>
                <w:sz w:val="18"/>
                <w:szCs w:val="18"/>
              </w:rPr>
              <w:t>EU </w:t>
            </w:r>
          </w:p>
        </w:tc>
        <w:tc>
          <w:tcPr>
            <w:tcW w:w="1170" w:type="dxa"/>
          </w:tcPr>
          <w:p w14:paraId="5C4C9B2B"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0.100979</w:t>
            </w:r>
          </w:p>
        </w:tc>
        <w:tc>
          <w:tcPr>
            <w:tcW w:w="1145" w:type="dxa"/>
          </w:tcPr>
          <w:p w14:paraId="01E9BA15"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0.488263</w:t>
            </w:r>
          </w:p>
        </w:tc>
        <w:tc>
          <w:tcPr>
            <w:tcW w:w="1260" w:type="dxa"/>
          </w:tcPr>
          <w:p w14:paraId="7E947BF6"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0.861234</w:t>
            </w:r>
          </w:p>
        </w:tc>
        <w:tc>
          <w:tcPr>
            <w:tcW w:w="1260" w:type="dxa"/>
          </w:tcPr>
          <w:p w14:paraId="21647F63" w14:textId="438A1BE2"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w:t>
            </w:r>
          </w:p>
        </w:tc>
        <w:tc>
          <w:tcPr>
            <w:tcW w:w="1170" w:type="dxa"/>
          </w:tcPr>
          <w:p w14:paraId="2777BC7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3786610C"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146CAF80"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4929ED33"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687D96EA" w14:textId="7D70E0EA"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(0.583061)</w:t>
            </w:r>
          </w:p>
        </w:tc>
        <w:tc>
          <w:tcPr>
            <w:tcW w:w="1145" w:type="dxa"/>
          </w:tcPr>
          <w:p w14:paraId="35138399" w14:textId="11DA2D50"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(3.214012)</w:t>
            </w:r>
          </w:p>
        </w:tc>
        <w:tc>
          <w:tcPr>
            <w:tcW w:w="1260" w:type="dxa"/>
          </w:tcPr>
          <w:p w14:paraId="48AC5056" w14:textId="4B7FD99C"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(9.734993)</w:t>
            </w:r>
          </w:p>
        </w:tc>
        <w:tc>
          <w:tcPr>
            <w:tcW w:w="1260" w:type="dxa"/>
          </w:tcPr>
          <w:p w14:paraId="1592BF39"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 </w:t>
            </w:r>
          </w:p>
        </w:tc>
        <w:tc>
          <w:tcPr>
            <w:tcW w:w="1170" w:type="dxa"/>
          </w:tcPr>
          <w:p w14:paraId="39BEA83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62488D96"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3095B2B1"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28958C94"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0C3EE3C2"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63B442B8"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1570845B"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18926609"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43612BFB"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01E10551"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6846F702"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79F507F7"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r w:rsidRPr="00302FE1">
              <w:rPr>
                <w:rFonts w:ascii="Times New Roman" w:hAnsi="Times New Roman" w:cs="Times New Roman"/>
                <w:color w:val="000000"/>
                <w:sz w:val="18"/>
                <w:szCs w:val="18"/>
              </w:rPr>
              <w:t>EG </w:t>
            </w:r>
          </w:p>
        </w:tc>
        <w:tc>
          <w:tcPr>
            <w:tcW w:w="1170" w:type="dxa"/>
          </w:tcPr>
          <w:p w14:paraId="483F9381"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-0.845192</w:t>
            </w:r>
          </w:p>
        </w:tc>
        <w:tc>
          <w:tcPr>
            <w:tcW w:w="1145" w:type="dxa"/>
          </w:tcPr>
          <w:p w14:paraId="4A0A909B"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-0.213578</w:t>
            </w:r>
          </w:p>
        </w:tc>
        <w:tc>
          <w:tcPr>
            <w:tcW w:w="1260" w:type="dxa"/>
          </w:tcPr>
          <w:p w14:paraId="125A74DC"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0.050466</w:t>
            </w:r>
          </w:p>
        </w:tc>
        <w:tc>
          <w:tcPr>
            <w:tcW w:w="1260" w:type="dxa"/>
          </w:tcPr>
          <w:p w14:paraId="3341DAA3"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0.361023</w:t>
            </w:r>
          </w:p>
        </w:tc>
        <w:tc>
          <w:tcPr>
            <w:tcW w:w="1170" w:type="dxa"/>
          </w:tcPr>
          <w:p w14:paraId="006D7A55" w14:textId="3B968C9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w:t>
            </w:r>
          </w:p>
        </w:tc>
        <w:tc>
          <w:tcPr>
            <w:tcW w:w="630" w:type="dxa"/>
          </w:tcPr>
          <w:p w14:paraId="02FABD90"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55B9450A"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057EE7D3"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70903795" w14:textId="6A1CDF04"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(-9.084370)</w:t>
            </w:r>
          </w:p>
        </w:tc>
        <w:tc>
          <w:tcPr>
            <w:tcW w:w="1145" w:type="dxa"/>
          </w:tcPr>
          <w:p w14:paraId="67B1363A" w14:textId="75F28384"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(-1.255888)</w:t>
            </w:r>
          </w:p>
        </w:tc>
        <w:tc>
          <w:tcPr>
            <w:tcW w:w="1260" w:type="dxa"/>
          </w:tcPr>
          <w:p w14:paraId="147A4CE1" w14:textId="3287046C"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(0.290276)</w:t>
            </w:r>
          </w:p>
        </w:tc>
        <w:tc>
          <w:tcPr>
            <w:tcW w:w="1260" w:type="dxa"/>
          </w:tcPr>
          <w:p w14:paraId="32E4063E" w14:textId="19DC9418"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(2.223904)</w:t>
            </w:r>
          </w:p>
        </w:tc>
        <w:tc>
          <w:tcPr>
            <w:tcW w:w="1170" w:type="dxa"/>
          </w:tcPr>
          <w:p w14:paraId="70D03C55"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 </w:t>
            </w:r>
          </w:p>
        </w:tc>
        <w:tc>
          <w:tcPr>
            <w:tcW w:w="630" w:type="dxa"/>
          </w:tcPr>
          <w:p w14:paraId="7FA7717A" w14:textId="77777777" w:rsidR="00302FE1" w:rsidRPr="00302FE1" w:rsidRDefault="00302FE1" w:rsidP="00302FE1">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0C054766"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3F9A63E1"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20F68103"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2BC01480"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02DF4620"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4A91E203"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59986342"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4624C779" w14:textId="77777777" w:rsidR="00302FE1" w:rsidRPr="00302FE1" w:rsidRDefault="00302FE1" w:rsidP="00302F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04EB991C"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4190D0BF"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r w:rsidRPr="00302FE1">
              <w:rPr>
                <w:rFonts w:ascii="Times New Roman" w:hAnsi="Times New Roman" w:cs="Times New Roman"/>
                <w:color w:val="000000"/>
                <w:sz w:val="18"/>
                <w:szCs w:val="18"/>
              </w:rPr>
              <w:t>IF </w:t>
            </w:r>
          </w:p>
        </w:tc>
        <w:tc>
          <w:tcPr>
            <w:tcW w:w="1170" w:type="dxa"/>
          </w:tcPr>
          <w:p w14:paraId="6BA50E2B"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-0.370685</w:t>
            </w:r>
          </w:p>
        </w:tc>
        <w:tc>
          <w:tcPr>
            <w:tcW w:w="1145" w:type="dxa"/>
          </w:tcPr>
          <w:p w14:paraId="361D7F35"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-0.373932</w:t>
            </w:r>
          </w:p>
        </w:tc>
        <w:tc>
          <w:tcPr>
            <w:tcW w:w="1260" w:type="dxa"/>
          </w:tcPr>
          <w:p w14:paraId="24A5EA33"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-0.276822</w:t>
            </w:r>
          </w:p>
        </w:tc>
        <w:tc>
          <w:tcPr>
            <w:tcW w:w="1260" w:type="dxa"/>
          </w:tcPr>
          <w:p w14:paraId="0C16671E"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-0.258878</w:t>
            </w:r>
          </w:p>
        </w:tc>
        <w:tc>
          <w:tcPr>
            <w:tcW w:w="1170" w:type="dxa"/>
          </w:tcPr>
          <w:p w14:paraId="527EB367"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0.188466</w:t>
            </w:r>
          </w:p>
        </w:tc>
        <w:tc>
          <w:tcPr>
            <w:tcW w:w="630" w:type="dxa"/>
          </w:tcPr>
          <w:p w14:paraId="61B55786" w14:textId="13F1D758"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w:t>
            </w:r>
          </w:p>
        </w:tc>
      </w:tr>
      <w:tr w:rsidR="00302FE1" w:rsidRPr="00302FE1" w14:paraId="77EF0EF6" w14:textId="77777777" w:rsidTr="00C823B8">
        <w:trPr>
          <w:gridAfter w:val="1"/>
          <w:wAfter w:w="300" w:type="dxa"/>
          <w:trHeight w:val="225"/>
          <w:jc w:val="center"/>
        </w:trPr>
        <w:tc>
          <w:tcPr>
            <w:cnfStyle w:val="001000000000" w:firstRow="0" w:lastRow="0" w:firstColumn="1" w:lastColumn="0" w:oddVBand="0" w:evenVBand="0" w:oddHBand="0" w:evenHBand="0" w:firstRowFirstColumn="0" w:firstRowLastColumn="0" w:lastRowFirstColumn="0" w:lastRowLastColumn="0"/>
            <w:tcW w:w="1165" w:type="dxa"/>
          </w:tcPr>
          <w:p w14:paraId="5D5D6A16" w14:textId="77777777" w:rsidR="00302FE1" w:rsidRPr="00302FE1" w:rsidRDefault="00302FE1" w:rsidP="00302FE1">
            <w:pPr>
              <w:autoSpaceDE w:val="0"/>
              <w:autoSpaceDN w:val="0"/>
              <w:adjustRightInd w:val="0"/>
              <w:jc w:val="center"/>
              <w:rPr>
                <w:rFonts w:ascii="Times New Roman" w:hAnsi="Times New Roman" w:cs="Times New Roman"/>
                <w:color w:val="000000"/>
                <w:sz w:val="18"/>
                <w:szCs w:val="18"/>
              </w:rPr>
            </w:pPr>
          </w:p>
        </w:tc>
        <w:tc>
          <w:tcPr>
            <w:tcW w:w="1170" w:type="dxa"/>
          </w:tcPr>
          <w:p w14:paraId="63BBC08E" w14:textId="71234FA9"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(-2.292763)</w:t>
            </w:r>
          </w:p>
        </w:tc>
        <w:tc>
          <w:tcPr>
            <w:tcW w:w="1145" w:type="dxa"/>
          </w:tcPr>
          <w:p w14:paraId="34D6FD60" w14:textId="7BDEB666"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(-2.316095)</w:t>
            </w:r>
          </w:p>
        </w:tc>
        <w:tc>
          <w:tcPr>
            <w:tcW w:w="1260" w:type="dxa"/>
          </w:tcPr>
          <w:p w14:paraId="36C31408" w14:textId="1C04480A"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(-1.654894)</w:t>
            </w:r>
          </w:p>
        </w:tc>
        <w:tc>
          <w:tcPr>
            <w:tcW w:w="1260" w:type="dxa"/>
          </w:tcPr>
          <w:p w14:paraId="74E44DAC" w14:textId="700FFC23"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(-1.539627)</w:t>
            </w:r>
          </w:p>
        </w:tc>
        <w:tc>
          <w:tcPr>
            <w:tcW w:w="1170" w:type="dxa"/>
          </w:tcPr>
          <w:p w14:paraId="7584A65C" w14:textId="710848DC"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(1.102411)</w:t>
            </w:r>
          </w:p>
        </w:tc>
        <w:tc>
          <w:tcPr>
            <w:tcW w:w="630" w:type="dxa"/>
          </w:tcPr>
          <w:p w14:paraId="7CEF0065" w14:textId="77777777" w:rsidR="00302FE1" w:rsidRPr="00302FE1" w:rsidRDefault="00302FE1" w:rsidP="00302FE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302FE1">
              <w:rPr>
                <w:rFonts w:ascii="Times New Roman" w:hAnsi="Times New Roman" w:cs="Times New Roman"/>
                <w:color w:val="000000"/>
                <w:sz w:val="18"/>
                <w:szCs w:val="18"/>
              </w:rPr>
              <w:t>----- </w:t>
            </w:r>
          </w:p>
        </w:tc>
      </w:tr>
      <w:tr w:rsidR="00302FE1" w:rsidRPr="00302FE1" w14:paraId="1254137B" w14:textId="77777777" w:rsidTr="00C823B8">
        <w:trPr>
          <w:gridAfter w:val="1"/>
          <w:wAfter w:w="300" w:type="dxa"/>
          <w:trHeight w:hRule="exact" w:val="90"/>
          <w:jc w:val="center"/>
        </w:trPr>
        <w:tc>
          <w:tcPr>
            <w:cnfStyle w:val="001000000000" w:firstRow="0" w:lastRow="0" w:firstColumn="1" w:lastColumn="0" w:oddVBand="0" w:evenVBand="0" w:oddHBand="0" w:evenHBand="0" w:firstRowFirstColumn="0" w:firstRowLastColumn="0" w:lastRowFirstColumn="0" w:lastRowLastColumn="0"/>
            <w:tcW w:w="1165" w:type="dxa"/>
          </w:tcPr>
          <w:p w14:paraId="291DDF57" w14:textId="77777777" w:rsidR="00302FE1" w:rsidRPr="00302FE1" w:rsidRDefault="00302FE1" w:rsidP="00302FE1">
            <w:pPr>
              <w:autoSpaceDE w:val="0"/>
              <w:autoSpaceDN w:val="0"/>
              <w:adjustRightInd w:val="0"/>
              <w:rPr>
                <w:rFonts w:ascii="Times New Roman" w:hAnsi="Times New Roman" w:cs="Times New Roman"/>
                <w:color w:val="000000"/>
                <w:sz w:val="18"/>
                <w:szCs w:val="18"/>
              </w:rPr>
            </w:pPr>
          </w:p>
        </w:tc>
        <w:tc>
          <w:tcPr>
            <w:tcW w:w="1170" w:type="dxa"/>
          </w:tcPr>
          <w:p w14:paraId="7A0DDCB3"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00D8C5E7"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172CE099"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2FB11178"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36F7FD4D"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62BD46DA"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02FE1" w:rsidRPr="00302FE1" w14:paraId="1427E38C" w14:textId="77777777" w:rsidTr="00C823B8">
        <w:trPr>
          <w:gridAfter w:val="1"/>
          <w:wAfter w:w="300" w:type="dxa"/>
          <w:trHeight w:hRule="exact" w:val="135"/>
          <w:jc w:val="center"/>
        </w:trPr>
        <w:tc>
          <w:tcPr>
            <w:cnfStyle w:val="001000000000" w:firstRow="0" w:lastRow="0" w:firstColumn="1" w:lastColumn="0" w:oddVBand="0" w:evenVBand="0" w:oddHBand="0" w:evenHBand="0" w:firstRowFirstColumn="0" w:firstRowLastColumn="0" w:lastRowFirstColumn="0" w:lastRowLastColumn="0"/>
            <w:tcW w:w="1165" w:type="dxa"/>
          </w:tcPr>
          <w:p w14:paraId="3E7C19F2" w14:textId="77777777" w:rsidR="00302FE1" w:rsidRPr="00302FE1" w:rsidRDefault="00302FE1" w:rsidP="00302FE1">
            <w:pPr>
              <w:autoSpaceDE w:val="0"/>
              <w:autoSpaceDN w:val="0"/>
              <w:adjustRightInd w:val="0"/>
              <w:rPr>
                <w:rFonts w:ascii="Times New Roman" w:hAnsi="Times New Roman" w:cs="Times New Roman"/>
                <w:color w:val="000000"/>
                <w:sz w:val="18"/>
                <w:szCs w:val="18"/>
              </w:rPr>
            </w:pPr>
          </w:p>
        </w:tc>
        <w:tc>
          <w:tcPr>
            <w:tcW w:w="1170" w:type="dxa"/>
          </w:tcPr>
          <w:p w14:paraId="39FC1E99"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5" w:type="dxa"/>
          </w:tcPr>
          <w:p w14:paraId="182EAA94"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51529ED2"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69A3BAD3"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49431701"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30" w:type="dxa"/>
          </w:tcPr>
          <w:p w14:paraId="2DD65FD9" w14:textId="77777777" w:rsidR="00302FE1" w:rsidRPr="00302FE1" w:rsidRDefault="00302FE1" w:rsidP="00302F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22E0FCBB" w14:textId="1D6D0C3D" w:rsidR="00E3448E" w:rsidRDefault="00C823B8" w:rsidP="00F26FDB">
      <w:pPr>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E3448E" w:rsidRPr="00E3448E">
        <w:rPr>
          <w:rFonts w:ascii="Times New Roman" w:eastAsia="Times New Roman" w:hAnsi="Times New Roman" w:cs="Times New Roman"/>
          <w:b/>
          <w:bCs/>
          <w:sz w:val="20"/>
          <w:szCs w:val="20"/>
          <w:lang w:eastAsia="en-GB"/>
        </w:rPr>
        <w:t>Source: Authors determined</w:t>
      </w:r>
      <w:r w:rsidR="00E3448E">
        <w:rPr>
          <w:rFonts w:ascii="Times New Roman" w:eastAsia="Times New Roman" w:hAnsi="Times New Roman" w:cs="Times New Roman"/>
          <w:b/>
          <w:bCs/>
          <w:sz w:val="20"/>
          <w:szCs w:val="20"/>
          <w:lang w:eastAsia="en-GB"/>
        </w:rPr>
        <w:t xml:space="preserve"> using </w:t>
      </w:r>
      <w:proofErr w:type="spellStart"/>
      <w:r w:rsidR="00E3448E">
        <w:rPr>
          <w:rFonts w:ascii="Times New Roman" w:eastAsia="Times New Roman" w:hAnsi="Times New Roman" w:cs="Times New Roman"/>
          <w:b/>
          <w:bCs/>
          <w:sz w:val="20"/>
          <w:szCs w:val="20"/>
          <w:lang w:eastAsia="en-GB"/>
        </w:rPr>
        <w:t>Eviews</w:t>
      </w:r>
      <w:proofErr w:type="spellEnd"/>
      <w:r w:rsidR="00E3448E">
        <w:rPr>
          <w:rFonts w:ascii="Times New Roman" w:eastAsia="Times New Roman" w:hAnsi="Times New Roman" w:cs="Times New Roman"/>
          <w:b/>
          <w:bCs/>
          <w:sz w:val="20"/>
          <w:szCs w:val="20"/>
          <w:lang w:eastAsia="en-GB"/>
        </w:rPr>
        <w:t xml:space="preserve"> 12, 2026</w:t>
      </w:r>
    </w:p>
    <w:p w14:paraId="7868F8E6" w14:textId="61178CD0" w:rsidR="00E738C8" w:rsidRPr="00C823B8" w:rsidRDefault="00C823B8" w:rsidP="00F26FDB">
      <w:pPr>
        <w:jc w:val="both"/>
        <w:rPr>
          <w:rFonts w:ascii="Times New Roman" w:eastAsia="Times New Roman" w:hAnsi="Times New Roman" w:cs="Times New Roman"/>
          <w:sz w:val="24"/>
          <w:szCs w:val="24"/>
          <w:lang w:eastAsia="en-GB"/>
        </w:rPr>
      </w:pPr>
      <w:r w:rsidRPr="00C823B8">
        <w:rPr>
          <w:rFonts w:ascii="Times New Roman" w:eastAsia="Times New Roman" w:hAnsi="Times New Roman" w:cs="Times New Roman"/>
          <w:sz w:val="24"/>
          <w:szCs w:val="24"/>
          <w:lang w:eastAsia="en-GB"/>
        </w:rPr>
        <w:t xml:space="preserve">The correlation results show that electricity access (EA) and electricity consumption (EC) have positive relationships with household welfare (HW) (0.48 and 0.35), suggesting that improved electricity availability and usage contribute to better living standards. This supports empirical evidence that access to electricity enhances productivity, income generation, and welfare outcomes (Dinkelman, 2011; Chakravorty, Pelli, &amp; Marchand, 2014). However, electricity generation (EG) shows a strong negative correlation with welfare (−0.85), suggesting that increased generation may not translate into household benefits due to transmission inefficiencies or poor distribution systems. Similar arguments are raised by </w:t>
      </w:r>
      <w:proofErr w:type="spellStart"/>
      <w:r w:rsidRPr="00C823B8">
        <w:rPr>
          <w:rFonts w:ascii="Times New Roman" w:eastAsia="Times New Roman" w:hAnsi="Times New Roman" w:cs="Times New Roman"/>
          <w:sz w:val="24"/>
          <w:szCs w:val="24"/>
          <w:lang w:eastAsia="en-GB"/>
        </w:rPr>
        <w:t>Bouzarovski</w:t>
      </w:r>
      <w:proofErr w:type="spellEnd"/>
      <w:r w:rsidRPr="00C823B8">
        <w:rPr>
          <w:rFonts w:ascii="Times New Roman" w:eastAsia="Times New Roman" w:hAnsi="Times New Roman" w:cs="Times New Roman"/>
          <w:sz w:val="24"/>
          <w:szCs w:val="24"/>
          <w:lang w:eastAsia="en-GB"/>
        </w:rPr>
        <w:t xml:space="preserve"> and </w:t>
      </w:r>
      <w:proofErr w:type="spellStart"/>
      <w:r w:rsidRPr="00C823B8">
        <w:rPr>
          <w:rFonts w:ascii="Times New Roman" w:eastAsia="Times New Roman" w:hAnsi="Times New Roman" w:cs="Times New Roman"/>
          <w:sz w:val="24"/>
          <w:szCs w:val="24"/>
          <w:lang w:eastAsia="en-GB"/>
        </w:rPr>
        <w:t>Petrova</w:t>
      </w:r>
      <w:proofErr w:type="spellEnd"/>
      <w:r w:rsidRPr="00C823B8">
        <w:rPr>
          <w:rFonts w:ascii="Times New Roman" w:eastAsia="Times New Roman" w:hAnsi="Times New Roman" w:cs="Times New Roman"/>
          <w:sz w:val="24"/>
          <w:szCs w:val="24"/>
          <w:lang w:eastAsia="en-GB"/>
        </w:rPr>
        <w:t xml:space="preserve"> (2015), who note that energy availability alone does not guarantee welfare improvements. Additionally, inflation (IF) negatively correlates with welfare, implying that rising prices reduce purchasing power and household well-being (Martin Ravallion, 2016).</w:t>
      </w:r>
    </w:p>
    <w:p w14:paraId="1516DF5F" w14:textId="6BBA2E0A" w:rsidR="00E738C8" w:rsidRDefault="00E738C8" w:rsidP="00C823B8">
      <w:pPr>
        <w:jc w:val="center"/>
        <w:rPr>
          <w:rFonts w:ascii="Times New Roman" w:eastAsia="Times New Roman" w:hAnsi="Times New Roman" w:cs="Times New Roman"/>
          <w:b/>
          <w:bCs/>
          <w:sz w:val="24"/>
          <w:szCs w:val="24"/>
          <w:lang w:eastAsia="en-GB"/>
        </w:rPr>
      </w:pPr>
      <w:r w:rsidRPr="00E738C8">
        <w:rPr>
          <w:rFonts w:ascii="Times New Roman" w:eastAsia="Times New Roman" w:hAnsi="Times New Roman" w:cs="Times New Roman"/>
          <w:b/>
          <w:bCs/>
          <w:sz w:val="24"/>
          <w:szCs w:val="24"/>
          <w:lang w:eastAsia="en-GB"/>
        </w:rPr>
        <w:t>Table 2: Stationarity Test (Augmented Dicky Fuller unit root test)</w:t>
      </w:r>
    </w:p>
    <w:tbl>
      <w:tblPr>
        <w:tblStyle w:val="PlainTable2"/>
        <w:tblW w:w="0" w:type="auto"/>
        <w:jc w:val="center"/>
        <w:tblLook w:val="06A0" w:firstRow="1" w:lastRow="0" w:firstColumn="1" w:lastColumn="0" w:noHBand="1" w:noVBand="1"/>
      </w:tblPr>
      <w:tblGrid>
        <w:gridCol w:w="1110"/>
        <w:gridCol w:w="1225"/>
        <w:gridCol w:w="1350"/>
        <w:gridCol w:w="1530"/>
        <w:gridCol w:w="990"/>
        <w:gridCol w:w="1260"/>
      </w:tblGrid>
      <w:tr w:rsidR="002F461C" w:rsidRPr="008D21AA" w14:paraId="1142254D" w14:textId="77777777" w:rsidTr="007B4487">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110" w:type="dxa"/>
            <w:vMerge w:val="restart"/>
          </w:tcPr>
          <w:p w14:paraId="2C50A300" w14:textId="43091BAE" w:rsidR="002F461C" w:rsidRPr="007B4487" w:rsidRDefault="002F461C" w:rsidP="002F461C">
            <w:pPr>
              <w:jc w:val="center"/>
              <w:rPr>
                <w:rFonts w:ascii="Times New Roman" w:eastAsia="Times New Roman" w:hAnsi="Times New Roman" w:cs="Times New Roman"/>
                <w:sz w:val="20"/>
                <w:szCs w:val="20"/>
                <w:lang w:eastAsia="en-GB"/>
              </w:rPr>
            </w:pPr>
            <w:r w:rsidRPr="007B4487">
              <w:rPr>
                <w:rFonts w:ascii="Times New Roman" w:eastAsia="Times New Roman" w:hAnsi="Times New Roman" w:cs="Times New Roman"/>
                <w:sz w:val="20"/>
                <w:szCs w:val="20"/>
                <w:lang w:eastAsia="en-GB"/>
              </w:rPr>
              <w:t>Variable</w:t>
            </w:r>
          </w:p>
        </w:tc>
        <w:tc>
          <w:tcPr>
            <w:tcW w:w="2575" w:type="dxa"/>
            <w:gridSpan w:val="2"/>
          </w:tcPr>
          <w:p w14:paraId="43F4C4F9" w14:textId="7A99D33F" w:rsidR="002F461C" w:rsidRPr="007B4487" w:rsidRDefault="002F461C" w:rsidP="002F46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B4487">
              <w:rPr>
                <w:rFonts w:ascii="Times New Roman" w:eastAsia="Times New Roman" w:hAnsi="Times New Roman" w:cs="Times New Roman"/>
                <w:sz w:val="20"/>
                <w:szCs w:val="20"/>
                <w:lang w:eastAsia="en-GB"/>
              </w:rPr>
              <w:t>ADF Statistic</w:t>
            </w:r>
          </w:p>
        </w:tc>
        <w:tc>
          <w:tcPr>
            <w:tcW w:w="1530" w:type="dxa"/>
            <w:vMerge w:val="restart"/>
          </w:tcPr>
          <w:p w14:paraId="20355934" w14:textId="0B01F3C4" w:rsidR="002F461C" w:rsidRPr="007B4487" w:rsidRDefault="002F461C" w:rsidP="002F46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B4487">
              <w:rPr>
                <w:rFonts w:ascii="Times New Roman" w:eastAsia="Times New Roman" w:hAnsi="Times New Roman" w:cs="Times New Roman"/>
                <w:sz w:val="20"/>
                <w:szCs w:val="20"/>
                <w:lang w:eastAsia="en-GB"/>
              </w:rPr>
              <w:t>Critical Value at 5%</w:t>
            </w:r>
          </w:p>
        </w:tc>
        <w:tc>
          <w:tcPr>
            <w:tcW w:w="990" w:type="dxa"/>
            <w:vMerge w:val="restart"/>
          </w:tcPr>
          <w:p w14:paraId="39ABE413" w14:textId="0051F0F4" w:rsidR="002F461C" w:rsidRPr="007B4487" w:rsidRDefault="002F461C" w:rsidP="002F46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B4487">
              <w:rPr>
                <w:rFonts w:ascii="Times New Roman" w:eastAsia="Times New Roman" w:hAnsi="Times New Roman" w:cs="Times New Roman"/>
                <w:sz w:val="20"/>
                <w:szCs w:val="20"/>
                <w:lang w:eastAsia="en-GB"/>
              </w:rPr>
              <w:t>Prob*</w:t>
            </w:r>
          </w:p>
        </w:tc>
        <w:tc>
          <w:tcPr>
            <w:tcW w:w="1260" w:type="dxa"/>
            <w:vMerge w:val="restart"/>
          </w:tcPr>
          <w:p w14:paraId="125991FC" w14:textId="7B6F5253" w:rsidR="002F461C" w:rsidRPr="007B4487" w:rsidRDefault="002F461C" w:rsidP="002F46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B4487">
              <w:rPr>
                <w:rFonts w:ascii="Times New Roman" w:eastAsia="Times New Roman" w:hAnsi="Times New Roman" w:cs="Times New Roman"/>
                <w:sz w:val="20"/>
                <w:szCs w:val="20"/>
                <w:lang w:eastAsia="en-GB"/>
              </w:rPr>
              <w:t>Remark</w:t>
            </w:r>
          </w:p>
        </w:tc>
      </w:tr>
      <w:tr w:rsidR="002F461C" w:rsidRPr="008D21AA" w14:paraId="005122A4" w14:textId="77777777" w:rsidTr="007B4487">
        <w:trPr>
          <w:trHeight w:val="338"/>
          <w:jc w:val="center"/>
        </w:trPr>
        <w:tc>
          <w:tcPr>
            <w:cnfStyle w:val="001000000000" w:firstRow="0" w:lastRow="0" w:firstColumn="1" w:lastColumn="0" w:oddVBand="0" w:evenVBand="0" w:oddHBand="0" w:evenHBand="0" w:firstRowFirstColumn="0" w:firstRowLastColumn="0" w:lastRowFirstColumn="0" w:lastRowLastColumn="0"/>
            <w:tcW w:w="1110" w:type="dxa"/>
            <w:vMerge/>
          </w:tcPr>
          <w:p w14:paraId="01F09B22" w14:textId="77777777" w:rsidR="002F461C" w:rsidRPr="008D21AA" w:rsidRDefault="002F461C" w:rsidP="002F461C">
            <w:pPr>
              <w:jc w:val="both"/>
              <w:rPr>
                <w:rFonts w:ascii="Times New Roman" w:eastAsia="Times New Roman" w:hAnsi="Times New Roman" w:cs="Times New Roman"/>
                <w:b w:val="0"/>
                <w:bCs w:val="0"/>
                <w:sz w:val="20"/>
                <w:szCs w:val="20"/>
                <w:lang w:eastAsia="en-GB"/>
              </w:rPr>
            </w:pPr>
          </w:p>
        </w:tc>
        <w:tc>
          <w:tcPr>
            <w:tcW w:w="1225" w:type="dxa"/>
          </w:tcPr>
          <w:p w14:paraId="067C119D" w14:textId="6CC2028E"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8D21AA">
              <w:rPr>
                <w:rFonts w:ascii="Times New Roman" w:eastAsia="Times New Roman" w:hAnsi="Times New Roman" w:cs="Times New Roman"/>
                <w:b/>
                <w:bCs/>
                <w:sz w:val="20"/>
                <w:szCs w:val="20"/>
                <w:lang w:eastAsia="en-GB"/>
              </w:rPr>
              <w:t>@Level</w:t>
            </w:r>
          </w:p>
        </w:tc>
        <w:tc>
          <w:tcPr>
            <w:tcW w:w="1350" w:type="dxa"/>
          </w:tcPr>
          <w:p w14:paraId="6AA4BCE5" w14:textId="76D0957E"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8D21AA">
              <w:rPr>
                <w:rFonts w:ascii="Times New Roman" w:eastAsia="Times New Roman" w:hAnsi="Times New Roman" w:cs="Times New Roman"/>
                <w:b/>
                <w:bCs/>
                <w:sz w:val="20"/>
                <w:szCs w:val="20"/>
                <w:lang w:eastAsia="en-GB"/>
              </w:rPr>
              <w:t>@1</w:t>
            </w:r>
            <w:r w:rsidRPr="008D21AA">
              <w:rPr>
                <w:rFonts w:ascii="Times New Roman" w:eastAsia="Times New Roman" w:hAnsi="Times New Roman" w:cs="Times New Roman"/>
                <w:b/>
                <w:bCs/>
                <w:sz w:val="20"/>
                <w:szCs w:val="20"/>
                <w:vertAlign w:val="superscript"/>
                <w:lang w:eastAsia="en-GB"/>
              </w:rPr>
              <w:t>st</w:t>
            </w:r>
            <w:r w:rsidRPr="008D21AA">
              <w:rPr>
                <w:rFonts w:ascii="Times New Roman" w:eastAsia="Times New Roman" w:hAnsi="Times New Roman" w:cs="Times New Roman"/>
                <w:b/>
                <w:bCs/>
                <w:sz w:val="20"/>
                <w:szCs w:val="20"/>
                <w:lang w:eastAsia="en-GB"/>
              </w:rPr>
              <w:t xml:space="preserve"> Diff</w:t>
            </w:r>
          </w:p>
        </w:tc>
        <w:tc>
          <w:tcPr>
            <w:tcW w:w="1530" w:type="dxa"/>
            <w:vMerge/>
          </w:tcPr>
          <w:p w14:paraId="60BC7898" w14:textId="7ECBC72B"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c>
          <w:tcPr>
            <w:tcW w:w="990" w:type="dxa"/>
            <w:vMerge/>
          </w:tcPr>
          <w:p w14:paraId="396B57C5" w14:textId="77777777"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c>
          <w:tcPr>
            <w:tcW w:w="1260" w:type="dxa"/>
            <w:vMerge/>
          </w:tcPr>
          <w:p w14:paraId="6612F515" w14:textId="77777777"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r>
      <w:tr w:rsidR="002F461C" w:rsidRPr="008D21AA" w14:paraId="22857798" w14:textId="77777777" w:rsidTr="007B4487">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319DA9A7" w14:textId="66D4F765" w:rsidR="002F461C" w:rsidRPr="008D21AA" w:rsidRDefault="002F461C" w:rsidP="002F461C">
            <w:pPr>
              <w:jc w:val="both"/>
              <w:rPr>
                <w:rFonts w:ascii="Times New Roman" w:eastAsia="Times New Roman" w:hAnsi="Times New Roman" w:cs="Times New Roman"/>
                <w:b w:val="0"/>
                <w:bCs w:val="0"/>
                <w:sz w:val="20"/>
                <w:szCs w:val="20"/>
                <w:lang w:eastAsia="en-GB"/>
              </w:rPr>
            </w:pPr>
            <w:r w:rsidRPr="008D21AA">
              <w:rPr>
                <w:rFonts w:ascii="Times New Roman" w:eastAsia="Times New Roman" w:hAnsi="Times New Roman" w:cs="Times New Roman"/>
                <w:b w:val="0"/>
                <w:bCs w:val="0"/>
                <w:sz w:val="20"/>
                <w:szCs w:val="20"/>
                <w:lang w:eastAsia="en-GB"/>
              </w:rPr>
              <w:t>HW</w:t>
            </w:r>
          </w:p>
        </w:tc>
        <w:tc>
          <w:tcPr>
            <w:tcW w:w="1225" w:type="dxa"/>
          </w:tcPr>
          <w:p w14:paraId="08824BBB" w14:textId="5D27EFAA" w:rsidR="002F461C" w:rsidRPr="008D21AA" w:rsidRDefault="008D21AA"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-5.235434</w:t>
            </w:r>
          </w:p>
        </w:tc>
        <w:tc>
          <w:tcPr>
            <w:tcW w:w="1350" w:type="dxa"/>
          </w:tcPr>
          <w:p w14:paraId="099FF32B" w14:textId="77777777"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530" w:type="dxa"/>
          </w:tcPr>
          <w:p w14:paraId="58406EDE" w14:textId="5485E0B4" w:rsidR="002F461C" w:rsidRPr="008D21AA" w:rsidRDefault="008D21AA"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-4.443649</w:t>
            </w:r>
          </w:p>
        </w:tc>
        <w:tc>
          <w:tcPr>
            <w:tcW w:w="990" w:type="dxa"/>
          </w:tcPr>
          <w:p w14:paraId="3AEA27F8" w14:textId="3CD75902" w:rsidR="002F461C" w:rsidRPr="008D21AA" w:rsidRDefault="008D21AA"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&lt;0.01</w:t>
            </w:r>
          </w:p>
        </w:tc>
        <w:tc>
          <w:tcPr>
            <w:tcW w:w="1260" w:type="dxa"/>
          </w:tcPr>
          <w:p w14:paraId="440C2F75" w14:textId="15C1160C" w:rsidR="002F461C" w:rsidRPr="008D21AA" w:rsidRDefault="008D21AA"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 xml:space="preserve">Stationary </w:t>
            </w:r>
          </w:p>
        </w:tc>
      </w:tr>
      <w:tr w:rsidR="002F461C" w:rsidRPr="008D21AA" w14:paraId="7647DCE6" w14:textId="77777777" w:rsidTr="007B4487">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7549BEC2" w14:textId="5F3E6BCE" w:rsidR="002F461C" w:rsidRPr="008D21AA" w:rsidRDefault="002F461C" w:rsidP="002F461C">
            <w:pPr>
              <w:jc w:val="both"/>
              <w:rPr>
                <w:rFonts w:ascii="Times New Roman" w:eastAsia="Times New Roman" w:hAnsi="Times New Roman" w:cs="Times New Roman"/>
                <w:b w:val="0"/>
                <w:bCs w:val="0"/>
                <w:sz w:val="20"/>
                <w:szCs w:val="20"/>
                <w:lang w:eastAsia="en-GB"/>
              </w:rPr>
            </w:pPr>
            <w:r w:rsidRPr="008D21AA">
              <w:rPr>
                <w:rFonts w:ascii="Times New Roman" w:eastAsia="Times New Roman" w:hAnsi="Times New Roman" w:cs="Times New Roman"/>
                <w:b w:val="0"/>
                <w:bCs w:val="0"/>
                <w:sz w:val="20"/>
                <w:szCs w:val="20"/>
                <w:lang w:eastAsia="en-GB"/>
              </w:rPr>
              <w:t>EA</w:t>
            </w:r>
          </w:p>
        </w:tc>
        <w:tc>
          <w:tcPr>
            <w:tcW w:w="1225" w:type="dxa"/>
          </w:tcPr>
          <w:p w14:paraId="29280FB0" w14:textId="77777777"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350" w:type="dxa"/>
          </w:tcPr>
          <w:p w14:paraId="00EEAC7B" w14:textId="12B18353"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-5.435026</w:t>
            </w:r>
          </w:p>
        </w:tc>
        <w:tc>
          <w:tcPr>
            <w:tcW w:w="1530" w:type="dxa"/>
          </w:tcPr>
          <w:p w14:paraId="5F5BA07B" w14:textId="62840B18"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-4.443649</w:t>
            </w:r>
          </w:p>
        </w:tc>
        <w:tc>
          <w:tcPr>
            <w:tcW w:w="990" w:type="dxa"/>
          </w:tcPr>
          <w:p w14:paraId="5928788F" w14:textId="15C7F88C"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&lt;0.01</w:t>
            </w:r>
          </w:p>
        </w:tc>
        <w:tc>
          <w:tcPr>
            <w:tcW w:w="1260" w:type="dxa"/>
          </w:tcPr>
          <w:p w14:paraId="00A5DE25" w14:textId="7BC232EA" w:rsidR="002F461C" w:rsidRPr="008D21AA" w:rsidRDefault="008D21AA"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 xml:space="preserve">Stationary </w:t>
            </w:r>
          </w:p>
        </w:tc>
      </w:tr>
      <w:tr w:rsidR="002F461C" w:rsidRPr="008D21AA" w14:paraId="4C57B569" w14:textId="77777777" w:rsidTr="007B4487">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3DF24AE2" w14:textId="2C5916FE" w:rsidR="002F461C" w:rsidRPr="008D21AA" w:rsidRDefault="002F461C" w:rsidP="002F461C">
            <w:pPr>
              <w:jc w:val="both"/>
              <w:rPr>
                <w:rFonts w:ascii="Times New Roman" w:eastAsia="Times New Roman" w:hAnsi="Times New Roman" w:cs="Times New Roman"/>
                <w:b w:val="0"/>
                <w:bCs w:val="0"/>
                <w:sz w:val="20"/>
                <w:szCs w:val="20"/>
                <w:lang w:eastAsia="en-GB"/>
              </w:rPr>
            </w:pPr>
            <w:r w:rsidRPr="008D21AA">
              <w:rPr>
                <w:rFonts w:ascii="Times New Roman" w:eastAsia="Times New Roman" w:hAnsi="Times New Roman" w:cs="Times New Roman"/>
                <w:b w:val="0"/>
                <w:bCs w:val="0"/>
                <w:sz w:val="20"/>
                <w:szCs w:val="20"/>
                <w:lang w:eastAsia="en-GB"/>
              </w:rPr>
              <w:t>EC</w:t>
            </w:r>
          </w:p>
        </w:tc>
        <w:tc>
          <w:tcPr>
            <w:tcW w:w="1225" w:type="dxa"/>
          </w:tcPr>
          <w:p w14:paraId="132F91B4" w14:textId="5F7CD898"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350" w:type="dxa"/>
          </w:tcPr>
          <w:p w14:paraId="22F55273" w14:textId="185AF254"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-6.233741</w:t>
            </w:r>
          </w:p>
        </w:tc>
        <w:tc>
          <w:tcPr>
            <w:tcW w:w="1530" w:type="dxa"/>
          </w:tcPr>
          <w:p w14:paraId="3868D820" w14:textId="5E1D80A4"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-4.443649</w:t>
            </w:r>
          </w:p>
        </w:tc>
        <w:tc>
          <w:tcPr>
            <w:tcW w:w="990" w:type="dxa"/>
          </w:tcPr>
          <w:p w14:paraId="29380F01" w14:textId="3396D360"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&lt;0.01</w:t>
            </w:r>
          </w:p>
        </w:tc>
        <w:tc>
          <w:tcPr>
            <w:tcW w:w="1260" w:type="dxa"/>
          </w:tcPr>
          <w:p w14:paraId="66A468DC" w14:textId="286DDEB6" w:rsidR="002F461C" w:rsidRPr="008D21AA" w:rsidRDefault="008D21AA"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 xml:space="preserve">Stationary </w:t>
            </w:r>
          </w:p>
        </w:tc>
      </w:tr>
      <w:tr w:rsidR="002F461C" w:rsidRPr="008D21AA" w14:paraId="76F7883A" w14:textId="77777777" w:rsidTr="007B4487">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5BD74FCA" w14:textId="0882DFFE" w:rsidR="002F461C" w:rsidRPr="008D21AA" w:rsidRDefault="002F461C" w:rsidP="002F461C">
            <w:pPr>
              <w:jc w:val="both"/>
              <w:rPr>
                <w:rFonts w:ascii="Times New Roman" w:eastAsia="Times New Roman" w:hAnsi="Times New Roman" w:cs="Times New Roman"/>
                <w:b w:val="0"/>
                <w:bCs w:val="0"/>
                <w:sz w:val="20"/>
                <w:szCs w:val="20"/>
                <w:lang w:eastAsia="en-GB"/>
              </w:rPr>
            </w:pPr>
            <w:r w:rsidRPr="008D21AA">
              <w:rPr>
                <w:rFonts w:ascii="Times New Roman" w:eastAsia="Times New Roman" w:hAnsi="Times New Roman" w:cs="Times New Roman"/>
                <w:b w:val="0"/>
                <w:bCs w:val="0"/>
                <w:sz w:val="20"/>
                <w:szCs w:val="20"/>
                <w:lang w:eastAsia="en-GB"/>
              </w:rPr>
              <w:t>EU</w:t>
            </w:r>
          </w:p>
        </w:tc>
        <w:tc>
          <w:tcPr>
            <w:tcW w:w="1225" w:type="dxa"/>
          </w:tcPr>
          <w:p w14:paraId="6E1CDFA2" w14:textId="538E3B00"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350" w:type="dxa"/>
          </w:tcPr>
          <w:p w14:paraId="64BC2F3A" w14:textId="1AA294CD"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-16.69376</w:t>
            </w:r>
          </w:p>
        </w:tc>
        <w:tc>
          <w:tcPr>
            <w:tcW w:w="1530" w:type="dxa"/>
          </w:tcPr>
          <w:p w14:paraId="226CBB22" w14:textId="1A420B7B"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-4.443649</w:t>
            </w:r>
          </w:p>
        </w:tc>
        <w:tc>
          <w:tcPr>
            <w:tcW w:w="990" w:type="dxa"/>
          </w:tcPr>
          <w:p w14:paraId="4053D2E1" w14:textId="3C37CC69"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&lt;0.01</w:t>
            </w:r>
          </w:p>
        </w:tc>
        <w:tc>
          <w:tcPr>
            <w:tcW w:w="1260" w:type="dxa"/>
          </w:tcPr>
          <w:p w14:paraId="6ACDDF2C" w14:textId="1A0FECCC" w:rsidR="002F461C" w:rsidRPr="008D21AA" w:rsidRDefault="008D21AA"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 xml:space="preserve">Stationary </w:t>
            </w:r>
          </w:p>
        </w:tc>
      </w:tr>
      <w:tr w:rsidR="002F461C" w:rsidRPr="008D21AA" w14:paraId="5D359603" w14:textId="77777777" w:rsidTr="007B4487">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113212FB" w14:textId="34078463" w:rsidR="002F461C" w:rsidRPr="008D21AA" w:rsidRDefault="002F461C" w:rsidP="002F461C">
            <w:pPr>
              <w:jc w:val="both"/>
              <w:rPr>
                <w:rFonts w:ascii="Times New Roman" w:eastAsia="Times New Roman" w:hAnsi="Times New Roman" w:cs="Times New Roman"/>
                <w:b w:val="0"/>
                <w:bCs w:val="0"/>
                <w:sz w:val="20"/>
                <w:szCs w:val="20"/>
                <w:lang w:eastAsia="en-GB"/>
              </w:rPr>
            </w:pPr>
            <w:r w:rsidRPr="008D21AA">
              <w:rPr>
                <w:rFonts w:ascii="Times New Roman" w:eastAsia="Times New Roman" w:hAnsi="Times New Roman" w:cs="Times New Roman"/>
                <w:b w:val="0"/>
                <w:bCs w:val="0"/>
                <w:sz w:val="20"/>
                <w:szCs w:val="20"/>
                <w:lang w:eastAsia="en-GB"/>
              </w:rPr>
              <w:t>EG</w:t>
            </w:r>
          </w:p>
        </w:tc>
        <w:tc>
          <w:tcPr>
            <w:tcW w:w="1225" w:type="dxa"/>
          </w:tcPr>
          <w:p w14:paraId="490EEF0A" w14:textId="127A4B8A"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350" w:type="dxa"/>
          </w:tcPr>
          <w:p w14:paraId="5CF533E3" w14:textId="4426D773"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-12.16833</w:t>
            </w:r>
          </w:p>
        </w:tc>
        <w:tc>
          <w:tcPr>
            <w:tcW w:w="1530" w:type="dxa"/>
          </w:tcPr>
          <w:p w14:paraId="45D482D3" w14:textId="3761B31F"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-4.443649</w:t>
            </w:r>
          </w:p>
        </w:tc>
        <w:tc>
          <w:tcPr>
            <w:tcW w:w="990" w:type="dxa"/>
          </w:tcPr>
          <w:p w14:paraId="04ABC00F" w14:textId="43A9BD5F"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&lt;0.01</w:t>
            </w:r>
          </w:p>
        </w:tc>
        <w:tc>
          <w:tcPr>
            <w:tcW w:w="1260" w:type="dxa"/>
          </w:tcPr>
          <w:p w14:paraId="4BF3A609" w14:textId="1E085D2A" w:rsidR="002F461C" w:rsidRPr="008D21AA" w:rsidRDefault="008D21AA"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 xml:space="preserve">Stationary </w:t>
            </w:r>
          </w:p>
        </w:tc>
      </w:tr>
      <w:tr w:rsidR="002F461C" w:rsidRPr="008D21AA" w14:paraId="3049CE76" w14:textId="77777777" w:rsidTr="007B4487">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236441C3" w14:textId="17276F8A" w:rsidR="002F461C" w:rsidRPr="008D21AA" w:rsidRDefault="002F461C" w:rsidP="002F461C">
            <w:pPr>
              <w:jc w:val="both"/>
              <w:rPr>
                <w:rFonts w:ascii="Times New Roman" w:eastAsia="Times New Roman" w:hAnsi="Times New Roman" w:cs="Times New Roman"/>
                <w:b w:val="0"/>
                <w:bCs w:val="0"/>
                <w:sz w:val="20"/>
                <w:szCs w:val="20"/>
                <w:lang w:eastAsia="en-GB"/>
              </w:rPr>
            </w:pPr>
            <w:r w:rsidRPr="008D21AA">
              <w:rPr>
                <w:rFonts w:ascii="Times New Roman" w:eastAsia="Times New Roman" w:hAnsi="Times New Roman" w:cs="Times New Roman"/>
                <w:b w:val="0"/>
                <w:bCs w:val="0"/>
                <w:sz w:val="20"/>
                <w:szCs w:val="20"/>
                <w:lang w:eastAsia="en-GB"/>
              </w:rPr>
              <w:t>IF</w:t>
            </w:r>
          </w:p>
        </w:tc>
        <w:tc>
          <w:tcPr>
            <w:tcW w:w="1225" w:type="dxa"/>
          </w:tcPr>
          <w:p w14:paraId="583B9B99" w14:textId="06797062"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-6.506616</w:t>
            </w:r>
          </w:p>
        </w:tc>
        <w:tc>
          <w:tcPr>
            <w:tcW w:w="1350" w:type="dxa"/>
          </w:tcPr>
          <w:p w14:paraId="01CD1A8C" w14:textId="77777777"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530" w:type="dxa"/>
          </w:tcPr>
          <w:p w14:paraId="348017CB" w14:textId="36271E73"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-4.443649</w:t>
            </w:r>
          </w:p>
        </w:tc>
        <w:tc>
          <w:tcPr>
            <w:tcW w:w="990" w:type="dxa"/>
          </w:tcPr>
          <w:p w14:paraId="311DA3A9" w14:textId="122A8515" w:rsidR="002F461C" w:rsidRPr="008D21AA" w:rsidRDefault="002F461C"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&lt;0.01</w:t>
            </w:r>
          </w:p>
        </w:tc>
        <w:tc>
          <w:tcPr>
            <w:tcW w:w="1260" w:type="dxa"/>
          </w:tcPr>
          <w:p w14:paraId="591C5DDD" w14:textId="3B680F7F" w:rsidR="002F461C" w:rsidRPr="008D21AA" w:rsidRDefault="008D21AA" w:rsidP="002F461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8D21AA">
              <w:rPr>
                <w:rFonts w:ascii="Times New Roman" w:eastAsia="Times New Roman" w:hAnsi="Times New Roman" w:cs="Times New Roman"/>
                <w:sz w:val="20"/>
                <w:szCs w:val="20"/>
                <w:lang w:eastAsia="en-GB"/>
              </w:rPr>
              <w:t xml:space="preserve">Stationary </w:t>
            </w:r>
          </w:p>
        </w:tc>
      </w:tr>
    </w:tbl>
    <w:p w14:paraId="5A327325" w14:textId="5555FC01" w:rsidR="008D21AA" w:rsidRDefault="007B4487" w:rsidP="00C823B8">
      <w:pPr>
        <w:ind w:firstLine="720"/>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8D21AA" w:rsidRPr="00E3448E">
        <w:rPr>
          <w:rFonts w:ascii="Times New Roman" w:eastAsia="Times New Roman" w:hAnsi="Times New Roman" w:cs="Times New Roman"/>
          <w:b/>
          <w:bCs/>
          <w:sz w:val="20"/>
          <w:szCs w:val="20"/>
          <w:lang w:eastAsia="en-GB"/>
        </w:rPr>
        <w:t>Source: Authors determined</w:t>
      </w:r>
      <w:r w:rsidR="008D21AA">
        <w:rPr>
          <w:rFonts w:ascii="Times New Roman" w:eastAsia="Times New Roman" w:hAnsi="Times New Roman" w:cs="Times New Roman"/>
          <w:b/>
          <w:bCs/>
          <w:sz w:val="20"/>
          <w:szCs w:val="20"/>
          <w:lang w:eastAsia="en-GB"/>
        </w:rPr>
        <w:t xml:space="preserve"> using </w:t>
      </w:r>
      <w:proofErr w:type="spellStart"/>
      <w:r w:rsidR="008D21AA">
        <w:rPr>
          <w:rFonts w:ascii="Times New Roman" w:eastAsia="Times New Roman" w:hAnsi="Times New Roman" w:cs="Times New Roman"/>
          <w:b/>
          <w:bCs/>
          <w:sz w:val="20"/>
          <w:szCs w:val="20"/>
          <w:lang w:eastAsia="en-GB"/>
        </w:rPr>
        <w:t>Eviews</w:t>
      </w:r>
      <w:proofErr w:type="spellEnd"/>
      <w:r w:rsidR="008D21AA">
        <w:rPr>
          <w:rFonts w:ascii="Times New Roman" w:eastAsia="Times New Roman" w:hAnsi="Times New Roman" w:cs="Times New Roman"/>
          <w:b/>
          <w:bCs/>
          <w:sz w:val="20"/>
          <w:szCs w:val="20"/>
          <w:lang w:eastAsia="en-GB"/>
        </w:rPr>
        <w:t xml:space="preserve"> 12, 2026</w:t>
      </w:r>
    </w:p>
    <w:p w14:paraId="67FDC0D6" w14:textId="0C1232BF" w:rsidR="00E738C8" w:rsidRPr="00C823B8" w:rsidRDefault="00C823B8" w:rsidP="00F26FDB">
      <w:pPr>
        <w:jc w:val="both"/>
        <w:rPr>
          <w:rFonts w:ascii="Times New Roman" w:eastAsia="Times New Roman" w:hAnsi="Times New Roman" w:cs="Times New Roman"/>
          <w:sz w:val="24"/>
          <w:szCs w:val="24"/>
          <w:lang w:eastAsia="en-GB"/>
        </w:rPr>
      </w:pPr>
      <w:r w:rsidRPr="00C823B8">
        <w:rPr>
          <w:rFonts w:ascii="Times New Roman" w:eastAsia="Times New Roman" w:hAnsi="Times New Roman" w:cs="Times New Roman"/>
          <w:sz w:val="24"/>
          <w:szCs w:val="24"/>
          <w:lang w:eastAsia="en-GB"/>
        </w:rPr>
        <w:t xml:space="preserve">The ADF unit root results show that HW and IF are stationary at level, while EA, EC, EU, and EG become stationary after first differencing, as their ADF statistics exceed the 5% critical value with probabilities below 0.01. This indicates a mixed order of integration, </w:t>
      </w:r>
      <w:proofErr w:type="gramStart"/>
      <w:r w:rsidRPr="00C823B8">
        <w:rPr>
          <w:rFonts w:ascii="Times New Roman" w:eastAsia="Times New Roman" w:hAnsi="Times New Roman" w:cs="Times New Roman"/>
          <w:sz w:val="24"/>
          <w:szCs w:val="24"/>
          <w:lang w:eastAsia="en-GB"/>
        </w:rPr>
        <w:t>I(</w:t>
      </w:r>
      <w:proofErr w:type="gramEnd"/>
      <w:r w:rsidRPr="00C823B8">
        <w:rPr>
          <w:rFonts w:ascii="Times New Roman" w:eastAsia="Times New Roman" w:hAnsi="Times New Roman" w:cs="Times New Roman"/>
          <w:sz w:val="24"/>
          <w:szCs w:val="24"/>
          <w:lang w:eastAsia="en-GB"/>
        </w:rPr>
        <w:t>0) and I(1), implying the variables are suitable for ARDL/NARDL estimation, which accommodates such integration structures in time-series analysis</w:t>
      </w:r>
      <w:r w:rsidR="00FD6B7A">
        <w:rPr>
          <w:rFonts w:ascii="Times New Roman" w:eastAsia="Times New Roman" w:hAnsi="Times New Roman" w:cs="Times New Roman"/>
          <w:sz w:val="24"/>
          <w:szCs w:val="24"/>
          <w:lang w:eastAsia="en-GB"/>
        </w:rPr>
        <w:t xml:space="preserve"> and consequently lends credence to the conduct of cointegration test. </w:t>
      </w:r>
    </w:p>
    <w:p w14:paraId="3CD898E8" w14:textId="7E53373B" w:rsidR="008D21AA" w:rsidRDefault="008D21AA" w:rsidP="00C823B8">
      <w:pPr>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Table 3: ARDL Cointegration Test</w:t>
      </w:r>
    </w:p>
    <w:tbl>
      <w:tblPr>
        <w:tblStyle w:val="PlainTable2"/>
        <w:tblW w:w="0" w:type="auto"/>
        <w:jc w:val="center"/>
        <w:tblLayout w:type="fixed"/>
        <w:tblLook w:val="06A0" w:firstRow="1" w:lastRow="0" w:firstColumn="1" w:lastColumn="0" w:noHBand="1" w:noVBand="1"/>
      </w:tblPr>
      <w:tblGrid>
        <w:gridCol w:w="1417"/>
        <w:gridCol w:w="1103"/>
        <w:gridCol w:w="1207"/>
        <w:gridCol w:w="1208"/>
        <w:gridCol w:w="735"/>
      </w:tblGrid>
      <w:tr w:rsidR="008D21AA" w:rsidRPr="008D21AA" w14:paraId="605EAA62" w14:textId="77777777" w:rsidTr="00C823B8">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520" w:type="dxa"/>
            <w:gridSpan w:val="2"/>
          </w:tcPr>
          <w:p w14:paraId="2C92BA83"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r w:rsidRPr="008D21AA">
              <w:rPr>
                <w:rFonts w:ascii="Times New Roman" w:hAnsi="Times New Roman" w:cs="Times New Roman"/>
                <w:color w:val="000000"/>
                <w:sz w:val="20"/>
                <w:szCs w:val="20"/>
              </w:rPr>
              <w:t>F-Bounds Test</w:t>
            </w:r>
          </w:p>
        </w:tc>
        <w:tc>
          <w:tcPr>
            <w:tcW w:w="3150" w:type="dxa"/>
            <w:gridSpan w:val="3"/>
          </w:tcPr>
          <w:p w14:paraId="140A0B42" w14:textId="77777777" w:rsidR="008D21AA" w:rsidRPr="008D21AA" w:rsidRDefault="008D21AA" w:rsidP="00C823B8">
            <w:pPr>
              <w:autoSpaceDE w:val="0"/>
              <w:autoSpaceDN w:val="0"/>
              <w:adjustRightInd w:val="0"/>
              <w:ind w:right="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Null Hypothesis: No levels relationship</w:t>
            </w:r>
          </w:p>
        </w:tc>
      </w:tr>
      <w:tr w:rsidR="008D21AA" w:rsidRPr="008D21AA" w14:paraId="49B15650" w14:textId="77777777" w:rsidTr="00C823B8">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417" w:type="dxa"/>
          </w:tcPr>
          <w:p w14:paraId="2ABB4F6A"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6EE258DE"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7C7821CC"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8" w:type="dxa"/>
          </w:tcPr>
          <w:p w14:paraId="27B597B5"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5" w:type="dxa"/>
          </w:tcPr>
          <w:p w14:paraId="7C89B352"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8D21AA" w:rsidRPr="008D21AA" w14:paraId="1F7621E8" w14:textId="77777777" w:rsidTr="00C823B8">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417" w:type="dxa"/>
          </w:tcPr>
          <w:p w14:paraId="334908EA"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13E7C849"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3DFB52BD"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8" w:type="dxa"/>
          </w:tcPr>
          <w:p w14:paraId="6DA1FBAB"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5" w:type="dxa"/>
          </w:tcPr>
          <w:p w14:paraId="7A40B53F"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8D21AA" w:rsidRPr="008D21AA" w14:paraId="0FE7BE0A" w14:textId="77777777" w:rsidTr="00C823B8">
        <w:trPr>
          <w:trHeight w:val="225"/>
          <w:jc w:val="center"/>
        </w:trPr>
        <w:tc>
          <w:tcPr>
            <w:cnfStyle w:val="001000000000" w:firstRow="0" w:lastRow="0" w:firstColumn="1" w:lastColumn="0" w:oddVBand="0" w:evenVBand="0" w:oddHBand="0" w:evenHBand="0" w:firstRowFirstColumn="0" w:firstRowLastColumn="0" w:lastRowFirstColumn="0" w:lastRowLastColumn="0"/>
            <w:tcW w:w="1417" w:type="dxa"/>
          </w:tcPr>
          <w:p w14:paraId="11FF8A0A"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r w:rsidRPr="008D21AA">
              <w:rPr>
                <w:rFonts w:ascii="Times New Roman" w:hAnsi="Times New Roman" w:cs="Times New Roman"/>
                <w:color w:val="000000"/>
                <w:sz w:val="20"/>
                <w:szCs w:val="20"/>
              </w:rPr>
              <w:t>Test Statistic</w:t>
            </w:r>
          </w:p>
        </w:tc>
        <w:tc>
          <w:tcPr>
            <w:tcW w:w="1103" w:type="dxa"/>
          </w:tcPr>
          <w:p w14:paraId="135F636C"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Value</w:t>
            </w:r>
          </w:p>
        </w:tc>
        <w:tc>
          <w:tcPr>
            <w:tcW w:w="1207" w:type="dxa"/>
          </w:tcPr>
          <w:p w14:paraId="4D75EC24"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roofErr w:type="spellStart"/>
            <w:r w:rsidRPr="008D21AA">
              <w:rPr>
                <w:rFonts w:ascii="Times New Roman" w:hAnsi="Times New Roman" w:cs="Times New Roman"/>
                <w:color w:val="000000"/>
                <w:sz w:val="20"/>
                <w:szCs w:val="20"/>
              </w:rPr>
              <w:t>Signif</w:t>
            </w:r>
            <w:proofErr w:type="spellEnd"/>
            <w:r w:rsidRPr="008D21AA">
              <w:rPr>
                <w:rFonts w:ascii="Times New Roman" w:hAnsi="Times New Roman" w:cs="Times New Roman"/>
                <w:color w:val="000000"/>
                <w:sz w:val="20"/>
                <w:szCs w:val="20"/>
              </w:rPr>
              <w:t>.</w:t>
            </w:r>
          </w:p>
        </w:tc>
        <w:tc>
          <w:tcPr>
            <w:tcW w:w="1208" w:type="dxa"/>
          </w:tcPr>
          <w:p w14:paraId="3FF10CFA"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roofErr w:type="gramStart"/>
            <w:r w:rsidRPr="008D21AA">
              <w:rPr>
                <w:rFonts w:ascii="Times New Roman" w:hAnsi="Times New Roman" w:cs="Times New Roman"/>
                <w:color w:val="000000"/>
                <w:sz w:val="20"/>
                <w:szCs w:val="20"/>
              </w:rPr>
              <w:t>I(</w:t>
            </w:r>
            <w:proofErr w:type="gramEnd"/>
            <w:r w:rsidRPr="008D21AA">
              <w:rPr>
                <w:rFonts w:ascii="Times New Roman" w:hAnsi="Times New Roman" w:cs="Times New Roman"/>
                <w:color w:val="000000"/>
                <w:sz w:val="20"/>
                <w:szCs w:val="20"/>
              </w:rPr>
              <w:t>0)</w:t>
            </w:r>
          </w:p>
        </w:tc>
        <w:tc>
          <w:tcPr>
            <w:tcW w:w="735" w:type="dxa"/>
          </w:tcPr>
          <w:p w14:paraId="1D8B9BE1"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roofErr w:type="gramStart"/>
            <w:r w:rsidRPr="008D21AA">
              <w:rPr>
                <w:rFonts w:ascii="Times New Roman" w:hAnsi="Times New Roman" w:cs="Times New Roman"/>
                <w:color w:val="000000"/>
                <w:sz w:val="20"/>
                <w:szCs w:val="20"/>
              </w:rPr>
              <w:t>I(</w:t>
            </w:r>
            <w:proofErr w:type="gramEnd"/>
            <w:r w:rsidRPr="008D21AA">
              <w:rPr>
                <w:rFonts w:ascii="Times New Roman" w:hAnsi="Times New Roman" w:cs="Times New Roman"/>
                <w:color w:val="000000"/>
                <w:sz w:val="20"/>
                <w:szCs w:val="20"/>
              </w:rPr>
              <w:t>1)</w:t>
            </w:r>
          </w:p>
        </w:tc>
      </w:tr>
      <w:tr w:rsidR="008D21AA" w:rsidRPr="008D21AA" w14:paraId="18762F7F" w14:textId="77777777" w:rsidTr="00C823B8">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417" w:type="dxa"/>
          </w:tcPr>
          <w:p w14:paraId="48723B0E"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6150757B"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66B7D103"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8" w:type="dxa"/>
          </w:tcPr>
          <w:p w14:paraId="34DA5E6C"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5" w:type="dxa"/>
          </w:tcPr>
          <w:p w14:paraId="38651227"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8D21AA" w:rsidRPr="008D21AA" w14:paraId="1AA12AA6" w14:textId="77777777" w:rsidTr="00C823B8">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417" w:type="dxa"/>
          </w:tcPr>
          <w:p w14:paraId="0908E000"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348610B4"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163BA5C8"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8" w:type="dxa"/>
          </w:tcPr>
          <w:p w14:paraId="09539BB6"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5" w:type="dxa"/>
          </w:tcPr>
          <w:p w14:paraId="6789557A"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8D21AA" w:rsidRPr="008D21AA" w14:paraId="4827F864" w14:textId="77777777" w:rsidTr="00C823B8">
        <w:trPr>
          <w:trHeight w:val="225"/>
          <w:jc w:val="center"/>
        </w:trPr>
        <w:tc>
          <w:tcPr>
            <w:cnfStyle w:val="001000000000" w:firstRow="0" w:lastRow="0" w:firstColumn="1" w:lastColumn="0" w:oddVBand="0" w:evenVBand="0" w:oddHBand="0" w:evenHBand="0" w:firstRowFirstColumn="0" w:firstRowLastColumn="0" w:lastRowFirstColumn="0" w:lastRowLastColumn="0"/>
            <w:tcW w:w="1417" w:type="dxa"/>
          </w:tcPr>
          <w:p w14:paraId="33EDE96A"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r w:rsidRPr="008D21AA">
              <w:rPr>
                <w:rFonts w:ascii="Times New Roman" w:hAnsi="Times New Roman" w:cs="Times New Roman"/>
                <w:color w:val="000000"/>
                <w:sz w:val="20"/>
                <w:szCs w:val="20"/>
              </w:rPr>
              <w:t>F-statistic</w:t>
            </w:r>
          </w:p>
        </w:tc>
        <w:tc>
          <w:tcPr>
            <w:tcW w:w="1103" w:type="dxa"/>
          </w:tcPr>
          <w:p w14:paraId="49204972" w14:textId="59E37A3C"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6.076186</w:t>
            </w:r>
          </w:p>
        </w:tc>
        <w:tc>
          <w:tcPr>
            <w:tcW w:w="1207" w:type="dxa"/>
          </w:tcPr>
          <w:p w14:paraId="76AE6E41" w14:textId="06D52EF6"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10%</w:t>
            </w:r>
          </w:p>
        </w:tc>
        <w:tc>
          <w:tcPr>
            <w:tcW w:w="1208" w:type="dxa"/>
          </w:tcPr>
          <w:p w14:paraId="1CC8BDA2"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1.66</w:t>
            </w:r>
          </w:p>
        </w:tc>
        <w:tc>
          <w:tcPr>
            <w:tcW w:w="735" w:type="dxa"/>
          </w:tcPr>
          <w:p w14:paraId="5C1FB9CE"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2.79</w:t>
            </w:r>
          </w:p>
        </w:tc>
      </w:tr>
      <w:tr w:rsidR="008D21AA" w:rsidRPr="008D21AA" w14:paraId="404E243A" w14:textId="77777777" w:rsidTr="00C823B8">
        <w:trPr>
          <w:trHeight w:val="225"/>
          <w:jc w:val="center"/>
        </w:trPr>
        <w:tc>
          <w:tcPr>
            <w:cnfStyle w:val="001000000000" w:firstRow="0" w:lastRow="0" w:firstColumn="1" w:lastColumn="0" w:oddVBand="0" w:evenVBand="0" w:oddHBand="0" w:evenHBand="0" w:firstRowFirstColumn="0" w:firstRowLastColumn="0" w:lastRowFirstColumn="0" w:lastRowLastColumn="0"/>
            <w:tcW w:w="1417" w:type="dxa"/>
          </w:tcPr>
          <w:p w14:paraId="4070E507"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r w:rsidRPr="008D21AA">
              <w:rPr>
                <w:rFonts w:ascii="Times New Roman" w:hAnsi="Times New Roman" w:cs="Times New Roman"/>
                <w:color w:val="000000"/>
                <w:sz w:val="20"/>
                <w:szCs w:val="20"/>
              </w:rPr>
              <w:t>k</w:t>
            </w:r>
          </w:p>
        </w:tc>
        <w:tc>
          <w:tcPr>
            <w:tcW w:w="1103" w:type="dxa"/>
          </w:tcPr>
          <w:p w14:paraId="460F0912"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8</w:t>
            </w:r>
          </w:p>
        </w:tc>
        <w:tc>
          <w:tcPr>
            <w:tcW w:w="1207" w:type="dxa"/>
          </w:tcPr>
          <w:p w14:paraId="49DBD4F9" w14:textId="3B773AB5"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5%</w:t>
            </w:r>
          </w:p>
        </w:tc>
        <w:tc>
          <w:tcPr>
            <w:tcW w:w="1208" w:type="dxa"/>
          </w:tcPr>
          <w:p w14:paraId="118641B5"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1.91</w:t>
            </w:r>
          </w:p>
        </w:tc>
        <w:tc>
          <w:tcPr>
            <w:tcW w:w="735" w:type="dxa"/>
          </w:tcPr>
          <w:p w14:paraId="669369C9"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3.11</w:t>
            </w:r>
          </w:p>
        </w:tc>
      </w:tr>
      <w:tr w:rsidR="008D21AA" w:rsidRPr="008D21AA" w14:paraId="1CE67FDC" w14:textId="77777777" w:rsidTr="00C823B8">
        <w:trPr>
          <w:trHeight w:val="225"/>
          <w:jc w:val="center"/>
        </w:trPr>
        <w:tc>
          <w:tcPr>
            <w:cnfStyle w:val="001000000000" w:firstRow="0" w:lastRow="0" w:firstColumn="1" w:lastColumn="0" w:oddVBand="0" w:evenVBand="0" w:oddHBand="0" w:evenHBand="0" w:firstRowFirstColumn="0" w:firstRowLastColumn="0" w:lastRowFirstColumn="0" w:lastRowLastColumn="0"/>
            <w:tcW w:w="1417" w:type="dxa"/>
          </w:tcPr>
          <w:p w14:paraId="10D0A79B"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2FBA9351"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23B25222" w14:textId="6813F31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2.5%</w:t>
            </w:r>
          </w:p>
        </w:tc>
        <w:tc>
          <w:tcPr>
            <w:tcW w:w="1208" w:type="dxa"/>
          </w:tcPr>
          <w:p w14:paraId="0B05B5AD"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2.15</w:t>
            </w:r>
          </w:p>
        </w:tc>
        <w:tc>
          <w:tcPr>
            <w:tcW w:w="735" w:type="dxa"/>
          </w:tcPr>
          <w:p w14:paraId="751760B9"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3.4</w:t>
            </w:r>
          </w:p>
        </w:tc>
      </w:tr>
      <w:tr w:rsidR="008D21AA" w:rsidRPr="008D21AA" w14:paraId="58B2E4B7" w14:textId="77777777" w:rsidTr="00C823B8">
        <w:trPr>
          <w:trHeight w:val="225"/>
          <w:jc w:val="center"/>
        </w:trPr>
        <w:tc>
          <w:tcPr>
            <w:cnfStyle w:val="001000000000" w:firstRow="0" w:lastRow="0" w:firstColumn="1" w:lastColumn="0" w:oddVBand="0" w:evenVBand="0" w:oddHBand="0" w:evenHBand="0" w:firstRowFirstColumn="0" w:firstRowLastColumn="0" w:lastRowFirstColumn="0" w:lastRowLastColumn="0"/>
            <w:tcW w:w="1417" w:type="dxa"/>
          </w:tcPr>
          <w:p w14:paraId="51C3EF11"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64B73857"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63F94149" w14:textId="6061A22E"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1%</w:t>
            </w:r>
          </w:p>
        </w:tc>
        <w:tc>
          <w:tcPr>
            <w:tcW w:w="1208" w:type="dxa"/>
          </w:tcPr>
          <w:p w14:paraId="6C4A8BFF"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2.45</w:t>
            </w:r>
          </w:p>
        </w:tc>
        <w:tc>
          <w:tcPr>
            <w:tcW w:w="735" w:type="dxa"/>
          </w:tcPr>
          <w:p w14:paraId="02E9A6DC" w14:textId="77777777" w:rsidR="008D21AA" w:rsidRPr="008D21AA" w:rsidRDefault="008D21AA" w:rsidP="00C823B8">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D21AA">
              <w:rPr>
                <w:rFonts w:ascii="Times New Roman" w:hAnsi="Times New Roman" w:cs="Times New Roman"/>
                <w:color w:val="000000"/>
                <w:sz w:val="20"/>
                <w:szCs w:val="20"/>
              </w:rPr>
              <w:t>3.79</w:t>
            </w:r>
          </w:p>
        </w:tc>
      </w:tr>
      <w:tr w:rsidR="008D21AA" w:rsidRPr="008D21AA" w14:paraId="5A715EDB" w14:textId="77777777" w:rsidTr="00C823B8">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417" w:type="dxa"/>
          </w:tcPr>
          <w:p w14:paraId="61FD336C" w14:textId="77777777" w:rsidR="008D21AA" w:rsidRPr="008D21AA" w:rsidRDefault="008D21AA" w:rsidP="00C823B8">
            <w:pPr>
              <w:autoSpaceDE w:val="0"/>
              <w:autoSpaceDN w:val="0"/>
              <w:adjustRightInd w:val="0"/>
              <w:jc w:val="center"/>
              <w:rPr>
                <w:rFonts w:ascii="Times New Roman" w:hAnsi="Times New Roman" w:cs="Times New Roman"/>
                <w:color w:val="000000"/>
                <w:sz w:val="20"/>
                <w:szCs w:val="20"/>
              </w:rPr>
            </w:pPr>
          </w:p>
        </w:tc>
        <w:tc>
          <w:tcPr>
            <w:tcW w:w="1103" w:type="dxa"/>
          </w:tcPr>
          <w:p w14:paraId="49AA9924"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30C1CAED"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8" w:type="dxa"/>
          </w:tcPr>
          <w:p w14:paraId="1592BF91"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5" w:type="dxa"/>
          </w:tcPr>
          <w:p w14:paraId="39CBCC82" w14:textId="77777777" w:rsidR="008D21AA" w:rsidRPr="008D21AA" w:rsidRDefault="008D21AA" w:rsidP="00C82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bl>
    <w:p w14:paraId="136305EA" w14:textId="16A72EA7" w:rsidR="008D21AA" w:rsidRDefault="00C823B8" w:rsidP="00C823B8">
      <w:pP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8D21AA" w:rsidRPr="00E3448E">
        <w:rPr>
          <w:rFonts w:ascii="Times New Roman" w:eastAsia="Times New Roman" w:hAnsi="Times New Roman" w:cs="Times New Roman"/>
          <w:b/>
          <w:bCs/>
          <w:sz w:val="20"/>
          <w:szCs w:val="20"/>
          <w:lang w:eastAsia="en-GB"/>
        </w:rPr>
        <w:t>Source: Authors determined</w:t>
      </w:r>
      <w:r w:rsidR="008D21AA">
        <w:rPr>
          <w:rFonts w:ascii="Times New Roman" w:eastAsia="Times New Roman" w:hAnsi="Times New Roman" w:cs="Times New Roman"/>
          <w:b/>
          <w:bCs/>
          <w:sz w:val="20"/>
          <w:szCs w:val="20"/>
          <w:lang w:eastAsia="en-GB"/>
        </w:rPr>
        <w:t xml:space="preserve"> using </w:t>
      </w:r>
      <w:proofErr w:type="spellStart"/>
      <w:r w:rsidR="008D21AA">
        <w:rPr>
          <w:rFonts w:ascii="Times New Roman" w:eastAsia="Times New Roman" w:hAnsi="Times New Roman" w:cs="Times New Roman"/>
          <w:b/>
          <w:bCs/>
          <w:sz w:val="20"/>
          <w:szCs w:val="20"/>
          <w:lang w:eastAsia="en-GB"/>
        </w:rPr>
        <w:t>Eviews</w:t>
      </w:r>
      <w:proofErr w:type="spellEnd"/>
      <w:r w:rsidR="008D21AA">
        <w:rPr>
          <w:rFonts w:ascii="Times New Roman" w:eastAsia="Times New Roman" w:hAnsi="Times New Roman" w:cs="Times New Roman"/>
          <w:b/>
          <w:bCs/>
          <w:sz w:val="20"/>
          <w:szCs w:val="20"/>
          <w:lang w:eastAsia="en-GB"/>
        </w:rPr>
        <w:t xml:space="preserve"> 12, 2026</w:t>
      </w:r>
    </w:p>
    <w:p w14:paraId="113C8D89" w14:textId="408DF94E" w:rsidR="00702DBA" w:rsidRPr="00FE0F90" w:rsidRDefault="00FD6B7A" w:rsidP="00F26FDB">
      <w:pPr>
        <w:jc w:val="both"/>
        <w:rPr>
          <w:rFonts w:ascii="Times New Roman" w:eastAsia="Times New Roman" w:hAnsi="Times New Roman" w:cs="Times New Roman"/>
          <w:sz w:val="24"/>
          <w:szCs w:val="24"/>
          <w:lang w:eastAsia="en-GB"/>
        </w:rPr>
      </w:pPr>
      <w:r w:rsidRPr="00FD6B7A">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 xml:space="preserve">cointegration test result showed that the </w:t>
      </w:r>
      <w:r w:rsidRPr="00FD6B7A">
        <w:rPr>
          <w:rFonts w:ascii="Times New Roman" w:eastAsia="Times New Roman" w:hAnsi="Times New Roman" w:cs="Times New Roman"/>
          <w:sz w:val="24"/>
          <w:szCs w:val="24"/>
          <w:lang w:eastAsia="en-GB"/>
        </w:rPr>
        <w:t>F-Bounds test result (6.076186) exceeds the upper critical bound values at all significance levels, indicating rejection of the null hypothesis of no levels relationship. This confirms the existence of a long-run cointegration relationship among the variables, implying that energy poverty indicators and inflation jointly influence household welfare over time.</w:t>
      </w:r>
    </w:p>
    <w:p w14:paraId="4B695ED6" w14:textId="76BB79CC" w:rsidR="00E738C8" w:rsidRDefault="008D21AA" w:rsidP="00FE0F90">
      <w:pPr>
        <w:jc w:val="center"/>
        <w:rPr>
          <w:rFonts w:ascii="Times New Roman" w:hAnsi="Times New Roman" w:cs="Times New Roman"/>
          <w:b/>
          <w:bCs/>
          <w:sz w:val="24"/>
          <w:szCs w:val="24"/>
        </w:rPr>
      </w:pPr>
      <w:r w:rsidRPr="008D21AA">
        <w:rPr>
          <w:rFonts w:ascii="Times New Roman" w:hAnsi="Times New Roman" w:cs="Times New Roman"/>
          <w:b/>
          <w:bCs/>
          <w:sz w:val="24"/>
          <w:szCs w:val="24"/>
        </w:rPr>
        <w:t xml:space="preserve">Table 4: </w:t>
      </w:r>
      <w:r w:rsidR="00702DBA">
        <w:rPr>
          <w:rFonts w:ascii="Times New Roman" w:hAnsi="Times New Roman" w:cs="Times New Roman"/>
          <w:b/>
          <w:bCs/>
          <w:sz w:val="24"/>
          <w:szCs w:val="24"/>
        </w:rPr>
        <w:t>NARDL Shortrun Result</w:t>
      </w:r>
    </w:p>
    <w:tbl>
      <w:tblPr>
        <w:tblStyle w:val="PlainTable2"/>
        <w:tblW w:w="0" w:type="auto"/>
        <w:jc w:val="center"/>
        <w:tblLayout w:type="fixed"/>
        <w:tblLook w:val="06A0" w:firstRow="1" w:lastRow="0" w:firstColumn="1" w:lastColumn="0" w:noHBand="1" w:noVBand="1"/>
      </w:tblPr>
      <w:tblGrid>
        <w:gridCol w:w="1530"/>
        <w:gridCol w:w="1080"/>
        <w:gridCol w:w="1170"/>
        <w:gridCol w:w="1080"/>
        <w:gridCol w:w="1080"/>
      </w:tblGrid>
      <w:tr w:rsidR="002051C6" w:rsidRPr="00EA185C" w14:paraId="1B41C7BD" w14:textId="77777777" w:rsidTr="006F3096">
        <w:trPr>
          <w:cnfStyle w:val="100000000000" w:firstRow="1" w:lastRow="0" w:firstColumn="0" w:lastColumn="0" w:oddVBand="0" w:evenVBand="0" w:oddHBand="0" w:evenHBand="0" w:firstRowFirstColumn="0" w:firstRowLastColumn="0" w:lastRowFirstColumn="0" w:lastRowLastColumn="0"/>
          <w:trHeight w:hRule="exact" w:val="442"/>
          <w:jc w:val="center"/>
        </w:trPr>
        <w:tc>
          <w:tcPr>
            <w:cnfStyle w:val="001000000000" w:firstRow="0" w:lastRow="0" w:firstColumn="1" w:lastColumn="0" w:oddVBand="0" w:evenVBand="0" w:oddHBand="0" w:evenHBand="0" w:firstRowFirstColumn="0" w:firstRowLastColumn="0" w:lastRowFirstColumn="0" w:lastRowLastColumn="0"/>
            <w:tcW w:w="1530" w:type="dxa"/>
          </w:tcPr>
          <w:p w14:paraId="1083D746" w14:textId="00AABA4E"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Variable</w:t>
            </w:r>
          </w:p>
        </w:tc>
        <w:tc>
          <w:tcPr>
            <w:tcW w:w="1080" w:type="dxa"/>
          </w:tcPr>
          <w:p w14:paraId="2CE64BD5" w14:textId="30B9E002"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Coefficient</w:t>
            </w:r>
          </w:p>
        </w:tc>
        <w:tc>
          <w:tcPr>
            <w:tcW w:w="1170" w:type="dxa"/>
          </w:tcPr>
          <w:p w14:paraId="19F7F516" w14:textId="65D383DE"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Std. Error</w:t>
            </w:r>
          </w:p>
        </w:tc>
        <w:tc>
          <w:tcPr>
            <w:tcW w:w="1080" w:type="dxa"/>
          </w:tcPr>
          <w:p w14:paraId="58820423" w14:textId="7E76CA80"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t-Statistic</w:t>
            </w:r>
          </w:p>
        </w:tc>
        <w:tc>
          <w:tcPr>
            <w:tcW w:w="1080" w:type="dxa"/>
          </w:tcPr>
          <w:p w14:paraId="0EE5A6EF" w14:textId="2E4399C5"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Prob.   </w:t>
            </w:r>
          </w:p>
        </w:tc>
      </w:tr>
      <w:tr w:rsidR="00702DBA" w:rsidRPr="00EA185C" w14:paraId="256CF813" w14:textId="77777777" w:rsidTr="006F3096">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530" w:type="dxa"/>
          </w:tcPr>
          <w:p w14:paraId="459857E1" w14:textId="77777777" w:rsidR="00702DBA" w:rsidRPr="00EA185C" w:rsidRDefault="00702DBA" w:rsidP="00DF2EA6">
            <w:pPr>
              <w:autoSpaceDE w:val="0"/>
              <w:autoSpaceDN w:val="0"/>
              <w:adjustRightInd w:val="0"/>
              <w:jc w:val="center"/>
              <w:rPr>
                <w:rFonts w:ascii="Times New Roman" w:hAnsi="Times New Roman" w:cs="Times New Roman"/>
                <w:color w:val="000000"/>
                <w:sz w:val="18"/>
                <w:szCs w:val="18"/>
              </w:rPr>
            </w:pPr>
          </w:p>
        </w:tc>
        <w:tc>
          <w:tcPr>
            <w:tcW w:w="1080" w:type="dxa"/>
          </w:tcPr>
          <w:p w14:paraId="007031C0"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6B315283"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5E375B88"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0CBF6406"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702DBA" w:rsidRPr="00EA185C" w14:paraId="16DA975A" w14:textId="77777777" w:rsidTr="006F3096">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16E3F685" w14:textId="77777777" w:rsidR="00702DBA" w:rsidRPr="00EA185C" w:rsidRDefault="00702DBA" w:rsidP="00DF2EA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D(EA_POS)</w:t>
            </w:r>
          </w:p>
        </w:tc>
        <w:tc>
          <w:tcPr>
            <w:tcW w:w="1080" w:type="dxa"/>
          </w:tcPr>
          <w:p w14:paraId="4274FC1F"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0.004542</w:t>
            </w:r>
          </w:p>
        </w:tc>
        <w:tc>
          <w:tcPr>
            <w:tcW w:w="1170" w:type="dxa"/>
          </w:tcPr>
          <w:p w14:paraId="1CF906C2"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0.002241</w:t>
            </w:r>
          </w:p>
        </w:tc>
        <w:tc>
          <w:tcPr>
            <w:tcW w:w="1080" w:type="dxa"/>
          </w:tcPr>
          <w:p w14:paraId="1884FD9F"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2.026288</w:t>
            </w:r>
          </w:p>
        </w:tc>
        <w:tc>
          <w:tcPr>
            <w:tcW w:w="1080" w:type="dxa"/>
          </w:tcPr>
          <w:p w14:paraId="410278A1"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0.0597</w:t>
            </w:r>
          </w:p>
        </w:tc>
      </w:tr>
      <w:tr w:rsidR="00702DBA" w:rsidRPr="00EA185C" w14:paraId="2A279C8A" w14:textId="77777777" w:rsidTr="006F3096">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5AED0985" w14:textId="77777777" w:rsidR="00702DBA" w:rsidRPr="00EA185C" w:rsidRDefault="00702DBA" w:rsidP="00DF2EA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D(EC_POS)</w:t>
            </w:r>
          </w:p>
        </w:tc>
        <w:tc>
          <w:tcPr>
            <w:tcW w:w="1080" w:type="dxa"/>
          </w:tcPr>
          <w:p w14:paraId="52932B80"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0.000733</w:t>
            </w:r>
          </w:p>
        </w:tc>
        <w:tc>
          <w:tcPr>
            <w:tcW w:w="1170" w:type="dxa"/>
          </w:tcPr>
          <w:p w14:paraId="72F8B4D3"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0.000392</w:t>
            </w:r>
          </w:p>
        </w:tc>
        <w:tc>
          <w:tcPr>
            <w:tcW w:w="1080" w:type="dxa"/>
          </w:tcPr>
          <w:p w14:paraId="4A3DEF00"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1.867822</w:t>
            </w:r>
          </w:p>
        </w:tc>
        <w:tc>
          <w:tcPr>
            <w:tcW w:w="1080" w:type="dxa"/>
          </w:tcPr>
          <w:p w14:paraId="45069FA7"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0.0802</w:t>
            </w:r>
          </w:p>
        </w:tc>
      </w:tr>
      <w:tr w:rsidR="00702DBA" w:rsidRPr="00EA185C" w14:paraId="528BD1A7" w14:textId="77777777" w:rsidTr="006F3096">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4CAD2FED" w14:textId="77777777" w:rsidR="00702DBA" w:rsidRPr="00EA185C" w:rsidRDefault="00702DBA" w:rsidP="00DF2EA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D(EC_</w:t>
            </w:r>
            <w:proofErr w:type="gramStart"/>
            <w:r w:rsidRPr="00EA185C">
              <w:rPr>
                <w:rFonts w:ascii="Times New Roman" w:hAnsi="Times New Roman" w:cs="Times New Roman"/>
                <w:color w:val="000000"/>
                <w:sz w:val="18"/>
                <w:szCs w:val="18"/>
              </w:rPr>
              <w:t>POS(</w:t>
            </w:r>
            <w:proofErr w:type="gramEnd"/>
            <w:r w:rsidRPr="00EA185C">
              <w:rPr>
                <w:rFonts w:ascii="Times New Roman" w:hAnsi="Times New Roman" w:cs="Times New Roman"/>
                <w:color w:val="000000"/>
                <w:sz w:val="18"/>
                <w:szCs w:val="18"/>
              </w:rPr>
              <w:t>-1))</w:t>
            </w:r>
          </w:p>
        </w:tc>
        <w:tc>
          <w:tcPr>
            <w:tcW w:w="1080" w:type="dxa"/>
          </w:tcPr>
          <w:p w14:paraId="2B14701D"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0.001561</w:t>
            </w:r>
          </w:p>
        </w:tc>
        <w:tc>
          <w:tcPr>
            <w:tcW w:w="1170" w:type="dxa"/>
          </w:tcPr>
          <w:p w14:paraId="4A1DDA48"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0.000534</w:t>
            </w:r>
          </w:p>
        </w:tc>
        <w:tc>
          <w:tcPr>
            <w:tcW w:w="1080" w:type="dxa"/>
          </w:tcPr>
          <w:p w14:paraId="764BDC83"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2.921967</w:t>
            </w:r>
          </w:p>
        </w:tc>
        <w:tc>
          <w:tcPr>
            <w:tcW w:w="1080" w:type="dxa"/>
          </w:tcPr>
          <w:p w14:paraId="57577E0E"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0.0100</w:t>
            </w:r>
          </w:p>
        </w:tc>
      </w:tr>
      <w:tr w:rsidR="00702DBA" w:rsidRPr="00EA185C" w14:paraId="59995A5C" w14:textId="77777777" w:rsidTr="006F3096">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58F6C317" w14:textId="77777777" w:rsidR="00702DBA" w:rsidRPr="00EA185C" w:rsidRDefault="00702DBA" w:rsidP="00DF2EA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D(EC_NEG)</w:t>
            </w:r>
          </w:p>
        </w:tc>
        <w:tc>
          <w:tcPr>
            <w:tcW w:w="1080" w:type="dxa"/>
          </w:tcPr>
          <w:p w14:paraId="0DA737E1"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-0.000373</w:t>
            </w:r>
          </w:p>
        </w:tc>
        <w:tc>
          <w:tcPr>
            <w:tcW w:w="1170" w:type="dxa"/>
          </w:tcPr>
          <w:p w14:paraId="63176324"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0.000338</w:t>
            </w:r>
          </w:p>
        </w:tc>
        <w:tc>
          <w:tcPr>
            <w:tcW w:w="1080" w:type="dxa"/>
          </w:tcPr>
          <w:p w14:paraId="134342F5"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-1.101690</w:t>
            </w:r>
          </w:p>
        </w:tc>
        <w:tc>
          <w:tcPr>
            <w:tcW w:w="1080" w:type="dxa"/>
          </w:tcPr>
          <w:p w14:paraId="166C738B"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0.2869</w:t>
            </w:r>
          </w:p>
        </w:tc>
      </w:tr>
      <w:tr w:rsidR="00702DBA" w:rsidRPr="00EA185C" w14:paraId="06F1763F" w14:textId="77777777" w:rsidTr="006F3096">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6B2C6478" w14:textId="77777777" w:rsidR="00702DBA" w:rsidRPr="00EA185C" w:rsidRDefault="00702DBA" w:rsidP="00DF2EA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D(EU_NEG)</w:t>
            </w:r>
          </w:p>
        </w:tc>
        <w:tc>
          <w:tcPr>
            <w:tcW w:w="1080" w:type="dxa"/>
          </w:tcPr>
          <w:p w14:paraId="211742C3"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2.84E-05</w:t>
            </w:r>
          </w:p>
        </w:tc>
        <w:tc>
          <w:tcPr>
            <w:tcW w:w="1170" w:type="dxa"/>
          </w:tcPr>
          <w:p w14:paraId="1468ED5D"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0.000257</w:t>
            </w:r>
          </w:p>
        </w:tc>
        <w:tc>
          <w:tcPr>
            <w:tcW w:w="1080" w:type="dxa"/>
          </w:tcPr>
          <w:p w14:paraId="1866B6F2"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0.110531</w:t>
            </w:r>
          </w:p>
        </w:tc>
        <w:tc>
          <w:tcPr>
            <w:tcW w:w="1080" w:type="dxa"/>
          </w:tcPr>
          <w:p w14:paraId="37851132"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0.9134</w:t>
            </w:r>
          </w:p>
        </w:tc>
      </w:tr>
      <w:tr w:rsidR="00702DBA" w:rsidRPr="00EA185C" w14:paraId="324D60CF" w14:textId="77777777" w:rsidTr="006F3096">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78520282" w14:textId="77777777" w:rsidR="00702DBA" w:rsidRPr="00EA185C" w:rsidRDefault="00702DBA" w:rsidP="00DF2EA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D(EG)</w:t>
            </w:r>
          </w:p>
        </w:tc>
        <w:tc>
          <w:tcPr>
            <w:tcW w:w="1080" w:type="dxa"/>
          </w:tcPr>
          <w:p w14:paraId="7D373B32"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0.002442</w:t>
            </w:r>
          </w:p>
        </w:tc>
        <w:tc>
          <w:tcPr>
            <w:tcW w:w="1170" w:type="dxa"/>
          </w:tcPr>
          <w:p w14:paraId="4AE6E4AD"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0.002141</w:t>
            </w:r>
          </w:p>
        </w:tc>
        <w:tc>
          <w:tcPr>
            <w:tcW w:w="1080" w:type="dxa"/>
          </w:tcPr>
          <w:p w14:paraId="16DF8FE6"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1.140378</w:t>
            </w:r>
          </w:p>
        </w:tc>
        <w:tc>
          <w:tcPr>
            <w:tcW w:w="1080" w:type="dxa"/>
          </w:tcPr>
          <w:p w14:paraId="19A0363C"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0.2709</w:t>
            </w:r>
          </w:p>
        </w:tc>
      </w:tr>
      <w:tr w:rsidR="00702DBA" w:rsidRPr="00EA185C" w14:paraId="5E1E4A39" w14:textId="77777777" w:rsidTr="006F3096">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5D87A3D6" w14:textId="77777777" w:rsidR="00702DBA" w:rsidRPr="00EA185C" w:rsidRDefault="00702DBA" w:rsidP="00DF2EA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D(IF)</w:t>
            </w:r>
          </w:p>
        </w:tc>
        <w:tc>
          <w:tcPr>
            <w:tcW w:w="1080" w:type="dxa"/>
          </w:tcPr>
          <w:p w14:paraId="37A54340"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-0.000816</w:t>
            </w:r>
          </w:p>
        </w:tc>
        <w:tc>
          <w:tcPr>
            <w:tcW w:w="1170" w:type="dxa"/>
          </w:tcPr>
          <w:p w14:paraId="5A11C76A"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0.000376</w:t>
            </w:r>
          </w:p>
        </w:tc>
        <w:tc>
          <w:tcPr>
            <w:tcW w:w="1080" w:type="dxa"/>
          </w:tcPr>
          <w:p w14:paraId="771C0D30"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-2.171414</w:t>
            </w:r>
          </w:p>
        </w:tc>
        <w:tc>
          <w:tcPr>
            <w:tcW w:w="1080" w:type="dxa"/>
          </w:tcPr>
          <w:p w14:paraId="0A32E8EC"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0.0453</w:t>
            </w:r>
          </w:p>
        </w:tc>
      </w:tr>
      <w:tr w:rsidR="00702DBA" w:rsidRPr="00EA185C" w14:paraId="3E1D7FA1" w14:textId="77777777" w:rsidTr="006F3096">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4B125827" w14:textId="77777777" w:rsidR="00702DBA" w:rsidRPr="00EA185C" w:rsidRDefault="00702DBA" w:rsidP="00DF2EA6">
            <w:pPr>
              <w:autoSpaceDE w:val="0"/>
              <w:autoSpaceDN w:val="0"/>
              <w:adjustRightInd w:val="0"/>
              <w:jc w:val="center"/>
              <w:rPr>
                <w:rFonts w:ascii="Times New Roman" w:hAnsi="Times New Roman" w:cs="Times New Roman"/>
                <w:color w:val="000000"/>
                <w:sz w:val="18"/>
                <w:szCs w:val="18"/>
              </w:rPr>
            </w:pPr>
            <w:proofErr w:type="spellStart"/>
            <w:proofErr w:type="gramStart"/>
            <w:r w:rsidRPr="00EA185C">
              <w:rPr>
                <w:rFonts w:ascii="Times New Roman" w:hAnsi="Times New Roman" w:cs="Times New Roman"/>
                <w:color w:val="000000"/>
                <w:sz w:val="18"/>
                <w:szCs w:val="18"/>
              </w:rPr>
              <w:t>CointEq</w:t>
            </w:r>
            <w:proofErr w:type="spellEnd"/>
            <w:r w:rsidRPr="00EA185C">
              <w:rPr>
                <w:rFonts w:ascii="Times New Roman" w:hAnsi="Times New Roman" w:cs="Times New Roman"/>
                <w:color w:val="000000"/>
                <w:sz w:val="18"/>
                <w:szCs w:val="18"/>
              </w:rPr>
              <w:t>(</w:t>
            </w:r>
            <w:proofErr w:type="gramEnd"/>
            <w:r w:rsidRPr="00EA185C">
              <w:rPr>
                <w:rFonts w:ascii="Times New Roman" w:hAnsi="Times New Roman" w:cs="Times New Roman"/>
                <w:color w:val="000000"/>
                <w:sz w:val="18"/>
                <w:szCs w:val="18"/>
              </w:rPr>
              <w:t>-1)*</w:t>
            </w:r>
          </w:p>
        </w:tc>
        <w:tc>
          <w:tcPr>
            <w:tcW w:w="1080" w:type="dxa"/>
          </w:tcPr>
          <w:p w14:paraId="19CCBC24"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-6.44E-06</w:t>
            </w:r>
          </w:p>
        </w:tc>
        <w:tc>
          <w:tcPr>
            <w:tcW w:w="1170" w:type="dxa"/>
          </w:tcPr>
          <w:p w14:paraId="5E5A811A"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9.19E-07</w:t>
            </w:r>
          </w:p>
        </w:tc>
        <w:tc>
          <w:tcPr>
            <w:tcW w:w="1080" w:type="dxa"/>
          </w:tcPr>
          <w:p w14:paraId="51179BFC"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-7.008222</w:t>
            </w:r>
          </w:p>
        </w:tc>
        <w:tc>
          <w:tcPr>
            <w:tcW w:w="1080" w:type="dxa"/>
          </w:tcPr>
          <w:p w14:paraId="11C7EEB6" w14:textId="77777777" w:rsidR="00702DBA" w:rsidRPr="00EA185C" w:rsidRDefault="00702DBA" w:rsidP="006F3096">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0.0000</w:t>
            </w:r>
          </w:p>
        </w:tc>
      </w:tr>
      <w:tr w:rsidR="00702DBA" w:rsidRPr="00EA185C" w14:paraId="24AF0F25" w14:textId="77777777" w:rsidTr="006F3096">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530" w:type="dxa"/>
          </w:tcPr>
          <w:p w14:paraId="0CB61038" w14:textId="77777777" w:rsidR="00702DBA" w:rsidRPr="00EA185C" w:rsidRDefault="00702DBA" w:rsidP="00DF2EA6">
            <w:pPr>
              <w:autoSpaceDE w:val="0"/>
              <w:autoSpaceDN w:val="0"/>
              <w:adjustRightInd w:val="0"/>
              <w:jc w:val="center"/>
              <w:rPr>
                <w:rFonts w:ascii="Times New Roman" w:hAnsi="Times New Roman" w:cs="Times New Roman"/>
                <w:color w:val="000000"/>
                <w:sz w:val="18"/>
                <w:szCs w:val="18"/>
              </w:rPr>
            </w:pPr>
          </w:p>
        </w:tc>
        <w:tc>
          <w:tcPr>
            <w:tcW w:w="1080" w:type="dxa"/>
          </w:tcPr>
          <w:p w14:paraId="3F98E7D2"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680234F5"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37B69AC2"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35BD2B3"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702DBA" w:rsidRPr="00EA185C" w14:paraId="2815995C" w14:textId="77777777" w:rsidTr="006F3096">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530" w:type="dxa"/>
          </w:tcPr>
          <w:p w14:paraId="6AE4CA7E" w14:textId="77777777" w:rsidR="00702DBA" w:rsidRPr="00EA185C" w:rsidRDefault="00702DBA" w:rsidP="00DF2EA6">
            <w:pPr>
              <w:autoSpaceDE w:val="0"/>
              <w:autoSpaceDN w:val="0"/>
              <w:adjustRightInd w:val="0"/>
              <w:jc w:val="center"/>
              <w:rPr>
                <w:rFonts w:ascii="Times New Roman" w:hAnsi="Times New Roman" w:cs="Times New Roman"/>
                <w:color w:val="000000"/>
                <w:sz w:val="18"/>
                <w:szCs w:val="18"/>
              </w:rPr>
            </w:pPr>
          </w:p>
        </w:tc>
        <w:tc>
          <w:tcPr>
            <w:tcW w:w="1080" w:type="dxa"/>
          </w:tcPr>
          <w:p w14:paraId="66392B9F"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3A4B69AC"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A21CF6F"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E1FE15D" w14:textId="77777777" w:rsidR="00702DBA" w:rsidRPr="00EA185C" w:rsidRDefault="00702DBA"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93673E" w:rsidRPr="00EA185C" w14:paraId="236824FB" w14:textId="77777777" w:rsidTr="006F3096">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5FA9198A" w14:textId="77777777" w:rsidR="0093673E" w:rsidRPr="00EA185C" w:rsidRDefault="0093673E" w:rsidP="0093673E">
            <w:pPr>
              <w:autoSpaceDE w:val="0"/>
              <w:autoSpaceDN w:val="0"/>
              <w:adjustRightInd w:val="0"/>
              <w:rPr>
                <w:rFonts w:ascii="Times New Roman" w:hAnsi="Times New Roman" w:cs="Times New Roman"/>
                <w:color w:val="000000"/>
                <w:sz w:val="18"/>
                <w:szCs w:val="18"/>
              </w:rPr>
            </w:pPr>
            <w:r w:rsidRPr="00EA185C">
              <w:rPr>
                <w:rFonts w:ascii="Times New Roman" w:hAnsi="Times New Roman" w:cs="Times New Roman"/>
                <w:color w:val="000000"/>
                <w:sz w:val="18"/>
                <w:szCs w:val="18"/>
              </w:rPr>
              <w:t>R-squared</w:t>
            </w:r>
          </w:p>
        </w:tc>
        <w:tc>
          <w:tcPr>
            <w:tcW w:w="1080" w:type="dxa"/>
          </w:tcPr>
          <w:p w14:paraId="7545A908" w14:textId="77777777" w:rsidR="0093673E" w:rsidRPr="00EA185C" w:rsidRDefault="0093673E" w:rsidP="0093673E">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0.757539</w:t>
            </w:r>
          </w:p>
        </w:tc>
        <w:tc>
          <w:tcPr>
            <w:tcW w:w="2250" w:type="dxa"/>
            <w:gridSpan w:val="2"/>
          </w:tcPr>
          <w:p w14:paraId="0C729950" w14:textId="20B6FDFE" w:rsidR="0093673E" w:rsidRPr="00EA185C" w:rsidRDefault="0093673E" w:rsidP="0093673E">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 xml:space="preserve">    Durbin-Watson stat</w:t>
            </w:r>
          </w:p>
        </w:tc>
        <w:tc>
          <w:tcPr>
            <w:tcW w:w="1080" w:type="dxa"/>
          </w:tcPr>
          <w:p w14:paraId="237039DA" w14:textId="5606783E" w:rsidR="0093673E" w:rsidRPr="00EA185C" w:rsidRDefault="0093673E" w:rsidP="0093673E">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1.791847</w:t>
            </w:r>
          </w:p>
        </w:tc>
      </w:tr>
      <w:tr w:rsidR="0093673E" w:rsidRPr="00EA185C" w14:paraId="7256DAA0" w14:textId="77777777" w:rsidTr="006F3096">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6D5F8148" w14:textId="70973544" w:rsidR="0093673E" w:rsidRPr="00EA185C" w:rsidRDefault="0093673E" w:rsidP="0093673E">
            <w:pPr>
              <w:autoSpaceDE w:val="0"/>
              <w:autoSpaceDN w:val="0"/>
              <w:adjustRightInd w:val="0"/>
              <w:rPr>
                <w:rFonts w:ascii="Times New Roman" w:hAnsi="Times New Roman" w:cs="Times New Roman"/>
                <w:color w:val="000000"/>
                <w:sz w:val="18"/>
                <w:szCs w:val="18"/>
              </w:rPr>
            </w:pPr>
            <w:r w:rsidRPr="00EA185C">
              <w:rPr>
                <w:rFonts w:ascii="Times New Roman" w:hAnsi="Times New Roman" w:cs="Times New Roman"/>
                <w:color w:val="000000"/>
                <w:sz w:val="18"/>
                <w:szCs w:val="18"/>
              </w:rPr>
              <w:t>Adjusted R-squared</w:t>
            </w:r>
          </w:p>
        </w:tc>
        <w:tc>
          <w:tcPr>
            <w:tcW w:w="1080" w:type="dxa"/>
          </w:tcPr>
          <w:p w14:paraId="03EF87AB" w14:textId="7141F718" w:rsidR="0093673E" w:rsidRPr="00EA185C" w:rsidRDefault="0093673E" w:rsidP="0093673E">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0.686822</w:t>
            </w:r>
          </w:p>
        </w:tc>
        <w:tc>
          <w:tcPr>
            <w:tcW w:w="2250" w:type="dxa"/>
            <w:gridSpan w:val="2"/>
          </w:tcPr>
          <w:p w14:paraId="17345CCD" w14:textId="5E905759" w:rsidR="0093673E" w:rsidRPr="00EA185C" w:rsidRDefault="0093673E" w:rsidP="0093673E">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    Schwarz criterion</w:t>
            </w:r>
          </w:p>
        </w:tc>
        <w:tc>
          <w:tcPr>
            <w:tcW w:w="1080" w:type="dxa"/>
          </w:tcPr>
          <w:p w14:paraId="4ED8E85B" w14:textId="0F1DEA78" w:rsidR="0093673E" w:rsidRPr="00EA185C" w:rsidRDefault="0093673E" w:rsidP="0093673E">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-4.284400</w:t>
            </w:r>
          </w:p>
        </w:tc>
      </w:tr>
      <w:tr w:rsidR="0093673E" w:rsidRPr="00EA185C" w14:paraId="010532B3" w14:textId="77777777" w:rsidTr="006F3096">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530" w:type="dxa"/>
          </w:tcPr>
          <w:p w14:paraId="50ED881E" w14:textId="77777777" w:rsidR="0093673E" w:rsidRPr="00EA185C" w:rsidRDefault="0093673E" w:rsidP="0093673E">
            <w:pPr>
              <w:autoSpaceDE w:val="0"/>
              <w:autoSpaceDN w:val="0"/>
              <w:adjustRightInd w:val="0"/>
              <w:jc w:val="center"/>
              <w:rPr>
                <w:rFonts w:ascii="Times New Roman" w:hAnsi="Times New Roman" w:cs="Times New Roman"/>
                <w:color w:val="000000"/>
                <w:sz w:val="18"/>
                <w:szCs w:val="18"/>
              </w:rPr>
            </w:pPr>
          </w:p>
        </w:tc>
        <w:tc>
          <w:tcPr>
            <w:tcW w:w="1080" w:type="dxa"/>
          </w:tcPr>
          <w:p w14:paraId="438BCD40" w14:textId="77777777" w:rsidR="0093673E" w:rsidRPr="00EA185C" w:rsidRDefault="0093673E" w:rsidP="009367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654DEEBC" w14:textId="77777777" w:rsidR="0093673E" w:rsidRPr="00EA185C" w:rsidRDefault="0093673E" w:rsidP="009367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9CC7E02" w14:textId="77777777" w:rsidR="0093673E" w:rsidRPr="00EA185C" w:rsidRDefault="0093673E" w:rsidP="009367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350AF928" w14:textId="77777777" w:rsidR="0093673E" w:rsidRPr="00EA185C" w:rsidRDefault="0093673E" w:rsidP="009367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2535FF1C" w14:textId="403D3AE7" w:rsidR="00702DBA" w:rsidRDefault="00FE0F90" w:rsidP="00FE0F90">
      <w:pPr>
        <w:ind w:firstLine="720"/>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702DBA" w:rsidRPr="00E3448E">
        <w:rPr>
          <w:rFonts w:ascii="Times New Roman" w:eastAsia="Times New Roman" w:hAnsi="Times New Roman" w:cs="Times New Roman"/>
          <w:b/>
          <w:bCs/>
          <w:sz w:val="20"/>
          <w:szCs w:val="20"/>
          <w:lang w:eastAsia="en-GB"/>
        </w:rPr>
        <w:t>Source: Authors determined</w:t>
      </w:r>
      <w:r w:rsidR="00702DBA">
        <w:rPr>
          <w:rFonts w:ascii="Times New Roman" w:eastAsia="Times New Roman" w:hAnsi="Times New Roman" w:cs="Times New Roman"/>
          <w:b/>
          <w:bCs/>
          <w:sz w:val="20"/>
          <w:szCs w:val="20"/>
          <w:lang w:eastAsia="en-GB"/>
        </w:rPr>
        <w:t xml:space="preserve"> using </w:t>
      </w:r>
      <w:proofErr w:type="spellStart"/>
      <w:r w:rsidR="00702DBA">
        <w:rPr>
          <w:rFonts w:ascii="Times New Roman" w:eastAsia="Times New Roman" w:hAnsi="Times New Roman" w:cs="Times New Roman"/>
          <w:b/>
          <w:bCs/>
          <w:sz w:val="20"/>
          <w:szCs w:val="20"/>
          <w:lang w:eastAsia="en-GB"/>
        </w:rPr>
        <w:t>Eviews</w:t>
      </w:r>
      <w:proofErr w:type="spellEnd"/>
      <w:r w:rsidR="00702DBA">
        <w:rPr>
          <w:rFonts w:ascii="Times New Roman" w:eastAsia="Times New Roman" w:hAnsi="Times New Roman" w:cs="Times New Roman"/>
          <w:b/>
          <w:bCs/>
          <w:sz w:val="20"/>
          <w:szCs w:val="20"/>
          <w:lang w:eastAsia="en-GB"/>
        </w:rPr>
        <w:t xml:space="preserve"> 12, 2026</w:t>
      </w:r>
    </w:p>
    <w:p w14:paraId="5E2BAE9F" w14:textId="54FA1F30" w:rsidR="002051C6" w:rsidRPr="002051C6" w:rsidRDefault="002051C6" w:rsidP="002051C6">
      <w:pPr>
        <w:jc w:val="both"/>
        <w:rPr>
          <w:rFonts w:ascii="Times New Roman" w:hAnsi="Times New Roman" w:cs="Times New Roman"/>
          <w:sz w:val="24"/>
          <w:szCs w:val="24"/>
        </w:rPr>
      </w:pPr>
      <w:r w:rsidRPr="002051C6">
        <w:rPr>
          <w:rFonts w:ascii="Times New Roman" w:hAnsi="Times New Roman" w:cs="Times New Roman"/>
          <w:sz w:val="24"/>
          <w:szCs w:val="24"/>
        </w:rPr>
        <w:t>The ECM regression results reveal imperative short-run asymmetric effects of energy poverty indicators on household welfare. The positive coefficient of electricity access (EA_POS) (β = 0.004542, p ≈ 0.0597) suggests that improvements in electricity access increase household welfare, supporting the argument that energy access enhances productivity and living standards (</w:t>
      </w:r>
      <w:proofErr w:type="spellStart"/>
      <w:r w:rsidRPr="002051C6">
        <w:rPr>
          <w:rFonts w:ascii="Times New Roman" w:hAnsi="Times New Roman" w:cs="Times New Roman"/>
          <w:sz w:val="24"/>
          <w:szCs w:val="24"/>
        </w:rPr>
        <w:t>Chakravorty</w:t>
      </w:r>
      <w:proofErr w:type="spellEnd"/>
      <w:r w:rsidRPr="002051C6">
        <w:rPr>
          <w:rFonts w:ascii="Times New Roman" w:hAnsi="Times New Roman" w:cs="Times New Roman"/>
          <w:sz w:val="24"/>
          <w:szCs w:val="24"/>
        </w:rPr>
        <w:t xml:space="preserve">, </w:t>
      </w:r>
      <w:proofErr w:type="spellStart"/>
      <w:r w:rsidRPr="002051C6">
        <w:rPr>
          <w:rFonts w:ascii="Times New Roman" w:hAnsi="Times New Roman" w:cs="Times New Roman"/>
          <w:sz w:val="24"/>
          <w:szCs w:val="24"/>
        </w:rPr>
        <w:t>Ujjayant</w:t>
      </w:r>
      <w:proofErr w:type="spellEnd"/>
      <w:r w:rsidRPr="002051C6">
        <w:rPr>
          <w:rFonts w:ascii="Times New Roman" w:hAnsi="Times New Roman" w:cs="Times New Roman"/>
          <w:sz w:val="24"/>
          <w:szCs w:val="24"/>
        </w:rPr>
        <w:t xml:space="preserve"> et al., 2014; International Energy Agency, 2023). Similarly, positive changes in electricity consumption (EC_POS) significantly improve welfare, particularly with the lagged term (p = 0.0100), indicating that increased energy utilization promotes economic activities and household income over time (</w:t>
      </w:r>
      <w:proofErr w:type="spellStart"/>
      <w:r w:rsidRPr="002051C6">
        <w:rPr>
          <w:rFonts w:ascii="Times New Roman" w:hAnsi="Times New Roman" w:cs="Times New Roman"/>
          <w:sz w:val="24"/>
          <w:szCs w:val="24"/>
        </w:rPr>
        <w:t>Sovacool</w:t>
      </w:r>
      <w:proofErr w:type="spellEnd"/>
      <w:r w:rsidRPr="002051C6">
        <w:rPr>
          <w:rFonts w:ascii="Times New Roman" w:hAnsi="Times New Roman" w:cs="Times New Roman"/>
          <w:sz w:val="24"/>
          <w:szCs w:val="24"/>
        </w:rPr>
        <w:t xml:space="preserve">, Benjamin K. et al., 2017). However, negative shocks in electricity consumption (EC_NEG) and energy use (EU_NEG) are insignificant, suggesting that short-run declines in energy utilization may not immediately translate into welfare losses, contrary to findings by </w:t>
      </w:r>
      <w:proofErr w:type="spellStart"/>
      <w:r w:rsidRPr="002051C6">
        <w:rPr>
          <w:rFonts w:ascii="Times New Roman" w:hAnsi="Times New Roman" w:cs="Times New Roman"/>
          <w:sz w:val="24"/>
          <w:szCs w:val="24"/>
        </w:rPr>
        <w:t>Oseni</w:t>
      </w:r>
      <w:proofErr w:type="spellEnd"/>
      <w:r w:rsidRPr="002051C6">
        <w:rPr>
          <w:rFonts w:ascii="Times New Roman" w:hAnsi="Times New Roman" w:cs="Times New Roman"/>
          <w:sz w:val="24"/>
          <w:szCs w:val="24"/>
        </w:rPr>
        <w:t xml:space="preserve">, </w:t>
      </w:r>
      <w:proofErr w:type="spellStart"/>
      <w:r w:rsidRPr="002051C6">
        <w:rPr>
          <w:rFonts w:ascii="Times New Roman" w:hAnsi="Times New Roman" w:cs="Times New Roman"/>
          <w:sz w:val="24"/>
          <w:szCs w:val="24"/>
        </w:rPr>
        <w:t>Musiliu</w:t>
      </w:r>
      <w:proofErr w:type="spellEnd"/>
      <w:r w:rsidRPr="002051C6">
        <w:rPr>
          <w:rFonts w:ascii="Times New Roman" w:hAnsi="Times New Roman" w:cs="Times New Roman"/>
          <w:sz w:val="24"/>
          <w:szCs w:val="24"/>
        </w:rPr>
        <w:t xml:space="preserve"> O. (2022) who reported significant welfare losses from energy shortages.</w:t>
      </w:r>
    </w:p>
    <w:p w14:paraId="36E127AA" w14:textId="4CD6F476" w:rsidR="00702DBA" w:rsidRDefault="002051C6" w:rsidP="002051C6">
      <w:pPr>
        <w:jc w:val="both"/>
        <w:rPr>
          <w:rFonts w:ascii="Times New Roman" w:hAnsi="Times New Roman" w:cs="Times New Roman"/>
          <w:sz w:val="24"/>
          <w:szCs w:val="24"/>
        </w:rPr>
      </w:pPr>
      <w:r w:rsidRPr="002051C6">
        <w:rPr>
          <w:rFonts w:ascii="Times New Roman" w:hAnsi="Times New Roman" w:cs="Times New Roman"/>
          <w:sz w:val="24"/>
          <w:szCs w:val="24"/>
        </w:rPr>
        <w:t xml:space="preserve">Inflation (IF) shows a significant negative effect (p = 0.0453), implying that rising prices erode household purchasing power and welfare. The error correction term is negative and highly significant (−6.44E-06), confirming a stable long-run adjustment mechanism. This aligns with </w:t>
      </w:r>
      <w:r w:rsidRPr="002051C6">
        <w:rPr>
          <w:rFonts w:ascii="Times New Roman" w:hAnsi="Times New Roman" w:cs="Times New Roman"/>
          <w:sz w:val="24"/>
          <w:szCs w:val="24"/>
        </w:rPr>
        <w:lastRenderedPageBreak/>
        <w:t xml:space="preserve">nonlinear energy–welfare dynamics documented by Shin, </w:t>
      </w:r>
      <w:proofErr w:type="spellStart"/>
      <w:r w:rsidRPr="002051C6">
        <w:rPr>
          <w:rFonts w:ascii="Times New Roman" w:hAnsi="Times New Roman" w:cs="Times New Roman"/>
          <w:sz w:val="24"/>
          <w:szCs w:val="24"/>
        </w:rPr>
        <w:t>Yongcheol</w:t>
      </w:r>
      <w:proofErr w:type="spellEnd"/>
      <w:r w:rsidRPr="002051C6">
        <w:rPr>
          <w:rFonts w:ascii="Times New Roman" w:hAnsi="Times New Roman" w:cs="Times New Roman"/>
          <w:sz w:val="24"/>
          <w:szCs w:val="24"/>
        </w:rPr>
        <w:t xml:space="preserve">, Yu, </w:t>
      </w:r>
      <w:proofErr w:type="spellStart"/>
      <w:r w:rsidRPr="002051C6">
        <w:rPr>
          <w:rFonts w:ascii="Times New Roman" w:hAnsi="Times New Roman" w:cs="Times New Roman"/>
          <w:sz w:val="24"/>
          <w:szCs w:val="24"/>
        </w:rPr>
        <w:t>Byungchul</w:t>
      </w:r>
      <w:proofErr w:type="spellEnd"/>
      <w:r w:rsidRPr="002051C6">
        <w:rPr>
          <w:rFonts w:ascii="Times New Roman" w:hAnsi="Times New Roman" w:cs="Times New Roman"/>
          <w:sz w:val="24"/>
          <w:szCs w:val="24"/>
        </w:rPr>
        <w:t>, and Greenwood‑Nimmo, Matthew (2014).</w:t>
      </w:r>
    </w:p>
    <w:p w14:paraId="4A507E8F" w14:textId="0127AF92" w:rsidR="00702DBA" w:rsidRDefault="00702DBA" w:rsidP="002051C6">
      <w:pPr>
        <w:jc w:val="center"/>
        <w:rPr>
          <w:rFonts w:ascii="Times New Roman" w:hAnsi="Times New Roman" w:cs="Times New Roman"/>
          <w:b/>
          <w:bCs/>
          <w:sz w:val="24"/>
          <w:szCs w:val="24"/>
        </w:rPr>
      </w:pPr>
      <w:r w:rsidRPr="00702DBA">
        <w:rPr>
          <w:rFonts w:ascii="Times New Roman" w:hAnsi="Times New Roman" w:cs="Times New Roman"/>
          <w:b/>
          <w:bCs/>
          <w:sz w:val="24"/>
          <w:szCs w:val="24"/>
        </w:rPr>
        <w:t xml:space="preserve">Table 5: NARDL </w:t>
      </w:r>
      <w:proofErr w:type="spellStart"/>
      <w:r w:rsidRPr="00702DBA">
        <w:rPr>
          <w:rFonts w:ascii="Times New Roman" w:hAnsi="Times New Roman" w:cs="Times New Roman"/>
          <w:b/>
          <w:bCs/>
          <w:sz w:val="24"/>
          <w:szCs w:val="24"/>
        </w:rPr>
        <w:t>Longrun</w:t>
      </w:r>
      <w:proofErr w:type="spellEnd"/>
      <w:r w:rsidRPr="00702DBA">
        <w:rPr>
          <w:rFonts w:ascii="Times New Roman" w:hAnsi="Times New Roman" w:cs="Times New Roman"/>
          <w:b/>
          <w:bCs/>
          <w:sz w:val="24"/>
          <w:szCs w:val="24"/>
        </w:rPr>
        <w:t xml:space="preserve"> Result</w:t>
      </w:r>
    </w:p>
    <w:tbl>
      <w:tblPr>
        <w:tblStyle w:val="PlainTable2"/>
        <w:tblW w:w="0" w:type="auto"/>
        <w:jc w:val="center"/>
        <w:tblLayout w:type="fixed"/>
        <w:tblLook w:val="06A0" w:firstRow="1" w:lastRow="0" w:firstColumn="1" w:lastColumn="0" w:noHBand="1" w:noVBand="1"/>
      </w:tblPr>
      <w:tblGrid>
        <w:gridCol w:w="1530"/>
        <w:gridCol w:w="1260"/>
        <w:gridCol w:w="1207"/>
        <w:gridCol w:w="1208"/>
        <w:gridCol w:w="997"/>
      </w:tblGrid>
      <w:tr w:rsidR="002051C6" w:rsidRPr="00EA185C" w14:paraId="7F133990" w14:textId="77777777" w:rsidTr="00EA185C">
        <w:trPr>
          <w:cnfStyle w:val="100000000000" w:firstRow="1" w:lastRow="0" w:firstColumn="0" w:lastColumn="0" w:oddVBand="0" w:evenVBand="0" w:oddHBand="0" w:evenHBand="0" w:firstRowFirstColumn="0" w:firstRowLastColumn="0" w:lastRowFirstColumn="0" w:lastRowLastColumn="0"/>
          <w:trHeight w:hRule="exact" w:val="370"/>
          <w:jc w:val="center"/>
        </w:trPr>
        <w:tc>
          <w:tcPr>
            <w:cnfStyle w:val="001000000000" w:firstRow="0" w:lastRow="0" w:firstColumn="1" w:lastColumn="0" w:oddVBand="0" w:evenVBand="0" w:oddHBand="0" w:evenHBand="0" w:firstRowFirstColumn="0" w:firstRowLastColumn="0" w:lastRowFirstColumn="0" w:lastRowLastColumn="0"/>
            <w:tcW w:w="1530" w:type="dxa"/>
          </w:tcPr>
          <w:p w14:paraId="2EEDF4CA" w14:textId="277D6B95"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Variable</w:t>
            </w:r>
          </w:p>
        </w:tc>
        <w:tc>
          <w:tcPr>
            <w:tcW w:w="1260" w:type="dxa"/>
          </w:tcPr>
          <w:p w14:paraId="79D4BA61" w14:textId="11950A6C"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Coefficient</w:t>
            </w:r>
          </w:p>
        </w:tc>
        <w:tc>
          <w:tcPr>
            <w:tcW w:w="1207" w:type="dxa"/>
          </w:tcPr>
          <w:p w14:paraId="70FF02A3" w14:textId="1DBD9C2A"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Std. Error</w:t>
            </w:r>
          </w:p>
        </w:tc>
        <w:tc>
          <w:tcPr>
            <w:tcW w:w="1208" w:type="dxa"/>
          </w:tcPr>
          <w:p w14:paraId="02151A89" w14:textId="0E1CC350"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t-Statistic</w:t>
            </w:r>
          </w:p>
        </w:tc>
        <w:tc>
          <w:tcPr>
            <w:tcW w:w="997" w:type="dxa"/>
          </w:tcPr>
          <w:p w14:paraId="7EA79BDC" w14:textId="007D958E" w:rsidR="002051C6" w:rsidRPr="00EA185C" w:rsidRDefault="002051C6" w:rsidP="002051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Prob.   </w:t>
            </w:r>
          </w:p>
        </w:tc>
      </w:tr>
      <w:tr w:rsidR="002051C6" w:rsidRPr="00EA185C" w14:paraId="4E1C74F7" w14:textId="77777777" w:rsidTr="00EA185C">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530" w:type="dxa"/>
          </w:tcPr>
          <w:p w14:paraId="1F9436C9"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p>
        </w:tc>
        <w:tc>
          <w:tcPr>
            <w:tcW w:w="1260" w:type="dxa"/>
          </w:tcPr>
          <w:p w14:paraId="14067F09"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584430B8"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4B0DE261"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6EB26D6A"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2051C6" w:rsidRPr="00EA185C" w14:paraId="0D152E0C"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4D225EE8"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proofErr w:type="gramStart"/>
            <w:r w:rsidRPr="00EA185C">
              <w:rPr>
                <w:rFonts w:ascii="Times New Roman" w:hAnsi="Times New Roman" w:cs="Times New Roman"/>
                <w:color w:val="000000"/>
                <w:sz w:val="18"/>
                <w:szCs w:val="18"/>
              </w:rPr>
              <w:t>HW(</w:t>
            </w:r>
            <w:proofErr w:type="gramEnd"/>
            <w:r w:rsidRPr="00EA185C">
              <w:rPr>
                <w:rFonts w:ascii="Times New Roman" w:hAnsi="Times New Roman" w:cs="Times New Roman"/>
                <w:color w:val="000000"/>
                <w:sz w:val="18"/>
                <w:szCs w:val="18"/>
              </w:rPr>
              <w:t>-1)*</w:t>
            </w:r>
          </w:p>
        </w:tc>
        <w:tc>
          <w:tcPr>
            <w:tcW w:w="1260" w:type="dxa"/>
          </w:tcPr>
          <w:p w14:paraId="3A9FC219"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-0.007800</w:t>
            </w:r>
          </w:p>
        </w:tc>
        <w:tc>
          <w:tcPr>
            <w:tcW w:w="1207" w:type="dxa"/>
          </w:tcPr>
          <w:p w14:paraId="1DE60E6E"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0.010379</w:t>
            </w:r>
          </w:p>
        </w:tc>
        <w:tc>
          <w:tcPr>
            <w:tcW w:w="1208" w:type="dxa"/>
          </w:tcPr>
          <w:p w14:paraId="1DC4412B"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-0.751583</w:t>
            </w:r>
          </w:p>
        </w:tc>
        <w:tc>
          <w:tcPr>
            <w:tcW w:w="997" w:type="dxa"/>
          </w:tcPr>
          <w:p w14:paraId="0D04D2BC"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0.4632</w:t>
            </w:r>
          </w:p>
        </w:tc>
      </w:tr>
      <w:tr w:rsidR="002051C6" w:rsidRPr="00EA185C" w14:paraId="70670EA8"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00943B3C"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EA_</w:t>
            </w:r>
            <w:proofErr w:type="gramStart"/>
            <w:r w:rsidRPr="00EA185C">
              <w:rPr>
                <w:rFonts w:ascii="Times New Roman" w:hAnsi="Times New Roman" w:cs="Times New Roman"/>
                <w:color w:val="000000"/>
                <w:sz w:val="18"/>
                <w:szCs w:val="18"/>
              </w:rPr>
              <w:t>POS(</w:t>
            </w:r>
            <w:proofErr w:type="gramEnd"/>
            <w:r w:rsidRPr="00EA185C">
              <w:rPr>
                <w:rFonts w:ascii="Times New Roman" w:hAnsi="Times New Roman" w:cs="Times New Roman"/>
                <w:color w:val="000000"/>
                <w:sz w:val="18"/>
                <w:szCs w:val="18"/>
              </w:rPr>
              <w:t>-1)</w:t>
            </w:r>
          </w:p>
        </w:tc>
        <w:tc>
          <w:tcPr>
            <w:tcW w:w="1260" w:type="dxa"/>
          </w:tcPr>
          <w:p w14:paraId="51B11B1A"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0.013357</w:t>
            </w:r>
          </w:p>
        </w:tc>
        <w:tc>
          <w:tcPr>
            <w:tcW w:w="1207" w:type="dxa"/>
          </w:tcPr>
          <w:p w14:paraId="12699807"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0.002905</w:t>
            </w:r>
          </w:p>
        </w:tc>
        <w:tc>
          <w:tcPr>
            <w:tcW w:w="1208" w:type="dxa"/>
          </w:tcPr>
          <w:p w14:paraId="77FA12D7"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4.597440</w:t>
            </w:r>
          </w:p>
        </w:tc>
        <w:tc>
          <w:tcPr>
            <w:tcW w:w="997" w:type="dxa"/>
          </w:tcPr>
          <w:p w14:paraId="4FB1BB30"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0.0003</w:t>
            </w:r>
          </w:p>
        </w:tc>
      </w:tr>
      <w:tr w:rsidR="002051C6" w:rsidRPr="00EA185C" w14:paraId="3F6C01EE"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3CAA244A"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EA_NEG**</w:t>
            </w:r>
          </w:p>
        </w:tc>
        <w:tc>
          <w:tcPr>
            <w:tcW w:w="1260" w:type="dxa"/>
          </w:tcPr>
          <w:p w14:paraId="663EFC07"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0.000648</w:t>
            </w:r>
          </w:p>
        </w:tc>
        <w:tc>
          <w:tcPr>
            <w:tcW w:w="1207" w:type="dxa"/>
          </w:tcPr>
          <w:p w14:paraId="19578DE2"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0.002007</w:t>
            </w:r>
          </w:p>
        </w:tc>
        <w:tc>
          <w:tcPr>
            <w:tcW w:w="1208" w:type="dxa"/>
          </w:tcPr>
          <w:p w14:paraId="4EEADBCF"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0.322707</w:t>
            </w:r>
          </w:p>
        </w:tc>
        <w:tc>
          <w:tcPr>
            <w:tcW w:w="997" w:type="dxa"/>
          </w:tcPr>
          <w:p w14:paraId="22FF83B2"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0.7511</w:t>
            </w:r>
          </w:p>
        </w:tc>
      </w:tr>
      <w:tr w:rsidR="002051C6" w:rsidRPr="00EA185C" w14:paraId="678B8100"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2D92DF21"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EC_</w:t>
            </w:r>
            <w:proofErr w:type="gramStart"/>
            <w:r w:rsidRPr="00EA185C">
              <w:rPr>
                <w:rFonts w:ascii="Times New Roman" w:hAnsi="Times New Roman" w:cs="Times New Roman"/>
                <w:color w:val="000000"/>
                <w:sz w:val="18"/>
                <w:szCs w:val="18"/>
              </w:rPr>
              <w:t>POS(</w:t>
            </w:r>
            <w:proofErr w:type="gramEnd"/>
            <w:r w:rsidRPr="00EA185C">
              <w:rPr>
                <w:rFonts w:ascii="Times New Roman" w:hAnsi="Times New Roman" w:cs="Times New Roman"/>
                <w:color w:val="000000"/>
                <w:sz w:val="18"/>
                <w:szCs w:val="18"/>
              </w:rPr>
              <w:t>-1)</w:t>
            </w:r>
          </w:p>
        </w:tc>
        <w:tc>
          <w:tcPr>
            <w:tcW w:w="1260" w:type="dxa"/>
          </w:tcPr>
          <w:p w14:paraId="7686BC64"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-0.002744</w:t>
            </w:r>
          </w:p>
        </w:tc>
        <w:tc>
          <w:tcPr>
            <w:tcW w:w="1207" w:type="dxa"/>
          </w:tcPr>
          <w:p w14:paraId="29F64C81"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0.000497</w:t>
            </w:r>
          </w:p>
        </w:tc>
        <w:tc>
          <w:tcPr>
            <w:tcW w:w="1208" w:type="dxa"/>
          </w:tcPr>
          <w:p w14:paraId="68E1B439"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-5.518659</w:t>
            </w:r>
          </w:p>
        </w:tc>
        <w:tc>
          <w:tcPr>
            <w:tcW w:w="997" w:type="dxa"/>
          </w:tcPr>
          <w:p w14:paraId="35CBD3DC"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0.0000</w:t>
            </w:r>
          </w:p>
        </w:tc>
      </w:tr>
      <w:tr w:rsidR="002051C6" w:rsidRPr="00EA185C" w14:paraId="2216247C"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6DE0D449"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EC_</w:t>
            </w:r>
            <w:proofErr w:type="gramStart"/>
            <w:r w:rsidRPr="00EA185C">
              <w:rPr>
                <w:rFonts w:ascii="Times New Roman" w:hAnsi="Times New Roman" w:cs="Times New Roman"/>
                <w:color w:val="000000"/>
                <w:sz w:val="18"/>
                <w:szCs w:val="18"/>
              </w:rPr>
              <w:t>NEG(</w:t>
            </w:r>
            <w:proofErr w:type="gramEnd"/>
            <w:r w:rsidRPr="00EA185C">
              <w:rPr>
                <w:rFonts w:ascii="Times New Roman" w:hAnsi="Times New Roman" w:cs="Times New Roman"/>
                <w:color w:val="000000"/>
                <w:sz w:val="18"/>
                <w:szCs w:val="18"/>
              </w:rPr>
              <w:t>-1)</w:t>
            </w:r>
          </w:p>
        </w:tc>
        <w:tc>
          <w:tcPr>
            <w:tcW w:w="1260" w:type="dxa"/>
          </w:tcPr>
          <w:p w14:paraId="653CD4F3"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-0.001149</w:t>
            </w:r>
          </w:p>
        </w:tc>
        <w:tc>
          <w:tcPr>
            <w:tcW w:w="1207" w:type="dxa"/>
          </w:tcPr>
          <w:p w14:paraId="69C265C9"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0.000499</w:t>
            </w:r>
          </w:p>
        </w:tc>
        <w:tc>
          <w:tcPr>
            <w:tcW w:w="1208" w:type="dxa"/>
          </w:tcPr>
          <w:p w14:paraId="61C7C55B"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-2.303680</w:t>
            </w:r>
          </w:p>
        </w:tc>
        <w:tc>
          <w:tcPr>
            <w:tcW w:w="997" w:type="dxa"/>
          </w:tcPr>
          <w:p w14:paraId="47EB1F22"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0.0350</w:t>
            </w:r>
          </w:p>
        </w:tc>
      </w:tr>
      <w:tr w:rsidR="002051C6" w:rsidRPr="00EA185C" w14:paraId="0297A7AA"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46826750"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EU_POS**</w:t>
            </w:r>
          </w:p>
        </w:tc>
        <w:tc>
          <w:tcPr>
            <w:tcW w:w="1260" w:type="dxa"/>
          </w:tcPr>
          <w:p w14:paraId="13C23FBB"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-0.000607</w:t>
            </w:r>
          </w:p>
        </w:tc>
        <w:tc>
          <w:tcPr>
            <w:tcW w:w="1207" w:type="dxa"/>
          </w:tcPr>
          <w:p w14:paraId="1E13B058"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0.000228</w:t>
            </w:r>
          </w:p>
        </w:tc>
        <w:tc>
          <w:tcPr>
            <w:tcW w:w="1208" w:type="dxa"/>
          </w:tcPr>
          <w:p w14:paraId="7460D76A"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-2.668941</w:t>
            </w:r>
          </w:p>
        </w:tc>
        <w:tc>
          <w:tcPr>
            <w:tcW w:w="997" w:type="dxa"/>
          </w:tcPr>
          <w:p w14:paraId="4234E73B"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0.0168</w:t>
            </w:r>
          </w:p>
        </w:tc>
      </w:tr>
      <w:tr w:rsidR="002051C6" w:rsidRPr="00EA185C" w14:paraId="1CCE70E3"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0F07E773"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EU_</w:t>
            </w:r>
            <w:proofErr w:type="gramStart"/>
            <w:r w:rsidRPr="00EA185C">
              <w:rPr>
                <w:rFonts w:ascii="Times New Roman" w:hAnsi="Times New Roman" w:cs="Times New Roman"/>
                <w:color w:val="000000"/>
                <w:sz w:val="18"/>
                <w:szCs w:val="18"/>
              </w:rPr>
              <w:t>NEG(</w:t>
            </w:r>
            <w:proofErr w:type="gramEnd"/>
            <w:r w:rsidRPr="00EA185C">
              <w:rPr>
                <w:rFonts w:ascii="Times New Roman" w:hAnsi="Times New Roman" w:cs="Times New Roman"/>
                <w:color w:val="000000"/>
                <w:sz w:val="18"/>
                <w:szCs w:val="18"/>
              </w:rPr>
              <w:t>-1)</w:t>
            </w:r>
          </w:p>
        </w:tc>
        <w:tc>
          <w:tcPr>
            <w:tcW w:w="1260" w:type="dxa"/>
          </w:tcPr>
          <w:p w14:paraId="3D46CD38"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0.000519</w:t>
            </w:r>
          </w:p>
        </w:tc>
        <w:tc>
          <w:tcPr>
            <w:tcW w:w="1207" w:type="dxa"/>
          </w:tcPr>
          <w:p w14:paraId="603BAECA"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0.000367</w:t>
            </w:r>
          </w:p>
        </w:tc>
        <w:tc>
          <w:tcPr>
            <w:tcW w:w="1208" w:type="dxa"/>
          </w:tcPr>
          <w:p w14:paraId="6CAD663A"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1.414204</w:t>
            </w:r>
          </w:p>
        </w:tc>
        <w:tc>
          <w:tcPr>
            <w:tcW w:w="997" w:type="dxa"/>
          </w:tcPr>
          <w:p w14:paraId="5337C005"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0.1765</w:t>
            </w:r>
          </w:p>
        </w:tc>
      </w:tr>
      <w:tr w:rsidR="002051C6" w:rsidRPr="00EA185C" w14:paraId="25F2C5D3"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36CD6B9D"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proofErr w:type="gramStart"/>
            <w:r w:rsidRPr="00EA185C">
              <w:rPr>
                <w:rFonts w:ascii="Times New Roman" w:hAnsi="Times New Roman" w:cs="Times New Roman"/>
                <w:color w:val="000000"/>
                <w:sz w:val="18"/>
                <w:szCs w:val="18"/>
              </w:rPr>
              <w:t>EG(</w:t>
            </w:r>
            <w:proofErr w:type="gramEnd"/>
            <w:r w:rsidRPr="00EA185C">
              <w:rPr>
                <w:rFonts w:ascii="Times New Roman" w:hAnsi="Times New Roman" w:cs="Times New Roman"/>
                <w:color w:val="000000"/>
                <w:sz w:val="18"/>
                <w:szCs w:val="18"/>
              </w:rPr>
              <w:t>-1)</w:t>
            </w:r>
          </w:p>
        </w:tc>
        <w:tc>
          <w:tcPr>
            <w:tcW w:w="1260" w:type="dxa"/>
          </w:tcPr>
          <w:p w14:paraId="01A633E4"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-0.002394</w:t>
            </w:r>
          </w:p>
        </w:tc>
        <w:tc>
          <w:tcPr>
            <w:tcW w:w="1207" w:type="dxa"/>
          </w:tcPr>
          <w:p w14:paraId="60215ABD"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0.001458</w:t>
            </w:r>
          </w:p>
        </w:tc>
        <w:tc>
          <w:tcPr>
            <w:tcW w:w="1208" w:type="dxa"/>
          </w:tcPr>
          <w:p w14:paraId="7AA2E53E"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-1.642319</w:t>
            </w:r>
          </w:p>
        </w:tc>
        <w:tc>
          <w:tcPr>
            <w:tcW w:w="997" w:type="dxa"/>
          </w:tcPr>
          <w:p w14:paraId="564165FF"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0.1200</w:t>
            </w:r>
          </w:p>
        </w:tc>
      </w:tr>
      <w:tr w:rsidR="002051C6" w:rsidRPr="00EA185C" w14:paraId="401CE652"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6D9BEF7D"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proofErr w:type="gramStart"/>
            <w:r w:rsidRPr="00EA185C">
              <w:rPr>
                <w:rFonts w:ascii="Times New Roman" w:hAnsi="Times New Roman" w:cs="Times New Roman"/>
                <w:color w:val="000000"/>
                <w:sz w:val="18"/>
                <w:szCs w:val="18"/>
              </w:rPr>
              <w:t>IF(</w:t>
            </w:r>
            <w:proofErr w:type="gramEnd"/>
            <w:r w:rsidRPr="00EA185C">
              <w:rPr>
                <w:rFonts w:ascii="Times New Roman" w:hAnsi="Times New Roman" w:cs="Times New Roman"/>
                <w:color w:val="000000"/>
                <w:sz w:val="18"/>
                <w:szCs w:val="18"/>
              </w:rPr>
              <w:t>-1)</w:t>
            </w:r>
          </w:p>
        </w:tc>
        <w:tc>
          <w:tcPr>
            <w:tcW w:w="1260" w:type="dxa"/>
          </w:tcPr>
          <w:p w14:paraId="123F8553"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0.000318</w:t>
            </w:r>
          </w:p>
        </w:tc>
        <w:tc>
          <w:tcPr>
            <w:tcW w:w="1207" w:type="dxa"/>
          </w:tcPr>
          <w:p w14:paraId="29EA7ED2"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0.000405</w:t>
            </w:r>
          </w:p>
        </w:tc>
        <w:tc>
          <w:tcPr>
            <w:tcW w:w="1208" w:type="dxa"/>
          </w:tcPr>
          <w:p w14:paraId="24100493"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0.785359</w:t>
            </w:r>
          </w:p>
        </w:tc>
        <w:tc>
          <w:tcPr>
            <w:tcW w:w="997" w:type="dxa"/>
          </w:tcPr>
          <w:p w14:paraId="158C3D6B"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0.4437</w:t>
            </w:r>
          </w:p>
        </w:tc>
      </w:tr>
      <w:tr w:rsidR="002051C6" w:rsidRPr="00EA185C" w14:paraId="2A8EE9D6"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2FBCB753"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D(EA_POS)</w:t>
            </w:r>
          </w:p>
        </w:tc>
        <w:tc>
          <w:tcPr>
            <w:tcW w:w="1260" w:type="dxa"/>
          </w:tcPr>
          <w:p w14:paraId="75D1B554"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0.006354</w:t>
            </w:r>
          </w:p>
        </w:tc>
        <w:tc>
          <w:tcPr>
            <w:tcW w:w="1207" w:type="dxa"/>
          </w:tcPr>
          <w:p w14:paraId="092650FA"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0.002959</w:t>
            </w:r>
          </w:p>
        </w:tc>
        <w:tc>
          <w:tcPr>
            <w:tcW w:w="1208" w:type="dxa"/>
          </w:tcPr>
          <w:p w14:paraId="1DFD4B3B"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2.147032</w:t>
            </w:r>
          </w:p>
        </w:tc>
        <w:tc>
          <w:tcPr>
            <w:tcW w:w="997" w:type="dxa"/>
          </w:tcPr>
          <w:p w14:paraId="193BEA0E"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0.0475</w:t>
            </w:r>
          </w:p>
        </w:tc>
      </w:tr>
      <w:tr w:rsidR="002051C6" w:rsidRPr="00EA185C" w14:paraId="6DEE4C66"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47AD8CE9"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D(EC_POS)</w:t>
            </w:r>
          </w:p>
        </w:tc>
        <w:tc>
          <w:tcPr>
            <w:tcW w:w="1260" w:type="dxa"/>
          </w:tcPr>
          <w:p w14:paraId="68039C23"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0.001332</w:t>
            </w:r>
          </w:p>
        </w:tc>
        <w:tc>
          <w:tcPr>
            <w:tcW w:w="1207" w:type="dxa"/>
          </w:tcPr>
          <w:p w14:paraId="6D89CE38"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0.000501</w:t>
            </w:r>
          </w:p>
        </w:tc>
        <w:tc>
          <w:tcPr>
            <w:tcW w:w="1208" w:type="dxa"/>
          </w:tcPr>
          <w:p w14:paraId="5AB91C93"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2.660489</w:t>
            </w:r>
          </w:p>
        </w:tc>
        <w:tc>
          <w:tcPr>
            <w:tcW w:w="997" w:type="dxa"/>
          </w:tcPr>
          <w:p w14:paraId="0A8A1257"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0.0171</w:t>
            </w:r>
          </w:p>
        </w:tc>
      </w:tr>
      <w:tr w:rsidR="002051C6" w:rsidRPr="00EA185C" w14:paraId="55242BA1"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69F5D91E"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D(EC_</w:t>
            </w:r>
            <w:proofErr w:type="gramStart"/>
            <w:r w:rsidRPr="00EA185C">
              <w:rPr>
                <w:rFonts w:ascii="Times New Roman" w:hAnsi="Times New Roman" w:cs="Times New Roman"/>
                <w:color w:val="000000"/>
                <w:sz w:val="18"/>
                <w:szCs w:val="18"/>
              </w:rPr>
              <w:t>POS(</w:t>
            </w:r>
            <w:proofErr w:type="gramEnd"/>
            <w:r w:rsidRPr="00EA185C">
              <w:rPr>
                <w:rFonts w:ascii="Times New Roman" w:hAnsi="Times New Roman" w:cs="Times New Roman"/>
                <w:color w:val="000000"/>
                <w:sz w:val="18"/>
                <w:szCs w:val="18"/>
              </w:rPr>
              <w:t>-1))</w:t>
            </w:r>
          </w:p>
        </w:tc>
        <w:tc>
          <w:tcPr>
            <w:tcW w:w="1260" w:type="dxa"/>
          </w:tcPr>
          <w:p w14:paraId="17973BAD"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0.002115</w:t>
            </w:r>
          </w:p>
        </w:tc>
        <w:tc>
          <w:tcPr>
            <w:tcW w:w="1207" w:type="dxa"/>
          </w:tcPr>
          <w:p w14:paraId="1FD92548"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0.000619</w:t>
            </w:r>
          </w:p>
        </w:tc>
        <w:tc>
          <w:tcPr>
            <w:tcW w:w="1208" w:type="dxa"/>
          </w:tcPr>
          <w:p w14:paraId="6877EEEE"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3.415016</w:t>
            </w:r>
          </w:p>
        </w:tc>
        <w:tc>
          <w:tcPr>
            <w:tcW w:w="997" w:type="dxa"/>
          </w:tcPr>
          <w:p w14:paraId="5C160E01"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0.0035</w:t>
            </w:r>
          </w:p>
        </w:tc>
      </w:tr>
      <w:tr w:rsidR="002051C6" w:rsidRPr="00EA185C" w14:paraId="48961F80"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67AAB593"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D(EC_NEG)</w:t>
            </w:r>
          </w:p>
        </w:tc>
        <w:tc>
          <w:tcPr>
            <w:tcW w:w="1260" w:type="dxa"/>
          </w:tcPr>
          <w:p w14:paraId="1B04AC6F"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-0.000396</w:t>
            </w:r>
          </w:p>
        </w:tc>
        <w:tc>
          <w:tcPr>
            <w:tcW w:w="1207" w:type="dxa"/>
          </w:tcPr>
          <w:p w14:paraId="1D57E49C"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0.000446</w:t>
            </w:r>
          </w:p>
        </w:tc>
        <w:tc>
          <w:tcPr>
            <w:tcW w:w="1208" w:type="dxa"/>
          </w:tcPr>
          <w:p w14:paraId="4FE9F6AF"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-0.888202</w:t>
            </w:r>
          </w:p>
        </w:tc>
        <w:tc>
          <w:tcPr>
            <w:tcW w:w="997" w:type="dxa"/>
          </w:tcPr>
          <w:p w14:paraId="5DA97263"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0.3876</w:t>
            </w:r>
          </w:p>
        </w:tc>
      </w:tr>
      <w:tr w:rsidR="002051C6" w:rsidRPr="00EA185C" w14:paraId="51A4D8F9"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42433BAE"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D(EU_NEG)</w:t>
            </w:r>
          </w:p>
        </w:tc>
        <w:tc>
          <w:tcPr>
            <w:tcW w:w="1260" w:type="dxa"/>
          </w:tcPr>
          <w:p w14:paraId="2855554F"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-5.12E-05</w:t>
            </w:r>
          </w:p>
        </w:tc>
        <w:tc>
          <w:tcPr>
            <w:tcW w:w="1207" w:type="dxa"/>
          </w:tcPr>
          <w:p w14:paraId="6CB67C08"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0.000296</w:t>
            </w:r>
          </w:p>
        </w:tc>
        <w:tc>
          <w:tcPr>
            <w:tcW w:w="1208" w:type="dxa"/>
          </w:tcPr>
          <w:p w14:paraId="2FC131EC"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-0.173084</w:t>
            </w:r>
          </w:p>
        </w:tc>
        <w:tc>
          <w:tcPr>
            <w:tcW w:w="997" w:type="dxa"/>
          </w:tcPr>
          <w:p w14:paraId="21A4FDAF"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0.8648</w:t>
            </w:r>
          </w:p>
        </w:tc>
      </w:tr>
      <w:tr w:rsidR="002051C6" w:rsidRPr="00EA185C" w14:paraId="63C0C589"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3C249D5A"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D(EG)</w:t>
            </w:r>
          </w:p>
        </w:tc>
        <w:tc>
          <w:tcPr>
            <w:tcW w:w="1260" w:type="dxa"/>
          </w:tcPr>
          <w:p w14:paraId="63B557D1"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0.003054</w:t>
            </w:r>
          </w:p>
        </w:tc>
        <w:tc>
          <w:tcPr>
            <w:tcW w:w="1207" w:type="dxa"/>
          </w:tcPr>
          <w:p w14:paraId="3EF6C9C3"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0.002361</w:t>
            </w:r>
          </w:p>
        </w:tc>
        <w:tc>
          <w:tcPr>
            <w:tcW w:w="1208" w:type="dxa"/>
          </w:tcPr>
          <w:p w14:paraId="1CA719B4"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1.293743</w:t>
            </w:r>
          </w:p>
        </w:tc>
        <w:tc>
          <w:tcPr>
            <w:tcW w:w="997" w:type="dxa"/>
          </w:tcPr>
          <w:p w14:paraId="5191DC64"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0.2141</w:t>
            </w:r>
          </w:p>
        </w:tc>
      </w:tr>
      <w:tr w:rsidR="002051C6" w:rsidRPr="00EA185C" w14:paraId="54FE6CCE" w14:textId="77777777" w:rsidTr="00EA185C">
        <w:trPr>
          <w:trHeight w:val="225"/>
          <w:jc w:val="center"/>
        </w:trPr>
        <w:tc>
          <w:tcPr>
            <w:cnfStyle w:val="001000000000" w:firstRow="0" w:lastRow="0" w:firstColumn="1" w:lastColumn="0" w:oddVBand="0" w:evenVBand="0" w:oddHBand="0" w:evenHBand="0" w:firstRowFirstColumn="0" w:firstRowLastColumn="0" w:lastRowFirstColumn="0" w:lastRowLastColumn="0"/>
            <w:tcW w:w="1530" w:type="dxa"/>
          </w:tcPr>
          <w:p w14:paraId="75671778"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r w:rsidRPr="00EA185C">
              <w:rPr>
                <w:rFonts w:ascii="Times New Roman" w:hAnsi="Times New Roman" w:cs="Times New Roman"/>
                <w:color w:val="000000"/>
                <w:sz w:val="18"/>
                <w:szCs w:val="18"/>
              </w:rPr>
              <w:t>D(IF)</w:t>
            </w:r>
          </w:p>
        </w:tc>
        <w:tc>
          <w:tcPr>
            <w:tcW w:w="1260" w:type="dxa"/>
          </w:tcPr>
          <w:p w14:paraId="0EFC5CB8"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-0.000986</w:t>
            </w:r>
          </w:p>
        </w:tc>
        <w:tc>
          <w:tcPr>
            <w:tcW w:w="1207" w:type="dxa"/>
          </w:tcPr>
          <w:p w14:paraId="027DB7B8"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0.000435</w:t>
            </w:r>
          </w:p>
        </w:tc>
        <w:tc>
          <w:tcPr>
            <w:tcW w:w="1208" w:type="dxa"/>
          </w:tcPr>
          <w:p w14:paraId="2BFDBC27"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-2.268914</w:t>
            </w:r>
          </w:p>
        </w:tc>
        <w:tc>
          <w:tcPr>
            <w:tcW w:w="997" w:type="dxa"/>
          </w:tcPr>
          <w:p w14:paraId="4027E163" w14:textId="77777777" w:rsidR="002051C6" w:rsidRPr="00EA185C" w:rsidRDefault="002051C6" w:rsidP="002051C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A185C">
              <w:rPr>
                <w:rFonts w:ascii="Times New Roman" w:hAnsi="Times New Roman" w:cs="Times New Roman"/>
                <w:color w:val="000000"/>
                <w:sz w:val="18"/>
                <w:szCs w:val="18"/>
              </w:rPr>
              <w:t>0.0375</w:t>
            </w:r>
          </w:p>
        </w:tc>
      </w:tr>
      <w:tr w:rsidR="002051C6" w:rsidRPr="00EA185C" w14:paraId="6019085C" w14:textId="77777777" w:rsidTr="00EA185C">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530" w:type="dxa"/>
          </w:tcPr>
          <w:p w14:paraId="3FA0EC82" w14:textId="77777777" w:rsidR="002051C6" w:rsidRPr="00EA185C" w:rsidRDefault="002051C6" w:rsidP="002051C6">
            <w:pPr>
              <w:autoSpaceDE w:val="0"/>
              <w:autoSpaceDN w:val="0"/>
              <w:adjustRightInd w:val="0"/>
              <w:jc w:val="center"/>
              <w:rPr>
                <w:rFonts w:ascii="Times New Roman" w:hAnsi="Times New Roman" w:cs="Times New Roman"/>
                <w:color w:val="000000"/>
                <w:sz w:val="18"/>
                <w:szCs w:val="18"/>
              </w:rPr>
            </w:pPr>
          </w:p>
        </w:tc>
        <w:tc>
          <w:tcPr>
            <w:tcW w:w="1260" w:type="dxa"/>
          </w:tcPr>
          <w:p w14:paraId="1B9E109E"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19F04BA0"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329204E1"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26D1F7B8" w14:textId="77777777" w:rsidR="002051C6" w:rsidRPr="00EA185C" w:rsidRDefault="002051C6" w:rsidP="002051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6A873573" w14:textId="0179C499" w:rsidR="00702DBA" w:rsidRDefault="00EA185C" w:rsidP="002051C6">
      <w:pPr>
        <w:spacing w:after="0" w:line="240" w:lineRule="auto"/>
        <w:ind w:left="1170"/>
        <w:jc w:val="both"/>
        <w:rPr>
          <w:rFonts w:ascii="Arial" w:hAnsi="Arial" w:cs="Arial"/>
          <w:color w:val="000000"/>
          <w:sz w:val="18"/>
          <w:szCs w:val="18"/>
        </w:rPr>
      </w:pPr>
      <w:r>
        <w:rPr>
          <w:rFonts w:ascii="Arial" w:hAnsi="Arial" w:cs="Arial"/>
          <w:color w:val="000000"/>
          <w:sz w:val="18"/>
          <w:szCs w:val="18"/>
        </w:rPr>
        <w:t xml:space="preserve">      </w:t>
      </w:r>
      <w:r w:rsidR="00702DBA">
        <w:rPr>
          <w:rFonts w:ascii="Arial" w:hAnsi="Arial" w:cs="Arial"/>
          <w:color w:val="000000"/>
          <w:sz w:val="18"/>
          <w:szCs w:val="18"/>
        </w:rPr>
        <w:t>* p-value incompatible with t-Bounds distribution.</w:t>
      </w:r>
    </w:p>
    <w:p w14:paraId="51FCAA40" w14:textId="1B670337" w:rsidR="00702DBA" w:rsidRDefault="00EA185C" w:rsidP="002051C6">
      <w:pPr>
        <w:spacing w:after="0" w:line="240" w:lineRule="auto"/>
        <w:ind w:left="1170"/>
        <w:jc w:val="both"/>
        <w:rPr>
          <w:rFonts w:ascii="Arial" w:hAnsi="Arial" w:cs="Arial"/>
          <w:color w:val="000000"/>
          <w:sz w:val="18"/>
          <w:szCs w:val="18"/>
        </w:rPr>
      </w:pPr>
      <w:r>
        <w:rPr>
          <w:rFonts w:ascii="Arial" w:hAnsi="Arial" w:cs="Arial"/>
          <w:color w:val="000000"/>
          <w:sz w:val="18"/>
          <w:szCs w:val="18"/>
        </w:rPr>
        <w:t xml:space="preserve">     </w:t>
      </w:r>
      <w:r w:rsidR="00702DBA">
        <w:rPr>
          <w:rFonts w:ascii="Arial" w:hAnsi="Arial" w:cs="Arial"/>
          <w:color w:val="000000"/>
          <w:sz w:val="18"/>
          <w:szCs w:val="18"/>
        </w:rPr>
        <w:t xml:space="preserve">** Variable interpreted as Z = </w:t>
      </w:r>
      <w:proofErr w:type="gramStart"/>
      <w:r w:rsidR="00702DBA">
        <w:rPr>
          <w:rFonts w:ascii="Arial" w:hAnsi="Arial" w:cs="Arial"/>
          <w:color w:val="000000"/>
          <w:sz w:val="18"/>
          <w:szCs w:val="18"/>
        </w:rPr>
        <w:t>Z(</w:t>
      </w:r>
      <w:proofErr w:type="gramEnd"/>
      <w:r w:rsidR="00702DBA">
        <w:rPr>
          <w:rFonts w:ascii="Arial" w:hAnsi="Arial" w:cs="Arial"/>
          <w:color w:val="000000"/>
          <w:sz w:val="18"/>
          <w:szCs w:val="18"/>
        </w:rPr>
        <w:t>-1) + D(Z).</w:t>
      </w:r>
    </w:p>
    <w:p w14:paraId="4ADD2123" w14:textId="6B1641BB" w:rsidR="00702DBA" w:rsidRDefault="00EA185C" w:rsidP="002051C6">
      <w:pPr>
        <w:spacing w:after="0" w:line="240" w:lineRule="auto"/>
        <w:ind w:left="1170"/>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702DBA" w:rsidRPr="00E3448E">
        <w:rPr>
          <w:rFonts w:ascii="Times New Roman" w:eastAsia="Times New Roman" w:hAnsi="Times New Roman" w:cs="Times New Roman"/>
          <w:b/>
          <w:bCs/>
          <w:sz w:val="20"/>
          <w:szCs w:val="20"/>
          <w:lang w:eastAsia="en-GB"/>
        </w:rPr>
        <w:t>Source: Authors determined</w:t>
      </w:r>
      <w:r w:rsidR="00702DBA">
        <w:rPr>
          <w:rFonts w:ascii="Times New Roman" w:eastAsia="Times New Roman" w:hAnsi="Times New Roman" w:cs="Times New Roman"/>
          <w:b/>
          <w:bCs/>
          <w:sz w:val="20"/>
          <w:szCs w:val="20"/>
          <w:lang w:eastAsia="en-GB"/>
        </w:rPr>
        <w:t xml:space="preserve"> using </w:t>
      </w:r>
      <w:proofErr w:type="spellStart"/>
      <w:r w:rsidR="00702DBA">
        <w:rPr>
          <w:rFonts w:ascii="Times New Roman" w:eastAsia="Times New Roman" w:hAnsi="Times New Roman" w:cs="Times New Roman"/>
          <w:b/>
          <w:bCs/>
          <w:sz w:val="20"/>
          <w:szCs w:val="20"/>
          <w:lang w:eastAsia="en-GB"/>
        </w:rPr>
        <w:t>Eviews</w:t>
      </w:r>
      <w:proofErr w:type="spellEnd"/>
      <w:r w:rsidR="00702DBA">
        <w:rPr>
          <w:rFonts w:ascii="Times New Roman" w:eastAsia="Times New Roman" w:hAnsi="Times New Roman" w:cs="Times New Roman"/>
          <w:b/>
          <w:bCs/>
          <w:sz w:val="20"/>
          <w:szCs w:val="20"/>
          <w:lang w:eastAsia="en-GB"/>
        </w:rPr>
        <w:t xml:space="preserve"> 12, 2026</w:t>
      </w:r>
    </w:p>
    <w:p w14:paraId="3D12DD3F" w14:textId="1C7F636A" w:rsidR="00603FA3" w:rsidRPr="00603FA3" w:rsidRDefault="00603FA3" w:rsidP="00603FA3">
      <w:pPr>
        <w:spacing w:before="240"/>
        <w:jc w:val="both"/>
        <w:rPr>
          <w:rFonts w:ascii="Times New Roman" w:hAnsi="Times New Roman" w:cs="Times New Roman"/>
          <w:sz w:val="24"/>
          <w:szCs w:val="24"/>
        </w:rPr>
      </w:pPr>
      <w:r w:rsidRPr="00603FA3">
        <w:rPr>
          <w:rFonts w:ascii="Times New Roman" w:hAnsi="Times New Roman" w:cs="Times New Roman"/>
          <w:sz w:val="24"/>
          <w:szCs w:val="24"/>
        </w:rPr>
        <w:t xml:space="preserve">The long-run NARDL results reveal asymmetric effects of energy poverty indicators on household welfare. Positive changes in electricity access (EA_POS) have a significant positive effect (β = 0.013357, p &lt; 0.01), indicating that improved access to electricity enhances household welfare by supporting productive activities, education, and improved living standards. This finding aligns with studies by </w:t>
      </w:r>
      <w:proofErr w:type="spellStart"/>
      <w:r w:rsidRPr="00603FA3">
        <w:rPr>
          <w:rFonts w:ascii="Times New Roman" w:hAnsi="Times New Roman" w:cs="Times New Roman"/>
          <w:sz w:val="24"/>
          <w:szCs w:val="24"/>
        </w:rPr>
        <w:t>Chakravorty</w:t>
      </w:r>
      <w:proofErr w:type="spellEnd"/>
      <w:r w:rsidRPr="00603FA3">
        <w:rPr>
          <w:rFonts w:ascii="Times New Roman" w:hAnsi="Times New Roman" w:cs="Times New Roman"/>
          <w:sz w:val="24"/>
          <w:szCs w:val="24"/>
        </w:rPr>
        <w:t xml:space="preserve">, </w:t>
      </w:r>
      <w:proofErr w:type="spellStart"/>
      <w:r w:rsidRPr="00603FA3">
        <w:rPr>
          <w:rFonts w:ascii="Times New Roman" w:hAnsi="Times New Roman" w:cs="Times New Roman"/>
          <w:sz w:val="24"/>
          <w:szCs w:val="24"/>
        </w:rPr>
        <w:t>Ujjayant</w:t>
      </w:r>
      <w:proofErr w:type="spellEnd"/>
      <w:r w:rsidRPr="00603FA3">
        <w:rPr>
          <w:rFonts w:ascii="Times New Roman" w:hAnsi="Times New Roman" w:cs="Times New Roman"/>
          <w:sz w:val="24"/>
          <w:szCs w:val="24"/>
        </w:rPr>
        <w:t xml:space="preserve"> et al. (2014) and </w:t>
      </w:r>
      <w:proofErr w:type="spellStart"/>
      <w:r w:rsidRPr="00603FA3">
        <w:rPr>
          <w:rFonts w:ascii="Times New Roman" w:hAnsi="Times New Roman" w:cs="Times New Roman"/>
          <w:sz w:val="24"/>
          <w:szCs w:val="24"/>
        </w:rPr>
        <w:t>Sovacool</w:t>
      </w:r>
      <w:proofErr w:type="spellEnd"/>
      <w:r w:rsidRPr="00603FA3">
        <w:rPr>
          <w:rFonts w:ascii="Times New Roman" w:hAnsi="Times New Roman" w:cs="Times New Roman"/>
          <w:sz w:val="24"/>
          <w:szCs w:val="24"/>
        </w:rPr>
        <w:t>, Benjamin K. et al. (2017), which emphasize that expanded energy access promotes welfare and economic productivity.</w:t>
      </w:r>
    </w:p>
    <w:p w14:paraId="49E0A9C1" w14:textId="4891CD57" w:rsidR="00702DBA" w:rsidRPr="00603FA3" w:rsidRDefault="00603FA3" w:rsidP="00603FA3">
      <w:pPr>
        <w:jc w:val="both"/>
        <w:rPr>
          <w:rFonts w:ascii="Times New Roman" w:hAnsi="Times New Roman" w:cs="Times New Roman"/>
          <w:sz w:val="24"/>
          <w:szCs w:val="24"/>
        </w:rPr>
      </w:pPr>
      <w:r w:rsidRPr="00603FA3">
        <w:rPr>
          <w:rFonts w:ascii="Times New Roman" w:hAnsi="Times New Roman" w:cs="Times New Roman"/>
          <w:sz w:val="24"/>
          <w:szCs w:val="24"/>
        </w:rPr>
        <w:t xml:space="preserve">However, electricity consumption (EC_POS) shows a significant negative long-run effect (β = −0.002744, p &lt; 0.01), while EC_NEG is also negative and significant. This suggests that increased electricity consumption may raise household expenditure or reflect inefficient energy usage, thereby reducing welfare. Similar concerns about energy cost burdens were noted by </w:t>
      </w:r>
      <w:proofErr w:type="spellStart"/>
      <w:r w:rsidRPr="00603FA3">
        <w:rPr>
          <w:rFonts w:ascii="Times New Roman" w:hAnsi="Times New Roman" w:cs="Times New Roman"/>
          <w:sz w:val="24"/>
          <w:szCs w:val="24"/>
        </w:rPr>
        <w:t>Oseni</w:t>
      </w:r>
      <w:proofErr w:type="spellEnd"/>
      <w:r w:rsidRPr="00603FA3">
        <w:rPr>
          <w:rFonts w:ascii="Times New Roman" w:hAnsi="Times New Roman" w:cs="Times New Roman"/>
          <w:sz w:val="24"/>
          <w:szCs w:val="24"/>
        </w:rPr>
        <w:t xml:space="preserve">, </w:t>
      </w:r>
      <w:proofErr w:type="spellStart"/>
      <w:r w:rsidRPr="00603FA3">
        <w:rPr>
          <w:rFonts w:ascii="Times New Roman" w:hAnsi="Times New Roman" w:cs="Times New Roman"/>
          <w:sz w:val="24"/>
          <w:szCs w:val="24"/>
        </w:rPr>
        <w:t>Musiliu</w:t>
      </w:r>
      <w:proofErr w:type="spellEnd"/>
      <w:r w:rsidRPr="00603FA3">
        <w:rPr>
          <w:rFonts w:ascii="Times New Roman" w:hAnsi="Times New Roman" w:cs="Times New Roman"/>
          <w:sz w:val="24"/>
          <w:szCs w:val="24"/>
        </w:rPr>
        <w:t xml:space="preserve"> O. (2022), though other studies report positive welfare outcomes from higher energy use.</w:t>
      </w:r>
      <w:r>
        <w:rPr>
          <w:rFonts w:ascii="Times New Roman" w:hAnsi="Times New Roman" w:cs="Times New Roman"/>
          <w:sz w:val="24"/>
          <w:szCs w:val="24"/>
        </w:rPr>
        <w:t xml:space="preserve"> </w:t>
      </w:r>
      <w:r w:rsidRPr="00603FA3">
        <w:rPr>
          <w:rFonts w:ascii="Times New Roman" w:hAnsi="Times New Roman" w:cs="Times New Roman"/>
          <w:sz w:val="24"/>
          <w:szCs w:val="24"/>
        </w:rPr>
        <w:t>Additionally, electricity use (EU_POS) is negative and significant, indicating potential inefficiencies or rising energy costs. Inflation and electricity generation appear insignificant in the long run, suggesting that structural energy access factors remain more critical for welfare outcomes.</w:t>
      </w:r>
    </w:p>
    <w:p w14:paraId="429E6C75" w14:textId="039D2CDD" w:rsidR="00961C6F" w:rsidRDefault="00961C6F" w:rsidP="00462223">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6: </w:t>
      </w:r>
      <w:r w:rsidRPr="00961C6F">
        <w:rPr>
          <w:rFonts w:ascii="Times New Roman" w:hAnsi="Times New Roman" w:cs="Times New Roman"/>
          <w:b/>
          <w:bCs/>
          <w:sz w:val="24"/>
          <w:szCs w:val="24"/>
        </w:rPr>
        <w:t>Breusch-Godfrey Serial Correlation LM Test</w:t>
      </w:r>
    </w:p>
    <w:tbl>
      <w:tblPr>
        <w:tblStyle w:val="PlainTable2"/>
        <w:tblW w:w="0" w:type="auto"/>
        <w:jc w:val="center"/>
        <w:tblLayout w:type="fixed"/>
        <w:tblLook w:val="0680" w:firstRow="0" w:lastRow="0" w:firstColumn="1" w:lastColumn="0" w:noHBand="1" w:noVBand="1"/>
      </w:tblPr>
      <w:tblGrid>
        <w:gridCol w:w="1710"/>
        <w:gridCol w:w="1410"/>
        <w:gridCol w:w="1207"/>
        <w:gridCol w:w="1073"/>
        <w:gridCol w:w="810"/>
      </w:tblGrid>
      <w:tr w:rsidR="00961C6F" w:rsidRPr="006B18EC" w14:paraId="51373DFA" w14:textId="77777777" w:rsidTr="0004709A">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710" w:type="dxa"/>
          </w:tcPr>
          <w:p w14:paraId="5E674CAC"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410" w:type="dxa"/>
          </w:tcPr>
          <w:p w14:paraId="3BF556A0"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4E09006E"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073" w:type="dxa"/>
          </w:tcPr>
          <w:p w14:paraId="4A6260AA"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810" w:type="dxa"/>
          </w:tcPr>
          <w:p w14:paraId="3B233865"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961C6F" w:rsidRPr="006B18EC" w14:paraId="222ADB1D" w14:textId="77777777" w:rsidTr="0004709A">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710" w:type="dxa"/>
          </w:tcPr>
          <w:p w14:paraId="4F517E01"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410" w:type="dxa"/>
          </w:tcPr>
          <w:p w14:paraId="045BD292"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51A9D539"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073" w:type="dxa"/>
          </w:tcPr>
          <w:p w14:paraId="7B65CFA8"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810" w:type="dxa"/>
          </w:tcPr>
          <w:p w14:paraId="0BDC6C13"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961C6F" w:rsidRPr="006B18EC" w14:paraId="70EA096A" w14:textId="77777777" w:rsidTr="0004709A">
        <w:trPr>
          <w:trHeight w:val="225"/>
          <w:jc w:val="center"/>
        </w:trPr>
        <w:tc>
          <w:tcPr>
            <w:cnfStyle w:val="001000000000" w:firstRow="0" w:lastRow="0" w:firstColumn="1" w:lastColumn="0" w:oddVBand="0" w:evenVBand="0" w:oddHBand="0" w:evenHBand="0" w:firstRowFirstColumn="0" w:firstRowLastColumn="0" w:lastRowFirstColumn="0" w:lastRowLastColumn="0"/>
            <w:tcW w:w="1710" w:type="dxa"/>
          </w:tcPr>
          <w:p w14:paraId="6124A294" w14:textId="77777777" w:rsidR="00961C6F" w:rsidRPr="006B18EC" w:rsidRDefault="00961C6F" w:rsidP="00DF2EA6">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F-statistic</w:t>
            </w:r>
          </w:p>
        </w:tc>
        <w:tc>
          <w:tcPr>
            <w:tcW w:w="1410" w:type="dxa"/>
          </w:tcPr>
          <w:p w14:paraId="557DE6B3" w14:textId="77777777" w:rsidR="00961C6F" w:rsidRPr="006B18EC" w:rsidRDefault="00961C6F" w:rsidP="00DF2EA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B18EC">
              <w:rPr>
                <w:rFonts w:ascii="Times New Roman" w:hAnsi="Times New Roman" w:cs="Times New Roman"/>
                <w:color w:val="000000"/>
                <w:sz w:val="20"/>
                <w:szCs w:val="20"/>
              </w:rPr>
              <w:t>1.516469</w:t>
            </w:r>
          </w:p>
        </w:tc>
        <w:tc>
          <w:tcPr>
            <w:tcW w:w="2280" w:type="dxa"/>
            <w:gridSpan w:val="2"/>
          </w:tcPr>
          <w:p w14:paraId="5A08402F" w14:textId="77777777" w:rsidR="00961C6F" w:rsidRPr="006B18EC" w:rsidRDefault="00961C6F" w:rsidP="00DF2EA6">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B18EC">
              <w:rPr>
                <w:rFonts w:ascii="Times New Roman" w:hAnsi="Times New Roman" w:cs="Times New Roman"/>
                <w:color w:val="000000"/>
                <w:sz w:val="20"/>
                <w:szCs w:val="20"/>
              </w:rPr>
              <w:t xml:space="preserve">    Prob. </w:t>
            </w:r>
            <w:proofErr w:type="gramStart"/>
            <w:r w:rsidRPr="006B18EC">
              <w:rPr>
                <w:rFonts w:ascii="Times New Roman" w:hAnsi="Times New Roman" w:cs="Times New Roman"/>
                <w:color w:val="000000"/>
                <w:sz w:val="20"/>
                <w:szCs w:val="20"/>
              </w:rPr>
              <w:t>F(</w:t>
            </w:r>
            <w:proofErr w:type="gramEnd"/>
            <w:r w:rsidRPr="006B18EC">
              <w:rPr>
                <w:rFonts w:ascii="Times New Roman" w:hAnsi="Times New Roman" w:cs="Times New Roman"/>
                <w:color w:val="000000"/>
                <w:sz w:val="20"/>
                <w:szCs w:val="20"/>
              </w:rPr>
              <w:t>1,18)</w:t>
            </w:r>
          </w:p>
        </w:tc>
        <w:tc>
          <w:tcPr>
            <w:tcW w:w="810" w:type="dxa"/>
          </w:tcPr>
          <w:p w14:paraId="09933F24" w14:textId="77777777" w:rsidR="00961C6F" w:rsidRPr="006B18EC" w:rsidRDefault="00961C6F" w:rsidP="00DF2EA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B18EC">
              <w:rPr>
                <w:rFonts w:ascii="Times New Roman" w:hAnsi="Times New Roman" w:cs="Times New Roman"/>
                <w:color w:val="000000"/>
                <w:sz w:val="20"/>
                <w:szCs w:val="20"/>
              </w:rPr>
              <w:t>0.2340</w:t>
            </w:r>
          </w:p>
        </w:tc>
      </w:tr>
      <w:tr w:rsidR="00961C6F" w:rsidRPr="006B18EC" w14:paraId="186CC95D" w14:textId="77777777" w:rsidTr="0004709A">
        <w:trPr>
          <w:trHeight w:val="225"/>
          <w:jc w:val="center"/>
        </w:trPr>
        <w:tc>
          <w:tcPr>
            <w:cnfStyle w:val="001000000000" w:firstRow="0" w:lastRow="0" w:firstColumn="1" w:lastColumn="0" w:oddVBand="0" w:evenVBand="0" w:oddHBand="0" w:evenHBand="0" w:firstRowFirstColumn="0" w:firstRowLastColumn="0" w:lastRowFirstColumn="0" w:lastRowLastColumn="0"/>
            <w:tcW w:w="1710" w:type="dxa"/>
          </w:tcPr>
          <w:p w14:paraId="5D781055" w14:textId="77777777" w:rsidR="00961C6F" w:rsidRPr="006B18EC" w:rsidRDefault="00961C6F" w:rsidP="00DF2EA6">
            <w:pPr>
              <w:autoSpaceDE w:val="0"/>
              <w:autoSpaceDN w:val="0"/>
              <w:adjustRightInd w:val="0"/>
              <w:rPr>
                <w:rFonts w:ascii="Times New Roman" w:hAnsi="Times New Roman" w:cs="Times New Roman"/>
                <w:color w:val="000000"/>
                <w:sz w:val="20"/>
                <w:szCs w:val="20"/>
              </w:rPr>
            </w:pPr>
            <w:proofErr w:type="spellStart"/>
            <w:r w:rsidRPr="006B18EC">
              <w:rPr>
                <w:rFonts w:ascii="Times New Roman" w:hAnsi="Times New Roman" w:cs="Times New Roman"/>
                <w:color w:val="000000"/>
                <w:sz w:val="20"/>
                <w:szCs w:val="20"/>
              </w:rPr>
              <w:t>Obs</w:t>
            </w:r>
            <w:proofErr w:type="spellEnd"/>
            <w:r w:rsidRPr="006B18EC">
              <w:rPr>
                <w:rFonts w:ascii="Times New Roman" w:hAnsi="Times New Roman" w:cs="Times New Roman"/>
                <w:color w:val="000000"/>
                <w:sz w:val="20"/>
                <w:szCs w:val="20"/>
              </w:rPr>
              <w:t>*R-squared</w:t>
            </w:r>
          </w:p>
        </w:tc>
        <w:tc>
          <w:tcPr>
            <w:tcW w:w="1410" w:type="dxa"/>
          </w:tcPr>
          <w:p w14:paraId="62176B36" w14:textId="77777777" w:rsidR="00961C6F" w:rsidRPr="006B18EC" w:rsidRDefault="00961C6F" w:rsidP="00DF2EA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B18EC">
              <w:rPr>
                <w:rFonts w:ascii="Times New Roman" w:hAnsi="Times New Roman" w:cs="Times New Roman"/>
                <w:color w:val="000000"/>
                <w:sz w:val="20"/>
                <w:szCs w:val="20"/>
              </w:rPr>
              <w:t>2.486465</w:t>
            </w:r>
          </w:p>
        </w:tc>
        <w:tc>
          <w:tcPr>
            <w:tcW w:w="2280" w:type="dxa"/>
            <w:gridSpan w:val="2"/>
          </w:tcPr>
          <w:p w14:paraId="3778EAC2" w14:textId="77777777" w:rsidR="00961C6F" w:rsidRPr="006B18EC" w:rsidRDefault="00961C6F" w:rsidP="00DF2EA6">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B18EC">
              <w:rPr>
                <w:rFonts w:ascii="Times New Roman" w:hAnsi="Times New Roman" w:cs="Times New Roman"/>
                <w:color w:val="000000"/>
                <w:sz w:val="20"/>
                <w:szCs w:val="20"/>
              </w:rPr>
              <w:t>    Prob. Chi-</w:t>
            </w:r>
            <w:proofErr w:type="gramStart"/>
            <w:r w:rsidRPr="006B18EC">
              <w:rPr>
                <w:rFonts w:ascii="Times New Roman" w:hAnsi="Times New Roman" w:cs="Times New Roman"/>
                <w:color w:val="000000"/>
                <w:sz w:val="20"/>
                <w:szCs w:val="20"/>
              </w:rPr>
              <w:t>Square(</w:t>
            </w:r>
            <w:proofErr w:type="gramEnd"/>
            <w:r w:rsidRPr="006B18EC">
              <w:rPr>
                <w:rFonts w:ascii="Times New Roman" w:hAnsi="Times New Roman" w:cs="Times New Roman"/>
                <w:color w:val="000000"/>
                <w:sz w:val="20"/>
                <w:szCs w:val="20"/>
              </w:rPr>
              <w:t>1)</w:t>
            </w:r>
          </w:p>
        </w:tc>
        <w:tc>
          <w:tcPr>
            <w:tcW w:w="810" w:type="dxa"/>
          </w:tcPr>
          <w:p w14:paraId="34D2DCC9" w14:textId="77777777" w:rsidR="00961C6F" w:rsidRPr="006B18EC" w:rsidRDefault="00961C6F" w:rsidP="00DF2EA6">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B18EC">
              <w:rPr>
                <w:rFonts w:ascii="Times New Roman" w:hAnsi="Times New Roman" w:cs="Times New Roman"/>
                <w:color w:val="000000"/>
                <w:sz w:val="20"/>
                <w:szCs w:val="20"/>
              </w:rPr>
              <w:t>0.1148</w:t>
            </w:r>
          </w:p>
        </w:tc>
      </w:tr>
      <w:tr w:rsidR="00961C6F" w:rsidRPr="006B18EC" w14:paraId="4BF4A90B" w14:textId="77777777" w:rsidTr="0004709A">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710" w:type="dxa"/>
          </w:tcPr>
          <w:p w14:paraId="2075AD0F"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410" w:type="dxa"/>
          </w:tcPr>
          <w:p w14:paraId="5D7CDBBC"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7" w:type="dxa"/>
          </w:tcPr>
          <w:p w14:paraId="1A06997C"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073" w:type="dxa"/>
          </w:tcPr>
          <w:p w14:paraId="0A3AE9E4"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810" w:type="dxa"/>
          </w:tcPr>
          <w:p w14:paraId="112B7A04" w14:textId="77777777" w:rsidR="00961C6F" w:rsidRPr="006B18EC" w:rsidRDefault="00961C6F" w:rsidP="00DF2E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bl>
    <w:p w14:paraId="328D63E5" w14:textId="6313A491" w:rsidR="00961C6F" w:rsidRDefault="0004709A" w:rsidP="00961C6F">
      <w:pPr>
        <w:spacing w:after="0" w:line="240" w:lineRule="auto"/>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961C6F" w:rsidRPr="00E3448E">
        <w:rPr>
          <w:rFonts w:ascii="Times New Roman" w:eastAsia="Times New Roman" w:hAnsi="Times New Roman" w:cs="Times New Roman"/>
          <w:b/>
          <w:bCs/>
          <w:sz w:val="20"/>
          <w:szCs w:val="20"/>
          <w:lang w:eastAsia="en-GB"/>
        </w:rPr>
        <w:t>Source: Authors determined</w:t>
      </w:r>
      <w:r w:rsidR="00961C6F">
        <w:rPr>
          <w:rFonts w:ascii="Times New Roman" w:eastAsia="Times New Roman" w:hAnsi="Times New Roman" w:cs="Times New Roman"/>
          <w:b/>
          <w:bCs/>
          <w:sz w:val="20"/>
          <w:szCs w:val="20"/>
          <w:lang w:eastAsia="en-GB"/>
        </w:rPr>
        <w:t xml:space="preserve"> using </w:t>
      </w:r>
      <w:proofErr w:type="spellStart"/>
      <w:r w:rsidR="00961C6F">
        <w:rPr>
          <w:rFonts w:ascii="Times New Roman" w:eastAsia="Times New Roman" w:hAnsi="Times New Roman" w:cs="Times New Roman"/>
          <w:b/>
          <w:bCs/>
          <w:sz w:val="20"/>
          <w:szCs w:val="20"/>
          <w:lang w:eastAsia="en-GB"/>
        </w:rPr>
        <w:t>Eviews</w:t>
      </w:r>
      <w:proofErr w:type="spellEnd"/>
      <w:r w:rsidR="00961C6F">
        <w:rPr>
          <w:rFonts w:ascii="Times New Roman" w:eastAsia="Times New Roman" w:hAnsi="Times New Roman" w:cs="Times New Roman"/>
          <w:b/>
          <w:bCs/>
          <w:sz w:val="20"/>
          <w:szCs w:val="20"/>
          <w:lang w:eastAsia="en-GB"/>
        </w:rPr>
        <w:t xml:space="preserve"> 12, 2026</w:t>
      </w:r>
    </w:p>
    <w:p w14:paraId="51B9F186" w14:textId="2281D852" w:rsidR="00961C6F" w:rsidRPr="00603FA3" w:rsidRDefault="00603FA3" w:rsidP="00603FA3">
      <w:pPr>
        <w:spacing w:before="240"/>
        <w:jc w:val="both"/>
        <w:rPr>
          <w:rFonts w:ascii="Times New Roman" w:hAnsi="Times New Roman" w:cs="Times New Roman"/>
          <w:sz w:val="24"/>
          <w:szCs w:val="24"/>
        </w:rPr>
      </w:pPr>
      <w:r w:rsidRPr="00603FA3">
        <w:rPr>
          <w:rFonts w:ascii="Times New Roman" w:hAnsi="Times New Roman" w:cs="Times New Roman"/>
          <w:sz w:val="24"/>
          <w:szCs w:val="24"/>
        </w:rPr>
        <w:t xml:space="preserve">The Breusch–Godfrey Serial Correlation LM Test results show insignificant probabilities (p = 0.2340; p = 0.1148), indicating absence of serial correlation in the residuals. This implies the </w:t>
      </w:r>
      <w:r w:rsidRPr="00603FA3">
        <w:rPr>
          <w:rFonts w:ascii="Times New Roman" w:hAnsi="Times New Roman" w:cs="Times New Roman"/>
          <w:sz w:val="24"/>
          <w:szCs w:val="24"/>
        </w:rPr>
        <w:lastRenderedPageBreak/>
        <w:t>model is well specified and the estimates are reliable. Consequently, the regression results provide valid inferences regarding the relationship between energy poverty indicators and household welfare.</w:t>
      </w:r>
    </w:p>
    <w:p w14:paraId="67B5AC3A" w14:textId="376F3766" w:rsidR="00961C6F" w:rsidRDefault="00961C6F" w:rsidP="0004709A">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7: </w:t>
      </w:r>
      <w:r w:rsidRPr="00961C6F">
        <w:rPr>
          <w:rFonts w:ascii="Times New Roman" w:hAnsi="Times New Roman" w:cs="Times New Roman"/>
          <w:b/>
          <w:bCs/>
          <w:sz w:val="24"/>
          <w:szCs w:val="24"/>
        </w:rPr>
        <w:t>Heteroskedasticity Test: Breusch-Pagan-Godfrey</w:t>
      </w:r>
    </w:p>
    <w:tbl>
      <w:tblPr>
        <w:tblStyle w:val="PlainTable2"/>
        <w:tblW w:w="0" w:type="auto"/>
        <w:jc w:val="center"/>
        <w:tblLayout w:type="fixed"/>
        <w:tblLook w:val="0600" w:firstRow="0" w:lastRow="0" w:firstColumn="0" w:lastColumn="0" w:noHBand="1" w:noVBand="1"/>
      </w:tblPr>
      <w:tblGrid>
        <w:gridCol w:w="1927"/>
        <w:gridCol w:w="1103"/>
        <w:gridCol w:w="1207"/>
        <w:gridCol w:w="1208"/>
        <w:gridCol w:w="997"/>
      </w:tblGrid>
      <w:tr w:rsidR="00961C6F" w:rsidRPr="006B18EC" w14:paraId="2D6249ED" w14:textId="77777777" w:rsidTr="006B18EC">
        <w:trPr>
          <w:trHeight w:hRule="exact" w:val="90"/>
          <w:jc w:val="center"/>
        </w:trPr>
        <w:tc>
          <w:tcPr>
            <w:tcW w:w="1927" w:type="dxa"/>
          </w:tcPr>
          <w:p w14:paraId="1CC03172"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103" w:type="dxa"/>
          </w:tcPr>
          <w:p w14:paraId="1435A148"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207" w:type="dxa"/>
          </w:tcPr>
          <w:p w14:paraId="687909D7"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208" w:type="dxa"/>
          </w:tcPr>
          <w:p w14:paraId="067B7046"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997" w:type="dxa"/>
          </w:tcPr>
          <w:p w14:paraId="488EE7E0"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r>
      <w:tr w:rsidR="00961C6F" w:rsidRPr="006B18EC" w14:paraId="45C20A49" w14:textId="77777777" w:rsidTr="006B18EC">
        <w:trPr>
          <w:trHeight w:hRule="exact" w:val="135"/>
          <w:jc w:val="center"/>
        </w:trPr>
        <w:tc>
          <w:tcPr>
            <w:tcW w:w="1927" w:type="dxa"/>
          </w:tcPr>
          <w:p w14:paraId="2EBAE2DD"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103" w:type="dxa"/>
          </w:tcPr>
          <w:p w14:paraId="529E02FD"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207" w:type="dxa"/>
          </w:tcPr>
          <w:p w14:paraId="12E5816C"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208" w:type="dxa"/>
          </w:tcPr>
          <w:p w14:paraId="09A2DA17"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997" w:type="dxa"/>
          </w:tcPr>
          <w:p w14:paraId="47954D44"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r>
      <w:tr w:rsidR="00961C6F" w:rsidRPr="006B18EC" w14:paraId="14069603" w14:textId="77777777" w:rsidTr="006B18EC">
        <w:trPr>
          <w:trHeight w:val="225"/>
          <w:jc w:val="center"/>
        </w:trPr>
        <w:tc>
          <w:tcPr>
            <w:tcW w:w="1927" w:type="dxa"/>
          </w:tcPr>
          <w:p w14:paraId="40117187" w14:textId="77777777" w:rsidR="00961C6F" w:rsidRPr="006B18EC" w:rsidRDefault="00961C6F" w:rsidP="00DF2EA6">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F-statistic</w:t>
            </w:r>
          </w:p>
        </w:tc>
        <w:tc>
          <w:tcPr>
            <w:tcW w:w="1103" w:type="dxa"/>
          </w:tcPr>
          <w:p w14:paraId="783D2E2B" w14:textId="77777777" w:rsidR="00961C6F" w:rsidRPr="006B18EC" w:rsidRDefault="00961C6F" w:rsidP="00DF2EA6">
            <w:pPr>
              <w:autoSpaceDE w:val="0"/>
              <w:autoSpaceDN w:val="0"/>
              <w:adjustRightInd w:val="0"/>
              <w:ind w:right="10"/>
              <w:jc w:val="right"/>
              <w:rPr>
                <w:rFonts w:ascii="Times New Roman" w:hAnsi="Times New Roman" w:cs="Times New Roman"/>
                <w:color w:val="000000"/>
                <w:sz w:val="20"/>
                <w:szCs w:val="20"/>
              </w:rPr>
            </w:pPr>
            <w:r w:rsidRPr="006B18EC">
              <w:rPr>
                <w:rFonts w:ascii="Times New Roman" w:hAnsi="Times New Roman" w:cs="Times New Roman"/>
                <w:color w:val="000000"/>
                <w:sz w:val="20"/>
                <w:szCs w:val="20"/>
              </w:rPr>
              <w:t>0.475168</w:t>
            </w:r>
          </w:p>
        </w:tc>
        <w:tc>
          <w:tcPr>
            <w:tcW w:w="2415" w:type="dxa"/>
            <w:gridSpan w:val="2"/>
          </w:tcPr>
          <w:p w14:paraId="5E211790" w14:textId="77777777" w:rsidR="00961C6F" w:rsidRPr="006B18EC" w:rsidRDefault="00961C6F" w:rsidP="00DF2EA6">
            <w:pPr>
              <w:autoSpaceDE w:val="0"/>
              <w:autoSpaceDN w:val="0"/>
              <w:adjustRightInd w:val="0"/>
              <w:ind w:right="10"/>
              <w:rPr>
                <w:rFonts w:ascii="Times New Roman" w:hAnsi="Times New Roman" w:cs="Times New Roman"/>
                <w:color w:val="000000"/>
                <w:sz w:val="20"/>
                <w:szCs w:val="20"/>
              </w:rPr>
            </w:pPr>
            <w:r w:rsidRPr="006B18EC">
              <w:rPr>
                <w:rFonts w:ascii="Times New Roman" w:hAnsi="Times New Roman" w:cs="Times New Roman"/>
                <w:color w:val="000000"/>
                <w:sz w:val="20"/>
                <w:szCs w:val="20"/>
              </w:rPr>
              <w:t xml:space="preserve">    Prob. </w:t>
            </w:r>
            <w:proofErr w:type="gramStart"/>
            <w:r w:rsidRPr="006B18EC">
              <w:rPr>
                <w:rFonts w:ascii="Times New Roman" w:hAnsi="Times New Roman" w:cs="Times New Roman"/>
                <w:color w:val="000000"/>
                <w:sz w:val="20"/>
                <w:szCs w:val="20"/>
              </w:rPr>
              <w:t>F(</w:t>
            </w:r>
            <w:proofErr w:type="gramEnd"/>
            <w:r w:rsidRPr="006B18EC">
              <w:rPr>
                <w:rFonts w:ascii="Times New Roman" w:hAnsi="Times New Roman" w:cs="Times New Roman"/>
                <w:color w:val="000000"/>
                <w:sz w:val="20"/>
                <w:szCs w:val="20"/>
              </w:rPr>
              <w:t>13,18)</w:t>
            </w:r>
          </w:p>
        </w:tc>
        <w:tc>
          <w:tcPr>
            <w:tcW w:w="997" w:type="dxa"/>
          </w:tcPr>
          <w:p w14:paraId="3691D78A" w14:textId="77777777" w:rsidR="00961C6F" w:rsidRPr="006B18EC" w:rsidRDefault="00961C6F" w:rsidP="00DF2EA6">
            <w:pPr>
              <w:autoSpaceDE w:val="0"/>
              <w:autoSpaceDN w:val="0"/>
              <w:adjustRightInd w:val="0"/>
              <w:ind w:right="10"/>
              <w:jc w:val="right"/>
              <w:rPr>
                <w:rFonts w:ascii="Times New Roman" w:hAnsi="Times New Roman" w:cs="Times New Roman"/>
                <w:color w:val="000000"/>
                <w:sz w:val="20"/>
                <w:szCs w:val="20"/>
              </w:rPr>
            </w:pPr>
            <w:r w:rsidRPr="006B18EC">
              <w:rPr>
                <w:rFonts w:ascii="Times New Roman" w:hAnsi="Times New Roman" w:cs="Times New Roman"/>
                <w:color w:val="000000"/>
                <w:sz w:val="20"/>
                <w:szCs w:val="20"/>
              </w:rPr>
              <w:t>0.9119</w:t>
            </w:r>
          </w:p>
        </w:tc>
      </w:tr>
      <w:tr w:rsidR="00961C6F" w:rsidRPr="006B18EC" w14:paraId="58527AB5" w14:textId="77777777" w:rsidTr="006B18EC">
        <w:trPr>
          <w:trHeight w:val="225"/>
          <w:jc w:val="center"/>
        </w:trPr>
        <w:tc>
          <w:tcPr>
            <w:tcW w:w="1927" w:type="dxa"/>
          </w:tcPr>
          <w:p w14:paraId="5BB5B280" w14:textId="77777777" w:rsidR="00961C6F" w:rsidRPr="006B18EC" w:rsidRDefault="00961C6F" w:rsidP="00DF2EA6">
            <w:pPr>
              <w:autoSpaceDE w:val="0"/>
              <w:autoSpaceDN w:val="0"/>
              <w:adjustRightInd w:val="0"/>
              <w:rPr>
                <w:rFonts w:ascii="Times New Roman" w:hAnsi="Times New Roman" w:cs="Times New Roman"/>
                <w:color w:val="000000"/>
                <w:sz w:val="20"/>
                <w:szCs w:val="20"/>
              </w:rPr>
            </w:pPr>
            <w:proofErr w:type="spellStart"/>
            <w:r w:rsidRPr="006B18EC">
              <w:rPr>
                <w:rFonts w:ascii="Times New Roman" w:hAnsi="Times New Roman" w:cs="Times New Roman"/>
                <w:color w:val="000000"/>
                <w:sz w:val="20"/>
                <w:szCs w:val="20"/>
              </w:rPr>
              <w:t>Obs</w:t>
            </w:r>
            <w:proofErr w:type="spellEnd"/>
            <w:r w:rsidRPr="006B18EC">
              <w:rPr>
                <w:rFonts w:ascii="Times New Roman" w:hAnsi="Times New Roman" w:cs="Times New Roman"/>
                <w:color w:val="000000"/>
                <w:sz w:val="20"/>
                <w:szCs w:val="20"/>
              </w:rPr>
              <w:t>*R-squared</w:t>
            </w:r>
          </w:p>
        </w:tc>
        <w:tc>
          <w:tcPr>
            <w:tcW w:w="1103" w:type="dxa"/>
          </w:tcPr>
          <w:p w14:paraId="648DC84B" w14:textId="77777777" w:rsidR="00961C6F" w:rsidRPr="006B18EC" w:rsidRDefault="00961C6F" w:rsidP="00DF2EA6">
            <w:pPr>
              <w:autoSpaceDE w:val="0"/>
              <w:autoSpaceDN w:val="0"/>
              <w:adjustRightInd w:val="0"/>
              <w:ind w:right="10"/>
              <w:jc w:val="right"/>
              <w:rPr>
                <w:rFonts w:ascii="Times New Roman" w:hAnsi="Times New Roman" w:cs="Times New Roman"/>
                <w:color w:val="000000"/>
                <w:sz w:val="20"/>
                <w:szCs w:val="20"/>
              </w:rPr>
            </w:pPr>
            <w:r w:rsidRPr="006B18EC">
              <w:rPr>
                <w:rFonts w:ascii="Times New Roman" w:hAnsi="Times New Roman" w:cs="Times New Roman"/>
                <w:color w:val="000000"/>
                <w:sz w:val="20"/>
                <w:szCs w:val="20"/>
              </w:rPr>
              <w:t>8.175880</w:t>
            </w:r>
          </w:p>
        </w:tc>
        <w:tc>
          <w:tcPr>
            <w:tcW w:w="2415" w:type="dxa"/>
            <w:gridSpan w:val="2"/>
          </w:tcPr>
          <w:p w14:paraId="2E49BF63" w14:textId="77777777" w:rsidR="00961C6F" w:rsidRPr="006B18EC" w:rsidRDefault="00961C6F" w:rsidP="00DF2EA6">
            <w:pPr>
              <w:autoSpaceDE w:val="0"/>
              <w:autoSpaceDN w:val="0"/>
              <w:adjustRightInd w:val="0"/>
              <w:ind w:right="10"/>
              <w:rPr>
                <w:rFonts w:ascii="Times New Roman" w:hAnsi="Times New Roman" w:cs="Times New Roman"/>
                <w:color w:val="000000"/>
                <w:sz w:val="20"/>
                <w:szCs w:val="20"/>
              </w:rPr>
            </w:pPr>
            <w:r w:rsidRPr="006B18EC">
              <w:rPr>
                <w:rFonts w:ascii="Times New Roman" w:hAnsi="Times New Roman" w:cs="Times New Roman"/>
                <w:color w:val="000000"/>
                <w:sz w:val="20"/>
                <w:szCs w:val="20"/>
              </w:rPr>
              <w:t>    Prob. Chi-</w:t>
            </w:r>
            <w:proofErr w:type="gramStart"/>
            <w:r w:rsidRPr="006B18EC">
              <w:rPr>
                <w:rFonts w:ascii="Times New Roman" w:hAnsi="Times New Roman" w:cs="Times New Roman"/>
                <w:color w:val="000000"/>
                <w:sz w:val="20"/>
                <w:szCs w:val="20"/>
              </w:rPr>
              <w:t>Square(</w:t>
            </w:r>
            <w:proofErr w:type="gramEnd"/>
            <w:r w:rsidRPr="006B18EC">
              <w:rPr>
                <w:rFonts w:ascii="Times New Roman" w:hAnsi="Times New Roman" w:cs="Times New Roman"/>
                <w:color w:val="000000"/>
                <w:sz w:val="20"/>
                <w:szCs w:val="20"/>
              </w:rPr>
              <w:t>13)</w:t>
            </w:r>
          </w:p>
        </w:tc>
        <w:tc>
          <w:tcPr>
            <w:tcW w:w="997" w:type="dxa"/>
          </w:tcPr>
          <w:p w14:paraId="5E400025" w14:textId="77777777" w:rsidR="00961C6F" w:rsidRPr="006B18EC" w:rsidRDefault="00961C6F" w:rsidP="00DF2EA6">
            <w:pPr>
              <w:autoSpaceDE w:val="0"/>
              <w:autoSpaceDN w:val="0"/>
              <w:adjustRightInd w:val="0"/>
              <w:ind w:right="10"/>
              <w:jc w:val="right"/>
              <w:rPr>
                <w:rFonts w:ascii="Times New Roman" w:hAnsi="Times New Roman" w:cs="Times New Roman"/>
                <w:color w:val="000000"/>
                <w:sz w:val="20"/>
                <w:szCs w:val="20"/>
              </w:rPr>
            </w:pPr>
            <w:r w:rsidRPr="006B18EC">
              <w:rPr>
                <w:rFonts w:ascii="Times New Roman" w:hAnsi="Times New Roman" w:cs="Times New Roman"/>
                <w:color w:val="000000"/>
                <w:sz w:val="20"/>
                <w:szCs w:val="20"/>
              </w:rPr>
              <w:t>0.8320</w:t>
            </w:r>
          </w:p>
        </w:tc>
      </w:tr>
      <w:tr w:rsidR="00961C6F" w:rsidRPr="006B18EC" w14:paraId="1379C1F2" w14:textId="77777777" w:rsidTr="006B18EC">
        <w:trPr>
          <w:trHeight w:val="225"/>
          <w:jc w:val="center"/>
        </w:trPr>
        <w:tc>
          <w:tcPr>
            <w:tcW w:w="1927" w:type="dxa"/>
          </w:tcPr>
          <w:p w14:paraId="6F3A67D7" w14:textId="77777777" w:rsidR="00961C6F" w:rsidRPr="006B18EC" w:rsidRDefault="00961C6F" w:rsidP="00DF2EA6">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Scaled explained SS</w:t>
            </w:r>
          </w:p>
        </w:tc>
        <w:tc>
          <w:tcPr>
            <w:tcW w:w="1103" w:type="dxa"/>
          </w:tcPr>
          <w:p w14:paraId="2EAE8723" w14:textId="77777777" w:rsidR="00961C6F" w:rsidRPr="006B18EC" w:rsidRDefault="00961C6F" w:rsidP="00DF2EA6">
            <w:pPr>
              <w:autoSpaceDE w:val="0"/>
              <w:autoSpaceDN w:val="0"/>
              <w:adjustRightInd w:val="0"/>
              <w:ind w:right="10"/>
              <w:jc w:val="right"/>
              <w:rPr>
                <w:rFonts w:ascii="Times New Roman" w:hAnsi="Times New Roman" w:cs="Times New Roman"/>
                <w:color w:val="000000"/>
                <w:sz w:val="20"/>
                <w:szCs w:val="20"/>
              </w:rPr>
            </w:pPr>
            <w:r w:rsidRPr="006B18EC">
              <w:rPr>
                <w:rFonts w:ascii="Times New Roman" w:hAnsi="Times New Roman" w:cs="Times New Roman"/>
                <w:color w:val="000000"/>
                <w:sz w:val="20"/>
                <w:szCs w:val="20"/>
              </w:rPr>
              <w:t>6.477102</w:t>
            </w:r>
          </w:p>
        </w:tc>
        <w:tc>
          <w:tcPr>
            <w:tcW w:w="2415" w:type="dxa"/>
            <w:gridSpan w:val="2"/>
          </w:tcPr>
          <w:p w14:paraId="78831012" w14:textId="77777777" w:rsidR="00961C6F" w:rsidRPr="006B18EC" w:rsidRDefault="00961C6F" w:rsidP="00DF2EA6">
            <w:pPr>
              <w:autoSpaceDE w:val="0"/>
              <w:autoSpaceDN w:val="0"/>
              <w:adjustRightInd w:val="0"/>
              <w:ind w:right="10"/>
              <w:rPr>
                <w:rFonts w:ascii="Times New Roman" w:hAnsi="Times New Roman" w:cs="Times New Roman"/>
                <w:color w:val="000000"/>
                <w:sz w:val="20"/>
                <w:szCs w:val="20"/>
              </w:rPr>
            </w:pPr>
            <w:r w:rsidRPr="006B18EC">
              <w:rPr>
                <w:rFonts w:ascii="Times New Roman" w:hAnsi="Times New Roman" w:cs="Times New Roman"/>
                <w:color w:val="000000"/>
                <w:sz w:val="20"/>
                <w:szCs w:val="20"/>
              </w:rPr>
              <w:t>    Prob. Chi-</w:t>
            </w:r>
            <w:proofErr w:type="gramStart"/>
            <w:r w:rsidRPr="006B18EC">
              <w:rPr>
                <w:rFonts w:ascii="Times New Roman" w:hAnsi="Times New Roman" w:cs="Times New Roman"/>
                <w:color w:val="000000"/>
                <w:sz w:val="20"/>
                <w:szCs w:val="20"/>
              </w:rPr>
              <w:t>Square(</w:t>
            </w:r>
            <w:proofErr w:type="gramEnd"/>
            <w:r w:rsidRPr="006B18EC">
              <w:rPr>
                <w:rFonts w:ascii="Times New Roman" w:hAnsi="Times New Roman" w:cs="Times New Roman"/>
                <w:color w:val="000000"/>
                <w:sz w:val="20"/>
                <w:szCs w:val="20"/>
              </w:rPr>
              <w:t>13)</w:t>
            </w:r>
          </w:p>
        </w:tc>
        <w:tc>
          <w:tcPr>
            <w:tcW w:w="997" w:type="dxa"/>
          </w:tcPr>
          <w:p w14:paraId="570C71E2" w14:textId="77777777" w:rsidR="00961C6F" w:rsidRPr="006B18EC" w:rsidRDefault="00961C6F" w:rsidP="00DF2EA6">
            <w:pPr>
              <w:autoSpaceDE w:val="0"/>
              <w:autoSpaceDN w:val="0"/>
              <w:adjustRightInd w:val="0"/>
              <w:ind w:right="10"/>
              <w:jc w:val="right"/>
              <w:rPr>
                <w:rFonts w:ascii="Times New Roman" w:hAnsi="Times New Roman" w:cs="Times New Roman"/>
                <w:color w:val="000000"/>
                <w:sz w:val="20"/>
                <w:szCs w:val="20"/>
              </w:rPr>
            </w:pPr>
            <w:r w:rsidRPr="006B18EC">
              <w:rPr>
                <w:rFonts w:ascii="Times New Roman" w:hAnsi="Times New Roman" w:cs="Times New Roman"/>
                <w:color w:val="000000"/>
                <w:sz w:val="20"/>
                <w:szCs w:val="20"/>
              </w:rPr>
              <w:t>0.9271</w:t>
            </w:r>
          </w:p>
        </w:tc>
      </w:tr>
      <w:tr w:rsidR="00961C6F" w:rsidRPr="006B18EC" w14:paraId="24B4ED7A" w14:textId="77777777" w:rsidTr="006B18EC">
        <w:trPr>
          <w:trHeight w:hRule="exact" w:val="90"/>
          <w:jc w:val="center"/>
        </w:trPr>
        <w:tc>
          <w:tcPr>
            <w:tcW w:w="1927" w:type="dxa"/>
          </w:tcPr>
          <w:p w14:paraId="41122865"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103" w:type="dxa"/>
          </w:tcPr>
          <w:p w14:paraId="70A48F78"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207" w:type="dxa"/>
          </w:tcPr>
          <w:p w14:paraId="7420D432"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1208" w:type="dxa"/>
          </w:tcPr>
          <w:p w14:paraId="2A7967B2"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c>
          <w:tcPr>
            <w:tcW w:w="997" w:type="dxa"/>
          </w:tcPr>
          <w:p w14:paraId="0E8BCFF0" w14:textId="77777777" w:rsidR="00961C6F" w:rsidRPr="006B18EC" w:rsidRDefault="00961C6F" w:rsidP="00DF2EA6">
            <w:pPr>
              <w:autoSpaceDE w:val="0"/>
              <w:autoSpaceDN w:val="0"/>
              <w:adjustRightInd w:val="0"/>
              <w:jc w:val="center"/>
              <w:rPr>
                <w:rFonts w:ascii="Times New Roman" w:hAnsi="Times New Roman" w:cs="Times New Roman"/>
                <w:color w:val="000000"/>
                <w:sz w:val="20"/>
                <w:szCs w:val="20"/>
              </w:rPr>
            </w:pPr>
          </w:p>
        </w:tc>
      </w:tr>
    </w:tbl>
    <w:p w14:paraId="4DFE2F58" w14:textId="33AAA6D4" w:rsidR="00961C6F" w:rsidRDefault="0004709A" w:rsidP="0004709A">
      <w:pPr>
        <w:spacing w:after="0" w:line="240" w:lineRule="auto"/>
        <w:ind w:firstLine="720"/>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961C6F" w:rsidRPr="00E3448E">
        <w:rPr>
          <w:rFonts w:ascii="Times New Roman" w:eastAsia="Times New Roman" w:hAnsi="Times New Roman" w:cs="Times New Roman"/>
          <w:b/>
          <w:bCs/>
          <w:sz w:val="20"/>
          <w:szCs w:val="20"/>
          <w:lang w:eastAsia="en-GB"/>
        </w:rPr>
        <w:t>Source: Authors determined</w:t>
      </w:r>
      <w:r w:rsidR="00961C6F">
        <w:rPr>
          <w:rFonts w:ascii="Times New Roman" w:eastAsia="Times New Roman" w:hAnsi="Times New Roman" w:cs="Times New Roman"/>
          <w:b/>
          <w:bCs/>
          <w:sz w:val="20"/>
          <w:szCs w:val="20"/>
          <w:lang w:eastAsia="en-GB"/>
        </w:rPr>
        <w:t xml:space="preserve"> using </w:t>
      </w:r>
      <w:proofErr w:type="spellStart"/>
      <w:r w:rsidR="00961C6F">
        <w:rPr>
          <w:rFonts w:ascii="Times New Roman" w:eastAsia="Times New Roman" w:hAnsi="Times New Roman" w:cs="Times New Roman"/>
          <w:b/>
          <w:bCs/>
          <w:sz w:val="20"/>
          <w:szCs w:val="20"/>
          <w:lang w:eastAsia="en-GB"/>
        </w:rPr>
        <w:t>Eviews</w:t>
      </w:r>
      <w:proofErr w:type="spellEnd"/>
      <w:r w:rsidR="00961C6F">
        <w:rPr>
          <w:rFonts w:ascii="Times New Roman" w:eastAsia="Times New Roman" w:hAnsi="Times New Roman" w:cs="Times New Roman"/>
          <w:b/>
          <w:bCs/>
          <w:sz w:val="20"/>
          <w:szCs w:val="20"/>
          <w:lang w:eastAsia="en-GB"/>
        </w:rPr>
        <w:t xml:space="preserve"> 12, 2026</w:t>
      </w:r>
    </w:p>
    <w:p w14:paraId="40AD21F1" w14:textId="0351F08B" w:rsidR="00961C6F" w:rsidRPr="00603FA3" w:rsidRDefault="00603FA3" w:rsidP="00603FA3">
      <w:pPr>
        <w:spacing w:before="240"/>
        <w:jc w:val="both"/>
        <w:rPr>
          <w:rFonts w:ascii="Times New Roman" w:hAnsi="Times New Roman" w:cs="Times New Roman"/>
          <w:sz w:val="24"/>
          <w:szCs w:val="24"/>
        </w:rPr>
      </w:pPr>
      <w:r w:rsidRPr="00603FA3">
        <w:rPr>
          <w:rFonts w:ascii="Times New Roman" w:hAnsi="Times New Roman" w:cs="Times New Roman"/>
          <w:sz w:val="24"/>
          <w:szCs w:val="24"/>
        </w:rPr>
        <w:t>The Breusch–Pagan–Godfrey Heteroskedasticity Test results show high probability values (p &gt; 0.05), indicating the absence of heteroskedasticity. This implies that the variance of the residuals is constant across observations. Consequently, the model estimates are efficient and reliable, strengthening the validity of the NARDL results on energy poverty and household welfare.</w:t>
      </w:r>
    </w:p>
    <w:p w14:paraId="49032E70" w14:textId="67BCBA9F" w:rsidR="00961C6F" w:rsidRDefault="00961C6F" w:rsidP="006B18EC">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8: </w:t>
      </w:r>
      <w:r w:rsidRPr="00961C6F">
        <w:rPr>
          <w:rFonts w:ascii="Times New Roman" w:hAnsi="Times New Roman" w:cs="Times New Roman"/>
          <w:b/>
          <w:bCs/>
          <w:sz w:val="24"/>
          <w:szCs w:val="24"/>
        </w:rPr>
        <w:t>Ramsey RESET Test</w:t>
      </w:r>
    </w:p>
    <w:tbl>
      <w:tblPr>
        <w:tblStyle w:val="PlainTable2"/>
        <w:tblW w:w="0" w:type="auto"/>
        <w:jc w:val="center"/>
        <w:tblLayout w:type="fixed"/>
        <w:tblLook w:val="0600" w:firstRow="0" w:lastRow="0" w:firstColumn="0" w:lastColumn="0" w:noHBand="1" w:noVBand="1"/>
      </w:tblPr>
      <w:tblGrid>
        <w:gridCol w:w="2122"/>
        <w:gridCol w:w="1050"/>
        <w:gridCol w:w="1155"/>
        <w:gridCol w:w="1253"/>
        <w:gridCol w:w="236"/>
      </w:tblGrid>
      <w:tr w:rsidR="00961C6F" w:rsidRPr="006B18EC" w14:paraId="23493C1D" w14:textId="77777777" w:rsidTr="00A43554">
        <w:trPr>
          <w:trHeight w:hRule="exact" w:val="90"/>
          <w:jc w:val="center"/>
        </w:trPr>
        <w:tc>
          <w:tcPr>
            <w:tcW w:w="2122" w:type="dxa"/>
          </w:tcPr>
          <w:p w14:paraId="1B682099"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050" w:type="dxa"/>
          </w:tcPr>
          <w:p w14:paraId="04B7421C"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155" w:type="dxa"/>
          </w:tcPr>
          <w:p w14:paraId="056FEC50"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253" w:type="dxa"/>
          </w:tcPr>
          <w:p w14:paraId="31C97F1F"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1A1E9BBC"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40B78D5F" w14:textId="77777777" w:rsidTr="00A43554">
        <w:trPr>
          <w:trHeight w:hRule="exact" w:val="135"/>
          <w:jc w:val="center"/>
        </w:trPr>
        <w:tc>
          <w:tcPr>
            <w:tcW w:w="2122" w:type="dxa"/>
          </w:tcPr>
          <w:p w14:paraId="4B93DC95"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050" w:type="dxa"/>
          </w:tcPr>
          <w:p w14:paraId="028214E0"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155" w:type="dxa"/>
          </w:tcPr>
          <w:p w14:paraId="5367998F"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253" w:type="dxa"/>
          </w:tcPr>
          <w:p w14:paraId="487AE808"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2E2446A9"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31C9C09E" w14:textId="77777777" w:rsidTr="00A43554">
        <w:trPr>
          <w:trHeight w:val="225"/>
          <w:jc w:val="center"/>
        </w:trPr>
        <w:tc>
          <w:tcPr>
            <w:tcW w:w="2122" w:type="dxa"/>
          </w:tcPr>
          <w:p w14:paraId="5CB75664"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050" w:type="dxa"/>
          </w:tcPr>
          <w:p w14:paraId="007A3537" w14:textId="77777777" w:rsidR="00961C6F" w:rsidRPr="00A43554" w:rsidRDefault="00961C6F" w:rsidP="006B18EC">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Value</w:t>
            </w:r>
          </w:p>
        </w:tc>
        <w:tc>
          <w:tcPr>
            <w:tcW w:w="1155" w:type="dxa"/>
          </w:tcPr>
          <w:p w14:paraId="6B582E42" w14:textId="77777777" w:rsidR="00961C6F" w:rsidRPr="00A43554" w:rsidRDefault="00961C6F" w:rsidP="006B18EC">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df</w:t>
            </w:r>
          </w:p>
        </w:tc>
        <w:tc>
          <w:tcPr>
            <w:tcW w:w="1253" w:type="dxa"/>
          </w:tcPr>
          <w:p w14:paraId="30F38B6C" w14:textId="77777777" w:rsidR="00961C6F" w:rsidRPr="00A43554" w:rsidRDefault="00961C6F" w:rsidP="006B18EC">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Probability</w:t>
            </w:r>
          </w:p>
        </w:tc>
        <w:tc>
          <w:tcPr>
            <w:tcW w:w="236" w:type="dxa"/>
          </w:tcPr>
          <w:p w14:paraId="0A386D67"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5544BB6A" w14:textId="77777777" w:rsidTr="00A43554">
        <w:trPr>
          <w:trHeight w:val="225"/>
          <w:jc w:val="center"/>
        </w:trPr>
        <w:tc>
          <w:tcPr>
            <w:tcW w:w="2122" w:type="dxa"/>
          </w:tcPr>
          <w:p w14:paraId="23EF29B8"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t-statistic</w:t>
            </w:r>
          </w:p>
        </w:tc>
        <w:tc>
          <w:tcPr>
            <w:tcW w:w="1050" w:type="dxa"/>
          </w:tcPr>
          <w:p w14:paraId="292033CA"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0.075241</w:t>
            </w:r>
          </w:p>
        </w:tc>
        <w:tc>
          <w:tcPr>
            <w:tcW w:w="1155" w:type="dxa"/>
          </w:tcPr>
          <w:p w14:paraId="536F8BD9"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18</w:t>
            </w:r>
          </w:p>
        </w:tc>
        <w:tc>
          <w:tcPr>
            <w:tcW w:w="1253" w:type="dxa"/>
          </w:tcPr>
          <w:p w14:paraId="7954D7E6"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0.9409</w:t>
            </w:r>
          </w:p>
        </w:tc>
        <w:tc>
          <w:tcPr>
            <w:tcW w:w="236" w:type="dxa"/>
          </w:tcPr>
          <w:p w14:paraId="46EB8B1D"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3FEFC319" w14:textId="77777777" w:rsidTr="00A43554">
        <w:trPr>
          <w:trHeight w:val="225"/>
          <w:jc w:val="center"/>
        </w:trPr>
        <w:tc>
          <w:tcPr>
            <w:tcW w:w="2122" w:type="dxa"/>
          </w:tcPr>
          <w:p w14:paraId="48D6B038"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F-statistic</w:t>
            </w:r>
          </w:p>
        </w:tc>
        <w:tc>
          <w:tcPr>
            <w:tcW w:w="1050" w:type="dxa"/>
          </w:tcPr>
          <w:p w14:paraId="6F331E98"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0.005661</w:t>
            </w:r>
          </w:p>
        </w:tc>
        <w:tc>
          <w:tcPr>
            <w:tcW w:w="1155" w:type="dxa"/>
          </w:tcPr>
          <w:p w14:paraId="1729ADA6"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(1, 18)</w:t>
            </w:r>
          </w:p>
        </w:tc>
        <w:tc>
          <w:tcPr>
            <w:tcW w:w="1253" w:type="dxa"/>
          </w:tcPr>
          <w:p w14:paraId="34F779AB"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0.9409</w:t>
            </w:r>
          </w:p>
        </w:tc>
        <w:tc>
          <w:tcPr>
            <w:tcW w:w="236" w:type="dxa"/>
          </w:tcPr>
          <w:p w14:paraId="15037016"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6CB36373" w14:textId="77777777" w:rsidTr="00A43554">
        <w:trPr>
          <w:trHeight w:val="225"/>
          <w:jc w:val="center"/>
        </w:trPr>
        <w:tc>
          <w:tcPr>
            <w:tcW w:w="2122" w:type="dxa"/>
          </w:tcPr>
          <w:p w14:paraId="6C1C7E61"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Likelihood ratio</w:t>
            </w:r>
          </w:p>
        </w:tc>
        <w:tc>
          <w:tcPr>
            <w:tcW w:w="1050" w:type="dxa"/>
          </w:tcPr>
          <w:p w14:paraId="1C294973"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0.010063</w:t>
            </w:r>
          </w:p>
        </w:tc>
        <w:tc>
          <w:tcPr>
            <w:tcW w:w="1155" w:type="dxa"/>
          </w:tcPr>
          <w:p w14:paraId="76F37E24"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1</w:t>
            </w:r>
          </w:p>
        </w:tc>
        <w:tc>
          <w:tcPr>
            <w:tcW w:w="1253" w:type="dxa"/>
          </w:tcPr>
          <w:p w14:paraId="763B2236"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0.9201</w:t>
            </w:r>
          </w:p>
        </w:tc>
        <w:tc>
          <w:tcPr>
            <w:tcW w:w="236" w:type="dxa"/>
          </w:tcPr>
          <w:p w14:paraId="559C6AA0"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145AE7E9" w14:textId="77777777" w:rsidTr="00A43554">
        <w:trPr>
          <w:trHeight w:hRule="exact" w:val="90"/>
          <w:jc w:val="center"/>
        </w:trPr>
        <w:tc>
          <w:tcPr>
            <w:tcW w:w="2122" w:type="dxa"/>
          </w:tcPr>
          <w:p w14:paraId="38FB1F20"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050" w:type="dxa"/>
          </w:tcPr>
          <w:p w14:paraId="14E5DB48"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155" w:type="dxa"/>
          </w:tcPr>
          <w:p w14:paraId="511A05AA"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253" w:type="dxa"/>
          </w:tcPr>
          <w:p w14:paraId="6E58208C"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45E59A3D"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408621A8" w14:textId="77777777" w:rsidTr="00A43554">
        <w:trPr>
          <w:trHeight w:hRule="exact" w:val="135"/>
          <w:jc w:val="center"/>
        </w:trPr>
        <w:tc>
          <w:tcPr>
            <w:tcW w:w="2122" w:type="dxa"/>
          </w:tcPr>
          <w:p w14:paraId="7E7F8FA3"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050" w:type="dxa"/>
          </w:tcPr>
          <w:p w14:paraId="7EB650AE"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155" w:type="dxa"/>
          </w:tcPr>
          <w:p w14:paraId="334215C7"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253" w:type="dxa"/>
          </w:tcPr>
          <w:p w14:paraId="094A42CC"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00F134E0"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2C55A457" w14:textId="77777777" w:rsidTr="00A43554">
        <w:trPr>
          <w:trHeight w:val="225"/>
          <w:jc w:val="center"/>
        </w:trPr>
        <w:tc>
          <w:tcPr>
            <w:tcW w:w="4327" w:type="dxa"/>
            <w:gridSpan w:val="3"/>
          </w:tcPr>
          <w:p w14:paraId="74C61148" w14:textId="77777777" w:rsidR="00961C6F" w:rsidRPr="00A43554" w:rsidRDefault="00961C6F" w:rsidP="00A43554">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F-test summary:</w:t>
            </w:r>
          </w:p>
        </w:tc>
        <w:tc>
          <w:tcPr>
            <w:tcW w:w="1253" w:type="dxa"/>
          </w:tcPr>
          <w:p w14:paraId="6D91E7FF"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117E10C2"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34A55AEF" w14:textId="77777777" w:rsidTr="00A43554">
        <w:trPr>
          <w:trHeight w:val="225"/>
          <w:jc w:val="center"/>
        </w:trPr>
        <w:tc>
          <w:tcPr>
            <w:tcW w:w="2122" w:type="dxa"/>
          </w:tcPr>
          <w:p w14:paraId="6C8E6A7B"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050" w:type="dxa"/>
          </w:tcPr>
          <w:p w14:paraId="2E97D876" w14:textId="77777777" w:rsidR="00961C6F" w:rsidRPr="00A43554" w:rsidRDefault="00961C6F" w:rsidP="006B18EC">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Sum of Sq.</w:t>
            </w:r>
          </w:p>
        </w:tc>
        <w:tc>
          <w:tcPr>
            <w:tcW w:w="1155" w:type="dxa"/>
          </w:tcPr>
          <w:p w14:paraId="1257F060" w14:textId="77777777" w:rsidR="00961C6F" w:rsidRPr="00A43554" w:rsidRDefault="00961C6F" w:rsidP="006B18EC">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df</w:t>
            </w:r>
          </w:p>
        </w:tc>
        <w:tc>
          <w:tcPr>
            <w:tcW w:w="1253" w:type="dxa"/>
          </w:tcPr>
          <w:p w14:paraId="52AD4D9E" w14:textId="77777777" w:rsidR="00961C6F" w:rsidRPr="00A43554" w:rsidRDefault="00961C6F" w:rsidP="006B18EC">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Mean Squares</w:t>
            </w:r>
          </w:p>
        </w:tc>
        <w:tc>
          <w:tcPr>
            <w:tcW w:w="236" w:type="dxa"/>
          </w:tcPr>
          <w:p w14:paraId="5D878FD2"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36DD057E" w14:textId="77777777" w:rsidTr="00A43554">
        <w:trPr>
          <w:trHeight w:val="225"/>
          <w:jc w:val="center"/>
        </w:trPr>
        <w:tc>
          <w:tcPr>
            <w:tcW w:w="2122" w:type="dxa"/>
          </w:tcPr>
          <w:p w14:paraId="469E4F07"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Test SSR</w:t>
            </w:r>
          </w:p>
        </w:tc>
        <w:tc>
          <w:tcPr>
            <w:tcW w:w="1050" w:type="dxa"/>
          </w:tcPr>
          <w:p w14:paraId="424A8EF8"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2.85E-06</w:t>
            </w:r>
          </w:p>
        </w:tc>
        <w:tc>
          <w:tcPr>
            <w:tcW w:w="1155" w:type="dxa"/>
          </w:tcPr>
          <w:p w14:paraId="415B8840"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1</w:t>
            </w:r>
          </w:p>
        </w:tc>
        <w:tc>
          <w:tcPr>
            <w:tcW w:w="1253" w:type="dxa"/>
          </w:tcPr>
          <w:p w14:paraId="6F86D604"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2.85E-06</w:t>
            </w:r>
          </w:p>
        </w:tc>
        <w:tc>
          <w:tcPr>
            <w:tcW w:w="236" w:type="dxa"/>
          </w:tcPr>
          <w:p w14:paraId="22CD3E55"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2F3A8634" w14:textId="77777777" w:rsidTr="00A43554">
        <w:trPr>
          <w:trHeight w:val="225"/>
          <w:jc w:val="center"/>
        </w:trPr>
        <w:tc>
          <w:tcPr>
            <w:tcW w:w="2122" w:type="dxa"/>
          </w:tcPr>
          <w:p w14:paraId="5828789B"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Restricted SSR</w:t>
            </w:r>
          </w:p>
        </w:tc>
        <w:tc>
          <w:tcPr>
            <w:tcW w:w="1050" w:type="dxa"/>
          </w:tcPr>
          <w:p w14:paraId="23A7B73D"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0.009056</w:t>
            </w:r>
          </w:p>
        </w:tc>
        <w:tc>
          <w:tcPr>
            <w:tcW w:w="1155" w:type="dxa"/>
          </w:tcPr>
          <w:p w14:paraId="742D6C55"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19</w:t>
            </w:r>
          </w:p>
        </w:tc>
        <w:tc>
          <w:tcPr>
            <w:tcW w:w="1253" w:type="dxa"/>
          </w:tcPr>
          <w:p w14:paraId="0DA1FC88"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0.000477</w:t>
            </w:r>
          </w:p>
        </w:tc>
        <w:tc>
          <w:tcPr>
            <w:tcW w:w="236" w:type="dxa"/>
          </w:tcPr>
          <w:p w14:paraId="1A61A66E"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00B8BAAA" w14:textId="77777777" w:rsidTr="00A43554">
        <w:trPr>
          <w:trHeight w:val="225"/>
          <w:jc w:val="center"/>
        </w:trPr>
        <w:tc>
          <w:tcPr>
            <w:tcW w:w="2122" w:type="dxa"/>
          </w:tcPr>
          <w:p w14:paraId="733B543A"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Unrestricted SSR</w:t>
            </w:r>
          </w:p>
        </w:tc>
        <w:tc>
          <w:tcPr>
            <w:tcW w:w="1050" w:type="dxa"/>
          </w:tcPr>
          <w:p w14:paraId="461B1F05"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0.009053</w:t>
            </w:r>
          </w:p>
        </w:tc>
        <w:tc>
          <w:tcPr>
            <w:tcW w:w="1155" w:type="dxa"/>
          </w:tcPr>
          <w:p w14:paraId="1981D6AA"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18</w:t>
            </w:r>
          </w:p>
        </w:tc>
        <w:tc>
          <w:tcPr>
            <w:tcW w:w="1253" w:type="dxa"/>
          </w:tcPr>
          <w:p w14:paraId="2514F50D"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0.000503</w:t>
            </w:r>
          </w:p>
        </w:tc>
        <w:tc>
          <w:tcPr>
            <w:tcW w:w="236" w:type="dxa"/>
          </w:tcPr>
          <w:p w14:paraId="3009BD87"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62AEDBB2" w14:textId="77777777" w:rsidTr="00A43554">
        <w:trPr>
          <w:trHeight w:hRule="exact" w:val="90"/>
          <w:jc w:val="center"/>
        </w:trPr>
        <w:tc>
          <w:tcPr>
            <w:tcW w:w="2122" w:type="dxa"/>
          </w:tcPr>
          <w:p w14:paraId="49DDBE56"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050" w:type="dxa"/>
          </w:tcPr>
          <w:p w14:paraId="5ADBB405"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155" w:type="dxa"/>
          </w:tcPr>
          <w:p w14:paraId="399613C3"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253" w:type="dxa"/>
          </w:tcPr>
          <w:p w14:paraId="4D80E18D"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6459C386"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39778FF4" w14:textId="77777777" w:rsidTr="00A43554">
        <w:trPr>
          <w:trHeight w:hRule="exact" w:val="135"/>
          <w:jc w:val="center"/>
        </w:trPr>
        <w:tc>
          <w:tcPr>
            <w:tcW w:w="2122" w:type="dxa"/>
          </w:tcPr>
          <w:p w14:paraId="692F2AB5"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050" w:type="dxa"/>
          </w:tcPr>
          <w:p w14:paraId="518642EF"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155" w:type="dxa"/>
          </w:tcPr>
          <w:p w14:paraId="26C2BB38"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253" w:type="dxa"/>
          </w:tcPr>
          <w:p w14:paraId="17951881"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4DD9D971"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69267734" w14:textId="77777777" w:rsidTr="00A43554">
        <w:trPr>
          <w:trHeight w:val="225"/>
          <w:jc w:val="center"/>
        </w:trPr>
        <w:tc>
          <w:tcPr>
            <w:tcW w:w="4327" w:type="dxa"/>
            <w:gridSpan w:val="3"/>
          </w:tcPr>
          <w:p w14:paraId="3ADA5D8E" w14:textId="77777777" w:rsidR="00961C6F" w:rsidRPr="00A43554" w:rsidRDefault="00961C6F" w:rsidP="00A43554">
            <w:pPr>
              <w:autoSpaceDE w:val="0"/>
              <w:autoSpaceDN w:val="0"/>
              <w:adjustRightInd w:val="0"/>
              <w:jc w:val="center"/>
              <w:rPr>
                <w:rFonts w:ascii="Times New Roman" w:hAnsi="Times New Roman" w:cs="Times New Roman"/>
                <w:b/>
                <w:bCs/>
                <w:color w:val="000000"/>
                <w:sz w:val="20"/>
                <w:szCs w:val="20"/>
              </w:rPr>
            </w:pPr>
            <w:r w:rsidRPr="00A43554">
              <w:rPr>
                <w:rFonts w:ascii="Times New Roman" w:hAnsi="Times New Roman" w:cs="Times New Roman"/>
                <w:b/>
                <w:bCs/>
                <w:color w:val="000000"/>
                <w:sz w:val="20"/>
                <w:szCs w:val="20"/>
              </w:rPr>
              <w:t>LR test summary:</w:t>
            </w:r>
          </w:p>
        </w:tc>
        <w:tc>
          <w:tcPr>
            <w:tcW w:w="1253" w:type="dxa"/>
          </w:tcPr>
          <w:p w14:paraId="6643E939"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56572B56"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39A3CE36" w14:textId="77777777" w:rsidTr="00A43554">
        <w:trPr>
          <w:trHeight w:val="225"/>
          <w:jc w:val="center"/>
        </w:trPr>
        <w:tc>
          <w:tcPr>
            <w:tcW w:w="2122" w:type="dxa"/>
          </w:tcPr>
          <w:p w14:paraId="03B7F47D"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050" w:type="dxa"/>
          </w:tcPr>
          <w:p w14:paraId="432B16C8"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Value</w:t>
            </w:r>
          </w:p>
        </w:tc>
        <w:tc>
          <w:tcPr>
            <w:tcW w:w="1155" w:type="dxa"/>
          </w:tcPr>
          <w:p w14:paraId="6715D969"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253" w:type="dxa"/>
          </w:tcPr>
          <w:p w14:paraId="4C427A6B"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2D5F3C94"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3E719743" w14:textId="77777777" w:rsidTr="00A43554">
        <w:trPr>
          <w:trHeight w:val="225"/>
          <w:jc w:val="center"/>
        </w:trPr>
        <w:tc>
          <w:tcPr>
            <w:tcW w:w="2122" w:type="dxa"/>
          </w:tcPr>
          <w:p w14:paraId="5C2ABC4A"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Restricted LogL</w:t>
            </w:r>
          </w:p>
        </w:tc>
        <w:tc>
          <w:tcPr>
            <w:tcW w:w="1050" w:type="dxa"/>
          </w:tcPr>
          <w:p w14:paraId="6E865871"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85.31484</w:t>
            </w:r>
          </w:p>
        </w:tc>
        <w:tc>
          <w:tcPr>
            <w:tcW w:w="1155" w:type="dxa"/>
          </w:tcPr>
          <w:p w14:paraId="32FBE708"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253" w:type="dxa"/>
          </w:tcPr>
          <w:p w14:paraId="04DADAAD"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5B03DE3C"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126471FE" w14:textId="77777777" w:rsidTr="00A43554">
        <w:trPr>
          <w:trHeight w:val="225"/>
          <w:jc w:val="center"/>
        </w:trPr>
        <w:tc>
          <w:tcPr>
            <w:tcW w:w="2122" w:type="dxa"/>
          </w:tcPr>
          <w:p w14:paraId="26C4BBA9" w14:textId="77777777" w:rsidR="00961C6F" w:rsidRPr="006B18EC" w:rsidRDefault="00961C6F" w:rsidP="006B18EC">
            <w:pPr>
              <w:autoSpaceDE w:val="0"/>
              <w:autoSpaceDN w:val="0"/>
              <w:adjustRightInd w:val="0"/>
              <w:rPr>
                <w:rFonts w:ascii="Times New Roman" w:hAnsi="Times New Roman" w:cs="Times New Roman"/>
                <w:color w:val="000000"/>
                <w:sz w:val="20"/>
                <w:szCs w:val="20"/>
              </w:rPr>
            </w:pPr>
            <w:r w:rsidRPr="006B18EC">
              <w:rPr>
                <w:rFonts w:ascii="Times New Roman" w:hAnsi="Times New Roman" w:cs="Times New Roman"/>
                <w:color w:val="000000"/>
                <w:sz w:val="20"/>
                <w:szCs w:val="20"/>
              </w:rPr>
              <w:t>Unrestricted LogL</w:t>
            </w:r>
          </w:p>
        </w:tc>
        <w:tc>
          <w:tcPr>
            <w:tcW w:w="1050" w:type="dxa"/>
          </w:tcPr>
          <w:p w14:paraId="645FFF76"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r w:rsidRPr="006B18EC">
              <w:rPr>
                <w:rFonts w:ascii="Times New Roman" w:hAnsi="Times New Roman" w:cs="Times New Roman"/>
                <w:color w:val="000000"/>
                <w:sz w:val="20"/>
                <w:szCs w:val="20"/>
              </w:rPr>
              <w:t> 85.31987</w:t>
            </w:r>
          </w:p>
        </w:tc>
        <w:tc>
          <w:tcPr>
            <w:tcW w:w="1155" w:type="dxa"/>
          </w:tcPr>
          <w:p w14:paraId="51D82D21"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253" w:type="dxa"/>
          </w:tcPr>
          <w:p w14:paraId="6D482DF7"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05185AEA"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r w:rsidR="00961C6F" w:rsidRPr="006B18EC" w14:paraId="1D765117" w14:textId="77777777" w:rsidTr="00A43554">
        <w:trPr>
          <w:trHeight w:hRule="exact" w:val="90"/>
          <w:jc w:val="center"/>
        </w:trPr>
        <w:tc>
          <w:tcPr>
            <w:tcW w:w="2122" w:type="dxa"/>
          </w:tcPr>
          <w:p w14:paraId="3275CC7B"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050" w:type="dxa"/>
          </w:tcPr>
          <w:p w14:paraId="6C324ECB"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155" w:type="dxa"/>
          </w:tcPr>
          <w:p w14:paraId="61059FDB"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1253" w:type="dxa"/>
          </w:tcPr>
          <w:p w14:paraId="2FD273CB"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c>
          <w:tcPr>
            <w:tcW w:w="236" w:type="dxa"/>
          </w:tcPr>
          <w:p w14:paraId="37B1076A" w14:textId="77777777" w:rsidR="00961C6F" w:rsidRPr="006B18EC" w:rsidRDefault="00961C6F" w:rsidP="006B18EC">
            <w:pPr>
              <w:autoSpaceDE w:val="0"/>
              <w:autoSpaceDN w:val="0"/>
              <w:adjustRightInd w:val="0"/>
              <w:jc w:val="center"/>
              <w:rPr>
                <w:rFonts w:ascii="Times New Roman" w:hAnsi="Times New Roman" w:cs="Times New Roman"/>
                <w:color w:val="000000"/>
                <w:sz w:val="20"/>
                <w:szCs w:val="20"/>
              </w:rPr>
            </w:pPr>
          </w:p>
        </w:tc>
      </w:tr>
    </w:tbl>
    <w:p w14:paraId="4E504BE3" w14:textId="46C8D7B6" w:rsidR="00961C6F" w:rsidRDefault="006B18EC" w:rsidP="006B18EC">
      <w:pPr>
        <w:ind w:firstLine="720"/>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                   </w:t>
      </w:r>
      <w:r w:rsidR="00961C6F" w:rsidRPr="00E3448E">
        <w:rPr>
          <w:rFonts w:ascii="Times New Roman" w:eastAsia="Times New Roman" w:hAnsi="Times New Roman" w:cs="Times New Roman"/>
          <w:b/>
          <w:bCs/>
          <w:sz w:val="20"/>
          <w:szCs w:val="20"/>
          <w:lang w:eastAsia="en-GB"/>
        </w:rPr>
        <w:t>Source: Authors determined</w:t>
      </w:r>
      <w:r w:rsidR="00961C6F">
        <w:rPr>
          <w:rFonts w:ascii="Times New Roman" w:eastAsia="Times New Roman" w:hAnsi="Times New Roman" w:cs="Times New Roman"/>
          <w:b/>
          <w:bCs/>
          <w:sz w:val="20"/>
          <w:szCs w:val="20"/>
          <w:lang w:eastAsia="en-GB"/>
        </w:rPr>
        <w:t xml:space="preserve"> using </w:t>
      </w:r>
      <w:proofErr w:type="spellStart"/>
      <w:r w:rsidR="00961C6F">
        <w:rPr>
          <w:rFonts w:ascii="Times New Roman" w:eastAsia="Times New Roman" w:hAnsi="Times New Roman" w:cs="Times New Roman"/>
          <w:b/>
          <w:bCs/>
          <w:sz w:val="20"/>
          <w:szCs w:val="20"/>
          <w:lang w:eastAsia="en-GB"/>
        </w:rPr>
        <w:t>Eviews</w:t>
      </w:r>
      <w:proofErr w:type="spellEnd"/>
      <w:r w:rsidR="00961C6F">
        <w:rPr>
          <w:rFonts w:ascii="Times New Roman" w:eastAsia="Times New Roman" w:hAnsi="Times New Roman" w:cs="Times New Roman"/>
          <w:b/>
          <w:bCs/>
          <w:sz w:val="20"/>
          <w:szCs w:val="20"/>
          <w:lang w:eastAsia="en-GB"/>
        </w:rPr>
        <w:t xml:space="preserve"> 12, 2026</w:t>
      </w:r>
    </w:p>
    <w:p w14:paraId="2421C3E4" w14:textId="3F59C88A" w:rsidR="00961C6F" w:rsidRDefault="00CB7060" w:rsidP="00F26FDB">
      <w:pPr>
        <w:jc w:val="both"/>
        <w:rPr>
          <w:rFonts w:ascii="Times New Roman" w:eastAsia="Times New Roman" w:hAnsi="Times New Roman" w:cs="Times New Roman"/>
          <w:sz w:val="24"/>
          <w:szCs w:val="24"/>
          <w:lang w:eastAsia="en-GB"/>
        </w:rPr>
      </w:pPr>
      <w:r w:rsidRPr="00CB7060">
        <w:rPr>
          <w:rFonts w:ascii="Times New Roman" w:eastAsia="Times New Roman" w:hAnsi="Times New Roman" w:cs="Times New Roman"/>
          <w:sz w:val="24"/>
          <w:szCs w:val="24"/>
          <w:lang w:eastAsia="en-GB"/>
        </w:rPr>
        <w:t>The Ramsey RESET Test results show insignificant probability values (p &gt; 0.05), indicating that the model does not suffer from functional form misspecification. This implies that the explanatory variables are appropriately included and the model is correctly specified. Consequently, the estimated relationship between energy poverty indicators and household welfare is reliable.</w:t>
      </w:r>
    </w:p>
    <w:p w14:paraId="726F2567" w14:textId="5E439BE5" w:rsidR="00CB7060" w:rsidRPr="00CB7060" w:rsidRDefault="00CB7060" w:rsidP="00CB7060">
      <w:pPr>
        <w:pStyle w:val="ListParagraph"/>
        <w:numPr>
          <w:ilvl w:val="0"/>
          <w:numId w:val="1"/>
        </w:numPr>
        <w:jc w:val="both"/>
        <w:rPr>
          <w:rFonts w:ascii="Times New Roman" w:eastAsia="Times New Roman" w:hAnsi="Times New Roman" w:cs="Times New Roman"/>
          <w:b/>
          <w:bCs/>
          <w:sz w:val="24"/>
          <w:szCs w:val="24"/>
          <w:lang w:eastAsia="en-GB"/>
        </w:rPr>
      </w:pPr>
      <w:r w:rsidRPr="00CB7060">
        <w:rPr>
          <w:rFonts w:ascii="Times New Roman" w:eastAsia="Times New Roman" w:hAnsi="Times New Roman" w:cs="Times New Roman"/>
          <w:b/>
          <w:bCs/>
          <w:sz w:val="24"/>
          <w:szCs w:val="24"/>
          <w:lang w:eastAsia="en-GB"/>
        </w:rPr>
        <w:t>Conclusion and Recommendations</w:t>
      </w:r>
    </w:p>
    <w:p w14:paraId="1054961A" w14:textId="7F19C4CE" w:rsidR="00961C6F" w:rsidRPr="00FB4356" w:rsidRDefault="00CB7060" w:rsidP="00F26FDB">
      <w:pPr>
        <w:jc w:val="both"/>
        <w:rPr>
          <w:rFonts w:ascii="Times New Roman" w:eastAsia="Times New Roman" w:hAnsi="Times New Roman" w:cs="Times New Roman"/>
          <w:sz w:val="24"/>
          <w:szCs w:val="24"/>
          <w:lang w:eastAsia="en-GB"/>
        </w:rPr>
      </w:pPr>
      <w:r w:rsidRPr="00CB7060">
        <w:rPr>
          <w:rFonts w:ascii="Times New Roman" w:eastAsia="Times New Roman" w:hAnsi="Times New Roman" w:cs="Times New Roman"/>
          <w:sz w:val="24"/>
          <w:szCs w:val="24"/>
          <w:lang w:eastAsia="en-GB"/>
        </w:rPr>
        <w:t>The study examined the impact of energy poverty indicators</w:t>
      </w:r>
      <w:r>
        <w:rPr>
          <w:rFonts w:ascii="Times New Roman" w:eastAsia="Times New Roman" w:hAnsi="Times New Roman" w:cs="Times New Roman"/>
          <w:sz w:val="24"/>
          <w:szCs w:val="24"/>
          <w:lang w:eastAsia="en-GB"/>
        </w:rPr>
        <w:t xml:space="preserve"> poverty </w:t>
      </w:r>
      <w:r w:rsidRPr="00CB7060">
        <w:rPr>
          <w:rFonts w:ascii="Times New Roman" w:eastAsia="Times New Roman" w:hAnsi="Times New Roman" w:cs="Times New Roman"/>
          <w:sz w:val="24"/>
          <w:szCs w:val="24"/>
          <w:lang w:eastAsia="en-GB"/>
        </w:rPr>
        <w:t xml:space="preserve">on household welfare, while controlling for </w:t>
      </w:r>
      <w:r>
        <w:rPr>
          <w:rFonts w:ascii="Times New Roman" w:eastAsia="Times New Roman" w:hAnsi="Times New Roman" w:cs="Times New Roman"/>
          <w:sz w:val="24"/>
          <w:szCs w:val="24"/>
          <w:lang w:eastAsia="en-GB"/>
        </w:rPr>
        <w:t xml:space="preserve">electricity generation and </w:t>
      </w:r>
      <w:r w:rsidRPr="00CB7060">
        <w:rPr>
          <w:rFonts w:ascii="Times New Roman" w:eastAsia="Times New Roman" w:hAnsi="Times New Roman" w:cs="Times New Roman"/>
          <w:sz w:val="24"/>
          <w:szCs w:val="24"/>
          <w:lang w:eastAsia="en-GB"/>
        </w:rPr>
        <w:t xml:space="preserve">inflation using the NARDL framework. </w:t>
      </w:r>
      <w:r>
        <w:rPr>
          <w:rFonts w:ascii="Times New Roman" w:eastAsia="Times New Roman" w:hAnsi="Times New Roman" w:cs="Times New Roman"/>
          <w:sz w:val="24"/>
          <w:szCs w:val="24"/>
          <w:lang w:eastAsia="en-GB"/>
        </w:rPr>
        <w:t xml:space="preserve">The study spanned a period of 34 years covering 1990-2024. </w:t>
      </w:r>
      <w:r w:rsidRPr="00CB7060">
        <w:rPr>
          <w:rFonts w:ascii="Times New Roman" w:eastAsia="Times New Roman" w:hAnsi="Times New Roman" w:cs="Times New Roman"/>
          <w:sz w:val="24"/>
          <w:szCs w:val="24"/>
          <w:lang w:eastAsia="en-GB"/>
        </w:rPr>
        <w:t>The findings reveal</w:t>
      </w:r>
      <w:r w:rsidR="00FB4356">
        <w:rPr>
          <w:rFonts w:ascii="Times New Roman" w:eastAsia="Times New Roman" w:hAnsi="Times New Roman" w:cs="Times New Roman"/>
          <w:sz w:val="24"/>
          <w:szCs w:val="24"/>
          <w:lang w:eastAsia="en-GB"/>
        </w:rPr>
        <w:t>ed</w:t>
      </w:r>
      <w:r w:rsidRPr="00CB7060">
        <w:rPr>
          <w:rFonts w:ascii="Times New Roman" w:eastAsia="Times New Roman" w:hAnsi="Times New Roman" w:cs="Times New Roman"/>
          <w:sz w:val="24"/>
          <w:szCs w:val="24"/>
          <w:lang w:eastAsia="en-GB"/>
        </w:rPr>
        <w:t xml:space="preserve"> that improvements in electricity access significantly enhance household welfare, confirming that reliable energy availability supports productive activities, education, and improved living standards. However, the results also indicate that increases in electricity consumption and electricity use may negatively affect welfare in the long run, possibly due to high energy costs, </w:t>
      </w:r>
      <w:r w:rsidRPr="00CB7060">
        <w:rPr>
          <w:rFonts w:ascii="Times New Roman" w:eastAsia="Times New Roman" w:hAnsi="Times New Roman" w:cs="Times New Roman"/>
          <w:sz w:val="24"/>
          <w:szCs w:val="24"/>
          <w:lang w:eastAsia="en-GB"/>
        </w:rPr>
        <w:lastRenderedPageBreak/>
        <w:t xml:space="preserve">inefficient usage, and the financial burden associated with unreliable power supply. </w:t>
      </w:r>
      <w:r w:rsidR="00483EB8">
        <w:rPr>
          <w:rFonts w:ascii="Times New Roman" w:eastAsia="Times New Roman" w:hAnsi="Times New Roman" w:cs="Times New Roman"/>
          <w:sz w:val="24"/>
          <w:szCs w:val="24"/>
          <w:lang w:eastAsia="en-GB"/>
        </w:rPr>
        <w:t>Similarly, i</w:t>
      </w:r>
      <w:r w:rsidR="00483EB8" w:rsidRPr="00483EB8">
        <w:rPr>
          <w:rFonts w:ascii="Times New Roman" w:eastAsia="Times New Roman" w:hAnsi="Times New Roman" w:cs="Times New Roman"/>
          <w:sz w:val="24"/>
          <w:szCs w:val="24"/>
          <w:lang w:eastAsia="en-GB"/>
        </w:rPr>
        <w:t>nflation had a negative effect on the welfare of households, indicating the negative consequence of increasing prices on the purchasing power of households. Diagnostic tests indicate the stability and correct specification of the model, as well as the absence of serial autocorrelation and heteroskedasticity, revealing the validity of the estimates.</w:t>
      </w:r>
      <w:r w:rsidR="00FB4356">
        <w:rPr>
          <w:rFonts w:ascii="Times New Roman" w:eastAsia="Times New Roman" w:hAnsi="Times New Roman" w:cs="Times New Roman"/>
          <w:sz w:val="24"/>
          <w:szCs w:val="24"/>
          <w:lang w:eastAsia="en-GB"/>
        </w:rPr>
        <w:t xml:space="preserve"> </w:t>
      </w:r>
      <w:r w:rsidRPr="00CB7060">
        <w:rPr>
          <w:rFonts w:ascii="Times New Roman" w:eastAsia="Times New Roman" w:hAnsi="Times New Roman" w:cs="Times New Roman"/>
          <w:sz w:val="24"/>
          <w:szCs w:val="24"/>
          <w:lang w:eastAsia="en-GB"/>
        </w:rPr>
        <w:t>Based on these findings, the study recommends that</w:t>
      </w:r>
      <w:r w:rsidR="00FB4356">
        <w:rPr>
          <w:rFonts w:ascii="Times New Roman" w:eastAsia="Times New Roman" w:hAnsi="Times New Roman" w:cs="Times New Roman"/>
          <w:sz w:val="24"/>
          <w:szCs w:val="24"/>
          <w:lang w:eastAsia="en-GB"/>
        </w:rPr>
        <w:t xml:space="preserve"> </w:t>
      </w:r>
      <w:r w:rsidR="00FB4356" w:rsidRPr="00FB4356">
        <w:rPr>
          <w:rFonts w:ascii="Times New Roman" w:eastAsia="Times New Roman" w:hAnsi="Times New Roman" w:cs="Times New Roman"/>
          <w:sz w:val="24"/>
          <w:szCs w:val="24"/>
          <w:lang w:eastAsia="en-GB"/>
        </w:rPr>
        <w:t>Nigeria</w:t>
      </w:r>
      <w:r w:rsidRPr="00FB4356">
        <w:rPr>
          <w:rFonts w:ascii="Times New Roman" w:eastAsia="Times New Roman" w:hAnsi="Times New Roman" w:cs="Times New Roman"/>
          <w:sz w:val="24"/>
          <w:szCs w:val="24"/>
          <w:lang w:eastAsia="en-GB"/>
        </w:rPr>
        <w:t xml:space="preserve"> government should prioritize expanding reliable electricity access through increased investment in energy infrastructure, particularly in underserved rural communities. </w:t>
      </w:r>
      <w:r w:rsidR="00FB4356" w:rsidRPr="00FB4356">
        <w:rPr>
          <w:rFonts w:ascii="Times New Roman" w:eastAsia="Times New Roman" w:hAnsi="Times New Roman" w:cs="Times New Roman"/>
          <w:sz w:val="24"/>
          <w:szCs w:val="24"/>
          <w:lang w:eastAsia="en-GB"/>
        </w:rPr>
        <w:t>Electricity p</w:t>
      </w:r>
      <w:r w:rsidRPr="00FB4356">
        <w:rPr>
          <w:rFonts w:ascii="Times New Roman" w:eastAsia="Times New Roman" w:hAnsi="Times New Roman" w:cs="Times New Roman"/>
          <w:sz w:val="24"/>
          <w:szCs w:val="24"/>
          <w:lang w:eastAsia="en-GB"/>
        </w:rPr>
        <w:t>olicies should also focus on improving electricity reliability and reducing energy costs to ensure that increased consumption translates into welfare gains. Furthermore, promoting energy-efficient technologies and renewable energy solutions such as solar mini-grids can help households reduce dependence on costly alternative energy sources. Finally, macroeconomic policies aimed at controlling inflation are essential to protect household purchasing power and enhance the welfare benefits associated with improved energy access.</w:t>
      </w:r>
    </w:p>
    <w:p w14:paraId="73320AF0" w14:textId="77777777" w:rsidR="004609A4" w:rsidRPr="004609A4" w:rsidRDefault="004609A4" w:rsidP="004609A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4609A4">
        <w:rPr>
          <w:rFonts w:ascii="Times New Roman" w:eastAsia="Times New Roman" w:hAnsi="Times New Roman" w:cs="Times New Roman"/>
          <w:b/>
          <w:bCs/>
          <w:kern w:val="36"/>
          <w:sz w:val="24"/>
          <w:szCs w:val="24"/>
          <w:lang w:eastAsia="en-GB"/>
        </w:rPr>
        <w:t>References</w:t>
      </w:r>
    </w:p>
    <w:p w14:paraId="09B84D45" w14:textId="7FBBCCF6" w:rsidR="007E5885" w:rsidRDefault="007E5885" w:rsidP="002E73F9">
      <w:pPr>
        <w:pStyle w:val="NormalWeb"/>
        <w:spacing w:before="0" w:beforeAutospacing="0" w:after="0" w:afterAutospacing="0"/>
        <w:jc w:val="both"/>
      </w:pPr>
      <w:r>
        <w:t xml:space="preserve">Ajayi, P. I. (2023). Energy poverty and household wellbeing in Nigeria. </w:t>
      </w:r>
      <w:r>
        <w:rPr>
          <w:rStyle w:val="Emphasis"/>
        </w:rPr>
        <w:t xml:space="preserve">Ife Social Sciences </w:t>
      </w:r>
      <w:r>
        <w:rPr>
          <w:rStyle w:val="Emphasis"/>
        </w:rPr>
        <w:tab/>
        <w:t>Review, 31</w:t>
      </w:r>
      <w:r>
        <w:t>(1), 1–14.</w:t>
      </w:r>
    </w:p>
    <w:p w14:paraId="7E79051D" w14:textId="62B2EC61" w:rsidR="007E5885" w:rsidRDefault="007E5885" w:rsidP="002E73F9">
      <w:pPr>
        <w:pStyle w:val="NormalWeb"/>
        <w:spacing w:before="0" w:beforeAutospacing="0" w:after="0" w:afterAutospacing="0"/>
        <w:jc w:val="both"/>
      </w:pPr>
      <w:r>
        <w:t xml:space="preserve">Alkire, S., &amp; Foster, J. (2011). Counting and multidimensional poverty measurement. </w:t>
      </w:r>
      <w:r>
        <w:rPr>
          <w:rStyle w:val="Emphasis"/>
        </w:rPr>
        <w:t xml:space="preserve">Journal </w:t>
      </w:r>
      <w:r>
        <w:rPr>
          <w:rStyle w:val="Emphasis"/>
        </w:rPr>
        <w:tab/>
        <w:t>of Public Economics, 95</w:t>
      </w:r>
      <w:r>
        <w:t xml:space="preserve">(7–8), 476–487. </w:t>
      </w:r>
      <w:hyperlink r:id="rId8" w:tgtFrame="_new" w:history="1">
        <w:r>
          <w:rPr>
            <w:rStyle w:val="Hyperlink"/>
          </w:rPr>
          <w:t>https://doi.org/10.1016/j.jpubeco.2010.11.006</w:t>
        </w:r>
      </w:hyperlink>
    </w:p>
    <w:p w14:paraId="03C61A75" w14:textId="23CB99BD" w:rsidR="007E5885" w:rsidRDefault="007E5885" w:rsidP="002E73F9">
      <w:pPr>
        <w:pStyle w:val="NormalWeb"/>
        <w:spacing w:before="0" w:beforeAutospacing="0" w:after="0" w:afterAutospacing="0"/>
        <w:jc w:val="both"/>
      </w:pPr>
      <w:r>
        <w:t xml:space="preserve">Apergis, N., &amp; Payne, J. E. (2014). Electricity consumption and economic growth: Evidence </w:t>
      </w:r>
      <w:r>
        <w:tab/>
        <w:t xml:space="preserve">from a panel of European countries. </w:t>
      </w:r>
      <w:r>
        <w:rPr>
          <w:rStyle w:val="Emphasis"/>
        </w:rPr>
        <w:t>Energy Economics, 44</w:t>
      </w:r>
      <w:r>
        <w:t xml:space="preserve">, 345–356. </w:t>
      </w:r>
      <w:r>
        <w:tab/>
      </w:r>
      <w:hyperlink r:id="rId9" w:history="1">
        <w:r w:rsidRPr="00BE6B50">
          <w:rPr>
            <w:rStyle w:val="Hyperlink"/>
          </w:rPr>
          <w:t>https://doi.org/10.1016/j.eneco.2014.04.012</w:t>
        </w:r>
      </w:hyperlink>
    </w:p>
    <w:p w14:paraId="61F1A3CA" w14:textId="2434224A" w:rsidR="007E5885" w:rsidRDefault="007E5885" w:rsidP="002E73F9">
      <w:pPr>
        <w:pStyle w:val="NormalWeb"/>
        <w:spacing w:before="0" w:beforeAutospacing="0" w:after="0" w:afterAutospacing="0"/>
        <w:jc w:val="both"/>
      </w:pPr>
      <w:r>
        <w:t xml:space="preserve">Apergis, N., &amp; Payne, J. E. (2014). Renewable energy, output, CO₂ emissions, and fossil fuel </w:t>
      </w:r>
      <w:r>
        <w:tab/>
        <w:t xml:space="preserve">prices in Central America: Evidence from a panel vector error correction model. </w:t>
      </w:r>
      <w:r>
        <w:rPr>
          <w:rStyle w:val="Emphasis"/>
        </w:rPr>
        <w:t xml:space="preserve">Energy </w:t>
      </w:r>
      <w:r>
        <w:rPr>
          <w:rStyle w:val="Emphasis"/>
        </w:rPr>
        <w:tab/>
        <w:t>Economics, 42</w:t>
      </w:r>
      <w:r>
        <w:t>, 226–232.</w:t>
      </w:r>
    </w:p>
    <w:p w14:paraId="0E255972" w14:textId="477818E8" w:rsidR="007E5885" w:rsidRDefault="007E5885" w:rsidP="002E73F9">
      <w:pPr>
        <w:pStyle w:val="NormalWeb"/>
        <w:spacing w:before="0" w:beforeAutospacing="0" w:after="0" w:afterAutospacing="0"/>
        <w:jc w:val="both"/>
      </w:pPr>
      <w:proofErr w:type="spellStart"/>
      <w:r>
        <w:t>Ashagidigbi</w:t>
      </w:r>
      <w:proofErr w:type="spellEnd"/>
      <w:r>
        <w:t xml:space="preserve">, T., Babatunde, R., Ogunniyi, A., Olagunju, T., &amp; Omotayo, A. (2020). Estimation </w:t>
      </w:r>
      <w:r>
        <w:tab/>
        <w:t xml:space="preserve">and determinants of multidimensional energy poverty among households in Nigeria. </w:t>
      </w:r>
      <w:r>
        <w:tab/>
      </w:r>
      <w:r>
        <w:rPr>
          <w:rStyle w:val="Emphasis"/>
        </w:rPr>
        <w:t>Energy Policy, 147</w:t>
      </w:r>
      <w:r>
        <w:t xml:space="preserve">, 111868. </w:t>
      </w:r>
      <w:hyperlink r:id="rId10" w:tgtFrame="_new" w:history="1">
        <w:r>
          <w:rPr>
            <w:rStyle w:val="Hyperlink"/>
          </w:rPr>
          <w:t>https://doi.org/10.1016/j.enpol.2020.111868</w:t>
        </w:r>
      </w:hyperlink>
    </w:p>
    <w:p w14:paraId="49E534D1" w14:textId="3BB7F63A" w:rsidR="007E5885" w:rsidRDefault="007E5885" w:rsidP="002E73F9">
      <w:pPr>
        <w:pStyle w:val="NormalWeb"/>
        <w:spacing w:before="0" w:beforeAutospacing="0" w:after="0" w:afterAutospacing="0"/>
        <w:jc w:val="both"/>
      </w:pPr>
      <w:r>
        <w:t xml:space="preserve">Bouzarovski, S., &amp; Petrova, S. (2015). A global perspective on domestic energy deprivation: </w:t>
      </w:r>
      <w:r>
        <w:tab/>
        <w:t xml:space="preserve">Overcoming the energy poverty–fuel poverty binary. </w:t>
      </w:r>
      <w:r>
        <w:rPr>
          <w:rStyle w:val="Emphasis"/>
        </w:rPr>
        <w:t xml:space="preserve">Energy Research &amp; Social </w:t>
      </w:r>
      <w:r>
        <w:rPr>
          <w:rStyle w:val="Emphasis"/>
        </w:rPr>
        <w:tab/>
        <w:t>Science, 10</w:t>
      </w:r>
      <w:r>
        <w:t xml:space="preserve">, 31–40. </w:t>
      </w:r>
      <w:hyperlink r:id="rId11" w:tgtFrame="_new" w:history="1">
        <w:r>
          <w:rPr>
            <w:rStyle w:val="Hyperlink"/>
          </w:rPr>
          <w:t>https://doi.org/10.1016/j.erss.2015.06.007</w:t>
        </w:r>
      </w:hyperlink>
    </w:p>
    <w:p w14:paraId="79281DEC" w14:textId="6D8A64BA" w:rsidR="007E5885" w:rsidRDefault="007E5885" w:rsidP="002E73F9">
      <w:pPr>
        <w:pStyle w:val="NormalWeb"/>
        <w:spacing w:before="0" w:beforeAutospacing="0" w:after="0" w:afterAutospacing="0"/>
        <w:jc w:val="both"/>
      </w:pPr>
      <w:r>
        <w:t xml:space="preserve">Chakravorty, U., Pelli, G., &amp; Marchand, J. (2014). Energy poverty, human development, and </w:t>
      </w:r>
      <w:r>
        <w:tab/>
        <w:t xml:space="preserve">household welfare in developing countries. </w:t>
      </w:r>
      <w:r>
        <w:rPr>
          <w:rStyle w:val="Emphasis"/>
        </w:rPr>
        <w:t>Energy Economics, 44</w:t>
      </w:r>
      <w:r>
        <w:t xml:space="preserve">, 147–157. </w:t>
      </w:r>
      <w:r>
        <w:tab/>
      </w:r>
      <w:hyperlink r:id="rId12" w:history="1">
        <w:r w:rsidRPr="00BE6B50">
          <w:rPr>
            <w:rStyle w:val="Hyperlink"/>
          </w:rPr>
          <w:t>https://doi.org/10.1016/j.eneco.2014.03.014</w:t>
        </w:r>
      </w:hyperlink>
    </w:p>
    <w:p w14:paraId="1310EB6F" w14:textId="71473232" w:rsidR="007E5885" w:rsidRDefault="007E5885" w:rsidP="002E73F9">
      <w:pPr>
        <w:pStyle w:val="NormalWeb"/>
        <w:spacing w:before="0" w:beforeAutospacing="0" w:after="0" w:afterAutospacing="0"/>
        <w:jc w:val="both"/>
      </w:pPr>
      <w:r>
        <w:t xml:space="preserve">Chakravorty, U., Pelli, M., &amp; Marchand, B. (2014). Does the quality of electricity matter? </w:t>
      </w:r>
      <w:r>
        <w:tab/>
        <w:t xml:space="preserve">Evidence from rural India. </w:t>
      </w:r>
      <w:r>
        <w:rPr>
          <w:rStyle w:val="Emphasis"/>
        </w:rPr>
        <w:t>Energy Journal, 35</w:t>
      </w:r>
      <w:r>
        <w:t>(2), 189–208.</w:t>
      </w:r>
    </w:p>
    <w:p w14:paraId="0B24CF2E" w14:textId="5E7DB187" w:rsidR="007E5885" w:rsidRDefault="007E5885" w:rsidP="002E73F9">
      <w:pPr>
        <w:pStyle w:val="NormalWeb"/>
        <w:spacing w:before="0" w:beforeAutospacing="0" w:after="0" w:afterAutospacing="0"/>
        <w:jc w:val="both"/>
      </w:pPr>
      <w:r>
        <w:t xml:space="preserve">Day, R., Walker, G., &amp; Simcock, N. (2016). Conceptualising energy use and energy poverty </w:t>
      </w:r>
      <w:r>
        <w:tab/>
        <w:t xml:space="preserve">using a capabilities framework. </w:t>
      </w:r>
      <w:r>
        <w:rPr>
          <w:rStyle w:val="Emphasis"/>
        </w:rPr>
        <w:t>Energy Policy, 93</w:t>
      </w:r>
      <w:r>
        <w:t xml:space="preserve">, 255–264. </w:t>
      </w:r>
      <w:r>
        <w:tab/>
      </w:r>
      <w:hyperlink r:id="rId13" w:history="1">
        <w:r w:rsidRPr="00BE6B50">
          <w:rPr>
            <w:rStyle w:val="Hyperlink"/>
          </w:rPr>
          <w:t>https://doi.org/10.1016/j.enpol.2016.03.019</w:t>
        </w:r>
      </w:hyperlink>
    </w:p>
    <w:p w14:paraId="1E2CC0A0" w14:textId="17106C13" w:rsidR="007E5885" w:rsidRDefault="007E5885" w:rsidP="002E73F9">
      <w:pPr>
        <w:pStyle w:val="NormalWeb"/>
        <w:spacing w:before="0" w:beforeAutospacing="0" w:after="0" w:afterAutospacing="0"/>
        <w:jc w:val="both"/>
      </w:pPr>
      <w:r>
        <w:t xml:space="preserve">Deaton, A., &amp; Zaidi, S. (2002). </w:t>
      </w:r>
      <w:r>
        <w:rPr>
          <w:rStyle w:val="Emphasis"/>
        </w:rPr>
        <w:t xml:space="preserve">Guidelines for constructing consumption aggregates for </w:t>
      </w:r>
      <w:r>
        <w:rPr>
          <w:rStyle w:val="Emphasis"/>
        </w:rPr>
        <w:tab/>
        <w:t>welfare analysis.</w:t>
      </w:r>
      <w:r>
        <w:t xml:space="preserve"> Washington, DC: World Bank.</w:t>
      </w:r>
    </w:p>
    <w:p w14:paraId="35E67458" w14:textId="17715ECD" w:rsidR="007E5885" w:rsidRDefault="007E5885" w:rsidP="002E73F9">
      <w:pPr>
        <w:pStyle w:val="NormalWeb"/>
        <w:spacing w:before="0" w:beforeAutospacing="0" w:after="0" w:afterAutospacing="0"/>
        <w:jc w:val="both"/>
      </w:pPr>
      <w:r>
        <w:t xml:space="preserve">Dinkelman, T. (2011). The effects of rural electrification on employment: New evidence from </w:t>
      </w:r>
      <w:r>
        <w:tab/>
        <w:t xml:space="preserve">South Africa. </w:t>
      </w:r>
      <w:r>
        <w:rPr>
          <w:rStyle w:val="Emphasis"/>
        </w:rPr>
        <w:t>American Economic Review, 101</w:t>
      </w:r>
      <w:r>
        <w:t xml:space="preserve">(7), 3078–3108. </w:t>
      </w:r>
      <w:r>
        <w:tab/>
      </w:r>
      <w:hyperlink r:id="rId14" w:history="1">
        <w:r w:rsidRPr="00BE6B50">
          <w:rPr>
            <w:rStyle w:val="Hyperlink"/>
          </w:rPr>
          <w:t>https://doi.org/10.1257/aer.101.7.3078</w:t>
        </w:r>
      </w:hyperlink>
    </w:p>
    <w:p w14:paraId="650A32FA" w14:textId="734E9AF0" w:rsidR="007E5885" w:rsidRDefault="007E5885" w:rsidP="002E73F9">
      <w:pPr>
        <w:pStyle w:val="NormalWeb"/>
        <w:spacing w:before="0" w:beforeAutospacing="0" w:after="0" w:afterAutospacing="0"/>
        <w:jc w:val="both"/>
      </w:pPr>
      <w:r>
        <w:t xml:space="preserve">Doukas, H., &amp; Marinakis, V. (2020). Energy poverty alleviation: Effective policies and </w:t>
      </w:r>
      <w:r>
        <w:tab/>
        <w:t xml:space="preserve">innovative schemes. </w:t>
      </w:r>
      <w:r>
        <w:rPr>
          <w:rStyle w:val="Emphasis"/>
        </w:rPr>
        <w:t>Energy Sources, Part B: Economics, Planning, and Policy.</w:t>
      </w:r>
    </w:p>
    <w:p w14:paraId="535286F2" w14:textId="77777777" w:rsidR="007E5885" w:rsidRDefault="007E5885" w:rsidP="002E73F9">
      <w:pPr>
        <w:pStyle w:val="NormalWeb"/>
        <w:spacing w:before="0" w:beforeAutospacing="0" w:after="0" w:afterAutospacing="0"/>
        <w:jc w:val="both"/>
      </w:pPr>
      <w:r>
        <w:t xml:space="preserve">International Energy Agency (IEA). (2023). </w:t>
      </w:r>
      <w:r>
        <w:rPr>
          <w:rStyle w:val="Emphasis"/>
        </w:rPr>
        <w:t>World energy outlook 2023.</w:t>
      </w:r>
      <w:r>
        <w:t xml:space="preserve"> Paris: IEA.</w:t>
      </w:r>
    </w:p>
    <w:p w14:paraId="200FE1DC" w14:textId="33D0456C" w:rsidR="007E5885" w:rsidRDefault="007E5885" w:rsidP="002E73F9">
      <w:pPr>
        <w:pStyle w:val="NormalWeb"/>
        <w:spacing w:before="0" w:beforeAutospacing="0" w:after="0" w:afterAutospacing="0"/>
        <w:jc w:val="both"/>
      </w:pPr>
      <w:r>
        <w:lastRenderedPageBreak/>
        <w:t xml:space="preserve">International Energy Agency (IEA), International Renewable Energy Agency (IRENA), </w:t>
      </w:r>
      <w:r>
        <w:tab/>
        <w:t xml:space="preserve">United Nations Statistics Division (UNSD), World Bank, &amp; World Health Organization </w:t>
      </w:r>
      <w:r>
        <w:tab/>
        <w:t xml:space="preserve">(WHO). (2024). </w:t>
      </w:r>
      <w:r>
        <w:rPr>
          <w:rStyle w:val="Emphasis"/>
        </w:rPr>
        <w:t>Tracking SDG 7: The energy progress report 2024.</w:t>
      </w:r>
      <w:r>
        <w:t xml:space="preserve"> Washington, DC: </w:t>
      </w:r>
      <w:r>
        <w:tab/>
        <w:t>World Bank.</w:t>
      </w:r>
    </w:p>
    <w:p w14:paraId="1C5876A3" w14:textId="7B4F7A3F" w:rsidR="007E5885" w:rsidRDefault="007E5885" w:rsidP="002E73F9">
      <w:pPr>
        <w:pStyle w:val="NormalWeb"/>
        <w:spacing w:before="0" w:beforeAutospacing="0" w:after="0" w:afterAutospacing="0"/>
        <w:jc w:val="both"/>
      </w:pPr>
      <w:r>
        <w:t xml:space="preserve">International Energy Agency (IEA), International Renewable Energy Agency (IRENA), </w:t>
      </w:r>
      <w:r>
        <w:tab/>
        <w:t xml:space="preserve">United Nations Statistics Division (UNSD), World Bank, &amp; World Health Organization </w:t>
      </w:r>
      <w:r>
        <w:tab/>
        <w:t xml:space="preserve">(WHO). (2025). </w:t>
      </w:r>
      <w:r>
        <w:rPr>
          <w:rStyle w:val="Emphasis"/>
        </w:rPr>
        <w:t>Tracking SDG 7: The energy progress report 2025.</w:t>
      </w:r>
      <w:r>
        <w:t xml:space="preserve"> Washington, DC: </w:t>
      </w:r>
      <w:r>
        <w:tab/>
        <w:t>World Bank.</w:t>
      </w:r>
    </w:p>
    <w:p w14:paraId="08CC0A29" w14:textId="3311B7ED" w:rsidR="007E5885" w:rsidRDefault="007E5885" w:rsidP="002E73F9">
      <w:pPr>
        <w:pStyle w:val="NormalWeb"/>
        <w:spacing w:before="0" w:beforeAutospacing="0" w:after="0" w:afterAutospacing="0"/>
        <w:jc w:val="both"/>
      </w:pPr>
      <w:r>
        <w:t xml:space="preserve">International Energy Agency (IEA), World Bank, WHO, IRENA, &amp; United Nations Statistics </w:t>
      </w:r>
      <w:r>
        <w:tab/>
        <w:t xml:space="preserve">Division (UNSD). (2025). </w:t>
      </w:r>
      <w:r>
        <w:rPr>
          <w:rStyle w:val="Emphasis"/>
        </w:rPr>
        <w:t>Tracking SDG 7: The Energy Progress Report 2025.</w:t>
      </w:r>
    </w:p>
    <w:p w14:paraId="16AE6A30" w14:textId="49C9CE72" w:rsidR="007E5885" w:rsidRDefault="007E5885" w:rsidP="002E73F9">
      <w:pPr>
        <w:pStyle w:val="NormalWeb"/>
        <w:spacing w:before="0" w:beforeAutospacing="0" w:after="0" w:afterAutospacing="0"/>
        <w:jc w:val="both"/>
      </w:pPr>
      <w:r>
        <w:t xml:space="preserve">International Monetary Fund (IMF). (2022). </w:t>
      </w:r>
      <w:r>
        <w:rPr>
          <w:rStyle w:val="Emphasis"/>
        </w:rPr>
        <w:t>World economic outlook: Countering the cost-of-</w:t>
      </w:r>
      <w:r>
        <w:rPr>
          <w:rStyle w:val="Emphasis"/>
        </w:rPr>
        <w:tab/>
        <w:t>living crisis.</w:t>
      </w:r>
      <w:r>
        <w:t xml:space="preserve"> Washington, DC: IMF.</w:t>
      </w:r>
    </w:p>
    <w:p w14:paraId="3C2C7C1E" w14:textId="5E01D2F7" w:rsidR="007E5885" w:rsidRDefault="007E5885" w:rsidP="002E73F9">
      <w:pPr>
        <w:pStyle w:val="NormalWeb"/>
        <w:spacing w:before="0" w:beforeAutospacing="0" w:after="0" w:afterAutospacing="0"/>
        <w:jc w:val="both"/>
      </w:pPr>
      <w:proofErr w:type="spellStart"/>
      <w:r>
        <w:t>Mkomba</w:t>
      </w:r>
      <w:proofErr w:type="spellEnd"/>
      <w:r>
        <w:t xml:space="preserve">, C. (2021). Household-level effects of energy insecurity on welfare in Malawi. </w:t>
      </w:r>
      <w:r>
        <w:tab/>
      </w:r>
      <w:r>
        <w:rPr>
          <w:rStyle w:val="Emphasis"/>
        </w:rPr>
        <w:t>International Journal of Renewable Energy Development, 10</w:t>
      </w:r>
      <w:r>
        <w:t>(3), 415–425.</w:t>
      </w:r>
    </w:p>
    <w:p w14:paraId="11A26C15" w14:textId="3D3AFB8D" w:rsidR="007E5885" w:rsidRDefault="007E5885" w:rsidP="002E73F9">
      <w:pPr>
        <w:pStyle w:val="NormalWeb"/>
        <w:spacing w:before="0" w:beforeAutospacing="0" w:after="0" w:afterAutospacing="0"/>
        <w:jc w:val="both"/>
      </w:pPr>
      <w:r>
        <w:t xml:space="preserve">Mould, R., &amp; Baker, L. (2017). Energy poverty and household coping strategies in developing </w:t>
      </w:r>
      <w:r>
        <w:tab/>
        <w:t xml:space="preserve">countries. </w:t>
      </w:r>
      <w:r>
        <w:rPr>
          <w:rStyle w:val="Emphasis"/>
        </w:rPr>
        <w:t>Renewable and Sustainable Energy Reviews, 76</w:t>
      </w:r>
      <w:r>
        <w:t xml:space="preserve">, 1314–1325. </w:t>
      </w:r>
      <w:r>
        <w:tab/>
      </w:r>
      <w:hyperlink r:id="rId15" w:history="1">
        <w:r w:rsidRPr="00BE6B50">
          <w:rPr>
            <w:rStyle w:val="Hyperlink"/>
          </w:rPr>
          <w:t>https://doi.org/10.1016/j.rser.2017.03.005</w:t>
        </w:r>
      </w:hyperlink>
    </w:p>
    <w:p w14:paraId="1F192BA9" w14:textId="1AD11AC7" w:rsidR="007E5885" w:rsidRDefault="007E5885" w:rsidP="002E73F9">
      <w:pPr>
        <w:pStyle w:val="NormalWeb"/>
        <w:spacing w:before="0" w:beforeAutospacing="0" w:after="0" w:afterAutospacing="0"/>
        <w:jc w:val="both"/>
      </w:pPr>
      <w:r>
        <w:t xml:space="preserve">Nguyen, C. P., &amp; Su, T. D. (2021). Energy poverty, human development, and economic growth. </w:t>
      </w:r>
      <w:r>
        <w:tab/>
      </w:r>
      <w:r>
        <w:rPr>
          <w:rStyle w:val="Emphasis"/>
        </w:rPr>
        <w:t>Energy Policy, 149</w:t>
      </w:r>
      <w:r>
        <w:t>, 112–122. https://doi.org/10.1016/j.enpol.2021.112122</w:t>
      </w:r>
    </w:p>
    <w:p w14:paraId="23ACB78E" w14:textId="62FD13DD" w:rsidR="007E5885" w:rsidRDefault="007E5885" w:rsidP="002E73F9">
      <w:pPr>
        <w:pStyle w:val="NormalWeb"/>
        <w:spacing w:before="0" w:beforeAutospacing="0" w:after="0" w:afterAutospacing="0"/>
        <w:jc w:val="both"/>
      </w:pPr>
      <w:r>
        <w:t xml:space="preserve">Nguyen, T., &amp; Su, T. (2021). Household energy use and health outcomes in rural developing </w:t>
      </w:r>
      <w:r>
        <w:tab/>
        <w:t xml:space="preserve">regions. </w:t>
      </w:r>
      <w:r>
        <w:rPr>
          <w:rStyle w:val="Emphasis"/>
        </w:rPr>
        <w:t>Energy Policy, 153</w:t>
      </w:r>
      <w:r>
        <w:t xml:space="preserve">, 112263. </w:t>
      </w:r>
      <w:hyperlink r:id="rId16" w:tgtFrame="_new" w:history="1">
        <w:r>
          <w:rPr>
            <w:rStyle w:val="Hyperlink"/>
          </w:rPr>
          <w:t>https://doi.org/10.1016/j.enpol.2021.112263</w:t>
        </w:r>
      </w:hyperlink>
    </w:p>
    <w:p w14:paraId="340A8F2A" w14:textId="30E1551D" w:rsidR="007E5885" w:rsidRDefault="007E5885" w:rsidP="002E73F9">
      <w:pPr>
        <w:pStyle w:val="NormalWeb"/>
        <w:spacing w:before="0" w:beforeAutospacing="0" w:after="0" w:afterAutospacing="0"/>
        <w:jc w:val="both"/>
      </w:pPr>
      <w:proofErr w:type="spellStart"/>
      <w:r>
        <w:t>Nteegah</w:t>
      </w:r>
      <w:proofErr w:type="spellEnd"/>
      <w:r>
        <w:t xml:space="preserve">, A., &amp; Ihejirika, C. (2024). Energy poverty and household welfare outcomes in </w:t>
      </w:r>
      <w:r>
        <w:tab/>
        <w:t xml:space="preserve">Nigeria: Evidence from national energy surveys. </w:t>
      </w:r>
      <w:r>
        <w:rPr>
          <w:rStyle w:val="Emphasis"/>
        </w:rPr>
        <w:t>Applied Energy, 365</w:t>
      </w:r>
      <w:r>
        <w:t xml:space="preserve">, 121845. </w:t>
      </w:r>
      <w:r>
        <w:tab/>
      </w:r>
      <w:hyperlink r:id="rId17" w:history="1">
        <w:r w:rsidRPr="00BE6B50">
          <w:rPr>
            <w:rStyle w:val="Hyperlink"/>
          </w:rPr>
          <w:t>https://doi.org/10.1016/j.apenergy.2024.121845</w:t>
        </w:r>
      </w:hyperlink>
    </w:p>
    <w:p w14:paraId="14230A2A" w14:textId="7D756620" w:rsidR="007E5885" w:rsidRDefault="007E5885" w:rsidP="002E73F9">
      <w:pPr>
        <w:pStyle w:val="NormalWeb"/>
        <w:spacing w:before="0" w:beforeAutospacing="0" w:after="0" w:afterAutospacing="0"/>
        <w:jc w:val="both"/>
      </w:pPr>
      <w:r>
        <w:t xml:space="preserve">Nussbaumer, P., </w:t>
      </w:r>
      <w:proofErr w:type="spellStart"/>
      <w:r>
        <w:t>Bazilian</w:t>
      </w:r>
      <w:proofErr w:type="spellEnd"/>
      <w:r>
        <w:t xml:space="preserve">, M., &amp; Modi, V. (2012). Measuring energy poverty: Focusing on </w:t>
      </w:r>
      <w:r>
        <w:tab/>
        <w:t xml:space="preserve">what matters. </w:t>
      </w:r>
      <w:r>
        <w:rPr>
          <w:rStyle w:val="Emphasis"/>
        </w:rPr>
        <w:t>Renewable and Sustainable Energy Reviews, 16</w:t>
      </w:r>
      <w:r>
        <w:t xml:space="preserve">(1), 231–243. </w:t>
      </w:r>
      <w:r>
        <w:tab/>
      </w:r>
      <w:hyperlink r:id="rId18" w:history="1">
        <w:r w:rsidRPr="00BE6B50">
          <w:rPr>
            <w:rStyle w:val="Hyperlink"/>
          </w:rPr>
          <w:t>https://doi.org/10.1016/j.rser.2011.07.014</w:t>
        </w:r>
      </w:hyperlink>
    </w:p>
    <w:p w14:paraId="1F49A0D0" w14:textId="59B9A8EF" w:rsidR="007E5885" w:rsidRDefault="007E5885" w:rsidP="002E73F9">
      <w:pPr>
        <w:pStyle w:val="NormalWeb"/>
        <w:spacing w:before="0" w:beforeAutospacing="0" w:after="0" w:afterAutospacing="0"/>
        <w:jc w:val="both"/>
      </w:pPr>
      <w:r>
        <w:t xml:space="preserve">O’Sullivan, K., Barnes, V., &amp; O’Shea, M. (2020). Multidimensional energy poverty: A review </w:t>
      </w:r>
      <w:r>
        <w:tab/>
        <w:t xml:space="preserve">of measurement approaches and implications for policy. </w:t>
      </w:r>
      <w:r>
        <w:rPr>
          <w:rStyle w:val="Emphasis"/>
        </w:rPr>
        <w:t xml:space="preserve">Renewable and Sustainable </w:t>
      </w:r>
      <w:r>
        <w:rPr>
          <w:rStyle w:val="Emphasis"/>
        </w:rPr>
        <w:tab/>
        <w:t>Energy Reviews, 124</w:t>
      </w:r>
      <w:r>
        <w:t xml:space="preserve">, 109777. </w:t>
      </w:r>
      <w:hyperlink r:id="rId19" w:tgtFrame="_new" w:history="1">
        <w:r>
          <w:rPr>
            <w:rStyle w:val="Hyperlink"/>
          </w:rPr>
          <w:t>https://doi.org/10.1016/j.rser.2020.109777</w:t>
        </w:r>
      </w:hyperlink>
    </w:p>
    <w:p w14:paraId="66AAFDD6" w14:textId="43CA0F97" w:rsidR="007E5885" w:rsidRDefault="007E5885" w:rsidP="002E73F9">
      <w:pPr>
        <w:pStyle w:val="NormalWeb"/>
        <w:spacing w:before="0" w:beforeAutospacing="0" w:after="0" w:afterAutospacing="0"/>
        <w:jc w:val="both"/>
      </w:pPr>
      <w:r>
        <w:t xml:space="preserve">Oseni, M. O. (2022). Valuing energy poverty costs: Household welfare loss from electricity </w:t>
      </w:r>
      <w:r>
        <w:tab/>
        <w:t xml:space="preserve">blackouts in developing countries. </w:t>
      </w:r>
      <w:r>
        <w:rPr>
          <w:rStyle w:val="Emphasis"/>
        </w:rPr>
        <w:t>Energy Economics, 105</w:t>
      </w:r>
      <w:r>
        <w:t xml:space="preserve">, 105943. </w:t>
      </w:r>
      <w:r>
        <w:tab/>
      </w:r>
      <w:hyperlink r:id="rId20" w:history="1">
        <w:r w:rsidRPr="00BE6B50">
          <w:rPr>
            <w:rStyle w:val="Hyperlink"/>
          </w:rPr>
          <w:t>https://doi.org/10.1016/j.eneco.2022.105943</w:t>
        </w:r>
      </w:hyperlink>
    </w:p>
    <w:p w14:paraId="48D8F660" w14:textId="39C4FEC7" w:rsidR="007E5885" w:rsidRDefault="007E5885" w:rsidP="002E73F9">
      <w:pPr>
        <w:pStyle w:val="NormalWeb"/>
        <w:spacing w:before="0" w:beforeAutospacing="0" w:after="0" w:afterAutospacing="0"/>
        <w:jc w:val="both"/>
      </w:pPr>
      <w:r>
        <w:t xml:space="preserve">Pachauri, S., &amp; Spreng, D. (2011). Measuring and monitoring energy poverty. </w:t>
      </w:r>
      <w:r>
        <w:rPr>
          <w:rStyle w:val="Emphasis"/>
        </w:rPr>
        <w:t xml:space="preserve">Energy Policy, </w:t>
      </w:r>
      <w:r>
        <w:rPr>
          <w:rStyle w:val="Emphasis"/>
        </w:rPr>
        <w:tab/>
        <w:t>39</w:t>
      </w:r>
      <w:r>
        <w:t xml:space="preserve">(12), 7497–7504. </w:t>
      </w:r>
      <w:hyperlink r:id="rId21" w:tgtFrame="_new" w:history="1">
        <w:r>
          <w:rPr>
            <w:rStyle w:val="Hyperlink"/>
          </w:rPr>
          <w:t>https://doi.org/10.1016/j.enpol.2011.07.008</w:t>
        </w:r>
      </w:hyperlink>
    </w:p>
    <w:p w14:paraId="46708F7A" w14:textId="556EF9D9" w:rsidR="007E5885" w:rsidRDefault="007E5885" w:rsidP="002E73F9">
      <w:pPr>
        <w:pStyle w:val="NormalWeb"/>
        <w:spacing w:before="0" w:beforeAutospacing="0" w:after="0" w:afterAutospacing="0"/>
        <w:jc w:val="both"/>
      </w:pPr>
      <w:proofErr w:type="spellStart"/>
      <w:r>
        <w:t>Ravallion</w:t>
      </w:r>
      <w:proofErr w:type="spellEnd"/>
      <w:r>
        <w:t xml:space="preserve">, M. (2016). </w:t>
      </w:r>
      <w:r>
        <w:rPr>
          <w:rStyle w:val="Emphasis"/>
        </w:rPr>
        <w:t>The economics of poverty: History, measurement, and policy.</w:t>
      </w:r>
      <w:r>
        <w:t xml:space="preserve"> Oxford </w:t>
      </w:r>
      <w:r>
        <w:tab/>
        <w:t>University Press.</w:t>
      </w:r>
    </w:p>
    <w:p w14:paraId="673D038D" w14:textId="77777777" w:rsidR="007E5885" w:rsidRDefault="007E5885" w:rsidP="002E73F9">
      <w:pPr>
        <w:pStyle w:val="NormalWeb"/>
        <w:spacing w:before="0" w:beforeAutospacing="0" w:after="0" w:afterAutospacing="0"/>
        <w:jc w:val="both"/>
      </w:pPr>
      <w:r>
        <w:t xml:space="preserve">Sen, A. (1999). </w:t>
      </w:r>
      <w:r>
        <w:rPr>
          <w:rStyle w:val="Emphasis"/>
        </w:rPr>
        <w:t>Development as freedom.</w:t>
      </w:r>
      <w:r>
        <w:t xml:space="preserve"> Oxford University Press.</w:t>
      </w:r>
    </w:p>
    <w:p w14:paraId="2ABE15F6" w14:textId="02794E7B" w:rsidR="007E5885" w:rsidRDefault="007E5885" w:rsidP="002E73F9">
      <w:pPr>
        <w:pStyle w:val="NormalWeb"/>
        <w:spacing w:before="0" w:beforeAutospacing="0" w:after="0" w:afterAutospacing="0"/>
        <w:jc w:val="both"/>
      </w:pPr>
      <w:proofErr w:type="spellStart"/>
      <w:r>
        <w:t>Sovacool</w:t>
      </w:r>
      <w:proofErr w:type="spellEnd"/>
      <w:r>
        <w:t xml:space="preserve">, B. K., Burke, M., Baker, L., </w:t>
      </w:r>
      <w:proofErr w:type="spellStart"/>
      <w:r>
        <w:t>Kotikalapudi</w:t>
      </w:r>
      <w:proofErr w:type="spellEnd"/>
      <w:r>
        <w:t xml:space="preserve">, C. K., &amp; </w:t>
      </w:r>
      <w:proofErr w:type="spellStart"/>
      <w:r>
        <w:t>Wlokas</w:t>
      </w:r>
      <w:proofErr w:type="spellEnd"/>
      <w:r>
        <w:t xml:space="preserve">, H. (2017). New </w:t>
      </w:r>
      <w:r>
        <w:tab/>
        <w:t xml:space="preserve">frontiers and conceptual frameworks for energy justice. </w:t>
      </w:r>
      <w:r>
        <w:rPr>
          <w:rStyle w:val="Emphasis"/>
        </w:rPr>
        <w:t>Energy Policy, 105</w:t>
      </w:r>
      <w:r>
        <w:t xml:space="preserve">, 677–691. </w:t>
      </w:r>
      <w:r>
        <w:tab/>
      </w:r>
      <w:hyperlink r:id="rId22" w:history="1">
        <w:r w:rsidRPr="00BE6B50">
          <w:rPr>
            <w:rStyle w:val="Hyperlink"/>
          </w:rPr>
          <w:t>https://doi.org/10.1016/j.enpol.2017.03.005</w:t>
        </w:r>
      </w:hyperlink>
    </w:p>
    <w:p w14:paraId="595D3AC2" w14:textId="02C483EE" w:rsidR="007E5885" w:rsidRDefault="007E5885" w:rsidP="002E73F9">
      <w:pPr>
        <w:pStyle w:val="NormalWeb"/>
        <w:spacing w:before="0" w:beforeAutospacing="0" w:after="0" w:afterAutospacing="0"/>
        <w:jc w:val="both"/>
      </w:pPr>
      <w:r>
        <w:t xml:space="preserve">Umar, A., et al. (2025). Impact of energy poverty on human capital: Evidence from rural </w:t>
      </w:r>
      <w:r>
        <w:tab/>
        <w:t xml:space="preserve">households in Kano State, Nigeria. </w:t>
      </w:r>
      <w:r>
        <w:rPr>
          <w:rStyle w:val="Emphasis"/>
        </w:rPr>
        <w:t>Cogent Economics &amp; Finance.</w:t>
      </w:r>
    </w:p>
    <w:p w14:paraId="68A40DC0" w14:textId="4805E5C3" w:rsidR="007E5885" w:rsidRDefault="007E5885" w:rsidP="002E73F9">
      <w:pPr>
        <w:pStyle w:val="NormalWeb"/>
        <w:spacing w:before="0" w:beforeAutospacing="0" w:after="0" w:afterAutospacing="0"/>
        <w:jc w:val="both"/>
      </w:pPr>
      <w:r>
        <w:t xml:space="preserve">United Nations. (2015). </w:t>
      </w:r>
      <w:r>
        <w:rPr>
          <w:rStyle w:val="Emphasis"/>
        </w:rPr>
        <w:t xml:space="preserve">Transforming our world: The 2030 agenda for sustainable </w:t>
      </w:r>
      <w:r>
        <w:rPr>
          <w:rStyle w:val="Emphasis"/>
        </w:rPr>
        <w:tab/>
        <w:t>development.</w:t>
      </w:r>
      <w:r>
        <w:t xml:space="preserve"> New York: United Nations.</w:t>
      </w:r>
    </w:p>
    <w:p w14:paraId="78B06074" w14:textId="254C400E" w:rsidR="007E5885" w:rsidRDefault="007E5885" w:rsidP="002E73F9">
      <w:pPr>
        <w:pStyle w:val="NormalWeb"/>
        <w:spacing w:before="0" w:beforeAutospacing="0" w:after="0" w:afterAutospacing="0"/>
        <w:jc w:val="both"/>
      </w:pPr>
      <w:r>
        <w:t xml:space="preserve">United Nations. (2023). </w:t>
      </w:r>
      <w:r>
        <w:rPr>
          <w:rStyle w:val="Emphasis"/>
        </w:rPr>
        <w:t>Sustainable Development Goals report 2023.</w:t>
      </w:r>
      <w:r>
        <w:t xml:space="preserve"> New York: United </w:t>
      </w:r>
      <w:r>
        <w:tab/>
        <w:t>Nations.</w:t>
      </w:r>
    </w:p>
    <w:p w14:paraId="21713CF3" w14:textId="79422E20" w:rsidR="007E5885" w:rsidRDefault="007E5885" w:rsidP="002E73F9">
      <w:pPr>
        <w:pStyle w:val="NormalWeb"/>
        <w:spacing w:before="0" w:beforeAutospacing="0" w:after="0" w:afterAutospacing="0"/>
        <w:jc w:val="both"/>
      </w:pPr>
      <w:r>
        <w:t xml:space="preserve">United Nations. (2025). </w:t>
      </w:r>
      <w:r>
        <w:rPr>
          <w:rStyle w:val="Emphasis"/>
        </w:rPr>
        <w:t>Sustainable Development Goals report 2025.</w:t>
      </w:r>
      <w:r>
        <w:t xml:space="preserve"> New York: United </w:t>
      </w:r>
      <w:r>
        <w:tab/>
        <w:t>Nations.</w:t>
      </w:r>
    </w:p>
    <w:p w14:paraId="103C0508" w14:textId="77777777" w:rsidR="007E5885" w:rsidRDefault="007E5885" w:rsidP="002E73F9">
      <w:pPr>
        <w:pStyle w:val="NormalWeb"/>
        <w:spacing w:before="0" w:beforeAutospacing="0" w:after="0" w:afterAutospacing="0"/>
        <w:jc w:val="both"/>
      </w:pPr>
      <w:r>
        <w:t xml:space="preserve">World Bank. (2022). </w:t>
      </w:r>
      <w:r>
        <w:rPr>
          <w:rStyle w:val="Emphasis"/>
        </w:rPr>
        <w:t>World development indicators.</w:t>
      </w:r>
      <w:r>
        <w:t xml:space="preserve"> Washington, DC: World Bank.</w:t>
      </w:r>
    </w:p>
    <w:p w14:paraId="6999B3B5" w14:textId="77777777" w:rsidR="007E5885" w:rsidRDefault="007E5885" w:rsidP="002E73F9">
      <w:pPr>
        <w:pStyle w:val="NormalWeb"/>
        <w:spacing w:before="0" w:beforeAutospacing="0" w:after="0" w:afterAutospacing="0"/>
        <w:jc w:val="both"/>
      </w:pPr>
      <w:r>
        <w:lastRenderedPageBreak/>
        <w:t xml:space="preserve">World Bank. (2023). </w:t>
      </w:r>
      <w:r>
        <w:rPr>
          <w:rStyle w:val="Emphasis"/>
        </w:rPr>
        <w:t>Nigeria energy sector overview 2023.</w:t>
      </w:r>
      <w:r>
        <w:t xml:space="preserve"> Washington, DC: World Bank.</w:t>
      </w:r>
    </w:p>
    <w:p w14:paraId="4890229C" w14:textId="7AF0880B" w:rsidR="007E5885" w:rsidRDefault="007E5885" w:rsidP="002E73F9">
      <w:pPr>
        <w:pStyle w:val="NormalWeb"/>
        <w:spacing w:before="0" w:beforeAutospacing="0" w:after="0" w:afterAutospacing="0"/>
        <w:jc w:val="both"/>
      </w:pPr>
      <w:r>
        <w:t xml:space="preserve">World Bank. (2023). </w:t>
      </w:r>
      <w:r>
        <w:rPr>
          <w:rStyle w:val="Emphasis"/>
        </w:rPr>
        <w:t>Tracking SDG 7: Access to electricity and clean cooking.</w:t>
      </w:r>
      <w:r>
        <w:t xml:space="preserve"> Washington, </w:t>
      </w:r>
      <w:r>
        <w:tab/>
        <w:t>DC: World Bank.</w:t>
      </w:r>
    </w:p>
    <w:p w14:paraId="5C8C9E2D" w14:textId="78A0091A" w:rsidR="007E5885" w:rsidRDefault="007E5885" w:rsidP="002E73F9">
      <w:pPr>
        <w:pStyle w:val="NormalWeb"/>
        <w:spacing w:before="0" w:beforeAutospacing="0" w:after="0" w:afterAutospacing="0"/>
        <w:jc w:val="both"/>
      </w:pPr>
      <w:r>
        <w:t xml:space="preserve">World Bank. (2023). </w:t>
      </w:r>
      <w:r>
        <w:rPr>
          <w:rStyle w:val="Emphasis"/>
        </w:rPr>
        <w:t>World development report 2023: Migrants, refugees, and societies.</w:t>
      </w:r>
      <w:r>
        <w:t xml:space="preserve"> </w:t>
      </w:r>
      <w:r>
        <w:tab/>
        <w:t>Washington, DC: World Bank.</w:t>
      </w:r>
    </w:p>
    <w:p w14:paraId="199D0695" w14:textId="77777777" w:rsidR="007E5885" w:rsidRDefault="007E5885" w:rsidP="002E73F9">
      <w:pPr>
        <w:pStyle w:val="NormalWeb"/>
        <w:spacing w:before="0" w:beforeAutospacing="0" w:after="0" w:afterAutospacing="0"/>
        <w:jc w:val="both"/>
      </w:pPr>
      <w:r>
        <w:t xml:space="preserve">World Bank. (2025). </w:t>
      </w:r>
      <w:r>
        <w:rPr>
          <w:rStyle w:val="Emphasis"/>
        </w:rPr>
        <w:t>World development indicators 2025.</w:t>
      </w:r>
      <w:r>
        <w:t xml:space="preserve"> Washington, DC: World Bank.</w:t>
      </w:r>
    </w:p>
    <w:p w14:paraId="38123AA0" w14:textId="0257194D" w:rsidR="007E5885" w:rsidRDefault="007E5885" w:rsidP="002E73F9">
      <w:pPr>
        <w:pStyle w:val="NormalWeb"/>
        <w:spacing w:before="0" w:beforeAutospacing="0" w:after="0" w:afterAutospacing="0"/>
        <w:jc w:val="both"/>
      </w:pPr>
      <w:r>
        <w:t xml:space="preserve">Xie, Y., &amp; Xie, E. (2023). Measuring and analyzing the welfare effects of energy poverty in </w:t>
      </w:r>
      <w:r>
        <w:tab/>
        <w:t xml:space="preserve">rural China based on a multidimensional energy poverty index. </w:t>
      </w:r>
      <w:r>
        <w:rPr>
          <w:rStyle w:val="Emphasis"/>
        </w:rPr>
        <w:t>Sustainability, 15</w:t>
      </w:r>
      <w:r>
        <w:t xml:space="preserve">(18), </w:t>
      </w:r>
      <w:r>
        <w:tab/>
        <w:t>13603.</w:t>
      </w:r>
    </w:p>
    <w:p w14:paraId="2E5FE451" w14:textId="576FF056" w:rsidR="007E5885" w:rsidRDefault="007E5885" w:rsidP="002E73F9">
      <w:pPr>
        <w:pStyle w:val="NormalWeb"/>
        <w:spacing w:before="0" w:beforeAutospacing="0" w:after="0" w:afterAutospacing="0"/>
        <w:jc w:val="both"/>
      </w:pPr>
      <w:r>
        <w:t xml:space="preserve">Yeboah, K., </w:t>
      </w:r>
      <w:proofErr w:type="spellStart"/>
      <w:r>
        <w:t>Amaning</w:t>
      </w:r>
      <w:proofErr w:type="spellEnd"/>
      <w:r>
        <w:t xml:space="preserve">, E. O., Zakaria, I., &amp; Owusu, C. K. (2020). An economic assessment of </w:t>
      </w:r>
      <w:r>
        <w:tab/>
        <w:t xml:space="preserve">energy poverty and household welfare in Ghana. </w:t>
      </w:r>
      <w:r>
        <w:rPr>
          <w:rStyle w:val="Emphasis"/>
        </w:rPr>
        <w:t xml:space="preserve">Journal of Economics and Sustainable </w:t>
      </w:r>
      <w:r>
        <w:rPr>
          <w:rStyle w:val="Emphasis"/>
        </w:rPr>
        <w:tab/>
        <w:t>Development, 11</w:t>
      </w:r>
      <w:r>
        <w:t>(16), 1–12.</w:t>
      </w:r>
    </w:p>
    <w:p w14:paraId="19F34B34" w14:textId="77777777" w:rsidR="00A16D9C" w:rsidRDefault="00A16D9C" w:rsidP="007E5885">
      <w:pPr>
        <w:pStyle w:val="NormalWeb"/>
        <w:jc w:val="both"/>
      </w:pPr>
    </w:p>
    <w:p w14:paraId="4D3D4459" w14:textId="77777777" w:rsidR="00A16D9C" w:rsidRPr="00F83429" w:rsidRDefault="00A16D9C" w:rsidP="00665ACB">
      <w:pPr>
        <w:jc w:val="both"/>
        <w:rPr>
          <w:rFonts w:ascii="Times New Roman" w:hAnsi="Times New Roman" w:cs="Times New Roman"/>
          <w:sz w:val="24"/>
          <w:szCs w:val="24"/>
        </w:rPr>
      </w:pPr>
    </w:p>
    <w:sectPr w:rsidR="00A16D9C" w:rsidRPr="00F8342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44418" w14:textId="77777777" w:rsidR="00F740B3" w:rsidRDefault="00F740B3" w:rsidP="0061602D">
      <w:pPr>
        <w:spacing w:after="0" w:line="240" w:lineRule="auto"/>
      </w:pPr>
      <w:r>
        <w:separator/>
      </w:r>
    </w:p>
  </w:endnote>
  <w:endnote w:type="continuationSeparator" w:id="0">
    <w:p w14:paraId="54AAEE78" w14:textId="77777777" w:rsidR="00F740B3" w:rsidRDefault="00F740B3" w:rsidP="0061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BCF7" w14:textId="77777777" w:rsidR="0003027C" w:rsidRDefault="00030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284635"/>
      <w:docPartObj>
        <w:docPartGallery w:val="Page Numbers (Bottom of Page)"/>
        <w:docPartUnique/>
      </w:docPartObj>
    </w:sdtPr>
    <w:sdtEndPr>
      <w:rPr>
        <w:noProof/>
      </w:rPr>
    </w:sdtEndPr>
    <w:sdtContent>
      <w:p w14:paraId="1DD1F41F" w14:textId="7C34BCCD" w:rsidR="0061602D" w:rsidRDefault="006160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F1AB8B" w14:textId="77777777" w:rsidR="0061602D" w:rsidRDefault="00616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F90DA" w14:textId="77777777" w:rsidR="0003027C" w:rsidRDefault="0003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7DFF7" w14:textId="77777777" w:rsidR="00F740B3" w:rsidRDefault="00F740B3" w:rsidP="0061602D">
      <w:pPr>
        <w:spacing w:after="0" w:line="240" w:lineRule="auto"/>
      </w:pPr>
      <w:r>
        <w:separator/>
      </w:r>
    </w:p>
  </w:footnote>
  <w:footnote w:type="continuationSeparator" w:id="0">
    <w:p w14:paraId="509584BE" w14:textId="77777777" w:rsidR="00F740B3" w:rsidRDefault="00F740B3" w:rsidP="00616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3D5F" w14:textId="5AE7BCC0" w:rsidR="0003027C" w:rsidRDefault="0003027C">
    <w:pPr>
      <w:pStyle w:val="Header"/>
    </w:pPr>
    <w:r>
      <w:rPr>
        <w:noProof/>
      </w:rPr>
      <w:pict w14:anchorId="4B10B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24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F465" w14:textId="73DAAF93" w:rsidR="0003027C" w:rsidRDefault="0003027C">
    <w:pPr>
      <w:pStyle w:val="Header"/>
    </w:pPr>
    <w:r>
      <w:rPr>
        <w:noProof/>
      </w:rPr>
      <w:pict w14:anchorId="1157E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24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DD16" w14:textId="6AF9CA01" w:rsidR="0003027C" w:rsidRDefault="0003027C">
    <w:pPr>
      <w:pStyle w:val="Header"/>
    </w:pPr>
    <w:r>
      <w:rPr>
        <w:noProof/>
      </w:rPr>
      <w:pict w14:anchorId="6A30B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24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D042D"/>
    <w:multiLevelType w:val="hybridMultilevel"/>
    <w:tmpl w:val="2B84BB44"/>
    <w:lvl w:ilvl="0" w:tplc="796A7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E25B3"/>
    <w:multiLevelType w:val="multilevel"/>
    <w:tmpl w:val="3E5471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A00331"/>
    <w:multiLevelType w:val="multilevel"/>
    <w:tmpl w:val="4568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A0EA2"/>
    <w:multiLevelType w:val="multilevel"/>
    <w:tmpl w:val="FE74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D247D"/>
    <w:multiLevelType w:val="multilevel"/>
    <w:tmpl w:val="0BCC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A04A6"/>
    <w:multiLevelType w:val="multilevel"/>
    <w:tmpl w:val="FDAA09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29"/>
    <w:rsid w:val="00014B8E"/>
    <w:rsid w:val="0003027C"/>
    <w:rsid w:val="00043646"/>
    <w:rsid w:val="0004709A"/>
    <w:rsid w:val="000E23CB"/>
    <w:rsid w:val="001013ED"/>
    <w:rsid w:val="00120F96"/>
    <w:rsid w:val="00137A53"/>
    <w:rsid w:val="00143283"/>
    <w:rsid w:val="00153900"/>
    <w:rsid w:val="00155563"/>
    <w:rsid w:val="00176990"/>
    <w:rsid w:val="002051C6"/>
    <w:rsid w:val="00255D20"/>
    <w:rsid w:val="00256E7B"/>
    <w:rsid w:val="00270184"/>
    <w:rsid w:val="00276108"/>
    <w:rsid w:val="00293851"/>
    <w:rsid w:val="002A205E"/>
    <w:rsid w:val="002E73F9"/>
    <w:rsid w:val="002F363A"/>
    <w:rsid w:val="002F461C"/>
    <w:rsid w:val="00302FE1"/>
    <w:rsid w:val="00346019"/>
    <w:rsid w:val="003754C7"/>
    <w:rsid w:val="00413381"/>
    <w:rsid w:val="004609A4"/>
    <w:rsid w:val="00462223"/>
    <w:rsid w:val="004702B7"/>
    <w:rsid w:val="00483EB8"/>
    <w:rsid w:val="00484CC3"/>
    <w:rsid w:val="004858CF"/>
    <w:rsid w:val="00487A7A"/>
    <w:rsid w:val="00497046"/>
    <w:rsid w:val="004C327F"/>
    <w:rsid w:val="004D5E1F"/>
    <w:rsid w:val="004F47F6"/>
    <w:rsid w:val="00501D31"/>
    <w:rsid w:val="0050470D"/>
    <w:rsid w:val="005400B5"/>
    <w:rsid w:val="00563B0A"/>
    <w:rsid w:val="00583327"/>
    <w:rsid w:val="00585D00"/>
    <w:rsid w:val="00603FA3"/>
    <w:rsid w:val="0061602D"/>
    <w:rsid w:val="006411F5"/>
    <w:rsid w:val="0064310B"/>
    <w:rsid w:val="00662FA4"/>
    <w:rsid w:val="00665ACB"/>
    <w:rsid w:val="006B18EC"/>
    <w:rsid w:val="006B58CB"/>
    <w:rsid w:val="006C4B1E"/>
    <w:rsid w:val="006C73A2"/>
    <w:rsid w:val="006E05B7"/>
    <w:rsid w:val="006E3453"/>
    <w:rsid w:val="006F1932"/>
    <w:rsid w:val="006F3096"/>
    <w:rsid w:val="00702DBA"/>
    <w:rsid w:val="0072656A"/>
    <w:rsid w:val="00730B0E"/>
    <w:rsid w:val="00741D4C"/>
    <w:rsid w:val="007B4487"/>
    <w:rsid w:val="007C3F04"/>
    <w:rsid w:val="007E5885"/>
    <w:rsid w:val="00823CF5"/>
    <w:rsid w:val="0084223A"/>
    <w:rsid w:val="00853AE4"/>
    <w:rsid w:val="00867435"/>
    <w:rsid w:val="00890A07"/>
    <w:rsid w:val="008911F2"/>
    <w:rsid w:val="00894934"/>
    <w:rsid w:val="008D21AA"/>
    <w:rsid w:val="00914725"/>
    <w:rsid w:val="00914926"/>
    <w:rsid w:val="0093673E"/>
    <w:rsid w:val="00961C6F"/>
    <w:rsid w:val="009A6908"/>
    <w:rsid w:val="009C4678"/>
    <w:rsid w:val="009C5856"/>
    <w:rsid w:val="009E7BE6"/>
    <w:rsid w:val="00A13C31"/>
    <w:rsid w:val="00A16D9C"/>
    <w:rsid w:val="00A43554"/>
    <w:rsid w:val="00A74ED8"/>
    <w:rsid w:val="00AB4E87"/>
    <w:rsid w:val="00AD0AC7"/>
    <w:rsid w:val="00AD1AF5"/>
    <w:rsid w:val="00AF4B28"/>
    <w:rsid w:val="00B35CCE"/>
    <w:rsid w:val="00B83E95"/>
    <w:rsid w:val="00C30C79"/>
    <w:rsid w:val="00C6192E"/>
    <w:rsid w:val="00C65E35"/>
    <w:rsid w:val="00C823B8"/>
    <w:rsid w:val="00CA4357"/>
    <w:rsid w:val="00CB67C8"/>
    <w:rsid w:val="00CB7060"/>
    <w:rsid w:val="00CC1B90"/>
    <w:rsid w:val="00CE3C70"/>
    <w:rsid w:val="00D17588"/>
    <w:rsid w:val="00D25181"/>
    <w:rsid w:val="00D35C9C"/>
    <w:rsid w:val="00D728DC"/>
    <w:rsid w:val="00D94D45"/>
    <w:rsid w:val="00E3448E"/>
    <w:rsid w:val="00E45A7A"/>
    <w:rsid w:val="00E738C8"/>
    <w:rsid w:val="00E81A8E"/>
    <w:rsid w:val="00EA185C"/>
    <w:rsid w:val="00EB422D"/>
    <w:rsid w:val="00EB495C"/>
    <w:rsid w:val="00F26FDB"/>
    <w:rsid w:val="00F345FC"/>
    <w:rsid w:val="00F372E8"/>
    <w:rsid w:val="00F5256C"/>
    <w:rsid w:val="00F740B3"/>
    <w:rsid w:val="00F83429"/>
    <w:rsid w:val="00FA7528"/>
    <w:rsid w:val="00FB1185"/>
    <w:rsid w:val="00FB11B1"/>
    <w:rsid w:val="00FB4356"/>
    <w:rsid w:val="00FD6B7A"/>
    <w:rsid w:val="00FE0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475C8F"/>
  <w15:chartTrackingRefBased/>
  <w15:docId w15:val="{1DD581C4-E640-4FD6-A851-605DA250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609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29"/>
    <w:pPr>
      <w:ind w:left="720"/>
      <w:contextualSpacing/>
    </w:pPr>
  </w:style>
  <w:style w:type="character" w:customStyle="1" w:styleId="Heading1Char">
    <w:name w:val="Heading 1 Char"/>
    <w:basedOn w:val="DefaultParagraphFont"/>
    <w:link w:val="Heading1"/>
    <w:uiPriority w:val="9"/>
    <w:rsid w:val="004609A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4609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609A4"/>
    <w:rPr>
      <w:i/>
      <w:iCs/>
    </w:rPr>
  </w:style>
  <w:style w:type="character" w:customStyle="1" w:styleId="mord">
    <w:name w:val="mord"/>
    <w:basedOn w:val="DefaultParagraphFont"/>
    <w:rsid w:val="00F26FDB"/>
  </w:style>
  <w:style w:type="character" w:customStyle="1" w:styleId="mrel">
    <w:name w:val="mrel"/>
    <w:basedOn w:val="DefaultParagraphFont"/>
    <w:rsid w:val="00F26FDB"/>
  </w:style>
  <w:style w:type="character" w:customStyle="1" w:styleId="mopen">
    <w:name w:val="mopen"/>
    <w:basedOn w:val="DefaultParagraphFont"/>
    <w:rsid w:val="00F26FDB"/>
  </w:style>
  <w:style w:type="character" w:customStyle="1" w:styleId="mpunct">
    <w:name w:val="mpunct"/>
    <w:basedOn w:val="DefaultParagraphFont"/>
    <w:rsid w:val="00F26FDB"/>
  </w:style>
  <w:style w:type="character" w:customStyle="1" w:styleId="mclose">
    <w:name w:val="mclose"/>
    <w:basedOn w:val="DefaultParagraphFont"/>
    <w:rsid w:val="00F26FDB"/>
  </w:style>
  <w:style w:type="character" w:customStyle="1" w:styleId="whitespace-normal">
    <w:name w:val="whitespace-normal"/>
    <w:basedOn w:val="DefaultParagraphFont"/>
    <w:rsid w:val="00CB67C8"/>
  </w:style>
  <w:style w:type="character" w:customStyle="1" w:styleId="katex-mathml">
    <w:name w:val="katex-mathml"/>
    <w:basedOn w:val="DefaultParagraphFont"/>
    <w:rsid w:val="00CB67C8"/>
  </w:style>
  <w:style w:type="character" w:styleId="Strong">
    <w:name w:val="Strong"/>
    <w:basedOn w:val="DefaultParagraphFont"/>
    <w:uiPriority w:val="22"/>
    <w:qFormat/>
    <w:rsid w:val="00CB67C8"/>
    <w:rPr>
      <w:b/>
      <w:bCs/>
    </w:rPr>
  </w:style>
  <w:style w:type="character" w:customStyle="1" w:styleId="vlist-s">
    <w:name w:val="vlist-s"/>
    <w:basedOn w:val="DefaultParagraphFont"/>
    <w:rsid w:val="00E45A7A"/>
  </w:style>
  <w:style w:type="character" w:customStyle="1" w:styleId="mbin">
    <w:name w:val="mbin"/>
    <w:basedOn w:val="DefaultParagraphFont"/>
    <w:rsid w:val="00E45A7A"/>
  </w:style>
  <w:style w:type="character" w:styleId="Hyperlink">
    <w:name w:val="Hyperlink"/>
    <w:basedOn w:val="DefaultParagraphFont"/>
    <w:uiPriority w:val="99"/>
    <w:unhideWhenUsed/>
    <w:rsid w:val="00A74ED8"/>
    <w:rPr>
      <w:color w:val="0000FF"/>
      <w:u w:val="single"/>
    </w:rPr>
  </w:style>
  <w:style w:type="paragraph" w:styleId="Header">
    <w:name w:val="header"/>
    <w:basedOn w:val="Normal"/>
    <w:link w:val="HeaderChar"/>
    <w:uiPriority w:val="99"/>
    <w:unhideWhenUsed/>
    <w:rsid w:val="00616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02D"/>
  </w:style>
  <w:style w:type="paragraph" w:styleId="Footer">
    <w:name w:val="footer"/>
    <w:basedOn w:val="Normal"/>
    <w:link w:val="FooterChar"/>
    <w:uiPriority w:val="99"/>
    <w:unhideWhenUsed/>
    <w:rsid w:val="00616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02D"/>
  </w:style>
  <w:style w:type="character" w:styleId="UnresolvedMention">
    <w:name w:val="Unresolved Mention"/>
    <w:basedOn w:val="DefaultParagraphFont"/>
    <w:uiPriority w:val="99"/>
    <w:semiHidden/>
    <w:unhideWhenUsed/>
    <w:rsid w:val="00FA7528"/>
    <w:rPr>
      <w:color w:val="605E5C"/>
      <w:shd w:val="clear" w:color="auto" w:fill="E1DFDD"/>
    </w:rPr>
  </w:style>
  <w:style w:type="table" w:styleId="PlainTable2">
    <w:name w:val="Plain Table 2"/>
    <w:basedOn w:val="TableNormal"/>
    <w:uiPriority w:val="42"/>
    <w:rsid w:val="00302F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02F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73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88">
      <w:bodyDiv w:val="1"/>
      <w:marLeft w:val="0"/>
      <w:marRight w:val="0"/>
      <w:marTop w:val="0"/>
      <w:marBottom w:val="0"/>
      <w:divBdr>
        <w:top w:val="none" w:sz="0" w:space="0" w:color="auto"/>
        <w:left w:val="none" w:sz="0" w:space="0" w:color="auto"/>
        <w:bottom w:val="none" w:sz="0" w:space="0" w:color="auto"/>
        <w:right w:val="none" w:sz="0" w:space="0" w:color="auto"/>
      </w:divBdr>
    </w:div>
    <w:div w:id="29646997">
      <w:bodyDiv w:val="1"/>
      <w:marLeft w:val="0"/>
      <w:marRight w:val="0"/>
      <w:marTop w:val="0"/>
      <w:marBottom w:val="0"/>
      <w:divBdr>
        <w:top w:val="none" w:sz="0" w:space="0" w:color="auto"/>
        <w:left w:val="none" w:sz="0" w:space="0" w:color="auto"/>
        <w:bottom w:val="none" w:sz="0" w:space="0" w:color="auto"/>
        <w:right w:val="none" w:sz="0" w:space="0" w:color="auto"/>
      </w:divBdr>
    </w:div>
    <w:div w:id="45764838">
      <w:bodyDiv w:val="1"/>
      <w:marLeft w:val="0"/>
      <w:marRight w:val="0"/>
      <w:marTop w:val="0"/>
      <w:marBottom w:val="0"/>
      <w:divBdr>
        <w:top w:val="none" w:sz="0" w:space="0" w:color="auto"/>
        <w:left w:val="none" w:sz="0" w:space="0" w:color="auto"/>
        <w:bottom w:val="none" w:sz="0" w:space="0" w:color="auto"/>
        <w:right w:val="none" w:sz="0" w:space="0" w:color="auto"/>
      </w:divBdr>
    </w:div>
    <w:div w:id="182015425">
      <w:bodyDiv w:val="1"/>
      <w:marLeft w:val="0"/>
      <w:marRight w:val="0"/>
      <w:marTop w:val="0"/>
      <w:marBottom w:val="0"/>
      <w:divBdr>
        <w:top w:val="none" w:sz="0" w:space="0" w:color="auto"/>
        <w:left w:val="none" w:sz="0" w:space="0" w:color="auto"/>
        <w:bottom w:val="none" w:sz="0" w:space="0" w:color="auto"/>
        <w:right w:val="none" w:sz="0" w:space="0" w:color="auto"/>
      </w:divBdr>
    </w:div>
    <w:div w:id="287245076">
      <w:bodyDiv w:val="1"/>
      <w:marLeft w:val="0"/>
      <w:marRight w:val="0"/>
      <w:marTop w:val="0"/>
      <w:marBottom w:val="0"/>
      <w:divBdr>
        <w:top w:val="none" w:sz="0" w:space="0" w:color="auto"/>
        <w:left w:val="none" w:sz="0" w:space="0" w:color="auto"/>
        <w:bottom w:val="none" w:sz="0" w:space="0" w:color="auto"/>
        <w:right w:val="none" w:sz="0" w:space="0" w:color="auto"/>
      </w:divBdr>
    </w:div>
    <w:div w:id="369064691">
      <w:bodyDiv w:val="1"/>
      <w:marLeft w:val="0"/>
      <w:marRight w:val="0"/>
      <w:marTop w:val="0"/>
      <w:marBottom w:val="0"/>
      <w:divBdr>
        <w:top w:val="none" w:sz="0" w:space="0" w:color="auto"/>
        <w:left w:val="none" w:sz="0" w:space="0" w:color="auto"/>
        <w:bottom w:val="none" w:sz="0" w:space="0" w:color="auto"/>
        <w:right w:val="none" w:sz="0" w:space="0" w:color="auto"/>
      </w:divBdr>
    </w:div>
    <w:div w:id="503906752">
      <w:bodyDiv w:val="1"/>
      <w:marLeft w:val="0"/>
      <w:marRight w:val="0"/>
      <w:marTop w:val="0"/>
      <w:marBottom w:val="0"/>
      <w:divBdr>
        <w:top w:val="none" w:sz="0" w:space="0" w:color="auto"/>
        <w:left w:val="none" w:sz="0" w:space="0" w:color="auto"/>
        <w:bottom w:val="none" w:sz="0" w:space="0" w:color="auto"/>
        <w:right w:val="none" w:sz="0" w:space="0" w:color="auto"/>
      </w:divBdr>
    </w:div>
    <w:div w:id="506212173">
      <w:bodyDiv w:val="1"/>
      <w:marLeft w:val="0"/>
      <w:marRight w:val="0"/>
      <w:marTop w:val="0"/>
      <w:marBottom w:val="0"/>
      <w:divBdr>
        <w:top w:val="none" w:sz="0" w:space="0" w:color="auto"/>
        <w:left w:val="none" w:sz="0" w:space="0" w:color="auto"/>
        <w:bottom w:val="none" w:sz="0" w:space="0" w:color="auto"/>
        <w:right w:val="none" w:sz="0" w:space="0" w:color="auto"/>
      </w:divBdr>
    </w:div>
    <w:div w:id="517431606">
      <w:bodyDiv w:val="1"/>
      <w:marLeft w:val="0"/>
      <w:marRight w:val="0"/>
      <w:marTop w:val="0"/>
      <w:marBottom w:val="0"/>
      <w:divBdr>
        <w:top w:val="none" w:sz="0" w:space="0" w:color="auto"/>
        <w:left w:val="none" w:sz="0" w:space="0" w:color="auto"/>
        <w:bottom w:val="none" w:sz="0" w:space="0" w:color="auto"/>
        <w:right w:val="none" w:sz="0" w:space="0" w:color="auto"/>
      </w:divBdr>
    </w:div>
    <w:div w:id="546794301">
      <w:bodyDiv w:val="1"/>
      <w:marLeft w:val="0"/>
      <w:marRight w:val="0"/>
      <w:marTop w:val="0"/>
      <w:marBottom w:val="0"/>
      <w:divBdr>
        <w:top w:val="none" w:sz="0" w:space="0" w:color="auto"/>
        <w:left w:val="none" w:sz="0" w:space="0" w:color="auto"/>
        <w:bottom w:val="none" w:sz="0" w:space="0" w:color="auto"/>
        <w:right w:val="none" w:sz="0" w:space="0" w:color="auto"/>
      </w:divBdr>
    </w:div>
    <w:div w:id="573659012">
      <w:bodyDiv w:val="1"/>
      <w:marLeft w:val="0"/>
      <w:marRight w:val="0"/>
      <w:marTop w:val="0"/>
      <w:marBottom w:val="0"/>
      <w:divBdr>
        <w:top w:val="none" w:sz="0" w:space="0" w:color="auto"/>
        <w:left w:val="none" w:sz="0" w:space="0" w:color="auto"/>
        <w:bottom w:val="none" w:sz="0" w:space="0" w:color="auto"/>
        <w:right w:val="none" w:sz="0" w:space="0" w:color="auto"/>
      </w:divBdr>
    </w:div>
    <w:div w:id="690568463">
      <w:bodyDiv w:val="1"/>
      <w:marLeft w:val="0"/>
      <w:marRight w:val="0"/>
      <w:marTop w:val="0"/>
      <w:marBottom w:val="0"/>
      <w:divBdr>
        <w:top w:val="none" w:sz="0" w:space="0" w:color="auto"/>
        <w:left w:val="none" w:sz="0" w:space="0" w:color="auto"/>
        <w:bottom w:val="none" w:sz="0" w:space="0" w:color="auto"/>
        <w:right w:val="none" w:sz="0" w:space="0" w:color="auto"/>
      </w:divBdr>
    </w:div>
    <w:div w:id="756826828">
      <w:bodyDiv w:val="1"/>
      <w:marLeft w:val="0"/>
      <w:marRight w:val="0"/>
      <w:marTop w:val="0"/>
      <w:marBottom w:val="0"/>
      <w:divBdr>
        <w:top w:val="none" w:sz="0" w:space="0" w:color="auto"/>
        <w:left w:val="none" w:sz="0" w:space="0" w:color="auto"/>
        <w:bottom w:val="none" w:sz="0" w:space="0" w:color="auto"/>
        <w:right w:val="none" w:sz="0" w:space="0" w:color="auto"/>
      </w:divBdr>
    </w:div>
    <w:div w:id="904486790">
      <w:bodyDiv w:val="1"/>
      <w:marLeft w:val="0"/>
      <w:marRight w:val="0"/>
      <w:marTop w:val="0"/>
      <w:marBottom w:val="0"/>
      <w:divBdr>
        <w:top w:val="none" w:sz="0" w:space="0" w:color="auto"/>
        <w:left w:val="none" w:sz="0" w:space="0" w:color="auto"/>
        <w:bottom w:val="none" w:sz="0" w:space="0" w:color="auto"/>
        <w:right w:val="none" w:sz="0" w:space="0" w:color="auto"/>
      </w:divBdr>
    </w:div>
    <w:div w:id="1329555368">
      <w:bodyDiv w:val="1"/>
      <w:marLeft w:val="0"/>
      <w:marRight w:val="0"/>
      <w:marTop w:val="0"/>
      <w:marBottom w:val="0"/>
      <w:divBdr>
        <w:top w:val="none" w:sz="0" w:space="0" w:color="auto"/>
        <w:left w:val="none" w:sz="0" w:space="0" w:color="auto"/>
        <w:bottom w:val="none" w:sz="0" w:space="0" w:color="auto"/>
        <w:right w:val="none" w:sz="0" w:space="0" w:color="auto"/>
      </w:divBdr>
      <w:divsChild>
        <w:div w:id="856891980">
          <w:marLeft w:val="0"/>
          <w:marRight w:val="0"/>
          <w:marTop w:val="0"/>
          <w:marBottom w:val="0"/>
          <w:divBdr>
            <w:top w:val="none" w:sz="0" w:space="0" w:color="auto"/>
            <w:left w:val="none" w:sz="0" w:space="0" w:color="auto"/>
            <w:bottom w:val="none" w:sz="0" w:space="0" w:color="auto"/>
            <w:right w:val="none" w:sz="0" w:space="0" w:color="auto"/>
          </w:divBdr>
          <w:divsChild>
            <w:div w:id="654841398">
              <w:marLeft w:val="0"/>
              <w:marRight w:val="0"/>
              <w:marTop w:val="0"/>
              <w:marBottom w:val="0"/>
              <w:divBdr>
                <w:top w:val="none" w:sz="0" w:space="0" w:color="auto"/>
                <w:left w:val="none" w:sz="0" w:space="0" w:color="auto"/>
                <w:bottom w:val="none" w:sz="0" w:space="0" w:color="auto"/>
                <w:right w:val="none" w:sz="0" w:space="0" w:color="auto"/>
              </w:divBdr>
              <w:divsChild>
                <w:div w:id="982197128">
                  <w:marLeft w:val="0"/>
                  <w:marRight w:val="0"/>
                  <w:marTop w:val="0"/>
                  <w:marBottom w:val="0"/>
                  <w:divBdr>
                    <w:top w:val="none" w:sz="0" w:space="0" w:color="auto"/>
                    <w:left w:val="none" w:sz="0" w:space="0" w:color="auto"/>
                    <w:bottom w:val="none" w:sz="0" w:space="0" w:color="auto"/>
                    <w:right w:val="none" w:sz="0" w:space="0" w:color="auto"/>
                  </w:divBdr>
                  <w:divsChild>
                    <w:div w:id="1521554014">
                      <w:marLeft w:val="0"/>
                      <w:marRight w:val="0"/>
                      <w:marTop w:val="0"/>
                      <w:marBottom w:val="0"/>
                      <w:divBdr>
                        <w:top w:val="none" w:sz="0" w:space="0" w:color="auto"/>
                        <w:left w:val="none" w:sz="0" w:space="0" w:color="auto"/>
                        <w:bottom w:val="none" w:sz="0" w:space="0" w:color="auto"/>
                        <w:right w:val="none" w:sz="0" w:space="0" w:color="auto"/>
                      </w:divBdr>
                      <w:divsChild>
                        <w:div w:id="1139614825">
                          <w:marLeft w:val="0"/>
                          <w:marRight w:val="0"/>
                          <w:marTop w:val="0"/>
                          <w:marBottom w:val="0"/>
                          <w:divBdr>
                            <w:top w:val="none" w:sz="0" w:space="0" w:color="auto"/>
                            <w:left w:val="none" w:sz="0" w:space="0" w:color="auto"/>
                            <w:bottom w:val="none" w:sz="0" w:space="0" w:color="auto"/>
                            <w:right w:val="none" w:sz="0" w:space="0" w:color="auto"/>
                          </w:divBdr>
                          <w:divsChild>
                            <w:div w:id="53965096">
                              <w:marLeft w:val="0"/>
                              <w:marRight w:val="0"/>
                              <w:marTop w:val="0"/>
                              <w:marBottom w:val="0"/>
                              <w:divBdr>
                                <w:top w:val="none" w:sz="0" w:space="0" w:color="auto"/>
                                <w:left w:val="none" w:sz="0" w:space="0" w:color="auto"/>
                                <w:bottom w:val="none" w:sz="0" w:space="0" w:color="auto"/>
                                <w:right w:val="none" w:sz="0" w:space="0" w:color="auto"/>
                              </w:divBdr>
                              <w:divsChild>
                                <w:div w:id="13545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0715">
      <w:bodyDiv w:val="1"/>
      <w:marLeft w:val="0"/>
      <w:marRight w:val="0"/>
      <w:marTop w:val="0"/>
      <w:marBottom w:val="0"/>
      <w:divBdr>
        <w:top w:val="none" w:sz="0" w:space="0" w:color="auto"/>
        <w:left w:val="none" w:sz="0" w:space="0" w:color="auto"/>
        <w:bottom w:val="none" w:sz="0" w:space="0" w:color="auto"/>
        <w:right w:val="none" w:sz="0" w:space="0" w:color="auto"/>
      </w:divBdr>
    </w:div>
    <w:div w:id="1458530760">
      <w:bodyDiv w:val="1"/>
      <w:marLeft w:val="0"/>
      <w:marRight w:val="0"/>
      <w:marTop w:val="0"/>
      <w:marBottom w:val="0"/>
      <w:divBdr>
        <w:top w:val="none" w:sz="0" w:space="0" w:color="auto"/>
        <w:left w:val="none" w:sz="0" w:space="0" w:color="auto"/>
        <w:bottom w:val="none" w:sz="0" w:space="0" w:color="auto"/>
        <w:right w:val="none" w:sz="0" w:space="0" w:color="auto"/>
      </w:divBdr>
    </w:div>
    <w:div w:id="1477719122">
      <w:bodyDiv w:val="1"/>
      <w:marLeft w:val="0"/>
      <w:marRight w:val="0"/>
      <w:marTop w:val="0"/>
      <w:marBottom w:val="0"/>
      <w:divBdr>
        <w:top w:val="none" w:sz="0" w:space="0" w:color="auto"/>
        <w:left w:val="none" w:sz="0" w:space="0" w:color="auto"/>
        <w:bottom w:val="none" w:sz="0" w:space="0" w:color="auto"/>
        <w:right w:val="none" w:sz="0" w:space="0" w:color="auto"/>
      </w:divBdr>
    </w:div>
    <w:div w:id="1668899012">
      <w:bodyDiv w:val="1"/>
      <w:marLeft w:val="0"/>
      <w:marRight w:val="0"/>
      <w:marTop w:val="0"/>
      <w:marBottom w:val="0"/>
      <w:divBdr>
        <w:top w:val="none" w:sz="0" w:space="0" w:color="auto"/>
        <w:left w:val="none" w:sz="0" w:space="0" w:color="auto"/>
        <w:bottom w:val="none" w:sz="0" w:space="0" w:color="auto"/>
        <w:right w:val="none" w:sz="0" w:space="0" w:color="auto"/>
      </w:divBdr>
    </w:div>
    <w:div w:id="1681731924">
      <w:bodyDiv w:val="1"/>
      <w:marLeft w:val="0"/>
      <w:marRight w:val="0"/>
      <w:marTop w:val="0"/>
      <w:marBottom w:val="0"/>
      <w:divBdr>
        <w:top w:val="none" w:sz="0" w:space="0" w:color="auto"/>
        <w:left w:val="none" w:sz="0" w:space="0" w:color="auto"/>
        <w:bottom w:val="none" w:sz="0" w:space="0" w:color="auto"/>
        <w:right w:val="none" w:sz="0" w:space="0" w:color="auto"/>
      </w:divBdr>
    </w:div>
    <w:div w:id="1912688784">
      <w:bodyDiv w:val="1"/>
      <w:marLeft w:val="0"/>
      <w:marRight w:val="0"/>
      <w:marTop w:val="0"/>
      <w:marBottom w:val="0"/>
      <w:divBdr>
        <w:top w:val="none" w:sz="0" w:space="0" w:color="auto"/>
        <w:left w:val="none" w:sz="0" w:space="0" w:color="auto"/>
        <w:bottom w:val="none" w:sz="0" w:space="0" w:color="auto"/>
        <w:right w:val="none" w:sz="0" w:space="0" w:color="auto"/>
      </w:divBdr>
    </w:div>
    <w:div w:id="1945068328">
      <w:bodyDiv w:val="1"/>
      <w:marLeft w:val="0"/>
      <w:marRight w:val="0"/>
      <w:marTop w:val="0"/>
      <w:marBottom w:val="0"/>
      <w:divBdr>
        <w:top w:val="none" w:sz="0" w:space="0" w:color="auto"/>
        <w:left w:val="none" w:sz="0" w:space="0" w:color="auto"/>
        <w:bottom w:val="none" w:sz="0" w:space="0" w:color="auto"/>
        <w:right w:val="none" w:sz="0" w:space="0" w:color="auto"/>
      </w:divBdr>
    </w:div>
    <w:div w:id="1961765042">
      <w:bodyDiv w:val="1"/>
      <w:marLeft w:val="0"/>
      <w:marRight w:val="0"/>
      <w:marTop w:val="0"/>
      <w:marBottom w:val="0"/>
      <w:divBdr>
        <w:top w:val="none" w:sz="0" w:space="0" w:color="auto"/>
        <w:left w:val="none" w:sz="0" w:space="0" w:color="auto"/>
        <w:bottom w:val="none" w:sz="0" w:space="0" w:color="auto"/>
        <w:right w:val="none" w:sz="0" w:space="0" w:color="auto"/>
      </w:divBdr>
    </w:div>
    <w:div w:id="2090154167">
      <w:bodyDiv w:val="1"/>
      <w:marLeft w:val="0"/>
      <w:marRight w:val="0"/>
      <w:marTop w:val="0"/>
      <w:marBottom w:val="0"/>
      <w:divBdr>
        <w:top w:val="none" w:sz="0" w:space="0" w:color="auto"/>
        <w:left w:val="none" w:sz="0" w:space="0" w:color="auto"/>
        <w:bottom w:val="none" w:sz="0" w:space="0" w:color="auto"/>
        <w:right w:val="none" w:sz="0" w:space="0" w:color="auto"/>
      </w:divBdr>
    </w:div>
    <w:div w:id="2096779858">
      <w:bodyDiv w:val="1"/>
      <w:marLeft w:val="0"/>
      <w:marRight w:val="0"/>
      <w:marTop w:val="0"/>
      <w:marBottom w:val="0"/>
      <w:divBdr>
        <w:top w:val="none" w:sz="0" w:space="0" w:color="auto"/>
        <w:left w:val="none" w:sz="0" w:space="0" w:color="auto"/>
        <w:bottom w:val="none" w:sz="0" w:space="0" w:color="auto"/>
        <w:right w:val="none" w:sz="0" w:space="0" w:color="auto"/>
      </w:divBdr>
    </w:div>
    <w:div w:id="21463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ubeco.2010.11.006" TargetMode="External"/><Relationship Id="rId13" Type="http://schemas.openxmlformats.org/officeDocument/2006/relationships/hyperlink" Target="https://doi.org/10.1016/j.enpol.2016.03.019" TargetMode="External"/><Relationship Id="rId18" Type="http://schemas.openxmlformats.org/officeDocument/2006/relationships/hyperlink" Target="https://doi.org/10.1016/j.rser.2011.07.01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enpol.2011.07.008" TargetMode="External"/><Relationship Id="rId7" Type="http://schemas.openxmlformats.org/officeDocument/2006/relationships/chart" Target="charts/chart1.xml"/><Relationship Id="rId12" Type="http://schemas.openxmlformats.org/officeDocument/2006/relationships/hyperlink" Target="https://doi.org/10.1016/j.eneco.2014.03.014" TargetMode="External"/><Relationship Id="rId17" Type="http://schemas.openxmlformats.org/officeDocument/2006/relationships/hyperlink" Target="https://doi.org/10.1016/j.apenergy.2024.12184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enpol.2021.112263" TargetMode="External"/><Relationship Id="rId20" Type="http://schemas.openxmlformats.org/officeDocument/2006/relationships/hyperlink" Target="https://doi.org/10.1016/j.eneco.2022.10594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rss.2015.06.00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rser.2017.03.00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enpol.2020.111868" TargetMode="External"/><Relationship Id="rId19" Type="http://schemas.openxmlformats.org/officeDocument/2006/relationships/hyperlink" Target="https://doi.org/10.1016/j.rser.2020.109777" TargetMode="External"/><Relationship Id="rId4" Type="http://schemas.openxmlformats.org/officeDocument/2006/relationships/webSettings" Target="webSettings.xml"/><Relationship Id="rId9" Type="http://schemas.openxmlformats.org/officeDocument/2006/relationships/hyperlink" Target="https://doi.org/10.1016/j.eneco.2014.04.012" TargetMode="External"/><Relationship Id="rId14" Type="http://schemas.openxmlformats.org/officeDocument/2006/relationships/hyperlink" Target="https://doi.org/10.1257/aer.101.7.3078" TargetMode="External"/><Relationship Id="rId22" Type="http://schemas.openxmlformats.org/officeDocument/2006/relationships/hyperlink" Target="https://doi.org/10.1016/j.enpol.2017.03.005"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sic\OneDrive\Desktop\Data%20on%20Energy%20Povert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YEAR</c:v>
                </c:pt>
              </c:strCache>
            </c:strRef>
          </c:tx>
          <c:spPr>
            <a:solidFill>
              <a:schemeClr val="accent1"/>
            </a:solidFill>
            <a:ln>
              <a:noFill/>
            </a:ln>
            <a:effectLst/>
          </c:spPr>
          <c:invertIfNegative val="0"/>
          <c:val>
            <c:numRef>
              <c:f>Sheet1!$A$2:$A$36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val>
          <c:extLst>
            <c:ext xmlns:c16="http://schemas.microsoft.com/office/drawing/2014/chart" uri="{C3380CC4-5D6E-409C-BE32-E72D297353CC}">
              <c16:uniqueId val="{00000000-F053-404F-AEE6-951203D56EE9}"/>
            </c:ext>
          </c:extLst>
        </c:ser>
        <c:ser>
          <c:idx val="1"/>
          <c:order val="1"/>
          <c:tx>
            <c:strRef>
              <c:f>Sheet1!$B$1</c:f>
              <c:strCache>
                <c:ptCount val="1"/>
                <c:pt idx="0">
                  <c:v>HW</c:v>
                </c:pt>
              </c:strCache>
            </c:strRef>
          </c:tx>
          <c:spPr>
            <a:solidFill>
              <a:schemeClr val="accent2"/>
            </a:solidFill>
            <a:ln>
              <a:noFill/>
            </a:ln>
            <a:effectLst/>
          </c:spPr>
          <c:invertIfNegative val="0"/>
          <c:val>
            <c:numRef>
              <c:f>Sheet1!$B$2:$B$36</c:f>
              <c:numCache>
                <c:formatCode>General</c:formatCode>
                <c:ptCount val="35"/>
                <c:pt idx="0">
                  <c:v>1577.1961662774061</c:v>
                </c:pt>
                <c:pt idx="1">
                  <c:v>1541.590662610364</c:v>
                </c:pt>
                <c:pt idx="2">
                  <c:v>1571.1902261783032</c:v>
                </c:pt>
                <c:pt idx="3">
                  <c:v>1498.9589503778707</c:v>
                </c:pt>
                <c:pt idx="4">
                  <c:v>1433.3886109229045</c:v>
                </c:pt>
                <c:pt idx="5">
                  <c:v>1395.0748845685605</c:v>
                </c:pt>
                <c:pt idx="6">
                  <c:v>1416.1018947121204</c:v>
                </c:pt>
                <c:pt idx="7">
                  <c:v>1420.2387796120709</c:v>
                </c:pt>
                <c:pt idx="8">
                  <c:v>1419.3177091795499</c:v>
                </c:pt>
                <c:pt idx="9">
                  <c:v>1390.4692113907834</c:v>
                </c:pt>
                <c:pt idx="10">
                  <c:v>1421.6798795201305</c:v>
                </c:pt>
                <c:pt idx="11">
                  <c:v>1465.4572034230935</c:v>
                </c:pt>
                <c:pt idx="12">
                  <c:v>1644.3951887763255</c:v>
                </c:pt>
                <c:pt idx="13">
                  <c:v>1717.2145111175989</c:v>
                </c:pt>
                <c:pt idx="14">
                  <c:v>1824.8026945677343</c:v>
                </c:pt>
                <c:pt idx="15">
                  <c:v>1889.2517532581815</c:v>
                </c:pt>
                <c:pt idx="16">
                  <c:v>1949.1585680456521</c:v>
                </c:pt>
                <c:pt idx="17">
                  <c:v>2020.8331629945369</c:v>
                </c:pt>
                <c:pt idx="18">
                  <c:v>2098.2833922066798</c:v>
                </c:pt>
                <c:pt idx="19">
                  <c:v>2204.6072560373032</c:v>
                </c:pt>
                <c:pt idx="20">
                  <c:v>2315.466765096628</c:v>
                </c:pt>
                <c:pt idx="21">
                  <c:v>2370.9765709180256</c:v>
                </c:pt>
                <c:pt idx="22">
                  <c:v>2403.6538789692449</c:v>
                </c:pt>
                <c:pt idx="23">
                  <c:v>2495.341065737488</c:v>
                </c:pt>
                <c:pt idx="24">
                  <c:v>2583.6155695813991</c:v>
                </c:pt>
                <c:pt idx="25">
                  <c:v>2585.733606717974</c:v>
                </c:pt>
                <c:pt idx="26">
                  <c:v>2481.8149035032625</c:v>
                </c:pt>
                <c:pt idx="27">
                  <c:v>2441.7123640448822</c:v>
                </c:pt>
                <c:pt idx="28">
                  <c:v>2431.7785783256763</c:v>
                </c:pt>
                <c:pt idx="29">
                  <c:v>2431.5352847298218</c:v>
                </c:pt>
                <c:pt idx="30">
                  <c:v>2228.6863142288807</c:v>
                </c:pt>
                <c:pt idx="31">
                  <c:v>2206.6640625006658</c:v>
                </c:pt>
                <c:pt idx="32">
                  <c:v>2254.290804168922</c:v>
                </c:pt>
                <c:pt idx="33">
                  <c:v>2280.9193115611529</c:v>
                </c:pt>
                <c:pt idx="34">
                  <c:v>2324.6488120275098</c:v>
                </c:pt>
              </c:numCache>
            </c:numRef>
          </c:val>
          <c:extLst>
            <c:ext xmlns:c16="http://schemas.microsoft.com/office/drawing/2014/chart" uri="{C3380CC4-5D6E-409C-BE32-E72D297353CC}">
              <c16:uniqueId val="{00000001-F053-404F-AEE6-951203D56EE9}"/>
            </c:ext>
          </c:extLst>
        </c:ser>
        <c:dLbls>
          <c:showLegendKey val="0"/>
          <c:showVal val="0"/>
          <c:showCatName val="0"/>
          <c:showSerName val="0"/>
          <c:showPercent val="0"/>
          <c:showBubbleSize val="0"/>
        </c:dLbls>
        <c:gapWidth val="269"/>
        <c:axId val="1189311727"/>
        <c:axId val="1189314223"/>
      </c:barChart>
      <c:barChart>
        <c:barDir val="col"/>
        <c:grouping val="clustered"/>
        <c:varyColors val="0"/>
        <c:ser>
          <c:idx val="6"/>
          <c:order val="6"/>
          <c:tx>
            <c:strRef>
              <c:f>Sheet1!$G$1</c:f>
              <c:strCache>
                <c:ptCount val="1"/>
                <c:pt idx="0">
                  <c:v>IF</c:v>
                </c:pt>
              </c:strCache>
            </c:strRef>
          </c:tx>
          <c:spPr>
            <a:solidFill>
              <a:schemeClr val="accent1">
                <a:lumMod val="60000"/>
              </a:schemeClr>
            </a:solidFill>
            <a:ln>
              <a:noFill/>
            </a:ln>
            <a:effectLst/>
          </c:spPr>
          <c:invertIfNegative val="0"/>
          <c:val>
            <c:numRef>
              <c:f>Sheet1!$G$2:$G$36</c:f>
              <c:numCache>
                <c:formatCode>General</c:formatCode>
                <c:ptCount val="35"/>
                <c:pt idx="0">
                  <c:v>7.36440030557696</c:v>
                </c:pt>
                <c:pt idx="1">
                  <c:v>13.006973103742769</c:v>
                </c:pt>
                <c:pt idx="2">
                  <c:v>44.588842715022977</c:v>
                </c:pt>
                <c:pt idx="3">
                  <c:v>57.165252834921667</c:v>
                </c:pt>
                <c:pt idx="4">
                  <c:v>57.031708911965929</c:v>
                </c:pt>
                <c:pt idx="5">
                  <c:v>72.835502297263773</c:v>
                </c:pt>
                <c:pt idx="6">
                  <c:v>29.268292682927111</c:v>
                </c:pt>
                <c:pt idx="7">
                  <c:v>8.5298742138363366</c:v>
                </c:pt>
                <c:pt idx="8">
                  <c:v>9.9963781238680571</c:v>
                </c:pt>
                <c:pt idx="9">
                  <c:v>6.6183733947975147</c:v>
                </c:pt>
                <c:pt idx="10">
                  <c:v>6.9332921556516096</c:v>
                </c:pt>
                <c:pt idx="11">
                  <c:v>18.873646209386269</c:v>
                </c:pt>
                <c:pt idx="12">
                  <c:v>12.87657920310988</c:v>
                </c:pt>
                <c:pt idx="13">
                  <c:v>14.031783613143659</c:v>
                </c:pt>
                <c:pt idx="14">
                  <c:v>14.99803381832513</c:v>
                </c:pt>
                <c:pt idx="15">
                  <c:v>17.86349336616049</c:v>
                </c:pt>
                <c:pt idx="16">
                  <c:v>8.2252215201704715</c:v>
                </c:pt>
                <c:pt idx="17">
                  <c:v>5.3880079685862636</c:v>
                </c:pt>
                <c:pt idx="18">
                  <c:v>11.581075174825211</c:v>
                </c:pt>
                <c:pt idx="19">
                  <c:v>12.537827730468891</c:v>
                </c:pt>
                <c:pt idx="20">
                  <c:v>13.740052136369391</c:v>
                </c:pt>
                <c:pt idx="21">
                  <c:v>10.826137188001701</c:v>
                </c:pt>
                <c:pt idx="22">
                  <c:v>12.22424130205839</c:v>
                </c:pt>
                <c:pt idx="23">
                  <c:v>8.4955183826566945</c:v>
                </c:pt>
                <c:pt idx="24">
                  <c:v>8.047410879679072</c:v>
                </c:pt>
                <c:pt idx="25">
                  <c:v>9.0094349800770637</c:v>
                </c:pt>
                <c:pt idx="26">
                  <c:v>15.69681263879716</c:v>
                </c:pt>
                <c:pt idx="27">
                  <c:v>16.502266213964109</c:v>
                </c:pt>
                <c:pt idx="28">
                  <c:v>12.09510651734316</c:v>
                </c:pt>
                <c:pt idx="29">
                  <c:v>11.39642233781162</c:v>
                </c:pt>
                <c:pt idx="30">
                  <c:v>13.24602342765969</c:v>
                </c:pt>
                <c:pt idx="31">
                  <c:v>16.95284572216077</c:v>
                </c:pt>
                <c:pt idx="32">
                  <c:v>18.847187784327449</c:v>
                </c:pt>
                <c:pt idx="33">
                  <c:v>24.65955020311397</c:v>
                </c:pt>
                <c:pt idx="34">
                  <c:v>33.242096654540568</c:v>
                </c:pt>
              </c:numCache>
            </c:numRef>
          </c:val>
          <c:extLst>
            <c:ext xmlns:c16="http://schemas.microsoft.com/office/drawing/2014/chart" uri="{C3380CC4-5D6E-409C-BE32-E72D297353CC}">
              <c16:uniqueId val="{00000002-F053-404F-AEE6-951203D56EE9}"/>
            </c:ext>
          </c:extLst>
        </c:ser>
        <c:dLbls>
          <c:showLegendKey val="0"/>
          <c:showVal val="0"/>
          <c:showCatName val="0"/>
          <c:showSerName val="0"/>
          <c:showPercent val="0"/>
          <c:showBubbleSize val="0"/>
        </c:dLbls>
        <c:gapWidth val="269"/>
        <c:axId val="1201804511"/>
        <c:axId val="1201797023"/>
      </c:barChart>
      <c:lineChart>
        <c:grouping val="standard"/>
        <c:varyColors val="0"/>
        <c:ser>
          <c:idx val="3"/>
          <c:order val="3"/>
          <c:tx>
            <c:strRef>
              <c:f>Sheet1!$D$1</c:f>
              <c:strCache>
                <c:ptCount val="1"/>
                <c:pt idx="0">
                  <c:v>EC</c:v>
                </c:pt>
              </c:strCache>
            </c:strRef>
          </c:tx>
          <c:spPr>
            <a:ln w="38100" cap="rnd">
              <a:solidFill>
                <a:schemeClr val="accent4"/>
              </a:solidFill>
              <a:round/>
            </a:ln>
            <a:effectLst/>
          </c:spPr>
          <c:marker>
            <c:symbol val="none"/>
          </c:marker>
          <c:val>
            <c:numRef>
              <c:f>Sheet1!$D$2:$D$36</c:f>
              <c:numCache>
                <c:formatCode>General</c:formatCode>
                <c:ptCount val="35"/>
                <c:pt idx="0">
                  <c:v>110.90297997058821</c:v>
                </c:pt>
                <c:pt idx="1">
                  <c:v>112.91598182522006</c:v>
                </c:pt>
                <c:pt idx="2">
                  <c:v>115.20641670631751</c:v>
                </c:pt>
                <c:pt idx="3">
                  <c:v>109.59639692784205</c:v>
                </c:pt>
                <c:pt idx="4">
                  <c:v>114.09569218210758</c:v>
                </c:pt>
                <c:pt idx="5">
                  <c:v>114.47451253763916</c:v>
                </c:pt>
                <c:pt idx="6">
                  <c:v>114.23695878306792</c:v>
                </c:pt>
                <c:pt idx="7">
                  <c:v>110.43658062445951</c:v>
                </c:pt>
                <c:pt idx="8">
                  <c:v>100.87090415024569</c:v>
                </c:pt>
                <c:pt idx="9">
                  <c:v>104.61016135906088</c:v>
                </c:pt>
                <c:pt idx="10">
                  <c:v>95.551208223506023</c:v>
                </c:pt>
                <c:pt idx="11">
                  <c:v>97.433752960196117</c:v>
                </c:pt>
                <c:pt idx="12">
                  <c:v>130.99377727861688</c:v>
                </c:pt>
                <c:pt idx="13">
                  <c:v>119.66241700123506</c:v>
                </c:pt>
                <c:pt idx="14">
                  <c:v>139.60309462033604</c:v>
                </c:pt>
                <c:pt idx="15">
                  <c:v>132.05325300155837</c:v>
                </c:pt>
                <c:pt idx="16">
                  <c:v>126.62555395577439</c:v>
                </c:pt>
                <c:pt idx="17">
                  <c:v>131.28048265963335</c:v>
                </c:pt>
                <c:pt idx="18">
                  <c:v>121.80588403640739</c:v>
                </c:pt>
                <c:pt idx="19">
                  <c:v>111.46596572513192</c:v>
                </c:pt>
                <c:pt idx="20">
                  <c:v>140.75608364103823</c:v>
                </c:pt>
                <c:pt idx="21">
                  <c:v>142.85247652407261</c:v>
                </c:pt>
                <c:pt idx="22">
                  <c:v>149.863259565623</c:v>
                </c:pt>
                <c:pt idx="23">
                  <c:v>159.895548532563</c:v>
                </c:pt>
                <c:pt idx="24">
                  <c:v>187.86218157520258</c:v>
                </c:pt>
                <c:pt idx="25">
                  <c:v>200.67458505863146</c:v>
                </c:pt>
                <c:pt idx="26">
                  <c:v>219.2344905463824</c:v>
                </c:pt>
                <c:pt idx="27">
                  <c:v>138.18909978582812</c:v>
                </c:pt>
                <c:pt idx="28">
                  <c:v>139.61732128215573</c:v>
                </c:pt>
                <c:pt idx="29">
                  <c:v>138.39134683221559</c:v>
                </c:pt>
                <c:pt idx="30">
                  <c:v>141.08195697193307</c:v>
                </c:pt>
                <c:pt idx="31">
                  <c:v>142.79093009071562</c:v>
                </c:pt>
                <c:pt idx="32">
                  <c:v>135.60330943058369</c:v>
                </c:pt>
                <c:pt idx="33">
                  <c:v>0</c:v>
                </c:pt>
                <c:pt idx="34">
                  <c:v>0</c:v>
                </c:pt>
              </c:numCache>
            </c:numRef>
          </c:val>
          <c:smooth val="0"/>
          <c:extLst>
            <c:ext xmlns:c16="http://schemas.microsoft.com/office/drawing/2014/chart" uri="{C3380CC4-5D6E-409C-BE32-E72D297353CC}">
              <c16:uniqueId val="{00000003-F053-404F-AEE6-951203D56EE9}"/>
            </c:ext>
          </c:extLst>
        </c:ser>
        <c:dLbls>
          <c:showLegendKey val="0"/>
          <c:showVal val="0"/>
          <c:showCatName val="0"/>
          <c:showSerName val="0"/>
          <c:showPercent val="0"/>
          <c:showBubbleSize val="0"/>
        </c:dLbls>
        <c:marker val="1"/>
        <c:smooth val="0"/>
        <c:axId val="1189311727"/>
        <c:axId val="1189314223"/>
      </c:lineChart>
      <c:lineChart>
        <c:grouping val="standard"/>
        <c:varyColors val="0"/>
        <c:ser>
          <c:idx val="2"/>
          <c:order val="2"/>
          <c:tx>
            <c:strRef>
              <c:f>Sheet1!$C$1</c:f>
              <c:strCache>
                <c:ptCount val="1"/>
                <c:pt idx="0">
                  <c:v>EA</c:v>
                </c:pt>
              </c:strCache>
            </c:strRef>
          </c:tx>
          <c:spPr>
            <a:ln w="38100" cap="rnd">
              <a:solidFill>
                <a:schemeClr val="accent3"/>
              </a:solidFill>
              <a:round/>
            </a:ln>
            <a:effectLst/>
          </c:spPr>
          <c:marker>
            <c:symbol val="none"/>
          </c:marker>
          <c:val>
            <c:numRef>
              <c:f>Sheet1!$C$2:$C$36</c:f>
              <c:numCache>
                <c:formatCode>General</c:formatCode>
                <c:ptCount val="35"/>
                <c:pt idx="0">
                  <c:v>27.3</c:v>
                </c:pt>
                <c:pt idx="1">
                  <c:v>35.2346000671387</c:v>
                </c:pt>
                <c:pt idx="2">
                  <c:v>36.099460601806598</c:v>
                </c:pt>
                <c:pt idx="3">
                  <c:v>36.963645935058601</c:v>
                </c:pt>
                <c:pt idx="4">
                  <c:v>37.826469421386697</c:v>
                </c:pt>
                <c:pt idx="5">
                  <c:v>38.687252044677699</c:v>
                </c:pt>
                <c:pt idx="6">
                  <c:v>39.545318603515597</c:v>
                </c:pt>
                <c:pt idx="7">
                  <c:v>40.399982452392599</c:v>
                </c:pt>
                <c:pt idx="8">
                  <c:v>41.250568389892599</c:v>
                </c:pt>
                <c:pt idx="9">
                  <c:v>44.9</c:v>
                </c:pt>
                <c:pt idx="10">
                  <c:v>43.2</c:v>
                </c:pt>
                <c:pt idx="11">
                  <c:v>43.9</c:v>
                </c:pt>
                <c:pt idx="12">
                  <c:v>44.6</c:v>
                </c:pt>
                <c:pt idx="13">
                  <c:v>52.2</c:v>
                </c:pt>
                <c:pt idx="14">
                  <c:v>46.1</c:v>
                </c:pt>
                <c:pt idx="15">
                  <c:v>46.8</c:v>
                </c:pt>
                <c:pt idx="16">
                  <c:v>47.6</c:v>
                </c:pt>
                <c:pt idx="17">
                  <c:v>50.1</c:v>
                </c:pt>
                <c:pt idx="18">
                  <c:v>50.3</c:v>
                </c:pt>
                <c:pt idx="19">
                  <c:v>50</c:v>
                </c:pt>
                <c:pt idx="20">
                  <c:v>48</c:v>
                </c:pt>
                <c:pt idx="21">
                  <c:v>55.9</c:v>
                </c:pt>
                <c:pt idx="22">
                  <c:v>53</c:v>
                </c:pt>
                <c:pt idx="23">
                  <c:v>55.6</c:v>
                </c:pt>
                <c:pt idx="24">
                  <c:v>54.2</c:v>
                </c:pt>
                <c:pt idx="25">
                  <c:v>52.5</c:v>
                </c:pt>
                <c:pt idx="26">
                  <c:v>59.3</c:v>
                </c:pt>
                <c:pt idx="27">
                  <c:v>54.4</c:v>
                </c:pt>
                <c:pt idx="28">
                  <c:v>56.5</c:v>
                </c:pt>
                <c:pt idx="29">
                  <c:v>55.4</c:v>
                </c:pt>
                <c:pt idx="30">
                  <c:v>55.4</c:v>
                </c:pt>
                <c:pt idx="31">
                  <c:v>59.5</c:v>
                </c:pt>
                <c:pt idx="32">
                  <c:v>60.5</c:v>
                </c:pt>
                <c:pt idx="33">
                  <c:v>61.2</c:v>
                </c:pt>
                <c:pt idx="34">
                  <c:v>0</c:v>
                </c:pt>
              </c:numCache>
            </c:numRef>
          </c:val>
          <c:smooth val="0"/>
          <c:extLst>
            <c:ext xmlns:c16="http://schemas.microsoft.com/office/drawing/2014/chart" uri="{C3380CC4-5D6E-409C-BE32-E72D297353CC}">
              <c16:uniqueId val="{00000004-F053-404F-AEE6-951203D56EE9}"/>
            </c:ext>
          </c:extLst>
        </c:ser>
        <c:ser>
          <c:idx val="4"/>
          <c:order val="4"/>
          <c:tx>
            <c:strRef>
              <c:f>Sheet1!$E$1</c:f>
              <c:strCache>
                <c:ptCount val="1"/>
                <c:pt idx="0">
                  <c:v>EU</c:v>
                </c:pt>
              </c:strCache>
            </c:strRef>
          </c:tx>
          <c:spPr>
            <a:ln w="38100" cap="rnd">
              <a:solidFill>
                <a:schemeClr val="accent5"/>
              </a:solidFill>
              <a:round/>
            </a:ln>
            <a:effectLst/>
          </c:spPr>
          <c:marker>
            <c:symbol val="none"/>
          </c:marker>
          <c:val>
            <c:numRef>
              <c:f>Sheet1!$E$2:$E$36</c:f>
              <c:numCache>
                <c:formatCode>General</c:formatCode>
                <c:ptCount val="35"/>
                <c:pt idx="0">
                  <c:v>287.47997415475089</c:v>
                </c:pt>
                <c:pt idx="1">
                  <c:v>298.65796158108532</c:v>
                </c:pt>
                <c:pt idx="2">
                  <c:v>307.48576486744275</c:v>
                </c:pt>
                <c:pt idx="3">
                  <c:v>299.65413571232887</c:v>
                </c:pt>
                <c:pt idx="4">
                  <c:v>263.01863209239809</c:v>
                </c:pt>
                <c:pt idx="5">
                  <c:v>256.918214458953</c:v>
                </c:pt>
                <c:pt idx="6">
                  <c:v>268.0731513067833</c:v>
                </c:pt>
                <c:pt idx="7">
                  <c:v>278.48922683301424</c:v>
                </c:pt>
                <c:pt idx="8">
                  <c:v>269.36501080445288</c:v>
                </c:pt>
                <c:pt idx="9">
                  <c:v>272.18019278174444</c:v>
                </c:pt>
                <c:pt idx="10">
                  <c:v>273.94108554367506</c:v>
                </c:pt>
                <c:pt idx="11">
                  <c:v>282.89430791567582</c:v>
                </c:pt>
                <c:pt idx="12">
                  <c:v>283.67157847805947</c:v>
                </c:pt>
                <c:pt idx="13">
                  <c:v>296.74951453142182</c:v>
                </c:pt>
                <c:pt idx="14">
                  <c:v>286.27921155870735</c:v>
                </c:pt>
                <c:pt idx="15">
                  <c:v>305.40193536638293</c:v>
                </c:pt>
                <c:pt idx="16">
                  <c:v>287.95079633113374</c:v>
                </c:pt>
                <c:pt idx="17">
                  <c:v>281.71603232754057</c:v>
                </c:pt>
                <c:pt idx="18">
                  <c:v>287.09639476019146</c:v>
                </c:pt>
                <c:pt idx="19">
                  <c:v>260.35467969843575</c:v>
                </c:pt>
                <c:pt idx="20">
                  <c:v>334.66956339926986</c:v>
                </c:pt>
                <c:pt idx="21">
                  <c:v>376.06986455258925</c:v>
                </c:pt>
                <c:pt idx="22">
                  <c:v>356.72809443126778</c:v>
                </c:pt>
                <c:pt idx="23">
                  <c:v>350.97354865403207</c:v>
                </c:pt>
                <c:pt idx="24">
                  <c:v>348.50584405206774</c:v>
                </c:pt>
                <c:pt idx="25">
                  <c:v>319.58085442100537</c:v>
                </c:pt>
                <c:pt idx="26">
                  <c:v>330.71892495146994</c:v>
                </c:pt>
                <c:pt idx="27">
                  <c:v>316.08900566368322</c:v>
                </c:pt>
                <c:pt idx="28">
                  <c:v>299.75004144884065</c:v>
                </c:pt>
                <c:pt idx="29">
                  <c:v>330.32553794705672</c:v>
                </c:pt>
                <c:pt idx="30">
                  <c:v>323.13089320510073</c:v>
                </c:pt>
                <c:pt idx="31">
                  <c:v>334.28545037692982</c:v>
                </c:pt>
                <c:pt idx="32">
                  <c:v>333.06072958494099</c:v>
                </c:pt>
                <c:pt idx="33">
                  <c:v>0</c:v>
                </c:pt>
                <c:pt idx="34">
                  <c:v>0</c:v>
                </c:pt>
              </c:numCache>
            </c:numRef>
          </c:val>
          <c:smooth val="0"/>
          <c:extLst>
            <c:ext xmlns:c16="http://schemas.microsoft.com/office/drawing/2014/chart" uri="{C3380CC4-5D6E-409C-BE32-E72D297353CC}">
              <c16:uniqueId val="{00000005-F053-404F-AEE6-951203D56EE9}"/>
            </c:ext>
          </c:extLst>
        </c:ser>
        <c:ser>
          <c:idx val="5"/>
          <c:order val="5"/>
          <c:tx>
            <c:strRef>
              <c:f>Sheet1!$F$1</c:f>
              <c:strCache>
                <c:ptCount val="1"/>
                <c:pt idx="0">
                  <c:v>EG</c:v>
                </c:pt>
              </c:strCache>
            </c:strRef>
          </c:tx>
          <c:spPr>
            <a:ln w="38100" cap="rnd">
              <a:solidFill>
                <a:schemeClr val="accent6"/>
              </a:solidFill>
              <a:round/>
            </a:ln>
            <a:effectLst/>
          </c:spPr>
          <c:marker>
            <c:symbol val="none"/>
          </c:marker>
          <c:val>
            <c:numRef>
              <c:f>Sheet1!$F$2:$F$36</c:f>
              <c:numCache>
                <c:formatCode>General</c:formatCode>
                <c:ptCount val="35"/>
                <c:pt idx="0">
                  <c:v>32.585604991458069</c:v>
                </c:pt>
                <c:pt idx="1">
                  <c:v>41.864897296534195</c:v>
                </c:pt>
                <c:pt idx="2">
                  <c:v>40.845355264931918</c:v>
                </c:pt>
                <c:pt idx="3">
                  <c:v>38.414339882799034</c:v>
                </c:pt>
                <c:pt idx="4">
                  <c:v>35.812246474792353</c:v>
                </c:pt>
                <c:pt idx="5">
                  <c:v>34.684997162136597</c:v>
                </c:pt>
                <c:pt idx="6">
                  <c:v>33.860740011081695</c:v>
                </c:pt>
                <c:pt idx="7">
                  <c:v>34.702488056089841</c:v>
                </c:pt>
                <c:pt idx="8">
                  <c:v>38.217192773476278</c:v>
                </c:pt>
                <c:pt idx="9">
                  <c:v>38.212443284231462</c:v>
                </c:pt>
                <c:pt idx="10">
                  <c:v>37.283868830738655</c:v>
                </c:pt>
                <c:pt idx="11">
                  <c:v>37.360900354071823</c:v>
                </c:pt>
                <c:pt idx="12">
                  <c:v>37.677313077697441</c:v>
                </c:pt>
                <c:pt idx="13">
                  <c:v>36.292758990351821</c:v>
                </c:pt>
                <c:pt idx="14">
                  <c:v>32.940602908913625</c:v>
                </c:pt>
                <c:pt idx="15">
                  <c:v>32.451852780214729</c:v>
                </c:pt>
                <c:pt idx="16">
                  <c:v>26.542634344804206</c:v>
                </c:pt>
                <c:pt idx="17">
                  <c:v>26.306450931519581</c:v>
                </c:pt>
                <c:pt idx="18">
                  <c:v>25.333215250409602</c:v>
                </c:pt>
                <c:pt idx="19">
                  <c:v>21.312941176470588</c:v>
                </c:pt>
                <c:pt idx="20">
                  <c:v>23.098387389019752</c:v>
                </c:pt>
                <c:pt idx="21">
                  <c:v>20.425664884383028</c:v>
                </c:pt>
                <c:pt idx="22">
                  <c:v>18.216642523740546</c:v>
                </c:pt>
                <c:pt idx="23">
                  <c:v>15.638488416478257</c:v>
                </c:pt>
                <c:pt idx="24">
                  <c:v>13.012048192771083</c:v>
                </c:pt>
                <c:pt idx="25">
                  <c:v>14.268577140953015</c:v>
                </c:pt>
                <c:pt idx="26">
                  <c:v>15.567992970525873</c:v>
                </c:pt>
                <c:pt idx="27">
                  <c:v>22.120684239083875</c:v>
                </c:pt>
                <c:pt idx="28">
                  <c:v>20.984590208645848</c:v>
                </c:pt>
                <c:pt idx="29">
                  <c:v>23.145962562441674</c:v>
                </c:pt>
                <c:pt idx="30">
                  <c:v>20.259801854974704</c:v>
                </c:pt>
                <c:pt idx="31">
                  <c:v>20.289706971872366</c:v>
                </c:pt>
                <c:pt idx="32">
                  <c:v>24.275352762758803</c:v>
                </c:pt>
                <c:pt idx="33">
                  <c:v>0</c:v>
                </c:pt>
                <c:pt idx="34">
                  <c:v>0</c:v>
                </c:pt>
              </c:numCache>
            </c:numRef>
          </c:val>
          <c:smooth val="0"/>
          <c:extLst>
            <c:ext xmlns:c16="http://schemas.microsoft.com/office/drawing/2014/chart" uri="{C3380CC4-5D6E-409C-BE32-E72D297353CC}">
              <c16:uniqueId val="{00000006-F053-404F-AEE6-951203D56EE9}"/>
            </c:ext>
          </c:extLst>
        </c:ser>
        <c:dLbls>
          <c:showLegendKey val="0"/>
          <c:showVal val="0"/>
          <c:showCatName val="0"/>
          <c:showSerName val="0"/>
          <c:showPercent val="0"/>
          <c:showBubbleSize val="0"/>
        </c:dLbls>
        <c:marker val="1"/>
        <c:smooth val="0"/>
        <c:axId val="1201804511"/>
        <c:axId val="1201797023"/>
      </c:lineChart>
      <c:catAx>
        <c:axId val="118931172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189314223"/>
        <c:crosses val="autoZero"/>
        <c:auto val="1"/>
        <c:lblAlgn val="ctr"/>
        <c:lblOffset val="100"/>
        <c:noMultiLvlLbl val="0"/>
      </c:catAx>
      <c:valAx>
        <c:axId val="118931422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311727"/>
        <c:crosses val="autoZero"/>
        <c:crossBetween val="between"/>
      </c:valAx>
      <c:valAx>
        <c:axId val="1201797023"/>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1804511"/>
        <c:crosses val="max"/>
        <c:crossBetween val="between"/>
      </c:valAx>
      <c:catAx>
        <c:axId val="1201804511"/>
        <c:scaling>
          <c:orientation val="minMax"/>
        </c:scaling>
        <c:delete val="1"/>
        <c:axPos val="b"/>
        <c:majorTickMark val="out"/>
        <c:minorTickMark val="none"/>
        <c:tickLblPos val="nextTo"/>
        <c:crossAx val="1201797023"/>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2169</TotalTime>
  <Pages>16</Pages>
  <Words>7583</Words>
  <Characters>43228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Eche</dc:creator>
  <cp:keywords/>
  <dc:description/>
  <cp:lastModifiedBy>SDI PC 1170</cp:lastModifiedBy>
  <cp:revision>111</cp:revision>
  <dcterms:created xsi:type="dcterms:W3CDTF">2026-03-13T19:28:00Z</dcterms:created>
  <dcterms:modified xsi:type="dcterms:W3CDTF">2026-03-16T09:46:00Z</dcterms:modified>
</cp:coreProperties>
</file>