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5845B" w14:textId="2FBD5A7C" w:rsidR="005A5007" w:rsidRDefault="005A5007" w:rsidP="00714A45">
      <w:pPr>
        <w:spacing w:line="276" w:lineRule="auto"/>
        <w:jc w:val="center"/>
        <w:rPr>
          <w:rFonts w:ascii="Times New Roman" w:hAnsi="Times New Roman" w:cs="Times New Roman"/>
          <w:b/>
          <w:bCs/>
        </w:rPr>
      </w:pPr>
      <w:r w:rsidRPr="0035579B">
        <w:rPr>
          <w:rFonts w:ascii="Times New Roman" w:hAnsi="Times New Roman" w:cs="Times New Roman"/>
          <w:b/>
          <w:bCs/>
        </w:rPr>
        <w:t xml:space="preserve">Socio-Economic </w:t>
      </w:r>
      <w:r>
        <w:rPr>
          <w:rFonts w:ascii="Times New Roman" w:hAnsi="Times New Roman" w:cs="Times New Roman"/>
          <w:b/>
          <w:bCs/>
        </w:rPr>
        <w:t xml:space="preserve">and demographic </w:t>
      </w:r>
      <w:r w:rsidRPr="0035579B">
        <w:rPr>
          <w:rFonts w:ascii="Times New Roman" w:hAnsi="Times New Roman" w:cs="Times New Roman"/>
          <w:b/>
          <w:bCs/>
        </w:rPr>
        <w:t xml:space="preserve">Factors Influencing Financial Literacy </w:t>
      </w:r>
      <w:r>
        <w:rPr>
          <w:rFonts w:ascii="Times New Roman" w:hAnsi="Times New Roman" w:cs="Times New Roman"/>
          <w:b/>
          <w:bCs/>
        </w:rPr>
        <w:t>among</w:t>
      </w:r>
      <w:r w:rsidRPr="0035579B">
        <w:rPr>
          <w:rFonts w:ascii="Times New Roman" w:hAnsi="Times New Roman" w:cs="Times New Roman"/>
          <w:b/>
          <w:bCs/>
        </w:rPr>
        <w:t xml:space="preserve"> Online Banking Customers</w:t>
      </w:r>
    </w:p>
    <w:p w14:paraId="2CB933DA" w14:textId="77777777" w:rsidR="00ED6EAA" w:rsidRPr="006242DD" w:rsidRDefault="00ED6EAA" w:rsidP="00714A45">
      <w:pPr>
        <w:spacing w:after="0" w:line="276" w:lineRule="auto"/>
        <w:jc w:val="center"/>
        <w:rPr>
          <w:rFonts w:ascii="Times New Roman" w:hAnsi="Times New Roman" w:cs="Times New Roman"/>
          <w:b/>
          <w:bCs/>
          <w:sz w:val="20"/>
          <w:szCs w:val="20"/>
        </w:rPr>
      </w:pPr>
    </w:p>
    <w:p w14:paraId="0AE73E25" w14:textId="77777777" w:rsidR="00414F85" w:rsidRDefault="00414F85" w:rsidP="00714A45">
      <w:pPr>
        <w:spacing w:line="276" w:lineRule="auto"/>
        <w:jc w:val="center"/>
        <w:rPr>
          <w:rFonts w:ascii="Times New Roman" w:hAnsi="Times New Roman" w:cs="Times New Roman"/>
          <w:b/>
          <w:bCs/>
        </w:rPr>
      </w:pPr>
    </w:p>
    <w:p w14:paraId="06F90AC7" w14:textId="3D354588" w:rsidR="00A00C8E" w:rsidRDefault="00A00C8E" w:rsidP="00714A45">
      <w:pPr>
        <w:spacing w:line="276" w:lineRule="auto"/>
        <w:jc w:val="both"/>
        <w:rPr>
          <w:rFonts w:ascii="Times New Roman" w:hAnsi="Times New Roman" w:cs="Times New Roman"/>
          <w:b/>
          <w:bCs/>
        </w:rPr>
      </w:pPr>
      <w:r>
        <w:rPr>
          <w:rFonts w:ascii="Times New Roman" w:hAnsi="Times New Roman" w:cs="Times New Roman"/>
          <w:b/>
          <w:bCs/>
        </w:rPr>
        <w:t>Abstract</w:t>
      </w:r>
    </w:p>
    <w:p w14:paraId="2DDEDB23" w14:textId="55A030BA" w:rsidR="00747351" w:rsidRPr="00747351" w:rsidRDefault="00747351" w:rsidP="00714A45">
      <w:pPr>
        <w:spacing w:line="276" w:lineRule="auto"/>
        <w:jc w:val="both"/>
        <w:rPr>
          <w:rFonts w:ascii="Times New Roman" w:hAnsi="Times New Roman" w:cs="Times New Roman"/>
        </w:rPr>
      </w:pPr>
      <w:r w:rsidRPr="00747351">
        <w:rPr>
          <w:rFonts w:ascii="Times New Roman" w:hAnsi="Times New Roman" w:cs="Times New Roman"/>
        </w:rPr>
        <w:t>This study examines the socio-economic and demographic factors influencing financial literacy among online banking customers in Sri Lanka, focusing</w:t>
      </w:r>
      <w:bookmarkStart w:id="0" w:name="_GoBack"/>
      <w:bookmarkEnd w:id="0"/>
      <w:r w:rsidRPr="00747351">
        <w:rPr>
          <w:rFonts w:ascii="Times New Roman" w:hAnsi="Times New Roman" w:cs="Times New Roman"/>
        </w:rPr>
        <w:t xml:space="preserve"> on the </w:t>
      </w:r>
      <w:proofErr w:type="spellStart"/>
      <w:r w:rsidRPr="00747351">
        <w:rPr>
          <w:rFonts w:ascii="Times New Roman" w:hAnsi="Times New Roman" w:cs="Times New Roman"/>
        </w:rPr>
        <w:t>Balangoda</w:t>
      </w:r>
      <w:proofErr w:type="spellEnd"/>
      <w:r w:rsidRPr="00747351">
        <w:rPr>
          <w:rFonts w:ascii="Times New Roman" w:hAnsi="Times New Roman" w:cs="Times New Roman"/>
        </w:rPr>
        <w:t xml:space="preserve"> Divisional Secretariat Division. Using a quantitative research approach, data from 382 respondents was analyzed through multiple linear regression. The findings indicate that education level, profession, monthly income, and living area significantly impact financial literacy, while age has a negative effect. However, gender, civil status, and length of service were found to be insignificant. These results emphasize the need for targeted financial education programs to enhance digital financial inclusion. Policymakers and financial institutions should address regional disparities and integrate financial literacy into education and professional training. Strengthening financial literacy will improve financial decision-making, reduce digital transaction risks, and promote economic stability. This study provides valuable insights into developing effective strategies to enhance financial literacy in Sri Lanka’s digital banking sector.</w:t>
      </w:r>
    </w:p>
    <w:p w14:paraId="7F08C652" w14:textId="1D6C3058" w:rsidR="00747351" w:rsidRDefault="00747351" w:rsidP="00714A45">
      <w:pPr>
        <w:spacing w:line="276" w:lineRule="auto"/>
        <w:jc w:val="both"/>
        <w:rPr>
          <w:rFonts w:ascii="Times New Roman" w:hAnsi="Times New Roman" w:cs="Times New Roman"/>
        </w:rPr>
      </w:pPr>
      <w:r w:rsidRPr="00747351">
        <w:rPr>
          <w:rFonts w:ascii="Times New Roman" w:hAnsi="Times New Roman" w:cs="Times New Roman"/>
          <w:b/>
          <w:bCs/>
        </w:rPr>
        <w:t>Keyword</w:t>
      </w:r>
      <w:r w:rsidRPr="00747351">
        <w:rPr>
          <w:rFonts w:ascii="Times New Roman" w:hAnsi="Times New Roman" w:cs="Times New Roman"/>
        </w:rPr>
        <w:t xml:space="preserve">s: </w:t>
      </w:r>
      <w:r>
        <w:rPr>
          <w:rFonts w:ascii="Times New Roman" w:hAnsi="Times New Roman" w:cs="Times New Roman"/>
        </w:rPr>
        <w:t xml:space="preserve">Demographic Factors, </w:t>
      </w:r>
      <w:r w:rsidRPr="00747351">
        <w:rPr>
          <w:rFonts w:ascii="Times New Roman" w:hAnsi="Times New Roman" w:cs="Times New Roman"/>
        </w:rPr>
        <w:t>Financial Literacy, Online Banking, Socio-Economic Factors, Sri Lanka</w:t>
      </w:r>
    </w:p>
    <w:p w14:paraId="0091AC25" w14:textId="24DD63C3" w:rsidR="00BD1B81" w:rsidRPr="00BD1B81" w:rsidRDefault="00BD1B81" w:rsidP="00714A45">
      <w:pPr>
        <w:pStyle w:val="ListParagraph"/>
        <w:numPr>
          <w:ilvl w:val="0"/>
          <w:numId w:val="2"/>
        </w:numPr>
        <w:spacing w:line="276" w:lineRule="auto"/>
        <w:jc w:val="both"/>
        <w:rPr>
          <w:rFonts w:ascii="Times New Roman" w:hAnsi="Times New Roman" w:cs="Times New Roman"/>
          <w:b/>
          <w:bCs/>
        </w:rPr>
      </w:pPr>
      <w:r w:rsidRPr="00BD1B81">
        <w:rPr>
          <w:rFonts w:ascii="Times New Roman" w:hAnsi="Times New Roman" w:cs="Times New Roman"/>
          <w:b/>
          <w:bCs/>
        </w:rPr>
        <w:t>Introduction</w:t>
      </w:r>
    </w:p>
    <w:p w14:paraId="06A8261F"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With the rapid advancement of technology, digital platforms have transformed the way individuals conduct everyday activities, including financial transactions. Among these developments, online banking has become an important component of modern financial services, enabling customers to perform transactions in a convenient and efficient manner (</w:t>
      </w:r>
      <w:proofErr w:type="spellStart"/>
      <w:r w:rsidRPr="00B32F08">
        <w:rPr>
          <w:rFonts w:ascii="Times New Roman" w:eastAsia="Times New Roman" w:hAnsi="Times New Roman" w:cs="Times New Roman"/>
          <w:kern w:val="0"/>
          <w:lang w:bidi="si-LK"/>
          <w14:ligatures w14:val="none"/>
        </w:rPr>
        <w:t>Ternullo</w:t>
      </w:r>
      <w:proofErr w:type="spellEnd"/>
      <w:r w:rsidRPr="00B32F08">
        <w:rPr>
          <w:rFonts w:ascii="Times New Roman" w:eastAsia="Times New Roman" w:hAnsi="Times New Roman" w:cs="Times New Roman"/>
          <w:kern w:val="0"/>
          <w:lang w:bidi="si-LK"/>
          <w14:ligatures w14:val="none"/>
        </w:rPr>
        <w:t>, 1997). The increasing adoption of online banking has significantly influenced customer behavior, and this change is often shaped by socio-economic and demographic characteristics. Previous studies indicate that the rapid expansion of internet usage and digital banking services highlights the important role played by socio-economic and demographic factors in determining financial literacy and the adoption of online banking practices (</w:t>
      </w:r>
      <w:proofErr w:type="spellStart"/>
      <w:r w:rsidRPr="00B32F08">
        <w:rPr>
          <w:rFonts w:ascii="Times New Roman" w:eastAsia="Times New Roman" w:hAnsi="Times New Roman" w:cs="Times New Roman"/>
          <w:kern w:val="0"/>
          <w:lang w:bidi="si-LK"/>
          <w14:ligatures w14:val="none"/>
        </w:rPr>
        <w:t>Meah</w:t>
      </w:r>
      <w:proofErr w:type="spellEnd"/>
      <w:r w:rsidRPr="00B32F08">
        <w:rPr>
          <w:rFonts w:ascii="Times New Roman" w:eastAsia="Times New Roman" w:hAnsi="Times New Roman" w:cs="Times New Roman"/>
          <w:kern w:val="0"/>
          <w:lang w:bidi="si-LK"/>
          <w14:ligatures w14:val="none"/>
        </w:rPr>
        <w:t>, 2023).</w:t>
      </w:r>
    </w:p>
    <w:p w14:paraId="7BCB37BE"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Financial literacy is considered a fundamental capability that enables individuals to effectively engage with financial systems. It involves a combination of knowledge, awareness, skills, and behavioral competencies that allow individuals to make informed financial decisions (OECD, 2018). Higher levels of financial literacy improve individuals’ ability to manage personal finances, evaluate financial opportunities, and reduce exposure to financial risks. Moreover, a financially literate population contributes to overall economic stability by encouraging responsible financial practices, reducing excessive indebtedness, and supporting long-term wealth creation (Lusardi &amp; </w:t>
      </w:r>
      <w:r w:rsidRPr="00B32F08">
        <w:rPr>
          <w:rFonts w:ascii="Times New Roman" w:eastAsia="Times New Roman" w:hAnsi="Times New Roman" w:cs="Times New Roman"/>
          <w:kern w:val="0"/>
          <w:lang w:bidi="si-LK"/>
          <w14:ligatures w14:val="none"/>
        </w:rPr>
        <w:lastRenderedPageBreak/>
        <w:t>Mitchell, 2011). Financial literacy is also increasingly recognized as a key driver of financial inclusion and financial resilience, particularly in a period where digital financial services, including online banking, are becoming widely accessible (</w:t>
      </w:r>
      <w:proofErr w:type="spellStart"/>
      <w:r w:rsidRPr="00B32F08">
        <w:rPr>
          <w:rFonts w:ascii="Times New Roman" w:eastAsia="Times New Roman" w:hAnsi="Times New Roman" w:cs="Times New Roman"/>
          <w:kern w:val="0"/>
          <w:lang w:bidi="si-LK"/>
          <w14:ligatures w14:val="none"/>
        </w:rPr>
        <w:t>Gitnux</w:t>
      </w:r>
      <w:proofErr w:type="spellEnd"/>
      <w:r w:rsidRPr="00B32F08">
        <w:rPr>
          <w:rFonts w:ascii="Times New Roman" w:eastAsia="Times New Roman" w:hAnsi="Times New Roman" w:cs="Times New Roman"/>
          <w:kern w:val="0"/>
          <w:lang w:bidi="si-LK"/>
          <w14:ligatures w14:val="none"/>
        </w:rPr>
        <w:t xml:space="preserve"> Marketdata Report, 2024).</w:t>
      </w:r>
    </w:p>
    <w:p w14:paraId="3E2674FA"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In the context of online banking, financial literacy becomes particularly important because it influences how individuals manage digital transactions, interpret financial information, and protect their financial security. Unlike traditional banking environments where customers can rely on direct assistance from bank staff, online banking requires individuals to independently perform financial operations (Husain et al., 2011). As a result, users must possess sufficient financial knowledge to navigate digital banking platforms, understand security mechanisms, and evaluate the credibility of financial services. In addition, customers must be capable of managing potential risks associated with digital transactions, including cybersecurity threats, privacy concerns, and technological challenges (Kheng et al., 2010).</w:t>
      </w:r>
    </w:p>
    <w:p w14:paraId="64626586"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Several studies suggest that socio-economic and demographic factors such as income, education level, age, gender, and employment status significantly influence individuals’ financial literacy and their likelihood of adopting online banking services (Chen &amp; Volpe, 1998; Lusardi &amp; Mitchell, 2008). However, the findings of previous research are not entirely consistent. While some studies identify a strong relationship between these factors and financial literacy, others report limited or insignificant associations (</w:t>
      </w:r>
      <w:proofErr w:type="spellStart"/>
      <w:r w:rsidRPr="00B32F08">
        <w:rPr>
          <w:rFonts w:ascii="Times New Roman" w:eastAsia="Times New Roman" w:hAnsi="Times New Roman" w:cs="Times New Roman"/>
          <w:kern w:val="0"/>
          <w:lang w:bidi="si-LK"/>
          <w14:ligatures w14:val="none"/>
        </w:rPr>
        <w:t>Marinov</w:t>
      </w:r>
      <w:proofErr w:type="spellEnd"/>
      <w:r w:rsidRPr="00B32F08">
        <w:rPr>
          <w:rFonts w:ascii="Times New Roman" w:eastAsia="Times New Roman" w:hAnsi="Times New Roman" w:cs="Times New Roman"/>
          <w:kern w:val="0"/>
          <w:lang w:bidi="si-LK"/>
          <w14:ligatures w14:val="none"/>
        </w:rPr>
        <w:t>, 2023). Therefore, a more detailed investigation into the relationship between socio-economic and demographic characteristics and financial literacy among online banking users remains necessary.</w:t>
      </w:r>
    </w:p>
    <w:p w14:paraId="2DDDA331"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This study focuses on examining the socio-economic and demographic determinants of financial literacy among online banking customers in Sri Lanka, with particular attention to the </w:t>
      </w:r>
      <w:proofErr w:type="spellStart"/>
      <w:r w:rsidRPr="00B32F08">
        <w:rPr>
          <w:rFonts w:ascii="Times New Roman" w:eastAsia="Times New Roman" w:hAnsi="Times New Roman" w:cs="Times New Roman"/>
          <w:kern w:val="0"/>
          <w:lang w:bidi="si-LK"/>
          <w14:ligatures w14:val="none"/>
        </w:rPr>
        <w:t>Balangoda</w:t>
      </w:r>
      <w:proofErr w:type="spellEnd"/>
      <w:r w:rsidRPr="00B32F08">
        <w:rPr>
          <w:rFonts w:ascii="Times New Roman" w:eastAsia="Times New Roman" w:hAnsi="Times New Roman" w:cs="Times New Roman"/>
          <w:kern w:val="0"/>
          <w:lang w:bidi="si-LK"/>
          <w14:ligatures w14:val="none"/>
        </w:rPr>
        <w:t xml:space="preserve"> Divisional Secretariat Division. Online banking was first introduced in Sri Lanka in 1998, and its adoption has increased significantly over the past two decades (</w:t>
      </w:r>
      <w:proofErr w:type="spellStart"/>
      <w:r w:rsidRPr="00B32F08">
        <w:rPr>
          <w:rFonts w:ascii="Times New Roman" w:eastAsia="Times New Roman" w:hAnsi="Times New Roman" w:cs="Times New Roman"/>
          <w:kern w:val="0"/>
          <w:lang w:bidi="si-LK"/>
          <w14:ligatures w14:val="none"/>
        </w:rPr>
        <w:t>Amarasinghe</w:t>
      </w:r>
      <w:proofErr w:type="spellEnd"/>
      <w:r w:rsidRPr="00B32F08">
        <w:rPr>
          <w:rFonts w:ascii="Times New Roman" w:eastAsia="Times New Roman" w:hAnsi="Times New Roman" w:cs="Times New Roman"/>
          <w:kern w:val="0"/>
          <w:lang w:bidi="si-LK"/>
          <w14:ligatures w14:val="none"/>
        </w:rPr>
        <w:t>, 2014). Despite this growth, several challenges remain, including limited financial literacy, concerns regarding cybersecurity, and reluctance among certain demographic groups to adopt digital banking services (</w:t>
      </w:r>
      <w:proofErr w:type="spellStart"/>
      <w:r w:rsidRPr="00B32F08">
        <w:rPr>
          <w:rFonts w:ascii="Times New Roman" w:eastAsia="Times New Roman" w:hAnsi="Times New Roman" w:cs="Times New Roman"/>
          <w:kern w:val="0"/>
          <w:lang w:bidi="si-LK"/>
          <w14:ligatures w14:val="none"/>
        </w:rPr>
        <w:t>Jegatheesparan</w:t>
      </w:r>
      <w:proofErr w:type="spellEnd"/>
      <w:r w:rsidRPr="00B32F08">
        <w:rPr>
          <w:rFonts w:ascii="Times New Roman" w:eastAsia="Times New Roman" w:hAnsi="Times New Roman" w:cs="Times New Roman"/>
          <w:kern w:val="0"/>
          <w:lang w:bidi="si-LK"/>
          <w14:ligatures w14:val="none"/>
        </w:rPr>
        <w:t xml:space="preserve"> &amp; </w:t>
      </w:r>
      <w:proofErr w:type="spellStart"/>
      <w:r w:rsidRPr="00B32F08">
        <w:rPr>
          <w:rFonts w:ascii="Times New Roman" w:eastAsia="Times New Roman" w:hAnsi="Times New Roman" w:cs="Times New Roman"/>
          <w:kern w:val="0"/>
          <w:lang w:bidi="si-LK"/>
          <w14:ligatures w14:val="none"/>
        </w:rPr>
        <w:t>Rajeshwaran</w:t>
      </w:r>
      <w:proofErr w:type="spellEnd"/>
      <w:r w:rsidRPr="00B32F08">
        <w:rPr>
          <w:rFonts w:ascii="Times New Roman" w:eastAsia="Times New Roman" w:hAnsi="Times New Roman" w:cs="Times New Roman"/>
          <w:kern w:val="0"/>
          <w:lang w:bidi="si-LK"/>
          <w14:ligatures w14:val="none"/>
        </w:rPr>
        <w:t>, 2020). Identifying the factors that influence financial literacy within this context is therefore important for designing effective policies and educational programs aimed at strengthening digital financial inclusion and reducing financial vulnerabilities.</w:t>
      </w:r>
    </w:p>
    <w:p w14:paraId="2ACA5CA7"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The primary objective of this research is to evaluate the influence of socio-economic and demographic factors on financial literacy among online banking users in Sri Lanka. By identifying the key determinants of financial literacy, this study seeks to provide insights that may help improve digital banking awareness and financial decision-making among consumers. Ultimately, the findings are expected to contribute to the broader discussion on financial inclusion, the adoption of digital banking services, and the role of financial education in supporting economic development in Sri Lanka.</w:t>
      </w:r>
    </w:p>
    <w:p w14:paraId="3F330010" w14:textId="0333344C" w:rsidR="006E0429" w:rsidRDefault="005A5007" w:rsidP="00714A45">
      <w:pPr>
        <w:pStyle w:val="ListParagraph"/>
        <w:numPr>
          <w:ilvl w:val="0"/>
          <w:numId w:val="2"/>
        </w:numPr>
        <w:spacing w:line="276" w:lineRule="auto"/>
        <w:jc w:val="both"/>
        <w:rPr>
          <w:rFonts w:ascii="Times New Roman" w:hAnsi="Times New Roman" w:cs="Times New Roman"/>
          <w:b/>
          <w:bCs/>
        </w:rPr>
      </w:pPr>
      <w:r w:rsidRPr="00BD1B81">
        <w:rPr>
          <w:rFonts w:ascii="Times New Roman" w:hAnsi="Times New Roman" w:cs="Times New Roman"/>
          <w:b/>
          <w:bCs/>
        </w:rPr>
        <w:lastRenderedPageBreak/>
        <w:t>Literature Review</w:t>
      </w:r>
    </w:p>
    <w:p w14:paraId="2AD9BAE3"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Based on previous research conducted by various scholars, several factors have been identified as influencing individuals’ financial literacy and its outcomes. One important determinant is the area of residence, as financial literacy levels often differ between urban and rural populations. Studies have shown that individuals living in urban areas tend to possess higher levels of financial literacy compared to those residing in rural regions. For example, research conducted in Peru and Uruguay found that rural residents exhibited significantly lower financial literacy levels than urban populations. This disparity was mainly attributed to differences in access to financial education, banking facilities, and exposure to financial products and services (Mejia, </w:t>
      </w:r>
      <w:proofErr w:type="spellStart"/>
      <w:r w:rsidRPr="00B32F08">
        <w:rPr>
          <w:rFonts w:ascii="Times New Roman" w:eastAsia="Times New Roman" w:hAnsi="Times New Roman" w:cs="Times New Roman"/>
          <w:kern w:val="0"/>
          <w:lang w:bidi="si-LK"/>
          <w14:ligatures w14:val="none"/>
        </w:rPr>
        <w:t>Mejía</w:t>
      </w:r>
      <w:proofErr w:type="spellEnd"/>
      <w:r w:rsidRPr="00B32F08">
        <w:rPr>
          <w:rFonts w:ascii="Times New Roman" w:eastAsia="Times New Roman" w:hAnsi="Times New Roman" w:cs="Times New Roman"/>
          <w:kern w:val="0"/>
          <w:lang w:bidi="si-LK"/>
          <w14:ligatures w14:val="none"/>
        </w:rPr>
        <w:t xml:space="preserve">, &amp; </w:t>
      </w:r>
      <w:proofErr w:type="spellStart"/>
      <w:r w:rsidRPr="00B32F08">
        <w:rPr>
          <w:rFonts w:ascii="Times New Roman" w:eastAsia="Times New Roman" w:hAnsi="Times New Roman" w:cs="Times New Roman"/>
          <w:kern w:val="0"/>
          <w:lang w:bidi="si-LK"/>
          <w14:ligatures w14:val="none"/>
        </w:rPr>
        <w:t>Córdova</w:t>
      </w:r>
      <w:proofErr w:type="spellEnd"/>
      <w:r w:rsidRPr="00B32F08">
        <w:rPr>
          <w:rFonts w:ascii="Times New Roman" w:eastAsia="Times New Roman" w:hAnsi="Times New Roman" w:cs="Times New Roman"/>
          <w:kern w:val="0"/>
          <w:lang w:bidi="si-LK"/>
          <w14:ligatures w14:val="none"/>
        </w:rPr>
        <w:t>, 2023).</w:t>
      </w:r>
    </w:p>
    <w:p w14:paraId="7DE36EBA"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Gender has also received considerable attention in financial literacy research. A large number of studies indicate that men generally demonstrate higher levels of financial literacy than women. Chen and Volpe (2002) found that male respondents displayed greater knowledge of financial instruments, while Lusardi and Mitchell (2011) reported similar gender differences across both developed and developing economies. However, certain regional studies have produced contrasting findings. For instance, </w:t>
      </w:r>
      <w:proofErr w:type="spellStart"/>
      <w:r w:rsidRPr="00B32F08">
        <w:rPr>
          <w:rFonts w:ascii="Times New Roman" w:eastAsia="Times New Roman" w:hAnsi="Times New Roman" w:cs="Times New Roman"/>
          <w:kern w:val="0"/>
          <w:lang w:bidi="si-LK"/>
          <w14:ligatures w14:val="none"/>
        </w:rPr>
        <w:t>Mohta</w:t>
      </w:r>
      <w:proofErr w:type="spellEnd"/>
      <w:r w:rsidRPr="00B32F08">
        <w:rPr>
          <w:rFonts w:ascii="Times New Roman" w:eastAsia="Times New Roman" w:hAnsi="Times New Roman" w:cs="Times New Roman"/>
          <w:kern w:val="0"/>
          <w:lang w:bidi="si-LK"/>
          <w14:ligatures w14:val="none"/>
        </w:rPr>
        <w:t xml:space="preserve"> and </w:t>
      </w:r>
      <w:proofErr w:type="spellStart"/>
      <w:r w:rsidRPr="00B32F08">
        <w:rPr>
          <w:rFonts w:ascii="Times New Roman" w:eastAsia="Times New Roman" w:hAnsi="Times New Roman" w:cs="Times New Roman"/>
          <w:kern w:val="0"/>
          <w:lang w:bidi="si-LK"/>
          <w14:ligatures w14:val="none"/>
        </w:rPr>
        <w:t>Shunmugasundaram</w:t>
      </w:r>
      <w:proofErr w:type="spellEnd"/>
      <w:r w:rsidRPr="00B32F08">
        <w:rPr>
          <w:rFonts w:ascii="Times New Roman" w:eastAsia="Times New Roman" w:hAnsi="Times New Roman" w:cs="Times New Roman"/>
          <w:kern w:val="0"/>
          <w:lang w:bidi="si-LK"/>
          <w14:ligatures w14:val="none"/>
        </w:rPr>
        <w:t xml:space="preserve"> (2022) observed that women in the Delhi-NCR region exhibited higher levels of financial literacy compared to men.</w:t>
      </w:r>
    </w:p>
    <w:p w14:paraId="191BD4BA"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Work experience and professional background are also recognized as important factors affecting financial literacy. </w:t>
      </w:r>
      <w:proofErr w:type="spellStart"/>
      <w:r w:rsidRPr="00B32F08">
        <w:rPr>
          <w:rFonts w:ascii="Times New Roman" w:eastAsia="Times New Roman" w:hAnsi="Times New Roman" w:cs="Times New Roman"/>
          <w:kern w:val="0"/>
          <w:lang w:bidi="si-LK"/>
          <w14:ligatures w14:val="none"/>
        </w:rPr>
        <w:t>Ansong</w:t>
      </w:r>
      <w:proofErr w:type="spellEnd"/>
      <w:r w:rsidRPr="00B32F08">
        <w:rPr>
          <w:rFonts w:ascii="Times New Roman" w:eastAsia="Times New Roman" w:hAnsi="Times New Roman" w:cs="Times New Roman"/>
          <w:kern w:val="0"/>
          <w:lang w:bidi="si-LK"/>
          <w14:ligatures w14:val="none"/>
        </w:rPr>
        <w:t xml:space="preserve"> and </w:t>
      </w:r>
      <w:proofErr w:type="spellStart"/>
      <w:r w:rsidRPr="00B32F08">
        <w:rPr>
          <w:rFonts w:ascii="Times New Roman" w:eastAsia="Times New Roman" w:hAnsi="Times New Roman" w:cs="Times New Roman"/>
          <w:kern w:val="0"/>
          <w:lang w:bidi="si-LK"/>
          <w14:ligatures w14:val="none"/>
        </w:rPr>
        <w:t>Gyensare</w:t>
      </w:r>
      <w:proofErr w:type="spellEnd"/>
      <w:r w:rsidRPr="00B32F08">
        <w:rPr>
          <w:rFonts w:ascii="Times New Roman" w:eastAsia="Times New Roman" w:hAnsi="Times New Roman" w:cs="Times New Roman"/>
          <w:kern w:val="0"/>
          <w:lang w:bidi="si-LK"/>
          <w14:ligatures w14:val="none"/>
        </w:rPr>
        <w:t xml:space="preserve"> (2012) reported that university students’ financial literacy tends to improve as they gain work experience. This improvement is largely due to increased exposure to financial decision-making and participation in workplace financial programs. Similarly, individuals employed in finance- or business-related professions generally demonstrate higher levels of financial literacy compared to those working in other sectors (Chen &amp; Volpe, 1998).</w:t>
      </w:r>
    </w:p>
    <w:p w14:paraId="5BBCA07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Among the various determinants, education is consistently identified as one of the strongest predictors of financial literacy. Numerous studies have found that individuals with higher levels of education tend to possess greater financial knowledge and competencies. </w:t>
      </w:r>
      <w:proofErr w:type="spellStart"/>
      <w:r w:rsidRPr="00B32F08">
        <w:rPr>
          <w:rFonts w:ascii="Times New Roman" w:eastAsia="Times New Roman" w:hAnsi="Times New Roman" w:cs="Times New Roman"/>
          <w:kern w:val="0"/>
          <w:lang w:bidi="si-LK"/>
          <w14:ligatures w14:val="none"/>
        </w:rPr>
        <w:t>Rooiji</w:t>
      </w:r>
      <w:proofErr w:type="spellEnd"/>
      <w:r w:rsidRPr="00B32F08">
        <w:rPr>
          <w:rFonts w:ascii="Times New Roman" w:eastAsia="Times New Roman" w:hAnsi="Times New Roman" w:cs="Times New Roman"/>
          <w:kern w:val="0"/>
          <w:lang w:bidi="si-LK"/>
          <w14:ligatures w14:val="none"/>
        </w:rPr>
        <w:t xml:space="preserve"> (2007) highlighted the strong and direct relationship between education and financial literacy, while Mandell et al. (2008) found that financial literacy improves as </w:t>
      </w:r>
      <w:proofErr w:type="spellStart"/>
      <w:r w:rsidRPr="00B32F08">
        <w:rPr>
          <w:rFonts w:ascii="Times New Roman" w:eastAsia="Times New Roman" w:hAnsi="Times New Roman" w:cs="Times New Roman"/>
          <w:kern w:val="0"/>
          <w:lang w:bidi="si-LK"/>
          <w14:ligatures w14:val="none"/>
        </w:rPr>
        <w:t>students</w:t>
      </w:r>
      <w:proofErr w:type="spellEnd"/>
      <w:r w:rsidRPr="00B32F08">
        <w:rPr>
          <w:rFonts w:ascii="Times New Roman" w:eastAsia="Times New Roman" w:hAnsi="Times New Roman" w:cs="Times New Roman"/>
          <w:kern w:val="0"/>
          <w:lang w:bidi="si-LK"/>
          <w14:ligatures w14:val="none"/>
        </w:rPr>
        <w:t xml:space="preserve"> progress through higher levels of education, with university students demonstrating greater financial understanding than high school students. Wagner (2019) further emphasized the importance of incorporating financial education across different levels of the education system.</w:t>
      </w:r>
    </w:p>
    <w:p w14:paraId="6E65A8B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Financial literacy also influences employment opportunities and job quality. </w:t>
      </w:r>
      <w:proofErr w:type="spellStart"/>
      <w:r w:rsidRPr="00B32F08">
        <w:rPr>
          <w:rFonts w:ascii="Times New Roman" w:eastAsia="Times New Roman" w:hAnsi="Times New Roman" w:cs="Times New Roman"/>
          <w:kern w:val="0"/>
          <w:lang w:bidi="si-LK"/>
          <w14:ligatures w14:val="none"/>
        </w:rPr>
        <w:t>Aghenitei</w:t>
      </w:r>
      <w:proofErr w:type="spellEnd"/>
      <w:r w:rsidRPr="00B32F08">
        <w:rPr>
          <w:rFonts w:ascii="Times New Roman" w:eastAsia="Times New Roman" w:hAnsi="Times New Roman" w:cs="Times New Roman"/>
          <w:kern w:val="0"/>
          <w:lang w:bidi="si-LK"/>
          <w14:ligatures w14:val="none"/>
        </w:rPr>
        <w:t xml:space="preserve"> et al. (2023) found that individuals with higher levels of financial literacy are more likely to obtain better employment opportunities. Similarly, </w:t>
      </w:r>
      <w:proofErr w:type="spellStart"/>
      <w:r w:rsidRPr="00B32F08">
        <w:rPr>
          <w:rFonts w:ascii="Times New Roman" w:eastAsia="Times New Roman" w:hAnsi="Times New Roman" w:cs="Times New Roman"/>
          <w:kern w:val="0"/>
          <w:lang w:bidi="si-LK"/>
          <w14:ligatures w14:val="none"/>
        </w:rPr>
        <w:t>Boolaky</w:t>
      </w:r>
      <w:proofErr w:type="spellEnd"/>
      <w:r w:rsidRPr="00B32F08">
        <w:rPr>
          <w:rFonts w:ascii="Times New Roman" w:eastAsia="Times New Roman" w:hAnsi="Times New Roman" w:cs="Times New Roman"/>
          <w:kern w:val="0"/>
          <w:lang w:bidi="si-LK"/>
          <w14:ligatures w14:val="none"/>
        </w:rPr>
        <w:t xml:space="preserve"> et al. (2021) observed that financial literacy levels vary depending on the type of occupation individuals hold.</w:t>
      </w:r>
    </w:p>
    <w:p w14:paraId="4D071F85"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lastRenderedPageBreak/>
        <w:t>Another factor that may affect financial literacy is civil status. Married individuals often carry greater financial responsibilities compared to single individuals, which can lead to increased financial awareness and greater involvement in household financial planning and investment decisions (Lusardi &amp; Mitchell, 2008).</w:t>
      </w:r>
    </w:p>
    <w:p w14:paraId="25510876"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Age has also been identified as an important determinant of financial literacy. Previous research suggests that the relationship between age and financial literacy follows a U-shaped pattern. Younger individuals tend to have lower financial literacy due to limited financial experience. Financial literacy generally increases as individuals gain experience and reaches its peak during middle age, when individuals are more actively engaged in financial decision-making. However, financial literacy may decline in later life due to cognitive aging and reduced involvement in financial activities (Lusardi &amp; Mitchell, 2008).</w:t>
      </w:r>
    </w:p>
    <w:p w14:paraId="30BE53D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Income level is another key factor influencing financial literacy. Individuals with higher income levels typically demonstrate greater financial literacy, as they have increased access to financial resources, financial planning opportunities, and financial services (Chen &amp; Volpe, 2002; Wagner, 2019).</w:t>
      </w:r>
    </w:p>
    <w:p w14:paraId="10A3F338"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Overall, the existing literature suggests that financial literacy is influenced by a combination of socio-demographic factors, including area of residence, gender, work experience, occupation, education, marital status, age, and income. Among these factors, education and income appear to be particularly strong predictors, while gender disparities continue to be observed in many contexts. Understanding the influence of these variables is essential for developing targeted financial literacy initiatives that address the needs of different demographic groups and promote broader financial inclusion.</w:t>
      </w:r>
    </w:p>
    <w:p w14:paraId="5A50BBC6" w14:textId="77777777" w:rsidR="002928B5" w:rsidRPr="002928B5" w:rsidRDefault="002928B5" w:rsidP="00714A45">
      <w:pPr>
        <w:spacing w:line="276" w:lineRule="auto"/>
        <w:jc w:val="both"/>
        <w:rPr>
          <w:rFonts w:ascii="Times New Roman" w:hAnsi="Times New Roman" w:cs="Times New Roman"/>
          <w:b/>
          <w:bCs/>
        </w:rPr>
      </w:pPr>
    </w:p>
    <w:p w14:paraId="0C0B6482" w14:textId="5B2CE7DE" w:rsidR="000F2C8C" w:rsidRPr="00BD1B81" w:rsidRDefault="000F2C8C" w:rsidP="00714A45">
      <w:pPr>
        <w:pStyle w:val="ListParagraph"/>
        <w:numPr>
          <w:ilvl w:val="0"/>
          <w:numId w:val="2"/>
        </w:numPr>
        <w:spacing w:line="276" w:lineRule="auto"/>
        <w:jc w:val="both"/>
        <w:rPr>
          <w:rFonts w:ascii="Times New Roman" w:hAnsi="Times New Roman" w:cs="Times New Roman"/>
          <w:b/>
          <w:bCs/>
        </w:rPr>
      </w:pPr>
      <w:r w:rsidRPr="00BD1B81">
        <w:rPr>
          <w:rFonts w:ascii="Times New Roman" w:hAnsi="Times New Roman" w:cs="Times New Roman"/>
          <w:b/>
          <w:bCs/>
        </w:rPr>
        <w:t>Methodology</w:t>
      </w:r>
    </w:p>
    <w:p w14:paraId="26AEB91D"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This study adopted a quantitative research approach to analyze data collected from a sample of 382 bank customers residing in the </w:t>
      </w:r>
      <w:proofErr w:type="spellStart"/>
      <w:r w:rsidRPr="00B32F08">
        <w:rPr>
          <w:rFonts w:ascii="Times New Roman" w:eastAsia="Times New Roman" w:hAnsi="Times New Roman" w:cs="Times New Roman"/>
          <w:kern w:val="0"/>
          <w:lang w:bidi="si-LK"/>
          <w14:ligatures w14:val="none"/>
        </w:rPr>
        <w:t>Balangoda</w:t>
      </w:r>
      <w:proofErr w:type="spellEnd"/>
      <w:r w:rsidRPr="00B32F08">
        <w:rPr>
          <w:rFonts w:ascii="Times New Roman" w:eastAsia="Times New Roman" w:hAnsi="Times New Roman" w:cs="Times New Roman"/>
          <w:kern w:val="0"/>
          <w:lang w:bidi="si-LK"/>
          <w14:ligatures w14:val="none"/>
        </w:rPr>
        <w:t xml:space="preserve"> Divisional Secretariat Division of the </w:t>
      </w:r>
      <w:proofErr w:type="spellStart"/>
      <w:r w:rsidRPr="00B32F08">
        <w:rPr>
          <w:rFonts w:ascii="Times New Roman" w:eastAsia="Times New Roman" w:hAnsi="Times New Roman" w:cs="Times New Roman"/>
          <w:kern w:val="0"/>
          <w:lang w:bidi="si-LK"/>
          <w14:ligatures w14:val="none"/>
        </w:rPr>
        <w:t>Ratnapura</w:t>
      </w:r>
      <w:proofErr w:type="spellEnd"/>
      <w:r w:rsidRPr="00B32F08">
        <w:rPr>
          <w:rFonts w:ascii="Times New Roman" w:eastAsia="Times New Roman" w:hAnsi="Times New Roman" w:cs="Times New Roman"/>
          <w:kern w:val="0"/>
          <w:lang w:bidi="si-LK"/>
          <w14:ligatures w14:val="none"/>
        </w:rPr>
        <w:t xml:space="preserve"> District in the </w:t>
      </w:r>
      <w:proofErr w:type="spellStart"/>
      <w:r w:rsidRPr="00B32F08">
        <w:rPr>
          <w:rFonts w:ascii="Times New Roman" w:eastAsia="Times New Roman" w:hAnsi="Times New Roman" w:cs="Times New Roman"/>
          <w:kern w:val="0"/>
          <w:lang w:bidi="si-LK"/>
          <w14:ligatures w14:val="none"/>
        </w:rPr>
        <w:t>Sabaragamuwa</w:t>
      </w:r>
      <w:proofErr w:type="spellEnd"/>
      <w:r w:rsidRPr="00B32F08">
        <w:rPr>
          <w:rFonts w:ascii="Times New Roman" w:eastAsia="Times New Roman" w:hAnsi="Times New Roman" w:cs="Times New Roman"/>
          <w:kern w:val="0"/>
          <w:lang w:bidi="si-LK"/>
          <w14:ligatures w14:val="none"/>
        </w:rPr>
        <w:t xml:space="preserve"> Province. A simple random sampling technique was employed to select respondents, ensuring that individuals engaged in online banking had an equal chance of being included in the sample. This sampling approach helps to minimize selection bias and enhances the reliability and representativeness of the research findings.</w:t>
      </w:r>
    </w:p>
    <w:p w14:paraId="18004F8D"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According to the Census of Population and Housing (2012), the population aged above 20 years in the </w:t>
      </w:r>
      <w:proofErr w:type="spellStart"/>
      <w:r w:rsidRPr="00B32F08">
        <w:rPr>
          <w:rFonts w:ascii="Times New Roman" w:eastAsia="Times New Roman" w:hAnsi="Times New Roman" w:cs="Times New Roman"/>
          <w:kern w:val="0"/>
          <w:lang w:bidi="si-LK"/>
          <w14:ligatures w14:val="none"/>
        </w:rPr>
        <w:t>Balangoda</w:t>
      </w:r>
      <w:proofErr w:type="spellEnd"/>
      <w:r w:rsidRPr="00B32F08">
        <w:rPr>
          <w:rFonts w:ascii="Times New Roman" w:eastAsia="Times New Roman" w:hAnsi="Times New Roman" w:cs="Times New Roman"/>
          <w:kern w:val="0"/>
          <w:lang w:bidi="si-LK"/>
          <w14:ligatures w14:val="none"/>
        </w:rPr>
        <w:t xml:space="preserve"> Divisional Secretariat Division is 54,623. Based on this population size, the sample size of 382 respondents was determined using the </w:t>
      </w:r>
      <w:proofErr w:type="spellStart"/>
      <w:r w:rsidRPr="00B32F08">
        <w:rPr>
          <w:rFonts w:ascii="Times New Roman" w:eastAsia="Times New Roman" w:hAnsi="Times New Roman" w:cs="Times New Roman"/>
          <w:kern w:val="0"/>
          <w:lang w:bidi="si-LK"/>
          <w14:ligatures w14:val="none"/>
        </w:rPr>
        <w:t>Krejcie</w:t>
      </w:r>
      <w:proofErr w:type="spellEnd"/>
      <w:r w:rsidRPr="00B32F08">
        <w:rPr>
          <w:rFonts w:ascii="Times New Roman" w:eastAsia="Times New Roman" w:hAnsi="Times New Roman" w:cs="Times New Roman"/>
          <w:kern w:val="0"/>
          <w:lang w:bidi="si-LK"/>
          <w14:ligatures w14:val="none"/>
        </w:rPr>
        <w:t xml:space="preserve"> and Morgan (1970) sample size determination formula. This method ensures that the selected sample is statistically adequate for drawing conclusions that can be generalized to the broader population. </w:t>
      </w:r>
      <w:proofErr w:type="spellStart"/>
      <w:r w:rsidRPr="00B32F08">
        <w:rPr>
          <w:rFonts w:ascii="Times New Roman" w:eastAsia="Times New Roman" w:hAnsi="Times New Roman" w:cs="Times New Roman"/>
          <w:kern w:val="0"/>
          <w:lang w:bidi="si-LK"/>
          <w14:ligatures w14:val="none"/>
        </w:rPr>
        <w:t>Sabaragamuwa</w:t>
      </w:r>
      <w:proofErr w:type="spellEnd"/>
      <w:r w:rsidRPr="00B32F08">
        <w:rPr>
          <w:rFonts w:ascii="Times New Roman" w:eastAsia="Times New Roman" w:hAnsi="Times New Roman" w:cs="Times New Roman"/>
          <w:kern w:val="0"/>
          <w:lang w:bidi="si-LK"/>
          <w14:ligatures w14:val="none"/>
        </w:rPr>
        <w:t xml:space="preserve"> Province </w:t>
      </w:r>
      <w:r w:rsidRPr="00B32F08">
        <w:rPr>
          <w:rFonts w:ascii="Times New Roman" w:eastAsia="Times New Roman" w:hAnsi="Times New Roman" w:cs="Times New Roman"/>
          <w:kern w:val="0"/>
          <w:lang w:bidi="si-LK"/>
          <w14:ligatures w14:val="none"/>
        </w:rPr>
        <w:lastRenderedPageBreak/>
        <w:t>was selected as the study area due to several notable characteristics. It is the fifth largest province in Sri Lanka in terms of population, with a total population of 1,928,655 (Census of Population and Housing, 2012). According to the Computer Literacy Statistics (2022), the province ranks second in the country with regard to computer usage and ownership, recording a value of 20.0%. In addition, the literacy rate of the province is 94.8%, which is the third highest among all provinces, while the computer literacy rate is reported as 19.9% (Census of Population and Housing, 2012).</w:t>
      </w:r>
    </w:p>
    <w:p w14:paraId="5EF888A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Both primary and secondary data sources were used in this study. Primary data were collected through structured questionnaires and interviews conducted with selected respondents. Prior notification was provided to the respondents to ensure their willingness and availability to participate in the study. Secondary data were obtained from previous research studies, literature reviews, and published reports related to the study topic. Key secondary sources included reports published by the Central Bank of Sri Lanka and annual reports issued by the Department of Census and Statistics. The combination of primary and secondary data enabled a comprehensive examination of the socio-economic and demographic factors influencing financial literacy among online banking customers in the </w:t>
      </w:r>
      <w:proofErr w:type="spellStart"/>
      <w:r w:rsidRPr="00B32F08">
        <w:rPr>
          <w:rFonts w:ascii="Times New Roman" w:eastAsia="Times New Roman" w:hAnsi="Times New Roman" w:cs="Times New Roman"/>
          <w:kern w:val="0"/>
          <w:lang w:bidi="si-LK"/>
          <w14:ligatures w14:val="none"/>
        </w:rPr>
        <w:t>Balangoda</w:t>
      </w:r>
      <w:proofErr w:type="spellEnd"/>
      <w:r w:rsidRPr="00B32F08">
        <w:rPr>
          <w:rFonts w:ascii="Times New Roman" w:eastAsia="Times New Roman" w:hAnsi="Times New Roman" w:cs="Times New Roman"/>
          <w:kern w:val="0"/>
          <w:lang w:bidi="si-LK"/>
          <w14:ligatures w14:val="none"/>
        </w:rPr>
        <w:t xml:space="preserve"> Divisional Secretariat Division.</w:t>
      </w:r>
    </w:p>
    <w:p w14:paraId="7FA00E04"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To examine the relationship between socio-economic and demographic factors and financial literacy, Multiple Linear Regression (MLR) analysis was applied. Eight independent variables were included in the analysis: area of residence, gender, length of service, profession, education level, civil status, age, and monthly income level. Financial literacy was considered the dependent variable and was measured using a composite score derived from Likert-scale responses related to financial knowledge, financial behavior, and financial attitudes. Data analysis was carried out using IBM SPSS (Version 23) and Microsoft Excel to compute financial literacy scores and perform the regression analysis.</w:t>
      </w:r>
    </w:p>
    <w:p w14:paraId="3CD4A8E9" w14:textId="4B1F239A" w:rsidR="004835EF" w:rsidRDefault="004835EF" w:rsidP="00714A45">
      <w:pPr>
        <w:spacing w:line="276" w:lineRule="auto"/>
        <w:jc w:val="both"/>
        <w:rPr>
          <w:rFonts w:ascii="Times New Roman" w:hAnsi="Times New Roman" w:cs="Times New Roman"/>
        </w:rPr>
      </w:pPr>
    </w:p>
    <w:p w14:paraId="619B025C" w14:textId="4F6D2E3C" w:rsidR="00DC475D" w:rsidRPr="007B6E74" w:rsidRDefault="007B6E74" w:rsidP="00714A45">
      <w:pPr>
        <w:pStyle w:val="ListParagraph"/>
        <w:numPr>
          <w:ilvl w:val="1"/>
          <w:numId w:val="2"/>
        </w:numPr>
        <w:spacing w:line="276" w:lineRule="auto"/>
        <w:jc w:val="both"/>
        <w:rPr>
          <w:rFonts w:ascii="Times New Roman" w:hAnsi="Times New Roman" w:cs="Times New Roman"/>
        </w:rPr>
      </w:pPr>
      <w:r>
        <w:rPr>
          <w:rFonts w:ascii="Times New Roman" w:hAnsi="Times New Roman" w:cs="Times New Roman"/>
        </w:rPr>
        <w:t xml:space="preserve"> </w:t>
      </w:r>
      <w:r w:rsidR="00DC475D" w:rsidRPr="007B6E74">
        <w:rPr>
          <w:rFonts w:ascii="Times New Roman" w:hAnsi="Times New Roman" w:cs="Times New Roman"/>
        </w:rPr>
        <w:t xml:space="preserve">Conceptual Framework </w:t>
      </w:r>
    </w:p>
    <w:p w14:paraId="53E76F80" w14:textId="0D8B7DBB" w:rsidR="0081645D" w:rsidRDefault="00205EF3" w:rsidP="00714A45">
      <w:pPr>
        <w:spacing w:line="276" w:lineRule="auto"/>
        <w:jc w:val="both"/>
        <w:rPr>
          <w:rFonts w:ascii="Times New Roman" w:hAnsi="Times New Roman" w:cs="Times New Roman"/>
        </w:rPr>
      </w:pPr>
      <w:r w:rsidRPr="00205EF3">
        <w:rPr>
          <w:rFonts w:ascii="Times New Roman" w:hAnsi="Times New Roman" w:cs="Times New Roman"/>
        </w:rPr>
        <w:t>In constructing the conceptual framework for this study, variables utilized in previous research have been incorporated. The primary objective is to examine how independent variables</w:t>
      </w:r>
      <w:r>
        <w:rPr>
          <w:rFonts w:ascii="Times New Roman" w:hAnsi="Times New Roman" w:cs="Times New Roman"/>
        </w:rPr>
        <w:t>,</w:t>
      </w:r>
      <w:r w:rsidRPr="00205EF3">
        <w:rPr>
          <w:rFonts w:ascii="Times New Roman" w:hAnsi="Times New Roman" w:cs="Times New Roman"/>
          <w:color w:val="000000"/>
          <w:lang w:bidi="si-LK"/>
        </w:rPr>
        <w:t xml:space="preserve"> </w:t>
      </w:r>
      <w:r w:rsidRPr="00060945">
        <w:rPr>
          <w:rFonts w:ascii="Times New Roman" w:hAnsi="Times New Roman" w:cs="Times New Roman"/>
          <w:color w:val="000000"/>
          <w:lang w:bidi="si-LK"/>
        </w:rPr>
        <w:t>Living area</w:t>
      </w:r>
      <w:r>
        <w:rPr>
          <w:rFonts w:ascii="Times New Roman" w:hAnsi="Times New Roman" w:cs="Times New Roman"/>
          <w:color w:val="000000"/>
          <w:lang w:bidi="si-LK"/>
        </w:rPr>
        <w:t xml:space="preserve"> </w:t>
      </w:r>
      <w:r w:rsidRPr="00467BB0">
        <w:rPr>
          <w:rFonts w:ascii="Times New Roman" w:hAnsi="Times New Roman" w:cs="Times New Roman"/>
        </w:rPr>
        <w:t xml:space="preserve">(Mejia, </w:t>
      </w:r>
      <w:proofErr w:type="spellStart"/>
      <w:r w:rsidRPr="00467BB0">
        <w:rPr>
          <w:rFonts w:ascii="Times New Roman" w:hAnsi="Times New Roman" w:cs="Times New Roman"/>
        </w:rPr>
        <w:t>Mejía</w:t>
      </w:r>
      <w:proofErr w:type="spellEnd"/>
      <w:r w:rsidRPr="00467BB0">
        <w:rPr>
          <w:rFonts w:ascii="Times New Roman" w:hAnsi="Times New Roman" w:cs="Times New Roman"/>
        </w:rPr>
        <w:t xml:space="preserve">, &amp; </w:t>
      </w:r>
      <w:proofErr w:type="spellStart"/>
      <w:r w:rsidRPr="00467BB0">
        <w:rPr>
          <w:rFonts w:ascii="Times New Roman" w:hAnsi="Times New Roman" w:cs="Times New Roman"/>
        </w:rPr>
        <w:t>Córdova</w:t>
      </w:r>
      <w:proofErr w:type="spellEnd"/>
      <w:r w:rsidRPr="00467BB0">
        <w:rPr>
          <w:rFonts w:ascii="Times New Roman" w:hAnsi="Times New Roman" w:cs="Times New Roman"/>
        </w:rPr>
        <w:t>, 2023)</w:t>
      </w:r>
      <w:r w:rsidRPr="00060945">
        <w:rPr>
          <w:rFonts w:ascii="Times New Roman" w:hAnsi="Times New Roman" w:cs="Times New Roman"/>
          <w:color w:val="000000"/>
          <w:lang w:bidi="si-LK"/>
        </w:rPr>
        <w:t>, Gender</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Lusardi and Mitchell</w:t>
      </w:r>
      <w:r w:rsidR="00616487">
        <w:rPr>
          <w:rFonts w:ascii="Times New Roman" w:hAnsi="Times New Roman" w:cs="Times New Roman"/>
        </w:rPr>
        <w:t xml:space="preserve">, </w:t>
      </w:r>
      <w:r w:rsidR="00616487" w:rsidRPr="00467BB0">
        <w:rPr>
          <w:rFonts w:ascii="Times New Roman" w:hAnsi="Times New Roman" w:cs="Times New Roman"/>
        </w:rPr>
        <w:t>2011)</w:t>
      </w:r>
      <w:r w:rsidRPr="00060945">
        <w:rPr>
          <w:rFonts w:ascii="Times New Roman" w:hAnsi="Times New Roman" w:cs="Times New Roman"/>
          <w:color w:val="000000"/>
          <w:lang w:bidi="si-LK"/>
        </w:rPr>
        <w:t>, Length of Service</w:t>
      </w:r>
      <w:r w:rsidR="00616487">
        <w:rPr>
          <w:rFonts w:ascii="Times New Roman" w:hAnsi="Times New Roman" w:cs="Times New Roman"/>
          <w:color w:val="000000"/>
          <w:lang w:bidi="si-LK"/>
        </w:rPr>
        <w:t xml:space="preserve"> (</w:t>
      </w:r>
      <w:proofErr w:type="spellStart"/>
      <w:r w:rsidR="00616487" w:rsidRPr="00467BB0">
        <w:rPr>
          <w:rFonts w:ascii="Times New Roman" w:hAnsi="Times New Roman" w:cs="Times New Roman"/>
        </w:rPr>
        <w:t>Ansong</w:t>
      </w:r>
      <w:proofErr w:type="spellEnd"/>
      <w:r w:rsidR="00616487" w:rsidRPr="00467BB0">
        <w:rPr>
          <w:rFonts w:ascii="Times New Roman" w:hAnsi="Times New Roman" w:cs="Times New Roman"/>
        </w:rPr>
        <w:t xml:space="preserve"> and </w:t>
      </w:r>
      <w:proofErr w:type="spellStart"/>
      <w:r w:rsidR="00616487" w:rsidRPr="00467BB0">
        <w:rPr>
          <w:rFonts w:ascii="Times New Roman" w:hAnsi="Times New Roman" w:cs="Times New Roman"/>
        </w:rPr>
        <w:t>Gyensare</w:t>
      </w:r>
      <w:proofErr w:type="spellEnd"/>
      <w:r w:rsidR="00616487">
        <w:rPr>
          <w:rFonts w:ascii="Times New Roman" w:hAnsi="Times New Roman" w:cs="Times New Roman"/>
        </w:rPr>
        <w:t xml:space="preserve">, </w:t>
      </w:r>
      <w:r w:rsidR="00616487" w:rsidRPr="00467BB0">
        <w:rPr>
          <w:rFonts w:ascii="Times New Roman" w:hAnsi="Times New Roman" w:cs="Times New Roman"/>
        </w:rPr>
        <w:t>2012)</w:t>
      </w:r>
      <w:r w:rsidRPr="00060945">
        <w:rPr>
          <w:rFonts w:ascii="Times New Roman" w:hAnsi="Times New Roman" w:cs="Times New Roman"/>
          <w:color w:val="000000"/>
          <w:lang w:bidi="si-LK"/>
        </w:rPr>
        <w:t xml:space="preserve">, </w:t>
      </w:r>
      <w:r w:rsidRPr="00702E77">
        <w:rPr>
          <w:rFonts w:ascii="Times New Roman" w:hAnsi="Times New Roman" w:cs="Times New Roman"/>
          <w:color w:val="000000"/>
          <w:lang w:bidi="si-LK"/>
        </w:rPr>
        <w:t>Profession</w:t>
      </w:r>
      <w:r w:rsidR="00616487" w:rsidRPr="00702E77">
        <w:rPr>
          <w:rFonts w:ascii="Times New Roman" w:hAnsi="Times New Roman" w:cs="Times New Roman"/>
          <w:color w:val="000000"/>
          <w:lang w:bidi="si-LK"/>
        </w:rPr>
        <w:t xml:space="preserve"> </w:t>
      </w:r>
      <w:r w:rsidR="00702E77" w:rsidRPr="00702E77">
        <w:rPr>
          <w:rFonts w:ascii="Times New Roman" w:hAnsi="Times New Roman" w:cs="Times New Roman"/>
          <w:color w:val="000000"/>
          <w:lang w:bidi="si-LK"/>
        </w:rPr>
        <w:t>(</w:t>
      </w:r>
      <w:proofErr w:type="spellStart"/>
      <w:r w:rsidR="00702E77" w:rsidRPr="00702E77">
        <w:rPr>
          <w:rFonts w:ascii="Times New Roman" w:hAnsi="Times New Roman" w:cs="Times New Roman"/>
        </w:rPr>
        <w:t>Boolaky</w:t>
      </w:r>
      <w:proofErr w:type="spellEnd"/>
      <w:r w:rsidR="00702E77" w:rsidRPr="00702E77">
        <w:rPr>
          <w:rFonts w:ascii="Times New Roman" w:hAnsi="Times New Roman" w:cs="Times New Roman"/>
        </w:rPr>
        <w:t xml:space="preserve"> and et al</w:t>
      </w:r>
      <w:r w:rsidR="00702E77">
        <w:rPr>
          <w:rFonts w:ascii="Times New Roman" w:hAnsi="Times New Roman" w:cs="Times New Roman"/>
        </w:rPr>
        <w:t xml:space="preserve">, </w:t>
      </w:r>
      <w:r w:rsidR="00702E77" w:rsidRPr="00702E77">
        <w:rPr>
          <w:rFonts w:ascii="Times New Roman" w:hAnsi="Times New Roman" w:cs="Times New Roman"/>
        </w:rPr>
        <w:t xml:space="preserve">2021) </w:t>
      </w:r>
      <w:r w:rsidRPr="00060945">
        <w:rPr>
          <w:rFonts w:ascii="Times New Roman" w:hAnsi="Times New Roman" w:cs="Times New Roman"/>
          <w:color w:val="000000"/>
          <w:lang w:bidi="si-LK"/>
        </w:rPr>
        <w:t>Education Level</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Mandell et al.</w:t>
      </w:r>
      <w:r w:rsidR="00616487">
        <w:rPr>
          <w:rFonts w:ascii="Times New Roman" w:hAnsi="Times New Roman" w:cs="Times New Roman"/>
        </w:rPr>
        <w:t>,</w:t>
      </w:r>
      <w:r w:rsidR="00616487" w:rsidRPr="00467BB0">
        <w:rPr>
          <w:rFonts w:ascii="Times New Roman" w:hAnsi="Times New Roman" w:cs="Times New Roman"/>
        </w:rPr>
        <w:t>2008)</w:t>
      </w:r>
      <w:r w:rsidRPr="00060945">
        <w:rPr>
          <w:rFonts w:ascii="Times New Roman" w:hAnsi="Times New Roman" w:cs="Times New Roman"/>
          <w:color w:val="000000"/>
          <w:lang w:bidi="si-LK"/>
        </w:rPr>
        <w:t>, Civil Status</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Lusardi &amp; Mitchell, 2008)</w:t>
      </w:r>
      <w:r w:rsidRPr="00060945">
        <w:rPr>
          <w:rFonts w:ascii="Times New Roman" w:hAnsi="Times New Roman" w:cs="Times New Roman"/>
          <w:color w:val="000000"/>
          <w:lang w:bidi="si-LK"/>
        </w:rPr>
        <w:t>, Age</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Lusardi &amp; Mitchell, 2008)</w:t>
      </w:r>
      <w:r w:rsidRPr="00060945">
        <w:rPr>
          <w:rFonts w:ascii="Times New Roman" w:hAnsi="Times New Roman" w:cs="Times New Roman"/>
          <w:color w:val="000000"/>
          <w:lang w:bidi="si-LK"/>
        </w:rPr>
        <w:t>, Monthly Income Level</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Chen and Volpe</w:t>
      </w:r>
      <w:r w:rsidR="00616487">
        <w:rPr>
          <w:rFonts w:ascii="Times New Roman" w:hAnsi="Times New Roman" w:cs="Times New Roman"/>
        </w:rPr>
        <w:t xml:space="preserve">, </w:t>
      </w:r>
      <w:r w:rsidR="00616487" w:rsidRPr="00467BB0">
        <w:rPr>
          <w:rFonts w:ascii="Times New Roman" w:hAnsi="Times New Roman" w:cs="Times New Roman"/>
        </w:rPr>
        <w:t xml:space="preserve">2002) </w:t>
      </w:r>
      <w:r>
        <w:rPr>
          <w:rFonts w:ascii="Times New Roman" w:hAnsi="Times New Roman" w:cs="Times New Roman"/>
        </w:rPr>
        <w:t xml:space="preserve"> </w:t>
      </w:r>
      <w:r w:rsidRPr="00205EF3">
        <w:rPr>
          <w:rFonts w:ascii="Times New Roman" w:hAnsi="Times New Roman" w:cs="Times New Roman"/>
        </w:rPr>
        <w:t>influence the dependent variable,</w:t>
      </w:r>
      <w:r>
        <w:rPr>
          <w:rFonts w:ascii="Times New Roman" w:hAnsi="Times New Roman" w:cs="Times New Roman"/>
        </w:rPr>
        <w:t xml:space="preserve"> Financial Literacy</w:t>
      </w:r>
      <w:r w:rsidR="00876634">
        <w:rPr>
          <w:rFonts w:ascii="Times New Roman" w:hAnsi="Times New Roman" w:cs="Times New Roman"/>
        </w:rPr>
        <w:t xml:space="preserve"> </w:t>
      </w:r>
      <w:r w:rsidR="00876634" w:rsidRPr="00FA161E">
        <w:rPr>
          <w:rFonts w:ascii="Times New Roman" w:hAnsi="Times New Roman" w:cs="Times New Roman"/>
        </w:rPr>
        <w:t>(OECD/INFE, 2012)</w:t>
      </w:r>
      <w:r>
        <w:rPr>
          <w:rFonts w:ascii="Times New Roman" w:hAnsi="Times New Roman" w:cs="Times New Roman"/>
        </w:rPr>
        <w:t xml:space="preserve">.  </w:t>
      </w:r>
      <w:r w:rsidRPr="00205EF3">
        <w:rPr>
          <w:rFonts w:ascii="Times New Roman" w:hAnsi="Times New Roman" w:cs="Times New Roman"/>
        </w:rPr>
        <w:t xml:space="preserve">It is hypothesized that these </w:t>
      </w:r>
      <w:r w:rsidR="0092078A">
        <w:rPr>
          <w:rFonts w:ascii="Times New Roman" w:hAnsi="Times New Roman" w:cs="Times New Roman"/>
        </w:rPr>
        <w:t>eight</w:t>
      </w:r>
      <w:r w:rsidRPr="00205EF3">
        <w:rPr>
          <w:rFonts w:ascii="Times New Roman" w:hAnsi="Times New Roman" w:cs="Times New Roman"/>
        </w:rPr>
        <w:t xml:space="preserve"> independent variables have a positive impact on </w:t>
      </w:r>
      <w:r w:rsidR="0092078A">
        <w:rPr>
          <w:rFonts w:ascii="Times New Roman" w:hAnsi="Times New Roman" w:cs="Times New Roman"/>
        </w:rPr>
        <w:t>financial literacy</w:t>
      </w:r>
      <w:r w:rsidRPr="00205EF3">
        <w:rPr>
          <w:rFonts w:ascii="Times New Roman" w:hAnsi="Times New Roman" w:cs="Times New Roman"/>
        </w:rPr>
        <w:t>. Based on this assumption, hypotheses have been developed to assess the extent to which</w:t>
      </w:r>
      <w:r w:rsidR="0092078A">
        <w:rPr>
          <w:rFonts w:ascii="Times New Roman" w:hAnsi="Times New Roman" w:cs="Times New Roman"/>
        </w:rPr>
        <w:t xml:space="preserve"> </w:t>
      </w:r>
      <w:r w:rsidR="00237945">
        <w:rPr>
          <w:rFonts w:ascii="Times New Roman" w:hAnsi="Times New Roman" w:cs="Times New Roman"/>
        </w:rPr>
        <w:t>socioeconomics</w:t>
      </w:r>
      <w:r w:rsidR="0092078A">
        <w:rPr>
          <w:rFonts w:ascii="Times New Roman" w:hAnsi="Times New Roman" w:cs="Times New Roman"/>
        </w:rPr>
        <w:t xml:space="preserve"> and demographic</w:t>
      </w:r>
      <w:r w:rsidRPr="00205EF3">
        <w:rPr>
          <w:rFonts w:ascii="Times New Roman" w:hAnsi="Times New Roman" w:cs="Times New Roman"/>
        </w:rPr>
        <w:t xml:space="preserve"> components affect </w:t>
      </w:r>
      <w:r w:rsidR="0092078A" w:rsidRPr="00205EF3">
        <w:rPr>
          <w:rFonts w:ascii="Times New Roman" w:hAnsi="Times New Roman" w:cs="Times New Roman"/>
        </w:rPr>
        <w:t>financial literacy</w:t>
      </w:r>
      <w:r w:rsidRPr="00205EF3">
        <w:rPr>
          <w:rFonts w:ascii="Times New Roman" w:hAnsi="Times New Roman" w:cs="Times New Roman"/>
        </w:rPr>
        <w:t xml:space="preserve"> </w:t>
      </w:r>
      <w:r w:rsidR="0092078A">
        <w:rPr>
          <w:rFonts w:ascii="Times New Roman" w:hAnsi="Times New Roman" w:cs="Times New Roman"/>
        </w:rPr>
        <w:t>among online bank customers</w:t>
      </w:r>
      <w:r w:rsidRPr="00205EF3">
        <w:rPr>
          <w:rFonts w:ascii="Times New Roman" w:hAnsi="Times New Roman" w:cs="Times New Roman"/>
        </w:rPr>
        <w:t xml:space="preserve">. The findings of this study will provide valuable insights for the banking </w:t>
      </w:r>
      <w:r w:rsidRPr="00205EF3">
        <w:rPr>
          <w:rFonts w:ascii="Times New Roman" w:hAnsi="Times New Roman" w:cs="Times New Roman"/>
        </w:rPr>
        <w:lastRenderedPageBreak/>
        <w:t>sector and policymakers, helping them to enhance the adoption of online banking services by leveraging financial literacy initiatives.</w:t>
      </w:r>
    </w:p>
    <w:p w14:paraId="45E386C9" w14:textId="77777777" w:rsidR="0081645D" w:rsidRDefault="0081645D" w:rsidP="00714A45">
      <w:pPr>
        <w:spacing w:line="276" w:lineRule="auto"/>
        <w:jc w:val="both"/>
        <w:rPr>
          <w:rFonts w:ascii="Times New Roman" w:hAnsi="Times New Roman" w:cs="Times New Roman"/>
        </w:rPr>
      </w:pPr>
    </w:p>
    <w:p w14:paraId="7A28C7F2" w14:textId="0EE1407D" w:rsidR="00237945" w:rsidRDefault="00491A3A" w:rsidP="00714A45">
      <w:pPr>
        <w:spacing w:line="276"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81792" behindDoc="0" locked="0" layoutInCell="1" allowOverlap="1" wp14:anchorId="43E6CDBF" wp14:editId="4E1132A3">
                <wp:simplePos x="0" y="0"/>
                <wp:positionH relativeFrom="column">
                  <wp:posOffset>28575</wp:posOffset>
                </wp:positionH>
                <wp:positionV relativeFrom="paragraph">
                  <wp:posOffset>73660</wp:posOffset>
                </wp:positionV>
                <wp:extent cx="6124575" cy="4286250"/>
                <wp:effectExtent l="0" t="0" r="28575" b="19050"/>
                <wp:wrapNone/>
                <wp:docPr id="205918323" name="Group 3"/>
                <wp:cNvGraphicFramePr/>
                <a:graphic xmlns:a="http://schemas.openxmlformats.org/drawingml/2006/main">
                  <a:graphicData uri="http://schemas.microsoft.com/office/word/2010/wordprocessingGroup">
                    <wpg:wgp>
                      <wpg:cNvGrpSpPr/>
                      <wpg:grpSpPr>
                        <a:xfrm>
                          <a:off x="0" y="0"/>
                          <a:ext cx="6124575" cy="4286250"/>
                          <a:chOff x="0" y="0"/>
                          <a:chExt cx="6124575" cy="4286250"/>
                        </a:xfrm>
                      </wpg:grpSpPr>
                      <wpg:grpSp>
                        <wpg:cNvPr id="2069045487" name="Group 2"/>
                        <wpg:cNvGrpSpPr/>
                        <wpg:grpSpPr>
                          <a:xfrm>
                            <a:off x="0" y="0"/>
                            <a:ext cx="6124575" cy="4286250"/>
                            <a:chOff x="0" y="0"/>
                            <a:chExt cx="6124575" cy="4286250"/>
                          </a:xfrm>
                        </wpg:grpSpPr>
                        <wps:wsp>
                          <wps:cNvPr id="812435922" name="Text Box 1"/>
                          <wps:cNvSpPr txBox="1"/>
                          <wps:spPr>
                            <a:xfrm>
                              <a:off x="257175" y="1695450"/>
                              <a:ext cx="1933575" cy="295275"/>
                            </a:xfrm>
                            <a:prstGeom prst="rect">
                              <a:avLst/>
                            </a:prstGeom>
                            <a:solidFill>
                              <a:schemeClr val="lt1"/>
                            </a:solidFill>
                            <a:ln w="6350">
                              <a:solidFill>
                                <a:prstClr val="black"/>
                              </a:solidFill>
                            </a:ln>
                          </wps:spPr>
                          <wps:txbx>
                            <w:txbxContent>
                              <w:p w14:paraId="55FCEA1F" w14:textId="1365D014" w:rsidR="00237945" w:rsidRDefault="00237945" w:rsidP="00491A3A">
                                <w:pPr>
                                  <w:jc w:val="center"/>
                                </w:pPr>
                                <w:r w:rsidRPr="00060945">
                                  <w:rPr>
                                    <w:rFonts w:ascii="Times New Roman" w:hAnsi="Times New Roman" w:cs="Times New Roman"/>
                                    <w:color w:val="000000"/>
                                    <w:lang w:bidi="si-LK"/>
                                  </w:rPr>
                                  <w:t>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82991918" name="Group 1"/>
                          <wpg:cNvGrpSpPr/>
                          <wpg:grpSpPr>
                            <a:xfrm>
                              <a:off x="0" y="0"/>
                              <a:ext cx="6124575" cy="4286250"/>
                              <a:chOff x="0" y="0"/>
                              <a:chExt cx="6124575" cy="4286250"/>
                            </a:xfrm>
                          </wpg:grpSpPr>
                          <wpg:grpSp>
                            <wpg:cNvPr id="2096735531" name="Group 24"/>
                            <wpg:cNvGrpSpPr/>
                            <wpg:grpSpPr>
                              <a:xfrm>
                                <a:off x="0" y="0"/>
                                <a:ext cx="6124575" cy="4286250"/>
                                <a:chOff x="0" y="-1"/>
                                <a:chExt cx="6124575" cy="4286250"/>
                              </a:xfrm>
                            </wpg:grpSpPr>
                            <wpg:grpSp>
                              <wpg:cNvPr id="303970502" name="Group 5"/>
                              <wpg:cNvGrpSpPr/>
                              <wpg:grpSpPr>
                                <a:xfrm>
                                  <a:off x="266700" y="142875"/>
                                  <a:ext cx="5467350" cy="3648075"/>
                                  <a:chOff x="0" y="0"/>
                                  <a:chExt cx="5467350" cy="3648075"/>
                                </a:xfrm>
                              </wpg:grpSpPr>
                              <wps:wsp>
                                <wps:cNvPr id="470474338" name="Text Box 1"/>
                                <wps:cNvSpPr txBox="1"/>
                                <wps:spPr>
                                  <a:xfrm>
                                    <a:off x="0" y="0"/>
                                    <a:ext cx="1933575" cy="285750"/>
                                  </a:xfrm>
                                  <a:prstGeom prst="rect">
                                    <a:avLst/>
                                  </a:prstGeom>
                                  <a:solidFill>
                                    <a:schemeClr val="lt1"/>
                                  </a:solidFill>
                                  <a:ln w="6350">
                                    <a:solidFill>
                                      <a:prstClr val="black"/>
                                    </a:solidFill>
                                  </a:ln>
                                </wps:spPr>
                                <wps:txbx>
                                  <w:txbxContent>
                                    <w:p w14:paraId="1F1C025E" w14:textId="652F8545" w:rsidR="00237945" w:rsidRDefault="00237945" w:rsidP="00491A3A">
                                      <w:pPr>
                                        <w:jc w:val="center"/>
                                      </w:pPr>
                                      <w:r w:rsidRPr="00060945">
                                        <w:rPr>
                                          <w:rFonts w:ascii="Times New Roman" w:hAnsi="Times New Roman" w:cs="Times New Roman"/>
                                          <w:color w:val="000000"/>
                                          <w:lang w:bidi="si-LK"/>
                                        </w:rPr>
                                        <w:t>Living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338485" name="Text Box 1"/>
                                <wps:cNvSpPr txBox="1"/>
                                <wps:spPr>
                                  <a:xfrm>
                                    <a:off x="0" y="1085850"/>
                                    <a:ext cx="1933575" cy="295275"/>
                                  </a:xfrm>
                                  <a:prstGeom prst="rect">
                                    <a:avLst/>
                                  </a:prstGeom>
                                  <a:solidFill>
                                    <a:schemeClr val="lt1"/>
                                  </a:solidFill>
                                  <a:ln w="6350">
                                    <a:solidFill>
                                      <a:prstClr val="black"/>
                                    </a:solidFill>
                                  </a:ln>
                                </wps:spPr>
                                <wps:txbx>
                                  <w:txbxContent>
                                    <w:p w14:paraId="09EA97BC" w14:textId="2B2CBAB1" w:rsidR="00237945" w:rsidRDefault="00237945" w:rsidP="00491A3A">
                                      <w:pPr>
                                        <w:jc w:val="center"/>
                                      </w:pPr>
                                      <w:r w:rsidRPr="00060945">
                                        <w:rPr>
                                          <w:rFonts w:ascii="Times New Roman" w:hAnsi="Times New Roman" w:cs="Times New Roman"/>
                                          <w:color w:val="000000"/>
                                          <w:lang w:bidi="si-LK"/>
                                        </w:rPr>
                                        <w:t>Length of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3088425" name="Text Box 1"/>
                                <wps:cNvSpPr txBox="1"/>
                                <wps:spPr>
                                  <a:xfrm>
                                    <a:off x="0" y="542925"/>
                                    <a:ext cx="1933575" cy="304800"/>
                                  </a:xfrm>
                                  <a:prstGeom prst="rect">
                                    <a:avLst/>
                                  </a:prstGeom>
                                  <a:solidFill>
                                    <a:schemeClr val="lt1"/>
                                  </a:solidFill>
                                  <a:ln w="6350">
                                    <a:solidFill>
                                      <a:prstClr val="black"/>
                                    </a:solidFill>
                                  </a:ln>
                                </wps:spPr>
                                <wps:txbx>
                                  <w:txbxContent>
                                    <w:p w14:paraId="2F08213F" w14:textId="73EE8A9F" w:rsidR="00237945" w:rsidRDefault="00237945" w:rsidP="00491A3A">
                                      <w:pPr>
                                        <w:jc w:val="center"/>
                                      </w:pPr>
                                      <w:r w:rsidRPr="00060945">
                                        <w:rPr>
                                          <w:rFonts w:ascii="Times New Roman" w:hAnsi="Times New Roman" w:cs="Times New Roman"/>
                                          <w:color w:val="000000"/>
                                          <w:lang w:bidi="si-LK"/>
                                        </w:rP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8037312" name="Text Box 1"/>
                                <wps:cNvSpPr txBox="1"/>
                                <wps:spPr>
                                  <a:xfrm>
                                    <a:off x="3533775" y="1609725"/>
                                    <a:ext cx="1933575" cy="533400"/>
                                  </a:xfrm>
                                  <a:prstGeom prst="rect">
                                    <a:avLst/>
                                  </a:prstGeom>
                                  <a:solidFill>
                                    <a:schemeClr val="lt1"/>
                                  </a:solidFill>
                                  <a:ln w="6350">
                                    <a:solidFill>
                                      <a:prstClr val="black"/>
                                    </a:solidFill>
                                  </a:ln>
                                </wps:spPr>
                                <wps:txbx>
                                  <w:txbxContent>
                                    <w:p w14:paraId="4E5B57F9" w14:textId="252102DD" w:rsidR="00237945" w:rsidRDefault="00237945" w:rsidP="00237945">
                                      <w:r>
                                        <w:rPr>
                                          <w:rFonts w:ascii="Times New Roman" w:hAnsi="Times New Roman" w:cs="Times New Roman"/>
                                        </w:rPr>
                                        <w:t>Cu</w:t>
                                      </w:r>
                                      <w:r w:rsidRPr="00BC4253">
                                        <w:rPr>
                                          <w:rFonts w:ascii="Times New Roman" w:hAnsi="Times New Roman" w:cs="Times New Roman"/>
                                        </w:rPr>
                                        <w:t>s</w:t>
                                      </w:r>
                                      <w:r>
                                        <w:rPr>
                                          <w:rFonts w:ascii="Times New Roman" w:hAnsi="Times New Roman" w:cs="Times New Roman"/>
                                        </w:rPr>
                                        <w:t>t</w:t>
                                      </w:r>
                                      <w:r w:rsidRPr="00BC4253">
                                        <w:rPr>
                                          <w:rFonts w:ascii="Times New Roman" w:hAnsi="Times New Roman" w:cs="Times New Roman"/>
                                        </w:rPr>
                                        <w:t>omers'</w:t>
                                      </w:r>
                                      <w:r w:rsidR="00491A3A">
                                        <w:rPr>
                                          <w:rFonts w:ascii="Times New Roman" w:hAnsi="Times New Roman" w:cs="Times New Roman"/>
                                        </w:rPr>
                                        <w:t xml:space="preserve"> Financial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2128558" name="Straight Arrow Connector 2"/>
                                <wps:cNvCnPr/>
                                <wps:spPr>
                                  <a:xfrm>
                                    <a:off x="1952625" y="133350"/>
                                    <a:ext cx="1571625" cy="1466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4857853" name="Straight Arrow Connector 4"/>
                                <wps:cNvCnPr/>
                                <wps:spPr>
                                  <a:xfrm flipV="1">
                                    <a:off x="1943100" y="2171699"/>
                                    <a:ext cx="1581150" cy="1476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005574475" name="Rectangle 23"/>
                              <wps:cNvSpPr/>
                              <wps:spPr>
                                <a:xfrm>
                                  <a:off x="0" y="-1"/>
                                  <a:ext cx="6124575" cy="4286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3622565" name="Text Box 1"/>
                            <wps:cNvSpPr txBox="1"/>
                            <wps:spPr>
                              <a:xfrm>
                                <a:off x="266700" y="2200275"/>
                                <a:ext cx="1933575" cy="295275"/>
                              </a:xfrm>
                              <a:prstGeom prst="rect">
                                <a:avLst/>
                              </a:prstGeom>
                              <a:solidFill>
                                <a:schemeClr val="lt1"/>
                              </a:solidFill>
                              <a:ln w="6350">
                                <a:solidFill>
                                  <a:prstClr val="black"/>
                                </a:solidFill>
                              </a:ln>
                            </wps:spPr>
                            <wps:txbx>
                              <w:txbxContent>
                                <w:p w14:paraId="489F3FBE" w14:textId="0CA3F0D4" w:rsidR="00237945" w:rsidRDefault="00491A3A" w:rsidP="00491A3A">
                                  <w:pPr>
                                    <w:jc w:val="center"/>
                                  </w:pPr>
                                  <w:r w:rsidRPr="00060945">
                                    <w:rPr>
                                      <w:rFonts w:ascii="Times New Roman" w:hAnsi="Times New Roman" w:cs="Times New Roman"/>
                                      <w:color w:val="000000"/>
                                      <w:lang w:bidi="si-LK"/>
                                    </w:rPr>
                                    <w:t>Education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1261511" name="Text Box 1"/>
                            <wps:cNvSpPr txBox="1"/>
                            <wps:spPr>
                              <a:xfrm>
                                <a:off x="276225" y="2695575"/>
                                <a:ext cx="1933575" cy="295275"/>
                              </a:xfrm>
                              <a:prstGeom prst="rect">
                                <a:avLst/>
                              </a:prstGeom>
                              <a:solidFill>
                                <a:schemeClr val="lt1"/>
                              </a:solidFill>
                              <a:ln w="6350">
                                <a:solidFill>
                                  <a:prstClr val="black"/>
                                </a:solidFill>
                              </a:ln>
                            </wps:spPr>
                            <wps:txbx>
                              <w:txbxContent>
                                <w:p w14:paraId="59C1980E" w14:textId="614090D5" w:rsidR="00237945" w:rsidRDefault="00491A3A" w:rsidP="00491A3A">
                                  <w:pPr>
                                    <w:jc w:val="center"/>
                                  </w:pPr>
                                  <w:r w:rsidRPr="00060945">
                                    <w:rPr>
                                      <w:rFonts w:ascii="Times New Roman" w:hAnsi="Times New Roman" w:cs="Times New Roman"/>
                                      <w:color w:val="000000"/>
                                      <w:lang w:bidi="si-LK"/>
                                    </w:rPr>
                                    <w:t>Civil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4092056" name="Text Box 1"/>
                            <wps:cNvSpPr txBox="1"/>
                            <wps:spPr>
                              <a:xfrm>
                                <a:off x="285750" y="3152775"/>
                                <a:ext cx="1933575" cy="295275"/>
                              </a:xfrm>
                              <a:prstGeom prst="rect">
                                <a:avLst/>
                              </a:prstGeom>
                              <a:solidFill>
                                <a:schemeClr val="lt1"/>
                              </a:solidFill>
                              <a:ln w="6350">
                                <a:solidFill>
                                  <a:prstClr val="black"/>
                                </a:solidFill>
                              </a:ln>
                            </wps:spPr>
                            <wps:txbx>
                              <w:txbxContent>
                                <w:p w14:paraId="4FA4D875" w14:textId="48C7B6AB" w:rsidR="00237945" w:rsidRDefault="00491A3A" w:rsidP="00491A3A">
                                  <w:pPr>
                                    <w:jc w:val="center"/>
                                  </w:pPr>
                                  <w:r w:rsidRPr="00060945">
                                    <w:rPr>
                                      <w:rFonts w:ascii="Times New Roman" w:hAnsi="Times New Roman" w:cs="Times New Roman"/>
                                      <w:color w:val="000000"/>
                                      <w:lang w:bidi="si-LK"/>
                                    </w:rPr>
                                    <w: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1006425" name="Text Box 1"/>
                            <wps:cNvSpPr txBox="1"/>
                            <wps:spPr>
                              <a:xfrm>
                                <a:off x="295275" y="3609975"/>
                                <a:ext cx="1933575" cy="295275"/>
                              </a:xfrm>
                              <a:prstGeom prst="rect">
                                <a:avLst/>
                              </a:prstGeom>
                              <a:solidFill>
                                <a:schemeClr val="lt1"/>
                              </a:solidFill>
                              <a:ln w="6350">
                                <a:solidFill>
                                  <a:prstClr val="black"/>
                                </a:solidFill>
                              </a:ln>
                            </wps:spPr>
                            <wps:txbx>
                              <w:txbxContent>
                                <w:p w14:paraId="69A34C01" w14:textId="69F1185D" w:rsidR="00237945" w:rsidRDefault="00491A3A" w:rsidP="00491A3A">
                                  <w:pPr>
                                    <w:jc w:val="center"/>
                                  </w:pPr>
                                  <w:r w:rsidRPr="00060945">
                                    <w:rPr>
                                      <w:rFonts w:ascii="Times New Roman" w:hAnsi="Times New Roman" w:cs="Times New Roman"/>
                                      <w:color w:val="000000"/>
                                      <w:lang w:bidi="si-LK"/>
                                    </w:rPr>
                                    <w:t>Monthly Income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32979429" name="Straight Arrow Connector 2"/>
                        <wps:cNvCnPr/>
                        <wps:spPr>
                          <a:xfrm>
                            <a:off x="2219325" y="838200"/>
                            <a:ext cx="1533525" cy="10001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6101050" name="Straight Arrow Connector 2"/>
                        <wps:cNvCnPr/>
                        <wps:spPr>
                          <a:xfrm>
                            <a:off x="2228850" y="1381125"/>
                            <a:ext cx="151447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0300736" name="Straight Arrow Connector 3"/>
                        <wps:cNvCnPr/>
                        <wps:spPr>
                          <a:xfrm flipV="1">
                            <a:off x="2209800" y="2009775"/>
                            <a:ext cx="15430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1004512" name="Straight Arrow Connector 2"/>
                        <wps:cNvCnPr/>
                        <wps:spPr>
                          <a:xfrm flipV="1">
                            <a:off x="2219325" y="2095500"/>
                            <a:ext cx="154305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1586801" name="Straight Arrow Connector 2"/>
                        <wps:cNvCnPr/>
                        <wps:spPr>
                          <a:xfrm flipV="1">
                            <a:off x="2238375" y="2200275"/>
                            <a:ext cx="1524000" cy="1085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7584175" name="Straight Arrow Connector 2"/>
                        <wps:cNvCnPr/>
                        <wps:spPr>
                          <a:xfrm>
                            <a:off x="2209800" y="1857375"/>
                            <a:ext cx="150495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3E6CDBF" id="Group 3" o:spid="_x0000_s1026" style="position:absolute;left:0;text-align:left;margin-left:2.25pt;margin-top:5.8pt;width:482.25pt;height:337.5pt;z-index:251681792" coordsize="61245,4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">
                <v:group id="Group 2" o:spid="_x0000_s1027" style="position:absolute;width:61245;height:42862" coordsize="6124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">
                  <v:shapetype id="_x0000_t202" coordsize="21600,21600" o:spt="202" path="m,l,21600r21600,l21600,xe">
                    <v:stroke joinstyle="miter"/>
                    <v:path gradientshapeok="t" o:connecttype="rect"/>
                  </v:shapetype>
                  <v:shape id="Text Box 1" o:spid="_x0000_s1028" type="#_x0000_t202" style="position:absolute;left:2571;top:16954;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" fillcolor="white [3201]" strokeweight=".5pt">
                    <v:textbox>
                      <w:txbxContent>
                        <w:p w14:paraId="55FCEA1F" w14:textId="1365D014" w:rsidR="00237945" w:rsidRDefault="00237945" w:rsidP="00491A3A">
                          <w:pPr>
                            <w:jc w:val="center"/>
                          </w:pPr>
                          <w:r w:rsidRPr="00060945">
                            <w:rPr>
                              <w:rFonts w:ascii="Times New Roman" w:hAnsi="Times New Roman" w:cs="Times New Roman"/>
                              <w:color w:val="000000"/>
                              <w:lang w:bidi="si-LK"/>
                            </w:rPr>
                            <w:t>Profession</w:t>
                          </w:r>
                        </w:p>
                      </w:txbxContent>
                    </v:textbox>
                  </v:shape>
                  <v:group id="Group 1" o:spid="_x0000_s1029" style="position:absolute;width:61245;height:42862" coordsize="6124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">
                    <v:group id="Group 24" o:spid="_x0000_s1030" style="position:absolute;width:61245;height:42862" coordorigin="" coordsize="6124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">
                      <v:group id="Group 5" o:spid="_x0000_s1031" style="position:absolute;left:2667;top:1428;width:54673;height:36481" coordsize="54673,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">
                        <v:shape id="Text Box 1" o:spid="_x0000_s1032" type="#_x0000_t202" style="position:absolute;width:193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" fillcolor="white [3201]" strokeweight=".5pt">
                          <v:textbox>
                            <w:txbxContent>
                              <w:p w14:paraId="1F1C025E" w14:textId="652F8545" w:rsidR="00237945" w:rsidRDefault="00237945" w:rsidP="00491A3A">
                                <w:pPr>
                                  <w:jc w:val="center"/>
                                </w:pPr>
                                <w:r w:rsidRPr="00060945">
                                  <w:rPr>
                                    <w:rFonts w:ascii="Times New Roman" w:hAnsi="Times New Roman" w:cs="Times New Roman"/>
                                    <w:color w:val="000000"/>
                                    <w:lang w:bidi="si-LK"/>
                                  </w:rPr>
                                  <w:t>Living area</w:t>
                                </w:r>
                              </w:p>
                            </w:txbxContent>
                          </v:textbox>
                        </v:shape>
                        <v:shape id="Text Box 1" o:spid="_x0000_s1033" type="#_x0000_t202" style="position:absolute;top:10858;width:1933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" fillcolor="white [3201]" strokeweight=".5pt">
                          <v:textbox>
                            <w:txbxContent>
                              <w:p w14:paraId="09EA97BC" w14:textId="2B2CBAB1" w:rsidR="00237945" w:rsidRDefault="00237945" w:rsidP="00491A3A">
                                <w:pPr>
                                  <w:jc w:val="center"/>
                                </w:pPr>
                                <w:r w:rsidRPr="00060945">
                                  <w:rPr>
                                    <w:rFonts w:ascii="Times New Roman" w:hAnsi="Times New Roman" w:cs="Times New Roman"/>
                                    <w:color w:val="000000"/>
                                    <w:lang w:bidi="si-LK"/>
                                  </w:rPr>
                                  <w:t>Length of Service</w:t>
                                </w:r>
                              </w:p>
                            </w:txbxContent>
                          </v:textbox>
                        </v:shape>
                        <v:shape id="Text Box 1" o:spid="_x0000_s1034" type="#_x0000_t202" style="position:absolute;top:5429;width:1933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" fillcolor="white [3201]" strokeweight=".5pt">
                          <v:textbox>
                            <w:txbxContent>
                              <w:p w14:paraId="2F08213F" w14:textId="73EE8A9F" w:rsidR="00237945" w:rsidRDefault="00237945" w:rsidP="00491A3A">
                                <w:pPr>
                                  <w:jc w:val="center"/>
                                </w:pPr>
                                <w:r w:rsidRPr="00060945">
                                  <w:rPr>
                                    <w:rFonts w:ascii="Times New Roman" w:hAnsi="Times New Roman" w:cs="Times New Roman"/>
                                    <w:color w:val="000000"/>
                                    <w:lang w:bidi="si-LK"/>
                                  </w:rPr>
                                  <w:t>Gender</w:t>
                                </w:r>
                              </w:p>
                            </w:txbxContent>
                          </v:textbox>
                        </v:shape>
                        <v:shape id="Text Box 1" o:spid="_x0000_s1035" type="#_x0000_t202" style="position:absolute;left:35337;top:16097;width:1933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" fillcolor="white [3201]" strokeweight=".5pt">
                          <v:textbox>
                            <w:txbxContent>
                              <w:p w14:paraId="4E5B57F9" w14:textId="252102DD" w:rsidR="00237945" w:rsidRDefault="00237945" w:rsidP="00237945">
                                <w:r>
                                  <w:rPr>
                                    <w:rFonts w:ascii="Times New Roman" w:hAnsi="Times New Roman" w:cs="Times New Roman"/>
                                  </w:rPr>
                                  <w:t>Cu</w:t>
                                </w:r>
                                <w:r w:rsidRPr="00BC4253">
                                  <w:rPr>
                                    <w:rFonts w:ascii="Times New Roman" w:hAnsi="Times New Roman" w:cs="Times New Roman"/>
                                  </w:rPr>
                                  <w:t>s</w:t>
                                </w:r>
                                <w:r>
                                  <w:rPr>
                                    <w:rFonts w:ascii="Times New Roman" w:hAnsi="Times New Roman" w:cs="Times New Roman"/>
                                  </w:rPr>
                                  <w:t>t</w:t>
                                </w:r>
                                <w:r w:rsidRPr="00BC4253">
                                  <w:rPr>
                                    <w:rFonts w:ascii="Times New Roman" w:hAnsi="Times New Roman" w:cs="Times New Roman"/>
                                  </w:rPr>
                                  <w:t>omers'</w:t>
                                </w:r>
                                <w:r w:rsidR="00491A3A">
                                  <w:rPr>
                                    <w:rFonts w:ascii="Times New Roman" w:hAnsi="Times New Roman" w:cs="Times New Roman"/>
                                  </w:rPr>
                                  <w:t xml:space="preserve"> Financial Literacy</w:t>
                                </w:r>
                              </w:p>
                            </w:txbxContent>
                          </v:textbox>
                        </v:shape>
                        <v:shapetype id="_x0000_t32" coordsize="21600,21600" o:spt="32" o:oned="t" path="m,l21600,21600e" filled="f">
                          <v:path arrowok="t" fillok="f" o:connecttype="none"/>
                          <o:lock v:ext="edit" shapetype="t"/>
                        </v:shapetype>
                        <v:shape id="Straight Arrow Connector 2" o:spid="_x0000_s1036" type="#_x0000_t32" style="position:absolute;left:19526;top:1333;width:15716;height:1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" strokecolor="black [3200]" strokeweight=".5pt">
                          <v:stroke endarrow="block" joinstyle="miter"/>
                        </v:shape>
                        <v:shape id="Straight Arrow Connector 4" o:spid="_x0000_s1037" type="#_x0000_t32" style="position:absolute;left:19431;top:21716;width:15811;height:147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" strokecolor="black [3200]" strokeweight=".5pt">
                          <v:stroke endarrow="block" joinstyle="miter"/>
                        </v:shape>
                      </v:group>
                      <v:rect id="Rectangle 23" o:spid="_x0000_s1038" style="position:absolute;width:61245;height:42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" filled="f" strokecolor="black [3213]" strokeweight="1pt"/>
                    </v:group>
                    <v:shape id="Text Box 1" o:spid="_x0000_s1039" type="#_x0000_t202" style="position:absolute;left:2667;top:22002;width:1933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" fillcolor="white [3201]" strokeweight=".5pt">
                      <v:textbox>
                        <w:txbxContent>
                          <w:p w14:paraId="489F3FBE" w14:textId="0CA3F0D4" w:rsidR="00237945" w:rsidRDefault="00491A3A" w:rsidP="00491A3A">
                            <w:pPr>
                              <w:jc w:val="center"/>
                            </w:pPr>
                            <w:r w:rsidRPr="00060945">
                              <w:rPr>
                                <w:rFonts w:ascii="Times New Roman" w:hAnsi="Times New Roman" w:cs="Times New Roman"/>
                                <w:color w:val="000000"/>
                                <w:lang w:bidi="si-LK"/>
                              </w:rPr>
                              <w:t>Education Level</w:t>
                            </w:r>
                          </w:p>
                        </w:txbxContent>
                      </v:textbox>
                    </v:shape>
                    <v:shape id="Text Box 1" o:spid="_x0000_s1040" type="#_x0000_t202" style="position:absolute;left:2762;top:26955;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" fillcolor="white [3201]" strokeweight=".5pt">
                      <v:textbox>
                        <w:txbxContent>
                          <w:p w14:paraId="59C1980E" w14:textId="614090D5" w:rsidR="00237945" w:rsidRDefault="00491A3A" w:rsidP="00491A3A">
                            <w:pPr>
                              <w:jc w:val="center"/>
                            </w:pPr>
                            <w:r w:rsidRPr="00060945">
                              <w:rPr>
                                <w:rFonts w:ascii="Times New Roman" w:hAnsi="Times New Roman" w:cs="Times New Roman"/>
                                <w:color w:val="000000"/>
                                <w:lang w:bidi="si-LK"/>
                              </w:rPr>
                              <w:t>Civil Status</w:t>
                            </w:r>
                          </w:p>
                        </w:txbxContent>
                      </v:textbox>
                    </v:shape>
                    <v:shape id="Text Box 1" o:spid="_x0000_s1041" type="#_x0000_t202" style="position:absolute;left:2857;top:31527;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" fillcolor="white [3201]" strokeweight=".5pt">
                      <v:textbox>
                        <w:txbxContent>
                          <w:p w14:paraId="4FA4D875" w14:textId="48C7B6AB" w:rsidR="00237945" w:rsidRDefault="00491A3A" w:rsidP="00491A3A">
                            <w:pPr>
                              <w:jc w:val="center"/>
                            </w:pPr>
                            <w:r w:rsidRPr="00060945">
                              <w:rPr>
                                <w:rFonts w:ascii="Times New Roman" w:hAnsi="Times New Roman" w:cs="Times New Roman"/>
                                <w:color w:val="000000"/>
                                <w:lang w:bidi="si-LK"/>
                              </w:rPr>
                              <w:t>Age</w:t>
                            </w:r>
                          </w:p>
                        </w:txbxContent>
                      </v:textbox>
                    </v:shape>
                    <v:shape id="Text Box 1" o:spid="_x0000_s1042" type="#_x0000_t202" style="position:absolute;left:2952;top:36099;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" fillcolor="white [3201]" strokeweight=".5pt">
                      <v:textbox>
                        <w:txbxContent>
                          <w:p w14:paraId="69A34C01" w14:textId="69F1185D" w:rsidR="00237945" w:rsidRDefault="00491A3A" w:rsidP="00491A3A">
                            <w:pPr>
                              <w:jc w:val="center"/>
                            </w:pPr>
                            <w:r w:rsidRPr="00060945">
                              <w:rPr>
                                <w:rFonts w:ascii="Times New Roman" w:hAnsi="Times New Roman" w:cs="Times New Roman"/>
                                <w:color w:val="000000"/>
                                <w:lang w:bidi="si-LK"/>
                              </w:rPr>
                              <w:t>Monthly Income Level</w:t>
                            </w:r>
                          </w:p>
                        </w:txbxContent>
                      </v:textbox>
                    </v:shape>
                  </v:group>
                </v:group>
                <v:shape id="Straight Arrow Connector 2" o:spid="_x0000_s1043" type="#_x0000_t32" style="position:absolute;left:22193;top:8382;width:15335;height:10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" strokecolor="black [3200]" strokeweight=".5pt">
                  <v:stroke endarrow="block" joinstyle="miter"/>
                </v:shape>
                <v:shape id="Straight Arrow Connector 2" o:spid="_x0000_s1044" type="#_x0000_t32" style="position:absolute;left:22288;top:13811;width:15145;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" strokecolor="black [3200]" strokeweight=".5pt">
                  <v:stroke endarrow="block" joinstyle="miter"/>
                </v:shape>
                <v:shape id="Straight Arrow Connector 3" o:spid="_x0000_s1045" type="#_x0000_t32" style="position:absolute;left:22098;top:20097;width:15430;height: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" strokecolor="black [3200]" strokeweight=".5pt">
                  <v:stroke endarrow="block" joinstyle="miter"/>
                </v:shape>
                <v:shape id="Straight Arrow Connector 2" o:spid="_x0000_s1046" type="#_x0000_t32" style="position:absolute;left:22193;top:20955;width:15430;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" strokecolor="black [3200]" strokeweight=".5pt">
                  <v:stroke endarrow="block" joinstyle="miter"/>
                </v:shape>
                <v:shape id="Straight Arrow Connector 2" o:spid="_x0000_s1047" type="#_x0000_t32" style="position:absolute;left:22383;top:22002;width:15240;height:108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" strokecolor="black [3200]" strokeweight=".5pt">
                  <v:stroke endarrow="block" joinstyle="miter"/>
                </v:shape>
                <v:shape id="Straight Arrow Connector 2" o:spid="_x0000_s1048" type="#_x0000_t32" style="position:absolute;left:22098;top:18573;width:15049;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" strokecolor="black [3200]" strokeweight=".5pt">
                  <v:stroke endarrow="block" joinstyle="miter"/>
                </v:shape>
              </v:group>
            </w:pict>
          </mc:Fallback>
        </mc:AlternateContent>
      </w:r>
    </w:p>
    <w:p w14:paraId="4B09978B" w14:textId="079233FE" w:rsidR="00237945" w:rsidRDefault="00237945" w:rsidP="00714A45">
      <w:pPr>
        <w:spacing w:line="276" w:lineRule="auto"/>
        <w:jc w:val="both"/>
        <w:rPr>
          <w:rFonts w:ascii="Times New Roman" w:hAnsi="Times New Roman" w:cs="Times New Roman"/>
        </w:rPr>
      </w:pPr>
    </w:p>
    <w:p w14:paraId="6B554255" w14:textId="7C805EEE" w:rsidR="00237945" w:rsidRPr="00FA161E" w:rsidRDefault="00237945" w:rsidP="00714A45">
      <w:pPr>
        <w:spacing w:line="276" w:lineRule="auto"/>
        <w:jc w:val="both"/>
        <w:rPr>
          <w:rFonts w:ascii="Times New Roman" w:hAnsi="Times New Roman" w:cs="Times New Roman"/>
        </w:rPr>
      </w:pPr>
    </w:p>
    <w:p w14:paraId="41094BB1" w14:textId="12F858C1" w:rsidR="00205EF3" w:rsidRDefault="00205EF3" w:rsidP="00714A45">
      <w:pPr>
        <w:spacing w:line="276" w:lineRule="auto"/>
        <w:jc w:val="both"/>
        <w:rPr>
          <w:rFonts w:ascii="Times New Roman" w:hAnsi="Times New Roman" w:cs="Times New Roman"/>
        </w:rPr>
      </w:pPr>
    </w:p>
    <w:p w14:paraId="32875709" w14:textId="09E0529A" w:rsidR="00205EF3" w:rsidRDefault="00205EF3" w:rsidP="00714A45">
      <w:pPr>
        <w:spacing w:line="276" w:lineRule="auto"/>
        <w:jc w:val="both"/>
        <w:rPr>
          <w:rFonts w:ascii="Times New Roman" w:hAnsi="Times New Roman" w:cs="Times New Roman"/>
        </w:rPr>
      </w:pPr>
    </w:p>
    <w:p w14:paraId="09C00B91" w14:textId="249493FD" w:rsidR="00205EF3" w:rsidRDefault="00205EF3" w:rsidP="00714A45">
      <w:pPr>
        <w:spacing w:line="276" w:lineRule="auto"/>
        <w:jc w:val="both"/>
        <w:rPr>
          <w:rFonts w:ascii="Times New Roman" w:hAnsi="Times New Roman" w:cs="Times New Roman"/>
        </w:rPr>
      </w:pPr>
    </w:p>
    <w:p w14:paraId="233EA467" w14:textId="65A8248D" w:rsidR="00FB08D6" w:rsidRPr="00311D29" w:rsidRDefault="00FB08D6" w:rsidP="00714A45">
      <w:pPr>
        <w:spacing w:line="276" w:lineRule="auto"/>
        <w:jc w:val="both"/>
        <w:rPr>
          <w:rFonts w:ascii="Times New Roman" w:hAnsi="Times New Roman" w:cs="Times New Roman"/>
          <w:b/>
          <w:bCs/>
        </w:rPr>
      </w:pPr>
    </w:p>
    <w:p w14:paraId="39401046" w14:textId="183704D8" w:rsidR="00311D29" w:rsidRDefault="00311D29" w:rsidP="00714A45">
      <w:pPr>
        <w:spacing w:line="276" w:lineRule="auto"/>
        <w:jc w:val="both"/>
        <w:rPr>
          <w:rFonts w:ascii="Times New Roman" w:hAnsi="Times New Roman" w:cs="Times New Roman"/>
        </w:rPr>
      </w:pPr>
    </w:p>
    <w:p w14:paraId="6E994F94" w14:textId="6302E27A" w:rsidR="007F6851" w:rsidRDefault="007F6851" w:rsidP="00714A45">
      <w:pPr>
        <w:spacing w:line="276" w:lineRule="auto"/>
        <w:jc w:val="both"/>
        <w:rPr>
          <w:rFonts w:ascii="Times New Roman" w:hAnsi="Times New Roman" w:cs="Times New Roman"/>
        </w:rPr>
      </w:pPr>
    </w:p>
    <w:p w14:paraId="6AEF9D42" w14:textId="3A1D647F" w:rsidR="000F2C8C" w:rsidRPr="00E12CD0" w:rsidRDefault="000F2C8C" w:rsidP="00714A45">
      <w:pPr>
        <w:spacing w:line="276" w:lineRule="auto"/>
        <w:jc w:val="both"/>
        <w:rPr>
          <w:rFonts w:ascii="Times New Roman" w:hAnsi="Times New Roman" w:cs="Times New Roman"/>
        </w:rPr>
      </w:pPr>
    </w:p>
    <w:p w14:paraId="4BA9574C" w14:textId="77777777" w:rsidR="003969A5" w:rsidRPr="003969A5" w:rsidRDefault="003969A5" w:rsidP="00714A45">
      <w:pPr>
        <w:spacing w:line="276" w:lineRule="auto"/>
        <w:jc w:val="both"/>
        <w:rPr>
          <w:rFonts w:ascii="Times New Roman" w:hAnsi="Times New Roman" w:cs="Times New Roman"/>
        </w:rPr>
      </w:pPr>
    </w:p>
    <w:p w14:paraId="61C02A3C" w14:textId="77777777" w:rsidR="003969A5" w:rsidRDefault="003969A5" w:rsidP="00714A45">
      <w:pPr>
        <w:spacing w:line="276" w:lineRule="auto"/>
        <w:jc w:val="both"/>
        <w:rPr>
          <w:rFonts w:ascii="Times New Roman" w:hAnsi="Times New Roman" w:cs="Times New Roman"/>
        </w:rPr>
      </w:pPr>
    </w:p>
    <w:p w14:paraId="4F24C739" w14:textId="77777777" w:rsidR="0081645D" w:rsidRDefault="0081645D" w:rsidP="00714A45">
      <w:pPr>
        <w:spacing w:line="276" w:lineRule="auto"/>
        <w:jc w:val="both"/>
        <w:rPr>
          <w:rFonts w:ascii="Times New Roman" w:hAnsi="Times New Roman" w:cs="Times New Roman"/>
        </w:rPr>
      </w:pPr>
    </w:p>
    <w:p w14:paraId="64E6045F" w14:textId="77777777" w:rsidR="0081645D" w:rsidRDefault="0081645D" w:rsidP="00714A45">
      <w:pPr>
        <w:spacing w:line="276" w:lineRule="auto"/>
        <w:jc w:val="both"/>
        <w:rPr>
          <w:rFonts w:ascii="Times New Roman" w:hAnsi="Times New Roman" w:cs="Times New Roman"/>
        </w:rPr>
      </w:pPr>
    </w:p>
    <w:p w14:paraId="013AD3EB" w14:textId="77777777" w:rsidR="0081645D" w:rsidRDefault="0081645D" w:rsidP="00714A45">
      <w:pPr>
        <w:spacing w:line="276" w:lineRule="auto"/>
        <w:jc w:val="both"/>
        <w:rPr>
          <w:rFonts w:ascii="Times New Roman" w:hAnsi="Times New Roman" w:cs="Times New Roman"/>
        </w:rPr>
      </w:pPr>
    </w:p>
    <w:p w14:paraId="2EB051A5" w14:textId="7ACCB89F" w:rsidR="0081645D" w:rsidRDefault="003969A5" w:rsidP="00714A45">
      <w:pPr>
        <w:spacing w:line="276" w:lineRule="auto"/>
        <w:jc w:val="both"/>
        <w:rPr>
          <w:rFonts w:ascii="Times New Roman" w:hAnsi="Times New Roman" w:cs="Times New Roman"/>
        </w:rPr>
      </w:pPr>
      <w:r>
        <w:rPr>
          <w:rFonts w:ascii="Times New Roman" w:hAnsi="Times New Roman" w:cs="Times New Roman"/>
        </w:rPr>
        <w:tab/>
      </w:r>
      <w:r w:rsidRPr="00FA161E">
        <w:rPr>
          <w:rFonts w:ascii="Times New Roman" w:hAnsi="Times New Roman" w:cs="Times New Roman"/>
        </w:rPr>
        <w:t xml:space="preserve">Figure </w:t>
      </w:r>
      <w:r>
        <w:rPr>
          <w:rFonts w:ascii="Times New Roman" w:hAnsi="Times New Roman" w:cs="Times New Roman"/>
        </w:rPr>
        <w:t>1</w:t>
      </w:r>
      <w:r w:rsidRPr="00FA161E">
        <w:rPr>
          <w:rFonts w:ascii="Times New Roman" w:hAnsi="Times New Roman" w:cs="Times New Roman"/>
        </w:rPr>
        <w:t>. Conceptual Framework of the Study. Source: Research data, 202</w:t>
      </w:r>
      <w:r w:rsidR="00885652">
        <w:rPr>
          <w:rFonts w:ascii="Times New Roman" w:hAnsi="Times New Roman" w:cs="Times New Roman"/>
        </w:rPr>
        <w:t>5</w:t>
      </w:r>
      <w:r w:rsidRPr="00FA161E">
        <w:rPr>
          <w:rFonts w:ascii="Times New Roman" w:hAnsi="Times New Roman" w:cs="Times New Roman"/>
        </w:rPr>
        <w:t>.</w:t>
      </w:r>
    </w:p>
    <w:p w14:paraId="4DCA98D1" w14:textId="77777777" w:rsidR="0081645D" w:rsidRPr="00FA161E" w:rsidRDefault="0081645D" w:rsidP="00714A45">
      <w:pPr>
        <w:spacing w:line="276" w:lineRule="auto"/>
        <w:jc w:val="both"/>
        <w:rPr>
          <w:rFonts w:ascii="Times New Roman" w:hAnsi="Times New Roman" w:cs="Times New Roman"/>
        </w:rPr>
      </w:pPr>
    </w:p>
    <w:p w14:paraId="4D1056C0" w14:textId="77777777" w:rsidR="00602DF1" w:rsidRPr="002928B5" w:rsidRDefault="00602DF1" w:rsidP="00714A45">
      <w:pPr>
        <w:pStyle w:val="ListParagraph"/>
        <w:numPr>
          <w:ilvl w:val="0"/>
          <w:numId w:val="2"/>
        </w:numPr>
        <w:spacing w:line="276" w:lineRule="auto"/>
        <w:jc w:val="both"/>
        <w:rPr>
          <w:rFonts w:ascii="Times New Roman" w:hAnsi="Times New Roman" w:cs="Times New Roman"/>
          <w:b/>
          <w:bCs/>
        </w:rPr>
      </w:pPr>
      <w:r w:rsidRPr="002928B5">
        <w:rPr>
          <w:rFonts w:ascii="Times New Roman" w:hAnsi="Times New Roman" w:cs="Times New Roman"/>
          <w:b/>
          <w:bCs/>
        </w:rPr>
        <w:t>Results and Discussion</w:t>
      </w:r>
    </w:p>
    <w:p w14:paraId="2CD2A06E" w14:textId="77777777" w:rsidR="00583C97" w:rsidRDefault="00583C97" w:rsidP="00714A45">
      <w:pPr>
        <w:spacing w:line="276" w:lineRule="auto"/>
        <w:jc w:val="both"/>
        <w:rPr>
          <w:rFonts w:ascii="Times New Roman" w:hAnsi="Times New Roman" w:cs="Times New Roman"/>
          <w:b/>
          <w:bCs/>
        </w:rPr>
      </w:pPr>
    </w:p>
    <w:p w14:paraId="0ABCEF01" w14:textId="1F1D464A"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rPr>
        <w:t xml:space="preserve">Table 01: </w:t>
      </w:r>
      <w:r>
        <w:rPr>
          <w:rFonts w:ascii="Times New Roman" w:hAnsi="Times New Roman" w:cs="Times New Roman"/>
        </w:rPr>
        <w:t xml:space="preserve">Socioeconomics and demographic </w:t>
      </w:r>
      <w:r w:rsidRPr="00FA161E">
        <w:rPr>
          <w:rFonts w:ascii="Times New Roman" w:hAnsi="Times New Roman" w:cs="Times New Roman"/>
        </w:rPr>
        <w:t>related data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15"/>
        <w:gridCol w:w="2818"/>
        <w:gridCol w:w="3117"/>
      </w:tblGrid>
      <w:tr w:rsidR="00405D69" w14:paraId="5BD99AD6" w14:textId="77777777" w:rsidTr="0081645D">
        <w:tc>
          <w:tcPr>
            <w:tcW w:w="3415" w:type="dxa"/>
          </w:tcPr>
          <w:p w14:paraId="466B9962" w14:textId="5EDB45EE"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b/>
                <w:bCs/>
              </w:rPr>
              <w:t>Description</w:t>
            </w:r>
          </w:p>
        </w:tc>
        <w:tc>
          <w:tcPr>
            <w:tcW w:w="2818" w:type="dxa"/>
          </w:tcPr>
          <w:p w14:paraId="28E80C76" w14:textId="1D169D8B"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b/>
                <w:bCs/>
              </w:rPr>
              <w:t>Frequency</w:t>
            </w:r>
          </w:p>
        </w:tc>
        <w:tc>
          <w:tcPr>
            <w:tcW w:w="3117" w:type="dxa"/>
          </w:tcPr>
          <w:p w14:paraId="6932C5C2" w14:textId="59A58512"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b/>
                <w:bCs/>
              </w:rPr>
              <w:t>Percentage</w:t>
            </w:r>
            <w:r w:rsidR="0081645D">
              <w:rPr>
                <w:rFonts w:ascii="Times New Roman" w:hAnsi="Times New Roman" w:cs="Times New Roman"/>
                <w:b/>
                <w:bCs/>
              </w:rPr>
              <w:t xml:space="preserve"> (%)</w:t>
            </w:r>
          </w:p>
        </w:tc>
      </w:tr>
      <w:tr w:rsidR="00E63C4B" w14:paraId="3C7AAC36" w14:textId="77777777" w:rsidTr="0081645D">
        <w:tc>
          <w:tcPr>
            <w:tcW w:w="3415" w:type="dxa"/>
          </w:tcPr>
          <w:p w14:paraId="4615EB25" w14:textId="62ACA5BC"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b/>
                <w:bCs/>
              </w:rPr>
              <w:t>Gender</w:t>
            </w:r>
          </w:p>
        </w:tc>
        <w:tc>
          <w:tcPr>
            <w:tcW w:w="2818" w:type="dxa"/>
          </w:tcPr>
          <w:p w14:paraId="51EAB764" w14:textId="77777777" w:rsidR="00E63C4B" w:rsidRDefault="00E63C4B" w:rsidP="00714A45">
            <w:pPr>
              <w:spacing w:line="276" w:lineRule="auto"/>
              <w:jc w:val="both"/>
              <w:rPr>
                <w:rFonts w:ascii="Times New Roman" w:hAnsi="Times New Roman" w:cs="Times New Roman"/>
              </w:rPr>
            </w:pPr>
          </w:p>
        </w:tc>
        <w:tc>
          <w:tcPr>
            <w:tcW w:w="3117" w:type="dxa"/>
          </w:tcPr>
          <w:p w14:paraId="348A6613" w14:textId="77777777" w:rsidR="00E63C4B" w:rsidRDefault="00E63C4B" w:rsidP="00714A45">
            <w:pPr>
              <w:spacing w:line="276" w:lineRule="auto"/>
              <w:jc w:val="both"/>
              <w:rPr>
                <w:rFonts w:ascii="Times New Roman" w:hAnsi="Times New Roman" w:cs="Times New Roman"/>
              </w:rPr>
            </w:pPr>
          </w:p>
        </w:tc>
      </w:tr>
      <w:tr w:rsidR="00E63C4B" w14:paraId="12B198DD" w14:textId="77777777" w:rsidTr="0081645D">
        <w:tc>
          <w:tcPr>
            <w:tcW w:w="3415" w:type="dxa"/>
          </w:tcPr>
          <w:p w14:paraId="492D6E21" w14:textId="145F0035"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 xml:space="preserve"> Male</w:t>
            </w:r>
          </w:p>
        </w:tc>
        <w:tc>
          <w:tcPr>
            <w:tcW w:w="2818" w:type="dxa"/>
            <w:vAlign w:val="center"/>
          </w:tcPr>
          <w:p w14:paraId="6EE6D202" w14:textId="1B979BBE"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170</w:t>
            </w:r>
          </w:p>
        </w:tc>
        <w:tc>
          <w:tcPr>
            <w:tcW w:w="3117" w:type="dxa"/>
            <w:vAlign w:val="center"/>
          </w:tcPr>
          <w:p w14:paraId="281397C1" w14:textId="18BD197E"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44.5</w:t>
            </w:r>
          </w:p>
        </w:tc>
      </w:tr>
      <w:tr w:rsidR="00E63C4B" w14:paraId="07C0060E" w14:textId="77777777" w:rsidTr="0081645D">
        <w:tc>
          <w:tcPr>
            <w:tcW w:w="3415" w:type="dxa"/>
          </w:tcPr>
          <w:p w14:paraId="42421048" w14:textId="52064FD1"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 xml:space="preserve"> Female</w:t>
            </w:r>
          </w:p>
        </w:tc>
        <w:tc>
          <w:tcPr>
            <w:tcW w:w="2818" w:type="dxa"/>
            <w:vAlign w:val="center"/>
          </w:tcPr>
          <w:p w14:paraId="7B776442" w14:textId="5730F2EB"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212</w:t>
            </w:r>
          </w:p>
        </w:tc>
        <w:tc>
          <w:tcPr>
            <w:tcW w:w="3117" w:type="dxa"/>
            <w:vAlign w:val="center"/>
          </w:tcPr>
          <w:p w14:paraId="2E4E2A78" w14:textId="2987B81D"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55.5</w:t>
            </w:r>
          </w:p>
        </w:tc>
      </w:tr>
      <w:tr w:rsidR="00A42D23" w14:paraId="43F70BAB" w14:textId="77777777" w:rsidTr="0081645D">
        <w:tc>
          <w:tcPr>
            <w:tcW w:w="3415" w:type="dxa"/>
          </w:tcPr>
          <w:p w14:paraId="745C0594" w14:textId="57F14B87" w:rsidR="00A42D23" w:rsidRPr="00713482" w:rsidRDefault="00713482" w:rsidP="00714A45">
            <w:pPr>
              <w:spacing w:line="276" w:lineRule="auto"/>
              <w:jc w:val="both"/>
              <w:rPr>
                <w:rFonts w:ascii="Times New Roman" w:hAnsi="Times New Roman" w:cs="Times New Roman"/>
                <w:b/>
                <w:bCs/>
              </w:rPr>
            </w:pPr>
            <w:r w:rsidRPr="00713482">
              <w:rPr>
                <w:rFonts w:ascii="Times New Roman" w:hAnsi="Times New Roman" w:cs="Times New Roman"/>
                <w:b/>
                <w:bCs/>
              </w:rPr>
              <w:t>Age</w:t>
            </w:r>
          </w:p>
        </w:tc>
        <w:tc>
          <w:tcPr>
            <w:tcW w:w="2818" w:type="dxa"/>
            <w:vAlign w:val="center"/>
          </w:tcPr>
          <w:p w14:paraId="094EE20D" w14:textId="77777777" w:rsidR="00A42D23" w:rsidRPr="00FA161E" w:rsidRDefault="00A42D23" w:rsidP="00714A45">
            <w:pPr>
              <w:spacing w:line="276" w:lineRule="auto"/>
              <w:jc w:val="both"/>
              <w:rPr>
                <w:rFonts w:ascii="Times New Roman" w:hAnsi="Times New Roman" w:cs="Times New Roman"/>
              </w:rPr>
            </w:pPr>
          </w:p>
        </w:tc>
        <w:tc>
          <w:tcPr>
            <w:tcW w:w="3117" w:type="dxa"/>
            <w:vAlign w:val="center"/>
          </w:tcPr>
          <w:p w14:paraId="3242B3C3" w14:textId="77777777" w:rsidR="00A42D23" w:rsidRPr="00FA161E" w:rsidRDefault="00A42D23" w:rsidP="00714A45">
            <w:pPr>
              <w:spacing w:line="276" w:lineRule="auto"/>
              <w:jc w:val="both"/>
              <w:rPr>
                <w:rFonts w:ascii="Times New Roman" w:hAnsi="Times New Roman" w:cs="Times New Roman"/>
              </w:rPr>
            </w:pPr>
          </w:p>
        </w:tc>
      </w:tr>
      <w:tr w:rsidR="00A42D23" w14:paraId="3162A3A1" w14:textId="77777777" w:rsidTr="0081645D">
        <w:tc>
          <w:tcPr>
            <w:tcW w:w="3415" w:type="dxa"/>
          </w:tcPr>
          <w:p w14:paraId="415E18B6" w14:textId="42AEABFE"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20-29</w:t>
            </w:r>
          </w:p>
        </w:tc>
        <w:tc>
          <w:tcPr>
            <w:tcW w:w="2818" w:type="dxa"/>
            <w:vAlign w:val="center"/>
          </w:tcPr>
          <w:p w14:paraId="51E6DA6E" w14:textId="47273905"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202</w:t>
            </w:r>
          </w:p>
        </w:tc>
        <w:tc>
          <w:tcPr>
            <w:tcW w:w="3117" w:type="dxa"/>
            <w:vAlign w:val="center"/>
          </w:tcPr>
          <w:p w14:paraId="20567F69" w14:textId="5ED72442"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53</w:t>
            </w:r>
          </w:p>
        </w:tc>
      </w:tr>
      <w:tr w:rsidR="00A42D23" w14:paraId="1BF058CD" w14:textId="77777777" w:rsidTr="0081645D">
        <w:tc>
          <w:tcPr>
            <w:tcW w:w="3415" w:type="dxa"/>
          </w:tcPr>
          <w:p w14:paraId="0DADB57F" w14:textId="7DE698FB"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lastRenderedPageBreak/>
              <w:t>30-39</w:t>
            </w:r>
          </w:p>
        </w:tc>
        <w:tc>
          <w:tcPr>
            <w:tcW w:w="2818" w:type="dxa"/>
            <w:vAlign w:val="center"/>
          </w:tcPr>
          <w:p w14:paraId="5C18775E" w14:textId="0DF99AF4"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140</w:t>
            </w:r>
          </w:p>
        </w:tc>
        <w:tc>
          <w:tcPr>
            <w:tcW w:w="3117" w:type="dxa"/>
            <w:vAlign w:val="center"/>
          </w:tcPr>
          <w:p w14:paraId="31A82DC3" w14:textId="486C4EB7"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37</w:t>
            </w:r>
          </w:p>
        </w:tc>
      </w:tr>
      <w:tr w:rsidR="00713482" w14:paraId="61CC3AA1" w14:textId="77777777" w:rsidTr="0081645D">
        <w:tc>
          <w:tcPr>
            <w:tcW w:w="3415" w:type="dxa"/>
          </w:tcPr>
          <w:p w14:paraId="58798F1E" w14:textId="0BA78199"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40-49</w:t>
            </w:r>
          </w:p>
        </w:tc>
        <w:tc>
          <w:tcPr>
            <w:tcW w:w="2818" w:type="dxa"/>
            <w:vAlign w:val="center"/>
          </w:tcPr>
          <w:p w14:paraId="4A7451A8" w14:textId="5097FEE1"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28</w:t>
            </w:r>
          </w:p>
        </w:tc>
        <w:tc>
          <w:tcPr>
            <w:tcW w:w="3117" w:type="dxa"/>
            <w:vAlign w:val="center"/>
          </w:tcPr>
          <w:p w14:paraId="6B6D791D" w14:textId="27BEFA60"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7</w:t>
            </w:r>
          </w:p>
        </w:tc>
      </w:tr>
      <w:tr w:rsidR="00713482" w14:paraId="598C1C78" w14:textId="77777777" w:rsidTr="0081645D">
        <w:tc>
          <w:tcPr>
            <w:tcW w:w="3415" w:type="dxa"/>
          </w:tcPr>
          <w:p w14:paraId="5F5609A5" w14:textId="1D30788B"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50</w:t>
            </w:r>
            <m:oMath>
              <m:r>
                <w:rPr>
                  <w:rFonts w:ascii="Cambria Math" w:hAnsi="Cambria Math" w:cs="Times New Roman"/>
                </w:rPr>
                <m:t>≤</m:t>
              </m:r>
            </m:oMath>
          </w:p>
        </w:tc>
        <w:tc>
          <w:tcPr>
            <w:tcW w:w="2818" w:type="dxa"/>
            <w:vAlign w:val="center"/>
          </w:tcPr>
          <w:p w14:paraId="02BCE79F" w14:textId="7219DC98"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12</w:t>
            </w:r>
          </w:p>
        </w:tc>
        <w:tc>
          <w:tcPr>
            <w:tcW w:w="3117" w:type="dxa"/>
            <w:vAlign w:val="center"/>
          </w:tcPr>
          <w:p w14:paraId="240E7430" w14:textId="649806FF"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3</w:t>
            </w:r>
          </w:p>
        </w:tc>
      </w:tr>
      <w:tr w:rsidR="00E63C4B" w14:paraId="4934CBA8" w14:textId="77777777" w:rsidTr="0081645D">
        <w:tc>
          <w:tcPr>
            <w:tcW w:w="3415" w:type="dxa"/>
          </w:tcPr>
          <w:p w14:paraId="6CB4ECFF" w14:textId="7AE6FBF8" w:rsidR="00E63C4B" w:rsidRPr="00514074" w:rsidRDefault="00E63C4B" w:rsidP="00714A45">
            <w:pPr>
              <w:spacing w:line="276" w:lineRule="auto"/>
              <w:jc w:val="both"/>
              <w:rPr>
                <w:rFonts w:ascii="Times New Roman" w:hAnsi="Times New Roman" w:cs="Times New Roman"/>
                <w:b/>
                <w:bCs/>
              </w:rPr>
            </w:pPr>
            <w:r w:rsidRPr="00514074">
              <w:rPr>
                <w:rFonts w:ascii="Times New Roman" w:hAnsi="Times New Roman" w:cs="Times New Roman"/>
                <w:b/>
                <w:bCs/>
              </w:rPr>
              <w:t>Civil status</w:t>
            </w:r>
          </w:p>
        </w:tc>
        <w:tc>
          <w:tcPr>
            <w:tcW w:w="2818" w:type="dxa"/>
          </w:tcPr>
          <w:p w14:paraId="73F4EF64" w14:textId="77777777" w:rsidR="00E63C4B" w:rsidRDefault="00E63C4B" w:rsidP="00714A45">
            <w:pPr>
              <w:spacing w:line="276" w:lineRule="auto"/>
              <w:jc w:val="both"/>
              <w:rPr>
                <w:rFonts w:ascii="Times New Roman" w:hAnsi="Times New Roman" w:cs="Times New Roman"/>
              </w:rPr>
            </w:pPr>
          </w:p>
        </w:tc>
        <w:tc>
          <w:tcPr>
            <w:tcW w:w="3117" w:type="dxa"/>
          </w:tcPr>
          <w:p w14:paraId="1690B9CE" w14:textId="77777777" w:rsidR="00E63C4B" w:rsidRDefault="00E63C4B" w:rsidP="00714A45">
            <w:pPr>
              <w:spacing w:line="276" w:lineRule="auto"/>
              <w:jc w:val="both"/>
              <w:rPr>
                <w:rFonts w:ascii="Times New Roman" w:hAnsi="Times New Roman" w:cs="Times New Roman"/>
              </w:rPr>
            </w:pPr>
          </w:p>
        </w:tc>
      </w:tr>
      <w:tr w:rsidR="00E63C4B" w14:paraId="330D026A" w14:textId="77777777" w:rsidTr="0081645D">
        <w:tc>
          <w:tcPr>
            <w:tcW w:w="3415" w:type="dxa"/>
          </w:tcPr>
          <w:p w14:paraId="0975D23D" w14:textId="17424171"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Single </w:t>
            </w:r>
          </w:p>
        </w:tc>
        <w:tc>
          <w:tcPr>
            <w:tcW w:w="2818" w:type="dxa"/>
          </w:tcPr>
          <w:p w14:paraId="080F1859" w14:textId="49D74EB2"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198</w:t>
            </w:r>
          </w:p>
        </w:tc>
        <w:tc>
          <w:tcPr>
            <w:tcW w:w="3117" w:type="dxa"/>
          </w:tcPr>
          <w:p w14:paraId="4625CBEC" w14:textId="035FB572"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51.83</w:t>
            </w:r>
          </w:p>
        </w:tc>
      </w:tr>
      <w:tr w:rsidR="00E63C4B" w14:paraId="78D5713D" w14:textId="77777777" w:rsidTr="0081645D">
        <w:tc>
          <w:tcPr>
            <w:tcW w:w="3415" w:type="dxa"/>
          </w:tcPr>
          <w:p w14:paraId="5EC82642" w14:textId="6C31168E"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Married </w:t>
            </w:r>
          </w:p>
        </w:tc>
        <w:tc>
          <w:tcPr>
            <w:tcW w:w="2818" w:type="dxa"/>
          </w:tcPr>
          <w:p w14:paraId="3F70927C" w14:textId="6E70CE22"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177</w:t>
            </w:r>
          </w:p>
        </w:tc>
        <w:tc>
          <w:tcPr>
            <w:tcW w:w="3117" w:type="dxa"/>
          </w:tcPr>
          <w:p w14:paraId="5CB07716" w14:textId="6AE036A5"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46.34</w:t>
            </w:r>
          </w:p>
        </w:tc>
      </w:tr>
      <w:tr w:rsidR="00E63C4B" w14:paraId="22A20AF2" w14:textId="77777777" w:rsidTr="0081645D">
        <w:tc>
          <w:tcPr>
            <w:tcW w:w="3415" w:type="dxa"/>
          </w:tcPr>
          <w:p w14:paraId="377CB74B" w14:textId="743FDA6F"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Separate </w:t>
            </w:r>
          </w:p>
        </w:tc>
        <w:tc>
          <w:tcPr>
            <w:tcW w:w="2818" w:type="dxa"/>
          </w:tcPr>
          <w:p w14:paraId="469092E9" w14:textId="47FCAABE"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6</w:t>
            </w:r>
          </w:p>
        </w:tc>
        <w:tc>
          <w:tcPr>
            <w:tcW w:w="3117" w:type="dxa"/>
          </w:tcPr>
          <w:p w14:paraId="3360C63E" w14:textId="3527166D"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1.57</w:t>
            </w:r>
          </w:p>
        </w:tc>
      </w:tr>
      <w:tr w:rsidR="00E63C4B" w14:paraId="415682A6" w14:textId="77777777" w:rsidTr="0081645D">
        <w:tc>
          <w:tcPr>
            <w:tcW w:w="3415" w:type="dxa"/>
          </w:tcPr>
          <w:p w14:paraId="3DF56E18" w14:textId="680B5322"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Widowed </w:t>
            </w:r>
          </w:p>
        </w:tc>
        <w:tc>
          <w:tcPr>
            <w:tcW w:w="2818" w:type="dxa"/>
          </w:tcPr>
          <w:p w14:paraId="0B8D615E" w14:textId="432F07AD"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w:t>
            </w:r>
          </w:p>
        </w:tc>
        <w:tc>
          <w:tcPr>
            <w:tcW w:w="3117" w:type="dxa"/>
          </w:tcPr>
          <w:p w14:paraId="49DD1409" w14:textId="37942558"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0.26</w:t>
            </w:r>
          </w:p>
        </w:tc>
      </w:tr>
      <w:tr w:rsidR="00A42D23" w14:paraId="2A44A54E" w14:textId="77777777" w:rsidTr="0081645D">
        <w:tc>
          <w:tcPr>
            <w:tcW w:w="3415" w:type="dxa"/>
          </w:tcPr>
          <w:p w14:paraId="1326FF5C" w14:textId="3A211CCF" w:rsidR="00A42D23" w:rsidRPr="00E63C4B" w:rsidRDefault="00A42D23" w:rsidP="00714A45">
            <w:pPr>
              <w:spacing w:line="276" w:lineRule="auto"/>
              <w:jc w:val="both"/>
              <w:rPr>
                <w:rFonts w:ascii="Times New Roman" w:hAnsi="Times New Roman" w:cs="Times New Roman"/>
              </w:rPr>
            </w:pPr>
            <w:r w:rsidRPr="004A1532">
              <w:rPr>
                <w:rFonts w:ascii="Times New Roman" w:hAnsi="Times New Roman" w:cs="Times New Roman"/>
                <w:b/>
                <w:bCs/>
              </w:rPr>
              <w:t xml:space="preserve">Living area </w:t>
            </w:r>
          </w:p>
        </w:tc>
        <w:tc>
          <w:tcPr>
            <w:tcW w:w="2818" w:type="dxa"/>
          </w:tcPr>
          <w:p w14:paraId="5A1F1DF3" w14:textId="77777777" w:rsidR="00A42D23" w:rsidRPr="00514074" w:rsidRDefault="00A42D23" w:rsidP="00714A45">
            <w:pPr>
              <w:spacing w:line="276" w:lineRule="auto"/>
              <w:jc w:val="both"/>
              <w:rPr>
                <w:rFonts w:ascii="Times New Roman" w:hAnsi="Times New Roman" w:cs="Times New Roman"/>
              </w:rPr>
            </w:pPr>
          </w:p>
        </w:tc>
        <w:tc>
          <w:tcPr>
            <w:tcW w:w="3117" w:type="dxa"/>
          </w:tcPr>
          <w:p w14:paraId="76CCCF96" w14:textId="77777777" w:rsidR="00A42D23" w:rsidRPr="00514074" w:rsidRDefault="00A42D23" w:rsidP="00714A45">
            <w:pPr>
              <w:spacing w:line="276" w:lineRule="auto"/>
              <w:jc w:val="both"/>
              <w:rPr>
                <w:rFonts w:ascii="Times New Roman" w:hAnsi="Times New Roman" w:cs="Times New Roman"/>
              </w:rPr>
            </w:pPr>
          </w:p>
        </w:tc>
      </w:tr>
      <w:tr w:rsidR="00A42D23" w14:paraId="195526A4" w14:textId="77777777" w:rsidTr="0081645D">
        <w:tc>
          <w:tcPr>
            <w:tcW w:w="3415" w:type="dxa"/>
          </w:tcPr>
          <w:p w14:paraId="24A2B35E" w14:textId="235B002D"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U</w:t>
            </w:r>
            <w:r w:rsidRPr="004A1532">
              <w:rPr>
                <w:rFonts w:ascii="Times New Roman" w:hAnsi="Times New Roman" w:cs="Times New Roman"/>
              </w:rPr>
              <w:t>rban</w:t>
            </w:r>
          </w:p>
        </w:tc>
        <w:tc>
          <w:tcPr>
            <w:tcW w:w="2818" w:type="dxa"/>
          </w:tcPr>
          <w:p w14:paraId="10C7E934" w14:textId="7522830E"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89</w:t>
            </w:r>
          </w:p>
        </w:tc>
        <w:tc>
          <w:tcPr>
            <w:tcW w:w="3117" w:type="dxa"/>
          </w:tcPr>
          <w:p w14:paraId="604A3160" w14:textId="480A9F94"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23</w:t>
            </w:r>
          </w:p>
        </w:tc>
      </w:tr>
      <w:tr w:rsidR="00A42D23" w14:paraId="50823216" w14:textId="77777777" w:rsidTr="0081645D">
        <w:tc>
          <w:tcPr>
            <w:tcW w:w="3415" w:type="dxa"/>
          </w:tcPr>
          <w:p w14:paraId="57F1050F" w14:textId="5A98D565"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S</w:t>
            </w:r>
            <w:r w:rsidRPr="004A1532">
              <w:rPr>
                <w:rFonts w:ascii="Times New Roman" w:hAnsi="Times New Roman" w:cs="Times New Roman"/>
              </w:rPr>
              <w:t xml:space="preserve">emi urban </w:t>
            </w:r>
          </w:p>
        </w:tc>
        <w:tc>
          <w:tcPr>
            <w:tcW w:w="2818" w:type="dxa"/>
          </w:tcPr>
          <w:p w14:paraId="545BEF02" w14:textId="343F5B5C"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157</w:t>
            </w:r>
          </w:p>
        </w:tc>
        <w:tc>
          <w:tcPr>
            <w:tcW w:w="3117" w:type="dxa"/>
          </w:tcPr>
          <w:p w14:paraId="65ED0268" w14:textId="7DA09FD3"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41</w:t>
            </w:r>
          </w:p>
        </w:tc>
      </w:tr>
      <w:tr w:rsidR="00A42D23" w14:paraId="5A675D2A" w14:textId="77777777" w:rsidTr="0081645D">
        <w:tc>
          <w:tcPr>
            <w:tcW w:w="3415" w:type="dxa"/>
          </w:tcPr>
          <w:p w14:paraId="10891F73" w14:textId="162065D4"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R</w:t>
            </w:r>
            <w:r w:rsidRPr="004A1532">
              <w:rPr>
                <w:rFonts w:ascii="Times New Roman" w:hAnsi="Times New Roman" w:cs="Times New Roman"/>
              </w:rPr>
              <w:t>ural</w:t>
            </w:r>
          </w:p>
        </w:tc>
        <w:tc>
          <w:tcPr>
            <w:tcW w:w="2818" w:type="dxa"/>
          </w:tcPr>
          <w:p w14:paraId="7788480E" w14:textId="73EF3960"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136</w:t>
            </w:r>
          </w:p>
        </w:tc>
        <w:tc>
          <w:tcPr>
            <w:tcW w:w="3117" w:type="dxa"/>
          </w:tcPr>
          <w:p w14:paraId="424133A7" w14:textId="3B78FD07"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36</w:t>
            </w:r>
          </w:p>
        </w:tc>
      </w:tr>
      <w:tr w:rsidR="00A42D23" w14:paraId="0A04CAB3" w14:textId="77777777" w:rsidTr="0081645D">
        <w:tc>
          <w:tcPr>
            <w:tcW w:w="3415" w:type="dxa"/>
          </w:tcPr>
          <w:p w14:paraId="35AEB6F1" w14:textId="2B8FD7C7"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E</w:t>
            </w:r>
            <w:r w:rsidRPr="004A1532">
              <w:rPr>
                <w:rFonts w:ascii="Times New Roman" w:hAnsi="Times New Roman" w:cs="Times New Roman"/>
              </w:rPr>
              <w:t>state</w:t>
            </w:r>
          </w:p>
        </w:tc>
        <w:tc>
          <w:tcPr>
            <w:tcW w:w="2818" w:type="dxa"/>
          </w:tcPr>
          <w:p w14:paraId="0AAD061C" w14:textId="4855A5CA"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0</w:t>
            </w:r>
          </w:p>
        </w:tc>
        <w:tc>
          <w:tcPr>
            <w:tcW w:w="3117" w:type="dxa"/>
          </w:tcPr>
          <w:p w14:paraId="2AD00962" w14:textId="18C60E93"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0</w:t>
            </w:r>
          </w:p>
        </w:tc>
      </w:tr>
      <w:tr w:rsidR="00A42D23" w14:paraId="16379CF0" w14:textId="77777777" w:rsidTr="0081645D">
        <w:tc>
          <w:tcPr>
            <w:tcW w:w="3415" w:type="dxa"/>
          </w:tcPr>
          <w:p w14:paraId="50195F62" w14:textId="20786368" w:rsidR="00A42D23" w:rsidRPr="00631AE6" w:rsidRDefault="00A42D23" w:rsidP="00714A45">
            <w:pPr>
              <w:spacing w:line="276" w:lineRule="auto"/>
              <w:jc w:val="both"/>
              <w:rPr>
                <w:rFonts w:ascii="Times New Roman" w:hAnsi="Times New Roman" w:cs="Times New Roman"/>
                <w:b/>
                <w:bCs/>
              </w:rPr>
            </w:pPr>
            <w:r w:rsidRPr="00631AE6">
              <w:rPr>
                <w:rFonts w:ascii="Times New Roman" w:hAnsi="Times New Roman" w:cs="Times New Roman"/>
                <w:b/>
                <w:bCs/>
              </w:rPr>
              <w:t>Education Level</w:t>
            </w:r>
          </w:p>
        </w:tc>
        <w:tc>
          <w:tcPr>
            <w:tcW w:w="2818" w:type="dxa"/>
          </w:tcPr>
          <w:p w14:paraId="786D0984" w14:textId="77777777" w:rsidR="00A42D23" w:rsidRDefault="00A42D23" w:rsidP="00714A45">
            <w:pPr>
              <w:spacing w:line="276" w:lineRule="auto"/>
              <w:jc w:val="both"/>
              <w:rPr>
                <w:rFonts w:ascii="Times New Roman" w:hAnsi="Times New Roman" w:cs="Times New Roman"/>
              </w:rPr>
            </w:pPr>
          </w:p>
        </w:tc>
        <w:tc>
          <w:tcPr>
            <w:tcW w:w="3117" w:type="dxa"/>
          </w:tcPr>
          <w:p w14:paraId="0A1301C5" w14:textId="77777777" w:rsidR="00A42D23" w:rsidRDefault="00A42D23" w:rsidP="00714A45">
            <w:pPr>
              <w:spacing w:line="276" w:lineRule="auto"/>
              <w:jc w:val="both"/>
              <w:rPr>
                <w:rFonts w:ascii="Times New Roman" w:hAnsi="Times New Roman" w:cs="Times New Roman"/>
              </w:rPr>
            </w:pPr>
          </w:p>
        </w:tc>
      </w:tr>
      <w:tr w:rsidR="00A42D23" w14:paraId="1C8FDDC1" w14:textId="77777777" w:rsidTr="0081645D">
        <w:tc>
          <w:tcPr>
            <w:tcW w:w="3415" w:type="dxa"/>
          </w:tcPr>
          <w:p w14:paraId="51C4807F" w14:textId="7C6A7D21"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No Schooling </w:t>
            </w:r>
          </w:p>
        </w:tc>
        <w:tc>
          <w:tcPr>
            <w:tcW w:w="2818" w:type="dxa"/>
          </w:tcPr>
          <w:p w14:paraId="7A826678" w14:textId="62EF48DD"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0</w:t>
            </w:r>
          </w:p>
        </w:tc>
        <w:tc>
          <w:tcPr>
            <w:tcW w:w="3117" w:type="dxa"/>
          </w:tcPr>
          <w:p w14:paraId="77A1FDBB" w14:textId="74DA798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0</w:t>
            </w:r>
          </w:p>
        </w:tc>
      </w:tr>
      <w:tr w:rsidR="00A42D23" w14:paraId="3DEAA246" w14:textId="77777777" w:rsidTr="0081645D">
        <w:tc>
          <w:tcPr>
            <w:tcW w:w="3415" w:type="dxa"/>
          </w:tcPr>
          <w:p w14:paraId="1A76C1DF" w14:textId="6F9F6769"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Primary (Grade 1-5) </w:t>
            </w:r>
          </w:p>
        </w:tc>
        <w:tc>
          <w:tcPr>
            <w:tcW w:w="2818" w:type="dxa"/>
          </w:tcPr>
          <w:p w14:paraId="58F8417B" w14:textId="13159672"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2</w:t>
            </w:r>
          </w:p>
        </w:tc>
        <w:tc>
          <w:tcPr>
            <w:tcW w:w="3117" w:type="dxa"/>
          </w:tcPr>
          <w:p w14:paraId="46F4F1BC" w14:textId="48F2DD7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0.5</w:t>
            </w:r>
          </w:p>
        </w:tc>
      </w:tr>
      <w:tr w:rsidR="00A42D23" w14:paraId="3F15561D" w14:textId="77777777" w:rsidTr="0081645D">
        <w:tc>
          <w:tcPr>
            <w:tcW w:w="3415" w:type="dxa"/>
          </w:tcPr>
          <w:p w14:paraId="06D653AF" w14:textId="2E5DBB45"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Junior Secondary (Grade 6-9) </w:t>
            </w:r>
          </w:p>
        </w:tc>
        <w:tc>
          <w:tcPr>
            <w:tcW w:w="2818" w:type="dxa"/>
          </w:tcPr>
          <w:p w14:paraId="67551566" w14:textId="4FD9347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20</w:t>
            </w:r>
          </w:p>
        </w:tc>
        <w:tc>
          <w:tcPr>
            <w:tcW w:w="3117" w:type="dxa"/>
          </w:tcPr>
          <w:p w14:paraId="4622C611" w14:textId="179411FA"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5.2</w:t>
            </w:r>
          </w:p>
        </w:tc>
      </w:tr>
      <w:tr w:rsidR="00A42D23" w14:paraId="775437A7" w14:textId="77777777" w:rsidTr="0081645D">
        <w:tc>
          <w:tcPr>
            <w:tcW w:w="3415" w:type="dxa"/>
          </w:tcPr>
          <w:p w14:paraId="51A3104B" w14:textId="05CD695F"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Senior Secondary (Grade 10-11) </w:t>
            </w:r>
          </w:p>
        </w:tc>
        <w:tc>
          <w:tcPr>
            <w:tcW w:w="2818" w:type="dxa"/>
          </w:tcPr>
          <w:p w14:paraId="77B4FE16" w14:textId="1EF8F9C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57</w:t>
            </w:r>
          </w:p>
        </w:tc>
        <w:tc>
          <w:tcPr>
            <w:tcW w:w="3117" w:type="dxa"/>
          </w:tcPr>
          <w:p w14:paraId="758480F5" w14:textId="4817E48A"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14.9</w:t>
            </w:r>
          </w:p>
        </w:tc>
      </w:tr>
      <w:tr w:rsidR="00A42D23" w14:paraId="71936982" w14:textId="77777777" w:rsidTr="0081645D">
        <w:tc>
          <w:tcPr>
            <w:tcW w:w="3415" w:type="dxa"/>
          </w:tcPr>
          <w:p w14:paraId="00C65A27" w14:textId="4A8BD964"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G.C.E O/L </w:t>
            </w:r>
          </w:p>
        </w:tc>
        <w:tc>
          <w:tcPr>
            <w:tcW w:w="2818" w:type="dxa"/>
          </w:tcPr>
          <w:p w14:paraId="547D370D" w14:textId="44C0B4B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65</w:t>
            </w:r>
          </w:p>
        </w:tc>
        <w:tc>
          <w:tcPr>
            <w:tcW w:w="3117" w:type="dxa"/>
          </w:tcPr>
          <w:p w14:paraId="62B5BFFE" w14:textId="175C2036"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17.0</w:t>
            </w:r>
          </w:p>
        </w:tc>
      </w:tr>
      <w:tr w:rsidR="00A42D23" w14:paraId="2A332271" w14:textId="77777777" w:rsidTr="0081645D">
        <w:tc>
          <w:tcPr>
            <w:tcW w:w="3415" w:type="dxa"/>
          </w:tcPr>
          <w:p w14:paraId="4622311D" w14:textId="55F1B61B"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G.C.E A/L </w:t>
            </w:r>
          </w:p>
        </w:tc>
        <w:tc>
          <w:tcPr>
            <w:tcW w:w="2818" w:type="dxa"/>
          </w:tcPr>
          <w:p w14:paraId="28C302AC" w14:textId="1F615CC5"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60</w:t>
            </w:r>
          </w:p>
        </w:tc>
        <w:tc>
          <w:tcPr>
            <w:tcW w:w="3117" w:type="dxa"/>
          </w:tcPr>
          <w:p w14:paraId="5C4A51DB" w14:textId="04D9534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15.7</w:t>
            </w:r>
          </w:p>
        </w:tc>
      </w:tr>
      <w:tr w:rsidR="00A42D23" w14:paraId="67DD2B77" w14:textId="77777777" w:rsidTr="0081645D">
        <w:tc>
          <w:tcPr>
            <w:tcW w:w="3415" w:type="dxa"/>
          </w:tcPr>
          <w:p w14:paraId="6ACCFF6A" w14:textId="539B0D4F"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Vocational Diploma </w:t>
            </w:r>
          </w:p>
        </w:tc>
        <w:tc>
          <w:tcPr>
            <w:tcW w:w="2818" w:type="dxa"/>
          </w:tcPr>
          <w:p w14:paraId="556F78E5" w14:textId="4194B30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71</w:t>
            </w:r>
          </w:p>
        </w:tc>
        <w:tc>
          <w:tcPr>
            <w:tcW w:w="3117" w:type="dxa"/>
          </w:tcPr>
          <w:p w14:paraId="307DDEE8" w14:textId="7F1464E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18.6</w:t>
            </w:r>
          </w:p>
        </w:tc>
      </w:tr>
      <w:tr w:rsidR="00A42D23" w14:paraId="39C36974" w14:textId="77777777" w:rsidTr="0081645D">
        <w:tc>
          <w:tcPr>
            <w:tcW w:w="3415" w:type="dxa"/>
          </w:tcPr>
          <w:p w14:paraId="690C9CAE" w14:textId="6CFFEB45"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Bachelor's degree and above</w:t>
            </w:r>
          </w:p>
        </w:tc>
        <w:tc>
          <w:tcPr>
            <w:tcW w:w="2818" w:type="dxa"/>
          </w:tcPr>
          <w:p w14:paraId="23E3AD5C" w14:textId="00A60AF0"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107</w:t>
            </w:r>
          </w:p>
        </w:tc>
        <w:tc>
          <w:tcPr>
            <w:tcW w:w="3117" w:type="dxa"/>
          </w:tcPr>
          <w:p w14:paraId="707E5658" w14:textId="5F75E6B4"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28.</w:t>
            </w:r>
            <w:r>
              <w:rPr>
                <w:rFonts w:ascii="Times New Roman" w:hAnsi="Times New Roman" w:cs="Times New Roman"/>
              </w:rPr>
              <w:t>0</w:t>
            </w:r>
          </w:p>
        </w:tc>
      </w:tr>
      <w:tr w:rsidR="00A42D23" w14:paraId="0F1C3CDD" w14:textId="77777777" w:rsidTr="0081645D">
        <w:tc>
          <w:tcPr>
            <w:tcW w:w="3415" w:type="dxa"/>
          </w:tcPr>
          <w:p w14:paraId="441FF45F" w14:textId="0435AD39" w:rsidR="00A42D23" w:rsidRPr="00631AE6" w:rsidRDefault="00A42D23" w:rsidP="00714A45">
            <w:pPr>
              <w:spacing w:line="276" w:lineRule="auto"/>
              <w:jc w:val="both"/>
              <w:rPr>
                <w:rFonts w:ascii="Times New Roman" w:hAnsi="Times New Roman" w:cs="Times New Roman"/>
                <w:b/>
                <w:bCs/>
              </w:rPr>
            </w:pPr>
            <w:r>
              <w:rPr>
                <w:rFonts w:ascii="Times New Roman" w:hAnsi="Times New Roman" w:cs="Times New Roman"/>
                <w:b/>
                <w:bCs/>
              </w:rPr>
              <w:t>P</w:t>
            </w:r>
            <w:r w:rsidRPr="00631AE6">
              <w:rPr>
                <w:rFonts w:ascii="Times New Roman" w:hAnsi="Times New Roman" w:cs="Times New Roman"/>
                <w:b/>
                <w:bCs/>
              </w:rPr>
              <w:t>rofession</w:t>
            </w:r>
          </w:p>
        </w:tc>
        <w:tc>
          <w:tcPr>
            <w:tcW w:w="2818" w:type="dxa"/>
          </w:tcPr>
          <w:p w14:paraId="18EECCA3" w14:textId="77777777" w:rsidR="00A42D23" w:rsidRDefault="00A42D23" w:rsidP="00714A45">
            <w:pPr>
              <w:spacing w:line="276" w:lineRule="auto"/>
              <w:jc w:val="both"/>
              <w:rPr>
                <w:rFonts w:ascii="Times New Roman" w:hAnsi="Times New Roman" w:cs="Times New Roman"/>
              </w:rPr>
            </w:pPr>
          </w:p>
        </w:tc>
        <w:tc>
          <w:tcPr>
            <w:tcW w:w="3117" w:type="dxa"/>
          </w:tcPr>
          <w:p w14:paraId="1C2D40D0" w14:textId="77777777" w:rsidR="00A42D23" w:rsidRDefault="00A42D23" w:rsidP="00714A45">
            <w:pPr>
              <w:spacing w:line="276" w:lineRule="auto"/>
              <w:jc w:val="both"/>
              <w:rPr>
                <w:rFonts w:ascii="Times New Roman" w:hAnsi="Times New Roman" w:cs="Times New Roman"/>
              </w:rPr>
            </w:pPr>
          </w:p>
        </w:tc>
      </w:tr>
      <w:tr w:rsidR="00A42D23" w14:paraId="1631A6A0" w14:textId="77777777" w:rsidTr="0081645D">
        <w:tc>
          <w:tcPr>
            <w:tcW w:w="3415" w:type="dxa"/>
          </w:tcPr>
          <w:p w14:paraId="6B1580B8" w14:textId="35EB4FB1"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Government</w:t>
            </w:r>
          </w:p>
        </w:tc>
        <w:tc>
          <w:tcPr>
            <w:tcW w:w="2818" w:type="dxa"/>
          </w:tcPr>
          <w:p w14:paraId="32F80E07" w14:textId="1CF8FB43"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77</w:t>
            </w:r>
          </w:p>
        </w:tc>
        <w:tc>
          <w:tcPr>
            <w:tcW w:w="3117" w:type="dxa"/>
          </w:tcPr>
          <w:p w14:paraId="713EEDB2" w14:textId="01E36555"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20</w:t>
            </w:r>
          </w:p>
        </w:tc>
      </w:tr>
      <w:tr w:rsidR="00A42D23" w14:paraId="36B89DF0" w14:textId="77777777" w:rsidTr="0081645D">
        <w:tc>
          <w:tcPr>
            <w:tcW w:w="3415" w:type="dxa"/>
          </w:tcPr>
          <w:p w14:paraId="7AECFA79" w14:textId="45573E9F"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 xml:space="preserve">Private </w:t>
            </w:r>
          </w:p>
        </w:tc>
        <w:tc>
          <w:tcPr>
            <w:tcW w:w="2818" w:type="dxa"/>
          </w:tcPr>
          <w:p w14:paraId="7051DE47" w14:textId="0C517196"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139</w:t>
            </w:r>
          </w:p>
        </w:tc>
        <w:tc>
          <w:tcPr>
            <w:tcW w:w="3117" w:type="dxa"/>
          </w:tcPr>
          <w:p w14:paraId="0FC94068" w14:textId="16BF54F1"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36</w:t>
            </w:r>
          </w:p>
        </w:tc>
      </w:tr>
      <w:tr w:rsidR="00A42D23" w14:paraId="69553C98" w14:textId="77777777" w:rsidTr="0081645D">
        <w:tc>
          <w:tcPr>
            <w:tcW w:w="3415" w:type="dxa"/>
          </w:tcPr>
          <w:p w14:paraId="2ADE1D6D" w14:textId="4D647531"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 xml:space="preserve">Semi government </w:t>
            </w:r>
          </w:p>
        </w:tc>
        <w:tc>
          <w:tcPr>
            <w:tcW w:w="2818" w:type="dxa"/>
          </w:tcPr>
          <w:p w14:paraId="261BA149" w14:textId="01781771"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34</w:t>
            </w:r>
          </w:p>
        </w:tc>
        <w:tc>
          <w:tcPr>
            <w:tcW w:w="3117" w:type="dxa"/>
          </w:tcPr>
          <w:p w14:paraId="0D073A53" w14:textId="75ED1936"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9</w:t>
            </w:r>
          </w:p>
        </w:tc>
      </w:tr>
      <w:tr w:rsidR="00A42D23" w14:paraId="27AEF455" w14:textId="77777777" w:rsidTr="0081645D">
        <w:tc>
          <w:tcPr>
            <w:tcW w:w="3415" w:type="dxa"/>
          </w:tcPr>
          <w:p w14:paraId="6C871B74" w14:textId="1979C124"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 xml:space="preserve">Self-employee </w:t>
            </w:r>
          </w:p>
        </w:tc>
        <w:tc>
          <w:tcPr>
            <w:tcW w:w="2818" w:type="dxa"/>
          </w:tcPr>
          <w:p w14:paraId="1635255B" w14:textId="7CBFE6DF"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96</w:t>
            </w:r>
          </w:p>
        </w:tc>
        <w:tc>
          <w:tcPr>
            <w:tcW w:w="3117" w:type="dxa"/>
          </w:tcPr>
          <w:p w14:paraId="0FE6E369" w14:textId="7749177B"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25</w:t>
            </w:r>
          </w:p>
        </w:tc>
      </w:tr>
      <w:tr w:rsidR="00A42D23" w14:paraId="5D5F51B8" w14:textId="77777777" w:rsidTr="0081645D">
        <w:tc>
          <w:tcPr>
            <w:tcW w:w="3415" w:type="dxa"/>
          </w:tcPr>
          <w:p w14:paraId="44A64C2A" w14:textId="7ADE106F" w:rsidR="00A42D23" w:rsidRDefault="00A42D23" w:rsidP="00714A45">
            <w:pPr>
              <w:spacing w:line="276" w:lineRule="auto"/>
              <w:jc w:val="both"/>
              <w:rPr>
                <w:rFonts w:ascii="Times New Roman" w:hAnsi="Times New Roman" w:cs="Times New Roman"/>
              </w:rPr>
            </w:pPr>
            <w:r>
              <w:rPr>
                <w:rFonts w:ascii="Times New Roman" w:hAnsi="Times New Roman" w:cs="Times New Roman"/>
              </w:rPr>
              <w:t>Unemployment</w:t>
            </w:r>
          </w:p>
        </w:tc>
        <w:tc>
          <w:tcPr>
            <w:tcW w:w="2818" w:type="dxa"/>
          </w:tcPr>
          <w:p w14:paraId="3AC4BC27" w14:textId="6908F504"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36</w:t>
            </w:r>
          </w:p>
        </w:tc>
        <w:tc>
          <w:tcPr>
            <w:tcW w:w="3117" w:type="dxa"/>
          </w:tcPr>
          <w:p w14:paraId="2872F64B" w14:textId="4A16C0D2"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9</w:t>
            </w:r>
          </w:p>
        </w:tc>
      </w:tr>
      <w:tr w:rsidR="00A42D23" w14:paraId="23FFBE82" w14:textId="77777777" w:rsidTr="0081645D">
        <w:tc>
          <w:tcPr>
            <w:tcW w:w="3415" w:type="dxa"/>
          </w:tcPr>
          <w:p w14:paraId="4891A97E" w14:textId="34A98CA7" w:rsidR="00A42D23" w:rsidRPr="005C7FD8" w:rsidRDefault="00A42D23" w:rsidP="00714A45">
            <w:pPr>
              <w:spacing w:line="276" w:lineRule="auto"/>
              <w:jc w:val="both"/>
              <w:rPr>
                <w:rFonts w:ascii="Times New Roman" w:hAnsi="Times New Roman" w:cs="Times New Roman"/>
                <w:b/>
                <w:bCs/>
              </w:rPr>
            </w:pPr>
            <w:r w:rsidRPr="005C7FD8">
              <w:rPr>
                <w:rFonts w:ascii="Times New Roman" w:hAnsi="Times New Roman" w:cs="Times New Roman"/>
                <w:b/>
                <w:bCs/>
                <w:color w:val="000000"/>
                <w:lang w:bidi="si-LK"/>
              </w:rPr>
              <w:t>Length of Service</w:t>
            </w:r>
          </w:p>
        </w:tc>
        <w:tc>
          <w:tcPr>
            <w:tcW w:w="2818" w:type="dxa"/>
          </w:tcPr>
          <w:p w14:paraId="17202689" w14:textId="77777777" w:rsidR="00A42D23" w:rsidRDefault="00A42D23" w:rsidP="00714A45">
            <w:pPr>
              <w:spacing w:line="276" w:lineRule="auto"/>
              <w:jc w:val="both"/>
              <w:rPr>
                <w:rFonts w:ascii="Times New Roman" w:hAnsi="Times New Roman" w:cs="Times New Roman"/>
              </w:rPr>
            </w:pPr>
          </w:p>
        </w:tc>
        <w:tc>
          <w:tcPr>
            <w:tcW w:w="3117" w:type="dxa"/>
          </w:tcPr>
          <w:p w14:paraId="47730E7D" w14:textId="77777777" w:rsidR="00A42D23" w:rsidRDefault="00A42D23" w:rsidP="00714A45">
            <w:pPr>
              <w:spacing w:line="276" w:lineRule="auto"/>
              <w:jc w:val="both"/>
              <w:rPr>
                <w:rFonts w:ascii="Times New Roman" w:hAnsi="Times New Roman" w:cs="Times New Roman"/>
              </w:rPr>
            </w:pPr>
          </w:p>
        </w:tc>
      </w:tr>
      <w:tr w:rsidR="00A42D23" w14:paraId="6E7E92E4" w14:textId="77777777" w:rsidTr="0081645D">
        <w:tc>
          <w:tcPr>
            <w:tcW w:w="3415" w:type="dxa"/>
          </w:tcPr>
          <w:p w14:paraId="116E13C8" w14:textId="72804301"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 xml:space="preserve">1-3 Years   </w:t>
            </w:r>
          </w:p>
        </w:tc>
        <w:tc>
          <w:tcPr>
            <w:tcW w:w="2818" w:type="dxa"/>
          </w:tcPr>
          <w:p w14:paraId="46F9AA36" w14:textId="51A61267"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153</w:t>
            </w:r>
          </w:p>
        </w:tc>
        <w:tc>
          <w:tcPr>
            <w:tcW w:w="3117" w:type="dxa"/>
          </w:tcPr>
          <w:p w14:paraId="7303A930" w14:textId="57B23C93"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40</w:t>
            </w:r>
          </w:p>
        </w:tc>
      </w:tr>
      <w:tr w:rsidR="00A42D23" w14:paraId="2B402182" w14:textId="77777777" w:rsidTr="0081645D">
        <w:tc>
          <w:tcPr>
            <w:tcW w:w="3415" w:type="dxa"/>
          </w:tcPr>
          <w:p w14:paraId="70F1F03B" w14:textId="671641E9"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 xml:space="preserve">4-6 Years </w:t>
            </w:r>
          </w:p>
        </w:tc>
        <w:tc>
          <w:tcPr>
            <w:tcW w:w="2818" w:type="dxa"/>
          </w:tcPr>
          <w:p w14:paraId="0C99F116" w14:textId="30797C20"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120</w:t>
            </w:r>
          </w:p>
        </w:tc>
        <w:tc>
          <w:tcPr>
            <w:tcW w:w="3117" w:type="dxa"/>
          </w:tcPr>
          <w:p w14:paraId="08C290F8" w14:textId="0FC0B4D5"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31</w:t>
            </w:r>
          </w:p>
        </w:tc>
      </w:tr>
      <w:tr w:rsidR="00A42D23" w14:paraId="2A6837C4" w14:textId="77777777" w:rsidTr="0081645D">
        <w:tc>
          <w:tcPr>
            <w:tcW w:w="3415" w:type="dxa"/>
          </w:tcPr>
          <w:p w14:paraId="4227CE7C" w14:textId="7C9A2DA4"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 xml:space="preserve">7-10 Years   </w:t>
            </w:r>
          </w:p>
        </w:tc>
        <w:tc>
          <w:tcPr>
            <w:tcW w:w="2818" w:type="dxa"/>
          </w:tcPr>
          <w:p w14:paraId="0C29493C" w14:textId="431346EF"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58</w:t>
            </w:r>
          </w:p>
        </w:tc>
        <w:tc>
          <w:tcPr>
            <w:tcW w:w="3117" w:type="dxa"/>
          </w:tcPr>
          <w:p w14:paraId="26EB42A3" w14:textId="7E73DFA6"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15</w:t>
            </w:r>
          </w:p>
        </w:tc>
      </w:tr>
      <w:tr w:rsidR="00A42D23" w14:paraId="73E63AA9" w14:textId="77777777" w:rsidTr="0081645D">
        <w:tc>
          <w:tcPr>
            <w:tcW w:w="3415" w:type="dxa"/>
          </w:tcPr>
          <w:p w14:paraId="74789B51" w14:textId="41D5DAB9"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More than 10 Years</w:t>
            </w:r>
          </w:p>
        </w:tc>
        <w:tc>
          <w:tcPr>
            <w:tcW w:w="2818" w:type="dxa"/>
          </w:tcPr>
          <w:p w14:paraId="51EB5854" w14:textId="55951584"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51</w:t>
            </w:r>
          </w:p>
        </w:tc>
        <w:tc>
          <w:tcPr>
            <w:tcW w:w="3117" w:type="dxa"/>
          </w:tcPr>
          <w:p w14:paraId="4CA8698E" w14:textId="3E57EBE6"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13</w:t>
            </w:r>
          </w:p>
        </w:tc>
      </w:tr>
      <w:tr w:rsidR="00A42D23" w14:paraId="56DE8D24" w14:textId="77777777" w:rsidTr="0081645D">
        <w:trPr>
          <w:trHeight w:val="233"/>
        </w:trPr>
        <w:tc>
          <w:tcPr>
            <w:tcW w:w="3415" w:type="dxa"/>
          </w:tcPr>
          <w:p w14:paraId="7F6BFDA4" w14:textId="4DC8078E" w:rsidR="00A42D23" w:rsidRPr="004A1532" w:rsidRDefault="00A42D23" w:rsidP="00714A45">
            <w:pPr>
              <w:spacing w:line="276" w:lineRule="auto"/>
              <w:jc w:val="both"/>
              <w:rPr>
                <w:rFonts w:ascii="Times New Roman" w:hAnsi="Times New Roman" w:cs="Times New Roman"/>
                <w:b/>
                <w:bCs/>
              </w:rPr>
            </w:pPr>
            <w:r w:rsidRPr="00A42D23">
              <w:rPr>
                <w:rFonts w:ascii="Times New Roman" w:hAnsi="Times New Roman" w:cs="Times New Roman"/>
                <w:b/>
                <w:bCs/>
              </w:rPr>
              <w:t>Monthly Income Level</w:t>
            </w:r>
          </w:p>
        </w:tc>
        <w:tc>
          <w:tcPr>
            <w:tcW w:w="2818" w:type="dxa"/>
          </w:tcPr>
          <w:p w14:paraId="6CEE7BCE" w14:textId="77777777" w:rsidR="00A42D23" w:rsidRDefault="00A42D23" w:rsidP="00714A45">
            <w:pPr>
              <w:spacing w:line="276" w:lineRule="auto"/>
              <w:jc w:val="both"/>
              <w:rPr>
                <w:rFonts w:ascii="Times New Roman" w:hAnsi="Times New Roman" w:cs="Times New Roman"/>
              </w:rPr>
            </w:pPr>
          </w:p>
        </w:tc>
        <w:tc>
          <w:tcPr>
            <w:tcW w:w="3117" w:type="dxa"/>
          </w:tcPr>
          <w:p w14:paraId="1410782A" w14:textId="77777777" w:rsidR="00A42D23" w:rsidRDefault="00A42D23" w:rsidP="00714A45">
            <w:pPr>
              <w:spacing w:line="276" w:lineRule="auto"/>
              <w:jc w:val="both"/>
              <w:rPr>
                <w:rFonts w:ascii="Times New Roman" w:hAnsi="Times New Roman" w:cs="Times New Roman"/>
              </w:rPr>
            </w:pPr>
          </w:p>
        </w:tc>
      </w:tr>
      <w:tr w:rsidR="00A42D23" w14:paraId="1CE018AC" w14:textId="77777777" w:rsidTr="0081645D">
        <w:tc>
          <w:tcPr>
            <w:tcW w:w="3415" w:type="dxa"/>
          </w:tcPr>
          <w:p w14:paraId="1FC752F4" w14:textId="40B99A17"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 xml:space="preserve">20000 &gt; </w:t>
            </w:r>
          </w:p>
        </w:tc>
        <w:tc>
          <w:tcPr>
            <w:tcW w:w="2818" w:type="dxa"/>
          </w:tcPr>
          <w:p w14:paraId="3CC61D07" w14:textId="489A6AEB"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70</w:t>
            </w:r>
          </w:p>
        </w:tc>
        <w:tc>
          <w:tcPr>
            <w:tcW w:w="3117" w:type="dxa"/>
          </w:tcPr>
          <w:p w14:paraId="17546CD6" w14:textId="157B1B1D"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18</w:t>
            </w:r>
          </w:p>
        </w:tc>
      </w:tr>
      <w:tr w:rsidR="00A42D23" w14:paraId="32DDDBCD" w14:textId="77777777" w:rsidTr="0081645D">
        <w:tc>
          <w:tcPr>
            <w:tcW w:w="3415" w:type="dxa"/>
          </w:tcPr>
          <w:p w14:paraId="715A27E9" w14:textId="421DF007"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 xml:space="preserve">20 000 - 40 000 </w:t>
            </w:r>
          </w:p>
        </w:tc>
        <w:tc>
          <w:tcPr>
            <w:tcW w:w="2818" w:type="dxa"/>
          </w:tcPr>
          <w:p w14:paraId="2ABA0391" w14:textId="2BEEBD53"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123</w:t>
            </w:r>
          </w:p>
        </w:tc>
        <w:tc>
          <w:tcPr>
            <w:tcW w:w="3117" w:type="dxa"/>
          </w:tcPr>
          <w:p w14:paraId="3D279723" w14:textId="45413895"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32</w:t>
            </w:r>
          </w:p>
        </w:tc>
      </w:tr>
      <w:tr w:rsidR="00A42D23" w14:paraId="16E4D96F" w14:textId="77777777" w:rsidTr="0081645D">
        <w:tc>
          <w:tcPr>
            <w:tcW w:w="3415" w:type="dxa"/>
          </w:tcPr>
          <w:p w14:paraId="481B97A8" w14:textId="7D992788"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40 001 - 60 000</w:t>
            </w:r>
          </w:p>
        </w:tc>
        <w:tc>
          <w:tcPr>
            <w:tcW w:w="2818" w:type="dxa"/>
          </w:tcPr>
          <w:p w14:paraId="6595DE1F" w14:textId="70F4FF95"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93</w:t>
            </w:r>
          </w:p>
        </w:tc>
        <w:tc>
          <w:tcPr>
            <w:tcW w:w="3117" w:type="dxa"/>
          </w:tcPr>
          <w:p w14:paraId="41774026" w14:textId="0FFF07A2"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24</w:t>
            </w:r>
          </w:p>
        </w:tc>
      </w:tr>
      <w:tr w:rsidR="00A42D23" w14:paraId="769780D4" w14:textId="77777777" w:rsidTr="0081645D">
        <w:tc>
          <w:tcPr>
            <w:tcW w:w="3415" w:type="dxa"/>
          </w:tcPr>
          <w:p w14:paraId="61C8BF4C" w14:textId="20757C89"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60 001 - 80 000</w:t>
            </w:r>
          </w:p>
        </w:tc>
        <w:tc>
          <w:tcPr>
            <w:tcW w:w="2818" w:type="dxa"/>
          </w:tcPr>
          <w:p w14:paraId="6D5FBF9E" w14:textId="0BB248DD"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52</w:t>
            </w:r>
          </w:p>
        </w:tc>
        <w:tc>
          <w:tcPr>
            <w:tcW w:w="3117" w:type="dxa"/>
          </w:tcPr>
          <w:p w14:paraId="0D46F7A7" w14:textId="32C215EB"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14</w:t>
            </w:r>
          </w:p>
        </w:tc>
      </w:tr>
      <w:tr w:rsidR="00A42D23" w14:paraId="6A8AA4D9" w14:textId="77777777" w:rsidTr="0081645D">
        <w:tc>
          <w:tcPr>
            <w:tcW w:w="3415" w:type="dxa"/>
          </w:tcPr>
          <w:p w14:paraId="59F941F8" w14:textId="56375D7F"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80 000 &lt;</w:t>
            </w:r>
          </w:p>
        </w:tc>
        <w:tc>
          <w:tcPr>
            <w:tcW w:w="2818" w:type="dxa"/>
          </w:tcPr>
          <w:p w14:paraId="4A649BEA" w14:textId="51A1F4D1" w:rsidR="00A42D23" w:rsidRPr="00730E56" w:rsidRDefault="0098395E" w:rsidP="00714A45">
            <w:pPr>
              <w:spacing w:line="276" w:lineRule="auto"/>
              <w:jc w:val="both"/>
              <w:rPr>
                <w:rFonts w:ascii="Times New Roman" w:hAnsi="Times New Roman" w:cs="Times New Roman"/>
              </w:rPr>
            </w:pPr>
            <w:r w:rsidRPr="0098395E">
              <w:rPr>
                <w:rFonts w:ascii="Times New Roman" w:hAnsi="Times New Roman" w:cs="Times New Roman"/>
              </w:rPr>
              <w:t>44</w:t>
            </w:r>
          </w:p>
        </w:tc>
        <w:tc>
          <w:tcPr>
            <w:tcW w:w="3117" w:type="dxa"/>
          </w:tcPr>
          <w:p w14:paraId="10BE2B2A" w14:textId="5ACFB9C7" w:rsidR="00A42D23" w:rsidRP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12</w:t>
            </w:r>
          </w:p>
        </w:tc>
      </w:tr>
    </w:tbl>
    <w:p w14:paraId="1CD94CDB" w14:textId="463F4B7B" w:rsidR="004C4159" w:rsidRPr="00FA161E" w:rsidRDefault="004C4159" w:rsidP="00714A45">
      <w:pPr>
        <w:spacing w:line="276" w:lineRule="auto"/>
        <w:jc w:val="both"/>
        <w:rPr>
          <w:rFonts w:ascii="Times New Roman" w:hAnsi="Times New Roman" w:cs="Times New Roman"/>
        </w:rPr>
      </w:pPr>
      <w:r w:rsidRPr="00FA161E">
        <w:rPr>
          <w:rFonts w:ascii="Times New Roman" w:hAnsi="Times New Roman" w:cs="Times New Roman"/>
        </w:rPr>
        <w:lastRenderedPageBreak/>
        <w:t>Source: Survey data (202</w:t>
      </w:r>
      <w:r w:rsidR="00885652">
        <w:rPr>
          <w:rFonts w:ascii="Times New Roman" w:hAnsi="Times New Roman" w:cs="Times New Roman"/>
        </w:rPr>
        <w:t>5</w:t>
      </w:r>
      <w:r w:rsidRPr="00FA161E">
        <w:rPr>
          <w:rFonts w:ascii="Times New Roman" w:hAnsi="Times New Roman" w:cs="Times New Roman"/>
        </w:rPr>
        <w:t>)</w:t>
      </w:r>
    </w:p>
    <w:p w14:paraId="0891BA4F"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The sample indicates that a larger proportion of respondents were female, representing 55% of the total, while males accounted for 45%. Regarding age distribution, more than half of the respondents (53%) were between 20–29 years old. Meanwhile, 37% were aged between 30–39 years, 7% were between 40–49 years, and only 3% were aged 50 years or above. Since the study population consisted of banking customers aged 20 years and above, the results show that the majority of respondents belonged to the 20–29 age category.</w:t>
      </w:r>
    </w:p>
    <w:p w14:paraId="59A511E9"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With regard to the civil status of respondents, 52% were single and 46% were married, together accounting for 98% of the total sample. In addition, six respondents were separated and one respondent was widowed, representing 2% and 0.26% of the sample respectively.</w:t>
      </w:r>
    </w:p>
    <w:p w14:paraId="2CACEDBD" w14:textId="02EBAAD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 xml:space="preserve">In terms of residential </w:t>
      </w:r>
      <w:r w:rsidR="00714A45" w:rsidRPr="002128FD">
        <w:rPr>
          <w:rFonts w:ascii="Times New Roman" w:hAnsi="Times New Roman" w:cs="Times New Roman"/>
        </w:rPr>
        <w:t>areas</w:t>
      </w:r>
      <w:r w:rsidRPr="002128FD">
        <w:rPr>
          <w:rFonts w:ascii="Times New Roman" w:hAnsi="Times New Roman" w:cs="Times New Roman"/>
        </w:rPr>
        <w:t>, the highest proportion of respondents lived in semi-urban areas, accounting for 41% of the total. A total of 136 respondents lived in rural areas, making it the second largest residential category. Meanwhile, 89 respondents resided in urban areas, which represented the smallest share among the reported residential locations. None of the respondents were from estate areas.</w:t>
      </w:r>
    </w:p>
    <w:p w14:paraId="01293A30" w14:textId="37CB014F"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 xml:space="preserve">The educational qualifications of the respondents indicate that a considerable proportion had relatively high levels of education. About 28% of respondents had obtained a bachelor’s degree or higher qualification, while 71 respondents possessed vocational diplomas. Furthermore, 60 respondents </w:t>
      </w:r>
      <w:r w:rsidR="00C06DD3" w:rsidRPr="002128FD">
        <w:rPr>
          <w:rFonts w:ascii="Times New Roman" w:hAnsi="Times New Roman" w:cs="Times New Roman"/>
        </w:rPr>
        <w:t>passed</w:t>
      </w:r>
      <w:r w:rsidRPr="002128FD">
        <w:rPr>
          <w:rFonts w:ascii="Times New Roman" w:hAnsi="Times New Roman" w:cs="Times New Roman"/>
        </w:rPr>
        <w:t xml:space="preserve"> the GCE Advanced Level examination and 65 respondents </w:t>
      </w:r>
      <w:r w:rsidR="00C06DD3" w:rsidRPr="002128FD">
        <w:rPr>
          <w:rFonts w:ascii="Times New Roman" w:hAnsi="Times New Roman" w:cs="Times New Roman"/>
        </w:rPr>
        <w:t>passed</w:t>
      </w:r>
      <w:r w:rsidRPr="002128FD">
        <w:rPr>
          <w:rFonts w:ascii="Times New Roman" w:hAnsi="Times New Roman" w:cs="Times New Roman"/>
        </w:rPr>
        <w:t xml:space="preserve"> the GCE Ordinary Level examination. Altogether, 360 respondents </w:t>
      </w:r>
      <w:r w:rsidR="00B4185C" w:rsidRPr="002128FD">
        <w:rPr>
          <w:rFonts w:ascii="Times New Roman" w:hAnsi="Times New Roman" w:cs="Times New Roman"/>
        </w:rPr>
        <w:t>have</w:t>
      </w:r>
      <w:r w:rsidRPr="002128FD">
        <w:rPr>
          <w:rFonts w:ascii="Times New Roman" w:hAnsi="Times New Roman" w:cs="Times New Roman"/>
        </w:rPr>
        <w:t xml:space="preserve"> completed at least Grade 10 education. In contrast, only 22 respondents had not completed senior secondary education, and among them only two had not completed junior secondary education. Overall, the results suggest that the majority of respondents were relatively well educated.</w:t>
      </w:r>
    </w:p>
    <w:p w14:paraId="25AA04B4"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The employment status of respondents shows that the largest proportion, approximately 36%, were employed in the private sector. The second largest group consisted of self-employed individuals, accounting for 25% of the respondents. Government sector employees represented 20% of the sample, while semi-government employees accounted for the smallest proportion at around 9%. Overall, nearly 90% of the respondents were engaged in some form of income-generating activity, while 36 respondents were unemployed, representing about 9% of the sample.</w:t>
      </w:r>
    </w:p>
    <w:p w14:paraId="068328E4" w14:textId="0918474B"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The distribution of respondents according to years of work experience shows that the majority had relatively short service periods, particularly within the 1–</w:t>
      </w:r>
      <w:r w:rsidR="00B4185C" w:rsidRPr="002128FD">
        <w:rPr>
          <w:rFonts w:ascii="Times New Roman" w:hAnsi="Times New Roman" w:cs="Times New Roman"/>
        </w:rPr>
        <w:t>3-year</w:t>
      </w:r>
      <w:r w:rsidRPr="002128FD">
        <w:rPr>
          <w:rFonts w:ascii="Times New Roman" w:hAnsi="Times New Roman" w:cs="Times New Roman"/>
        </w:rPr>
        <w:t xml:space="preserve"> category. The second largest group had 4–6 years of work experience, accounting for about 31% of the respondents. Meanwhile, 48 respondents had 7–10 years of experience and 42 respondents had more than 10 years of work experience, representing the smallest categories.</w:t>
      </w:r>
    </w:p>
    <w:p w14:paraId="70C453FB"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 xml:space="preserve">Finally, respondents’ income levels were categorized into five groups ranging from below 20,000 to above 80,000. The highest income category (above 80,000) contained the smallest number of respondents. The largest proportion of respondents, about 32%, earned between 20,000 and </w:t>
      </w:r>
      <w:r w:rsidRPr="002128FD">
        <w:rPr>
          <w:rFonts w:ascii="Times New Roman" w:hAnsi="Times New Roman" w:cs="Times New Roman"/>
        </w:rPr>
        <w:lastRenderedPageBreak/>
        <w:t>40,000. Nearly one-fourth of the respondents reported an income between 40,001 and 60,000. In addition, 70 respondents earned less than 20,000, while 52 respondents belonged to the 60,001–80,000 income group. Overall, nearly half of the respondents reported earning less than 40,000.</w:t>
      </w:r>
    </w:p>
    <w:p w14:paraId="79FD0686" w14:textId="77777777" w:rsidR="00583C97" w:rsidRDefault="00583C97" w:rsidP="00714A45">
      <w:pPr>
        <w:spacing w:line="276" w:lineRule="auto"/>
        <w:jc w:val="both"/>
        <w:rPr>
          <w:rFonts w:ascii="Times New Roman" w:hAnsi="Times New Roman" w:cs="Times New Roman"/>
          <w:b/>
          <w:bCs/>
        </w:rPr>
      </w:pPr>
    </w:p>
    <w:p w14:paraId="13575F98" w14:textId="77777777" w:rsidR="00B32F08" w:rsidRPr="00B32F08" w:rsidRDefault="00B32F08" w:rsidP="00714A45">
      <w:pPr>
        <w:spacing w:line="276" w:lineRule="auto"/>
        <w:jc w:val="both"/>
        <w:rPr>
          <w:rFonts w:ascii="Times New Roman" w:hAnsi="Times New Roman" w:cs="Times New Roman"/>
        </w:rPr>
      </w:pPr>
      <w:bookmarkStart w:id="1" w:name="_Hlk186478501"/>
      <w:r w:rsidRPr="00B32F08">
        <w:rPr>
          <w:rFonts w:ascii="Times New Roman" w:hAnsi="Times New Roman" w:cs="Times New Roman"/>
        </w:rPr>
        <w:t>A multiple linear regression analysis was conducted to examine the effect of several independent variables on customers’ financial literacy. The independent variables included area of residence, gender, length of service, profession, education level, civil status, age, and monthly income level. In this analysis, financial literacy was considered the dependent variable. The results obtained from the regression analysis are presented as follows.</w:t>
      </w:r>
    </w:p>
    <w:p w14:paraId="5C0DC01E" w14:textId="6C164A12" w:rsidR="0053765F" w:rsidRPr="00FA161E" w:rsidRDefault="0053765F" w:rsidP="00714A45">
      <w:pPr>
        <w:spacing w:line="276" w:lineRule="auto"/>
        <w:jc w:val="both"/>
        <w:rPr>
          <w:rFonts w:ascii="Times New Roman" w:hAnsi="Times New Roman" w:cs="Times New Roman"/>
        </w:rPr>
      </w:pPr>
      <w:r w:rsidRPr="00FA161E">
        <w:rPr>
          <w:rFonts w:ascii="Times New Roman" w:hAnsi="Times New Roman" w:cs="Times New Roman"/>
        </w:rPr>
        <w:t xml:space="preserve">Table </w:t>
      </w:r>
      <w:r>
        <w:rPr>
          <w:rFonts w:ascii="Times New Roman" w:hAnsi="Times New Roman" w:cs="Times New Roman"/>
        </w:rPr>
        <w:t>02</w:t>
      </w:r>
      <w:r w:rsidRPr="00FA161E">
        <w:rPr>
          <w:rFonts w:ascii="Times New Roman" w:hAnsi="Times New Roman" w:cs="Times New Roman"/>
        </w:rPr>
        <w:t>. Model Summary</w:t>
      </w:r>
    </w:p>
    <w:bookmarkEnd w:id="1"/>
    <w:p w14:paraId="46DE5FCB" w14:textId="77777777" w:rsidR="0053765F" w:rsidRPr="003F539C" w:rsidRDefault="0053765F" w:rsidP="00714A45">
      <w:pPr>
        <w:spacing w:line="276" w:lineRule="auto"/>
        <w:jc w:val="both"/>
        <w:rPr>
          <w:rFonts w:ascii="Times New Roman" w:hAnsi="Times New Roman" w:cs="Times New Roman"/>
        </w:rPr>
      </w:pPr>
    </w:p>
    <w:tbl>
      <w:tblPr>
        <w:tblW w:w="7296"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5"/>
        <w:gridCol w:w="1009"/>
        <w:gridCol w:w="1085"/>
        <w:gridCol w:w="1469"/>
        <w:gridCol w:w="1469"/>
        <w:gridCol w:w="1469"/>
      </w:tblGrid>
      <w:tr w:rsidR="00602DF1" w:rsidRPr="00060945" w14:paraId="15701CB4" w14:textId="77777777" w:rsidTr="00946713">
        <w:trPr>
          <w:cantSplit/>
          <w:jc w:val="center"/>
        </w:trPr>
        <w:tc>
          <w:tcPr>
            <w:tcW w:w="795" w:type="dxa"/>
            <w:shd w:val="clear" w:color="auto" w:fill="FFFFFF"/>
            <w:vAlign w:val="bottom"/>
          </w:tcPr>
          <w:p w14:paraId="4091D14D"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Model</w:t>
            </w:r>
          </w:p>
        </w:tc>
        <w:tc>
          <w:tcPr>
            <w:tcW w:w="1009" w:type="dxa"/>
            <w:shd w:val="clear" w:color="auto" w:fill="FFFFFF"/>
            <w:vAlign w:val="bottom"/>
          </w:tcPr>
          <w:p w14:paraId="351754B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w:t>
            </w:r>
          </w:p>
        </w:tc>
        <w:tc>
          <w:tcPr>
            <w:tcW w:w="1085" w:type="dxa"/>
            <w:shd w:val="clear" w:color="auto" w:fill="FFFFFF"/>
            <w:vAlign w:val="bottom"/>
          </w:tcPr>
          <w:p w14:paraId="5B198682"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 Square</w:t>
            </w:r>
          </w:p>
        </w:tc>
        <w:tc>
          <w:tcPr>
            <w:tcW w:w="1469" w:type="dxa"/>
            <w:shd w:val="clear" w:color="auto" w:fill="FFFFFF"/>
            <w:vAlign w:val="bottom"/>
          </w:tcPr>
          <w:p w14:paraId="7D4A127F"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Adjusted R Square</w:t>
            </w:r>
          </w:p>
        </w:tc>
        <w:tc>
          <w:tcPr>
            <w:tcW w:w="1469" w:type="dxa"/>
            <w:shd w:val="clear" w:color="auto" w:fill="FFFFFF"/>
            <w:vAlign w:val="bottom"/>
          </w:tcPr>
          <w:p w14:paraId="1DB49A3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Std. Error of the Estimate</w:t>
            </w:r>
          </w:p>
        </w:tc>
        <w:tc>
          <w:tcPr>
            <w:tcW w:w="1469" w:type="dxa"/>
            <w:shd w:val="clear" w:color="auto" w:fill="FFFFFF"/>
            <w:vAlign w:val="bottom"/>
          </w:tcPr>
          <w:p w14:paraId="348CB7B3"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Durbin-Watson</w:t>
            </w:r>
          </w:p>
        </w:tc>
      </w:tr>
      <w:tr w:rsidR="00602DF1" w:rsidRPr="00060945" w14:paraId="05514F14" w14:textId="77777777" w:rsidTr="00946713">
        <w:trPr>
          <w:cantSplit/>
          <w:jc w:val="center"/>
        </w:trPr>
        <w:tc>
          <w:tcPr>
            <w:tcW w:w="795" w:type="dxa"/>
            <w:shd w:val="clear" w:color="auto" w:fill="FFFFFF"/>
          </w:tcPr>
          <w:p w14:paraId="0909F498"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w:t>
            </w:r>
          </w:p>
        </w:tc>
        <w:tc>
          <w:tcPr>
            <w:tcW w:w="1009" w:type="dxa"/>
            <w:shd w:val="clear" w:color="auto" w:fill="FFFFFF"/>
            <w:vAlign w:val="center"/>
          </w:tcPr>
          <w:p w14:paraId="5DF91E78"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.930</w:t>
            </w:r>
            <w:r w:rsidRPr="00060945">
              <w:rPr>
                <w:rFonts w:ascii="Times New Roman" w:hAnsi="Times New Roman" w:cs="Times New Roman"/>
                <w:color w:val="000000"/>
                <w:vertAlign w:val="superscript"/>
              </w:rPr>
              <w:t>a</w:t>
            </w:r>
          </w:p>
        </w:tc>
        <w:tc>
          <w:tcPr>
            <w:tcW w:w="1085" w:type="dxa"/>
            <w:shd w:val="clear" w:color="auto" w:fill="FFFFFF"/>
            <w:vAlign w:val="center"/>
          </w:tcPr>
          <w:p w14:paraId="3912C4BA"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.865</w:t>
            </w:r>
          </w:p>
        </w:tc>
        <w:tc>
          <w:tcPr>
            <w:tcW w:w="1469" w:type="dxa"/>
            <w:shd w:val="clear" w:color="auto" w:fill="FFFFFF"/>
            <w:vAlign w:val="center"/>
          </w:tcPr>
          <w:p w14:paraId="2011D2F6"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.861</w:t>
            </w:r>
          </w:p>
        </w:tc>
        <w:tc>
          <w:tcPr>
            <w:tcW w:w="1469" w:type="dxa"/>
            <w:shd w:val="clear" w:color="auto" w:fill="FFFFFF"/>
            <w:vAlign w:val="center"/>
          </w:tcPr>
          <w:p w14:paraId="66D6F477"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.37249436</w:t>
            </w:r>
          </w:p>
        </w:tc>
        <w:tc>
          <w:tcPr>
            <w:tcW w:w="1469" w:type="dxa"/>
            <w:shd w:val="clear" w:color="auto" w:fill="FFFFFF"/>
            <w:vAlign w:val="center"/>
          </w:tcPr>
          <w:p w14:paraId="5F6D75E9"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2.281</w:t>
            </w:r>
          </w:p>
        </w:tc>
      </w:tr>
    </w:tbl>
    <w:p w14:paraId="6209CCD3"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p w14:paraId="16BF8A95" w14:textId="6ECF2D6A" w:rsidR="00946713" w:rsidRPr="00FA161E" w:rsidRDefault="00946713" w:rsidP="00714A45">
      <w:pPr>
        <w:spacing w:line="276" w:lineRule="auto"/>
        <w:jc w:val="both"/>
        <w:rPr>
          <w:rFonts w:ascii="Times New Roman" w:hAnsi="Times New Roman" w:cs="Times New Roman"/>
        </w:rPr>
      </w:pPr>
      <w:r w:rsidRPr="00FA161E">
        <w:rPr>
          <w:rFonts w:ascii="Times New Roman" w:hAnsi="Times New Roman" w:cs="Times New Roman"/>
        </w:rPr>
        <w:t>Source: Survey data (202</w:t>
      </w:r>
      <w:r w:rsidR="00885652">
        <w:rPr>
          <w:rFonts w:ascii="Times New Roman" w:hAnsi="Times New Roman" w:cs="Times New Roman"/>
        </w:rPr>
        <w:t>5</w:t>
      </w:r>
      <w:r w:rsidRPr="00FA161E">
        <w:rPr>
          <w:rFonts w:ascii="Times New Roman" w:hAnsi="Times New Roman" w:cs="Times New Roman"/>
        </w:rPr>
        <w:t>)</w:t>
      </w:r>
    </w:p>
    <w:p w14:paraId="307974B2"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This table illustrates the goodness of fit of the estimated regression model. The multivariate correlation coefficient (R) is reported as 0.930, indicating a strong relationship between the dependent variable and the set of independent variables. Since the value of R is greater than 0.70, it suggests a strong positive correlation between financial literacy and the independent variables included in the model.</w:t>
      </w:r>
    </w:p>
    <w:p w14:paraId="3E7E9DB1"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coefficient of determination (R²) is 0.865. This value represents the proportion of variation in the dependent variable that can be explained by the independent variables in the model. Accordingly, the results indicate that approximately 86.5% of the variation in financial literacy is explained by the selected independent variables.</w:t>
      </w:r>
    </w:p>
    <w:p w14:paraId="1A745EA7"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Adjusted R² value, which adjusts the coefficient of determination by considering the number of predictors in the model, is reported as 0.861. This means that about 86.1% of the variance in financial literacy is explained by the model after accounting for the number of independent variables included in the analysis. Since the difference between the R² value and the Adjusted R² value is minimal, it indicates that the model fits the data well and does not suffer from issues such as overfitting.</w:t>
      </w:r>
    </w:p>
    <w:p w14:paraId="328F3066" w14:textId="477499F1" w:rsidR="00946713" w:rsidRPr="00060945" w:rsidRDefault="00946713" w:rsidP="00714A45">
      <w:pPr>
        <w:spacing w:line="276" w:lineRule="auto"/>
        <w:jc w:val="both"/>
        <w:rPr>
          <w:rFonts w:ascii="Times New Roman" w:hAnsi="Times New Roman" w:cs="Times New Roman"/>
        </w:rPr>
      </w:pPr>
      <w:r w:rsidRPr="00FA161E">
        <w:rPr>
          <w:rFonts w:ascii="Times New Roman" w:hAnsi="Times New Roman" w:cs="Times New Roman"/>
        </w:rPr>
        <w:t xml:space="preserve">Table </w:t>
      </w:r>
      <w:r>
        <w:rPr>
          <w:rFonts w:ascii="Times New Roman" w:hAnsi="Times New Roman" w:cs="Times New Roman"/>
        </w:rPr>
        <w:t>03</w:t>
      </w:r>
      <w:r w:rsidRPr="00FA161E">
        <w:rPr>
          <w:rFonts w:ascii="Times New Roman" w:hAnsi="Times New Roman" w:cs="Times New Roman"/>
        </w:rPr>
        <w:t xml:space="preserve">. </w:t>
      </w:r>
      <w:proofErr w:type="spellStart"/>
      <w:r w:rsidRPr="00FA161E">
        <w:rPr>
          <w:rFonts w:ascii="Times New Roman" w:hAnsi="Times New Roman" w:cs="Times New Roman"/>
        </w:rPr>
        <w:t>Anova</w:t>
      </w:r>
      <w:proofErr w:type="spellEnd"/>
      <w:r>
        <w:rPr>
          <w:rFonts w:ascii="Times New Roman" w:hAnsi="Times New Roman" w:cs="Times New Roman"/>
        </w:rPr>
        <w:t xml:space="preserve"> </w:t>
      </w:r>
    </w:p>
    <w:p w14:paraId="2B491F27"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bl>
      <w:tblPr>
        <w:tblW w:w="792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3"/>
        <w:gridCol w:w="1284"/>
        <w:gridCol w:w="1133"/>
        <w:gridCol w:w="1346"/>
        <w:gridCol w:w="1408"/>
        <w:gridCol w:w="1010"/>
        <w:gridCol w:w="1010"/>
      </w:tblGrid>
      <w:tr w:rsidR="00602DF1" w:rsidRPr="00060945" w14:paraId="7CED1F1B" w14:textId="77777777" w:rsidTr="00946713">
        <w:trPr>
          <w:cantSplit/>
          <w:jc w:val="center"/>
        </w:trPr>
        <w:tc>
          <w:tcPr>
            <w:tcW w:w="2017" w:type="dxa"/>
            <w:gridSpan w:val="2"/>
            <w:shd w:val="clear" w:color="auto" w:fill="FFFFFF"/>
            <w:vAlign w:val="bottom"/>
          </w:tcPr>
          <w:p w14:paraId="4693DB0B"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Model</w:t>
            </w:r>
          </w:p>
        </w:tc>
        <w:tc>
          <w:tcPr>
            <w:tcW w:w="1133" w:type="dxa"/>
            <w:shd w:val="clear" w:color="auto" w:fill="FFFFFF"/>
            <w:vAlign w:val="bottom"/>
          </w:tcPr>
          <w:p w14:paraId="31470A0A"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Sum of Squares</w:t>
            </w:r>
          </w:p>
        </w:tc>
        <w:tc>
          <w:tcPr>
            <w:tcW w:w="1346" w:type="dxa"/>
            <w:shd w:val="clear" w:color="auto" w:fill="FFFFFF"/>
            <w:vAlign w:val="bottom"/>
          </w:tcPr>
          <w:p w14:paraId="0D5901B2" w14:textId="56BF59B4"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df</w:t>
            </w:r>
          </w:p>
        </w:tc>
        <w:tc>
          <w:tcPr>
            <w:tcW w:w="1408" w:type="dxa"/>
            <w:shd w:val="clear" w:color="auto" w:fill="FFFFFF"/>
            <w:vAlign w:val="bottom"/>
          </w:tcPr>
          <w:p w14:paraId="2AA2B7E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Mean Square</w:t>
            </w:r>
          </w:p>
        </w:tc>
        <w:tc>
          <w:tcPr>
            <w:tcW w:w="1010" w:type="dxa"/>
            <w:shd w:val="clear" w:color="auto" w:fill="FFFFFF"/>
            <w:vAlign w:val="bottom"/>
          </w:tcPr>
          <w:p w14:paraId="3F75A8CE"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F</w:t>
            </w:r>
          </w:p>
        </w:tc>
        <w:tc>
          <w:tcPr>
            <w:tcW w:w="1010" w:type="dxa"/>
            <w:shd w:val="clear" w:color="auto" w:fill="FFFFFF"/>
            <w:vAlign w:val="bottom"/>
          </w:tcPr>
          <w:p w14:paraId="1FD9ADCC"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Sig.</w:t>
            </w:r>
          </w:p>
        </w:tc>
      </w:tr>
      <w:tr w:rsidR="00602DF1" w:rsidRPr="00060945" w14:paraId="02BE9981" w14:textId="77777777" w:rsidTr="00946713">
        <w:trPr>
          <w:cantSplit/>
          <w:jc w:val="center"/>
        </w:trPr>
        <w:tc>
          <w:tcPr>
            <w:tcW w:w="733" w:type="dxa"/>
            <w:vMerge w:val="restart"/>
            <w:shd w:val="clear" w:color="auto" w:fill="FFFFFF"/>
          </w:tcPr>
          <w:p w14:paraId="2FCF5143"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lastRenderedPageBreak/>
              <w:t>1</w:t>
            </w:r>
          </w:p>
        </w:tc>
        <w:tc>
          <w:tcPr>
            <w:tcW w:w="1284" w:type="dxa"/>
            <w:shd w:val="clear" w:color="auto" w:fill="FFFFFF"/>
          </w:tcPr>
          <w:p w14:paraId="3F6D33F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Regression</w:t>
            </w:r>
          </w:p>
        </w:tc>
        <w:tc>
          <w:tcPr>
            <w:tcW w:w="1133" w:type="dxa"/>
            <w:shd w:val="clear" w:color="auto" w:fill="FFFFFF"/>
            <w:vAlign w:val="center"/>
          </w:tcPr>
          <w:p w14:paraId="5B6F15D2"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123.058</w:t>
            </w:r>
          </w:p>
        </w:tc>
        <w:tc>
          <w:tcPr>
            <w:tcW w:w="1346" w:type="dxa"/>
            <w:shd w:val="clear" w:color="auto" w:fill="FFFFFF"/>
            <w:vAlign w:val="center"/>
          </w:tcPr>
          <w:p w14:paraId="4FA4EEA2" w14:textId="5CAC6DC9"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8</w:t>
            </w:r>
          </w:p>
        </w:tc>
        <w:tc>
          <w:tcPr>
            <w:tcW w:w="1408" w:type="dxa"/>
            <w:shd w:val="clear" w:color="auto" w:fill="FFFFFF"/>
            <w:vAlign w:val="center"/>
          </w:tcPr>
          <w:p w14:paraId="0563926C"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15.382</w:t>
            </w:r>
          </w:p>
        </w:tc>
        <w:tc>
          <w:tcPr>
            <w:tcW w:w="1010" w:type="dxa"/>
            <w:shd w:val="clear" w:color="auto" w:fill="FFFFFF"/>
            <w:vAlign w:val="center"/>
          </w:tcPr>
          <w:p w14:paraId="57F4FD58"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43.577</w:t>
            </w:r>
          </w:p>
        </w:tc>
        <w:tc>
          <w:tcPr>
            <w:tcW w:w="1010" w:type="dxa"/>
            <w:shd w:val="clear" w:color="auto" w:fill="FFFFFF"/>
            <w:vAlign w:val="center"/>
          </w:tcPr>
          <w:p w14:paraId="6CA7F714"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.000</w:t>
            </w:r>
            <w:r w:rsidRPr="00060945">
              <w:rPr>
                <w:rFonts w:ascii="Times New Roman" w:hAnsi="Times New Roman" w:cs="Times New Roman"/>
                <w:color w:val="000000"/>
                <w:vertAlign w:val="superscript"/>
                <w:lang w:bidi="si-LK"/>
              </w:rPr>
              <w:t>b</w:t>
            </w:r>
          </w:p>
        </w:tc>
      </w:tr>
      <w:tr w:rsidR="00602DF1" w:rsidRPr="00060945" w14:paraId="325E8C41" w14:textId="77777777" w:rsidTr="00946713">
        <w:trPr>
          <w:cantSplit/>
          <w:jc w:val="center"/>
        </w:trPr>
        <w:tc>
          <w:tcPr>
            <w:tcW w:w="733" w:type="dxa"/>
            <w:vMerge/>
            <w:shd w:val="clear" w:color="auto" w:fill="FFFFFF"/>
          </w:tcPr>
          <w:p w14:paraId="6513983E"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color w:val="000000"/>
                <w:lang w:bidi="si-LK"/>
              </w:rPr>
            </w:pPr>
          </w:p>
        </w:tc>
        <w:tc>
          <w:tcPr>
            <w:tcW w:w="1284" w:type="dxa"/>
            <w:shd w:val="clear" w:color="auto" w:fill="FFFFFF"/>
          </w:tcPr>
          <w:p w14:paraId="3BC46D13"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Residual</w:t>
            </w:r>
          </w:p>
        </w:tc>
        <w:tc>
          <w:tcPr>
            <w:tcW w:w="1133" w:type="dxa"/>
            <w:shd w:val="clear" w:color="auto" w:fill="FFFFFF"/>
            <w:vAlign w:val="center"/>
          </w:tcPr>
          <w:p w14:paraId="7999479E"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131.666</w:t>
            </w:r>
          </w:p>
        </w:tc>
        <w:tc>
          <w:tcPr>
            <w:tcW w:w="1346" w:type="dxa"/>
            <w:shd w:val="clear" w:color="auto" w:fill="FFFFFF"/>
            <w:vAlign w:val="center"/>
          </w:tcPr>
          <w:p w14:paraId="085D70D0" w14:textId="3A95408C"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373</w:t>
            </w:r>
          </w:p>
        </w:tc>
        <w:tc>
          <w:tcPr>
            <w:tcW w:w="1408" w:type="dxa"/>
            <w:shd w:val="clear" w:color="auto" w:fill="FFFFFF"/>
            <w:vAlign w:val="center"/>
          </w:tcPr>
          <w:p w14:paraId="03BD8B2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.353</w:t>
            </w:r>
          </w:p>
        </w:tc>
        <w:tc>
          <w:tcPr>
            <w:tcW w:w="1010" w:type="dxa"/>
            <w:shd w:val="clear" w:color="auto" w:fill="FFFFFF"/>
            <w:vAlign w:val="center"/>
          </w:tcPr>
          <w:p w14:paraId="198FCB08"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010" w:type="dxa"/>
            <w:shd w:val="clear" w:color="auto" w:fill="FFFFFF"/>
            <w:vAlign w:val="center"/>
          </w:tcPr>
          <w:p w14:paraId="3C6CBB69"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r>
      <w:tr w:rsidR="00602DF1" w:rsidRPr="00060945" w14:paraId="674C9F2F" w14:textId="77777777" w:rsidTr="00946713">
        <w:trPr>
          <w:cantSplit/>
          <w:jc w:val="center"/>
        </w:trPr>
        <w:tc>
          <w:tcPr>
            <w:tcW w:w="733" w:type="dxa"/>
            <w:vMerge/>
            <w:shd w:val="clear" w:color="auto" w:fill="FFFFFF"/>
          </w:tcPr>
          <w:p w14:paraId="70375CAC"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284" w:type="dxa"/>
            <w:shd w:val="clear" w:color="auto" w:fill="FFFFFF"/>
          </w:tcPr>
          <w:p w14:paraId="16EB2221"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Total</w:t>
            </w:r>
          </w:p>
        </w:tc>
        <w:tc>
          <w:tcPr>
            <w:tcW w:w="1133" w:type="dxa"/>
            <w:shd w:val="clear" w:color="auto" w:fill="FFFFFF"/>
            <w:vAlign w:val="center"/>
          </w:tcPr>
          <w:p w14:paraId="55891857"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254.725</w:t>
            </w:r>
          </w:p>
        </w:tc>
        <w:tc>
          <w:tcPr>
            <w:tcW w:w="1346" w:type="dxa"/>
            <w:shd w:val="clear" w:color="auto" w:fill="FFFFFF"/>
            <w:vAlign w:val="center"/>
          </w:tcPr>
          <w:p w14:paraId="07779EF8" w14:textId="08AF4848"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381</w:t>
            </w:r>
          </w:p>
        </w:tc>
        <w:tc>
          <w:tcPr>
            <w:tcW w:w="1408" w:type="dxa"/>
            <w:shd w:val="clear" w:color="auto" w:fill="FFFFFF"/>
            <w:vAlign w:val="center"/>
          </w:tcPr>
          <w:p w14:paraId="131A5003"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010" w:type="dxa"/>
            <w:shd w:val="clear" w:color="auto" w:fill="FFFFFF"/>
            <w:vAlign w:val="center"/>
          </w:tcPr>
          <w:p w14:paraId="737C343D"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010" w:type="dxa"/>
            <w:shd w:val="clear" w:color="auto" w:fill="FFFFFF"/>
            <w:vAlign w:val="center"/>
          </w:tcPr>
          <w:p w14:paraId="7EED0E5A"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r>
    </w:tbl>
    <w:p w14:paraId="63505C2C" w14:textId="420D9538" w:rsidR="00602DF1" w:rsidRPr="00060945" w:rsidRDefault="00946713" w:rsidP="00714A45">
      <w:pPr>
        <w:spacing w:line="276" w:lineRule="auto"/>
        <w:jc w:val="both"/>
        <w:rPr>
          <w:rFonts w:ascii="Times New Roman" w:hAnsi="Times New Roman" w:cs="Times New Roman"/>
        </w:rPr>
      </w:pPr>
      <w:r w:rsidRPr="00FA161E">
        <w:rPr>
          <w:rFonts w:ascii="Times New Roman" w:hAnsi="Times New Roman" w:cs="Times New Roman"/>
        </w:rPr>
        <w:t>Source: Survey data (202</w:t>
      </w:r>
      <w:r w:rsidR="00885652">
        <w:rPr>
          <w:rFonts w:ascii="Times New Roman" w:hAnsi="Times New Roman" w:cs="Times New Roman"/>
        </w:rPr>
        <w:t>5</w:t>
      </w:r>
      <w:r w:rsidRPr="00FA161E">
        <w:rPr>
          <w:rFonts w:ascii="Times New Roman" w:hAnsi="Times New Roman" w:cs="Times New Roman"/>
        </w:rPr>
        <w:t>)</w:t>
      </w:r>
    </w:p>
    <w:p w14:paraId="4D8EB559"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ANOVA table presents the overall statistical significance of the regression model. It is used to determine whether the independent variables collectively have a significant effect on the dependent variable. In particular, the test evaluates whether at least one of the independent variables significantly contributes to explaining the variation in the dependent variable.</w:t>
      </w:r>
    </w:p>
    <w:p w14:paraId="76CFE781"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significance (Sig.) value is used to assess this relationship. In this study, a significance level of 5% (α = 0.05) is applied. Therefore, for the model to be considered statistically significant, the p-value should be lower than 0.05. The results show that the significance value is 0.000, which is less than the threshold level (0.000 &lt; 0.05). This indicates that the regression model is statistically significant and that the independent variables included in the model jointly influence the dependent variable.</w:t>
      </w:r>
    </w:p>
    <w:p w14:paraId="20F12757"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Furthermore, the Total Sum of Squares (SST) represents the total variation in the dependent variable, measured as the difference between the observed values and the overall mean. The Regression Sum of Squares (SSR) indicates the variation explained by the regression model, which is the difference between the predicted values and the mean. The Residual Sum of Squares (SSE) represents the unexplained variation in the model and reflects the difference between the observed values and the predicted values. The total variation in the model is therefore the sum of the regression sum of squares and the residual sum of squares.</w:t>
      </w:r>
    </w:p>
    <w:p w14:paraId="19A8AC21" w14:textId="07A377EF" w:rsidR="00946713" w:rsidRPr="00FA161E" w:rsidRDefault="00946713" w:rsidP="00714A45">
      <w:pPr>
        <w:spacing w:line="276" w:lineRule="auto"/>
        <w:jc w:val="both"/>
        <w:rPr>
          <w:rFonts w:ascii="Times New Roman" w:hAnsi="Times New Roman" w:cs="Times New Roman"/>
        </w:rPr>
      </w:pPr>
      <w:r w:rsidRPr="00FA161E">
        <w:rPr>
          <w:rFonts w:ascii="Times New Roman" w:hAnsi="Times New Roman" w:cs="Times New Roman"/>
        </w:rPr>
        <w:t xml:space="preserve">Table </w:t>
      </w:r>
      <w:r>
        <w:rPr>
          <w:rFonts w:ascii="Times New Roman" w:hAnsi="Times New Roman" w:cs="Times New Roman"/>
        </w:rPr>
        <w:t>04</w:t>
      </w:r>
      <w:r w:rsidRPr="00FA161E">
        <w:rPr>
          <w:rFonts w:ascii="Times New Roman" w:hAnsi="Times New Roman" w:cs="Times New Roman"/>
        </w:rPr>
        <w:t>. Coefficients</w:t>
      </w:r>
    </w:p>
    <w:p w14:paraId="2EE33327"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bl>
      <w:tblPr>
        <w:tblW w:w="1007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44"/>
        <w:gridCol w:w="2382"/>
        <w:gridCol w:w="1513"/>
        <w:gridCol w:w="1538"/>
        <w:gridCol w:w="1683"/>
        <w:gridCol w:w="1155"/>
        <w:gridCol w:w="1155"/>
      </w:tblGrid>
      <w:tr w:rsidR="00946713" w:rsidRPr="00060945" w14:paraId="12BC3230" w14:textId="77777777" w:rsidTr="0021486C">
        <w:trPr>
          <w:cantSplit/>
          <w:trHeight w:val="526"/>
          <w:jc w:val="center"/>
        </w:trPr>
        <w:tc>
          <w:tcPr>
            <w:tcW w:w="3026" w:type="dxa"/>
            <w:gridSpan w:val="2"/>
            <w:vMerge w:val="restart"/>
            <w:shd w:val="clear" w:color="auto" w:fill="FFFFFF"/>
            <w:vAlign w:val="bottom"/>
          </w:tcPr>
          <w:p w14:paraId="02F661F4"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Model</w:t>
            </w:r>
          </w:p>
        </w:tc>
        <w:tc>
          <w:tcPr>
            <w:tcW w:w="3051" w:type="dxa"/>
            <w:gridSpan w:val="2"/>
            <w:shd w:val="clear" w:color="auto" w:fill="FFFFFF"/>
            <w:vAlign w:val="bottom"/>
          </w:tcPr>
          <w:p w14:paraId="4118801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Unstandardized Coefficients</w:t>
            </w:r>
          </w:p>
        </w:tc>
        <w:tc>
          <w:tcPr>
            <w:tcW w:w="1683" w:type="dxa"/>
            <w:shd w:val="clear" w:color="auto" w:fill="FFFFFF"/>
            <w:vAlign w:val="bottom"/>
          </w:tcPr>
          <w:p w14:paraId="63F5EF62"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Standardized Coefficients</w:t>
            </w:r>
          </w:p>
        </w:tc>
        <w:tc>
          <w:tcPr>
            <w:tcW w:w="1155" w:type="dxa"/>
            <w:vMerge w:val="restart"/>
            <w:shd w:val="clear" w:color="auto" w:fill="FFFFFF"/>
            <w:vAlign w:val="bottom"/>
          </w:tcPr>
          <w:p w14:paraId="6CED5FF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t</w:t>
            </w:r>
          </w:p>
        </w:tc>
        <w:tc>
          <w:tcPr>
            <w:tcW w:w="1155" w:type="dxa"/>
            <w:vMerge w:val="restart"/>
            <w:shd w:val="clear" w:color="auto" w:fill="FFFFFF"/>
            <w:vAlign w:val="bottom"/>
          </w:tcPr>
          <w:p w14:paraId="698746A4"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Sig.</w:t>
            </w:r>
          </w:p>
        </w:tc>
      </w:tr>
      <w:tr w:rsidR="00946713" w:rsidRPr="00060945" w14:paraId="493484E4" w14:textId="77777777" w:rsidTr="0021486C">
        <w:trPr>
          <w:cantSplit/>
          <w:trHeight w:val="113"/>
          <w:jc w:val="center"/>
        </w:trPr>
        <w:tc>
          <w:tcPr>
            <w:tcW w:w="3026" w:type="dxa"/>
            <w:gridSpan w:val="2"/>
            <w:vMerge/>
            <w:shd w:val="clear" w:color="auto" w:fill="FFFFFF"/>
            <w:vAlign w:val="bottom"/>
          </w:tcPr>
          <w:p w14:paraId="58DE1E7F"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1513" w:type="dxa"/>
            <w:shd w:val="clear" w:color="auto" w:fill="FFFFFF"/>
            <w:vAlign w:val="bottom"/>
          </w:tcPr>
          <w:p w14:paraId="5C44DDC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B</w:t>
            </w:r>
          </w:p>
        </w:tc>
        <w:tc>
          <w:tcPr>
            <w:tcW w:w="1538" w:type="dxa"/>
            <w:shd w:val="clear" w:color="auto" w:fill="FFFFFF"/>
            <w:vAlign w:val="bottom"/>
          </w:tcPr>
          <w:p w14:paraId="58FD0DD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Std. Error</w:t>
            </w:r>
          </w:p>
        </w:tc>
        <w:tc>
          <w:tcPr>
            <w:tcW w:w="1683" w:type="dxa"/>
            <w:shd w:val="clear" w:color="auto" w:fill="FFFFFF"/>
            <w:vAlign w:val="bottom"/>
          </w:tcPr>
          <w:p w14:paraId="7F098058"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Beta</w:t>
            </w:r>
          </w:p>
        </w:tc>
        <w:tc>
          <w:tcPr>
            <w:tcW w:w="1155" w:type="dxa"/>
            <w:vMerge/>
            <w:shd w:val="clear" w:color="auto" w:fill="FFFFFF"/>
            <w:vAlign w:val="bottom"/>
          </w:tcPr>
          <w:p w14:paraId="2A8D9E7D"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1155" w:type="dxa"/>
            <w:vMerge/>
            <w:shd w:val="clear" w:color="auto" w:fill="FFFFFF"/>
            <w:vAlign w:val="bottom"/>
          </w:tcPr>
          <w:p w14:paraId="1605F841"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r>
      <w:tr w:rsidR="00946713" w:rsidRPr="00060945" w14:paraId="79292F98" w14:textId="77777777" w:rsidTr="0021486C">
        <w:trPr>
          <w:cantSplit/>
          <w:trHeight w:val="261"/>
          <w:jc w:val="center"/>
        </w:trPr>
        <w:tc>
          <w:tcPr>
            <w:tcW w:w="644" w:type="dxa"/>
            <w:vMerge w:val="restart"/>
            <w:shd w:val="clear" w:color="auto" w:fill="FFFFFF"/>
          </w:tcPr>
          <w:p w14:paraId="7EDAF284"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w:t>
            </w:r>
          </w:p>
        </w:tc>
        <w:tc>
          <w:tcPr>
            <w:tcW w:w="2382" w:type="dxa"/>
            <w:shd w:val="clear" w:color="auto" w:fill="FFFFFF"/>
          </w:tcPr>
          <w:p w14:paraId="3096A665"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(Constant)</w:t>
            </w:r>
          </w:p>
        </w:tc>
        <w:tc>
          <w:tcPr>
            <w:tcW w:w="1513" w:type="dxa"/>
            <w:shd w:val="clear" w:color="auto" w:fill="FFFFFF"/>
            <w:vAlign w:val="center"/>
          </w:tcPr>
          <w:p w14:paraId="1E7A2EA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.752</w:t>
            </w:r>
          </w:p>
        </w:tc>
        <w:tc>
          <w:tcPr>
            <w:tcW w:w="1538" w:type="dxa"/>
            <w:shd w:val="clear" w:color="auto" w:fill="FFFFFF"/>
            <w:vAlign w:val="center"/>
          </w:tcPr>
          <w:p w14:paraId="505CC53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.267</w:t>
            </w:r>
          </w:p>
        </w:tc>
        <w:tc>
          <w:tcPr>
            <w:tcW w:w="1683" w:type="dxa"/>
            <w:shd w:val="clear" w:color="auto" w:fill="FFFFFF"/>
            <w:vAlign w:val="center"/>
          </w:tcPr>
          <w:p w14:paraId="12059A55"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lang w:bidi="si-LK"/>
              </w:rPr>
            </w:pPr>
          </w:p>
        </w:tc>
        <w:tc>
          <w:tcPr>
            <w:tcW w:w="1155" w:type="dxa"/>
            <w:shd w:val="clear" w:color="auto" w:fill="FFFFFF"/>
            <w:vAlign w:val="center"/>
          </w:tcPr>
          <w:p w14:paraId="7BFE64D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2.811</w:t>
            </w:r>
          </w:p>
        </w:tc>
        <w:tc>
          <w:tcPr>
            <w:tcW w:w="1155" w:type="dxa"/>
            <w:shd w:val="clear" w:color="auto" w:fill="FFFFFF"/>
            <w:vAlign w:val="center"/>
          </w:tcPr>
          <w:p w14:paraId="696EEA7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.005</w:t>
            </w:r>
          </w:p>
        </w:tc>
      </w:tr>
      <w:tr w:rsidR="00946713" w:rsidRPr="00060945" w14:paraId="73D2502B" w14:textId="77777777" w:rsidTr="0021486C">
        <w:trPr>
          <w:cantSplit/>
          <w:trHeight w:val="113"/>
          <w:jc w:val="center"/>
        </w:trPr>
        <w:tc>
          <w:tcPr>
            <w:tcW w:w="644" w:type="dxa"/>
            <w:vMerge/>
            <w:shd w:val="clear" w:color="auto" w:fill="FFFFFF"/>
          </w:tcPr>
          <w:p w14:paraId="3C13E13D"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lang w:bidi="si-LK"/>
              </w:rPr>
            </w:pPr>
          </w:p>
        </w:tc>
        <w:tc>
          <w:tcPr>
            <w:tcW w:w="2382" w:type="dxa"/>
            <w:shd w:val="clear" w:color="auto" w:fill="FFFFFF"/>
          </w:tcPr>
          <w:p w14:paraId="61B4C74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Gender</w:t>
            </w:r>
          </w:p>
        </w:tc>
        <w:tc>
          <w:tcPr>
            <w:tcW w:w="1513" w:type="dxa"/>
            <w:shd w:val="clear" w:color="auto" w:fill="FFFFFF"/>
            <w:vAlign w:val="center"/>
          </w:tcPr>
          <w:p w14:paraId="6F4E2B7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.018</w:t>
            </w:r>
          </w:p>
        </w:tc>
        <w:tc>
          <w:tcPr>
            <w:tcW w:w="1538" w:type="dxa"/>
            <w:shd w:val="clear" w:color="auto" w:fill="FFFFFF"/>
            <w:vAlign w:val="center"/>
          </w:tcPr>
          <w:p w14:paraId="24E635F2"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.065</w:t>
            </w:r>
          </w:p>
        </w:tc>
        <w:tc>
          <w:tcPr>
            <w:tcW w:w="1683" w:type="dxa"/>
            <w:shd w:val="clear" w:color="auto" w:fill="FFFFFF"/>
            <w:vAlign w:val="center"/>
          </w:tcPr>
          <w:p w14:paraId="2EB043E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.011</w:t>
            </w:r>
          </w:p>
        </w:tc>
        <w:tc>
          <w:tcPr>
            <w:tcW w:w="1155" w:type="dxa"/>
            <w:shd w:val="clear" w:color="auto" w:fill="FFFFFF"/>
            <w:vAlign w:val="center"/>
          </w:tcPr>
          <w:p w14:paraId="3B2AD21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.271</w:t>
            </w:r>
          </w:p>
        </w:tc>
        <w:tc>
          <w:tcPr>
            <w:tcW w:w="1155" w:type="dxa"/>
            <w:shd w:val="clear" w:color="auto" w:fill="FFFFFF"/>
            <w:vAlign w:val="center"/>
          </w:tcPr>
          <w:p w14:paraId="74CA5A8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.787</w:t>
            </w:r>
          </w:p>
        </w:tc>
      </w:tr>
      <w:tr w:rsidR="00946713" w:rsidRPr="00060945" w14:paraId="02D90295" w14:textId="77777777" w:rsidTr="0021486C">
        <w:trPr>
          <w:cantSplit/>
          <w:trHeight w:val="441"/>
          <w:jc w:val="center"/>
        </w:trPr>
        <w:tc>
          <w:tcPr>
            <w:tcW w:w="644" w:type="dxa"/>
            <w:vMerge/>
            <w:shd w:val="clear" w:color="auto" w:fill="FFFFFF"/>
          </w:tcPr>
          <w:p w14:paraId="665A86EB"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39F6C49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Age</w:t>
            </w:r>
          </w:p>
        </w:tc>
        <w:tc>
          <w:tcPr>
            <w:tcW w:w="1513" w:type="dxa"/>
            <w:shd w:val="clear" w:color="auto" w:fill="FFFFFF"/>
            <w:vAlign w:val="center"/>
          </w:tcPr>
          <w:p w14:paraId="4AE142FA"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-.016</w:t>
            </w:r>
          </w:p>
        </w:tc>
        <w:tc>
          <w:tcPr>
            <w:tcW w:w="1538" w:type="dxa"/>
            <w:shd w:val="clear" w:color="auto" w:fill="FFFFFF"/>
            <w:vAlign w:val="center"/>
          </w:tcPr>
          <w:p w14:paraId="3ED3546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.006</w:t>
            </w:r>
          </w:p>
        </w:tc>
        <w:tc>
          <w:tcPr>
            <w:tcW w:w="1683" w:type="dxa"/>
            <w:shd w:val="clear" w:color="auto" w:fill="FFFFFF"/>
            <w:vAlign w:val="center"/>
          </w:tcPr>
          <w:p w14:paraId="4C59B64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-.149</w:t>
            </w:r>
          </w:p>
        </w:tc>
        <w:tc>
          <w:tcPr>
            <w:tcW w:w="1155" w:type="dxa"/>
            <w:shd w:val="clear" w:color="auto" w:fill="FFFFFF"/>
            <w:vAlign w:val="center"/>
          </w:tcPr>
          <w:p w14:paraId="28B1B65A"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-2.735</w:t>
            </w:r>
          </w:p>
        </w:tc>
        <w:tc>
          <w:tcPr>
            <w:tcW w:w="1155" w:type="dxa"/>
            <w:shd w:val="clear" w:color="auto" w:fill="FFFFFF"/>
            <w:vAlign w:val="center"/>
          </w:tcPr>
          <w:p w14:paraId="44AD734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.007</w:t>
            </w:r>
          </w:p>
        </w:tc>
      </w:tr>
      <w:tr w:rsidR="00946713" w:rsidRPr="00060945" w14:paraId="061AFA9D" w14:textId="77777777" w:rsidTr="0021486C">
        <w:trPr>
          <w:cantSplit/>
          <w:trHeight w:val="113"/>
          <w:jc w:val="center"/>
        </w:trPr>
        <w:tc>
          <w:tcPr>
            <w:tcW w:w="644" w:type="dxa"/>
            <w:vMerge/>
            <w:shd w:val="clear" w:color="auto" w:fill="FFFFFF"/>
          </w:tcPr>
          <w:p w14:paraId="5A44B6BD"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19235BB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Civil Status</w:t>
            </w:r>
          </w:p>
        </w:tc>
        <w:tc>
          <w:tcPr>
            <w:tcW w:w="1513" w:type="dxa"/>
            <w:shd w:val="clear" w:color="auto" w:fill="FFFFFF"/>
            <w:vAlign w:val="center"/>
          </w:tcPr>
          <w:p w14:paraId="7C831B6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.063</w:t>
            </w:r>
          </w:p>
        </w:tc>
        <w:tc>
          <w:tcPr>
            <w:tcW w:w="1538" w:type="dxa"/>
            <w:shd w:val="clear" w:color="auto" w:fill="FFFFFF"/>
            <w:vAlign w:val="center"/>
          </w:tcPr>
          <w:p w14:paraId="4CC0268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.070</w:t>
            </w:r>
          </w:p>
        </w:tc>
        <w:tc>
          <w:tcPr>
            <w:tcW w:w="1683" w:type="dxa"/>
            <w:shd w:val="clear" w:color="auto" w:fill="FFFFFF"/>
            <w:vAlign w:val="center"/>
          </w:tcPr>
          <w:p w14:paraId="0292BB5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.042</w:t>
            </w:r>
          </w:p>
        </w:tc>
        <w:tc>
          <w:tcPr>
            <w:tcW w:w="1155" w:type="dxa"/>
            <w:shd w:val="clear" w:color="auto" w:fill="FFFFFF"/>
            <w:vAlign w:val="center"/>
          </w:tcPr>
          <w:p w14:paraId="52290E0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.901</w:t>
            </w:r>
          </w:p>
        </w:tc>
        <w:tc>
          <w:tcPr>
            <w:tcW w:w="1155" w:type="dxa"/>
            <w:shd w:val="clear" w:color="auto" w:fill="FFFFFF"/>
            <w:vAlign w:val="center"/>
          </w:tcPr>
          <w:p w14:paraId="0C0D240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.368</w:t>
            </w:r>
          </w:p>
        </w:tc>
      </w:tr>
      <w:tr w:rsidR="00946713" w:rsidRPr="00060945" w14:paraId="54419863" w14:textId="77777777" w:rsidTr="0021486C">
        <w:trPr>
          <w:cantSplit/>
          <w:trHeight w:val="113"/>
          <w:jc w:val="center"/>
        </w:trPr>
        <w:tc>
          <w:tcPr>
            <w:tcW w:w="644" w:type="dxa"/>
            <w:vMerge/>
            <w:shd w:val="clear" w:color="auto" w:fill="FFFFFF"/>
          </w:tcPr>
          <w:p w14:paraId="540D0BFC"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1391B02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Education Level</w:t>
            </w:r>
          </w:p>
        </w:tc>
        <w:tc>
          <w:tcPr>
            <w:tcW w:w="1513" w:type="dxa"/>
            <w:shd w:val="clear" w:color="auto" w:fill="FFFFFF"/>
            <w:vAlign w:val="center"/>
          </w:tcPr>
          <w:p w14:paraId="5720317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.276</w:t>
            </w:r>
          </w:p>
        </w:tc>
        <w:tc>
          <w:tcPr>
            <w:tcW w:w="1538" w:type="dxa"/>
            <w:shd w:val="clear" w:color="auto" w:fill="FFFFFF"/>
            <w:vAlign w:val="center"/>
          </w:tcPr>
          <w:p w14:paraId="0917A0B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.024</w:t>
            </w:r>
          </w:p>
        </w:tc>
        <w:tc>
          <w:tcPr>
            <w:tcW w:w="1683" w:type="dxa"/>
            <w:shd w:val="clear" w:color="auto" w:fill="FFFFFF"/>
            <w:vAlign w:val="center"/>
          </w:tcPr>
          <w:p w14:paraId="6A7E571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.546</w:t>
            </w:r>
          </w:p>
        </w:tc>
        <w:tc>
          <w:tcPr>
            <w:tcW w:w="1155" w:type="dxa"/>
            <w:shd w:val="clear" w:color="auto" w:fill="FFFFFF"/>
            <w:vAlign w:val="center"/>
          </w:tcPr>
          <w:p w14:paraId="0BDEE9F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11.346</w:t>
            </w:r>
          </w:p>
        </w:tc>
        <w:tc>
          <w:tcPr>
            <w:tcW w:w="1155" w:type="dxa"/>
            <w:shd w:val="clear" w:color="auto" w:fill="FFFFFF"/>
            <w:vAlign w:val="center"/>
          </w:tcPr>
          <w:p w14:paraId="01C16FF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.000</w:t>
            </w:r>
          </w:p>
        </w:tc>
      </w:tr>
      <w:tr w:rsidR="00946713" w:rsidRPr="00060945" w14:paraId="68C6A3E1" w14:textId="77777777" w:rsidTr="0021486C">
        <w:trPr>
          <w:cantSplit/>
          <w:trHeight w:val="113"/>
          <w:jc w:val="center"/>
        </w:trPr>
        <w:tc>
          <w:tcPr>
            <w:tcW w:w="644" w:type="dxa"/>
            <w:vMerge/>
            <w:shd w:val="clear" w:color="auto" w:fill="FFFFFF"/>
          </w:tcPr>
          <w:p w14:paraId="737FF0DE"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0E486BD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Profession</w:t>
            </w:r>
          </w:p>
        </w:tc>
        <w:tc>
          <w:tcPr>
            <w:tcW w:w="1513" w:type="dxa"/>
            <w:shd w:val="clear" w:color="auto" w:fill="FFFFFF"/>
            <w:vAlign w:val="center"/>
          </w:tcPr>
          <w:p w14:paraId="0B5EB07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.068</w:t>
            </w:r>
          </w:p>
        </w:tc>
        <w:tc>
          <w:tcPr>
            <w:tcW w:w="1538" w:type="dxa"/>
            <w:shd w:val="clear" w:color="auto" w:fill="FFFFFF"/>
            <w:vAlign w:val="center"/>
          </w:tcPr>
          <w:p w14:paraId="4AA47B0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.026</w:t>
            </w:r>
          </w:p>
        </w:tc>
        <w:tc>
          <w:tcPr>
            <w:tcW w:w="1683" w:type="dxa"/>
            <w:shd w:val="clear" w:color="auto" w:fill="FFFFFF"/>
            <w:vAlign w:val="center"/>
          </w:tcPr>
          <w:p w14:paraId="2310A56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.109</w:t>
            </w:r>
          </w:p>
        </w:tc>
        <w:tc>
          <w:tcPr>
            <w:tcW w:w="1155" w:type="dxa"/>
            <w:shd w:val="clear" w:color="auto" w:fill="FFFFFF"/>
            <w:vAlign w:val="center"/>
          </w:tcPr>
          <w:p w14:paraId="50A6C69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2.593</w:t>
            </w:r>
          </w:p>
        </w:tc>
        <w:tc>
          <w:tcPr>
            <w:tcW w:w="1155" w:type="dxa"/>
            <w:shd w:val="clear" w:color="auto" w:fill="FFFFFF"/>
            <w:vAlign w:val="center"/>
          </w:tcPr>
          <w:p w14:paraId="291DB56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.010</w:t>
            </w:r>
          </w:p>
        </w:tc>
      </w:tr>
      <w:tr w:rsidR="00946713" w:rsidRPr="00060945" w14:paraId="2C55BF27" w14:textId="77777777" w:rsidTr="0021486C">
        <w:trPr>
          <w:cantSplit/>
          <w:trHeight w:val="113"/>
          <w:jc w:val="center"/>
        </w:trPr>
        <w:tc>
          <w:tcPr>
            <w:tcW w:w="644" w:type="dxa"/>
            <w:vMerge/>
            <w:shd w:val="clear" w:color="auto" w:fill="FFFFFF"/>
          </w:tcPr>
          <w:p w14:paraId="2789CFFF"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6CFD3AA2"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 xml:space="preserve"> Length of Service</w:t>
            </w:r>
          </w:p>
        </w:tc>
        <w:tc>
          <w:tcPr>
            <w:tcW w:w="1513" w:type="dxa"/>
            <w:shd w:val="clear" w:color="auto" w:fill="FFFFFF"/>
            <w:vAlign w:val="center"/>
          </w:tcPr>
          <w:p w14:paraId="49BF404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.034</w:t>
            </w:r>
          </w:p>
        </w:tc>
        <w:tc>
          <w:tcPr>
            <w:tcW w:w="1538" w:type="dxa"/>
            <w:shd w:val="clear" w:color="auto" w:fill="FFFFFF"/>
            <w:vAlign w:val="center"/>
          </w:tcPr>
          <w:p w14:paraId="4910CA9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.044</w:t>
            </w:r>
          </w:p>
        </w:tc>
        <w:tc>
          <w:tcPr>
            <w:tcW w:w="1683" w:type="dxa"/>
            <w:shd w:val="clear" w:color="auto" w:fill="FFFFFF"/>
            <w:vAlign w:val="center"/>
          </w:tcPr>
          <w:p w14:paraId="2437E50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.046</w:t>
            </w:r>
          </w:p>
        </w:tc>
        <w:tc>
          <w:tcPr>
            <w:tcW w:w="1155" w:type="dxa"/>
            <w:shd w:val="clear" w:color="auto" w:fill="FFFFFF"/>
            <w:vAlign w:val="center"/>
          </w:tcPr>
          <w:p w14:paraId="0F5B35C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.758</w:t>
            </w:r>
          </w:p>
        </w:tc>
        <w:tc>
          <w:tcPr>
            <w:tcW w:w="1155" w:type="dxa"/>
            <w:shd w:val="clear" w:color="auto" w:fill="FFFFFF"/>
            <w:vAlign w:val="center"/>
          </w:tcPr>
          <w:p w14:paraId="392A2DF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.449</w:t>
            </w:r>
          </w:p>
        </w:tc>
      </w:tr>
      <w:tr w:rsidR="00946713" w:rsidRPr="00060945" w14:paraId="05441097" w14:textId="77777777" w:rsidTr="0021486C">
        <w:trPr>
          <w:cantSplit/>
          <w:trHeight w:val="113"/>
          <w:jc w:val="center"/>
        </w:trPr>
        <w:tc>
          <w:tcPr>
            <w:tcW w:w="644" w:type="dxa"/>
            <w:vMerge/>
            <w:shd w:val="clear" w:color="auto" w:fill="FFFFFF"/>
          </w:tcPr>
          <w:p w14:paraId="7093068B"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536EF85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Monthly Income Level</w:t>
            </w:r>
          </w:p>
        </w:tc>
        <w:tc>
          <w:tcPr>
            <w:tcW w:w="1513" w:type="dxa"/>
            <w:shd w:val="clear" w:color="auto" w:fill="FFFFFF"/>
            <w:vAlign w:val="center"/>
          </w:tcPr>
          <w:p w14:paraId="633AB09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.222</w:t>
            </w:r>
          </w:p>
        </w:tc>
        <w:tc>
          <w:tcPr>
            <w:tcW w:w="1538" w:type="dxa"/>
            <w:shd w:val="clear" w:color="auto" w:fill="FFFFFF"/>
            <w:vAlign w:val="center"/>
          </w:tcPr>
          <w:p w14:paraId="5D969D6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.037</w:t>
            </w:r>
          </w:p>
        </w:tc>
        <w:tc>
          <w:tcPr>
            <w:tcW w:w="1683" w:type="dxa"/>
            <w:shd w:val="clear" w:color="auto" w:fill="FFFFFF"/>
            <w:vAlign w:val="center"/>
          </w:tcPr>
          <w:p w14:paraId="76204F0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.338</w:t>
            </w:r>
          </w:p>
        </w:tc>
        <w:tc>
          <w:tcPr>
            <w:tcW w:w="1155" w:type="dxa"/>
            <w:shd w:val="clear" w:color="auto" w:fill="FFFFFF"/>
            <w:vAlign w:val="center"/>
          </w:tcPr>
          <w:p w14:paraId="5083BF1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6.011</w:t>
            </w:r>
          </w:p>
        </w:tc>
        <w:tc>
          <w:tcPr>
            <w:tcW w:w="1155" w:type="dxa"/>
            <w:shd w:val="clear" w:color="auto" w:fill="FFFFFF"/>
            <w:vAlign w:val="center"/>
          </w:tcPr>
          <w:p w14:paraId="6947AF2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.000</w:t>
            </w:r>
          </w:p>
        </w:tc>
      </w:tr>
      <w:tr w:rsidR="00946713" w:rsidRPr="00060945" w14:paraId="0B843C0E" w14:textId="77777777" w:rsidTr="0021486C">
        <w:trPr>
          <w:cantSplit/>
          <w:trHeight w:val="113"/>
          <w:jc w:val="center"/>
        </w:trPr>
        <w:tc>
          <w:tcPr>
            <w:tcW w:w="644" w:type="dxa"/>
            <w:vMerge/>
            <w:shd w:val="clear" w:color="auto" w:fill="FFFFFF"/>
          </w:tcPr>
          <w:p w14:paraId="1F3D23F5"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0799433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Living area</w:t>
            </w:r>
          </w:p>
        </w:tc>
        <w:tc>
          <w:tcPr>
            <w:tcW w:w="1513" w:type="dxa"/>
            <w:shd w:val="clear" w:color="auto" w:fill="FFFFFF"/>
            <w:vAlign w:val="center"/>
          </w:tcPr>
          <w:p w14:paraId="1DB3C32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.113</w:t>
            </w:r>
          </w:p>
        </w:tc>
        <w:tc>
          <w:tcPr>
            <w:tcW w:w="1538" w:type="dxa"/>
            <w:shd w:val="clear" w:color="auto" w:fill="FFFFFF"/>
            <w:vAlign w:val="center"/>
          </w:tcPr>
          <w:p w14:paraId="1452C84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.042</w:t>
            </w:r>
          </w:p>
        </w:tc>
        <w:tc>
          <w:tcPr>
            <w:tcW w:w="1683" w:type="dxa"/>
            <w:shd w:val="clear" w:color="auto" w:fill="FFFFFF"/>
            <w:vAlign w:val="center"/>
          </w:tcPr>
          <w:p w14:paraId="46D8F63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.104</w:t>
            </w:r>
          </w:p>
        </w:tc>
        <w:tc>
          <w:tcPr>
            <w:tcW w:w="1155" w:type="dxa"/>
            <w:shd w:val="clear" w:color="auto" w:fill="FFFFFF"/>
            <w:vAlign w:val="center"/>
          </w:tcPr>
          <w:p w14:paraId="0C6BB52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2.669</w:t>
            </w:r>
          </w:p>
        </w:tc>
        <w:tc>
          <w:tcPr>
            <w:tcW w:w="1155" w:type="dxa"/>
            <w:shd w:val="clear" w:color="auto" w:fill="FFFFFF"/>
            <w:vAlign w:val="center"/>
          </w:tcPr>
          <w:p w14:paraId="1B11E3C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.008</w:t>
            </w:r>
          </w:p>
        </w:tc>
      </w:tr>
    </w:tbl>
    <w:p w14:paraId="25924983" w14:textId="25181D5D" w:rsidR="00946713" w:rsidRPr="00060945" w:rsidRDefault="00946713" w:rsidP="00714A45">
      <w:pPr>
        <w:spacing w:line="276" w:lineRule="auto"/>
        <w:jc w:val="both"/>
        <w:rPr>
          <w:rFonts w:ascii="Times New Roman" w:hAnsi="Times New Roman" w:cs="Times New Roman"/>
        </w:rPr>
      </w:pPr>
      <w:r w:rsidRPr="00FA161E">
        <w:rPr>
          <w:rFonts w:ascii="Times New Roman" w:hAnsi="Times New Roman" w:cs="Times New Roman"/>
        </w:rPr>
        <w:t>Source: Survey data (202</w:t>
      </w:r>
      <w:r w:rsidR="00885652">
        <w:rPr>
          <w:rFonts w:ascii="Times New Roman" w:hAnsi="Times New Roman" w:cs="Times New Roman"/>
        </w:rPr>
        <w:t>5</w:t>
      </w:r>
      <w:r w:rsidRPr="00FA161E">
        <w:rPr>
          <w:rFonts w:ascii="Times New Roman" w:hAnsi="Times New Roman" w:cs="Times New Roman"/>
        </w:rPr>
        <w:t>)</w:t>
      </w:r>
    </w:p>
    <w:p w14:paraId="20E2BE7E"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p w14:paraId="73D8CBC9"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lastRenderedPageBreak/>
        <w:t>The table above presents the individual significance of each independent variable, which can be determined using the significance (Sig.) values. The independent variables considered in this analysis include age, gender, civil status, education level, profession, length of service, monthly income level, and living area. Based on these significance values, the hypotheses developed in the study were tested as follows.</w:t>
      </w:r>
    </w:p>
    <w:p w14:paraId="5F0ECDF6"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H0a: Age has no significant effect on financial literacy.</w:t>
      </w:r>
      <w:r w:rsidRPr="00714A45">
        <w:rPr>
          <w:rFonts w:ascii="Times New Roman" w:hAnsi="Times New Roman" w:cs="Times New Roman"/>
        </w:rPr>
        <w:br/>
        <w:t>H1a: Age has a significant effect on financial literacy.</w:t>
      </w:r>
    </w:p>
    <w:p w14:paraId="56003E97" w14:textId="19752DB6"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associated with the variable age is 0.007. Since this value is lower than the significance level of 0.05 (0.007 &lt; 0.05), the null hypothesis is rejected, and the alternative hypothesis is accepted. This result indicates that age has a significant effect on financial literacy, suggesting that financial literacy varies according to the age of customers.</w:t>
      </w:r>
    </w:p>
    <w:p w14:paraId="626E1A18"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H0b: Gender has no significant effect on financial literacy.</w:t>
      </w:r>
      <w:r w:rsidRPr="00714A45">
        <w:rPr>
          <w:rFonts w:ascii="Times New Roman" w:hAnsi="Times New Roman" w:cs="Times New Roman"/>
        </w:rPr>
        <w:br/>
        <w:t>H1b: Gender has a significant effect on financial literacy.</w:t>
      </w:r>
    </w:p>
    <w:p w14:paraId="34EBF27F"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related to gender is 0.787. Since this value is greater than 0.05 (0.787 &gt; 0.05), the null hypothesis is accepted. Therefore, it can be concluded that gender does not have a significant effect on financial literacy, indicating that there is no significant difference in financial literacy between male and female customers.</w:t>
      </w:r>
    </w:p>
    <w:p w14:paraId="5AC2BB91"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H0c: Civil status has no significant effect on financial literacy.</w:t>
      </w:r>
      <w:r w:rsidRPr="00714A45">
        <w:rPr>
          <w:rFonts w:ascii="Times New Roman" w:hAnsi="Times New Roman" w:cs="Times New Roman"/>
        </w:rPr>
        <w:br/>
        <w:t>H1c: Civil status has a significant effect on financial literacy.</w:t>
      </w:r>
    </w:p>
    <w:p w14:paraId="7BA283D0"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for civil status is 0.368, which is greater than 0.05 (0.368 &gt; 0.05). Accordingly, the null hypothesis is accepted, indicating that civil status does not significantly influence the financial literacy of customers.</w:t>
      </w:r>
    </w:p>
    <w:p w14:paraId="24A7B01C"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H0d: Monthly income level has no significant effect on financial literacy.</w:t>
      </w:r>
      <w:r w:rsidRPr="00714A45">
        <w:rPr>
          <w:rFonts w:ascii="Times New Roman" w:hAnsi="Times New Roman" w:cs="Times New Roman"/>
        </w:rPr>
        <w:br/>
        <w:t>H1d: Monthly income level has a significant effect on financial literacy.</w:t>
      </w:r>
    </w:p>
    <w:p w14:paraId="501BEB3A"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associated with monthly income level is 0.000. Since this value is less than 0.05 (0.000 &lt; 0.05), the null hypothesis is rejected. This indicates that monthly income level has a significant effect on financial literacy.</w:t>
      </w:r>
    </w:p>
    <w:p w14:paraId="5A1BEDBB"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H0e: Education level has no significant effect on financial literacy.</w:t>
      </w:r>
      <w:r w:rsidRPr="00714A45">
        <w:rPr>
          <w:rFonts w:ascii="Times New Roman" w:hAnsi="Times New Roman" w:cs="Times New Roman"/>
        </w:rPr>
        <w:br/>
        <w:t>H1e: Education level has a significant effect on financial literacy.</w:t>
      </w:r>
    </w:p>
    <w:p w14:paraId="7C7BFAB8"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related to education level is 0.000. As this value is lower than 0.05 (0.000 &lt; 0.05), the null hypothesis is rejected and the alternative hypothesis is accepted. This finding indicates that education level significantly influences the financial literacy of customers.</w:t>
      </w:r>
    </w:p>
    <w:p w14:paraId="3B4E523D"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H0f: Profession has no significant effect on financial literacy.</w:t>
      </w:r>
      <w:r w:rsidRPr="00714A45">
        <w:rPr>
          <w:rFonts w:ascii="Times New Roman" w:hAnsi="Times New Roman" w:cs="Times New Roman"/>
        </w:rPr>
        <w:br/>
        <w:t>H1f: Profession has a significant effect on financial literacy.</w:t>
      </w:r>
    </w:p>
    <w:p w14:paraId="46B5CF7E"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lastRenderedPageBreak/>
        <w:t>The significance value for profession is 0.010, which is less than 0.05 (0.010 &lt; 0.05). Therefore, the null hypothesis is rejected, indicating that the profession of customers significantly influences their level of financial literacy.</w:t>
      </w:r>
    </w:p>
    <w:p w14:paraId="47E5ECBD"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H0g: Length of service has no significant effect on financial literacy.</w:t>
      </w:r>
      <w:r w:rsidRPr="00714A45">
        <w:rPr>
          <w:rFonts w:ascii="Times New Roman" w:hAnsi="Times New Roman" w:cs="Times New Roman"/>
        </w:rPr>
        <w:br/>
        <w:t>H1g: Length of service has a significant effect on financial literacy.</w:t>
      </w:r>
    </w:p>
    <w:p w14:paraId="5AB7F1F0"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associated with length of service is 0.449. Since this value is greater than 0.05 (0.449 &gt; 0.05), the null hypothesis is accepted. This suggests that length of service does not have a significant effect on customers’ financial literacy.</w:t>
      </w:r>
    </w:p>
    <w:p w14:paraId="5DC977E0"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H0h: Living area has no significant effect on financial literacy.</w:t>
      </w:r>
      <w:r w:rsidRPr="00714A45">
        <w:rPr>
          <w:rFonts w:ascii="Times New Roman" w:hAnsi="Times New Roman" w:cs="Times New Roman"/>
        </w:rPr>
        <w:br/>
        <w:t>H1h: Living area has a significant effect on financial literacy.</w:t>
      </w:r>
    </w:p>
    <w:p w14:paraId="1508B79A" w14:textId="267E76A1"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related to living area is 0.008. As this value is lower than 0.05 (0.008 &lt; 0.05), the null hypothesis is rejected, and the alternative hypothesis is accepted. This result indicates that financial literacy differs depending on the area in which customers reside.</w:t>
      </w:r>
    </w:p>
    <w:p w14:paraId="0A783FA7"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Unstandardized Coefficients (B) values indicate the magnitude and direction of the effect of each independent variable on the dependent variable. Specifically, the coefficient value represents the amount of change in the dependent variable resulting from a one-unit change in the corresponding independent variable, while other variables remain constant.</w:t>
      </w:r>
    </w:p>
    <w:p w14:paraId="422E9FB1"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results indicate that education level, profession, monthly income level, and living area have positive effects on customers’ financial literacy. A one-unit increase in education level increases financial literacy by 0.276 units. Similarly, a one-unit increase in profession increases financial literacy by 0.068 units. A one-unit increase in monthly income level increases financial literacy by 0.222 units, while changes in living area increase financial literacy by 0.113 units.</w:t>
      </w:r>
    </w:p>
    <w:p w14:paraId="11B121B8"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In contrast, age shows a negative relationship with financial literacy. The coefficient value (-0.016) indicates that financial literacy slightly decreases as age increases.</w:t>
      </w:r>
    </w:p>
    <w:p w14:paraId="53675035"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Based on these coefficient values, the regression equation representing the relationship between the independent variables and customers’ financial literacy can be formulated.</w:t>
      </w:r>
    </w:p>
    <w:p w14:paraId="7B9B5DB8"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Y – Financial literacy of customers</w:t>
      </w:r>
    </w:p>
    <w:p w14:paraId="12674BB7"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1</w:t>
      </w:r>
      <w:r w:rsidRPr="00060945">
        <w:rPr>
          <w:rFonts w:ascii="Times New Roman" w:hAnsi="Times New Roman" w:cs="Times New Roman"/>
        </w:rPr>
        <w:t xml:space="preserve"> – Age (A)</w:t>
      </w:r>
    </w:p>
    <w:p w14:paraId="1FD0664D"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 xml:space="preserve">2 </w:t>
      </w:r>
      <w:r w:rsidRPr="00060945">
        <w:rPr>
          <w:rFonts w:ascii="Times New Roman" w:hAnsi="Times New Roman" w:cs="Times New Roman"/>
        </w:rPr>
        <w:t>– Education Level (E)</w:t>
      </w:r>
    </w:p>
    <w:p w14:paraId="18F16201"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3</w:t>
      </w:r>
      <w:r w:rsidRPr="00060945">
        <w:rPr>
          <w:rFonts w:ascii="Times New Roman" w:hAnsi="Times New Roman" w:cs="Times New Roman"/>
        </w:rPr>
        <w:t xml:space="preserve"> – Profession (P)</w:t>
      </w:r>
    </w:p>
    <w:p w14:paraId="7F498585"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4</w:t>
      </w:r>
      <w:r w:rsidRPr="00060945">
        <w:rPr>
          <w:rFonts w:ascii="Times New Roman" w:hAnsi="Times New Roman" w:cs="Times New Roman"/>
        </w:rPr>
        <w:t xml:space="preserve"> – Monthly Income Level (M)</w:t>
      </w:r>
    </w:p>
    <w:p w14:paraId="42943242"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5</w:t>
      </w:r>
      <w:r w:rsidRPr="00060945">
        <w:rPr>
          <w:rFonts w:ascii="Times New Roman" w:hAnsi="Times New Roman" w:cs="Times New Roman"/>
        </w:rPr>
        <w:t xml:space="preserve"> – Living Area (L)</w:t>
      </w:r>
    </w:p>
    <w:p w14:paraId="4A58DA07"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Y = b</w:t>
      </w:r>
      <w:r w:rsidRPr="00060945">
        <w:rPr>
          <w:rFonts w:ascii="Times New Roman" w:hAnsi="Times New Roman" w:cs="Times New Roman"/>
          <w:vertAlign w:val="subscript"/>
        </w:rPr>
        <w:t>0</w:t>
      </w:r>
      <w:r w:rsidRPr="00060945">
        <w:rPr>
          <w:rFonts w:ascii="Times New Roman" w:hAnsi="Times New Roman" w:cs="Times New Roman"/>
        </w:rPr>
        <w:t xml:space="preserve"> + b</w:t>
      </w:r>
      <w:r w:rsidRPr="00060945">
        <w:rPr>
          <w:rFonts w:ascii="Times New Roman" w:hAnsi="Times New Roman" w:cs="Times New Roman"/>
          <w:vertAlign w:val="subscript"/>
        </w:rPr>
        <w:t>1</w:t>
      </w:r>
      <w:r w:rsidRPr="00060945">
        <w:rPr>
          <w:rFonts w:ascii="Times New Roman" w:hAnsi="Times New Roman" w:cs="Times New Roman"/>
        </w:rPr>
        <w:t>X</w:t>
      </w:r>
      <w:r w:rsidRPr="00060945">
        <w:rPr>
          <w:rFonts w:ascii="Times New Roman" w:hAnsi="Times New Roman" w:cs="Times New Roman"/>
          <w:vertAlign w:val="subscript"/>
        </w:rPr>
        <w:t>1</w:t>
      </w:r>
      <w:r w:rsidRPr="00060945">
        <w:rPr>
          <w:rFonts w:ascii="Times New Roman" w:hAnsi="Times New Roman" w:cs="Times New Roman"/>
        </w:rPr>
        <w:t xml:space="preserve"> + b</w:t>
      </w:r>
      <w:r w:rsidRPr="00060945">
        <w:rPr>
          <w:rFonts w:ascii="Times New Roman" w:hAnsi="Times New Roman" w:cs="Times New Roman"/>
          <w:vertAlign w:val="subscript"/>
        </w:rPr>
        <w:t>2</w:t>
      </w:r>
      <w:r w:rsidRPr="00060945">
        <w:rPr>
          <w:rFonts w:ascii="Times New Roman" w:hAnsi="Times New Roman" w:cs="Times New Roman"/>
        </w:rPr>
        <w:t>X</w:t>
      </w:r>
      <w:r w:rsidRPr="00060945">
        <w:rPr>
          <w:rFonts w:ascii="Times New Roman" w:hAnsi="Times New Roman" w:cs="Times New Roman"/>
          <w:vertAlign w:val="subscript"/>
        </w:rPr>
        <w:t>2</w:t>
      </w:r>
      <w:r w:rsidRPr="00060945">
        <w:rPr>
          <w:rFonts w:ascii="Times New Roman" w:hAnsi="Times New Roman" w:cs="Times New Roman"/>
        </w:rPr>
        <w:t xml:space="preserve"> + b</w:t>
      </w:r>
      <w:r w:rsidRPr="00060945">
        <w:rPr>
          <w:rFonts w:ascii="Times New Roman" w:hAnsi="Times New Roman" w:cs="Times New Roman"/>
          <w:vertAlign w:val="subscript"/>
        </w:rPr>
        <w:t>3</w:t>
      </w:r>
      <w:r w:rsidRPr="00060945">
        <w:rPr>
          <w:rFonts w:ascii="Times New Roman" w:hAnsi="Times New Roman" w:cs="Times New Roman"/>
        </w:rPr>
        <w:t>X</w:t>
      </w:r>
      <w:r w:rsidRPr="00060945">
        <w:rPr>
          <w:rFonts w:ascii="Times New Roman" w:hAnsi="Times New Roman" w:cs="Times New Roman"/>
          <w:vertAlign w:val="subscript"/>
        </w:rPr>
        <w:t>3</w:t>
      </w:r>
      <w:r w:rsidRPr="00060945">
        <w:rPr>
          <w:rFonts w:ascii="Times New Roman" w:hAnsi="Times New Roman" w:cs="Times New Roman"/>
        </w:rPr>
        <w:t xml:space="preserve"> + b</w:t>
      </w:r>
      <w:r w:rsidRPr="00060945">
        <w:rPr>
          <w:rFonts w:ascii="Times New Roman" w:hAnsi="Times New Roman" w:cs="Times New Roman"/>
          <w:vertAlign w:val="subscript"/>
        </w:rPr>
        <w:t>4</w:t>
      </w:r>
      <w:r w:rsidRPr="00060945">
        <w:rPr>
          <w:rFonts w:ascii="Times New Roman" w:hAnsi="Times New Roman" w:cs="Times New Roman"/>
        </w:rPr>
        <w:t>X</w:t>
      </w:r>
      <w:r w:rsidRPr="00060945">
        <w:rPr>
          <w:rFonts w:ascii="Times New Roman" w:hAnsi="Times New Roman" w:cs="Times New Roman"/>
          <w:vertAlign w:val="subscript"/>
        </w:rPr>
        <w:t>4</w:t>
      </w:r>
      <w:r w:rsidRPr="00060945">
        <w:rPr>
          <w:rFonts w:ascii="Times New Roman" w:hAnsi="Times New Roman" w:cs="Times New Roman"/>
        </w:rPr>
        <w:t xml:space="preserve"> + b</w:t>
      </w:r>
      <w:r w:rsidRPr="00060945">
        <w:rPr>
          <w:rFonts w:ascii="Times New Roman" w:hAnsi="Times New Roman" w:cs="Times New Roman"/>
          <w:vertAlign w:val="subscript"/>
        </w:rPr>
        <w:t>5</w:t>
      </w:r>
      <w:r w:rsidRPr="00060945">
        <w:rPr>
          <w:rFonts w:ascii="Times New Roman" w:hAnsi="Times New Roman" w:cs="Times New Roman"/>
        </w:rPr>
        <w:t>X</w:t>
      </w:r>
      <w:r w:rsidRPr="00060945">
        <w:rPr>
          <w:rFonts w:ascii="Times New Roman" w:hAnsi="Times New Roman" w:cs="Times New Roman"/>
          <w:vertAlign w:val="subscript"/>
        </w:rPr>
        <w:t>5</w:t>
      </w:r>
      <w:r w:rsidRPr="00060945">
        <w:rPr>
          <w:rFonts w:ascii="Times New Roman" w:hAnsi="Times New Roman" w:cs="Times New Roman"/>
        </w:rPr>
        <w:t xml:space="preserve"> </w:t>
      </w:r>
    </w:p>
    <w:p w14:paraId="4DB12665" w14:textId="77777777" w:rsidR="00602DF1" w:rsidRPr="00060945" w:rsidRDefault="00602DF1" w:rsidP="00714A45">
      <w:pPr>
        <w:spacing w:before="120" w:after="120" w:line="276" w:lineRule="auto"/>
        <w:jc w:val="center"/>
        <w:rPr>
          <w:rFonts w:ascii="Times New Roman" w:hAnsi="Times New Roman" w:cs="Times New Roman"/>
        </w:rPr>
      </w:pPr>
      <w:r w:rsidRPr="00060945">
        <w:rPr>
          <w:rFonts w:ascii="Times New Roman" w:hAnsi="Times New Roman" w:cs="Times New Roman"/>
        </w:rPr>
        <w:lastRenderedPageBreak/>
        <w:t>Y = 0</w:t>
      </w:r>
      <w:r w:rsidRPr="00060945">
        <w:rPr>
          <w:rFonts w:ascii="Times New Roman" w:hAnsi="Times New Roman" w:cs="Times New Roman"/>
          <w:color w:val="000000"/>
          <w:lang w:bidi="si-LK"/>
        </w:rPr>
        <w:t>.752</w:t>
      </w:r>
      <w:r w:rsidRPr="00060945">
        <w:rPr>
          <w:rFonts w:ascii="Times New Roman" w:hAnsi="Times New Roman" w:cs="Times New Roman"/>
        </w:rPr>
        <w:t xml:space="preserve"> </w:t>
      </w:r>
      <w:r w:rsidRPr="00060945">
        <w:rPr>
          <w:rFonts w:ascii="Times New Roman" w:hAnsi="Times New Roman" w:cs="Times New Roman"/>
          <w:color w:val="000000"/>
          <w:lang w:bidi="si-LK"/>
        </w:rPr>
        <w:t xml:space="preserve">-0.016A </w:t>
      </w:r>
      <w:r>
        <w:rPr>
          <w:rFonts w:ascii="Times New Roman" w:hAnsi="Times New Roman" w:cs="Times New Roman"/>
        </w:rPr>
        <w:t>+ 0</w:t>
      </w:r>
      <w:r w:rsidRPr="00060945">
        <w:rPr>
          <w:rFonts w:ascii="Times New Roman" w:hAnsi="Times New Roman" w:cs="Times New Roman"/>
          <w:color w:val="000000"/>
          <w:lang w:bidi="si-LK"/>
        </w:rPr>
        <w:t>.276</w:t>
      </w:r>
      <w:r>
        <w:rPr>
          <w:rFonts w:ascii="Times New Roman" w:hAnsi="Times New Roman" w:cs="Times New Roman"/>
        </w:rPr>
        <w:t>E + 0</w:t>
      </w:r>
      <w:r w:rsidRPr="00060945">
        <w:rPr>
          <w:rFonts w:ascii="Times New Roman" w:hAnsi="Times New Roman" w:cs="Times New Roman"/>
          <w:color w:val="000000"/>
          <w:lang w:bidi="si-LK"/>
        </w:rPr>
        <w:t>.068</w:t>
      </w:r>
      <w:r>
        <w:rPr>
          <w:rFonts w:ascii="Times New Roman" w:hAnsi="Times New Roman" w:cs="Times New Roman"/>
        </w:rPr>
        <w:t>P+ 0</w:t>
      </w:r>
      <w:r w:rsidRPr="00060945">
        <w:rPr>
          <w:rFonts w:ascii="Times New Roman" w:hAnsi="Times New Roman" w:cs="Times New Roman"/>
          <w:color w:val="000000"/>
          <w:lang w:bidi="si-LK"/>
        </w:rPr>
        <w:t>.222</w:t>
      </w:r>
      <w:r>
        <w:rPr>
          <w:rFonts w:ascii="Times New Roman" w:hAnsi="Times New Roman" w:cs="Times New Roman"/>
        </w:rPr>
        <w:t>M+ 0</w:t>
      </w:r>
      <w:r w:rsidRPr="00060945">
        <w:rPr>
          <w:rFonts w:ascii="Times New Roman" w:hAnsi="Times New Roman" w:cs="Times New Roman"/>
          <w:color w:val="000000"/>
          <w:lang w:bidi="si-LK"/>
        </w:rPr>
        <w:t>.113</w:t>
      </w:r>
      <w:r w:rsidRPr="00060945">
        <w:rPr>
          <w:rFonts w:ascii="Times New Roman" w:hAnsi="Times New Roman" w:cs="Times New Roman"/>
        </w:rPr>
        <w:t>L</w:t>
      </w:r>
    </w:p>
    <w:p w14:paraId="24AAB659" w14:textId="409AD5C3" w:rsidR="003969A5" w:rsidRDefault="003969A5" w:rsidP="00714A45">
      <w:pPr>
        <w:tabs>
          <w:tab w:val="left" w:pos="2865"/>
        </w:tabs>
        <w:spacing w:line="276" w:lineRule="auto"/>
        <w:jc w:val="both"/>
        <w:rPr>
          <w:rFonts w:ascii="Times New Roman" w:hAnsi="Times New Roman" w:cs="Times New Roman"/>
        </w:rPr>
      </w:pPr>
    </w:p>
    <w:p w14:paraId="55F0285C" w14:textId="77777777" w:rsidR="00747351" w:rsidRPr="007B6E74" w:rsidRDefault="00747351" w:rsidP="00714A45">
      <w:pPr>
        <w:pStyle w:val="ListParagraph"/>
        <w:numPr>
          <w:ilvl w:val="0"/>
          <w:numId w:val="2"/>
        </w:numPr>
        <w:tabs>
          <w:tab w:val="left" w:pos="2865"/>
        </w:tabs>
        <w:spacing w:line="276" w:lineRule="auto"/>
        <w:jc w:val="both"/>
        <w:rPr>
          <w:rFonts w:ascii="Times New Roman" w:hAnsi="Times New Roman" w:cs="Times New Roman"/>
          <w:b/>
          <w:bCs/>
        </w:rPr>
      </w:pPr>
      <w:r w:rsidRPr="007B6E74">
        <w:rPr>
          <w:rFonts w:ascii="Times New Roman" w:hAnsi="Times New Roman" w:cs="Times New Roman"/>
          <w:b/>
          <w:bCs/>
        </w:rPr>
        <w:t>Conclusion</w:t>
      </w:r>
    </w:p>
    <w:p w14:paraId="247F3B43" w14:textId="77777777" w:rsidR="00714A45" w:rsidRPr="00714A45" w:rsidRDefault="00714A45"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714A45">
        <w:rPr>
          <w:rFonts w:ascii="Times New Roman" w:eastAsia="Times New Roman" w:hAnsi="Times New Roman" w:cs="Times New Roman"/>
          <w:kern w:val="0"/>
          <w:lang w:bidi="si-LK"/>
          <w14:ligatures w14:val="none"/>
        </w:rPr>
        <w:t xml:space="preserve">This study provides a comprehensive analysis of the socio-economic and demographic factors influencing financial literacy among online banking customers in Sri Lanka, with particular focus on the </w:t>
      </w:r>
      <w:proofErr w:type="spellStart"/>
      <w:r w:rsidRPr="00714A45">
        <w:rPr>
          <w:rFonts w:ascii="Times New Roman" w:eastAsia="Times New Roman" w:hAnsi="Times New Roman" w:cs="Times New Roman"/>
          <w:kern w:val="0"/>
          <w:lang w:bidi="si-LK"/>
          <w14:ligatures w14:val="none"/>
        </w:rPr>
        <w:t>Balangoda</w:t>
      </w:r>
      <w:proofErr w:type="spellEnd"/>
      <w:r w:rsidRPr="00714A45">
        <w:rPr>
          <w:rFonts w:ascii="Times New Roman" w:eastAsia="Times New Roman" w:hAnsi="Times New Roman" w:cs="Times New Roman"/>
          <w:kern w:val="0"/>
          <w:lang w:bidi="si-LK"/>
          <w14:ligatures w14:val="none"/>
        </w:rPr>
        <w:t xml:space="preserve"> Divisional Secretariat Division. The findings reveal that education level, profession, monthly income level, and living area have a significant influence on financial literacy, while age demonstrates a negative relationship with financial literacy. In contrast, variables such as gender, civil status, and length of service were found to have no significant impact on financial literacy. These findings are consistent with previous studies that emphasize the strong association between financial literacy and factors such as education, income level, and occupational background (Lusardi &amp; Mitchell, 2008; Wagner, 2019).</w:t>
      </w:r>
    </w:p>
    <w:p w14:paraId="40114611" w14:textId="77777777" w:rsidR="00714A45" w:rsidRPr="00714A45" w:rsidRDefault="00714A45"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714A45">
        <w:rPr>
          <w:rFonts w:ascii="Times New Roman" w:eastAsia="Times New Roman" w:hAnsi="Times New Roman" w:cs="Times New Roman"/>
          <w:kern w:val="0"/>
          <w:lang w:bidi="si-LK"/>
          <w14:ligatures w14:val="none"/>
        </w:rPr>
        <w:t>The significant influence of education on financial literacy highlights the importance of incorporating financial education into formal academic curricula as well as workplace training programs (Mandell et al., 2008). Similarly, the positive relationship between income level and financial literacy suggests that individuals with higher income levels tend to have greater access to financial knowledge, financial products, and investment opportunities (Chen &amp; Volpe, 2002). The influence of profession on financial literacy further indicates the need for targeted financial education programs designed to address the specific financial knowledge requirements of different occupational groups (</w:t>
      </w:r>
      <w:proofErr w:type="spellStart"/>
      <w:r w:rsidRPr="00714A45">
        <w:rPr>
          <w:rFonts w:ascii="Times New Roman" w:eastAsia="Times New Roman" w:hAnsi="Times New Roman" w:cs="Times New Roman"/>
          <w:kern w:val="0"/>
          <w:lang w:bidi="si-LK"/>
          <w14:ligatures w14:val="none"/>
        </w:rPr>
        <w:t>Ansong</w:t>
      </w:r>
      <w:proofErr w:type="spellEnd"/>
      <w:r w:rsidRPr="00714A45">
        <w:rPr>
          <w:rFonts w:ascii="Times New Roman" w:eastAsia="Times New Roman" w:hAnsi="Times New Roman" w:cs="Times New Roman"/>
          <w:kern w:val="0"/>
          <w:lang w:bidi="si-LK"/>
          <w14:ligatures w14:val="none"/>
        </w:rPr>
        <w:t xml:space="preserve"> &amp; </w:t>
      </w:r>
      <w:proofErr w:type="spellStart"/>
      <w:r w:rsidRPr="00714A45">
        <w:rPr>
          <w:rFonts w:ascii="Times New Roman" w:eastAsia="Times New Roman" w:hAnsi="Times New Roman" w:cs="Times New Roman"/>
          <w:kern w:val="0"/>
          <w:lang w:bidi="si-LK"/>
          <w14:ligatures w14:val="none"/>
        </w:rPr>
        <w:t>Gyensare</w:t>
      </w:r>
      <w:proofErr w:type="spellEnd"/>
      <w:r w:rsidRPr="00714A45">
        <w:rPr>
          <w:rFonts w:ascii="Times New Roman" w:eastAsia="Times New Roman" w:hAnsi="Times New Roman" w:cs="Times New Roman"/>
          <w:kern w:val="0"/>
          <w:lang w:bidi="si-LK"/>
          <w14:ligatures w14:val="none"/>
        </w:rPr>
        <w:t xml:space="preserve">, 2012). Moreover, the variation in financial literacy based on living area supports previous findings that individuals residing in urban or semi-urban areas generally demonstrate higher levels of financial awareness due to greater exposure to financial services and educational resources (Mejia, </w:t>
      </w:r>
      <w:proofErr w:type="spellStart"/>
      <w:r w:rsidRPr="00714A45">
        <w:rPr>
          <w:rFonts w:ascii="Times New Roman" w:eastAsia="Times New Roman" w:hAnsi="Times New Roman" w:cs="Times New Roman"/>
          <w:kern w:val="0"/>
          <w:lang w:bidi="si-LK"/>
          <w14:ligatures w14:val="none"/>
        </w:rPr>
        <w:t>Mejía</w:t>
      </w:r>
      <w:proofErr w:type="spellEnd"/>
      <w:r w:rsidRPr="00714A45">
        <w:rPr>
          <w:rFonts w:ascii="Times New Roman" w:eastAsia="Times New Roman" w:hAnsi="Times New Roman" w:cs="Times New Roman"/>
          <w:kern w:val="0"/>
          <w:lang w:bidi="si-LK"/>
          <w14:ligatures w14:val="none"/>
        </w:rPr>
        <w:t xml:space="preserve">, &amp; </w:t>
      </w:r>
      <w:proofErr w:type="spellStart"/>
      <w:r w:rsidRPr="00714A45">
        <w:rPr>
          <w:rFonts w:ascii="Times New Roman" w:eastAsia="Times New Roman" w:hAnsi="Times New Roman" w:cs="Times New Roman"/>
          <w:kern w:val="0"/>
          <w:lang w:bidi="si-LK"/>
          <w14:ligatures w14:val="none"/>
        </w:rPr>
        <w:t>Córdova</w:t>
      </w:r>
      <w:proofErr w:type="spellEnd"/>
      <w:r w:rsidRPr="00714A45">
        <w:rPr>
          <w:rFonts w:ascii="Times New Roman" w:eastAsia="Times New Roman" w:hAnsi="Times New Roman" w:cs="Times New Roman"/>
          <w:kern w:val="0"/>
          <w:lang w:bidi="si-LK"/>
          <w14:ligatures w14:val="none"/>
        </w:rPr>
        <w:t>, 2023).</w:t>
      </w:r>
    </w:p>
    <w:p w14:paraId="71B9D403" w14:textId="77777777" w:rsidR="00714A45" w:rsidRDefault="00714A45"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714A45">
        <w:rPr>
          <w:rFonts w:ascii="Times New Roman" w:eastAsia="Times New Roman" w:hAnsi="Times New Roman" w:cs="Times New Roman"/>
          <w:kern w:val="0"/>
          <w:lang w:bidi="si-LK"/>
          <w14:ligatures w14:val="none"/>
        </w:rPr>
        <w:t>As online banking continues to expand and digital financial services become increasingly prevalent, improving financial literacy remains essential for enhancing financial inclusion, minimizing the risks associated with digital financial transactions, and supporting overall economic stability (OECD, 2018). Therefore, policymakers, financial institutions, and educational organizations should collaborate to develop and implement effective strategies aimed at strengthening financial literacy, particularly among vulnerable population groups. By addressing disparities in financial literacy, Sri Lanka can enhance the adoption of digital financial services and enable individuals to make informed financial decisions in an increasingly digital financial environment (</w:t>
      </w:r>
      <w:proofErr w:type="spellStart"/>
      <w:r w:rsidRPr="00714A45">
        <w:rPr>
          <w:rFonts w:ascii="Times New Roman" w:eastAsia="Times New Roman" w:hAnsi="Times New Roman" w:cs="Times New Roman"/>
          <w:kern w:val="0"/>
          <w:lang w:bidi="si-LK"/>
          <w14:ligatures w14:val="none"/>
        </w:rPr>
        <w:t>Gitnux</w:t>
      </w:r>
      <w:proofErr w:type="spellEnd"/>
      <w:r w:rsidRPr="00714A45">
        <w:rPr>
          <w:rFonts w:ascii="Times New Roman" w:eastAsia="Times New Roman" w:hAnsi="Times New Roman" w:cs="Times New Roman"/>
          <w:kern w:val="0"/>
          <w:lang w:bidi="si-LK"/>
          <w14:ligatures w14:val="none"/>
        </w:rPr>
        <w:t xml:space="preserve"> Marketdata Report, 2024).</w:t>
      </w:r>
    </w:p>
    <w:p w14:paraId="767344B1" w14:textId="77777777" w:rsidR="00ED6EAA" w:rsidRDefault="00ED6EAA"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p>
    <w:p w14:paraId="06CCC7A7" w14:textId="77777777" w:rsidR="00ED6EAA" w:rsidRPr="00ED6EAA" w:rsidRDefault="00ED6EAA" w:rsidP="00ED6EAA">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ED6EAA">
        <w:rPr>
          <w:rFonts w:ascii="Times New Roman" w:eastAsia="Times New Roman" w:hAnsi="Times New Roman" w:cs="Times New Roman"/>
          <w:kern w:val="0"/>
          <w:lang w:bidi="si-LK"/>
          <w14:ligatures w14:val="none"/>
        </w:rPr>
        <w:t>COMPETING INTERESTS DISCLAIMER:</w:t>
      </w:r>
    </w:p>
    <w:p w14:paraId="79140FC8" w14:textId="77777777" w:rsidR="00ED6EAA" w:rsidRPr="00ED6EAA" w:rsidRDefault="00ED6EAA" w:rsidP="00ED6EAA">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ED6EAA">
        <w:rPr>
          <w:rFonts w:ascii="Times New Roman" w:eastAsia="Times New Roman" w:hAnsi="Times New Roman" w:cs="Times New Roman"/>
          <w:kern w:val="0"/>
          <w:lang w:bidi="si-LK"/>
          <w14:ligatures w14:val="none"/>
        </w:rPr>
        <w:lastRenderedPageBreak/>
        <w:t>Authors have declared that they have no known competing financial interests OR non-financial interests OR personal relationships that could have appeared to influence the work reported in this paper.</w:t>
      </w:r>
    </w:p>
    <w:p w14:paraId="11AE5BC1" w14:textId="77777777" w:rsidR="00ED6EAA" w:rsidRPr="00ED6EAA" w:rsidRDefault="00ED6EAA" w:rsidP="00ED6EAA">
      <w:pPr>
        <w:spacing w:before="100" w:beforeAutospacing="1" w:after="100" w:afterAutospacing="1" w:line="276" w:lineRule="auto"/>
        <w:jc w:val="both"/>
        <w:rPr>
          <w:rFonts w:ascii="Times New Roman" w:eastAsia="Times New Roman" w:hAnsi="Times New Roman" w:cs="Times New Roman"/>
          <w:kern w:val="0"/>
          <w:lang w:bidi="si-LK"/>
          <w14:ligatures w14:val="none"/>
        </w:rPr>
      </w:pPr>
    </w:p>
    <w:p w14:paraId="2BB27D02" w14:textId="77777777" w:rsidR="00ED6EAA" w:rsidRPr="00714A45" w:rsidRDefault="00ED6EAA"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p>
    <w:p w14:paraId="7B9EAFD3" w14:textId="77777777" w:rsidR="00747351" w:rsidRDefault="00747351" w:rsidP="00714A45">
      <w:pPr>
        <w:tabs>
          <w:tab w:val="left" w:pos="2865"/>
        </w:tabs>
        <w:spacing w:line="276" w:lineRule="auto"/>
        <w:jc w:val="both"/>
        <w:rPr>
          <w:rFonts w:ascii="Times New Roman" w:hAnsi="Times New Roman" w:cs="Times New Roman"/>
        </w:rPr>
      </w:pPr>
    </w:p>
    <w:p w14:paraId="0157AFC5" w14:textId="159B115E" w:rsidR="00A643C9" w:rsidRPr="00B841DB" w:rsidRDefault="00A643C9" w:rsidP="00714A45">
      <w:pPr>
        <w:tabs>
          <w:tab w:val="left" w:pos="2865"/>
        </w:tabs>
        <w:spacing w:line="276" w:lineRule="auto"/>
        <w:jc w:val="both"/>
        <w:rPr>
          <w:rFonts w:ascii="Times New Roman" w:hAnsi="Times New Roman" w:cs="Times New Roman"/>
          <w:b/>
          <w:bCs/>
        </w:rPr>
      </w:pPr>
      <w:r w:rsidRPr="00B841DB">
        <w:rPr>
          <w:rFonts w:ascii="Times New Roman" w:hAnsi="Times New Roman" w:cs="Times New Roman"/>
          <w:b/>
          <w:bCs/>
        </w:rPr>
        <w:t>References</w:t>
      </w:r>
    </w:p>
    <w:p w14:paraId="2CF438FA" w14:textId="687019D1"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Agheniței</w:t>
      </w:r>
      <w:proofErr w:type="spellEnd"/>
      <w:r w:rsidRPr="00A643C9">
        <w:rPr>
          <w:rFonts w:ascii="Times New Roman" w:hAnsi="Times New Roman" w:cs="Times New Roman"/>
        </w:rPr>
        <w:t xml:space="preserve">, A., &amp; </w:t>
      </w:r>
      <w:proofErr w:type="spellStart"/>
      <w:r w:rsidRPr="00A643C9">
        <w:rPr>
          <w:rFonts w:ascii="Times New Roman" w:hAnsi="Times New Roman" w:cs="Times New Roman"/>
        </w:rPr>
        <w:t>Năstase</w:t>
      </w:r>
      <w:proofErr w:type="spellEnd"/>
      <w:r w:rsidRPr="00A643C9">
        <w:rPr>
          <w:rFonts w:ascii="Times New Roman" w:hAnsi="Times New Roman" w:cs="Times New Roman"/>
        </w:rPr>
        <w:t xml:space="preserve">, C. (2023). Financial literacy and employment: An overview and bibliometric analysis. </w:t>
      </w:r>
      <w:r w:rsidRPr="00A643C9">
        <w:rPr>
          <w:rFonts w:ascii="Times New Roman" w:hAnsi="Times New Roman" w:cs="Times New Roman"/>
          <w:i/>
          <w:iCs/>
        </w:rPr>
        <w:t>Journal of Financial Studies, 8</w:t>
      </w:r>
      <w:r w:rsidRPr="00A643C9">
        <w:rPr>
          <w:rFonts w:ascii="Times New Roman" w:hAnsi="Times New Roman" w:cs="Times New Roman"/>
        </w:rPr>
        <w:t xml:space="preserve">(Special), 129–150. </w:t>
      </w:r>
    </w:p>
    <w:p w14:paraId="303A878B" w14:textId="19EB33D3"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Amarasinghe</w:t>
      </w:r>
      <w:proofErr w:type="spellEnd"/>
      <w:r w:rsidRPr="00A643C9">
        <w:rPr>
          <w:rFonts w:ascii="Times New Roman" w:hAnsi="Times New Roman" w:cs="Times New Roman"/>
        </w:rPr>
        <w:t xml:space="preserve">, A. (2014). Online banking adoption in Sri Lanka: Trends and challenges. </w:t>
      </w:r>
      <w:r w:rsidRPr="00A643C9">
        <w:rPr>
          <w:rFonts w:ascii="Times New Roman" w:hAnsi="Times New Roman" w:cs="Times New Roman"/>
          <w:i/>
          <w:iCs/>
        </w:rPr>
        <w:t>Sri Lanka Journal of Banking &amp; Finance, 5</w:t>
      </w:r>
      <w:r w:rsidRPr="00A643C9">
        <w:rPr>
          <w:rFonts w:ascii="Times New Roman" w:hAnsi="Times New Roman" w:cs="Times New Roman"/>
        </w:rPr>
        <w:t>(1), 23–38.</w:t>
      </w:r>
    </w:p>
    <w:p w14:paraId="506EA63A" w14:textId="45CDC06A"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Ansong</w:t>
      </w:r>
      <w:proofErr w:type="spellEnd"/>
      <w:r w:rsidRPr="00A643C9">
        <w:rPr>
          <w:rFonts w:ascii="Times New Roman" w:hAnsi="Times New Roman" w:cs="Times New Roman"/>
        </w:rPr>
        <w:t xml:space="preserve">, A., &amp; </w:t>
      </w:r>
      <w:proofErr w:type="spellStart"/>
      <w:r w:rsidRPr="00A643C9">
        <w:rPr>
          <w:rFonts w:ascii="Times New Roman" w:hAnsi="Times New Roman" w:cs="Times New Roman"/>
        </w:rPr>
        <w:t>Gyensare</w:t>
      </w:r>
      <w:proofErr w:type="spellEnd"/>
      <w:r w:rsidRPr="00A643C9">
        <w:rPr>
          <w:rFonts w:ascii="Times New Roman" w:hAnsi="Times New Roman" w:cs="Times New Roman"/>
        </w:rPr>
        <w:t xml:space="preserve">, M. A. (2012). Determinants of financial literacy among university students in Ghana. </w:t>
      </w:r>
      <w:r w:rsidRPr="00A643C9">
        <w:rPr>
          <w:rFonts w:ascii="Times New Roman" w:hAnsi="Times New Roman" w:cs="Times New Roman"/>
          <w:i/>
          <w:iCs/>
        </w:rPr>
        <w:t>International Journal of Business and Social Science, 3</w:t>
      </w:r>
      <w:r w:rsidRPr="00A643C9">
        <w:rPr>
          <w:rFonts w:ascii="Times New Roman" w:hAnsi="Times New Roman" w:cs="Times New Roman"/>
        </w:rPr>
        <w:t>(14), 1–9.</w:t>
      </w:r>
    </w:p>
    <w:p w14:paraId="3FEBEAE4" w14:textId="5364D9DD"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Boolaky</w:t>
      </w:r>
      <w:proofErr w:type="spellEnd"/>
      <w:r w:rsidRPr="00A643C9">
        <w:rPr>
          <w:rFonts w:ascii="Times New Roman" w:hAnsi="Times New Roman" w:cs="Times New Roman"/>
        </w:rPr>
        <w:t xml:space="preserve">, A., </w:t>
      </w:r>
      <w:proofErr w:type="spellStart"/>
      <w:r w:rsidRPr="00A643C9">
        <w:rPr>
          <w:rFonts w:ascii="Times New Roman" w:hAnsi="Times New Roman" w:cs="Times New Roman"/>
        </w:rPr>
        <w:t>Mauree-Narrainen</w:t>
      </w:r>
      <w:proofErr w:type="spellEnd"/>
      <w:r w:rsidRPr="00A643C9">
        <w:rPr>
          <w:rFonts w:ascii="Times New Roman" w:hAnsi="Times New Roman" w:cs="Times New Roman"/>
        </w:rPr>
        <w:t xml:space="preserve">, D., &amp; </w:t>
      </w:r>
      <w:proofErr w:type="spellStart"/>
      <w:r w:rsidRPr="00A643C9">
        <w:rPr>
          <w:rFonts w:ascii="Times New Roman" w:hAnsi="Times New Roman" w:cs="Times New Roman"/>
        </w:rPr>
        <w:t>Padachi</w:t>
      </w:r>
      <w:proofErr w:type="spellEnd"/>
      <w:r w:rsidRPr="00A643C9">
        <w:rPr>
          <w:rFonts w:ascii="Times New Roman" w:hAnsi="Times New Roman" w:cs="Times New Roman"/>
        </w:rPr>
        <w:t xml:space="preserve">, K. (2021). Financial literacy of young professionals in the context of financial technology developments in Mauritius. </w:t>
      </w:r>
      <w:r w:rsidRPr="00A643C9">
        <w:rPr>
          <w:rFonts w:ascii="Times New Roman" w:hAnsi="Times New Roman" w:cs="Times New Roman"/>
          <w:i/>
          <w:iCs/>
        </w:rPr>
        <w:t>Journal of Social Economics Research, 8</w:t>
      </w:r>
      <w:r w:rsidRPr="00A643C9">
        <w:rPr>
          <w:rFonts w:ascii="Times New Roman" w:hAnsi="Times New Roman" w:cs="Times New Roman"/>
        </w:rPr>
        <w:t>(2), 119–134.</w:t>
      </w:r>
    </w:p>
    <w:p w14:paraId="589F1547" w14:textId="5B572E06"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Chen, H., &amp; Volpe, R. P. (1998). An analysis of personal financial literacy among college students. </w:t>
      </w:r>
      <w:r w:rsidRPr="00A643C9">
        <w:rPr>
          <w:rFonts w:ascii="Times New Roman" w:hAnsi="Times New Roman" w:cs="Times New Roman"/>
          <w:i/>
          <w:iCs/>
        </w:rPr>
        <w:t>Financial Services Review, 7</w:t>
      </w:r>
      <w:r w:rsidRPr="00A643C9">
        <w:rPr>
          <w:rFonts w:ascii="Times New Roman" w:hAnsi="Times New Roman" w:cs="Times New Roman"/>
        </w:rPr>
        <w:t>(2), 107–128.</w:t>
      </w:r>
    </w:p>
    <w:p w14:paraId="6A002692" w14:textId="61AF98F6"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Chen, H., &amp; Volpe, R. P. (2002). Gender differences in personal financial literacy among college students. </w:t>
      </w:r>
      <w:r w:rsidRPr="00A643C9">
        <w:rPr>
          <w:rFonts w:ascii="Times New Roman" w:hAnsi="Times New Roman" w:cs="Times New Roman"/>
          <w:i/>
          <w:iCs/>
        </w:rPr>
        <w:t>Financial Services Review, 11</w:t>
      </w:r>
      <w:r w:rsidRPr="00A643C9">
        <w:rPr>
          <w:rFonts w:ascii="Times New Roman" w:hAnsi="Times New Roman" w:cs="Times New Roman"/>
        </w:rPr>
        <w:t>(3), 289–307.</w:t>
      </w:r>
    </w:p>
    <w:p w14:paraId="22D4B0D1" w14:textId="3A96359A"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Gitnux</w:t>
      </w:r>
      <w:proofErr w:type="spellEnd"/>
      <w:r w:rsidRPr="00A643C9">
        <w:rPr>
          <w:rFonts w:ascii="Times New Roman" w:hAnsi="Times New Roman" w:cs="Times New Roman"/>
        </w:rPr>
        <w:t xml:space="preserve"> Marketdata Report. (2024). Global financial literacy trends and digital banking. </w:t>
      </w:r>
      <w:proofErr w:type="spellStart"/>
      <w:r w:rsidRPr="00A643C9">
        <w:rPr>
          <w:rFonts w:ascii="Times New Roman" w:hAnsi="Times New Roman" w:cs="Times New Roman"/>
          <w:i/>
          <w:iCs/>
        </w:rPr>
        <w:t>Gitnux</w:t>
      </w:r>
      <w:proofErr w:type="spellEnd"/>
      <w:r w:rsidRPr="00A643C9">
        <w:rPr>
          <w:rFonts w:ascii="Times New Roman" w:hAnsi="Times New Roman" w:cs="Times New Roman"/>
          <w:i/>
          <w:iCs/>
        </w:rPr>
        <w:t xml:space="preserve"> Reports</w:t>
      </w:r>
      <w:r w:rsidRPr="00A643C9">
        <w:rPr>
          <w:rFonts w:ascii="Times New Roman" w:hAnsi="Times New Roman" w:cs="Times New Roman"/>
        </w:rPr>
        <w:t>.</w:t>
      </w:r>
    </w:p>
    <w:p w14:paraId="54900C7A" w14:textId="35B03750"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Husain, F., Abdullah, M. N., &amp; Husain, N. (2011). The role of financial literacy in shaping online banking behavior. </w:t>
      </w:r>
      <w:r w:rsidRPr="00A643C9">
        <w:rPr>
          <w:rFonts w:ascii="Times New Roman" w:hAnsi="Times New Roman" w:cs="Times New Roman"/>
          <w:i/>
          <w:iCs/>
        </w:rPr>
        <w:t>Journal of Financial Research, 12</w:t>
      </w:r>
      <w:r w:rsidRPr="00A643C9">
        <w:rPr>
          <w:rFonts w:ascii="Times New Roman" w:hAnsi="Times New Roman" w:cs="Times New Roman"/>
        </w:rPr>
        <w:t>(4), 95–112.</w:t>
      </w:r>
    </w:p>
    <w:p w14:paraId="353B9A42" w14:textId="36AD8273"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Jegatheesparan</w:t>
      </w:r>
      <w:proofErr w:type="spellEnd"/>
      <w:r w:rsidRPr="00A643C9">
        <w:rPr>
          <w:rFonts w:ascii="Times New Roman" w:hAnsi="Times New Roman" w:cs="Times New Roman"/>
        </w:rPr>
        <w:t xml:space="preserve">, R., &amp; </w:t>
      </w:r>
      <w:proofErr w:type="spellStart"/>
      <w:r w:rsidRPr="00A643C9">
        <w:rPr>
          <w:rFonts w:ascii="Times New Roman" w:hAnsi="Times New Roman" w:cs="Times New Roman"/>
        </w:rPr>
        <w:t>Rajeshwaran</w:t>
      </w:r>
      <w:proofErr w:type="spellEnd"/>
      <w:r w:rsidRPr="00A643C9">
        <w:rPr>
          <w:rFonts w:ascii="Times New Roman" w:hAnsi="Times New Roman" w:cs="Times New Roman"/>
        </w:rPr>
        <w:t xml:space="preserve">, N. (2020). Digital banking in Sri Lanka: Adoption and challenges. </w:t>
      </w:r>
      <w:r w:rsidRPr="00A643C9">
        <w:rPr>
          <w:rFonts w:ascii="Times New Roman" w:hAnsi="Times New Roman" w:cs="Times New Roman"/>
          <w:i/>
          <w:iCs/>
        </w:rPr>
        <w:t>Colombo Journal of Finance, 10</w:t>
      </w:r>
      <w:r w:rsidRPr="00A643C9">
        <w:rPr>
          <w:rFonts w:ascii="Times New Roman" w:hAnsi="Times New Roman" w:cs="Times New Roman"/>
        </w:rPr>
        <w:t>(2), 45–62.</w:t>
      </w:r>
    </w:p>
    <w:p w14:paraId="4A99AC12" w14:textId="65B7C6F6"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Kheng, L. K., </w:t>
      </w:r>
      <w:proofErr w:type="spellStart"/>
      <w:r w:rsidRPr="00A643C9">
        <w:rPr>
          <w:rFonts w:ascii="Times New Roman" w:hAnsi="Times New Roman" w:cs="Times New Roman"/>
        </w:rPr>
        <w:t>Mah</w:t>
      </w:r>
      <w:proofErr w:type="spellEnd"/>
      <w:r w:rsidRPr="00A643C9">
        <w:rPr>
          <w:rFonts w:ascii="Times New Roman" w:hAnsi="Times New Roman" w:cs="Times New Roman"/>
        </w:rPr>
        <w:t xml:space="preserve">, S. Y., &amp; Tan, C. L. (2010). Financial literacy and online banking security concerns. </w:t>
      </w:r>
      <w:r w:rsidRPr="00A643C9">
        <w:rPr>
          <w:rFonts w:ascii="Times New Roman" w:hAnsi="Times New Roman" w:cs="Times New Roman"/>
          <w:i/>
          <w:iCs/>
        </w:rPr>
        <w:t>Asian Journal of Banking &amp; Finance, 6</w:t>
      </w:r>
      <w:r w:rsidRPr="00A643C9">
        <w:rPr>
          <w:rFonts w:ascii="Times New Roman" w:hAnsi="Times New Roman" w:cs="Times New Roman"/>
        </w:rPr>
        <w:t>(1), 35–49.</w:t>
      </w:r>
    </w:p>
    <w:p w14:paraId="046AFD11" w14:textId="1F819A55"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Lusardi, A., &amp; Mitchell, O. S. (2008). Planning and financial literacy: How do women fare? </w:t>
      </w:r>
      <w:r w:rsidRPr="00A643C9">
        <w:rPr>
          <w:rFonts w:ascii="Times New Roman" w:hAnsi="Times New Roman" w:cs="Times New Roman"/>
          <w:i/>
          <w:iCs/>
        </w:rPr>
        <w:t>American Economic Review, 98</w:t>
      </w:r>
      <w:r w:rsidRPr="00A643C9">
        <w:rPr>
          <w:rFonts w:ascii="Times New Roman" w:hAnsi="Times New Roman" w:cs="Times New Roman"/>
        </w:rPr>
        <w:t>(2), 413–417.</w:t>
      </w:r>
    </w:p>
    <w:p w14:paraId="177B3671" w14:textId="1B74BC7F"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lastRenderedPageBreak/>
        <w:t xml:space="preserve">Lusardi, A., &amp; Mitchell, O. S. (2011). Financial literacy and retirement planning: New evidence from the Rand American Life Panel. </w:t>
      </w:r>
      <w:r w:rsidRPr="00A643C9">
        <w:rPr>
          <w:rFonts w:ascii="Times New Roman" w:hAnsi="Times New Roman" w:cs="Times New Roman"/>
          <w:i/>
          <w:iCs/>
        </w:rPr>
        <w:t>National Bureau of Economic Research (NBER) Working Paper No. 17078.</w:t>
      </w:r>
      <w:r w:rsidRPr="00A643C9">
        <w:rPr>
          <w:rFonts w:ascii="Times New Roman" w:hAnsi="Times New Roman" w:cs="Times New Roman"/>
        </w:rPr>
        <w:t xml:space="preserve"> </w:t>
      </w:r>
    </w:p>
    <w:p w14:paraId="6CE4488B" w14:textId="7D6D8B31"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Mandell, L., &amp; Klein, L. S. (2008). The impact of financial literacy education on subsequent financial behavior. </w:t>
      </w:r>
      <w:r w:rsidRPr="00A643C9">
        <w:rPr>
          <w:rFonts w:ascii="Times New Roman" w:hAnsi="Times New Roman" w:cs="Times New Roman"/>
          <w:i/>
          <w:iCs/>
        </w:rPr>
        <w:t>Journal of Financial Counseling and Planning, 19</w:t>
      </w:r>
      <w:r w:rsidRPr="00A643C9">
        <w:rPr>
          <w:rFonts w:ascii="Times New Roman" w:hAnsi="Times New Roman" w:cs="Times New Roman"/>
        </w:rPr>
        <w:t>(1), 15–24.</w:t>
      </w:r>
    </w:p>
    <w:p w14:paraId="0CBFDEE1" w14:textId="1195CF06"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Marinov</w:t>
      </w:r>
      <w:proofErr w:type="spellEnd"/>
      <w:r w:rsidRPr="00A643C9">
        <w:rPr>
          <w:rFonts w:ascii="Times New Roman" w:hAnsi="Times New Roman" w:cs="Times New Roman"/>
        </w:rPr>
        <w:t xml:space="preserve">, M. (2023). Socioeconomic disparities in financial literacy: A global perspective. </w:t>
      </w:r>
      <w:r w:rsidRPr="00A643C9">
        <w:rPr>
          <w:rFonts w:ascii="Times New Roman" w:hAnsi="Times New Roman" w:cs="Times New Roman"/>
          <w:i/>
          <w:iCs/>
        </w:rPr>
        <w:t>Journal of Economic Studies, 20</w:t>
      </w:r>
      <w:r w:rsidRPr="00A643C9">
        <w:rPr>
          <w:rFonts w:ascii="Times New Roman" w:hAnsi="Times New Roman" w:cs="Times New Roman"/>
        </w:rPr>
        <w:t>(3), 215–230.</w:t>
      </w:r>
    </w:p>
    <w:p w14:paraId="37D6243F" w14:textId="586C3D5D"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Mejia, J., </w:t>
      </w:r>
      <w:proofErr w:type="spellStart"/>
      <w:r w:rsidRPr="00A643C9">
        <w:rPr>
          <w:rFonts w:ascii="Times New Roman" w:hAnsi="Times New Roman" w:cs="Times New Roman"/>
        </w:rPr>
        <w:t>Mejía</w:t>
      </w:r>
      <w:proofErr w:type="spellEnd"/>
      <w:r w:rsidRPr="00A643C9">
        <w:rPr>
          <w:rFonts w:ascii="Times New Roman" w:hAnsi="Times New Roman" w:cs="Times New Roman"/>
        </w:rPr>
        <w:t xml:space="preserve">, C., &amp; </w:t>
      </w:r>
      <w:proofErr w:type="spellStart"/>
      <w:r w:rsidRPr="00A643C9">
        <w:rPr>
          <w:rFonts w:ascii="Times New Roman" w:hAnsi="Times New Roman" w:cs="Times New Roman"/>
        </w:rPr>
        <w:t>Córdova</w:t>
      </w:r>
      <w:proofErr w:type="spellEnd"/>
      <w:r w:rsidRPr="00A643C9">
        <w:rPr>
          <w:rFonts w:ascii="Times New Roman" w:hAnsi="Times New Roman" w:cs="Times New Roman"/>
        </w:rPr>
        <w:t xml:space="preserve">, R. (2023). Rural-urban disparities in financial literacy: Evidence from Peru and Uruguay. </w:t>
      </w:r>
      <w:r w:rsidRPr="00A643C9">
        <w:rPr>
          <w:rFonts w:ascii="Times New Roman" w:hAnsi="Times New Roman" w:cs="Times New Roman"/>
          <w:i/>
          <w:iCs/>
        </w:rPr>
        <w:t>Journal of Development Economics, 28</w:t>
      </w:r>
      <w:r w:rsidRPr="00A643C9">
        <w:rPr>
          <w:rFonts w:ascii="Times New Roman" w:hAnsi="Times New Roman" w:cs="Times New Roman"/>
        </w:rPr>
        <w:t>(4), 302–319.</w:t>
      </w:r>
    </w:p>
    <w:p w14:paraId="2D395BCE" w14:textId="48453A25"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Mohta</w:t>
      </w:r>
      <w:proofErr w:type="spellEnd"/>
      <w:r w:rsidRPr="00A643C9">
        <w:rPr>
          <w:rFonts w:ascii="Times New Roman" w:hAnsi="Times New Roman" w:cs="Times New Roman"/>
        </w:rPr>
        <w:t xml:space="preserve">, A., &amp; </w:t>
      </w:r>
      <w:proofErr w:type="spellStart"/>
      <w:r w:rsidRPr="00A643C9">
        <w:rPr>
          <w:rFonts w:ascii="Times New Roman" w:hAnsi="Times New Roman" w:cs="Times New Roman"/>
        </w:rPr>
        <w:t>Shunmugasundaram</w:t>
      </w:r>
      <w:proofErr w:type="spellEnd"/>
      <w:r w:rsidRPr="00A643C9">
        <w:rPr>
          <w:rFonts w:ascii="Times New Roman" w:hAnsi="Times New Roman" w:cs="Times New Roman"/>
        </w:rPr>
        <w:t xml:space="preserve">, S. (2022). Gender differences in financial literacy: A study in Delhi-NCR. </w:t>
      </w:r>
      <w:r w:rsidRPr="00A643C9">
        <w:rPr>
          <w:rFonts w:ascii="Times New Roman" w:hAnsi="Times New Roman" w:cs="Times New Roman"/>
          <w:i/>
          <w:iCs/>
        </w:rPr>
        <w:t>Indian Journal of Economics &amp; Finance, 17</w:t>
      </w:r>
      <w:r w:rsidRPr="00A643C9">
        <w:rPr>
          <w:rFonts w:ascii="Times New Roman" w:hAnsi="Times New Roman" w:cs="Times New Roman"/>
        </w:rPr>
        <w:t>(2), 55–68.</w:t>
      </w:r>
    </w:p>
    <w:p w14:paraId="0C83BC4A" w14:textId="47FF5495"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OECD. (2018). OECD/INFE toolkit for measuring financial literacy and financial inclusion. </w:t>
      </w:r>
      <w:proofErr w:type="spellStart"/>
      <w:r w:rsidRPr="00A643C9">
        <w:rPr>
          <w:rFonts w:ascii="Times New Roman" w:hAnsi="Times New Roman" w:cs="Times New Roman"/>
          <w:i/>
          <w:iCs/>
        </w:rPr>
        <w:t>Organisation</w:t>
      </w:r>
      <w:proofErr w:type="spellEnd"/>
      <w:r w:rsidRPr="00A643C9">
        <w:rPr>
          <w:rFonts w:ascii="Times New Roman" w:hAnsi="Times New Roman" w:cs="Times New Roman"/>
          <w:i/>
          <w:iCs/>
        </w:rPr>
        <w:t xml:space="preserve"> for Economic Co-operation and Development</w:t>
      </w:r>
      <w:r w:rsidRPr="00A643C9">
        <w:rPr>
          <w:rFonts w:ascii="Times New Roman" w:hAnsi="Times New Roman" w:cs="Times New Roman"/>
        </w:rPr>
        <w:t>. https://www.oecd.org/finance/financial-education/</w:t>
      </w:r>
    </w:p>
    <w:p w14:paraId="34DB1D2E" w14:textId="48B2AC17"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Rooij</w:t>
      </w:r>
      <w:proofErr w:type="spellEnd"/>
      <w:r w:rsidRPr="00A643C9">
        <w:rPr>
          <w:rFonts w:ascii="Times New Roman" w:hAnsi="Times New Roman" w:cs="Times New Roman"/>
        </w:rPr>
        <w:t xml:space="preserve">, M. V. (2007). Financial literacy and stock market participation. </w:t>
      </w:r>
      <w:r w:rsidRPr="00A643C9">
        <w:rPr>
          <w:rFonts w:ascii="Times New Roman" w:hAnsi="Times New Roman" w:cs="Times New Roman"/>
          <w:i/>
          <w:iCs/>
        </w:rPr>
        <w:t>Journal of Financial Economics, 85</w:t>
      </w:r>
      <w:r w:rsidRPr="00A643C9">
        <w:rPr>
          <w:rFonts w:ascii="Times New Roman" w:hAnsi="Times New Roman" w:cs="Times New Roman"/>
        </w:rPr>
        <w:t>(3), 1023–1057.</w:t>
      </w:r>
    </w:p>
    <w:p w14:paraId="54FB2D53" w14:textId="78A13A11"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Ternullo</w:t>
      </w:r>
      <w:proofErr w:type="spellEnd"/>
      <w:r w:rsidRPr="00A643C9">
        <w:rPr>
          <w:rFonts w:ascii="Times New Roman" w:hAnsi="Times New Roman" w:cs="Times New Roman"/>
        </w:rPr>
        <w:t xml:space="preserve">, C. (1997). The evolution of online banking services. </w:t>
      </w:r>
      <w:r w:rsidRPr="00A643C9">
        <w:rPr>
          <w:rFonts w:ascii="Times New Roman" w:hAnsi="Times New Roman" w:cs="Times New Roman"/>
          <w:i/>
          <w:iCs/>
        </w:rPr>
        <w:t>Banking Technology Review, 12</w:t>
      </w:r>
      <w:r w:rsidRPr="00A643C9">
        <w:rPr>
          <w:rFonts w:ascii="Times New Roman" w:hAnsi="Times New Roman" w:cs="Times New Roman"/>
        </w:rPr>
        <w:t>(1), 25–38.</w:t>
      </w:r>
    </w:p>
    <w:p w14:paraId="4306AB29" w14:textId="1D223478"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Wagner, J. (2019). The impact of financial education on financial literacy and financial behavior. </w:t>
      </w:r>
      <w:r w:rsidRPr="00A643C9">
        <w:rPr>
          <w:rFonts w:ascii="Times New Roman" w:hAnsi="Times New Roman" w:cs="Times New Roman"/>
          <w:i/>
          <w:iCs/>
        </w:rPr>
        <w:t>Journal of Consumer Finance, 45</w:t>
      </w:r>
      <w:r w:rsidRPr="00A643C9">
        <w:rPr>
          <w:rFonts w:ascii="Times New Roman" w:hAnsi="Times New Roman" w:cs="Times New Roman"/>
        </w:rPr>
        <w:t>(2), 80–97.</w:t>
      </w:r>
    </w:p>
    <w:p w14:paraId="1047FB30" w14:textId="77777777" w:rsidR="00A643C9" w:rsidRPr="003969A5" w:rsidRDefault="00A643C9" w:rsidP="00714A45">
      <w:pPr>
        <w:tabs>
          <w:tab w:val="left" w:pos="2865"/>
        </w:tabs>
        <w:spacing w:line="276" w:lineRule="auto"/>
        <w:jc w:val="both"/>
        <w:rPr>
          <w:rFonts w:ascii="Times New Roman" w:hAnsi="Times New Roman" w:cs="Times New Roman"/>
        </w:rPr>
      </w:pPr>
    </w:p>
    <w:sectPr w:rsidR="00A643C9" w:rsidRPr="003969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FFF4B" w14:textId="77777777" w:rsidR="002A44BE" w:rsidRDefault="002A44BE" w:rsidP="00747351">
      <w:pPr>
        <w:spacing w:after="0" w:line="240" w:lineRule="auto"/>
      </w:pPr>
      <w:r>
        <w:separator/>
      </w:r>
    </w:p>
  </w:endnote>
  <w:endnote w:type="continuationSeparator" w:id="0">
    <w:p w14:paraId="1016C02A" w14:textId="77777777" w:rsidR="002A44BE" w:rsidRDefault="002A44BE" w:rsidP="00747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8C07" w14:textId="77777777" w:rsidR="00593372" w:rsidRDefault="00593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20A1" w14:textId="77777777" w:rsidR="00593372" w:rsidRDefault="00593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225A" w14:textId="77777777" w:rsidR="00593372" w:rsidRDefault="0059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4A9F6" w14:textId="77777777" w:rsidR="002A44BE" w:rsidRDefault="002A44BE" w:rsidP="00747351">
      <w:pPr>
        <w:spacing w:after="0" w:line="240" w:lineRule="auto"/>
      </w:pPr>
      <w:r>
        <w:separator/>
      </w:r>
    </w:p>
  </w:footnote>
  <w:footnote w:type="continuationSeparator" w:id="0">
    <w:p w14:paraId="072426F8" w14:textId="77777777" w:rsidR="002A44BE" w:rsidRDefault="002A44BE" w:rsidP="00747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5994" w14:textId="008C7FE8" w:rsidR="00593372" w:rsidRDefault="002A44BE">
    <w:pPr>
      <w:pStyle w:val="Header"/>
    </w:pPr>
    <w:r>
      <w:rPr>
        <w:noProof/>
      </w:rPr>
      <w:pict w14:anchorId="308BD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59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092B" w14:textId="30E46686" w:rsidR="00593372" w:rsidRDefault="002A44BE">
    <w:pPr>
      <w:pStyle w:val="Header"/>
    </w:pPr>
    <w:r>
      <w:rPr>
        <w:noProof/>
      </w:rPr>
      <w:pict w14:anchorId="6E18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59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215C" w14:textId="3EBB16DF" w:rsidR="00593372" w:rsidRDefault="002A44BE">
    <w:pPr>
      <w:pStyle w:val="Header"/>
    </w:pPr>
    <w:r>
      <w:rPr>
        <w:noProof/>
      </w:rPr>
      <w:pict w14:anchorId="19D94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59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355B"/>
    <w:multiLevelType w:val="multilevel"/>
    <w:tmpl w:val="1D4C3F98"/>
    <w:lvl w:ilvl="0">
      <w:start w:val="1"/>
      <w:numFmt w:val="decimalZero"/>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4005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9D661F"/>
    <w:multiLevelType w:val="hybridMultilevel"/>
    <w:tmpl w:val="5914ED0C"/>
    <w:lvl w:ilvl="0" w:tplc="69DA3D7E">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E40D2"/>
    <w:multiLevelType w:val="hybridMultilevel"/>
    <w:tmpl w:val="E5C2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924A8"/>
    <w:multiLevelType w:val="multilevel"/>
    <w:tmpl w:val="9BEE6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jMzMzc0N7QwMTRU0lEKTi0uzszPAykwqgUAE4KvWywAAAA="/>
  </w:docVars>
  <w:rsids>
    <w:rsidRoot w:val="00D07E94"/>
    <w:rsid w:val="000002EF"/>
    <w:rsid w:val="000A7DBF"/>
    <w:rsid w:val="000F2C8C"/>
    <w:rsid w:val="0010495C"/>
    <w:rsid w:val="00133CB6"/>
    <w:rsid w:val="001D16E0"/>
    <w:rsid w:val="00205EF3"/>
    <w:rsid w:val="00210340"/>
    <w:rsid w:val="002128FD"/>
    <w:rsid w:val="0021486C"/>
    <w:rsid w:val="00237945"/>
    <w:rsid w:val="002818C8"/>
    <w:rsid w:val="002821CD"/>
    <w:rsid w:val="002928B5"/>
    <w:rsid w:val="002A44BE"/>
    <w:rsid w:val="002D3199"/>
    <w:rsid w:val="002E7381"/>
    <w:rsid w:val="00311D29"/>
    <w:rsid w:val="003473BE"/>
    <w:rsid w:val="00372644"/>
    <w:rsid w:val="003969A5"/>
    <w:rsid w:val="003A393C"/>
    <w:rsid w:val="003F539C"/>
    <w:rsid w:val="00405D69"/>
    <w:rsid w:val="00414F85"/>
    <w:rsid w:val="004835EF"/>
    <w:rsid w:val="00491A3A"/>
    <w:rsid w:val="00496996"/>
    <w:rsid w:val="004A1532"/>
    <w:rsid w:val="004C4159"/>
    <w:rsid w:val="004D5E1F"/>
    <w:rsid w:val="00514074"/>
    <w:rsid w:val="0053765F"/>
    <w:rsid w:val="00583C97"/>
    <w:rsid w:val="00593372"/>
    <w:rsid w:val="005A5007"/>
    <w:rsid w:val="005A6C65"/>
    <w:rsid w:val="005C7FD8"/>
    <w:rsid w:val="00602DF1"/>
    <w:rsid w:val="00616487"/>
    <w:rsid w:val="00631AE6"/>
    <w:rsid w:val="00653DEE"/>
    <w:rsid w:val="00682CA1"/>
    <w:rsid w:val="006C2ADB"/>
    <w:rsid w:val="006E0429"/>
    <w:rsid w:val="00702E77"/>
    <w:rsid w:val="00713482"/>
    <w:rsid w:val="00713F25"/>
    <w:rsid w:val="00714A45"/>
    <w:rsid w:val="00730E56"/>
    <w:rsid w:val="00747351"/>
    <w:rsid w:val="00751154"/>
    <w:rsid w:val="007610A2"/>
    <w:rsid w:val="007B6E74"/>
    <w:rsid w:val="007F6851"/>
    <w:rsid w:val="0081645D"/>
    <w:rsid w:val="008345C5"/>
    <w:rsid w:val="00843F40"/>
    <w:rsid w:val="008707F1"/>
    <w:rsid w:val="00876634"/>
    <w:rsid w:val="00885652"/>
    <w:rsid w:val="008D54EB"/>
    <w:rsid w:val="0092078A"/>
    <w:rsid w:val="009347AE"/>
    <w:rsid w:val="00946713"/>
    <w:rsid w:val="0098395E"/>
    <w:rsid w:val="009A3F23"/>
    <w:rsid w:val="00A00C8E"/>
    <w:rsid w:val="00A42D23"/>
    <w:rsid w:val="00A643C9"/>
    <w:rsid w:val="00A8799C"/>
    <w:rsid w:val="00AA60A0"/>
    <w:rsid w:val="00AE7343"/>
    <w:rsid w:val="00B32F08"/>
    <w:rsid w:val="00B4185C"/>
    <w:rsid w:val="00B51D4E"/>
    <w:rsid w:val="00B57BE0"/>
    <w:rsid w:val="00B841DB"/>
    <w:rsid w:val="00BD1B81"/>
    <w:rsid w:val="00BF3D59"/>
    <w:rsid w:val="00BF60AF"/>
    <w:rsid w:val="00C06DD3"/>
    <w:rsid w:val="00C12638"/>
    <w:rsid w:val="00C66861"/>
    <w:rsid w:val="00D07E94"/>
    <w:rsid w:val="00D945E1"/>
    <w:rsid w:val="00DC475D"/>
    <w:rsid w:val="00DD546B"/>
    <w:rsid w:val="00E12CD0"/>
    <w:rsid w:val="00E63C4B"/>
    <w:rsid w:val="00EB01EA"/>
    <w:rsid w:val="00ED6EAA"/>
    <w:rsid w:val="00EE6F5D"/>
    <w:rsid w:val="00EF0827"/>
    <w:rsid w:val="00F060FC"/>
    <w:rsid w:val="00F773D5"/>
    <w:rsid w:val="00FB08D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DA5D5"/>
  <w15:chartTrackingRefBased/>
  <w15:docId w15:val="{C086F3CB-F150-4010-B8B0-827C90B5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E94"/>
  </w:style>
  <w:style w:type="paragraph" w:styleId="Heading1">
    <w:name w:val="heading 1"/>
    <w:basedOn w:val="Normal"/>
    <w:next w:val="Normal"/>
    <w:link w:val="Heading1Char"/>
    <w:uiPriority w:val="9"/>
    <w:qFormat/>
    <w:rsid w:val="00D07E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07E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07E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07E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07E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07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E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07E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07E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07E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07E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07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E94"/>
    <w:rPr>
      <w:rFonts w:eastAsiaTheme="majorEastAsia" w:cstheme="majorBidi"/>
      <w:color w:val="272727" w:themeColor="text1" w:themeTint="D8"/>
    </w:rPr>
  </w:style>
  <w:style w:type="paragraph" w:styleId="Title">
    <w:name w:val="Title"/>
    <w:basedOn w:val="Normal"/>
    <w:next w:val="Normal"/>
    <w:link w:val="TitleChar"/>
    <w:uiPriority w:val="10"/>
    <w:qFormat/>
    <w:rsid w:val="00D07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E94"/>
    <w:pPr>
      <w:spacing w:before="160"/>
      <w:jc w:val="center"/>
    </w:pPr>
    <w:rPr>
      <w:i/>
      <w:iCs/>
      <w:color w:val="404040" w:themeColor="text1" w:themeTint="BF"/>
    </w:rPr>
  </w:style>
  <w:style w:type="character" w:customStyle="1" w:styleId="QuoteChar">
    <w:name w:val="Quote Char"/>
    <w:basedOn w:val="DefaultParagraphFont"/>
    <w:link w:val="Quote"/>
    <w:uiPriority w:val="29"/>
    <w:rsid w:val="00D07E94"/>
    <w:rPr>
      <w:i/>
      <w:iCs/>
      <w:color w:val="404040" w:themeColor="text1" w:themeTint="BF"/>
    </w:rPr>
  </w:style>
  <w:style w:type="paragraph" w:styleId="ListParagraph">
    <w:name w:val="List Paragraph"/>
    <w:basedOn w:val="Normal"/>
    <w:uiPriority w:val="34"/>
    <w:qFormat/>
    <w:rsid w:val="00D07E94"/>
    <w:pPr>
      <w:ind w:left="720"/>
      <w:contextualSpacing/>
    </w:pPr>
  </w:style>
  <w:style w:type="character" w:styleId="IntenseEmphasis">
    <w:name w:val="Intense Emphasis"/>
    <w:basedOn w:val="DefaultParagraphFont"/>
    <w:uiPriority w:val="21"/>
    <w:qFormat/>
    <w:rsid w:val="00D07E94"/>
    <w:rPr>
      <w:i/>
      <w:iCs/>
      <w:color w:val="2E74B5" w:themeColor="accent1" w:themeShade="BF"/>
    </w:rPr>
  </w:style>
  <w:style w:type="paragraph" w:styleId="IntenseQuote">
    <w:name w:val="Intense Quote"/>
    <w:basedOn w:val="Normal"/>
    <w:next w:val="Normal"/>
    <w:link w:val="IntenseQuoteChar"/>
    <w:uiPriority w:val="30"/>
    <w:qFormat/>
    <w:rsid w:val="00D07E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07E94"/>
    <w:rPr>
      <w:i/>
      <w:iCs/>
      <w:color w:val="2E74B5" w:themeColor="accent1" w:themeShade="BF"/>
    </w:rPr>
  </w:style>
  <w:style w:type="character" w:styleId="IntenseReference">
    <w:name w:val="Intense Reference"/>
    <w:basedOn w:val="DefaultParagraphFont"/>
    <w:uiPriority w:val="32"/>
    <w:qFormat/>
    <w:rsid w:val="00D07E94"/>
    <w:rPr>
      <w:b/>
      <w:bCs/>
      <w:smallCaps/>
      <w:color w:val="2E74B5" w:themeColor="accent1" w:themeShade="BF"/>
      <w:spacing w:val="5"/>
    </w:rPr>
  </w:style>
  <w:style w:type="paragraph" w:styleId="NormalWeb">
    <w:name w:val="Normal (Web)"/>
    <w:basedOn w:val="Normal"/>
    <w:uiPriority w:val="99"/>
    <w:semiHidden/>
    <w:unhideWhenUsed/>
    <w:rsid w:val="00205EF3"/>
    <w:rPr>
      <w:rFonts w:ascii="Times New Roman" w:hAnsi="Times New Roman" w:cs="Times New Roman"/>
    </w:rPr>
  </w:style>
  <w:style w:type="paragraph" w:customStyle="1" w:styleId="Default">
    <w:name w:val="Default"/>
    <w:rsid w:val="00602DF1"/>
    <w:pPr>
      <w:autoSpaceDE w:val="0"/>
      <w:autoSpaceDN w:val="0"/>
      <w:adjustRightInd w:val="0"/>
      <w:spacing w:after="0" w:line="240" w:lineRule="auto"/>
    </w:pPr>
    <w:rPr>
      <w:rFonts w:ascii="Times New Roman" w:hAnsi="Times New Roman" w:cs="Times New Roman"/>
      <w:color w:val="000000"/>
      <w:kern w:val="0"/>
      <w:lang w:bidi="si-LK"/>
      <w14:ligatures w14:val="none"/>
    </w:rPr>
  </w:style>
  <w:style w:type="table" w:styleId="TableGrid">
    <w:name w:val="Table Grid"/>
    <w:basedOn w:val="TableNormal"/>
    <w:uiPriority w:val="39"/>
    <w:rsid w:val="0040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482"/>
    <w:rPr>
      <w:color w:val="666666"/>
    </w:rPr>
  </w:style>
  <w:style w:type="paragraph" w:styleId="Header">
    <w:name w:val="header"/>
    <w:basedOn w:val="Normal"/>
    <w:link w:val="HeaderChar"/>
    <w:uiPriority w:val="99"/>
    <w:unhideWhenUsed/>
    <w:rsid w:val="00747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351"/>
  </w:style>
  <w:style w:type="paragraph" w:styleId="Footer">
    <w:name w:val="footer"/>
    <w:basedOn w:val="Normal"/>
    <w:link w:val="FooterChar"/>
    <w:uiPriority w:val="99"/>
    <w:unhideWhenUsed/>
    <w:rsid w:val="00747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351"/>
  </w:style>
  <w:style w:type="character" w:customStyle="1" w:styleId="bzpyqfadein">
    <w:name w:val="bz_pyq_fadein"/>
    <w:basedOn w:val="DefaultParagraphFont"/>
    <w:rsid w:val="002928B5"/>
  </w:style>
  <w:style w:type="character" w:styleId="Hyperlink">
    <w:name w:val="Hyperlink"/>
    <w:basedOn w:val="DefaultParagraphFont"/>
    <w:uiPriority w:val="99"/>
    <w:unhideWhenUsed/>
    <w:rsid w:val="00ED6EAA"/>
    <w:rPr>
      <w:color w:val="0563C1" w:themeColor="hyperlink"/>
      <w:u w:val="single"/>
    </w:rPr>
  </w:style>
  <w:style w:type="character" w:styleId="UnresolvedMention">
    <w:name w:val="Unresolved Mention"/>
    <w:basedOn w:val="DefaultParagraphFont"/>
    <w:uiPriority w:val="99"/>
    <w:semiHidden/>
    <w:unhideWhenUsed/>
    <w:rsid w:val="00ED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3135">
      <w:bodyDiv w:val="1"/>
      <w:marLeft w:val="0"/>
      <w:marRight w:val="0"/>
      <w:marTop w:val="0"/>
      <w:marBottom w:val="0"/>
      <w:divBdr>
        <w:top w:val="none" w:sz="0" w:space="0" w:color="auto"/>
        <w:left w:val="none" w:sz="0" w:space="0" w:color="auto"/>
        <w:bottom w:val="none" w:sz="0" w:space="0" w:color="auto"/>
        <w:right w:val="none" w:sz="0" w:space="0" w:color="auto"/>
      </w:divBdr>
    </w:div>
    <w:div w:id="159974430">
      <w:bodyDiv w:val="1"/>
      <w:marLeft w:val="0"/>
      <w:marRight w:val="0"/>
      <w:marTop w:val="0"/>
      <w:marBottom w:val="0"/>
      <w:divBdr>
        <w:top w:val="none" w:sz="0" w:space="0" w:color="auto"/>
        <w:left w:val="none" w:sz="0" w:space="0" w:color="auto"/>
        <w:bottom w:val="none" w:sz="0" w:space="0" w:color="auto"/>
        <w:right w:val="none" w:sz="0" w:space="0" w:color="auto"/>
      </w:divBdr>
    </w:div>
    <w:div w:id="320696910">
      <w:bodyDiv w:val="1"/>
      <w:marLeft w:val="0"/>
      <w:marRight w:val="0"/>
      <w:marTop w:val="0"/>
      <w:marBottom w:val="0"/>
      <w:divBdr>
        <w:top w:val="none" w:sz="0" w:space="0" w:color="auto"/>
        <w:left w:val="none" w:sz="0" w:space="0" w:color="auto"/>
        <w:bottom w:val="none" w:sz="0" w:space="0" w:color="auto"/>
        <w:right w:val="none" w:sz="0" w:space="0" w:color="auto"/>
      </w:divBdr>
    </w:div>
    <w:div w:id="426926289">
      <w:bodyDiv w:val="1"/>
      <w:marLeft w:val="0"/>
      <w:marRight w:val="0"/>
      <w:marTop w:val="0"/>
      <w:marBottom w:val="0"/>
      <w:divBdr>
        <w:top w:val="none" w:sz="0" w:space="0" w:color="auto"/>
        <w:left w:val="none" w:sz="0" w:space="0" w:color="auto"/>
        <w:bottom w:val="none" w:sz="0" w:space="0" w:color="auto"/>
        <w:right w:val="none" w:sz="0" w:space="0" w:color="auto"/>
      </w:divBdr>
    </w:div>
    <w:div w:id="465860003">
      <w:bodyDiv w:val="1"/>
      <w:marLeft w:val="0"/>
      <w:marRight w:val="0"/>
      <w:marTop w:val="0"/>
      <w:marBottom w:val="0"/>
      <w:divBdr>
        <w:top w:val="none" w:sz="0" w:space="0" w:color="auto"/>
        <w:left w:val="none" w:sz="0" w:space="0" w:color="auto"/>
        <w:bottom w:val="none" w:sz="0" w:space="0" w:color="auto"/>
        <w:right w:val="none" w:sz="0" w:space="0" w:color="auto"/>
      </w:divBdr>
    </w:div>
    <w:div w:id="548613908">
      <w:bodyDiv w:val="1"/>
      <w:marLeft w:val="0"/>
      <w:marRight w:val="0"/>
      <w:marTop w:val="0"/>
      <w:marBottom w:val="0"/>
      <w:divBdr>
        <w:top w:val="none" w:sz="0" w:space="0" w:color="auto"/>
        <w:left w:val="none" w:sz="0" w:space="0" w:color="auto"/>
        <w:bottom w:val="none" w:sz="0" w:space="0" w:color="auto"/>
        <w:right w:val="none" w:sz="0" w:space="0" w:color="auto"/>
      </w:divBdr>
    </w:div>
    <w:div w:id="698044677">
      <w:bodyDiv w:val="1"/>
      <w:marLeft w:val="0"/>
      <w:marRight w:val="0"/>
      <w:marTop w:val="0"/>
      <w:marBottom w:val="0"/>
      <w:divBdr>
        <w:top w:val="none" w:sz="0" w:space="0" w:color="auto"/>
        <w:left w:val="none" w:sz="0" w:space="0" w:color="auto"/>
        <w:bottom w:val="none" w:sz="0" w:space="0" w:color="auto"/>
        <w:right w:val="none" w:sz="0" w:space="0" w:color="auto"/>
      </w:divBdr>
    </w:div>
    <w:div w:id="760880046">
      <w:bodyDiv w:val="1"/>
      <w:marLeft w:val="0"/>
      <w:marRight w:val="0"/>
      <w:marTop w:val="0"/>
      <w:marBottom w:val="0"/>
      <w:divBdr>
        <w:top w:val="none" w:sz="0" w:space="0" w:color="auto"/>
        <w:left w:val="none" w:sz="0" w:space="0" w:color="auto"/>
        <w:bottom w:val="none" w:sz="0" w:space="0" w:color="auto"/>
        <w:right w:val="none" w:sz="0" w:space="0" w:color="auto"/>
      </w:divBdr>
    </w:div>
    <w:div w:id="761098813">
      <w:bodyDiv w:val="1"/>
      <w:marLeft w:val="0"/>
      <w:marRight w:val="0"/>
      <w:marTop w:val="0"/>
      <w:marBottom w:val="0"/>
      <w:divBdr>
        <w:top w:val="none" w:sz="0" w:space="0" w:color="auto"/>
        <w:left w:val="none" w:sz="0" w:space="0" w:color="auto"/>
        <w:bottom w:val="none" w:sz="0" w:space="0" w:color="auto"/>
        <w:right w:val="none" w:sz="0" w:space="0" w:color="auto"/>
      </w:divBdr>
    </w:div>
    <w:div w:id="951740900">
      <w:bodyDiv w:val="1"/>
      <w:marLeft w:val="0"/>
      <w:marRight w:val="0"/>
      <w:marTop w:val="0"/>
      <w:marBottom w:val="0"/>
      <w:divBdr>
        <w:top w:val="none" w:sz="0" w:space="0" w:color="auto"/>
        <w:left w:val="none" w:sz="0" w:space="0" w:color="auto"/>
        <w:bottom w:val="none" w:sz="0" w:space="0" w:color="auto"/>
        <w:right w:val="none" w:sz="0" w:space="0" w:color="auto"/>
      </w:divBdr>
    </w:div>
    <w:div w:id="1344472971">
      <w:bodyDiv w:val="1"/>
      <w:marLeft w:val="0"/>
      <w:marRight w:val="0"/>
      <w:marTop w:val="0"/>
      <w:marBottom w:val="0"/>
      <w:divBdr>
        <w:top w:val="none" w:sz="0" w:space="0" w:color="auto"/>
        <w:left w:val="none" w:sz="0" w:space="0" w:color="auto"/>
        <w:bottom w:val="none" w:sz="0" w:space="0" w:color="auto"/>
        <w:right w:val="none" w:sz="0" w:space="0" w:color="auto"/>
      </w:divBdr>
    </w:div>
    <w:div w:id="1514802547">
      <w:bodyDiv w:val="1"/>
      <w:marLeft w:val="0"/>
      <w:marRight w:val="0"/>
      <w:marTop w:val="0"/>
      <w:marBottom w:val="0"/>
      <w:divBdr>
        <w:top w:val="none" w:sz="0" w:space="0" w:color="auto"/>
        <w:left w:val="none" w:sz="0" w:space="0" w:color="auto"/>
        <w:bottom w:val="none" w:sz="0" w:space="0" w:color="auto"/>
        <w:right w:val="none" w:sz="0" w:space="0" w:color="auto"/>
      </w:divBdr>
    </w:div>
    <w:div w:id="1527407613">
      <w:bodyDiv w:val="1"/>
      <w:marLeft w:val="0"/>
      <w:marRight w:val="0"/>
      <w:marTop w:val="0"/>
      <w:marBottom w:val="0"/>
      <w:divBdr>
        <w:top w:val="none" w:sz="0" w:space="0" w:color="auto"/>
        <w:left w:val="none" w:sz="0" w:space="0" w:color="auto"/>
        <w:bottom w:val="none" w:sz="0" w:space="0" w:color="auto"/>
        <w:right w:val="none" w:sz="0" w:space="0" w:color="auto"/>
      </w:divBdr>
    </w:div>
    <w:div w:id="1696418157">
      <w:bodyDiv w:val="1"/>
      <w:marLeft w:val="0"/>
      <w:marRight w:val="0"/>
      <w:marTop w:val="0"/>
      <w:marBottom w:val="0"/>
      <w:divBdr>
        <w:top w:val="none" w:sz="0" w:space="0" w:color="auto"/>
        <w:left w:val="none" w:sz="0" w:space="0" w:color="auto"/>
        <w:bottom w:val="none" w:sz="0" w:space="0" w:color="auto"/>
        <w:right w:val="none" w:sz="0" w:space="0" w:color="auto"/>
      </w:divBdr>
    </w:div>
    <w:div w:id="1698850671">
      <w:bodyDiv w:val="1"/>
      <w:marLeft w:val="0"/>
      <w:marRight w:val="0"/>
      <w:marTop w:val="0"/>
      <w:marBottom w:val="0"/>
      <w:divBdr>
        <w:top w:val="none" w:sz="0" w:space="0" w:color="auto"/>
        <w:left w:val="none" w:sz="0" w:space="0" w:color="auto"/>
        <w:bottom w:val="none" w:sz="0" w:space="0" w:color="auto"/>
        <w:right w:val="none" w:sz="0" w:space="0" w:color="auto"/>
      </w:divBdr>
    </w:div>
    <w:div w:id="1756197999">
      <w:bodyDiv w:val="1"/>
      <w:marLeft w:val="0"/>
      <w:marRight w:val="0"/>
      <w:marTop w:val="0"/>
      <w:marBottom w:val="0"/>
      <w:divBdr>
        <w:top w:val="none" w:sz="0" w:space="0" w:color="auto"/>
        <w:left w:val="none" w:sz="0" w:space="0" w:color="auto"/>
        <w:bottom w:val="none" w:sz="0" w:space="0" w:color="auto"/>
        <w:right w:val="none" w:sz="0" w:space="0" w:color="auto"/>
      </w:divBdr>
    </w:div>
    <w:div w:id="1823037130">
      <w:bodyDiv w:val="1"/>
      <w:marLeft w:val="0"/>
      <w:marRight w:val="0"/>
      <w:marTop w:val="0"/>
      <w:marBottom w:val="0"/>
      <w:divBdr>
        <w:top w:val="none" w:sz="0" w:space="0" w:color="auto"/>
        <w:left w:val="none" w:sz="0" w:space="0" w:color="auto"/>
        <w:bottom w:val="none" w:sz="0" w:space="0" w:color="auto"/>
        <w:right w:val="none" w:sz="0" w:space="0" w:color="auto"/>
      </w:divBdr>
    </w:div>
    <w:div w:id="1874614933">
      <w:bodyDiv w:val="1"/>
      <w:marLeft w:val="0"/>
      <w:marRight w:val="0"/>
      <w:marTop w:val="0"/>
      <w:marBottom w:val="0"/>
      <w:divBdr>
        <w:top w:val="none" w:sz="0" w:space="0" w:color="auto"/>
        <w:left w:val="none" w:sz="0" w:space="0" w:color="auto"/>
        <w:bottom w:val="none" w:sz="0" w:space="0" w:color="auto"/>
        <w:right w:val="none" w:sz="0" w:space="0" w:color="auto"/>
      </w:divBdr>
    </w:div>
    <w:div w:id="1956447414">
      <w:bodyDiv w:val="1"/>
      <w:marLeft w:val="0"/>
      <w:marRight w:val="0"/>
      <w:marTop w:val="0"/>
      <w:marBottom w:val="0"/>
      <w:divBdr>
        <w:top w:val="none" w:sz="0" w:space="0" w:color="auto"/>
        <w:left w:val="none" w:sz="0" w:space="0" w:color="auto"/>
        <w:bottom w:val="none" w:sz="0" w:space="0" w:color="auto"/>
        <w:right w:val="none" w:sz="0" w:space="0" w:color="auto"/>
      </w:divBdr>
    </w:div>
    <w:div w:id="1991671311">
      <w:bodyDiv w:val="1"/>
      <w:marLeft w:val="0"/>
      <w:marRight w:val="0"/>
      <w:marTop w:val="0"/>
      <w:marBottom w:val="0"/>
      <w:divBdr>
        <w:top w:val="none" w:sz="0" w:space="0" w:color="auto"/>
        <w:left w:val="none" w:sz="0" w:space="0" w:color="auto"/>
        <w:bottom w:val="none" w:sz="0" w:space="0" w:color="auto"/>
        <w:right w:val="none" w:sz="0" w:space="0" w:color="auto"/>
      </w:divBdr>
    </w:div>
    <w:div w:id="2016568667">
      <w:bodyDiv w:val="1"/>
      <w:marLeft w:val="0"/>
      <w:marRight w:val="0"/>
      <w:marTop w:val="0"/>
      <w:marBottom w:val="0"/>
      <w:divBdr>
        <w:top w:val="none" w:sz="0" w:space="0" w:color="auto"/>
        <w:left w:val="none" w:sz="0" w:space="0" w:color="auto"/>
        <w:bottom w:val="none" w:sz="0" w:space="0" w:color="auto"/>
        <w:right w:val="none" w:sz="0" w:space="0" w:color="auto"/>
      </w:divBdr>
    </w:div>
    <w:div w:id="2017729225">
      <w:bodyDiv w:val="1"/>
      <w:marLeft w:val="0"/>
      <w:marRight w:val="0"/>
      <w:marTop w:val="0"/>
      <w:marBottom w:val="0"/>
      <w:divBdr>
        <w:top w:val="none" w:sz="0" w:space="0" w:color="auto"/>
        <w:left w:val="none" w:sz="0" w:space="0" w:color="auto"/>
        <w:bottom w:val="none" w:sz="0" w:space="0" w:color="auto"/>
        <w:right w:val="none" w:sz="0" w:space="0" w:color="auto"/>
      </w:divBdr>
    </w:div>
    <w:div w:id="20406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15</Pages>
  <Words>5244</Words>
  <Characters>29893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Samadhi Abhisheka</dc:creator>
  <cp:keywords/>
  <dc:description/>
  <cp:lastModifiedBy>SDI 1166</cp:lastModifiedBy>
  <cp:revision>59</cp:revision>
  <dcterms:created xsi:type="dcterms:W3CDTF">2025-03-14T12:24:00Z</dcterms:created>
  <dcterms:modified xsi:type="dcterms:W3CDTF">2026-03-16T09:35:00Z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0b7b9294-4fb7-4794-acb1-1decf7bb132f</vt:lpwstr>
  </property>
</Properties>
</file>