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945E9" w14:textId="39E0F970" w:rsidR="00371544" w:rsidRPr="00684A3B" w:rsidRDefault="00684A3B" w:rsidP="00371544">
      <w:pPr>
        <w:jc w:val="center"/>
        <w:rPr>
          <w:b/>
          <w:bCs/>
          <w:sz w:val="28"/>
          <w:szCs w:val="28"/>
        </w:rPr>
      </w:pPr>
      <w:bookmarkStart w:id="0" w:name="_Hlk224297493"/>
      <w:r w:rsidRPr="00684A3B">
        <w:rPr>
          <w:b/>
          <w:bCs/>
          <w:sz w:val="28"/>
          <w:szCs w:val="28"/>
        </w:rPr>
        <w:t xml:space="preserve">Policy Credibility and Capital Flight: The Role of Monetary Policy </w:t>
      </w:r>
      <w:bookmarkEnd w:id="0"/>
      <w:r w:rsidRPr="00684A3B">
        <w:rPr>
          <w:b/>
          <w:bCs/>
          <w:sz w:val="28"/>
          <w:szCs w:val="28"/>
        </w:rPr>
        <w:t>Efficiency and External Debt in Developing Economies</w:t>
      </w:r>
    </w:p>
    <w:p w14:paraId="557098A1" w14:textId="696E33E2" w:rsidR="00D62D24" w:rsidRDefault="00D62D24" w:rsidP="00371544">
      <w:pPr>
        <w:rPr>
          <w:b/>
          <w:bCs/>
          <w:color w:val="000000"/>
          <w:sz w:val="28"/>
          <w:szCs w:val="28"/>
        </w:rPr>
      </w:pPr>
    </w:p>
    <w:p w14:paraId="124951EF" w14:textId="684FD232" w:rsidR="00D62D24" w:rsidRDefault="00D62D24">
      <w:pPr>
        <w:jc w:val="center"/>
        <w:rPr>
          <w:b/>
          <w:bCs/>
          <w:color w:val="000000"/>
        </w:rPr>
      </w:pPr>
    </w:p>
    <w:p w14:paraId="593FA9A5" w14:textId="7A5C04D7" w:rsidR="0070060A" w:rsidRDefault="0070060A">
      <w:pPr>
        <w:jc w:val="center"/>
        <w:rPr>
          <w:b/>
          <w:bCs/>
          <w:color w:val="000000"/>
        </w:rPr>
      </w:pPr>
    </w:p>
    <w:p w14:paraId="3732AD82" w14:textId="45FBB20A" w:rsidR="0070060A" w:rsidRDefault="0070060A">
      <w:pPr>
        <w:jc w:val="center"/>
        <w:rPr>
          <w:b/>
          <w:bCs/>
          <w:color w:val="000000"/>
        </w:rPr>
      </w:pPr>
    </w:p>
    <w:p w14:paraId="63E9FD2D" w14:textId="77777777" w:rsidR="00DC7DCF" w:rsidRDefault="00DC7DCF">
      <w:pPr>
        <w:jc w:val="center"/>
        <w:rPr>
          <w:b/>
          <w:bCs/>
          <w:color w:val="000000"/>
        </w:rPr>
      </w:pPr>
      <w:bookmarkStart w:id="1" w:name="_GoBack"/>
      <w:bookmarkEnd w:id="1"/>
    </w:p>
    <w:p w14:paraId="4D804B0F" w14:textId="1CD7480F" w:rsidR="00C20E53" w:rsidRPr="00691F10" w:rsidRDefault="00A6110A" w:rsidP="00691F10">
      <w:pPr>
        <w:rPr>
          <w:b/>
          <w:bCs/>
          <w:color w:val="000000"/>
        </w:rPr>
      </w:pPr>
      <w:r>
        <w:rPr>
          <w:b/>
          <w:bCs/>
          <w:color w:val="000000"/>
        </w:rPr>
        <w:t>Abstract</w:t>
      </w:r>
    </w:p>
    <w:p w14:paraId="03836EAB" w14:textId="77777777" w:rsidR="00F22583" w:rsidRDefault="00F22583" w:rsidP="00887437">
      <w:pPr>
        <w:pStyle w:val="NormalWeb"/>
        <w:jc w:val="both"/>
      </w:pPr>
      <w:r w:rsidRPr="00F22583">
        <w:t>The present study investigates the factors influencing capital flight in developing economies, with particular reference to monetary policy efficiency and external debt. By employing the Panel Mean Group (PMG) approach, which is based on the panel AutoRegressive Distributed Lag (ARDL) model, this study analyzes the short-run and long-run relationships between the variables for twelve developing economies over the sample period 2000 Q1 to 2023 Q4. This study utilizes quarterly panel data for twelve developing countries to investigate the short-run and long-run relationships between the variables of interest. The empirical results reveal that monetary policy efficiency has a significant negative effect on capital flight in the long run, thereby underscoring the significance of credible monetary policy for mitigating capital flight risk in developing economies. On the other hand, external debt has a significant positive effect on capital flight, thereby validating the debt-induced capital flight hypothesis. This study finds that capital control measures are effective in reducing capital flight risk, while trade openness enhances capital mobility. Exchange rate volatility does not have any long-run effect.</w:t>
      </w:r>
    </w:p>
    <w:p w14:paraId="34F68EB9" w14:textId="5A582B56" w:rsidR="00887437" w:rsidRDefault="00C20E53" w:rsidP="00887437">
      <w:pPr>
        <w:pStyle w:val="NormalWeb"/>
        <w:jc w:val="both"/>
      </w:pPr>
      <w:r>
        <w:rPr>
          <w:rStyle w:val="Strong"/>
        </w:rPr>
        <w:t>Keywords:</w:t>
      </w:r>
      <w:r>
        <w:t xml:space="preserve"> </w:t>
      </w:r>
      <w:r w:rsidR="002008A4">
        <w:t>Capital Flight; Monetary Policy Efficiency; External Debt; Capital Controls; Developing Economies</w:t>
      </w:r>
    </w:p>
    <w:p w14:paraId="1EF0DA1B" w14:textId="4C2D6E4C" w:rsidR="002008A4" w:rsidRPr="002008A4" w:rsidRDefault="002008A4" w:rsidP="00887437">
      <w:pPr>
        <w:pStyle w:val="NormalWeb"/>
        <w:jc w:val="both"/>
        <w:rPr>
          <w:b/>
          <w:bCs/>
        </w:rPr>
      </w:pPr>
      <w:r>
        <w:rPr>
          <w:rStyle w:val="Strong"/>
        </w:rPr>
        <w:t xml:space="preserve">JEL Classification: </w:t>
      </w:r>
      <w:r>
        <w:t>E52; F32; H63</w:t>
      </w:r>
    </w:p>
    <w:p w14:paraId="31ADF6B8" w14:textId="4C2DB68E" w:rsidR="00D62D24" w:rsidRPr="00371544" w:rsidRDefault="00D62D24" w:rsidP="00887437">
      <w:pPr>
        <w:pStyle w:val="NormalWeb"/>
        <w:jc w:val="both"/>
        <w:rPr>
          <w:rFonts w:eastAsia="SimSun"/>
          <w:lang w:val="en-GB" w:eastAsia="en-GB"/>
        </w:rPr>
      </w:pPr>
    </w:p>
    <w:p w14:paraId="79DECA88" w14:textId="77777777" w:rsidR="00D62D24" w:rsidRDefault="00D62D24">
      <w:pPr>
        <w:rPr>
          <w:color w:val="000000"/>
        </w:rPr>
      </w:pPr>
    </w:p>
    <w:p w14:paraId="10667212" w14:textId="286B26F4" w:rsidR="00000AA3" w:rsidRPr="000A14F1" w:rsidRDefault="00A6110A" w:rsidP="000A14F1">
      <w:pPr>
        <w:spacing w:line="360" w:lineRule="auto"/>
        <w:rPr>
          <w:b/>
          <w:bCs/>
          <w:color w:val="000000"/>
        </w:rPr>
      </w:pPr>
      <w:r>
        <w:rPr>
          <w:b/>
          <w:bCs/>
          <w:color w:val="000000"/>
        </w:rPr>
        <w:t>1. Introduction</w:t>
      </w:r>
    </w:p>
    <w:p w14:paraId="555217A2" w14:textId="2954B108" w:rsidR="004429D2" w:rsidRPr="004429D2" w:rsidRDefault="00F22583" w:rsidP="002268D0">
      <w:pPr>
        <w:pStyle w:val="p1"/>
        <w:adjustRightInd w:val="0"/>
        <w:snapToGrid w:val="0"/>
        <w:spacing w:before="0" w:beforeAutospacing="0" w:after="0" w:afterAutospacing="0" w:line="360" w:lineRule="auto"/>
        <w:ind w:firstLine="720"/>
        <w:jc w:val="both"/>
        <w:rPr>
          <w:color w:val="131615"/>
          <w:shd w:val="clear" w:color="auto" w:fill="FFFFFF"/>
        </w:rPr>
      </w:pPr>
      <w:r w:rsidRPr="00F22583">
        <w:rPr>
          <w:color w:val="131615"/>
          <w:shd w:val="clear" w:color="auto" w:fill="FFFFFF"/>
        </w:rPr>
        <w:t>Over the last three decades, the financial markets worldwide have become more integrated, and it has become relatively easier for capital to shift from one country to another</w:t>
      </w:r>
      <w:r w:rsidR="0049612A">
        <w:rPr>
          <w:color w:val="131615"/>
          <w:shd w:val="clear" w:color="auto" w:fill="FFFFFF"/>
        </w:rPr>
        <w:t xml:space="preserve"> </w:t>
      </w:r>
      <w:r w:rsidR="0049612A" w:rsidRPr="0049612A">
        <w:rPr>
          <w:color w:val="131615"/>
          <w:shd w:val="clear" w:color="auto" w:fill="FFFFFF"/>
        </w:rPr>
        <w:t>(</w:t>
      </w:r>
      <w:r w:rsidR="0049612A" w:rsidRPr="0049612A">
        <w:rPr>
          <w:color w:val="222222"/>
          <w:shd w:val="clear" w:color="auto" w:fill="FFFFFF"/>
        </w:rPr>
        <w:t>Haddad, 2023)</w:t>
      </w:r>
      <w:r w:rsidRPr="0049612A">
        <w:rPr>
          <w:color w:val="131615"/>
          <w:shd w:val="clear" w:color="auto" w:fill="FFFFFF"/>
        </w:rPr>
        <w:t>.</w:t>
      </w:r>
      <w:r w:rsidRPr="00F22583">
        <w:rPr>
          <w:color w:val="131615"/>
          <w:shd w:val="clear" w:color="auto" w:fill="FFFFFF"/>
        </w:rPr>
        <w:t xml:space="preserve"> In the case of developing economies, the role played by capital flows is two-fold. While they help finance investments and support growth when local savings are insufficient, they also tend to dry up and cause capital flight, thereby creating problems for financial markets, exchange rates, and growth</w:t>
      </w:r>
      <w:r w:rsidR="003D2D83">
        <w:rPr>
          <w:color w:val="131615"/>
          <w:shd w:val="clear" w:color="auto" w:fill="FFFFFF"/>
        </w:rPr>
        <w:t xml:space="preserve"> (Kaya et al., 2022; </w:t>
      </w:r>
      <w:proofErr w:type="spellStart"/>
      <w:r w:rsidR="003D2D83">
        <w:rPr>
          <w:color w:val="131615"/>
          <w:shd w:val="clear" w:color="auto" w:fill="FFFFFF"/>
        </w:rPr>
        <w:t>Suhendra</w:t>
      </w:r>
      <w:proofErr w:type="spellEnd"/>
      <w:r w:rsidR="003D2D83">
        <w:rPr>
          <w:color w:val="131615"/>
          <w:shd w:val="clear" w:color="auto" w:fill="FFFFFF"/>
        </w:rPr>
        <w:t xml:space="preserve"> et al., 2022)</w:t>
      </w:r>
      <w:r w:rsidRPr="00F22583">
        <w:rPr>
          <w:color w:val="131615"/>
          <w:shd w:val="clear" w:color="auto" w:fill="FFFFFF"/>
        </w:rPr>
        <w:t>. The concern for developing economies has been the drying up of capital flows, especially during critical times such as the 2008 financial crunch, the liquidity crunch faced by emerging economies during the mid-2010s, and the recent financial problems triggered by the COVID-19 pandemic</w:t>
      </w:r>
      <w:r w:rsidR="003D2D83">
        <w:rPr>
          <w:color w:val="131615"/>
          <w:shd w:val="clear" w:color="auto" w:fill="FFFFFF"/>
        </w:rPr>
        <w:t xml:space="preserve"> (Green, </w:t>
      </w:r>
      <w:r w:rsidR="002A1E71">
        <w:rPr>
          <w:color w:val="131615"/>
          <w:shd w:val="clear" w:color="auto" w:fill="FFFFFF"/>
        </w:rPr>
        <w:t>2023)</w:t>
      </w:r>
      <w:r w:rsidRPr="00F22583">
        <w:rPr>
          <w:color w:val="131615"/>
          <w:shd w:val="clear" w:color="auto" w:fill="FFFFFF"/>
        </w:rPr>
        <w:t>.</w:t>
      </w:r>
    </w:p>
    <w:p w14:paraId="3BA2292C" w14:textId="6B02AD75" w:rsidR="004429D2" w:rsidRPr="004429D2" w:rsidRDefault="00F22583" w:rsidP="002268D0">
      <w:pPr>
        <w:pStyle w:val="p1"/>
        <w:adjustRightInd w:val="0"/>
        <w:snapToGrid w:val="0"/>
        <w:spacing w:before="0" w:beforeAutospacing="0" w:after="0" w:afterAutospacing="0" w:line="360" w:lineRule="auto"/>
        <w:ind w:firstLine="720"/>
        <w:jc w:val="both"/>
        <w:rPr>
          <w:color w:val="131615"/>
          <w:shd w:val="clear" w:color="auto" w:fill="FFFFFF"/>
        </w:rPr>
      </w:pPr>
      <w:r w:rsidRPr="00F22583">
        <w:rPr>
          <w:color w:val="131615"/>
          <w:shd w:val="clear" w:color="auto" w:fill="FFFFFF"/>
        </w:rPr>
        <w:t>Extensive research has attempted to uncover the reasons behind this flight of capital from a country, but there is still one major question to be answered</w:t>
      </w:r>
      <w:r w:rsidR="002A1E71">
        <w:rPr>
          <w:color w:val="131615"/>
          <w:shd w:val="clear" w:color="auto" w:fill="FFFFFF"/>
        </w:rPr>
        <w:t xml:space="preserve"> (Wani, 2024)</w:t>
      </w:r>
      <w:r w:rsidRPr="00F22583">
        <w:rPr>
          <w:color w:val="131615"/>
          <w:shd w:val="clear" w:color="auto" w:fill="FFFFFF"/>
        </w:rPr>
        <w:t xml:space="preserve">. Most of this </w:t>
      </w:r>
      <w:r w:rsidRPr="00F22583">
        <w:rPr>
          <w:color w:val="131615"/>
          <w:shd w:val="clear" w:color="auto" w:fill="FFFFFF"/>
        </w:rPr>
        <w:lastRenderedPageBreak/>
        <w:t>research has shown capital flight to be related to macroeconomic uncertainty, which includes high rates of inflation, unstable exchange rates, political wobbliness, and differences in interest rates</w:t>
      </w:r>
      <w:r w:rsidR="002A1E71">
        <w:rPr>
          <w:color w:val="131615"/>
          <w:shd w:val="clear" w:color="auto" w:fill="FFFFFF"/>
        </w:rPr>
        <w:t xml:space="preserve"> (Zhang &amp; Chen, 2025)</w:t>
      </w:r>
      <w:r w:rsidRPr="00F22583">
        <w:rPr>
          <w:color w:val="131615"/>
          <w:shd w:val="clear" w:color="auto" w:fill="FFFFFF"/>
        </w:rPr>
        <w:t>. All of this seems to give us a rather accurate idea of the current economic scenario. But it is also important to note here that most of this research has assumed that investors react only to the underlying economics and not to the implementation of monetary policy in the country</w:t>
      </w:r>
      <w:r w:rsidR="002A1E71">
        <w:rPr>
          <w:color w:val="131615"/>
          <w:shd w:val="clear" w:color="auto" w:fill="FFFFFF"/>
        </w:rPr>
        <w:t xml:space="preserve"> </w:t>
      </w:r>
      <w:r w:rsidR="002A1E71" w:rsidRPr="002A1E71">
        <w:rPr>
          <w:color w:val="131615"/>
          <w:shd w:val="clear" w:color="auto" w:fill="FFFFFF"/>
        </w:rPr>
        <w:t>(</w:t>
      </w:r>
      <w:r w:rsidR="002A1E71" w:rsidRPr="002A1E71">
        <w:rPr>
          <w:color w:val="222222"/>
          <w:shd w:val="clear" w:color="auto" w:fill="FFFFFF"/>
        </w:rPr>
        <w:t xml:space="preserve">Kashyap &amp; </w:t>
      </w:r>
      <w:proofErr w:type="gramStart"/>
      <w:r w:rsidR="002A1E71" w:rsidRPr="002A1E71">
        <w:rPr>
          <w:color w:val="222222"/>
          <w:shd w:val="clear" w:color="auto" w:fill="FFFFFF"/>
        </w:rPr>
        <w:t>Stein,  2023</w:t>
      </w:r>
      <w:proofErr w:type="gramEnd"/>
      <w:r w:rsidR="002A1E71" w:rsidRPr="002A1E71">
        <w:rPr>
          <w:color w:val="222222"/>
          <w:shd w:val="clear" w:color="auto" w:fill="FFFFFF"/>
        </w:rPr>
        <w:t>)</w:t>
      </w:r>
      <w:r w:rsidRPr="002A1E71">
        <w:rPr>
          <w:color w:val="131615"/>
          <w:shd w:val="clear" w:color="auto" w:fill="FFFFFF"/>
        </w:rPr>
        <w:t>.</w:t>
      </w:r>
      <w:r w:rsidRPr="00F22583">
        <w:rPr>
          <w:color w:val="131615"/>
          <w:shd w:val="clear" w:color="auto" w:fill="FFFFFF"/>
        </w:rPr>
        <w:t xml:space="preserve"> It is therefore important to ask this major question regarding capital flight: can monetary policy success or failure impact capital flight in developing countries?</w:t>
      </w:r>
    </w:p>
    <w:p w14:paraId="74889A9B" w14:textId="78D18AA6" w:rsidR="004429D2" w:rsidRPr="004429D2" w:rsidRDefault="00F22583" w:rsidP="002268D0">
      <w:pPr>
        <w:pStyle w:val="p1"/>
        <w:adjustRightInd w:val="0"/>
        <w:snapToGrid w:val="0"/>
        <w:spacing w:before="0" w:beforeAutospacing="0" w:after="0" w:afterAutospacing="0" w:line="360" w:lineRule="auto"/>
        <w:ind w:firstLine="720"/>
        <w:jc w:val="both"/>
        <w:rPr>
          <w:color w:val="131615"/>
          <w:shd w:val="clear" w:color="auto" w:fill="FFFFFF"/>
        </w:rPr>
      </w:pPr>
      <w:r w:rsidRPr="00F22583">
        <w:rPr>
          <w:color w:val="131615"/>
          <w:shd w:val="clear" w:color="auto" w:fill="FFFFFF"/>
        </w:rPr>
        <w:t>Another structural factor influencing capital flight in the current environment is the rising external debt burden</w:t>
      </w:r>
      <w:r w:rsidR="00BC19CB">
        <w:rPr>
          <w:color w:val="131615"/>
          <w:shd w:val="clear" w:color="auto" w:fill="FFFFFF"/>
        </w:rPr>
        <w:t xml:space="preserve"> (Otieno et al., 2022)</w:t>
      </w:r>
      <w:r w:rsidRPr="00F22583">
        <w:rPr>
          <w:color w:val="131615"/>
          <w:shd w:val="clear" w:color="auto" w:fill="FFFFFF"/>
        </w:rPr>
        <w:t>. Some developing economies tend to rely more on borrowing from external sources to meet deficits and finance development programs</w:t>
      </w:r>
      <w:r w:rsidR="00BC19CB">
        <w:rPr>
          <w:color w:val="131615"/>
          <w:shd w:val="clear" w:color="auto" w:fill="FFFFFF"/>
        </w:rPr>
        <w:t xml:space="preserve"> (Anwar et al., 2022)</w:t>
      </w:r>
      <w:r w:rsidRPr="00F22583">
        <w:rPr>
          <w:color w:val="131615"/>
          <w:shd w:val="clear" w:color="auto" w:fill="FFFFFF"/>
        </w:rPr>
        <w:t>. Although external debt has the potential to enhance economic growth if managed well, excessive reliance on foreign borrowing might lead to macroeconomic instability if the sustainability of such debt is questionable</w:t>
      </w:r>
      <w:r w:rsidR="00BC19CB">
        <w:rPr>
          <w:color w:val="131615"/>
          <w:shd w:val="clear" w:color="auto" w:fill="FFFFFF"/>
        </w:rPr>
        <w:t xml:space="preserve"> (Manasseh et al., 2022)</w:t>
      </w:r>
      <w:r w:rsidRPr="00F22583">
        <w:rPr>
          <w:color w:val="131615"/>
          <w:shd w:val="clear" w:color="auto" w:fill="FFFFFF"/>
        </w:rPr>
        <w:t>. The theory of capital flight induced by external debt proposes the possibility that the rising external debt might lead investors to expect losses in their currencies, fiscal problems, or the imposition of capital taxes in the future, which could cause funds to be diverted abroad</w:t>
      </w:r>
      <w:r w:rsidR="00BC19CB">
        <w:rPr>
          <w:color w:val="131615"/>
          <w:shd w:val="clear" w:color="auto" w:fill="FFFFFF"/>
        </w:rPr>
        <w:t xml:space="preserve"> (Agyeman et al., 2022)</w:t>
      </w:r>
      <w:r w:rsidRPr="00F22583">
        <w:rPr>
          <w:color w:val="131615"/>
          <w:shd w:val="clear" w:color="auto" w:fill="FFFFFF"/>
        </w:rPr>
        <w:t>. Previous studies established the positive relationship between external debt and capital flight, but the results are inconsistent and fail to consider the policy environment in which these factors are experienced. For instance, little emphasis has been put on the monetary policy effectiveness and external debt risks.</w:t>
      </w:r>
    </w:p>
    <w:p w14:paraId="17F50276" w14:textId="1FF6B981" w:rsidR="004429D2" w:rsidRPr="004429D2" w:rsidRDefault="00F22583" w:rsidP="002268D0">
      <w:pPr>
        <w:pStyle w:val="p1"/>
        <w:adjustRightInd w:val="0"/>
        <w:snapToGrid w:val="0"/>
        <w:spacing w:before="0" w:beforeAutospacing="0" w:after="0" w:afterAutospacing="0" w:line="360" w:lineRule="auto"/>
        <w:ind w:firstLine="720"/>
        <w:jc w:val="both"/>
        <w:rPr>
          <w:color w:val="131615"/>
          <w:shd w:val="clear" w:color="auto" w:fill="FFFFFF"/>
        </w:rPr>
      </w:pPr>
      <w:r w:rsidRPr="00F22583">
        <w:rPr>
          <w:color w:val="131615"/>
          <w:shd w:val="clear" w:color="auto" w:fill="FFFFFF"/>
        </w:rPr>
        <w:t>The aim of this study is to fill this gap by focusing on monetary policy efficiency as the bridge between policymakers’ credibility and capital flight in developing economies</w:t>
      </w:r>
      <w:r w:rsidR="00BC19CB">
        <w:rPr>
          <w:color w:val="131615"/>
          <w:shd w:val="clear" w:color="auto" w:fill="FFFFFF"/>
        </w:rPr>
        <w:t xml:space="preserve"> (Anwar et al., 2022)</w:t>
      </w:r>
      <w:r w:rsidRPr="00F22583">
        <w:rPr>
          <w:color w:val="131615"/>
          <w:shd w:val="clear" w:color="auto" w:fill="FFFFFF"/>
        </w:rPr>
        <w:t>. Instead of relying on aggregate measures such as inflation or interest rates, this study proposes the use of a composite monetary policy efficiency index. This index measures the ability of policymakers to maintain stability in both inflation and output simultaneously</w:t>
      </w:r>
      <w:r w:rsidR="00BC19CB">
        <w:rPr>
          <w:color w:val="131615"/>
          <w:shd w:val="clear" w:color="auto" w:fill="FFFFFF"/>
        </w:rPr>
        <w:t xml:space="preserve"> </w:t>
      </w:r>
      <w:r w:rsidR="00BC19CB" w:rsidRPr="00BC19CB">
        <w:rPr>
          <w:color w:val="131615"/>
          <w:shd w:val="clear" w:color="auto" w:fill="FFFFFF"/>
        </w:rPr>
        <w:t>(</w:t>
      </w:r>
      <w:proofErr w:type="spellStart"/>
      <w:r w:rsidR="00BC19CB" w:rsidRPr="00BC19CB">
        <w:rPr>
          <w:color w:val="222222"/>
          <w:shd w:val="clear" w:color="auto" w:fill="FFFFFF"/>
        </w:rPr>
        <w:t>Purwanda</w:t>
      </w:r>
      <w:proofErr w:type="spellEnd"/>
      <w:r w:rsidR="00BC19CB" w:rsidRPr="00BC19CB">
        <w:rPr>
          <w:color w:val="222222"/>
          <w:shd w:val="clear" w:color="auto" w:fill="FFFFFF"/>
        </w:rPr>
        <w:t xml:space="preserve"> &amp; </w:t>
      </w:r>
      <w:proofErr w:type="spellStart"/>
      <w:r w:rsidR="00BC19CB" w:rsidRPr="00BC19CB">
        <w:rPr>
          <w:color w:val="222222"/>
          <w:shd w:val="clear" w:color="auto" w:fill="FFFFFF"/>
        </w:rPr>
        <w:t>Rochana</w:t>
      </w:r>
      <w:proofErr w:type="spellEnd"/>
      <w:r w:rsidR="00BC19CB" w:rsidRPr="00BC19CB">
        <w:rPr>
          <w:color w:val="222222"/>
          <w:shd w:val="clear" w:color="auto" w:fill="FFFFFF"/>
        </w:rPr>
        <w:t>, 2017)</w:t>
      </w:r>
      <w:r w:rsidRPr="00BC19CB">
        <w:rPr>
          <w:color w:val="131615"/>
          <w:shd w:val="clear" w:color="auto" w:fill="FFFFFF"/>
        </w:rPr>
        <w:t>.</w:t>
      </w:r>
      <w:r w:rsidRPr="00F22583">
        <w:rPr>
          <w:color w:val="131615"/>
          <w:shd w:val="clear" w:color="auto" w:fill="FFFFFF"/>
        </w:rPr>
        <w:t xml:space="preserve"> This study takes this analysis further by including this perception of policymakers’ credibility within the broader context of external debt, exchange-rate volatility, capital controls, and trade openness, to provide a comprehensive view of capital flight.</w:t>
      </w:r>
    </w:p>
    <w:p w14:paraId="7E7E1EBB" w14:textId="2F2FB2D9" w:rsidR="009C201B" w:rsidRDefault="000E2399" w:rsidP="002268D0">
      <w:pPr>
        <w:pStyle w:val="p1"/>
        <w:adjustRightInd w:val="0"/>
        <w:snapToGrid w:val="0"/>
        <w:spacing w:before="0" w:beforeAutospacing="0" w:after="0" w:afterAutospacing="0" w:line="360" w:lineRule="auto"/>
        <w:ind w:firstLine="720"/>
        <w:jc w:val="both"/>
        <w:rPr>
          <w:color w:val="131615"/>
          <w:shd w:val="clear" w:color="auto" w:fill="FFFFFF"/>
        </w:rPr>
      </w:pPr>
      <w:r w:rsidRPr="000E2399">
        <w:rPr>
          <w:color w:val="131615"/>
          <w:shd w:val="clear" w:color="auto" w:fill="FFFFFF"/>
        </w:rPr>
        <w:t xml:space="preserve">This paper offers new angles to the literature in several ways. First, it contributes to the literature on capital flight by incorporating monetary policy efficiency as a channel of credible macroeconomic policy, which has not received adequate treatment in the literature. Second, it offers new perspectives on the link between external debt and capital flight, showing that it is </w:t>
      </w:r>
      <w:r w:rsidRPr="000E2399">
        <w:rPr>
          <w:color w:val="131615"/>
          <w:shd w:val="clear" w:color="auto" w:fill="FFFFFF"/>
        </w:rPr>
        <w:lastRenderedPageBreak/>
        <w:t>related to policy credibility. Lastly, this paper applies quarterly data from twelve developing countries over the period 2000Q1-2023Q4 and utilizes the Panel Pooled Mean Group (PMG) model to distinguish between short- and long-run effects of capital flight. This approach is important in showing us not only how investors react structurally to macroeconomic shocks but also the long-run effects of capital flight. By incorporating policy credibility, external vulnerability, and structural openness into one model, this paper provides new angles on the impact of macroeconomic policies on capital flight in developing countries.</w:t>
      </w:r>
    </w:p>
    <w:p w14:paraId="16DE55E0" w14:textId="77777777" w:rsidR="000E2399" w:rsidRPr="00757FF1" w:rsidRDefault="000E2399" w:rsidP="00757FF1">
      <w:pPr>
        <w:pStyle w:val="p1"/>
        <w:adjustRightInd w:val="0"/>
        <w:snapToGrid w:val="0"/>
        <w:spacing w:before="0" w:beforeAutospacing="0" w:after="0" w:afterAutospacing="0" w:line="276" w:lineRule="auto"/>
        <w:ind w:firstLine="720"/>
        <w:jc w:val="both"/>
      </w:pPr>
    </w:p>
    <w:p w14:paraId="77E81981" w14:textId="05C79487" w:rsidR="00437213" w:rsidRPr="00630D08" w:rsidRDefault="00A6110A" w:rsidP="00630D08">
      <w:pPr>
        <w:spacing w:line="276" w:lineRule="auto"/>
        <w:rPr>
          <w:b/>
          <w:bCs/>
          <w:color w:val="000000"/>
        </w:rPr>
      </w:pPr>
      <w:r>
        <w:rPr>
          <w:b/>
          <w:bCs/>
          <w:color w:val="000000"/>
        </w:rPr>
        <w:t>2. Literature Review</w:t>
      </w:r>
    </w:p>
    <w:p w14:paraId="45D98CCE" w14:textId="77777777" w:rsidR="00630D08" w:rsidRDefault="00630D08" w:rsidP="00630D08">
      <w:pPr>
        <w:pStyle w:val="NormalWeb"/>
        <w:adjustRightInd w:val="0"/>
        <w:snapToGrid w:val="0"/>
        <w:spacing w:before="0" w:beforeAutospacing="0" w:after="0" w:afterAutospacing="0" w:line="360" w:lineRule="auto"/>
        <w:ind w:firstLine="720"/>
        <w:jc w:val="both"/>
        <w:rPr>
          <w:color w:val="131615"/>
          <w:shd w:val="clear" w:color="auto" w:fill="FFFFFF"/>
        </w:rPr>
      </w:pPr>
    </w:p>
    <w:p w14:paraId="25613DE6" w14:textId="26651FDC" w:rsidR="004429D2" w:rsidRDefault="00A93BCA" w:rsidP="002268D0">
      <w:pPr>
        <w:adjustRightInd w:val="0"/>
        <w:snapToGrid w:val="0"/>
        <w:spacing w:line="360" w:lineRule="auto"/>
        <w:ind w:firstLine="720"/>
        <w:jc w:val="both"/>
        <w:rPr>
          <w:color w:val="000000"/>
        </w:rPr>
      </w:pPr>
      <w:r w:rsidRPr="00A93BCA">
        <w:rPr>
          <w:color w:val="000000"/>
        </w:rPr>
        <w:t>Capital flight has traditionally represented one of the major macroeconomic barriers for developing countries. Generally speaking, it represents the large-scale flight of private capital from the host economy as a result of economic uncertainty and declining trust in the host economy (Cuddington, 1986; Collier et al., 2001). Developing countries are more vulnerable to this risk as their financial markets are less developed and their macroeconomic structures are more vulnerable</w:t>
      </w:r>
      <w:r w:rsidR="00972056">
        <w:rPr>
          <w:color w:val="000000"/>
        </w:rPr>
        <w:t xml:space="preserve"> (Anwar et al., 2025)</w:t>
      </w:r>
      <w:r w:rsidRPr="00A93BCA">
        <w:rPr>
          <w:color w:val="000000"/>
        </w:rPr>
        <w:t>. As such, they are more susceptible to changes in financial markets and conditions, which can cause significant capital flight as a result of even minor changes</w:t>
      </w:r>
      <w:r w:rsidR="00972056">
        <w:rPr>
          <w:color w:val="000000"/>
        </w:rPr>
        <w:t xml:space="preserve"> (</w:t>
      </w:r>
      <w:proofErr w:type="spellStart"/>
      <w:r w:rsidR="00972056">
        <w:rPr>
          <w:color w:val="000000"/>
        </w:rPr>
        <w:t>Mawutor</w:t>
      </w:r>
      <w:proofErr w:type="spellEnd"/>
      <w:r w:rsidR="00972056">
        <w:rPr>
          <w:color w:val="000000"/>
        </w:rPr>
        <w:t xml:space="preserve"> et al., 2022)</w:t>
      </w:r>
      <w:r w:rsidRPr="00A93BCA">
        <w:rPr>
          <w:color w:val="000000"/>
        </w:rPr>
        <w:t>.</w:t>
      </w:r>
    </w:p>
    <w:p w14:paraId="11F85813" w14:textId="77777777" w:rsidR="00A93BCA" w:rsidRPr="004429D2" w:rsidRDefault="00A93BCA" w:rsidP="002268D0">
      <w:pPr>
        <w:adjustRightInd w:val="0"/>
        <w:snapToGrid w:val="0"/>
        <w:spacing w:line="360" w:lineRule="auto"/>
        <w:ind w:firstLine="720"/>
        <w:jc w:val="both"/>
        <w:rPr>
          <w:color w:val="000000"/>
        </w:rPr>
      </w:pPr>
    </w:p>
    <w:p w14:paraId="224AC4B3" w14:textId="4477B883" w:rsidR="004429D2" w:rsidRPr="004429D2" w:rsidRDefault="00A93BCA" w:rsidP="002268D0">
      <w:pPr>
        <w:adjustRightInd w:val="0"/>
        <w:snapToGrid w:val="0"/>
        <w:spacing w:line="360" w:lineRule="auto"/>
        <w:ind w:firstLine="720"/>
        <w:jc w:val="both"/>
        <w:rPr>
          <w:color w:val="000000"/>
        </w:rPr>
      </w:pPr>
      <w:r w:rsidRPr="00A93BCA">
        <w:rPr>
          <w:color w:val="000000"/>
        </w:rPr>
        <w:t xml:space="preserve">In principle, it is possible to get a handle on capital flight by thinking in terms of how people manage their portfolios. People divide their wealth between home and foreign assets in pursuit of higher returns while at the same time trying to manage risk (Markowitz, 1952; </w:t>
      </w:r>
      <w:r w:rsidR="00625B84">
        <w:rPr>
          <w:color w:val="000000"/>
        </w:rPr>
        <w:t>Blay</w:t>
      </w:r>
      <w:r w:rsidRPr="00A93BCA">
        <w:rPr>
          <w:color w:val="000000"/>
        </w:rPr>
        <w:t>, 20</w:t>
      </w:r>
      <w:r w:rsidR="00625B84">
        <w:rPr>
          <w:color w:val="000000"/>
        </w:rPr>
        <w:t>2</w:t>
      </w:r>
      <w:r w:rsidRPr="00A93BCA">
        <w:rPr>
          <w:color w:val="000000"/>
        </w:rPr>
        <w:t xml:space="preserve">4). They constantly try to assess which of the assets appears more promising in different countries in terms of potential gains, stability of the economy, and credibility of policies. When things at home appear risky and uncertain, people tend to </w:t>
      </w:r>
      <w:proofErr w:type="spellStart"/>
      <w:r w:rsidRPr="00A93BCA">
        <w:rPr>
          <w:color w:val="000000"/>
        </w:rPr>
        <w:t>favor</w:t>
      </w:r>
      <w:proofErr w:type="spellEnd"/>
      <w:r w:rsidRPr="00A93BCA">
        <w:rPr>
          <w:color w:val="000000"/>
        </w:rPr>
        <w:t xml:space="preserve"> foreign assets and therefore induce capital flight out of the country. Therefore, capital flight can be seen as a reasonable response to actual and perceived macro-economic risks and diminishing confidence in home country policies</w:t>
      </w:r>
      <w:r w:rsidR="00FA683B">
        <w:rPr>
          <w:color w:val="000000"/>
        </w:rPr>
        <w:t xml:space="preserve"> </w:t>
      </w:r>
      <w:r w:rsidR="00FA683B" w:rsidRPr="00FA683B">
        <w:rPr>
          <w:color w:val="000000"/>
        </w:rPr>
        <w:t>(</w:t>
      </w:r>
      <w:r w:rsidR="00FA683B" w:rsidRPr="00FA683B">
        <w:rPr>
          <w:color w:val="222222"/>
          <w:shd w:val="clear" w:color="auto" w:fill="FFFFFF"/>
        </w:rPr>
        <w:t>Johnston &amp; Johnson, 2025</w:t>
      </w:r>
      <w:r w:rsidR="00FA683B" w:rsidRPr="00FA683B">
        <w:rPr>
          <w:color w:val="000000"/>
        </w:rPr>
        <w:t>)</w:t>
      </w:r>
      <w:r w:rsidRPr="00FA683B">
        <w:rPr>
          <w:color w:val="000000"/>
        </w:rPr>
        <w:t>.</w:t>
      </w:r>
    </w:p>
    <w:p w14:paraId="362E85D7" w14:textId="4F2AD6DF" w:rsidR="004429D2" w:rsidRDefault="00A93BCA" w:rsidP="002268D0">
      <w:pPr>
        <w:adjustRightInd w:val="0"/>
        <w:snapToGrid w:val="0"/>
        <w:spacing w:line="360" w:lineRule="auto"/>
        <w:ind w:firstLine="720"/>
        <w:jc w:val="both"/>
        <w:rPr>
          <w:color w:val="000000"/>
        </w:rPr>
      </w:pPr>
      <w:r w:rsidRPr="00A93BCA">
        <w:rPr>
          <w:color w:val="000000"/>
        </w:rPr>
        <w:t xml:space="preserve">A number of research works have specifically identified a number of factors that are responsible for capital flight. Factors such as inflation, fluctuations in exchange rates, differences in interest rates, and even political instability are constantly being linked to larger capital outflows (Ndikumana &amp; </w:t>
      </w:r>
      <w:proofErr w:type="spellStart"/>
      <w:r w:rsidRPr="00A93BCA">
        <w:rPr>
          <w:color w:val="000000"/>
        </w:rPr>
        <w:t>Sarr</w:t>
      </w:r>
      <w:proofErr w:type="spellEnd"/>
      <w:r w:rsidRPr="00A93BCA">
        <w:rPr>
          <w:color w:val="000000"/>
        </w:rPr>
        <w:t xml:space="preserve">, 2019; </w:t>
      </w:r>
      <w:proofErr w:type="spellStart"/>
      <w:r w:rsidRPr="00A93BCA">
        <w:rPr>
          <w:color w:val="000000"/>
        </w:rPr>
        <w:t>Egbulonu</w:t>
      </w:r>
      <w:proofErr w:type="spellEnd"/>
      <w:r w:rsidRPr="00A93BCA">
        <w:rPr>
          <w:color w:val="000000"/>
        </w:rPr>
        <w:t xml:space="preserve"> &amp; Bhattarai, 2022). For instance, fluctuations in exchange rates </w:t>
      </w:r>
      <w:proofErr w:type="spellStart"/>
      <w:r w:rsidRPr="00A93BCA">
        <w:rPr>
          <w:color w:val="000000"/>
        </w:rPr>
        <w:t>instill</w:t>
      </w:r>
      <w:proofErr w:type="spellEnd"/>
      <w:r w:rsidRPr="00A93BCA">
        <w:rPr>
          <w:color w:val="000000"/>
        </w:rPr>
        <w:t xml:space="preserve"> uncertainty about what assets held in a country would actually amount to in the future and thus lead to a flight of capital to safer shores. Similarly, </w:t>
      </w:r>
      <w:r w:rsidRPr="00A93BCA">
        <w:rPr>
          <w:color w:val="000000"/>
        </w:rPr>
        <w:lastRenderedPageBreak/>
        <w:t>inflation steadily erodes the value of investments held in a country</w:t>
      </w:r>
      <w:r w:rsidR="001E1A45">
        <w:rPr>
          <w:color w:val="000000"/>
        </w:rPr>
        <w:t xml:space="preserve"> </w:t>
      </w:r>
      <w:r w:rsidR="001E1A45" w:rsidRPr="001E1A45">
        <w:rPr>
          <w:color w:val="000000"/>
        </w:rPr>
        <w:t>(</w:t>
      </w:r>
      <w:r w:rsidR="001E1A45" w:rsidRPr="001E1A45">
        <w:rPr>
          <w:color w:val="222222"/>
          <w:shd w:val="clear" w:color="auto" w:fill="FFFFFF"/>
        </w:rPr>
        <w:t>Nazir &amp; Mir, 2025)</w:t>
      </w:r>
      <w:r w:rsidRPr="001E1A45">
        <w:rPr>
          <w:color w:val="000000"/>
        </w:rPr>
        <w:t xml:space="preserve">. </w:t>
      </w:r>
      <w:r w:rsidRPr="00A93BCA">
        <w:rPr>
          <w:color w:val="000000"/>
        </w:rPr>
        <w:t>Most of these research works, however, seem to concentrate on easily observable factors and policy measures, failing to capture the effectiveness of broader macroeconomic policy measures, especially monetary policy</w:t>
      </w:r>
      <w:r w:rsidR="006F37B0">
        <w:rPr>
          <w:color w:val="000000"/>
        </w:rPr>
        <w:t xml:space="preserve"> </w:t>
      </w:r>
      <w:r w:rsidR="006F37B0" w:rsidRPr="006F37B0">
        <w:rPr>
          <w:color w:val="000000"/>
        </w:rPr>
        <w:t>(</w:t>
      </w:r>
      <w:proofErr w:type="spellStart"/>
      <w:r w:rsidR="006F37B0" w:rsidRPr="006F37B0">
        <w:rPr>
          <w:color w:val="222222"/>
          <w:shd w:val="clear" w:color="auto" w:fill="FFFFFF"/>
        </w:rPr>
        <w:t>Boutfssi</w:t>
      </w:r>
      <w:proofErr w:type="spellEnd"/>
      <w:r w:rsidR="006F37B0" w:rsidRPr="006F37B0">
        <w:rPr>
          <w:color w:val="222222"/>
          <w:shd w:val="clear" w:color="auto" w:fill="FFFFFF"/>
        </w:rPr>
        <w:t>, A., &amp; Quamar, 2026)</w:t>
      </w:r>
      <w:r w:rsidRPr="006F37B0">
        <w:rPr>
          <w:color w:val="000000"/>
        </w:rPr>
        <w:t>.</w:t>
      </w:r>
    </w:p>
    <w:p w14:paraId="5CF4B680" w14:textId="77777777" w:rsidR="00A93BCA" w:rsidRPr="004429D2" w:rsidRDefault="00A93BCA" w:rsidP="002268D0">
      <w:pPr>
        <w:adjustRightInd w:val="0"/>
        <w:snapToGrid w:val="0"/>
        <w:spacing w:line="360" w:lineRule="auto"/>
        <w:ind w:firstLine="720"/>
        <w:jc w:val="both"/>
        <w:rPr>
          <w:color w:val="000000"/>
        </w:rPr>
      </w:pPr>
    </w:p>
    <w:p w14:paraId="481B779B" w14:textId="541D5050" w:rsidR="004429D2" w:rsidRDefault="00A93BCA" w:rsidP="002268D0">
      <w:pPr>
        <w:adjustRightInd w:val="0"/>
        <w:snapToGrid w:val="0"/>
        <w:spacing w:line="360" w:lineRule="auto"/>
        <w:ind w:firstLine="720"/>
        <w:jc w:val="both"/>
        <w:rPr>
          <w:color w:val="000000"/>
        </w:rPr>
      </w:pPr>
      <w:r w:rsidRPr="00A93BCA">
        <w:rPr>
          <w:color w:val="000000"/>
        </w:rPr>
        <w:t>Besides, external debt is also considered a significant contributor to capital flight. The concept of capital flight resulting from external debt posits that increasing external debt levels increase concerns about financial problems, currency collapse, or impending taxation, leading to capital flight as investors seek to invest in safer havens abroad (Boyce, 1992; Ndikumana &amp; Boyce, 2011). Most data indicate a positive correlation between external debt and capital flight in developing economies (</w:t>
      </w:r>
      <w:r w:rsidR="00DE58C4">
        <w:rPr>
          <w:color w:val="000000"/>
        </w:rPr>
        <w:t xml:space="preserve">Basher et al., 2023; Agyeman et al., 2022; </w:t>
      </w:r>
      <w:r w:rsidRPr="00A93BCA">
        <w:rPr>
          <w:color w:val="000000"/>
        </w:rPr>
        <w:t>Forson et al., 2017). Nevertheless, there is a lack of literature that considers external debt and macroeconomic policies as complementary concepts.</w:t>
      </w:r>
    </w:p>
    <w:p w14:paraId="48B9A8DA" w14:textId="77777777" w:rsidR="00A93BCA" w:rsidRPr="004429D2" w:rsidRDefault="00A93BCA" w:rsidP="002268D0">
      <w:pPr>
        <w:adjustRightInd w:val="0"/>
        <w:snapToGrid w:val="0"/>
        <w:spacing w:line="360" w:lineRule="auto"/>
        <w:ind w:firstLine="720"/>
        <w:jc w:val="both"/>
        <w:rPr>
          <w:color w:val="000000"/>
        </w:rPr>
      </w:pPr>
    </w:p>
    <w:p w14:paraId="75CC307C" w14:textId="046A7DFF" w:rsidR="00476A69" w:rsidRDefault="00A93BCA" w:rsidP="002268D0">
      <w:pPr>
        <w:adjustRightInd w:val="0"/>
        <w:snapToGrid w:val="0"/>
        <w:spacing w:line="360" w:lineRule="auto"/>
        <w:ind w:firstLine="720"/>
        <w:jc w:val="both"/>
        <w:rPr>
          <w:color w:val="000000"/>
        </w:rPr>
      </w:pPr>
      <w:r w:rsidRPr="00A93BCA">
        <w:rPr>
          <w:color w:val="000000"/>
        </w:rPr>
        <w:t xml:space="preserve">There are several gaps within the broader literature, too. First, monetary policy credibility tends to be </w:t>
      </w:r>
      <w:proofErr w:type="spellStart"/>
      <w:r w:rsidRPr="00A93BCA">
        <w:rPr>
          <w:color w:val="000000"/>
        </w:rPr>
        <w:t>analyzed</w:t>
      </w:r>
      <w:proofErr w:type="spellEnd"/>
      <w:r w:rsidRPr="00A93BCA">
        <w:rPr>
          <w:color w:val="000000"/>
        </w:rPr>
        <w:t xml:space="preserve"> in slices, such as inflation or interest rates, rather than looking at its comprehensive value for monetary policy effectiveness</w:t>
      </w:r>
      <w:r w:rsidR="006C31C2">
        <w:rPr>
          <w:color w:val="000000"/>
        </w:rPr>
        <w:t xml:space="preserve"> (Da Silva, 2024)</w:t>
      </w:r>
      <w:r w:rsidRPr="00A93BCA">
        <w:rPr>
          <w:color w:val="000000"/>
        </w:rPr>
        <w:t>. Second, there has been little empirical work done to explore the relationship between the effectiveness of monetary policy and the risk posed by external debt</w:t>
      </w:r>
      <w:r w:rsidR="006C31C2" w:rsidRPr="006C31C2">
        <w:rPr>
          <w:rFonts w:ascii="Arial" w:hAnsi="Arial" w:cs="Arial"/>
          <w:color w:val="222222"/>
          <w:sz w:val="20"/>
          <w:szCs w:val="20"/>
          <w:shd w:val="clear" w:color="auto" w:fill="FFFFFF"/>
        </w:rPr>
        <w:t xml:space="preserve"> </w:t>
      </w:r>
      <w:r w:rsidR="006C31C2" w:rsidRPr="006C31C2">
        <w:rPr>
          <w:color w:val="222222"/>
          <w:shd w:val="clear" w:color="auto" w:fill="FFFFFF"/>
        </w:rPr>
        <w:t>(</w:t>
      </w:r>
      <w:proofErr w:type="spellStart"/>
      <w:r w:rsidR="006C31C2" w:rsidRPr="006C31C2">
        <w:rPr>
          <w:color w:val="222222"/>
          <w:shd w:val="clear" w:color="auto" w:fill="FFFFFF"/>
        </w:rPr>
        <w:t>Rafie</w:t>
      </w:r>
      <w:proofErr w:type="spellEnd"/>
      <w:r w:rsidR="006C31C2" w:rsidRPr="006C31C2">
        <w:rPr>
          <w:color w:val="222222"/>
          <w:shd w:val="clear" w:color="auto" w:fill="FFFFFF"/>
        </w:rPr>
        <w:t xml:space="preserve"> &amp; </w:t>
      </w:r>
      <w:proofErr w:type="spellStart"/>
      <w:r w:rsidR="006C31C2" w:rsidRPr="006C31C2">
        <w:rPr>
          <w:color w:val="222222"/>
          <w:shd w:val="clear" w:color="auto" w:fill="FFFFFF"/>
        </w:rPr>
        <w:t>Lekhal</w:t>
      </w:r>
      <w:proofErr w:type="spellEnd"/>
      <w:r w:rsidR="006C31C2" w:rsidRPr="006C31C2">
        <w:rPr>
          <w:color w:val="222222"/>
          <w:shd w:val="clear" w:color="auto" w:fill="FFFFFF"/>
        </w:rPr>
        <w:t>, 2025)</w:t>
      </w:r>
      <w:r w:rsidR="006C31C2">
        <w:rPr>
          <w:rFonts w:ascii="Arial" w:hAnsi="Arial" w:cs="Arial"/>
          <w:color w:val="222222"/>
          <w:sz w:val="20"/>
          <w:szCs w:val="20"/>
          <w:shd w:val="clear" w:color="auto" w:fill="FFFFFF"/>
        </w:rPr>
        <w:t>.</w:t>
      </w:r>
      <w:r w:rsidRPr="00A93BCA">
        <w:rPr>
          <w:color w:val="000000"/>
        </w:rPr>
        <w:t xml:space="preserve"> Third, much of the literature has been based upon annual data, whereas this study has the advantage of using quarterly data, allowing for the short-term ripples to build into long-run capital flight, by bringing together monetary policy efficiency, external debt, and volatility within its empirical framework</w:t>
      </w:r>
      <w:r w:rsidR="006C31C2">
        <w:rPr>
          <w:color w:val="000000"/>
        </w:rPr>
        <w:t xml:space="preserve"> (Bauer et al., 2023)</w:t>
      </w:r>
      <w:r w:rsidRPr="00A93BCA">
        <w:rPr>
          <w:color w:val="000000"/>
        </w:rPr>
        <w:t>. By using data for twelve developing countries and applying a panel estimation technique, such as the Pooled Mean Group (PMG) estimation, it is possible to distinguish between short- and long-run dynamics.</w:t>
      </w:r>
    </w:p>
    <w:p w14:paraId="33AC134D" w14:textId="77777777" w:rsidR="002268D0" w:rsidRDefault="002268D0" w:rsidP="002268D0">
      <w:pPr>
        <w:adjustRightInd w:val="0"/>
        <w:snapToGrid w:val="0"/>
        <w:spacing w:line="360" w:lineRule="auto"/>
        <w:ind w:firstLine="720"/>
        <w:jc w:val="both"/>
        <w:rPr>
          <w:color w:val="000000"/>
        </w:rPr>
      </w:pPr>
    </w:p>
    <w:p w14:paraId="59B3CC8E" w14:textId="77777777" w:rsidR="002268D0" w:rsidRDefault="002268D0" w:rsidP="002268D0">
      <w:pPr>
        <w:adjustRightInd w:val="0"/>
        <w:snapToGrid w:val="0"/>
        <w:spacing w:line="360" w:lineRule="auto"/>
        <w:ind w:firstLine="720"/>
        <w:jc w:val="both"/>
        <w:rPr>
          <w:color w:val="000000"/>
        </w:rPr>
      </w:pPr>
    </w:p>
    <w:p w14:paraId="6780CCA5" w14:textId="77777777" w:rsidR="002268D0" w:rsidRDefault="002268D0" w:rsidP="002268D0">
      <w:pPr>
        <w:adjustRightInd w:val="0"/>
        <w:snapToGrid w:val="0"/>
        <w:spacing w:line="360" w:lineRule="auto"/>
        <w:ind w:firstLine="720"/>
        <w:jc w:val="both"/>
        <w:rPr>
          <w:color w:val="000000"/>
        </w:rPr>
      </w:pPr>
    </w:p>
    <w:p w14:paraId="20025C69" w14:textId="77777777" w:rsidR="002268D0" w:rsidRDefault="002268D0" w:rsidP="002268D0">
      <w:pPr>
        <w:adjustRightInd w:val="0"/>
        <w:snapToGrid w:val="0"/>
        <w:spacing w:line="360" w:lineRule="auto"/>
        <w:ind w:firstLine="720"/>
        <w:jc w:val="both"/>
        <w:rPr>
          <w:color w:val="000000"/>
        </w:rPr>
      </w:pPr>
    </w:p>
    <w:p w14:paraId="61D0B2F7" w14:textId="77777777" w:rsidR="00A93BCA" w:rsidRDefault="00A93BCA" w:rsidP="00926779">
      <w:pPr>
        <w:spacing w:line="360" w:lineRule="auto"/>
        <w:jc w:val="both"/>
        <w:rPr>
          <w:color w:val="000000"/>
        </w:rPr>
      </w:pPr>
    </w:p>
    <w:p w14:paraId="695F41F4" w14:textId="6C1495AE" w:rsidR="00D62D24" w:rsidRDefault="00A6110A">
      <w:pPr>
        <w:rPr>
          <w:b/>
          <w:bCs/>
          <w:color w:val="000000"/>
        </w:rPr>
      </w:pPr>
      <w:r>
        <w:rPr>
          <w:b/>
          <w:bCs/>
          <w:color w:val="000000"/>
        </w:rPr>
        <w:t xml:space="preserve">3. </w:t>
      </w:r>
      <w:r w:rsidR="00556FF8" w:rsidRPr="00556FF8">
        <w:rPr>
          <w:b/>
          <w:bCs/>
          <w:color w:val="000000"/>
        </w:rPr>
        <w:t>Data and Methodology</w:t>
      </w:r>
    </w:p>
    <w:p w14:paraId="06721199" w14:textId="77777777" w:rsidR="00D62D24" w:rsidRDefault="00D62D24">
      <w:pPr>
        <w:rPr>
          <w:b/>
          <w:bCs/>
          <w:color w:val="000000"/>
        </w:rPr>
      </w:pPr>
    </w:p>
    <w:p w14:paraId="236DBB78" w14:textId="2ABF33EC" w:rsidR="000A14F1" w:rsidRPr="00752AB6" w:rsidRDefault="00A6110A" w:rsidP="00752AB6">
      <w:pPr>
        <w:adjustRightInd w:val="0"/>
        <w:snapToGrid w:val="0"/>
        <w:spacing w:line="240" w:lineRule="atLeast"/>
        <w:ind w:firstLine="720"/>
        <w:jc w:val="both"/>
        <w:rPr>
          <w:b/>
          <w:bCs/>
          <w:color w:val="000000"/>
        </w:rPr>
      </w:pPr>
      <w:r>
        <w:rPr>
          <w:b/>
          <w:bCs/>
          <w:color w:val="000000"/>
        </w:rPr>
        <w:t>3</w:t>
      </w:r>
      <w:r w:rsidRPr="00752AB6">
        <w:rPr>
          <w:b/>
          <w:bCs/>
          <w:color w:val="000000"/>
        </w:rPr>
        <w:t xml:space="preserve">.1 Data </w:t>
      </w:r>
    </w:p>
    <w:p w14:paraId="553832DD" w14:textId="77777777" w:rsidR="00752AB6" w:rsidRPr="00752AB6" w:rsidRDefault="00752AB6" w:rsidP="00752AB6">
      <w:pPr>
        <w:adjustRightInd w:val="0"/>
        <w:snapToGrid w:val="0"/>
        <w:spacing w:line="240" w:lineRule="atLeast"/>
        <w:ind w:firstLine="720"/>
        <w:jc w:val="both"/>
      </w:pPr>
    </w:p>
    <w:p w14:paraId="0C528952" w14:textId="739A0D61" w:rsidR="004429D2" w:rsidRPr="004429D2" w:rsidRDefault="00A93BCA" w:rsidP="00A93BCA">
      <w:pPr>
        <w:jc w:val="both"/>
        <w:rPr>
          <w:rFonts w:eastAsia="Calibri"/>
          <w:bCs/>
        </w:rPr>
      </w:pPr>
      <w:r w:rsidRPr="00A93BCA">
        <w:rPr>
          <w:rFonts w:eastAsia="Calibri"/>
          <w:bCs/>
        </w:rPr>
        <w:lastRenderedPageBreak/>
        <w:t>This paper utilizes quarterly panel data from twelve developing countries over the period from 2000Q1 to 2023Q4. The selection criteria for countries are based on data availability and classification as developing and emerging economies with significant capital flow patterns. The data sources are multiple and from international sources such as the World Bank, IMF, and other global financial data sources.</w:t>
      </w:r>
      <w:r>
        <w:rPr>
          <w:rFonts w:eastAsia="Calibri"/>
          <w:bCs/>
        </w:rPr>
        <w:t xml:space="preserve"> </w:t>
      </w:r>
      <w:r w:rsidRPr="00A93BCA">
        <w:rPr>
          <w:rFonts w:eastAsia="Calibri"/>
          <w:bCs/>
        </w:rPr>
        <w:t>Estimation of capital flight is based on the residual approach using balance of payments data. The efficiency of monetary policy is based on an index derived from the inflation-output variability frontier, as suggested in Cecchetti et al. (2006), and extended in subsequent studies on monetary policy efficiency in developing countries. External debt is represented as the external debt-to-GDP ratio, and exchange rate volatility is represented as the standard deviation of exchange rate changes. The capital control indicators are based on international financial openness measures, and trade openness is represented as (exports + imports)/GDP.</w:t>
      </w:r>
    </w:p>
    <w:p w14:paraId="43A67318" w14:textId="77777777" w:rsidR="004446A6" w:rsidRDefault="004446A6" w:rsidP="00165B56">
      <w:pPr>
        <w:jc w:val="center"/>
        <w:rPr>
          <w:rFonts w:eastAsia="Calibri"/>
          <w:b/>
          <w:sz w:val="20"/>
          <w:szCs w:val="20"/>
        </w:rPr>
      </w:pPr>
    </w:p>
    <w:p w14:paraId="0E460FB1" w14:textId="34E80221" w:rsidR="00165B56" w:rsidRDefault="00165B56" w:rsidP="00165B56">
      <w:pPr>
        <w:jc w:val="center"/>
        <w:rPr>
          <w:rFonts w:eastAsia="SimSun"/>
        </w:rPr>
      </w:pPr>
      <w:r w:rsidRPr="00C36BE7">
        <w:rPr>
          <w:rFonts w:eastAsia="Calibri"/>
          <w:b/>
          <w:sz w:val="20"/>
          <w:szCs w:val="20"/>
        </w:rPr>
        <w:t>Table 1. Descriptive Statistic</w:t>
      </w:r>
    </w:p>
    <w:tbl>
      <w:tblPr>
        <w:tblStyle w:val="TableGrid"/>
        <w:tblW w:w="9136" w:type="dxa"/>
        <w:tblInd w:w="0" w:type="dxa"/>
        <w:tblCellMar>
          <w:top w:w="71" w:type="dxa"/>
          <w:left w:w="80" w:type="dxa"/>
          <w:right w:w="43" w:type="dxa"/>
        </w:tblCellMar>
        <w:tblLook w:val="04A0" w:firstRow="1" w:lastRow="0" w:firstColumn="1" w:lastColumn="0" w:noHBand="0" w:noVBand="1"/>
      </w:tblPr>
      <w:tblGrid>
        <w:gridCol w:w="1843"/>
        <w:gridCol w:w="1459"/>
        <w:gridCol w:w="1459"/>
        <w:gridCol w:w="1458"/>
        <w:gridCol w:w="1458"/>
        <w:gridCol w:w="1459"/>
      </w:tblGrid>
      <w:tr w:rsidR="00165B56" w:rsidRPr="00C36BE7" w14:paraId="1E517B42" w14:textId="77777777" w:rsidTr="00165B56">
        <w:trPr>
          <w:trHeight w:val="300"/>
        </w:trPr>
        <w:tc>
          <w:tcPr>
            <w:tcW w:w="1843" w:type="dxa"/>
            <w:tcBorders>
              <w:top w:val="single" w:sz="2" w:space="0" w:color="000000"/>
              <w:left w:val="nil"/>
              <w:bottom w:val="single" w:sz="2" w:space="0" w:color="000000"/>
              <w:right w:val="single" w:sz="2" w:space="0" w:color="000000"/>
            </w:tcBorders>
          </w:tcPr>
          <w:p w14:paraId="30D4AE93" w14:textId="77777777" w:rsidR="00165B56" w:rsidRPr="00C36BE7" w:rsidRDefault="00165B56" w:rsidP="00C92935">
            <w:pPr>
              <w:spacing w:line="259" w:lineRule="auto"/>
              <w:rPr>
                <w:sz w:val="20"/>
                <w:szCs w:val="20"/>
              </w:rPr>
            </w:pPr>
            <w:r w:rsidRPr="00C36BE7">
              <w:rPr>
                <w:rFonts w:eastAsia="Calibri"/>
                <w:b/>
                <w:sz w:val="20"/>
                <w:szCs w:val="20"/>
              </w:rPr>
              <w:t>Variable</w:t>
            </w:r>
          </w:p>
        </w:tc>
        <w:tc>
          <w:tcPr>
            <w:tcW w:w="1459" w:type="dxa"/>
            <w:tcBorders>
              <w:top w:val="single" w:sz="2" w:space="0" w:color="000000"/>
              <w:left w:val="single" w:sz="2" w:space="0" w:color="000000"/>
              <w:bottom w:val="single" w:sz="2" w:space="0" w:color="000000"/>
              <w:right w:val="single" w:sz="2" w:space="0" w:color="000000"/>
            </w:tcBorders>
          </w:tcPr>
          <w:p w14:paraId="6A3A1CDC" w14:textId="77777777" w:rsidR="00165B56" w:rsidRPr="00C36BE7" w:rsidRDefault="00165B56" w:rsidP="00C92935">
            <w:pPr>
              <w:spacing w:line="259" w:lineRule="auto"/>
              <w:ind w:left="21"/>
              <w:jc w:val="center"/>
              <w:rPr>
                <w:rFonts w:eastAsia="Calibri"/>
                <w:b/>
                <w:sz w:val="20"/>
                <w:szCs w:val="20"/>
              </w:rPr>
            </w:pPr>
            <w:r w:rsidRPr="00C36BE7">
              <w:rPr>
                <w:rFonts w:eastAsia="Calibri"/>
                <w:b/>
                <w:sz w:val="20"/>
                <w:szCs w:val="20"/>
              </w:rPr>
              <w:t>Abbreviation</w:t>
            </w:r>
          </w:p>
        </w:tc>
        <w:tc>
          <w:tcPr>
            <w:tcW w:w="1459" w:type="dxa"/>
            <w:tcBorders>
              <w:top w:val="single" w:sz="2" w:space="0" w:color="000000"/>
              <w:left w:val="single" w:sz="2" w:space="0" w:color="000000"/>
              <w:bottom w:val="single" w:sz="2" w:space="0" w:color="000000"/>
              <w:right w:val="single" w:sz="2" w:space="0" w:color="000000"/>
            </w:tcBorders>
          </w:tcPr>
          <w:p w14:paraId="52720D7F" w14:textId="77777777" w:rsidR="00165B56" w:rsidRPr="00C36BE7" w:rsidRDefault="00165B56" w:rsidP="00C92935">
            <w:pPr>
              <w:spacing w:line="259" w:lineRule="auto"/>
              <w:ind w:left="21"/>
              <w:jc w:val="center"/>
              <w:rPr>
                <w:sz w:val="20"/>
                <w:szCs w:val="20"/>
              </w:rPr>
            </w:pPr>
            <w:r w:rsidRPr="00C36BE7">
              <w:rPr>
                <w:rFonts w:eastAsia="Calibri"/>
                <w:b/>
                <w:sz w:val="20"/>
                <w:szCs w:val="20"/>
              </w:rPr>
              <w:t>Mean</w:t>
            </w:r>
          </w:p>
        </w:tc>
        <w:tc>
          <w:tcPr>
            <w:tcW w:w="1458" w:type="dxa"/>
            <w:tcBorders>
              <w:top w:val="single" w:sz="2" w:space="0" w:color="000000"/>
              <w:left w:val="single" w:sz="2" w:space="0" w:color="000000"/>
              <w:bottom w:val="single" w:sz="2" w:space="0" w:color="000000"/>
              <w:right w:val="single" w:sz="2" w:space="0" w:color="000000"/>
            </w:tcBorders>
          </w:tcPr>
          <w:p w14:paraId="7C7C985A" w14:textId="77777777" w:rsidR="00165B56" w:rsidRPr="00C36BE7" w:rsidRDefault="00165B56" w:rsidP="00C92935">
            <w:pPr>
              <w:spacing w:line="259" w:lineRule="auto"/>
              <w:ind w:left="21"/>
              <w:jc w:val="center"/>
              <w:rPr>
                <w:sz w:val="20"/>
                <w:szCs w:val="20"/>
              </w:rPr>
            </w:pPr>
            <w:r w:rsidRPr="00C36BE7">
              <w:rPr>
                <w:rFonts w:eastAsia="Calibri"/>
                <w:b/>
                <w:sz w:val="20"/>
                <w:szCs w:val="20"/>
              </w:rPr>
              <w:t>Std Dev.</w:t>
            </w:r>
          </w:p>
        </w:tc>
        <w:tc>
          <w:tcPr>
            <w:tcW w:w="1458" w:type="dxa"/>
            <w:tcBorders>
              <w:top w:val="single" w:sz="2" w:space="0" w:color="000000"/>
              <w:left w:val="single" w:sz="2" w:space="0" w:color="000000"/>
              <w:bottom w:val="single" w:sz="2" w:space="0" w:color="000000"/>
              <w:right w:val="single" w:sz="2" w:space="0" w:color="000000"/>
            </w:tcBorders>
          </w:tcPr>
          <w:p w14:paraId="52ED9F05" w14:textId="77777777" w:rsidR="00165B56" w:rsidRPr="00C36BE7" w:rsidRDefault="00165B56" w:rsidP="00C92935">
            <w:pPr>
              <w:spacing w:line="259" w:lineRule="auto"/>
              <w:ind w:left="21"/>
              <w:jc w:val="center"/>
              <w:rPr>
                <w:sz w:val="20"/>
                <w:szCs w:val="20"/>
              </w:rPr>
            </w:pPr>
            <w:r w:rsidRPr="00C36BE7">
              <w:rPr>
                <w:rFonts w:eastAsia="Calibri"/>
                <w:b/>
                <w:sz w:val="20"/>
                <w:szCs w:val="20"/>
              </w:rPr>
              <w:t>Min.</w:t>
            </w:r>
          </w:p>
        </w:tc>
        <w:tc>
          <w:tcPr>
            <w:tcW w:w="1459" w:type="dxa"/>
            <w:tcBorders>
              <w:top w:val="single" w:sz="2" w:space="0" w:color="000000"/>
              <w:left w:val="single" w:sz="2" w:space="0" w:color="000000"/>
              <w:bottom w:val="single" w:sz="2" w:space="0" w:color="000000"/>
              <w:right w:val="nil"/>
            </w:tcBorders>
          </w:tcPr>
          <w:p w14:paraId="00FA5312" w14:textId="77777777" w:rsidR="00165B56" w:rsidRPr="00C36BE7" w:rsidRDefault="00165B56" w:rsidP="00C92935">
            <w:pPr>
              <w:spacing w:line="259" w:lineRule="auto"/>
              <w:ind w:left="23"/>
              <w:jc w:val="center"/>
              <w:rPr>
                <w:sz w:val="20"/>
                <w:szCs w:val="20"/>
              </w:rPr>
            </w:pPr>
            <w:r w:rsidRPr="00C36BE7">
              <w:rPr>
                <w:rFonts w:eastAsia="Calibri"/>
                <w:b/>
                <w:sz w:val="20"/>
                <w:szCs w:val="20"/>
              </w:rPr>
              <w:t>Max.</w:t>
            </w:r>
          </w:p>
        </w:tc>
      </w:tr>
      <w:tr w:rsidR="004446A6" w:rsidRPr="00C36BE7" w14:paraId="19B5E615" w14:textId="77777777" w:rsidTr="00DB1245">
        <w:trPr>
          <w:trHeight w:val="137"/>
        </w:trPr>
        <w:tc>
          <w:tcPr>
            <w:tcW w:w="1843" w:type="dxa"/>
            <w:tcBorders>
              <w:top w:val="single" w:sz="2" w:space="0" w:color="000000"/>
              <w:left w:val="nil"/>
              <w:bottom w:val="single" w:sz="2" w:space="0" w:color="000000"/>
              <w:right w:val="single" w:sz="2" w:space="0" w:color="000000"/>
            </w:tcBorders>
            <w:vAlign w:val="center"/>
          </w:tcPr>
          <w:p w14:paraId="36F262C7" w14:textId="670A7BC8" w:rsidR="004446A6" w:rsidRPr="004446A6" w:rsidRDefault="00A21D80" w:rsidP="004446A6">
            <w:pPr>
              <w:spacing w:line="259" w:lineRule="auto"/>
              <w:rPr>
                <w:sz w:val="20"/>
                <w:szCs w:val="20"/>
              </w:rPr>
            </w:pPr>
            <w:r>
              <w:rPr>
                <w:sz w:val="20"/>
                <w:szCs w:val="20"/>
              </w:rPr>
              <w:t>Capital Flight</w:t>
            </w:r>
            <w:r w:rsidR="004446A6" w:rsidRPr="004446A6">
              <w:rPr>
                <w:sz w:val="20"/>
                <w:szCs w:val="20"/>
              </w:rPr>
              <w:t xml:space="preserve"> </w:t>
            </w:r>
          </w:p>
        </w:tc>
        <w:tc>
          <w:tcPr>
            <w:tcW w:w="1459" w:type="dxa"/>
            <w:tcBorders>
              <w:top w:val="single" w:sz="2" w:space="0" w:color="000000"/>
              <w:left w:val="single" w:sz="2" w:space="0" w:color="000000"/>
              <w:bottom w:val="single" w:sz="2" w:space="0" w:color="000000"/>
              <w:right w:val="single" w:sz="2" w:space="0" w:color="000000"/>
            </w:tcBorders>
            <w:vAlign w:val="center"/>
          </w:tcPr>
          <w:p w14:paraId="0BC43C6F" w14:textId="674F17DA" w:rsidR="004446A6" w:rsidRPr="00C36BE7" w:rsidRDefault="00A21D80" w:rsidP="004446A6">
            <w:pPr>
              <w:spacing w:line="259" w:lineRule="auto"/>
              <w:ind w:left="20"/>
              <w:jc w:val="center"/>
              <w:rPr>
                <w:sz w:val="20"/>
                <w:szCs w:val="20"/>
              </w:rPr>
            </w:pPr>
            <w:r>
              <w:rPr>
                <w:sz w:val="20"/>
                <w:szCs w:val="20"/>
              </w:rPr>
              <w:t>CF</w:t>
            </w:r>
          </w:p>
        </w:tc>
        <w:tc>
          <w:tcPr>
            <w:tcW w:w="1459" w:type="dxa"/>
            <w:tcBorders>
              <w:top w:val="single" w:sz="2" w:space="0" w:color="000000"/>
              <w:left w:val="single" w:sz="2" w:space="0" w:color="000000"/>
              <w:bottom w:val="single" w:sz="2" w:space="0" w:color="000000"/>
              <w:right w:val="single" w:sz="2" w:space="0" w:color="000000"/>
            </w:tcBorders>
          </w:tcPr>
          <w:p w14:paraId="024F18D0" w14:textId="4B977580" w:rsidR="004446A6" w:rsidRPr="00C36BE7" w:rsidRDefault="00A21D80" w:rsidP="004446A6">
            <w:pPr>
              <w:spacing w:line="259" w:lineRule="auto"/>
              <w:ind w:left="20"/>
              <w:jc w:val="center"/>
              <w:rPr>
                <w:sz w:val="20"/>
                <w:szCs w:val="20"/>
              </w:rPr>
            </w:pPr>
            <w:r w:rsidRPr="00A21D80">
              <w:rPr>
                <w:sz w:val="20"/>
                <w:szCs w:val="20"/>
              </w:rPr>
              <w:t>5.2423</w:t>
            </w:r>
          </w:p>
        </w:tc>
        <w:tc>
          <w:tcPr>
            <w:tcW w:w="1458" w:type="dxa"/>
            <w:tcBorders>
              <w:top w:val="single" w:sz="2" w:space="0" w:color="000000"/>
              <w:left w:val="single" w:sz="2" w:space="0" w:color="000000"/>
              <w:bottom w:val="single" w:sz="2" w:space="0" w:color="000000"/>
              <w:right w:val="single" w:sz="2" w:space="0" w:color="000000"/>
            </w:tcBorders>
          </w:tcPr>
          <w:p w14:paraId="2F7796AA" w14:textId="39457880" w:rsidR="004446A6" w:rsidRPr="00C36BE7" w:rsidRDefault="00A21D80" w:rsidP="004446A6">
            <w:pPr>
              <w:spacing w:line="259" w:lineRule="auto"/>
              <w:ind w:left="21"/>
              <w:jc w:val="center"/>
              <w:rPr>
                <w:sz w:val="20"/>
                <w:szCs w:val="20"/>
              </w:rPr>
            </w:pPr>
            <w:r w:rsidRPr="00A21D80">
              <w:rPr>
                <w:sz w:val="20"/>
                <w:szCs w:val="20"/>
              </w:rPr>
              <w:t>9.6560</w:t>
            </w:r>
          </w:p>
        </w:tc>
        <w:tc>
          <w:tcPr>
            <w:tcW w:w="1458" w:type="dxa"/>
            <w:tcBorders>
              <w:top w:val="single" w:sz="2" w:space="0" w:color="000000"/>
              <w:left w:val="single" w:sz="2" w:space="0" w:color="000000"/>
              <w:bottom w:val="single" w:sz="2" w:space="0" w:color="000000"/>
              <w:right w:val="single" w:sz="2" w:space="0" w:color="000000"/>
            </w:tcBorders>
            <w:vAlign w:val="center"/>
          </w:tcPr>
          <w:p w14:paraId="19DBCCF5" w14:textId="3F9B7769" w:rsidR="004446A6" w:rsidRPr="00C36BE7" w:rsidRDefault="00A21D80" w:rsidP="004446A6">
            <w:pPr>
              <w:spacing w:line="259" w:lineRule="auto"/>
              <w:ind w:left="21"/>
              <w:jc w:val="center"/>
              <w:rPr>
                <w:sz w:val="20"/>
                <w:szCs w:val="20"/>
              </w:rPr>
            </w:pPr>
            <w:r w:rsidRPr="00A21D80">
              <w:rPr>
                <w:sz w:val="20"/>
                <w:szCs w:val="20"/>
              </w:rPr>
              <w:t xml:space="preserve">-12.1082 </w:t>
            </w:r>
          </w:p>
        </w:tc>
        <w:tc>
          <w:tcPr>
            <w:tcW w:w="1459" w:type="dxa"/>
            <w:tcBorders>
              <w:top w:val="single" w:sz="2" w:space="0" w:color="000000"/>
              <w:left w:val="single" w:sz="2" w:space="0" w:color="000000"/>
              <w:bottom w:val="single" w:sz="2" w:space="0" w:color="000000"/>
              <w:right w:val="nil"/>
            </w:tcBorders>
          </w:tcPr>
          <w:p w14:paraId="20528B47" w14:textId="1C596947" w:rsidR="004446A6" w:rsidRPr="00C36BE7" w:rsidRDefault="00A21D80" w:rsidP="004446A6">
            <w:pPr>
              <w:spacing w:line="259" w:lineRule="auto"/>
              <w:ind w:left="22"/>
              <w:jc w:val="center"/>
              <w:rPr>
                <w:sz w:val="20"/>
                <w:szCs w:val="20"/>
              </w:rPr>
            </w:pPr>
            <w:r w:rsidRPr="00A21D80">
              <w:rPr>
                <w:sz w:val="20"/>
                <w:szCs w:val="20"/>
              </w:rPr>
              <w:t>58.02013</w:t>
            </w:r>
          </w:p>
        </w:tc>
      </w:tr>
      <w:tr w:rsidR="004446A6" w:rsidRPr="00C36BE7" w14:paraId="206592D8" w14:textId="77777777" w:rsidTr="00DB1245">
        <w:trPr>
          <w:trHeight w:val="19"/>
        </w:trPr>
        <w:tc>
          <w:tcPr>
            <w:tcW w:w="1843" w:type="dxa"/>
            <w:tcBorders>
              <w:top w:val="single" w:sz="2" w:space="0" w:color="000000"/>
              <w:left w:val="nil"/>
              <w:bottom w:val="single" w:sz="2" w:space="0" w:color="000000"/>
              <w:right w:val="single" w:sz="2" w:space="0" w:color="000000"/>
            </w:tcBorders>
            <w:vAlign w:val="center"/>
          </w:tcPr>
          <w:p w14:paraId="72486B73" w14:textId="49B94D9F" w:rsidR="004446A6" w:rsidRPr="004446A6" w:rsidRDefault="00A21D80" w:rsidP="004446A6">
            <w:pPr>
              <w:spacing w:line="259" w:lineRule="auto"/>
              <w:rPr>
                <w:sz w:val="20"/>
                <w:szCs w:val="20"/>
              </w:rPr>
            </w:pPr>
            <w:r>
              <w:rPr>
                <w:sz w:val="20"/>
                <w:szCs w:val="20"/>
              </w:rPr>
              <w:t>Monetary Policy Efficiency</w:t>
            </w:r>
            <w:r w:rsidR="004446A6" w:rsidRPr="004446A6">
              <w:rPr>
                <w:sz w:val="20"/>
                <w:szCs w:val="20"/>
              </w:rPr>
              <w:t xml:space="preserve"> </w:t>
            </w:r>
          </w:p>
        </w:tc>
        <w:tc>
          <w:tcPr>
            <w:tcW w:w="1459" w:type="dxa"/>
            <w:tcBorders>
              <w:top w:val="single" w:sz="2" w:space="0" w:color="000000"/>
              <w:left w:val="single" w:sz="2" w:space="0" w:color="000000"/>
              <w:bottom w:val="single" w:sz="2" w:space="0" w:color="000000"/>
              <w:right w:val="single" w:sz="2" w:space="0" w:color="000000"/>
            </w:tcBorders>
            <w:vAlign w:val="center"/>
          </w:tcPr>
          <w:p w14:paraId="5F4F00FA" w14:textId="5FC97BA5" w:rsidR="004446A6" w:rsidRPr="00C36BE7" w:rsidRDefault="00A21D80" w:rsidP="004446A6">
            <w:pPr>
              <w:spacing w:line="259" w:lineRule="auto"/>
              <w:ind w:left="20"/>
              <w:jc w:val="center"/>
              <w:rPr>
                <w:sz w:val="20"/>
                <w:szCs w:val="20"/>
              </w:rPr>
            </w:pPr>
            <w:r>
              <w:rPr>
                <w:sz w:val="20"/>
                <w:szCs w:val="20"/>
              </w:rPr>
              <w:t>MPE</w:t>
            </w:r>
          </w:p>
        </w:tc>
        <w:tc>
          <w:tcPr>
            <w:tcW w:w="1459" w:type="dxa"/>
            <w:tcBorders>
              <w:top w:val="single" w:sz="2" w:space="0" w:color="000000"/>
              <w:left w:val="single" w:sz="2" w:space="0" w:color="000000"/>
              <w:bottom w:val="single" w:sz="2" w:space="0" w:color="000000"/>
              <w:right w:val="single" w:sz="2" w:space="0" w:color="000000"/>
            </w:tcBorders>
          </w:tcPr>
          <w:p w14:paraId="74E56DBB" w14:textId="2313E9EA" w:rsidR="004446A6" w:rsidRPr="00C36BE7" w:rsidRDefault="00A21D80" w:rsidP="004446A6">
            <w:pPr>
              <w:spacing w:line="259" w:lineRule="auto"/>
              <w:ind w:left="20"/>
              <w:jc w:val="center"/>
              <w:rPr>
                <w:sz w:val="20"/>
                <w:szCs w:val="20"/>
              </w:rPr>
            </w:pPr>
            <w:r w:rsidRPr="00A21D80">
              <w:rPr>
                <w:sz w:val="20"/>
                <w:szCs w:val="20"/>
              </w:rPr>
              <w:t xml:space="preserve">53.3810    </w:t>
            </w:r>
          </w:p>
        </w:tc>
        <w:tc>
          <w:tcPr>
            <w:tcW w:w="1458" w:type="dxa"/>
            <w:tcBorders>
              <w:top w:val="single" w:sz="2" w:space="0" w:color="000000"/>
              <w:left w:val="single" w:sz="2" w:space="0" w:color="000000"/>
              <w:bottom w:val="single" w:sz="2" w:space="0" w:color="000000"/>
              <w:right w:val="single" w:sz="2" w:space="0" w:color="000000"/>
            </w:tcBorders>
          </w:tcPr>
          <w:p w14:paraId="20AF82E4" w14:textId="392C9853" w:rsidR="004446A6" w:rsidRPr="00C36BE7" w:rsidRDefault="00A21D80" w:rsidP="004446A6">
            <w:pPr>
              <w:spacing w:line="259" w:lineRule="auto"/>
              <w:ind w:left="21"/>
              <w:jc w:val="center"/>
              <w:rPr>
                <w:sz w:val="20"/>
                <w:szCs w:val="20"/>
              </w:rPr>
            </w:pPr>
            <w:r w:rsidRPr="00A21D80">
              <w:rPr>
                <w:sz w:val="20"/>
                <w:szCs w:val="20"/>
              </w:rPr>
              <w:t xml:space="preserve">21.0450    </w:t>
            </w:r>
          </w:p>
        </w:tc>
        <w:tc>
          <w:tcPr>
            <w:tcW w:w="1458" w:type="dxa"/>
            <w:tcBorders>
              <w:top w:val="single" w:sz="2" w:space="0" w:color="000000"/>
              <w:left w:val="single" w:sz="2" w:space="0" w:color="000000"/>
              <w:bottom w:val="single" w:sz="2" w:space="0" w:color="000000"/>
              <w:right w:val="single" w:sz="2" w:space="0" w:color="000000"/>
            </w:tcBorders>
            <w:vAlign w:val="center"/>
          </w:tcPr>
          <w:p w14:paraId="083D2425" w14:textId="7ECA18AD" w:rsidR="004446A6" w:rsidRPr="00C36BE7" w:rsidRDefault="002268D0" w:rsidP="004446A6">
            <w:pPr>
              <w:spacing w:line="259" w:lineRule="auto"/>
              <w:ind w:left="21"/>
              <w:jc w:val="center"/>
              <w:rPr>
                <w:sz w:val="20"/>
                <w:szCs w:val="20"/>
              </w:rPr>
            </w:pPr>
            <w:r>
              <w:rPr>
                <w:sz w:val="20"/>
                <w:szCs w:val="20"/>
              </w:rPr>
              <w:t>0</w:t>
            </w:r>
            <w:r w:rsidR="00A21D80" w:rsidRPr="00A21D80">
              <w:rPr>
                <w:sz w:val="20"/>
                <w:szCs w:val="20"/>
              </w:rPr>
              <w:t xml:space="preserve">.6889   </w:t>
            </w:r>
          </w:p>
        </w:tc>
        <w:tc>
          <w:tcPr>
            <w:tcW w:w="1459" w:type="dxa"/>
            <w:tcBorders>
              <w:top w:val="single" w:sz="2" w:space="0" w:color="000000"/>
              <w:left w:val="single" w:sz="2" w:space="0" w:color="000000"/>
              <w:bottom w:val="single" w:sz="2" w:space="0" w:color="000000"/>
              <w:right w:val="nil"/>
            </w:tcBorders>
          </w:tcPr>
          <w:p w14:paraId="2CA06593" w14:textId="7C2FA0CF" w:rsidR="004446A6" w:rsidRPr="00C36BE7" w:rsidRDefault="00A21D80" w:rsidP="004446A6">
            <w:pPr>
              <w:spacing w:line="259" w:lineRule="auto"/>
              <w:ind w:left="22"/>
              <w:jc w:val="center"/>
              <w:rPr>
                <w:sz w:val="20"/>
                <w:szCs w:val="20"/>
              </w:rPr>
            </w:pPr>
            <w:r w:rsidRPr="00A21D80">
              <w:rPr>
                <w:sz w:val="20"/>
                <w:szCs w:val="20"/>
              </w:rPr>
              <w:t>99.99345</w:t>
            </w:r>
          </w:p>
        </w:tc>
      </w:tr>
      <w:tr w:rsidR="004446A6" w:rsidRPr="00C36BE7" w14:paraId="5F5DB03A" w14:textId="77777777" w:rsidTr="00150FE3">
        <w:trPr>
          <w:trHeight w:val="266"/>
        </w:trPr>
        <w:tc>
          <w:tcPr>
            <w:tcW w:w="1843" w:type="dxa"/>
            <w:tcBorders>
              <w:top w:val="single" w:sz="2" w:space="0" w:color="000000"/>
              <w:left w:val="nil"/>
              <w:bottom w:val="single" w:sz="2" w:space="0" w:color="000000"/>
              <w:right w:val="single" w:sz="2" w:space="0" w:color="000000"/>
            </w:tcBorders>
            <w:vAlign w:val="center"/>
          </w:tcPr>
          <w:p w14:paraId="0425C0A0" w14:textId="17017F08" w:rsidR="004446A6" w:rsidRPr="004446A6" w:rsidRDefault="00A21D80" w:rsidP="004446A6">
            <w:pPr>
              <w:spacing w:line="259" w:lineRule="auto"/>
              <w:rPr>
                <w:i/>
                <w:iCs/>
                <w:sz w:val="20"/>
                <w:szCs w:val="20"/>
              </w:rPr>
            </w:pPr>
            <w:r>
              <w:rPr>
                <w:sz w:val="20"/>
                <w:szCs w:val="20"/>
              </w:rPr>
              <w:t>External Debt</w:t>
            </w:r>
            <w:r w:rsidR="004446A6" w:rsidRPr="004446A6">
              <w:rPr>
                <w:sz w:val="20"/>
                <w:szCs w:val="20"/>
              </w:rPr>
              <w:t xml:space="preserve"> </w:t>
            </w:r>
          </w:p>
        </w:tc>
        <w:tc>
          <w:tcPr>
            <w:tcW w:w="1459" w:type="dxa"/>
            <w:tcBorders>
              <w:top w:val="single" w:sz="2" w:space="0" w:color="000000"/>
              <w:left w:val="single" w:sz="2" w:space="0" w:color="000000"/>
              <w:bottom w:val="single" w:sz="2" w:space="0" w:color="000000"/>
              <w:right w:val="single" w:sz="2" w:space="0" w:color="000000"/>
            </w:tcBorders>
            <w:vAlign w:val="center"/>
          </w:tcPr>
          <w:p w14:paraId="375B6D14" w14:textId="4BD9AAD2" w:rsidR="004446A6" w:rsidRDefault="00A21D80" w:rsidP="004446A6">
            <w:pPr>
              <w:spacing w:line="259" w:lineRule="auto"/>
              <w:ind w:left="20"/>
              <w:jc w:val="center"/>
              <w:rPr>
                <w:color w:val="000000"/>
                <w:sz w:val="18"/>
                <w:szCs w:val="18"/>
              </w:rPr>
            </w:pPr>
            <w:r>
              <w:rPr>
                <w:sz w:val="20"/>
                <w:szCs w:val="20"/>
              </w:rPr>
              <w:t>ED</w:t>
            </w:r>
          </w:p>
        </w:tc>
        <w:tc>
          <w:tcPr>
            <w:tcW w:w="1459" w:type="dxa"/>
            <w:tcBorders>
              <w:top w:val="single" w:sz="2" w:space="0" w:color="000000"/>
              <w:left w:val="single" w:sz="2" w:space="0" w:color="000000"/>
              <w:bottom w:val="single" w:sz="2" w:space="0" w:color="000000"/>
              <w:right w:val="single" w:sz="2" w:space="0" w:color="000000"/>
            </w:tcBorders>
            <w:vAlign w:val="center"/>
          </w:tcPr>
          <w:p w14:paraId="49745F86" w14:textId="2A0A0B42" w:rsidR="004446A6" w:rsidRDefault="00A21D80" w:rsidP="00150FE3">
            <w:pPr>
              <w:spacing w:line="259" w:lineRule="auto"/>
              <w:ind w:left="20"/>
              <w:jc w:val="center"/>
              <w:rPr>
                <w:sz w:val="20"/>
                <w:szCs w:val="20"/>
              </w:rPr>
            </w:pPr>
            <w:r w:rsidRPr="00A21D80">
              <w:rPr>
                <w:sz w:val="20"/>
                <w:szCs w:val="20"/>
              </w:rPr>
              <w:t xml:space="preserve">8.2522    </w:t>
            </w:r>
          </w:p>
        </w:tc>
        <w:tc>
          <w:tcPr>
            <w:tcW w:w="1458" w:type="dxa"/>
            <w:tcBorders>
              <w:top w:val="single" w:sz="2" w:space="0" w:color="000000"/>
              <w:left w:val="single" w:sz="2" w:space="0" w:color="000000"/>
              <w:bottom w:val="single" w:sz="2" w:space="0" w:color="000000"/>
              <w:right w:val="single" w:sz="2" w:space="0" w:color="000000"/>
            </w:tcBorders>
            <w:vAlign w:val="center"/>
          </w:tcPr>
          <w:p w14:paraId="1081678E" w14:textId="68B969E1" w:rsidR="004446A6" w:rsidRDefault="00A21D80" w:rsidP="00150FE3">
            <w:pPr>
              <w:spacing w:line="259" w:lineRule="auto"/>
              <w:ind w:left="21"/>
              <w:jc w:val="center"/>
              <w:rPr>
                <w:sz w:val="20"/>
                <w:szCs w:val="20"/>
              </w:rPr>
            </w:pPr>
            <w:r w:rsidRPr="00A21D80">
              <w:rPr>
                <w:sz w:val="20"/>
                <w:szCs w:val="20"/>
              </w:rPr>
              <w:t xml:space="preserve">3.4275   </w:t>
            </w:r>
          </w:p>
        </w:tc>
        <w:tc>
          <w:tcPr>
            <w:tcW w:w="1458" w:type="dxa"/>
            <w:tcBorders>
              <w:top w:val="single" w:sz="2" w:space="0" w:color="000000"/>
              <w:left w:val="single" w:sz="2" w:space="0" w:color="000000"/>
              <w:bottom w:val="single" w:sz="2" w:space="0" w:color="000000"/>
              <w:right w:val="single" w:sz="2" w:space="0" w:color="000000"/>
            </w:tcBorders>
            <w:vAlign w:val="center"/>
          </w:tcPr>
          <w:p w14:paraId="4F6E7E30" w14:textId="1C6638EC" w:rsidR="004446A6" w:rsidRDefault="002268D0" w:rsidP="00150FE3">
            <w:pPr>
              <w:spacing w:line="259" w:lineRule="auto"/>
              <w:ind w:left="21"/>
              <w:jc w:val="center"/>
              <w:rPr>
                <w:sz w:val="20"/>
                <w:szCs w:val="20"/>
              </w:rPr>
            </w:pPr>
            <w:r>
              <w:rPr>
                <w:sz w:val="20"/>
                <w:szCs w:val="20"/>
              </w:rPr>
              <w:t>0</w:t>
            </w:r>
            <w:r w:rsidR="00A21D80" w:rsidRPr="00A21D80">
              <w:rPr>
                <w:sz w:val="20"/>
                <w:szCs w:val="20"/>
              </w:rPr>
              <w:t xml:space="preserve">.6357   </w:t>
            </w:r>
          </w:p>
        </w:tc>
        <w:tc>
          <w:tcPr>
            <w:tcW w:w="1459" w:type="dxa"/>
            <w:tcBorders>
              <w:top w:val="single" w:sz="2" w:space="0" w:color="000000"/>
              <w:left w:val="single" w:sz="2" w:space="0" w:color="000000"/>
              <w:bottom w:val="single" w:sz="2" w:space="0" w:color="000000"/>
              <w:right w:val="nil"/>
            </w:tcBorders>
            <w:vAlign w:val="center"/>
          </w:tcPr>
          <w:p w14:paraId="5CEBDBD7" w14:textId="07C6C625" w:rsidR="004446A6" w:rsidRDefault="00A21D80" w:rsidP="00150FE3">
            <w:pPr>
              <w:spacing w:line="259" w:lineRule="auto"/>
              <w:ind w:left="22"/>
              <w:jc w:val="center"/>
              <w:rPr>
                <w:sz w:val="20"/>
                <w:szCs w:val="20"/>
              </w:rPr>
            </w:pPr>
            <w:r w:rsidRPr="00A21D80">
              <w:rPr>
                <w:sz w:val="20"/>
                <w:szCs w:val="20"/>
              </w:rPr>
              <w:t>24.97537</w:t>
            </w:r>
          </w:p>
        </w:tc>
      </w:tr>
      <w:tr w:rsidR="004446A6" w:rsidRPr="00C36BE7" w14:paraId="46848D3F" w14:textId="77777777" w:rsidTr="00150FE3">
        <w:trPr>
          <w:trHeight w:val="266"/>
        </w:trPr>
        <w:tc>
          <w:tcPr>
            <w:tcW w:w="1843" w:type="dxa"/>
            <w:tcBorders>
              <w:top w:val="single" w:sz="2" w:space="0" w:color="000000"/>
              <w:left w:val="nil"/>
              <w:bottom w:val="single" w:sz="2" w:space="0" w:color="000000"/>
              <w:right w:val="single" w:sz="2" w:space="0" w:color="000000"/>
            </w:tcBorders>
            <w:vAlign w:val="center"/>
          </w:tcPr>
          <w:p w14:paraId="73BF2528" w14:textId="7802D40F" w:rsidR="004446A6" w:rsidRPr="004446A6" w:rsidRDefault="00556FF8" w:rsidP="004446A6">
            <w:pPr>
              <w:spacing w:line="259" w:lineRule="auto"/>
              <w:rPr>
                <w:sz w:val="20"/>
                <w:szCs w:val="20"/>
              </w:rPr>
            </w:pPr>
            <w:r w:rsidRPr="00556FF8">
              <w:rPr>
                <w:sz w:val="20"/>
                <w:szCs w:val="20"/>
              </w:rPr>
              <w:t>Exchange Rate Volatility</w:t>
            </w:r>
          </w:p>
        </w:tc>
        <w:tc>
          <w:tcPr>
            <w:tcW w:w="1459" w:type="dxa"/>
            <w:tcBorders>
              <w:top w:val="single" w:sz="2" w:space="0" w:color="000000"/>
              <w:left w:val="single" w:sz="2" w:space="0" w:color="000000"/>
              <w:bottom w:val="single" w:sz="2" w:space="0" w:color="000000"/>
              <w:right w:val="single" w:sz="2" w:space="0" w:color="000000"/>
            </w:tcBorders>
            <w:vAlign w:val="center"/>
          </w:tcPr>
          <w:p w14:paraId="070174AF" w14:textId="6D291D8B" w:rsidR="004446A6" w:rsidRPr="00C36BE7" w:rsidRDefault="00A21D80" w:rsidP="004446A6">
            <w:pPr>
              <w:spacing w:line="259" w:lineRule="auto"/>
              <w:ind w:left="20"/>
              <w:jc w:val="center"/>
              <w:rPr>
                <w:sz w:val="20"/>
                <w:szCs w:val="20"/>
              </w:rPr>
            </w:pPr>
            <w:r>
              <w:rPr>
                <w:sz w:val="20"/>
                <w:szCs w:val="20"/>
              </w:rPr>
              <w:t>VOL</w:t>
            </w:r>
          </w:p>
        </w:tc>
        <w:tc>
          <w:tcPr>
            <w:tcW w:w="1459" w:type="dxa"/>
            <w:tcBorders>
              <w:top w:val="single" w:sz="2" w:space="0" w:color="000000"/>
              <w:left w:val="single" w:sz="2" w:space="0" w:color="000000"/>
              <w:bottom w:val="single" w:sz="2" w:space="0" w:color="000000"/>
              <w:right w:val="single" w:sz="2" w:space="0" w:color="000000"/>
            </w:tcBorders>
            <w:vAlign w:val="center"/>
          </w:tcPr>
          <w:p w14:paraId="5DE60882" w14:textId="48AD4651" w:rsidR="004446A6" w:rsidRPr="00C36BE7" w:rsidRDefault="005E4747" w:rsidP="00150FE3">
            <w:pPr>
              <w:spacing w:line="259" w:lineRule="auto"/>
              <w:ind w:left="20"/>
              <w:jc w:val="center"/>
              <w:rPr>
                <w:sz w:val="20"/>
                <w:szCs w:val="20"/>
              </w:rPr>
            </w:pPr>
            <w:r>
              <w:rPr>
                <w:sz w:val="20"/>
                <w:szCs w:val="20"/>
              </w:rPr>
              <w:t>0</w:t>
            </w:r>
            <w:r w:rsidR="00A21D80" w:rsidRPr="00A21D80">
              <w:rPr>
                <w:sz w:val="20"/>
                <w:szCs w:val="20"/>
              </w:rPr>
              <w:t xml:space="preserve">.0038    </w:t>
            </w:r>
          </w:p>
        </w:tc>
        <w:tc>
          <w:tcPr>
            <w:tcW w:w="1458" w:type="dxa"/>
            <w:tcBorders>
              <w:top w:val="single" w:sz="2" w:space="0" w:color="000000"/>
              <w:left w:val="single" w:sz="2" w:space="0" w:color="000000"/>
              <w:bottom w:val="single" w:sz="2" w:space="0" w:color="000000"/>
              <w:right w:val="single" w:sz="2" w:space="0" w:color="000000"/>
            </w:tcBorders>
            <w:vAlign w:val="center"/>
          </w:tcPr>
          <w:p w14:paraId="5CE14023" w14:textId="32FC1037" w:rsidR="004446A6" w:rsidRPr="00C36BE7" w:rsidRDefault="005E4747" w:rsidP="00150FE3">
            <w:pPr>
              <w:spacing w:line="259" w:lineRule="auto"/>
              <w:ind w:left="21"/>
              <w:jc w:val="center"/>
              <w:rPr>
                <w:sz w:val="20"/>
                <w:szCs w:val="20"/>
              </w:rPr>
            </w:pPr>
            <w:r>
              <w:rPr>
                <w:sz w:val="20"/>
                <w:szCs w:val="20"/>
              </w:rPr>
              <w:t>0</w:t>
            </w:r>
            <w:r w:rsidR="00A21D80" w:rsidRPr="00A21D80">
              <w:rPr>
                <w:sz w:val="20"/>
                <w:szCs w:val="20"/>
              </w:rPr>
              <w:t xml:space="preserve">.0071   </w:t>
            </w:r>
          </w:p>
        </w:tc>
        <w:tc>
          <w:tcPr>
            <w:tcW w:w="1458" w:type="dxa"/>
            <w:tcBorders>
              <w:top w:val="single" w:sz="2" w:space="0" w:color="000000"/>
              <w:left w:val="single" w:sz="2" w:space="0" w:color="000000"/>
              <w:bottom w:val="single" w:sz="2" w:space="0" w:color="000000"/>
              <w:right w:val="single" w:sz="2" w:space="0" w:color="000000"/>
            </w:tcBorders>
            <w:vAlign w:val="center"/>
          </w:tcPr>
          <w:p w14:paraId="4866618C" w14:textId="675A8D41" w:rsidR="004446A6" w:rsidRPr="00C36BE7" w:rsidRDefault="002268D0" w:rsidP="00150FE3">
            <w:pPr>
              <w:spacing w:line="259" w:lineRule="auto"/>
              <w:ind w:left="21"/>
              <w:jc w:val="center"/>
              <w:rPr>
                <w:sz w:val="20"/>
                <w:szCs w:val="20"/>
              </w:rPr>
            </w:pPr>
            <w:r>
              <w:rPr>
                <w:sz w:val="20"/>
                <w:szCs w:val="20"/>
              </w:rPr>
              <w:t>0.0000</w:t>
            </w:r>
            <w:r w:rsidR="00A21D80" w:rsidRPr="00A21D80">
              <w:rPr>
                <w:sz w:val="20"/>
                <w:szCs w:val="20"/>
              </w:rPr>
              <w:t xml:space="preserve">    </w:t>
            </w:r>
          </w:p>
        </w:tc>
        <w:tc>
          <w:tcPr>
            <w:tcW w:w="1459" w:type="dxa"/>
            <w:tcBorders>
              <w:top w:val="single" w:sz="2" w:space="0" w:color="000000"/>
              <w:left w:val="single" w:sz="2" w:space="0" w:color="000000"/>
              <w:bottom w:val="single" w:sz="2" w:space="0" w:color="000000"/>
              <w:right w:val="nil"/>
            </w:tcBorders>
            <w:vAlign w:val="center"/>
          </w:tcPr>
          <w:p w14:paraId="1AB901BE" w14:textId="4B12F85C" w:rsidR="004446A6" w:rsidRPr="00C36BE7" w:rsidRDefault="002268D0" w:rsidP="00150FE3">
            <w:pPr>
              <w:spacing w:line="259" w:lineRule="auto"/>
              <w:ind w:left="22"/>
              <w:jc w:val="center"/>
              <w:rPr>
                <w:sz w:val="20"/>
                <w:szCs w:val="20"/>
              </w:rPr>
            </w:pPr>
            <w:r>
              <w:rPr>
                <w:sz w:val="20"/>
                <w:szCs w:val="20"/>
              </w:rPr>
              <w:t>0</w:t>
            </w:r>
            <w:r w:rsidR="00A21D80" w:rsidRPr="00A21D80">
              <w:rPr>
                <w:sz w:val="20"/>
                <w:szCs w:val="20"/>
              </w:rPr>
              <w:t>.1519</w:t>
            </w:r>
            <w:r>
              <w:rPr>
                <w:sz w:val="20"/>
                <w:szCs w:val="20"/>
              </w:rPr>
              <w:t>00</w:t>
            </w:r>
          </w:p>
        </w:tc>
      </w:tr>
      <w:tr w:rsidR="004446A6" w:rsidRPr="00C36BE7" w14:paraId="724DBB0F" w14:textId="77777777" w:rsidTr="00DB1245">
        <w:trPr>
          <w:trHeight w:val="266"/>
        </w:trPr>
        <w:tc>
          <w:tcPr>
            <w:tcW w:w="1843" w:type="dxa"/>
            <w:tcBorders>
              <w:top w:val="single" w:sz="2" w:space="0" w:color="000000"/>
              <w:left w:val="nil"/>
              <w:bottom w:val="single" w:sz="2" w:space="0" w:color="000000"/>
              <w:right w:val="single" w:sz="2" w:space="0" w:color="000000"/>
            </w:tcBorders>
            <w:vAlign w:val="center"/>
          </w:tcPr>
          <w:p w14:paraId="662B7EB4" w14:textId="687DF3D9" w:rsidR="004446A6" w:rsidRPr="004446A6" w:rsidRDefault="00A21D80" w:rsidP="004446A6">
            <w:pPr>
              <w:spacing w:line="259" w:lineRule="auto"/>
              <w:rPr>
                <w:sz w:val="20"/>
                <w:szCs w:val="20"/>
              </w:rPr>
            </w:pPr>
            <w:r>
              <w:rPr>
                <w:sz w:val="20"/>
                <w:szCs w:val="20"/>
              </w:rPr>
              <w:t>Capital Control</w:t>
            </w:r>
            <w:r w:rsidR="004446A6" w:rsidRPr="004446A6">
              <w:rPr>
                <w:sz w:val="20"/>
                <w:szCs w:val="20"/>
              </w:rPr>
              <w:t xml:space="preserve"> </w:t>
            </w:r>
          </w:p>
        </w:tc>
        <w:tc>
          <w:tcPr>
            <w:tcW w:w="1459" w:type="dxa"/>
            <w:tcBorders>
              <w:top w:val="single" w:sz="2" w:space="0" w:color="000000"/>
              <w:left w:val="single" w:sz="2" w:space="0" w:color="000000"/>
              <w:bottom w:val="single" w:sz="2" w:space="0" w:color="000000"/>
              <w:right w:val="single" w:sz="2" w:space="0" w:color="000000"/>
            </w:tcBorders>
            <w:vAlign w:val="center"/>
          </w:tcPr>
          <w:p w14:paraId="2DA8B0E9" w14:textId="64066275" w:rsidR="004446A6" w:rsidRPr="00C36BE7" w:rsidRDefault="00A21D80" w:rsidP="004446A6">
            <w:pPr>
              <w:spacing w:line="259" w:lineRule="auto"/>
              <w:ind w:left="20"/>
              <w:jc w:val="center"/>
              <w:rPr>
                <w:sz w:val="20"/>
                <w:szCs w:val="20"/>
              </w:rPr>
            </w:pPr>
            <w:r>
              <w:rPr>
                <w:sz w:val="20"/>
                <w:szCs w:val="20"/>
              </w:rPr>
              <w:t>Cap</w:t>
            </w:r>
          </w:p>
        </w:tc>
        <w:tc>
          <w:tcPr>
            <w:tcW w:w="1459" w:type="dxa"/>
            <w:tcBorders>
              <w:top w:val="single" w:sz="2" w:space="0" w:color="000000"/>
              <w:left w:val="single" w:sz="2" w:space="0" w:color="000000"/>
              <w:bottom w:val="single" w:sz="2" w:space="0" w:color="000000"/>
              <w:right w:val="single" w:sz="2" w:space="0" w:color="000000"/>
            </w:tcBorders>
          </w:tcPr>
          <w:p w14:paraId="3B97953D" w14:textId="6DF15E9B" w:rsidR="004446A6" w:rsidRPr="00C36BE7" w:rsidRDefault="005E4747" w:rsidP="004446A6">
            <w:pPr>
              <w:spacing w:line="259" w:lineRule="auto"/>
              <w:ind w:left="20"/>
              <w:jc w:val="center"/>
              <w:rPr>
                <w:sz w:val="20"/>
                <w:szCs w:val="20"/>
              </w:rPr>
            </w:pPr>
            <w:r>
              <w:rPr>
                <w:sz w:val="20"/>
                <w:szCs w:val="20"/>
              </w:rPr>
              <w:t>0</w:t>
            </w:r>
            <w:r w:rsidR="00A21D80" w:rsidRPr="00A21D80">
              <w:rPr>
                <w:sz w:val="20"/>
                <w:szCs w:val="20"/>
              </w:rPr>
              <w:t xml:space="preserve">.62525    </w:t>
            </w:r>
          </w:p>
        </w:tc>
        <w:tc>
          <w:tcPr>
            <w:tcW w:w="1458" w:type="dxa"/>
            <w:tcBorders>
              <w:top w:val="single" w:sz="2" w:space="0" w:color="000000"/>
              <w:left w:val="single" w:sz="2" w:space="0" w:color="000000"/>
              <w:bottom w:val="single" w:sz="2" w:space="0" w:color="000000"/>
              <w:right w:val="single" w:sz="2" w:space="0" w:color="000000"/>
            </w:tcBorders>
          </w:tcPr>
          <w:p w14:paraId="414520A6" w14:textId="61E92E53" w:rsidR="004446A6" w:rsidRPr="00C36BE7" w:rsidRDefault="002268D0" w:rsidP="004446A6">
            <w:pPr>
              <w:spacing w:line="259" w:lineRule="auto"/>
              <w:ind w:left="21"/>
              <w:jc w:val="center"/>
              <w:rPr>
                <w:sz w:val="20"/>
                <w:szCs w:val="20"/>
              </w:rPr>
            </w:pPr>
            <w:r>
              <w:rPr>
                <w:sz w:val="20"/>
                <w:szCs w:val="20"/>
              </w:rPr>
              <w:t>0</w:t>
            </w:r>
            <w:r w:rsidR="00A21D80" w:rsidRPr="00A21D80">
              <w:rPr>
                <w:sz w:val="20"/>
                <w:szCs w:val="20"/>
              </w:rPr>
              <w:t xml:space="preserve">.2480          </w:t>
            </w:r>
          </w:p>
        </w:tc>
        <w:tc>
          <w:tcPr>
            <w:tcW w:w="1458" w:type="dxa"/>
            <w:tcBorders>
              <w:top w:val="single" w:sz="2" w:space="0" w:color="000000"/>
              <w:left w:val="single" w:sz="2" w:space="0" w:color="000000"/>
              <w:bottom w:val="single" w:sz="2" w:space="0" w:color="000000"/>
              <w:right w:val="single" w:sz="2" w:space="0" w:color="000000"/>
            </w:tcBorders>
            <w:vAlign w:val="center"/>
          </w:tcPr>
          <w:p w14:paraId="140251D4" w14:textId="2C18E436" w:rsidR="004446A6" w:rsidRPr="00C36BE7" w:rsidRDefault="002268D0" w:rsidP="004446A6">
            <w:pPr>
              <w:spacing w:line="259" w:lineRule="auto"/>
              <w:ind w:left="21"/>
              <w:jc w:val="center"/>
              <w:rPr>
                <w:sz w:val="20"/>
                <w:szCs w:val="20"/>
              </w:rPr>
            </w:pPr>
            <w:r>
              <w:rPr>
                <w:sz w:val="20"/>
                <w:szCs w:val="20"/>
              </w:rPr>
              <w:t>0.0000</w:t>
            </w:r>
            <w:r w:rsidRPr="00A21D80">
              <w:rPr>
                <w:sz w:val="20"/>
                <w:szCs w:val="20"/>
              </w:rPr>
              <w:t xml:space="preserve">    </w:t>
            </w:r>
          </w:p>
        </w:tc>
        <w:tc>
          <w:tcPr>
            <w:tcW w:w="1459" w:type="dxa"/>
            <w:tcBorders>
              <w:top w:val="single" w:sz="2" w:space="0" w:color="000000"/>
              <w:left w:val="single" w:sz="2" w:space="0" w:color="000000"/>
              <w:bottom w:val="single" w:sz="2" w:space="0" w:color="000000"/>
              <w:right w:val="nil"/>
            </w:tcBorders>
          </w:tcPr>
          <w:p w14:paraId="3809FD78" w14:textId="2D6A6B46" w:rsidR="004446A6" w:rsidRPr="00C36BE7" w:rsidRDefault="00A21D80" w:rsidP="004446A6">
            <w:pPr>
              <w:spacing w:line="259" w:lineRule="auto"/>
              <w:ind w:left="22"/>
              <w:jc w:val="center"/>
              <w:rPr>
                <w:sz w:val="20"/>
                <w:szCs w:val="20"/>
              </w:rPr>
            </w:pPr>
            <w:r w:rsidRPr="00A21D80">
              <w:rPr>
                <w:sz w:val="20"/>
                <w:szCs w:val="20"/>
              </w:rPr>
              <w:t xml:space="preserve">        </w:t>
            </w:r>
            <w:r>
              <w:rPr>
                <w:sz w:val="20"/>
                <w:szCs w:val="20"/>
              </w:rPr>
              <w:t>0</w:t>
            </w:r>
            <w:r w:rsidRPr="00A21D80">
              <w:rPr>
                <w:sz w:val="20"/>
                <w:szCs w:val="20"/>
              </w:rPr>
              <w:t>.95</w:t>
            </w:r>
          </w:p>
        </w:tc>
      </w:tr>
      <w:tr w:rsidR="004446A6" w:rsidRPr="00C36BE7" w14:paraId="4D39EAE1" w14:textId="77777777" w:rsidTr="00DB1245">
        <w:trPr>
          <w:trHeight w:val="266"/>
        </w:trPr>
        <w:tc>
          <w:tcPr>
            <w:tcW w:w="1843" w:type="dxa"/>
            <w:tcBorders>
              <w:top w:val="single" w:sz="2" w:space="0" w:color="000000"/>
              <w:left w:val="nil"/>
              <w:bottom w:val="single" w:sz="2" w:space="0" w:color="000000"/>
              <w:right w:val="single" w:sz="2" w:space="0" w:color="000000"/>
            </w:tcBorders>
            <w:vAlign w:val="center"/>
          </w:tcPr>
          <w:p w14:paraId="2B0E1FD1" w14:textId="1500072A" w:rsidR="004446A6" w:rsidRPr="004446A6" w:rsidRDefault="00A21D80" w:rsidP="004446A6">
            <w:pPr>
              <w:spacing w:line="259" w:lineRule="auto"/>
              <w:rPr>
                <w:sz w:val="20"/>
                <w:szCs w:val="20"/>
              </w:rPr>
            </w:pPr>
            <w:r>
              <w:rPr>
                <w:sz w:val="20"/>
                <w:szCs w:val="20"/>
              </w:rPr>
              <w:t>Trade Openness</w:t>
            </w:r>
            <w:r w:rsidR="004446A6" w:rsidRPr="004446A6">
              <w:rPr>
                <w:sz w:val="20"/>
                <w:szCs w:val="20"/>
              </w:rPr>
              <w:t xml:space="preserve"> </w:t>
            </w:r>
          </w:p>
        </w:tc>
        <w:tc>
          <w:tcPr>
            <w:tcW w:w="1459" w:type="dxa"/>
            <w:tcBorders>
              <w:top w:val="single" w:sz="2" w:space="0" w:color="000000"/>
              <w:left w:val="single" w:sz="2" w:space="0" w:color="000000"/>
              <w:bottom w:val="single" w:sz="2" w:space="0" w:color="000000"/>
              <w:right w:val="single" w:sz="2" w:space="0" w:color="000000"/>
            </w:tcBorders>
            <w:vAlign w:val="center"/>
          </w:tcPr>
          <w:p w14:paraId="57E76805" w14:textId="0187B44B" w:rsidR="004446A6" w:rsidRPr="00C36BE7" w:rsidRDefault="00A21D80" w:rsidP="004446A6">
            <w:pPr>
              <w:spacing w:line="259" w:lineRule="auto"/>
              <w:ind w:left="20"/>
              <w:jc w:val="center"/>
              <w:rPr>
                <w:sz w:val="20"/>
                <w:szCs w:val="20"/>
              </w:rPr>
            </w:pPr>
            <w:r>
              <w:rPr>
                <w:sz w:val="20"/>
                <w:szCs w:val="20"/>
              </w:rPr>
              <w:t>TO</w:t>
            </w:r>
          </w:p>
        </w:tc>
        <w:tc>
          <w:tcPr>
            <w:tcW w:w="1459" w:type="dxa"/>
            <w:tcBorders>
              <w:top w:val="single" w:sz="2" w:space="0" w:color="000000"/>
              <w:left w:val="single" w:sz="2" w:space="0" w:color="000000"/>
              <w:bottom w:val="single" w:sz="2" w:space="0" w:color="000000"/>
              <w:right w:val="single" w:sz="2" w:space="0" w:color="000000"/>
            </w:tcBorders>
          </w:tcPr>
          <w:p w14:paraId="638E7283" w14:textId="5FC743D0" w:rsidR="004446A6" w:rsidRPr="00C36BE7" w:rsidRDefault="00A21D80" w:rsidP="004446A6">
            <w:pPr>
              <w:spacing w:line="259" w:lineRule="auto"/>
              <w:ind w:left="20"/>
              <w:jc w:val="center"/>
              <w:rPr>
                <w:sz w:val="20"/>
                <w:szCs w:val="20"/>
              </w:rPr>
            </w:pPr>
            <w:r w:rsidRPr="00A21D80">
              <w:rPr>
                <w:sz w:val="20"/>
                <w:szCs w:val="20"/>
              </w:rPr>
              <w:t xml:space="preserve">16.2336    </w:t>
            </w:r>
          </w:p>
        </w:tc>
        <w:tc>
          <w:tcPr>
            <w:tcW w:w="1458" w:type="dxa"/>
            <w:tcBorders>
              <w:top w:val="single" w:sz="2" w:space="0" w:color="000000"/>
              <w:left w:val="single" w:sz="2" w:space="0" w:color="000000"/>
              <w:bottom w:val="single" w:sz="2" w:space="0" w:color="000000"/>
              <w:right w:val="single" w:sz="2" w:space="0" w:color="000000"/>
            </w:tcBorders>
          </w:tcPr>
          <w:p w14:paraId="6ACBFE9A" w14:textId="0E65D7E3" w:rsidR="004446A6" w:rsidRPr="00C36BE7" w:rsidRDefault="00A21D80" w:rsidP="004446A6">
            <w:pPr>
              <w:spacing w:line="259" w:lineRule="auto"/>
              <w:ind w:left="21"/>
              <w:jc w:val="center"/>
              <w:rPr>
                <w:sz w:val="20"/>
                <w:szCs w:val="20"/>
              </w:rPr>
            </w:pPr>
            <w:r w:rsidRPr="00A21D80">
              <w:rPr>
                <w:sz w:val="20"/>
                <w:szCs w:val="20"/>
              </w:rPr>
              <w:t xml:space="preserve">8.9265   </w:t>
            </w:r>
          </w:p>
        </w:tc>
        <w:tc>
          <w:tcPr>
            <w:tcW w:w="1458" w:type="dxa"/>
            <w:tcBorders>
              <w:top w:val="single" w:sz="2" w:space="0" w:color="000000"/>
              <w:left w:val="single" w:sz="2" w:space="0" w:color="000000"/>
              <w:bottom w:val="single" w:sz="2" w:space="0" w:color="000000"/>
              <w:right w:val="single" w:sz="2" w:space="0" w:color="000000"/>
            </w:tcBorders>
            <w:vAlign w:val="center"/>
          </w:tcPr>
          <w:p w14:paraId="2EF3532E" w14:textId="63600618" w:rsidR="004446A6" w:rsidRPr="00C36BE7" w:rsidRDefault="00A21D80" w:rsidP="004446A6">
            <w:pPr>
              <w:spacing w:line="259" w:lineRule="auto"/>
              <w:ind w:left="21"/>
              <w:jc w:val="center"/>
              <w:rPr>
                <w:sz w:val="20"/>
                <w:szCs w:val="20"/>
              </w:rPr>
            </w:pPr>
            <w:r w:rsidRPr="00A21D80">
              <w:rPr>
                <w:sz w:val="20"/>
                <w:szCs w:val="20"/>
              </w:rPr>
              <w:t xml:space="preserve">5.0262    </w:t>
            </w:r>
          </w:p>
        </w:tc>
        <w:tc>
          <w:tcPr>
            <w:tcW w:w="1459" w:type="dxa"/>
            <w:tcBorders>
              <w:top w:val="single" w:sz="2" w:space="0" w:color="000000"/>
              <w:left w:val="single" w:sz="2" w:space="0" w:color="000000"/>
              <w:bottom w:val="single" w:sz="2" w:space="0" w:color="000000"/>
              <w:right w:val="nil"/>
            </w:tcBorders>
          </w:tcPr>
          <w:p w14:paraId="47CAE181" w14:textId="62247729" w:rsidR="004446A6" w:rsidRPr="00C36BE7" w:rsidRDefault="00A21D80" w:rsidP="004446A6">
            <w:pPr>
              <w:spacing w:line="259" w:lineRule="auto"/>
              <w:ind w:left="22"/>
              <w:jc w:val="center"/>
              <w:rPr>
                <w:sz w:val="20"/>
                <w:szCs w:val="20"/>
              </w:rPr>
            </w:pPr>
            <w:r w:rsidRPr="00A21D80">
              <w:rPr>
                <w:sz w:val="20"/>
                <w:szCs w:val="20"/>
              </w:rPr>
              <w:t>47.4746</w:t>
            </w:r>
          </w:p>
        </w:tc>
      </w:tr>
    </w:tbl>
    <w:p w14:paraId="1571005C" w14:textId="77777777" w:rsidR="00165B56" w:rsidRDefault="00165B56" w:rsidP="00165B56"/>
    <w:p w14:paraId="1CC009D6" w14:textId="32CAAF97" w:rsidR="00165B56" w:rsidRDefault="002268D0" w:rsidP="002268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kinsoku w:val="0"/>
        <w:overflowPunct w:val="0"/>
        <w:autoSpaceDE w:val="0"/>
        <w:autoSpaceDN w:val="0"/>
        <w:spacing w:line="360" w:lineRule="auto"/>
        <w:ind w:firstLine="720"/>
        <w:jc w:val="both"/>
        <w:rPr>
          <w:rFonts w:ascii="Times New Roman" w:hAnsi="Times New Roman" w:cs="Times New Roman"/>
          <w:color w:val="000000"/>
          <w:sz w:val="24"/>
          <w:szCs w:val="24"/>
        </w:rPr>
      </w:pPr>
      <w:r w:rsidRPr="002268D0">
        <w:rPr>
          <w:rFonts w:ascii="Times New Roman" w:hAnsi="Times New Roman" w:cs="Times New Roman"/>
          <w:color w:val="000000"/>
          <w:sz w:val="24"/>
          <w:szCs w:val="24"/>
        </w:rPr>
        <w:t>Table 1 summaries for the major variables in our model. On average, capital flight (CF) is at 5.24, with a significant range, indicated by a standard deviation of 9.66. This suggests considerable variability in capital flight among developing countries and over time. Indeed, capital flight is highly volatile, ranging from a minimum of -12.11 to a maximum of 58.02. This volatility is consistent with the dynamic nature of capital movements in developing economies. On the other hand, monetary policy efficiency (MPE) has an average of 53.38, suggesting moderate levels of efficiency in macroeconomic stability among the sampled developing countries. However, a significant standard deviation of 21.05 underscores considerable variability in the efficiency with which sampled developing country central banks implement monetary policy. External debt (ED) has a mean of 8.25 and a standard deviation of 3.43, suggesting considerable variability in the sampled developing countries' reliance on external debt. Exchange rate volatility (VOL) has a low average of 0.0038, with a considerable standard deviation, suggesting considerable variability in exchange rate volatility. On the other hand, the mean for capital control (CAP) is 0.63, suggesting moderate levels of regulations on capital movements between countries. Trade openness (TO) has an average of 16.23, with a standard deviation of 8.93, suggesting considerable variability in the sampled developing countries' trade links with the rest of the world.</w:t>
      </w:r>
    </w:p>
    <w:p w14:paraId="4691B926" w14:textId="77777777" w:rsidR="002268D0" w:rsidRDefault="002268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kinsoku w:val="0"/>
        <w:overflowPunct w:val="0"/>
        <w:autoSpaceDE w:val="0"/>
        <w:autoSpaceDN w:val="0"/>
        <w:spacing w:line="360" w:lineRule="auto"/>
        <w:jc w:val="both"/>
        <w:rPr>
          <w:rFonts w:ascii="Times New Roman" w:hAnsi="Times New Roman" w:cs="Times New Roman"/>
          <w:color w:val="000000"/>
          <w:sz w:val="24"/>
          <w:szCs w:val="24"/>
        </w:rPr>
      </w:pPr>
    </w:p>
    <w:p w14:paraId="7F84A517" w14:textId="24BEF678" w:rsidR="00A93BCA" w:rsidRPr="002268D0" w:rsidRDefault="00A6110A" w:rsidP="002268D0">
      <w:pPr>
        <w:suppressAutoHyphens/>
        <w:kinsoku w:val="0"/>
        <w:overflowPunct w:val="0"/>
        <w:autoSpaceDE w:val="0"/>
        <w:autoSpaceDN w:val="0"/>
        <w:adjustRightInd w:val="0"/>
        <w:snapToGrid w:val="0"/>
        <w:spacing w:line="360" w:lineRule="auto"/>
        <w:rPr>
          <w:rFonts w:eastAsia="Palatino Linotype"/>
          <w:b/>
          <w:color w:val="000000"/>
        </w:rPr>
      </w:pPr>
      <w:r>
        <w:rPr>
          <w:b/>
          <w:color w:val="000000"/>
        </w:rPr>
        <w:t xml:space="preserve">3.2 Econometrics </w:t>
      </w:r>
      <w:r>
        <w:rPr>
          <w:rFonts w:eastAsia="Palatino Linotype"/>
          <w:b/>
          <w:color w:val="000000"/>
        </w:rPr>
        <w:t>Methodology</w:t>
      </w:r>
    </w:p>
    <w:p w14:paraId="2D02706A" w14:textId="680FF1EA" w:rsidR="002268D0" w:rsidRDefault="002268D0" w:rsidP="002268D0">
      <w:pPr>
        <w:adjustRightInd w:val="0"/>
        <w:snapToGrid w:val="0"/>
        <w:spacing w:line="360" w:lineRule="auto"/>
        <w:ind w:firstLine="720"/>
        <w:jc w:val="both"/>
      </w:pPr>
      <w:r>
        <w:t>In order to examine the determinants of capital flight in developing economies, this study presents four alternative empirical models based on the panel ARDL–PMG approach. Estimating alternative models is useful for testing the robustness of the results by examining whether the results hold when important determinants are excluded from the estimation. Consistent with the theoretical framework, the study models capital flight as a function of macroeconomic policy credibility, external financial vulnerability, and structural openness.</w:t>
      </w:r>
    </w:p>
    <w:p w14:paraId="038F2818" w14:textId="77777777" w:rsidR="00A332E5" w:rsidRDefault="00A332E5" w:rsidP="00A332E5">
      <w:pPr>
        <w:adjustRightInd w:val="0"/>
        <w:snapToGrid w:val="0"/>
        <w:spacing w:line="360" w:lineRule="auto"/>
        <w:jc w:val="both"/>
      </w:pPr>
      <w:r>
        <w:t>Model 1 excludes monetary policy efficiency in order to assess whether capital flight is primarily explained by external debt, exchange rate instability, capital account regulation, and trade openness when policy credibility is not explicitly considered.</w:t>
      </w:r>
    </w:p>
    <w:p w14:paraId="6177A95B" w14:textId="1D4BE4A4" w:rsidR="002268D0" w:rsidRDefault="00A332E5" w:rsidP="00A332E5">
      <w:pPr>
        <w:adjustRightInd w:val="0"/>
        <w:snapToGrid w:val="0"/>
        <w:spacing w:line="360" w:lineRule="auto"/>
        <w:jc w:val="both"/>
        <w:rPr>
          <w:rFonts w:eastAsia="Cambria"/>
          <w:iCs/>
          <w:color w:val="000000"/>
        </w:rPr>
      </w:pP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0</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ED</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2</m:t>
            </m:r>
          </m:sub>
        </m:sSub>
        <m:sSub>
          <m:sSubPr>
            <m:ctrlPr>
              <w:rPr>
                <w:rFonts w:ascii="Cambria Math" w:hAnsi="Cambria Math"/>
                <w:i/>
                <w:color w:val="000000"/>
              </w:rPr>
            </m:ctrlPr>
          </m:sSubPr>
          <m:e>
            <m:r>
              <w:rPr>
                <w:rFonts w:ascii="Cambria Math" w:hAnsi="Cambria Math"/>
                <w:color w:val="000000"/>
              </w:rPr>
              <m:t>VOL</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3</m:t>
            </m:r>
          </m:sub>
        </m:sSub>
        <m:sSub>
          <m:sSubPr>
            <m:ctrlPr>
              <w:rPr>
                <w:rFonts w:ascii="Cambria Math" w:hAnsi="Cambria Math"/>
                <w:i/>
                <w:color w:val="000000"/>
              </w:rPr>
            </m:ctrlPr>
          </m:sSubPr>
          <m:e>
            <m:r>
              <w:rPr>
                <w:rFonts w:ascii="Cambria Math" w:hAnsi="Cambria Math"/>
                <w:color w:val="000000"/>
              </w:rPr>
              <m:t>CAP</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4</m:t>
            </m:r>
          </m:sub>
        </m:sSub>
        <m:sSub>
          <m:sSubPr>
            <m:ctrlPr>
              <w:rPr>
                <w:rFonts w:ascii="Cambria Math" w:hAnsi="Cambria Math"/>
                <w:i/>
                <w:color w:val="000000"/>
              </w:rPr>
            </m:ctrlPr>
          </m:sSubPr>
          <m:e>
            <m:r>
              <w:rPr>
                <w:rFonts w:ascii="Cambria Math" w:hAnsi="Cambria Math"/>
                <w:color w:val="000000"/>
              </w:rPr>
              <m:t>TO</m:t>
            </m:r>
          </m:e>
          <m:sub>
            <m:r>
              <w:rPr>
                <w:rFonts w:ascii="Cambria Math" w:hAnsi="Cambria Math"/>
                <w:color w:val="000000"/>
              </w:rPr>
              <m:t>it</m:t>
            </m:r>
          </m:sub>
        </m:sSub>
        <m:sSub>
          <m:sSubPr>
            <m:ctrlPr>
              <w:rPr>
                <w:rFonts w:ascii="Cambria Math" w:eastAsia="Cambria" w:hAnsi="Cambria Math"/>
                <w:i/>
                <w:color w:val="000000"/>
                <w:vertAlign w:val="subscript"/>
              </w:rPr>
            </m:ctrlPr>
          </m:sSubPr>
          <m:e>
            <m:r>
              <w:rPr>
                <w:rFonts w:ascii="Cambria Math" w:eastAsia="Cambria" w:hAnsi="Cambria Math"/>
                <w:color w:val="000000"/>
                <w:vertAlign w:val="subscript"/>
              </w:rPr>
              <m:t>+</m:t>
            </m:r>
            <m:r>
              <w:rPr>
                <w:rFonts w:ascii="Cambria Math" w:hAnsi="Cambria Math"/>
                <w:color w:val="000000"/>
              </w:rPr>
              <m:t xml:space="preserve"> </m:t>
            </m:r>
            <m:r>
              <w:rPr>
                <w:rFonts w:ascii="Cambria Math" w:eastAsia="Cambria" w:hAnsi="Cambria Math"/>
                <w:color w:val="000000"/>
                <w:vertAlign w:val="subscript"/>
              </w:rPr>
              <m:t>ε</m:t>
            </m:r>
          </m:e>
          <m:sub>
            <m:r>
              <w:rPr>
                <w:rFonts w:ascii="Cambria Math" w:eastAsia="Cambria" w:hAnsi="Cambria Math"/>
                <w:color w:val="000000"/>
                <w:vertAlign w:val="subscript"/>
              </w:rPr>
              <m:t>it</m:t>
            </m:r>
          </m:sub>
        </m:sSub>
      </m:oMath>
      <w:r w:rsidR="002268D0" w:rsidRPr="00861DBA">
        <w:rPr>
          <w:rFonts w:eastAsia="Cambria"/>
          <w:i/>
          <w:color w:val="000000"/>
          <w:vertAlign w:val="subscript"/>
        </w:rPr>
        <w:t xml:space="preserve"> </w:t>
      </w:r>
      <w:r w:rsidR="002268D0" w:rsidRPr="00861DBA">
        <w:rPr>
          <w:rFonts w:eastAsia="Cambria"/>
          <w:iCs/>
          <w:color w:val="000000"/>
        </w:rPr>
        <w:t xml:space="preserve">              </w:t>
      </w:r>
      <w:r w:rsidR="002268D0" w:rsidRPr="00861DBA">
        <w:rPr>
          <w:rFonts w:eastAsia="Cambria"/>
          <w:iCs/>
          <w:color w:val="000000"/>
        </w:rPr>
        <w:tab/>
        <w:t xml:space="preserve"> (</w:t>
      </w:r>
      <w:r>
        <w:rPr>
          <w:rFonts w:eastAsia="Cambria"/>
          <w:iCs/>
          <w:color w:val="000000"/>
        </w:rPr>
        <w:t>1</w:t>
      </w:r>
      <w:r w:rsidR="002268D0" w:rsidRPr="00861DBA">
        <w:rPr>
          <w:rFonts w:eastAsia="Cambria"/>
          <w:iCs/>
          <w:color w:val="000000"/>
        </w:rPr>
        <w:t>)</w:t>
      </w:r>
    </w:p>
    <w:p w14:paraId="317819D8" w14:textId="548DD53B" w:rsidR="00A332E5" w:rsidRDefault="00A332E5" w:rsidP="00A332E5">
      <w:pPr>
        <w:adjustRightInd w:val="0"/>
        <w:snapToGrid w:val="0"/>
        <w:spacing w:line="360" w:lineRule="auto"/>
        <w:jc w:val="both"/>
      </w:pPr>
      <w:r>
        <w:t>Model 2 omits external debt to evaluate whether monetary policy efficiency remains a robust determinant of capital flight in the absence of debt-related external vulnerability.</w:t>
      </w:r>
    </w:p>
    <w:p w14:paraId="03B4D984" w14:textId="127452CE" w:rsidR="00A332E5" w:rsidRDefault="003D678C" w:rsidP="00D236E3">
      <w:pPr>
        <w:spacing w:line="480" w:lineRule="auto"/>
        <w:ind w:firstLine="567"/>
        <w:jc w:val="both"/>
        <w:rPr>
          <w:rFonts w:eastAsia="Cambria"/>
          <w:iCs/>
          <w:color w:val="000000"/>
        </w:rPr>
      </w:pP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0</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MPE</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2</m:t>
            </m:r>
          </m:sub>
        </m:sSub>
        <m:sSub>
          <m:sSubPr>
            <m:ctrlPr>
              <w:rPr>
                <w:rFonts w:ascii="Cambria Math" w:hAnsi="Cambria Math"/>
                <w:i/>
                <w:color w:val="000000"/>
              </w:rPr>
            </m:ctrlPr>
          </m:sSubPr>
          <m:e>
            <m:r>
              <w:rPr>
                <w:rFonts w:ascii="Cambria Math" w:hAnsi="Cambria Math"/>
                <w:color w:val="000000"/>
              </w:rPr>
              <m:t>VOL</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3</m:t>
            </m:r>
          </m:sub>
        </m:sSub>
        <m:sSub>
          <m:sSubPr>
            <m:ctrlPr>
              <w:rPr>
                <w:rFonts w:ascii="Cambria Math" w:hAnsi="Cambria Math"/>
                <w:i/>
                <w:color w:val="000000"/>
              </w:rPr>
            </m:ctrlPr>
          </m:sSubPr>
          <m:e>
            <m:r>
              <w:rPr>
                <w:rFonts w:ascii="Cambria Math" w:hAnsi="Cambria Math"/>
                <w:color w:val="000000"/>
              </w:rPr>
              <m:t>CAP</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4</m:t>
            </m:r>
          </m:sub>
        </m:sSub>
        <m:sSub>
          <m:sSubPr>
            <m:ctrlPr>
              <w:rPr>
                <w:rFonts w:ascii="Cambria Math" w:hAnsi="Cambria Math"/>
                <w:i/>
                <w:color w:val="000000"/>
              </w:rPr>
            </m:ctrlPr>
          </m:sSubPr>
          <m:e>
            <m:r>
              <w:rPr>
                <w:rFonts w:ascii="Cambria Math" w:hAnsi="Cambria Math"/>
                <w:color w:val="000000"/>
              </w:rPr>
              <m:t>TO</m:t>
            </m:r>
          </m:e>
          <m:sub>
            <m:r>
              <w:rPr>
                <w:rFonts w:ascii="Cambria Math" w:hAnsi="Cambria Math"/>
                <w:color w:val="000000"/>
              </w:rPr>
              <m:t>it</m:t>
            </m:r>
          </m:sub>
        </m:sSub>
        <m:sSub>
          <m:sSubPr>
            <m:ctrlPr>
              <w:rPr>
                <w:rFonts w:ascii="Cambria Math" w:eastAsia="Cambria" w:hAnsi="Cambria Math"/>
                <w:i/>
                <w:color w:val="000000"/>
                <w:vertAlign w:val="subscript"/>
              </w:rPr>
            </m:ctrlPr>
          </m:sSubPr>
          <m:e>
            <m:r>
              <w:rPr>
                <w:rFonts w:ascii="Cambria Math" w:eastAsia="Cambria" w:hAnsi="Cambria Math"/>
                <w:color w:val="000000"/>
                <w:vertAlign w:val="subscript"/>
              </w:rPr>
              <m:t>+</m:t>
            </m:r>
            <m:r>
              <w:rPr>
                <w:rFonts w:ascii="Cambria Math" w:hAnsi="Cambria Math"/>
                <w:color w:val="000000"/>
              </w:rPr>
              <m:t xml:space="preserve"> </m:t>
            </m:r>
            <m:r>
              <w:rPr>
                <w:rFonts w:ascii="Cambria Math" w:eastAsia="Cambria" w:hAnsi="Cambria Math"/>
                <w:color w:val="000000"/>
                <w:vertAlign w:val="subscript"/>
              </w:rPr>
              <m:t>ε</m:t>
            </m:r>
          </m:e>
          <m:sub>
            <m:r>
              <w:rPr>
                <w:rFonts w:ascii="Cambria Math" w:eastAsia="Cambria" w:hAnsi="Cambria Math"/>
                <w:color w:val="000000"/>
                <w:vertAlign w:val="subscript"/>
              </w:rPr>
              <m:t>it</m:t>
            </m:r>
          </m:sub>
        </m:sSub>
      </m:oMath>
      <w:r w:rsidR="00A332E5" w:rsidRPr="00861DBA">
        <w:rPr>
          <w:rFonts w:eastAsia="Cambria"/>
          <w:i/>
          <w:color w:val="000000"/>
          <w:vertAlign w:val="subscript"/>
        </w:rPr>
        <w:t xml:space="preserve"> </w:t>
      </w:r>
      <w:r w:rsidR="00A332E5" w:rsidRPr="00861DBA">
        <w:rPr>
          <w:rFonts w:eastAsia="Cambria"/>
          <w:iCs/>
          <w:color w:val="000000"/>
        </w:rPr>
        <w:t xml:space="preserve">              </w:t>
      </w:r>
      <w:r w:rsidR="00A332E5" w:rsidRPr="00861DBA">
        <w:rPr>
          <w:rFonts w:eastAsia="Cambria"/>
          <w:iCs/>
          <w:color w:val="000000"/>
        </w:rPr>
        <w:tab/>
        <w:t xml:space="preserve"> (</w:t>
      </w:r>
      <w:r w:rsidR="00A332E5">
        <w:rPr>
          <w:rFonts w:eastAsia="Cambria"/>
          <w:iCs/>
          <w:color w:val="000000"/>
        </w:rPr>
        <w:t>2</w:t>
      </w:r>
      <w:r w:rsidR="00A332E5" w:rsidRPr="00861DBA">
        <w:rPr>
          <w:rFonts w:eastAsia="Cambria"/>
          <w:iCs/>
          <w:color w:val="000000"/>
        </w:rPr>
        <w:t>)</w:t>
      </w:r>
    </w:p>
    <w:p w14:paraId="051CD46C" w14:textId="1B217B95" w:rsidR="00A332E5" w:rsidRDefault="00A332E5" w:rsidP="00A332E5">
      <w:pPr>
        <w:spacing w:line="480" w:lineRule="auto"/>
        <w:jc w:val="both"/>
        <w:rPr>
          <w:b/>
          <w:bCs/>
          <w:i/>
          <w:iCs/>
          <w:lang w:val="en-US" w:eastAsia="zh-CN"/>
        </w:rPr>
      </w:pPr>
      <w:r>
        <w:t>Model 3 removes exchange rate volatility to examine whether the effects of monetary policy efficiency and external debt remain stable when short-term currency uncertainty is excluded from the model.</w:t>
      </w:r>
    </w:p>
    <w:p w14:paraId="2CC93841" w14:textId="2A4B2EB2" w:rsidR="00A332E5" w:rsidRDefault="003D678C" w:rsidP="00A332E5">
      <w:pPr>
        <w:spacing w:line="480" w:lineRule="auto"/>
        <w:ind w:firstLine="567"/>
        <w:jc w:val="both"/>
        <w:rPr>
          <w:rFonts w:eastAsia="Cambria"/>
          <w:iCs/>
          <w:color w:val="000000"/>
        </w:rPr>
      </w:pP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0</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MPE</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2</m:t>
            </m:r>
          </m:sub>
        </m:sSub>
        <m:sSub>
          <m:sSubPr>
            <m:ctrlPr>
              <w:rPr>
                <w:rFonts w:ascii="Cambria Math" w:hAnsi="Cambria Math"/>
                <w:i/>
                <w:color w:val="000000"/>
              </w:rPr>
            </m:ctrlPr>
          </m:sSubPr>
          <m:e>
            <m:r>
              <w:rPr>
                <w:rFonts w:ascii="Cambria Math" w:hAnsi="Cambria Math"/>
                <w:color w:val="000000"/>
              </w:rPr>
              <m:t>ED</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3</m:t>
            </m:r>
          </m:sub>
        </m:sSub>
        <m:sSub>
          <m:sSubPr>
            <m:ctrlPr>
              <w:rPr>
                <w:rFonts w:ascii="Cambria Math" w:hAnsi="Cambria Math"/>
                <w:i/>
                <w:color w:val="000000"/>
              </w:rPr>
            </m:ctrlPr>
          </m:sSubPr>
          <m:e>
            <m:r>
              <w:rPr>
                <w:rFonts w:ascii="Cambria Math" w:hAnsi="Cambria Math"/>
                <w:color w:val="000000"/>
              </w:rPr>
              <m:t>CAP</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4</m:t>
            </m:r>
          </m:sub>
        </m:sSub>
        <m:sSub>
          <m:sSubPr>
            <m:ctrlPr>
              <w:rPr>
                <w:rFonts w:ascii="Cambria Math" w:hAnsi="Cambria Math"/>
                <w:i/>
                <w:color w:val="000000"/>
              </w:rPr>
            </m:ctrlPr>
          </m:sSubPr>
          <m:e>
            <m:r>
              <w:rPr>
                <w:rFonts w:ascii="Cambria Math" w:hAnsi="Cambria Math"/>
                <w:color w:val="000000"/>
              </w:rPr>
              <m:t>TO</m:t>
            </m:r>
          </m:e>
          <m:sub>
            <m:r>
              <w:rPr>
                <w:rFonts w:ascii="Cambria Math" w:hAnsi="Cambria Math"/>
                <w:color w:val="000000"/>
              </w:rPr>
              <m:t>it</m:t>
            </m:r>
          </m:sub>
        </m:sSub>
        <m:sSub>
          <m:sSubPr>
            <m:ctrlPr>
              <w:rPr>
                <w:rFonts w:ascii="Cambria Math" w:eastAsia="Cambria" w:hAnsi="Cambria Math"/>
                <w:i/>
                <w:color w:val="000000"/>
                <w:vertAlign w:val="subscript"/>
              </w:rPr>
            </m:ctrlPr>
          </m:sSubPr>
          <m:e>
            <m:r>
              <w:rPr>
                <w:rFonts w:ascii="Cambria Math" w:eastAsia="Cambria" w:hAnsi="Cambria Math"/>
                <w:color w:val="000000"/>
                <w:vertAlign w:val="subscript"/>
              </w:rPr>
              <m:t>+</m:t>
            </m:r>
            <m:r>
              <w:rPr>
                <w:rFonts w:ascii="Cambria Math" w:hAnsi="Cambria Math"/>
                <w:color w:val="000000"/>
              </w:rPr>
              <m:t xml:space="preserve"> </m:t>
            </m:r>
            <m:r>
              <w:rPr>
                <w:rFonts w:ascii="Cambria Math" w:eastAsia="Cambria" w:hAnsi="Cambria Math"/>
                <w:color w:val="000000"/>
                <w:vertAlign w:val="subscript"/>
              </w:rPr>
              <m:t>ε</m:t>
            </m:r>
          </m:e>
          <m:sub>
            <m:r>
              <w:rPr>
                <w:rFonts w:ascii="Cambria Math" w:eastAsia="Cambria" w:hAnsi="Cambria Math"/>
                <w:color w:val="000000"/>
                <w:vertAlign w:val="subscript"/>
              </w:rPr>
              <m:t>it</m:t>
            </m:r>
          </m:sub>
        </m:sSub>
      </m:oMath>
      <w:r w:rsidR="00A332E5" w:rsidRPr="00861DBA">
        <w:rPr>
          <w:rFonts w:eastAsia="Cambria"/>
          <w:i/>
          <w:color w:val="000000"/>
          <w:vertAlign w:val="subscript"/>
        </w:rPr>
        <w:t xml:space="preserve"> </w:t>
      </w:r>
      <w:r w:rsidR="00A332E5" w:rsidRPr="00861DBA">
        <w:rPr>
          <w:rFonts w:eastAsia="Cambria"/>
          <w:iCs/>
          <w:color w:val="000000"/>
        </w:rPr>
        <w:t xml:space="preserve">              </w:t>
      </w:r>
      <w:r w:rsidR="00A332E5" w:rsidRPr="00861DBA">
        <w:rPr>
          <w:rFonts w:eastAsia="Cambria"/>
          <w:iCs/>
          <w:color w:val="000000"/>
        </w:rPr>
        <w:tab/>
        <w:t xml:space="preserve"> (</w:t>
      </w:r>
      <w:r w:rsidR="00A332E5">
        <w:rPr>
          <w:rFonts w:eastAsia="Cambria"/>
          <w:iCs/>
          <w:color w:val="000000"/>
        </w:rPr>
        <w:t>3</w:t>
      </w:r>
      <w:r w:rsidR="00A332E5" w:rsidRPr="00861DBA">
        <w:rPr>
          <w:rFonts w:eastAsia="Cambria"/>
          <w:iCs/>
          <w:color w:val="000000"/>
        </w:rPr>
        <w:t>)</w:t>
      </w:r>
    </w:p>
    <w:p w14:paraId="069CAF27" w14:textId="228BB7A0" w:rsidR="00A332E5" w:rsidRDefault="00A332E5" w:rsidP="00A332E5">
      <w:pPr>
        <w:spacing w:line="480" w:lineRule="auto"/>
        <w:jc w:val="both"/>
        <w:rPr>
          <w:b/>
          <w:bCs/>
          <w:i/>
          <w:iCs/>
          <w:lang w:val="en-US" w:eastAsia="zh-CN"/>
        </w:rPr>
      </w:pPr>
      <w:r>
        <w:t>Model 4 represents the full specification and serves as the main empirical model of the study. It incorporates all explanatory variables derived from the theoretical framework, thereby allowing a comprehensive assessment of the long-run and short-run determinants of capital flight in developing economies.</w:t>
      </w:r>
    </w:p>
    <w:p w14:paraId="19F83950" w14:textId="79B8CA70" w:rsidR="00A332E5" w:rsidRDefault="003D678C" w:rsidP="00D236E3">
      <w:pPr>
        <w:spacing w:line="480" w:lineRule="auto"/>
        <w:ind w:firstLine="567"/>
        <w:jc w:val="both"/>
        <w:rPr>
          <w:b/>
          <w:bCs/>
          <w:i/>
          <w:iCs/>
          <w:lang w:val="en-US" w:eastAsia="zh-CN"/>
        </w:rPr>
      </w:pP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0</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MPE</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2</m:t>
            </m:r>
          </m:sub>
        </m:sSub>
        <m:sSub>
          <m:sSubPr>
            <m:ctrlPr>
              <w:rPr>
                <w:rFonts w:ascii="Cambria Math" w:hAnsi="Cambria Math"/>
                <w:i/>
                <w:color w:val="000000"/>
              </w:rPr>
            </m:ctrlPr>
          </m:sSubPr>
          <m:e>
            <m:r>
              <w:rPr>
                <w:rFonts w:ascii="Cambria Math" w:hAnsi="Cambria Math"/>
                <w:color w:val="000000"/>
              </w:rPr>
              <m:t>ED</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3</m:t>
            </m:r>
          </m:sub>
        </m:sSub>
        <m:sSub>
          <m:sSubPr>
            <m:ctrlPr>
              <w:rPr>
                <w:rFonts w:ascii="Cambria Math" w:hAnsi="Cambria Math"/>
                <w:i/>
                <w:color w:val="000000"/>
              </w:rPr>
            </m:ctrlPr>
          </m:sSubPr>
          <m:e>
            <m:r>
              <w:rPr>
                <w:rFonts w:ascii="Cambria Math" w:hAnsi="Cambria Math"/>
                <w:color w:val="000000"/>
              </w:rPr>
              <m:t>VOL</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4</m:t>
            </m:r>
          </m:sub>
        </m:sSub>
        <m:sSub>
          <m:sSubPr>
            <m:ctrlPr>
              <w:rPr>
                <w:rFonts w:ascii="Cambria Math" w:hAnsi="Cambria Math"/>
                <w:i/>
                <w:color w:val="000000"/>
              </w:rPr>
            </m:ctrlPr>
          </m:sSubPr>
          <m:e>
            <m:r>
              <w:rPr>
                <w:rFonts w:ascii="Cambria Math" w:hAnsi="Cambria Math"/>
                <w:color w:val="000000"/>
              </w:rPr>
              <m:t>CAP</m:t>
            </m:r>
          </m:e>
          <m:sub>
            <m:r>
              <w:rPr>
                <w:rFonts w:ascii="Cambria Math" w:hAnsi="Cambria Math"/>
                <w:color w:val="000000"/>
              </w:rPr>
              <m:t>it</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rPr>
              <m:t>5</m:t>
            </m:r>
          </m:sub>
        </m:sSub>
        <m:sSub>
          <m:sSubPr>
            <m:ctrlPr>
              <w:rPr>
                <w:rFonts w:ascii="Cambria Math" w:hAnsi="Cambria Math"/>
                <w:i/>
                <w:color w:val="000000"/>
              </w:rPr>
            </m:ctrlPr>
          </m:sSubPr>
          <m:e>
            <m:r>
              <w:rPr>
                <w:rFonts w:ascii="Cambria Math" w:hAnsi="Cambria Math"/>
                <w:color w:val="000000"/>
              </w:rPr>
              <m:t>TO</m:t>
            </m:r>
          </m:e>
          <m:sub>
            <m:r>
              <w:rPr>
                <w:rFonts w:ascii="Cambria Math" w:hAnsi="Cambria Math"/>
                <w:color w:val="000000"/>
              </w:rPr>
              <m:t>it</m:t>
            </m:r>
          </m:sub>
        </m:sSub>
        <m:sSub>
          <m:sSubPr>
            <m:ctrlPr>
              <w:rPr>
                <w:rFonts w:ascii="Cambria Math" w:eastAsia="Cambria" w:hAnsi="Cambria Math"/>
                <w:i/>
                <w:color w:val="000000"/>
                <w:vertAlign w:val="subscript"/>
              </w:rPr>
            </m:ctrlPr>
          </m:sSubPr>
          <m:e>
            <m:r>
              <w:rPr>
                <w:rFonts w:ascii="Cambria Math" w:eastAsia="Cambria" w:hAnsi="Cambria Math"/>
                <w:color w:val="000000"/>
                <w:vertAlign w:val="subscript"/>
              </w:rPr>
              <m:t>+</m:t>
            </m:r>
            <m:r>
              <w:rPr>
                <w:rFonts w:ascii="Cambria Math" w:hAnsi="Cambria Math"/>
                <w:color w:val="000000"/>
              </w:rPr>
              <m:t xml:space="preserve"> </m:t>
            </m:r>
            <m:r>
              <w:rPr>
                <w:rFonts w:ascii="Cambria Math" w:eastAsia="Cambria" w:hAnsi="Cambria Math"/>
                <w:color w:val="000000"/>
                <w:vertAlign w:val="subscript"/>
              </w:rPr>
              <m:t>ε</m:t>
            </m:r>
          </m:e>
          <m:sub>
            <m:r>
              <w:rPr>
                <w:rFonts w:ascii="Cambria Math" w:eastAsia="Cambria" w:hAnsi="Cambria Math"/>
                <w:color w:val="000000"/>
                <w:vertAlign w:val="subscript"/>
              </w:rPr>
              <m:t>it</m:t>
            </m:r>
          </m:sub>
        </m:sSub>
      </m:oMath>
      <w:r w:rsidR="00A332E5" w:rsidRPr="00861DBA">
        <w:rPr>
          <w:rFonts w:eastAsia="Cambria"/>
          <w:i/>
          <w:color w:val="000000"/>
          <w:vertAlign w:val="subscript"/>
        </w:rPr>
        <w:t xml:space="preserve"> </w:t>
      </w:r>
      <w:r w:rsidR="00A332E5" w:rsidRPr="00861DBA">
        <w:rPr>
          <w:rFonts w:eastAsia="Cambria"/>
          <w:iCs/>
          <w:color w:val="000000"/>
        </w:rPr>
        <w:t xml:space="preserve">   (</w:t>
      </w:r>
      <w:r w:rsidR="00A332E5">
        <w:rPr>
          <w:rFonts w:eastAsia="Cambria"/>
          <w:iCs/>
          <w:color w:val="000000"/>
        </w:rPr>
        <w:t>4</w:t>
      </w:r>
      <w:r w:rsidR="00A332E5" w:rsidRPr="00861DBA">
        <w:rPr>
          <w:rFonts w:eastAsia="Cambria"/>
          <w:iCs/>
          <w:color w:val="000000"/>
        </w:rPr>
        <w:t>)</w:t>
      </w:r>
    </w:p>
    <w:p w14:paraId="78DDBD1E" w14:textId="41120964" w:rsidR="00A332E5" w:rsidRPr="00A332E5" w:rsidRDefault="00A332E5" w:rsidP="00A332E5">
      <w:pPr>
        <w:pStyle w:val="NormalWeb"/>
        <w:adjustRightInd w:val="0"/>
        <w:snapToGrid w:val="0"/>
        <w:spacing w:before="0" w:beforeAutospacing="0" w:after="0" w:afterAutospacing="0" w:line="360" w:lineRule="auto"/>
      </w:pPr>
      <w:r w:rsidRPr="00A332E5">
        <w:t xml:space="preserve">where </w:t>
      </w:r>
      <m:oMath>
        <m:sSub>
          <m:sSubPr>
            <m:ctrlPr>
              <w:rPr>
                <w:rFonts w:ascii="Cambria Math" w:hAnsi="Cambria Math"/>
                <w:i/>
                <w:color w:val="000000"/>
                <w:lang w:val="en-GB"/>
              </w:rPr>
            </m:ctrlPr>
          </m:sSubPr>
          <m:e>
            <m:r>
              <w:rPr>
                <w:rFonts w:ascii="Cambria Math" w:hAnsi="Cambria Math"/>
                <w:color w:val="000000"/>
              </w:rPr>
              <m:t>CF</m:t>
            </m:r>
          </m:e>
          <m:sub>
            <m:r>
              <w:rPr>
                <w:rFonts w:ascii="Cambria Math" w:hAnsi="Cambria Math"/>
                <w:color w:val="000000"/>
                <w:lang w:val="en-GB"/>
              </w:rPr>
              <m:t>it</m:t>
            </m:r>
          </m:sub>
        </m:sSub>
      </m:oMath>
      <w:r w:rsidRPr="00A332E5">
        <w:t xml:space="preserve">denotes capital flight in country </w:t>
      </w:r>
      <w:r w:rsidRPr="00A332E5">
        <w:rPr>
          <w:rStyle w:val="mord"/>
        </w:rPr>
        <w:t>i</w:t>
      </w:r>
      <w:r w:rsidRPr="00A332E5">
        <w:t xml:space="preserve"> at time </w:t>
      </w:r>
      <w:r w:rsidRPr="00A332E5">
        <w:rPr>
          <w:rStyle w:val="mord"/>
        </w:rPr>
        <w:t>t</w:t>
      </w:r>
      <w:r w:rsidRPr="00A332E5">
        <w:t xml:space="preserve">, </w:t>
      </w:r>
      <m:oMath>
        <m:sSub>
          <m:sSubPr>
            <m:ctrlPr>
              <w:rPr>
                <w:rFonts w:ascii="Cambria Math" w:hAnsi="Cambria Math"/>
                <w:i/>
                <w:color w:val="000000"/>
                <w:lang w:val="en-GB"/>
              </w:rPr>
            </m:ctrlPr>
          </m:sSubPr>
          <m:e>
            <m:r>
              <w:rPr>
                <w:rFonts w:ascii="Cambria Math" w:hAnsi="Cambria Math"/>
                <w:color w:val="000000"/>
              </w:rPr>
              <m:t>MPE</m:t>
            </m:r>
          </m:e>
          <m:sub>
            <m:r>
              <w:rPr>
                <w:rFonts w:ascii="Cambria Math" w:hAnsi="Cambria Math"/>
                <w:color w:val="000000"/>
                <w:lang w:val="en-GB"/>
              </w:rPr>
              <m:t>it</m:t>
            </m:r>
          </m:sub>
        </m:sSub>
      </m:oMath>
      <w:r w:rsidRPr="00A332E5">
        <w:rPr>
          <w:rStyle w:val="vlist-s"/>
        </w:rPr>
        <w:t>​</w:t>
      </w:r>
      <w:r w:rsidRPr="00A332E5">
        <w:t xml:space="preserve"> is monetary policy efficiency, </w:t>
      </w:r>
      <m:oMath>
        <m:sSub>
          <m:sSubPr>
            <m:ctrlPr>
              <w:rPr>
                <w:rFonts w:ascii="Cambria Math" w:hAnsi="Cambria Math"/>
                <w:i/>
                <w:color w:val="000000"/>
                <w:lang w:val="en-GB"/>
              </w:rPr>
            </m:ctrlPr>
          </m:sSubPr>
          <m:e>
            <m:r>
              <w:rPr>
                <w:rFonts w:ascii="Cambria Math" w:hAnsi="Cambria Math"/>
                <w:color w:val="000000"/>
              </w:rPr>
              <m:t>ED</m:t>
            </m:r>
          </m:e>
          <m:sub>
            <m:r>
              <w:rPr>
                <w:rFonts w:ascii="Cambria Math" w:hAnsi="Cambria Math"/>
                <w:color w:val="000000"/>
                <w:lang w:val="en-GB"/>
              </w:rPr>
              <m:t>it</m:t>
            </m:r>
          </m:sub>
        </m:sSub>
      </m:oMath>
      <w:r w:rsidRPr="00A332E5">
        <w:t xml:space="preserve"> is external debt, </w:t>
      </w:r>
      <m:oMath>
        <m:sSub>
          <m:sSubPr>
            <m:ctrlPr>
              <w:rPr>
                <w:rFonts w:ascii="Cambria Math" w:hAnsi="Cambria Math"/>
                <w:i/>
                <w:color w:val="000000"/>
                <w:lang w:val="en-GB"/>
              </w:rPr>
            </m:ctrlPr>
          </m:sSubPr>
          <m:e>
            <m:r>
              <w:rPr>
                <w:rFonts w:ascii="Cambria Math" w:hAnsi="Cambria Math"/>
                <w:color w:val="000000"/>
              </w:rPr>
              <m:t>VOL</m:t>
            </m:r>
          </m:e>
          <m:sub>
            <m:r>
              <w:rPr>
                <w:rFonts w:ascii="Cambria Math" w:hAnsi="Cambria Math"/>
                <w:color w:val="000000"/>
                <w:lang w:val="en-GB"/>
              </w:rPr>
              <m:t>it</m:t>
            </m:r>
          </m:sub>
        </m:sSub>
      </m:oMath>
      <w:r w:rsidRPr="00A332E5">
        <w:t xml:space="preserve"> is exchange rate volatility, </w:t>
      </w:r>
      <w:r w:rsidRPr="00A332E5">
        <w:rPr>
          <w:rStyle w:val="katex-mathml"/>
        </w:rPr>
        <w:t>C</w:t>
      </w:r>
      <m:oMath>
        <m:sSub>
          <m:sSubPr>
            <m:ctrlPr>
              <w:rPr>
                <w:rFonts w:ascii="Cambria Math" w:hAnsi="Cambria Math"/>
                <w:i/>
                <w:color w:val="000000"/>
                <w:lang w:val="en-GB"/>
              </w:rPr>
            </m:ctrlPr>
          </m:sSubPr>
          <m:e>
            <m:r>
              <w:rPr>
                <w:rFonts w:ascii="Cambria Math" w:hAnsi="Cambria Math"/>
                <w:color w:val="000000"/>
              </w:rPr>
              <m:t>CAP</m:t>
            </m:r>
          </m:e>
          <m:sub>
            <m:r>
              <w:rPr>
                <w:rFonts w:ascii="Cambria Math" w:hAnsi="Cambria Math"/>
                <w:color w:val="000000"/>
                <w:lang w:val="en-GB"/>
              </w:rPr>
              <m:t>it</m:t>
            </m:r>
          </m:sub>
        </m:sSub>
      </m:oMath>
      <w:r w:rsidRPr="00A332E5">
        <w:t xml:space="preserve"> is capital control, and </w:t>
      </w:r>
      <m:oMath>
        <m:sSub>
          <m:sSubPr>
            <m:ctrlPr>
              <w:rPr>
                <w:rFonts w:ascii="Cambria Math" w:hAnsi="Cambria Math"/>
                <w:i/>
                <w:color w:val="000000"/>
                <w:lang w:val="en-GB"/>
              </w:rPr>
            </m:ctrlPr>
          </m:sSubPr>
          <m:e>
            <m:r>
              <w:rPr>
                <w:rFonts w:ascii="Cambria Math" w:hAnsi="Cambria Math"/>
                <w:color w:val="000000"/>
              </w:rPr>
              <m:t>TO</m:t>
            </m:r>
          </m:e>
          <m:sub>
            <m:r>
              <w:rPr>
                <w:rFonts w:ascii="Cambria Math" w:hAnsi="Cambria Math"/>
                <w:color w:val="000000"/>
                <w:lang w:val="en-GB"/>
              </w:rPr>
              <m:t>it</m:t>
            </m:r>
          </m:sub>
        </m:sSub>
      </m:oMath>
      <w:r w:rsidRPr="00A332E5">
        <w:rPr>
          <w:rStyle w:val="vlist-s"/>
        </w:rPr>
        <w:t>​</w:t>
      </w:r>
      <w:r w:rsidRPr="00A332E5">
        <w:t xml:space="preserve"> is trade openness. </w:t>
      </w:r>
    </w:p>
    <w:p w14:paraId="3773FAE4" w14:textId="77777777" w:rsidR="004429D2" w:rsidRPr="004429D2" w:rsidRDefault="004429D2" w:rsidP="004429D2">
      <w:pPr>
        <w:adjustRightInd w:val="0"/>
        <w:snapToGrid w:val="0"/>
        <w:spacing w:line="360" w:lineRule="auto"/>
        <w:ind w:firstLine="720"/>
        <w:jc w:val="both"/>
        <w:rPr>
          <w:lang w:val="id-ID" w:eastAsia="id-ID"/>
        </w:rPr>
      </w:pPr>
    </w:p>
    <w:p w14:paraId="168227E6" w14:textId="3A193AD1" w:rsidR="00A93BCA" w:rsidRPr="00A93BCA" w:rsidRDefault="00A93BCA" w:rsidP="00A332E5">
      <w:pPr>
        <w:adjustRightInd w:val="0"/>
        <w:snapToGrid w:val="0"/>
        <w:spacing w:line="360" w:lineRule="auto"/>
        <w:ind w:firstLine="720"/>
        <w:jc w:val="both"/>
        <w:rPr>
          <w:lang w:val="id-ID" w:eastAsia="id-ID"/>
        </w:rPr>
      </w:pPr>
      <w:r w:rsidRPr="00A93BCA">
        <w:rPr>
          <w:lang w:val="id-ID" w:eastAsia="id-ID"/>
        </w:rPr>
        <w:t xml:space="preserve">The expected signs for the coefficients are derived directly from theory. For instance, if monetary policy works more efficiently, then the expected sign for the coefficient on the </w:t>
      </w:r>
      <w:r w:rsidRPr="00A93BCA">
        <w:rPr>
          <w:lang w:val="id-ID" w:eastAsia="id-ID"/>
        </w:rPr>
        <w:lastRenderedPageBreak/>
        <w:t>variable representing monetary policy will be negative, implying that capital flight will fall as macroeconomic stability and investor sentiment rise. Conversely, the expected sign for the coefficient on the variable representing external debt will be positive, implying that the more external debt and exchange rate volatility, the more capital flight.</w:t>
      </w:r>
      <w:r w:rsidR="00A332E5">
        <w:rPr>
          <w:lang w:val="id-ID" w:eastAsia="id-ID"/>
        </w:rPr>
        <w:t xml:space="preserve"> </w:t>
      </w:r>
      <w:r w:rsidRPr="00A93BCA">
        <w:rPr>
          <w:lang w:val="id-ID" w:eastAsia="id-ID"/>
        </w:rPr>
        <w:t>The empirical model will be estimated with the Pooled Mean Group (PMG) estimator developed by Pesaran, Shin, and Smith (1999) to investigate the link between capital flight and its determinants. This method is based on the panel ARDL model, which allows the short-run dynamics to vary across countries while keeping the long-run relationships the same.</w:t>
      </w:r>
    </w:p>
    <w:p w14:paraId="37A558CA" w14:textId="1A415715" w:rsidR="00D5375B" w:rsidRDefault="00A93BCA" w:rsidP="00A332E5">
      <w:pPr>
        <w:adjustRightInd w:val="0"/>
        <w:snapToGrid w:val="0"/>
        <w:spacing w:line="360" w:lineRule="auto"/>
        <w:ind w:firstLine="720"/>
        <w:jc w:val="both"/>
        <w:rPr>
          <w:lang w:val="id-ID" w:eastAsia="id-ID"/>
        </w:rPr>
      </w:pPr>
      <w:r w:rsidRPr="00A93BCA">
        <w:rPr>
          <w:lang w:val="id-ID" w:eastAsia="id-ID"/>
        </w:rPr>
        <w:t>The choice of the PMG estimator has strong foundations. First, the variables included in the model could be of different orders of integration, making the use of the ARDL model appropriate, as it can accommodate variables of both orders of integration, namely, I(0) and I(1). Second, the PMG model assumes a common long-run link between capital flight and its determinants in the developing economies, which is in line with the theory, which assumes that despite the short-run differences in the impact of the determinants on the dependent variable, the long-run link between the variables will be the same and will be driven by the structural factors influencing the macroeconomy, such as the credibility of monetary policy and the impact of external finance.</w:t>
      </w:r>
    </w:p>
    <w:p w14:paraId="609998A4" w14:textId="77777777" w:rsidR="00D5375B" w:rsidRPr="00A95775" w:rsidRDefault="00D5375B" w:rsidP="00D5375B">
      <w:pPr>
        <w:spacing w:line="360" w:lineRule="auto"/>
        <w:jc w:val="both"/>
      </w:pPr>
    </w:p>
    <w:p w14:paraId="23622B7B" w14:textId="77777777" w:rsidR="00C17472" w:rsidRPr="002B7994" w:rsidRDefault="00C17472" w:rsidP="00C17472">
      <w:pPr>
        <w:pStyle w:val="ListParagraph"/>
        <w:numPr>
          <w:ilvl w:val="0"/>
          <w:numId w:val="20"/>
        </w:numPr>
        <w:tabs>
          <w:tab w:val="right" w:pos="13892"/>
        </w:tabs>
        <w:spacing w:after="0" w:line="288" w:lineRule="auto"/>
        <w:ind w:left="426" w:hanging="426"/>
        <w:rPr>
          <w:rFonts w:ascii="Times New Roman" w:eastAsiaTheme="minorEastAsia" w:hAnsi="Times New Roman" w:cs="Times New Roman"/>
          <w:b/>
          <w:bCs/>
          <w:sz w:val="24"/>
          <w:szCs w:val="24"/>
        </w:rPr>
      </w:pPr>
      <w:r w:rsidRPr="002B7994">
        <w:rPr>
          <w:rFonts w:ascii="Times New Roman" w:eastAsiaTheme="minorEastAsia" w:hAnsi="Times New Roman" w:cs="Times New Roman"/>
          <w:b/>
          <w:bCs/>
          <w:sz w:val="24"/>
          <w:szCs w:val="24"/>
        </w:rPr>
        <w:t>Results and Discussion</w:t>
      </w:r>
    </w:p>
    <w:p w14:paraId="082ADDB6" w14:textId="1845ED1C" w:rsidR="00C17472" w:rsidRPr="002B7994" w:rsidRDefault="005432E2" w:rsidP="00C17472">
      <w:pPr>
        <w:pStyle w:val="ListParagraph"/>
        <w:numPr>
          <w:ilvl w:val="1"/>
          <w:numId w:val="20"/>
        </w:numPr>
        <w:tabs>
          <w:tab w:val="right" w:pos="13892"/>
        </w:tabs>
        <w:spacing w:after="0" w:line="288" w:lineRule="auto"/>
        <w:ind w:left="426" w:hanging="426"/>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lang w:val="en-US"/>
        </w:rPr>
        <w:t>Unit Root Test</w:t>
      </w:r>
    </w:p>
    <w:p w14:paraId="30A99704" w14:textId="77777777" w:rsidR="00C17472" w:rsidRPr="002B7994" w:rsidRDefault="00C17472" w:rsidP="00C17472">
      <w:pPr>
        <w:pStyle w:val="BodyText"/>
        <w:jc w:val="both"/>
        <w:rPr>
          <w:b/>
          <w:bCs/>
          <w:color w:val="000000" w:themeColor="text1"/>
        </w:rPr>
      </w:pPr>
    </w:p>
    <w:p w14:paraId="59221064" w14:textId="0F3099A7" w:rsidR="005432E2" w:rsidRPr="00A332E5" w:rsidRDefault="005432E2" w:rsidP="00A332E5">
      <w:pPr>
        <w:pStyle w:val="Heading4"/>
        <w:jc w:val="center"/>
        <w:rPr>
          <w:rFonts w:cs="Times New Roman"/>
          <w:b/>
          <w:bCs/>
          <w:i w:val="0"/>
          <w:iCs w:val="0"/>
          <w:color w:val="auto"/>
          <w:sz w:val="20"/>
          <w:szCs w:val="20"/>
          <w:lang w:val="en-US"/>
        </w:rPr>
      </w:pPr>
      <w:bookmarkStart w:id="2" w:name="_Toc169361191"/>
      <w:bookmarkStart w:id="3" w:name="_Toc169361347"/>
      <w:r w:rsidRPr="00A332E5">
        <w:rPr>
          <w:rFonts w:cs="Times New Roman"/>
          <w:b/>
          <w:bCs/>
          <w:i w:val="0"/>
          <w:iCs w:val="0"/>
          <w:color w:val="auto"/>
          <w:sz w:val="20"/>
          <w:szCs w:val="20"/>
          <w:lang w:val="en-US"/>
        </w:rPr>
        <w:t>Tabl</w:t>
      </w:r>
      <w:r w:rsidR="00556FF8">
        <w:rPr>
          <w:rFonts w:cs="Times New Roman"/>
          <w:b/>
          <w:bCs/>
          <w:i w:val="0"/>
          <w:iCs w:val="0"/>
          <w:color w:val="auto"/>
          <w:sz w:val="20"/>
          <w:szCs w:val="20"/>
          <w:lang w:val="en-US"/>
        </w:rPr>
        <w:t>e</w:t>
      </w:r>
      <w:r w:rsidRPr="00A332E5">
        <w:rPr>
          <w:rFonts w:cs="Times New Roman"/>
          <w:b/>
          <w:bCs/>
          <w:i w:val="0"/>
          <w:iCs w:val="0"/>
          <w:color w:val="auto"/>
          <w:sz w:val="20"/>
          <w:szCs w:val="20"/>
          <w:lang w:val="en-US"/>
        </w:rPr>
        <w:t xml:space="preserve"> </w:t>
      </w:r>
      <w:r w:rsidR="00A332E5" w:rsidRPr="00A332E5">
        <w:rPr>
          <w:rFonts w:cs="Times New Roman"/>
          <w:b/>
          <w:bCs/>
          <w:i w:val="0"/>
          <w:iCs w:val="0"/>
          <w:color w:val="auto"/>
          <w:sz w:val="20"/>
          <w:szCs w:val="20"/>
          <w:lang w:val="en-US"/>
        </w:rPr>
        <w:t>2</w:t>
      </w:r>
      <w:r w:rsidR="005E4747" w:rsidRPr="00A332E5">
        <w:rPr>
          <w:rFonts w:cs="Times New Roman"/>
          <w:b/>
          <w:bCs/>
          <w:i w:val="0"/>
          <w:iCs w:val="0"/>
          <w:color w:val="auto"/>
          <w:sz w:val="20"/>
          <w:szCs w:val="20"/>
          <w:lang w:val="en-US"/>
        </w:rPr>
        <w:t>.</w:t>
      </w:r>
      <w:r w:rsidRPr="00A332E5">
        <w:rPr>
          <w:rFonts w:cs="Times New Roman"/>
          <w:b/>
          <w:bCs/>
          <w:i w:val="0"/>
          <w:iCs w:val="0"/>
          <w:color w:val="auto"/>
          <w:sz w:val="20"/>
          <w:szCs w:val="20"/>
          <w:lang w:val="en-US"/>
        </w:rPr>
        <w:t xml:space="preserve"> </w:t>
      </w:r>
      <w:bookmarkEnd w:id="2"/>
      <w:bookmarkEnd w:id="3"/>
      <w:r w:rsidR="00091076" w:rsidRPr="00A332E5">
        <w:rPr>
          <w:rFonts w:cs="Times New Roman"/>
          <w:b/>
          <w:bCs/>
          <w:i w:val="0"/>
          <w:iCs w:val="0"/>
          <w:color w:val="auto"/>
          <w:sz w:val="20"/>
          <w:szCs w:val="20"/>
          <w:lang w:val="en-US"/>
        </w:rPr>
        <w:t xml:space="preserve">Stationarity test of </w:t>
      </w:r>
      <w:r w:rsidR="00091076" w:rsidRPr="00A332E5">
        <w:rPr>
          <w:b/>
          <w:bCs/>
          <w:color w:val="000000"/>
          <w:sz w:val="20"/>
          <w:szCs w:val="20"/>
        </w:rPr>
        <w:t>ADF – Fisher Chi Square</w:t>
      </w:r>
    </w:p>
    <w:tbl>
      <w:tblPr>
        <w:tblW w:w="8647" w:type="dxa"/>
        <w:jc w:val="center"/>
        <w:tblLook w:val="04A0" w:firstRow="1" w:lastRow="0" w:firstColumn="1" w:lastColumn="0" w:noHBand="0" w:noVBand="1"/>
      </w:tblPr>
      <w:tblGrid>
        <w:gridCol w:w="2835"/>
        <w:gridCol w:w="1418"/>
        <w:gridCol w:w="1559"/>
        <w:gridCol w:w="1425"/>
        <w:gridCol w:w="1410"/>
      </w:tblGrid>
      <w:tr w:rsidR="00091076" w:rsidRPr="00A332E5" w14:paraId="64F201BB" w14:textId="77777777" w:rsidTr="00091076">
        <w:trPr>
          <w:trHeight w:val="316"/>
          <w:jc w:val="center"/>
        </w:trPr>
        <w:tc>
          <w:tcPr>
            <w:tcW w:w="2835" w:type="dxa"/>
            <w:vMerge w:val="restart"/>
            <w:tcBorders>
              <w:top w:val="single" w:sz="4" w:space="0" w:color="auto"/>
              <w:left w:val="nil"/>
              <w:right w:val="nil"/>
            </w:tcBorders>
            <w:noWrap/>
            <w:vAlign w:val="center"/>
          </w:tcPr>
          <w:p w14:paraId="5E492EFC" w14:textId="2BFFA87F" w:rsidR="00091076" w:rsidRPr="00A332E5" w:rsidRDefault="00556FF8" w:rsidP="00091076">
            <w:pPr>
              <w:jc w:val="center"/>
              <w:rPr>
                <w:b/>
                <w:bCs/>
                <w:color w:val="000000"/>
                <w:sz w:val="20"/>
                <w:szCs w:val="20"/>
              </w:rPr>
            </w:pPr>
            <w:r w:rsidRPr="00556FF8">
              <w:rPr>
                <w:b/>
                <w:bCs/>
                <w:color w:val="000000"/>
                <w:sz w:val="20"/>
                <w:szCs w:val="20"/>
              </w:rPr>
              <w:t>Variables</w:t>
            </w:r>
          </w:p>
        </w:tc>
        <w:tc>
          <w:tcPr>
            <w:tcW w:w="2977" w:type="dxa"/>
            <w:gridSpan w:val="2"/>
            <w:tcBorders>
              <w:top w:val="single" w:sz="4" w:space="0" w:color="auto"/>
              <w:left w:val="nil"/>
              <w:bottom w:val="single" w:sz="4" w:space="0" w:color="auto"/>
              <w:right w:val="nil"/>
            </w:tcBorders>
          </w:tcPr>
          <w:p w14:paraId="2E13CE37" w14:textId="25DBC36A" w:rsidR="00091076" w:rsidRPr="00A332E5" w:rsidRDefault="00091076" w:rsidP="00077132">
            <w:pPr>
              <w:jc w:val="center"/>
              <w:rPr>
                <w:b/>
                <w:bCs/>
                <w:color w:val="000000"/>
                <w:sz w:val="20"/>
                <w:szCs w:val="20"/>
              </w:rPr>
            </w:pPr>
            <w:r w:rsidRPr="00A332E5">
              <w:rPr>
                <w:b/>
                <w:bCs/>
                <w:color w:val="000000"/>
                <w:sz w:val="20"/>
                <w:szCs w:val="20"/>
              </w:rPr>
              <w:t>Level</w:t>
            </w:r>
          </w:p>
        </w:tc>
        <w:tc>
          <w:tcPr>
            <w:tcW w:w="2835" w:type="dxa"/>
            <w:gridSpan w:val="2"/>
            <w:tcBorders>
              <w:top w:val="single" w:sz="4" w:space="0" w:color="auto"/>
              <w:left w:val="nil"/>
              <w:bottom w:val="single" w:sz="4" w:space="0" w:color="auto"/>
              <w:right w:val="nil"/>
            </w:tcBorders>
            <w:vAlign w:val="center"/>
          </w:tcPr>
          <w:p w14:paraId="653CB4D3" w14:textId="7A4B193A" w:rsidR="00091076" w:rsidRPr="00A332E5" w:rsidRDefault="00091076" w:rsidP="00077132">
            <w:pPr>
              <w:jc w:val="center"/>
              <w:rPr>
                <w:b/>
                <w:bCs/>
                <w:color w:val="000000"/>
                <w:sz w:val="20"/>
                <w:szCs w:val="20"/>
              </w:rPr>
            </w:pPr>
            <w:r w:rsidRPr="00A332E5">
              <w:rPr>
                <w:b/>
                <w:bCs/>
                <w:color w:val="000000"/>
                <w:sz w:val="20"/>
                <w:szCs w:val="20"/>
              </w:rPr>
              <w:t>First Difference</w:t>
            </w:r>
          </w:p>
        </w:tc>
      </w:tr>
      <w:tr w:rsidR="00091076" w:rsidRPr="00A332E5" w14:paraId="3D1272F0" w14:textId="77777777" w:rsidTr="00091076">
        <w:trPr>
          <w:trHeight w:val="316"/>
          <w:jc w:val="center"/>
        </w:trPr>
        <w:tc>
          <w:tcPr>
            <w:tcW w:w="2835" w:type="dxa"/>
            <w:vMerge/>
            <w:tcBorders>
              <w:left w:val="nil"/>
              <w:bottom w:val="single" w:sz="4" w:space="0" w:color="auto"/>
              <w:right w:val="nil"/>
            </w:tcBorders>
            <w:noWrap/>
            <w:vAlign w:val="center"/>
            <w:hideMark/>
          </w:tcPr>
          <w:p w14:paraId="0ADBC3EB" w14:textId="4694B6D2" w:rsidR="00091076" w:rsidRPr="00A332E5" w:rsidRDefault="00091076" w:rsidP="00091076">
            <w:pPr>
              <w:jc w:val="center"/>
              <w:rPr>
                <w:b/>
                <w:bCs/>
                <w:color w:val="000000"/>
                <w:sz w:val="20"/>
                <w:szCs w:val="20"/>
              </w:rPr>
            </w:pPr>
          </w:p>
        </w:tc>
        <w:tc>
          <w:tcPr>
            <w:tcW w:w="1418" w:type="dxa"/>
            <w:tcBorders>
              <w:top w:val="single" w:sz="4" w:space="0" w:color="auto"/>
              <w:left w:val="nil"/>
              <w:bottom w:val="single" w:sz="4" w:space="0" w:color="auto"/>
              <w:right w:val="nil"/>
            </w:tcBorders>
            <w:vAlign w:val="center"/>
          </w:tcPr>
          <w:p w14:paraId="1D1251CF" w14:textId="54D6A5FD" w:rsidR="00091076" w:rsidRPr="00A332E5" w:rsidRDefault="00091076" w:rsidP="00091076">
            <w:pPr>
              <w:jc w:val="center"/>
              <w:rPr>
                <w:b/>
                <w:bCs/>
                <w:color w:val="000000"/>
                <w:sz w:val="20"/>
                <w:szCs w:val="20"/>
              </w:rPr>
            </w:pPr>
            <w:r w:rsidRPr="00A332E5">
              <w:rPr>
                <w:b/>
                <w:bCs/>
                <w:sz w:val="20"/>
                <w:szCs w:val="20"/>
              </w:rPr>
              <w:t>p-value</w:t>
            </w:r>
          </w:p>
        </w:tc>
        <w:tc>
          <w:tcPr>
            <w:tcW w:w="1559" w:type="dxa"/>
            <w:tcBorders>
              <w:top w:val="single" w:sz="4" w:space="0" w:color="auto"/>
              <w:left w:val="nil"/>
              <w:bottom w:val="single" w:sz="4" w:space="0" w:color="auto"/>
              <w:right w:val="nil"/>
            </w:tcBorders>
            <w:vAlign w:val="center"/>
          </w:tcPr>
          <w:p w14:paraId="1221A01E" w14:textId="73D40E3E" w:rsidR="00091076" w:rsidRPr="00A332E5" w:rsidRDefault="00091076" w:rsidP="00091076">
            <w:pPr>
              <w:jc w:val="center"/>
              <w:rPr>
                <w:b/>
                <w:bCs/>
                <w:color w:val="000000"/>
                <w:sz w:val="20"/>
                <w:szCs w:val="20"/>
              </w:rPr>
            </w:pPr>
            <w:r w:rsidRPr="00A332E5">
              <w:rPr>
                <w:b/>
                <w:bCs/>
                <w:sz w:val="20"/>
                <w:szCs w:val="20"/>
              </w:rPr>
              <w:t>Order of Integration</w:t>
            </w:r>
          </w:p>
        </w:tc>
        <w:tc>
          <w:tcPr>
            <w:tcW w:w="1425" w:type="dxa"/>
            <w:tcBorders>
              <w:top w:val="single" w:sz="4" w:space="0" w:color="auto"/>
              <w:left w:val="nil"/>
              <w:bottom w:val="single" w:sz="4" w:space="0" w:color="auto"/>
              <w:right w:val="nil"/>
            </w:tcBorders>
            <w:vAlign w:val="center"/>
            <w:hideMark/>
          </w:tcPr>
          <w:p w14:paraId="2BF7BDF4" w14:textId="48DAEF78" w:rsidR="00091076" w:rsidRPr="00A332E5" w:rsidRDefault="00091076" w:rsidP="00091076">
            <w:pPr>
              <w:jc w:val="center"/>
              <w:rPr>
                <w:b/>
                <w:bCs/>
                <w:color w:val="000000"/>
                <w:sz w:val="20"/>
                <w:szCs w:val="20"/>
              </w:rPr>
            </w:pPr>
            <w:r w:rsidRPr="00A332E5">
              <w:rPr>
                <w:b/>
                <w:bCs/>
                <w:color w:val="000000"/>
                <w:sz w:val="20"/>
                <w:szCs w:val="20"/>
              </w:rPr>
              <w:t>ADF – Fisher Chi Square</w:t>
            </w:r>
          </w:p>
        </w:tc>
        <w:tc>
          <w:tcPr>
            <w:tcW w:w="1410" w:type="dxa"/>
            <w:tcBorders>
              <w:top w:val="single" w:sz="4" w:space="0" w:color="auto"/>
              <w:left w:val="nil"/>
              <w:bottom w:val="single" w:sz="4" w:space="0" w:color="auto"/>
              <w:right w:val="nil"/>
            </w:tcBorders>
            <w:vAlign w:val="center"/>
            <w:hideMark/>
          </w:tcPr>
          <w:p w14:paraId="5A3EFA3A" w14:textId="7DC58744" w:rsidR="00091076" w:rsidRPr="00A332E5" w:rsidRDefault="00091076" w:rsidP="00091076">
            <w:pPr>
              <w:jc w:val="center"/>
              <w:rPr>
                <w:b/>
                <w:bCs/>
                <w:color w:val="000000"/>
                <w:sz w:val="20"/>
                <w:szCs w:val="20"/>
              </w:rPr>
            </w:pPr>
            <w:r w:rsidRPr="00A332E5">
              <w:rPr>
                <w:b/>
                <w:bCs/>
                <w:sz w:val="20"/>
                <w:szCs w:val="20"/>
              </w:rPr>
              <w:t>Order of Integration</w:t>
            </w:r>
          </w:p>
        </w:tc>
      </w:tr>
      <w:tr w:rsidR="00091076" w:rsidRPr="00A332E5" w14:paraId="660B3E67" w14:textId="77777777" w:rsidTr="002F1B72">
        <w:trPr>
          <w:trHeight w:val="312"/>
          <w:jc w:val="center"/>
        </w:trPr>
        <w:tc>
          <w:tcPr>
            <w:tcW w:w="2835" w:type="dxa"/>
            <w:tcBorders>
              <w:top w:val="nil"/>
              <w:left w:val="nil"/>
              <w:bottom w:val="single" w:sz="4" w:space="0" w:color="auto"/>
              <w:right w:val="nil"/>
            </w:tcBorders>
            <w:noWrap/>
            <w:vAlign w:val="center"/>
            <w:hideMark/>
          </w:tcPr>
          <w:p w14:paraId="07D0424C" w14:textId="77777777" w:rsidR="00091076" w:rsidRPr="00A332E5" w:rsidRDefault="00091076" w:rsidP="00091076">
            <w:pPr>
              <w:jc w:val="center"/>
              <w:rPr>
                <w:sz w:val="20"/>
                <w:szCs w:val="20"/>
                <w:lang w:val="en-US"/>
              </w:rPr>
            </w:pPr>
            <w:r w:rsidRPr="00A332E5">
              <w:rPr>
                <w:i/>
                <w:iCs/>
                <w:color w:val="000000"/>
                <w:sz w:val="20"/>
                <w:szCs w:val="20"/>
                <w:lang w:val="en-US"/>
              </w:rPr>
              <w:t>Capital Flight</w:t>
            </w:r>
            <w:r w:rsidRPr="00A332E5">
              <w:rPr>
                <w:sz w:val="20"/>
                <w:szCs w:val="20"/>
                <w:lang w:val="en-US"/>
              </w:rPr>
              <w:t xml:space="preserve"> (CF)</w:t>
            </w:r>
          </w:p>
        </w:tc>
        <w:tc>
          <w:tcPr>
            <w:tcW w:w="1418" w:type="dxa"/>
            <w:tcBorders>
              <w:top w:val="nil"/>
              <w:left w:val="nil"/>
              <w:bottom w:val="single" w:sz="4" w:space="0" w:color="auto"/>
              <w:right w:val="nil"/>
            </w:tcBorders>
            <w:vAlign w:val="center"/>
          </w:tcPr>
          <w:p w14:paraId="409B231B" w14:textId="2471838D"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559" w:type="dxa"/>
            <w:tcBorders>
              <w:top w:val="nil"/>
              <w:left w:val="nil"/>
              <w:bottom w:val="single" w:sz="4" w:space="0" w:color="auto"/>
              <w:right w:val="nil"/>
            </w:tcBorders>
            <w:vAlign w:val="center"/>
          </w:tcPr>
          <w:p w14:paraId="70E4D529" w14:textId="14C74F5A"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c>
          <w:tcPr>
            <w:tcW w:w="1425" w:type="dxa"/>
            <w:tcBorders>
              <w:top w:val="nil"/>
              <w:left w:val="nil"/>
              <w:bottom w:val="single" w:sz="4" w:space="0" w:color="auto"/>
              <w:right w:val="nil"/>
            </w:tcBorders>
            <w:noWrap/>
            <w:vAlign w:val="center"/>
          </w:tcPr>
          <w:p w14:paraId="5B8C20AB" w14:textId="2F086A5A"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nil"/>
              <w:left w:val="nil"/>
              <w:bottom w:val="single" w:sz="4" w:space="0" w:color="auto"/>
              <w:right w:val="nil"/>
            </w:tcBorders>
            <w:noWrap/>
          </w:tcPr>
          <w:p w14:paraId="29CE2FC4" w14:textId="2A05061A"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r w:rsidR="00091076" w:rsidRPr="00A332E5" w14:paraId="53ACB385" w14:textId="77777777" w:rsidTr="002F1B72">
        <w:trPr>
          <w:trHeight w:val="312"/>
          <w:jc w:val="center"/>
        </w:trPr>
        <w:tc>
          <w:tcPr>
            <w:tcW w:w="2835" w:type="dxa"/>
            <w:tcBorders>
              <w:top w:val="nil"/>
              <w:left w:val="nil"/>
              <w:bottom w:val="single" w:sz="4" w:space="0" w:color="auto"/>
              <w:right w:val="nil"/>
            </w:tcBorders>
            <w:noWrap/>
            <w:vAlign w:val="center"/>
            <w:hideMark/>
          </w:tcPr>
          <w:p w14:paraId="5865EB34" w14:textId="77777777" w:rsidR="00091076" w:rsidRPr="00A332E5" w:rsidRDefault="00091076" w:rsidP="00091076">
            <w:pPr>
              <w:jc w:val="center"/>
              <w:rPr>
                <w:color w:val="000000"/>
                <w:sz w:val="20"/>
                <w:szCs w:val="20"/>
                <w:lang w:val="en-US"/>
              </w:rPr>
            </w:pPr>
            <w:r w:rsidRPr="00A332E5">
              <w:rPr>
                <w:i/>
                <w:iCs/>
                <w:color w:val="000000"/>
                <w:sz w:val="20"/>
                <w:szCs w:val="20"/>
                <w:lang w:val="en-US"/>
              </w:rPr>
              <w:t xml:space="preserve">Monetary Policy Efficiency </w:t>
            </w:r>
            <w:r w:rsidRPr="00A332E5">
              <w:rPr>
                <w:color w:val="000000"/>
                <w:sz w:val="20"/>
                <w:szCs w:val="20"/>
                <w:lang w:val="en-US"/>
              </w:rPr>
              <w:t>(MPE)</w:t>
            </w:r>
          </w:p>
        </w:tc>
        <w:tc>
          <w:tcPr>
            <w:tcW w:w="1418" w:type="dxa"/>
            <w:tcBorders>
              <w:top w:val="nil"/>
              <w:left w:val="nil"/>
              <w:bottom w:val="single" w:sz="4" w:space="0" w:color="auto"/>
              <w:right w:val="nil"/>
            </w:tcBorders>
            <w:vAlign w:val="center"/>
          </w:tcPr>
          <w:p w14:paraId="500F3372" w14:textId="252213CB"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559" w:type="dxa"/>
            <w:tcBorders>
              <w:top w:val="nil"/>
              <w:left w:val="nil"/>
              <w:bottom w:val="single" w:sz="4" w:space="0" w:color="auto"/>
              <w:right w:val="nil"/>
            </w:tcBorders>
            <w:vAlign w:val="center"/>
          </w:tcPr>
          <w:p w14:paraId="4636186F" w14:textId="3007B770"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c>
          <w:tcPr>
            <w:tcW w:w="1425" w:type="dxa"/>
            <w:tcBorders>
              <w:top w:val="nil"/>
              <w:left w:val="nil"/>
              <w:bottom w:val="single" w:sz="4" w:space="0" w:color="auto"/>
              <w:right w:val="nil"/>
            </w:tcBorders>
            <w:noWrap/>
            <w:vAlign w:val="center"/>
          </w:tcPr>
          <w:p w14:paraId="58FD1869" w14:textId="15D27744"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nil"/>
              <w:left w:val="nil"/>
              <w:bottom w:val="single" w:sz="4" w:space="0" w:color="auto"/>
              <w:right w:val="nil"/>
            </w:tcBorders>
            <w:noWrap/>
          </w:tcPr>
          <w:p w14:paraId="009E4AEA" w14:textId="153DF0DD"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r w:rsidR="00091076" w:rsidRPr="00A332E5" w14:paraId="7E2BC968" w14:textId="77777777" w:rsidTr="002F1B72">
        <w:trPr>
          <w:trHeight w:val="312"/>
          <w:jc w:val="center"/>
        </w:trPr>
        <w:tc>
          <w:tcPr>
            <w:tcW w:w="2835" w:type="dxa"/>
            <w:tcBorders>
              <w:top w:val="nil"/>
              <w:left w:val="nil"/>
              <w:bottom w:val="single" w:sz="4" w:space="0" w:color="auto"/>
              <w:right w:val="nil"/>
            </w:tcBorders>
            <w:noWrap/>
            <w:vAlign w:val="center"/>
            <w:hideMark/>
          </w:tcPr>
          <w:p w14:paraId="236FDE38" w14:textId="77777777" w:rsidR="00091076" w:rsidRPr="00A332E5" w:rsidRDefault="00091076" w:rsidP="00091076">
            <w:pPr>
              <w:jc w:val="center"/>
              <w:rPr>
                <w:color w:val="000000"/>
                <w:sz w:val="20"/>
                <w:szCs w:val="20"/>
                <w:lang w:val="en-US"/>
              </w:rPr>
            </w:pPr>
            <w:r w:rsidRPr="00A332E5">
              <w:rPr>
                <w:color w:val="000000"/>
                <w:sz w:val="20"/>
                <w:szCs w:val="20"/>
                <w:lang w:val="en-US"/>
              </w:rPr>
              <w:t>Utang Luar Negeri (ED)</w:t>
            </w:r>
          </w:p>
        </w:tc>
        <w:tc>
          <w:tcPr>
            <w:tcW w:w="1418" w:type="dxa"/>
            <w:tcBorders>
              <w:top w:val="nil"/>
              <w:left w:val="nil"/>
              <w:bottom w:val="single" w:sz="4" w:space="0" w:color="auto"/>
              <w:right w:val="nil"/>
            </w:tcBorders>
            <w:vAlign w:val="center"/>
          </w:tcPr>
          <w:p w14:paraId="06FDF930" w14:textId="6196B709" w:rsidR="00091076" w:rsidRPr="00A332E5" w:rsidRDefault="00091076" w:rsidP="00091076">
            <w:pPr>
              <w:jc w:val="center"/>
              <w:rPr>
                <w:color w:val="000000"/>
                <w:sz w:val="20"/>
                <w:szCs w:val="20"/>
                <w:lang w:val="en-US"/>
              </w:rPr>
            </w:pPr>
            <w:r w:rsidRPr="00A332E5">
              <w:rPr>
                <w:color w:val="000000"/>
                <w:sz w:val="20"/>
                <w:szCs w:val="20"/>
                <w:lang w:val="en-US"/>
              </w:rPr>
              <w:t>0.1314</w:t>
            </w:r>
          </w:p>
        </w:tc>
        <w:tc>
          <w:tcPr>
            <w:tcW w:w="1559" w:type="dxa"/>
            <w:tcBorders>
              <w:top w:val="nil"/>
              <w:left w:val="nil"/>
              <w:bottom w:val="single" w:sz="4" w:space="0" w:color="auto"/>
              <w:right w:val="nil"/>
            </w:tcBorders>
            <w:vAlign w:val="center"/>
          </w:tcPr>
          <w:p w14:paraId="4FE8C3D5" w14:textId="3A41A18E" w:rsidR="00091076" w:rsidRPr="00A332E5" w:rsidRDefault="00091076" w:rsidP="00091076">
            <w:pPr>
              <w:jc w:val="center"/>
              <w:rPr>
                <w:color w:val="000000"/>
                <w:sz w:val="20"/>
                <w:szCs w:val="20"/>
                <w:lang w:val="en-US"/>
              </w:rPr>
            </w:pPr>
            <w:r w:rsidRPr="00A332E5">
              <w:rPr>
                <w:color w:val="000000"/>
                <w:sz w:val="20"/>
                <w:szCs w:val="20"/>
                <w:lang w:val="en-US"/>
              </w:rPr>
              <w:t>Non-</w:t>
            </w:r>
            <w:proofErr w:type="spellStart"/>
            <w:r w:rsidRPr="00A332E5">
              <w:rPr>
                <w:color w:val="000000"/>
                <w:sz w:val="20"/>
                <w:szCs w:val="20"/>
                <w:lang w:val="en-US"/>
              </w:rPr>
              <w:t>Statioary</w:t>
            </w:r>
            <w:proofErr w:type="spellEnd"/>
          </w:p>
        </w:tc>
        <w:tc>
          <w:tcPr>
            <w:tcW w:w="1425" w:type="dxa"/>
            <w:tcBorders>
              <w:top w:val="nil"/>
              <w:left w:val="nil"/>
              <w:bottom w:val="single" w:sz="4" w:space="0" w:color="auto"/>
              <w:right w:val="nil"/>
            </w:tcBorders>
            <w:noWrap/>
            <w:vAlign w:val="center"/>
          </w:tcPr>
          <w:p w14:paraId="15ACD4AD" w14:textId="24544506"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nil"/>
              <w:left w:val="nil"/>
              <w:bottom w:val="single" w:sz="4" w:space="0" w:color="auto"/>
              <w:right w:val="nil"/>
            </w:tcBorders>
            <w:noWrap/>
          </w:tcPr>
          <w:p w14:paraId="2267AB85" w14:textId="42EAE1E1"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r w:rsidR="00091076" w:rsidRPr="00A332E5" w14:paraId="2C086AA0" w14:textId="77777777" w:rsidTr="002F1B72">
        <w:trPr>
          <w:trHeight w:val="312"/>
          <w:jc w:val="center"/>
        </w:trPr>
        <w:tc>
          <w:tcPr>
            <w:tcW w:w="2835" w:type="dxa"/>
            <w:tcBorders>
              <w:top w:val="nil"/>
              <w:left w:val="nil"/>
              <w:bottom w:val="single" w:sz="4" w:space="0" w:color="auto"/>
              <w:right w:val="nil"/>
            </w:tcBorders>
            <w:noWrap/>
            <w:vAlign w:val="center"/>
            <w:hideMark/>
          </w:tcPr>
          <w:p w14:paraId="70DA8E8B" w14:textId="77777777" w:rsidR="00091076" w:rsidRPr="00A332E5" w:rsidRDefault="00091076" w:rsidP="00091076">
            <w:pPr>
              <w:jc w:val="center"/>
              <w:rPr>
                <w:color w:val="000000"/>
                <w:sz w:val="20"/>
                <w:szCs w:val="20"/>
                <w:lang w:val="en-US"/>
              </w:rPr>
            </w:pPr>
            <w:proofErr w:type="spellStart"/>
            <w:r w:rsidRPr="00A332E5">
              <w:rPr>
                <w:color w:val="000000"/>
                <w:sz w:val="20"/>
                <w:szCs w:val="20"/>
                <w:lang w:val="en-US"/>
              </w:rPr>
              <w:t>Volatilitas</w:t>
            </w:r>
            <w:proofErr w:type="spellEnd"/>
            <w:r w:rsidRPr="00A332E5">
              <w:rPr>
                <w:color w:val="000000"/>
                <w:sz w:val="20"/>
                <w:szCs w:val="20"/>
                <w:lang w:val="en-US"/>
              </w:rPr>
              <w:t xml:space="preserve"> Nilai </w:t>
            </w:r>
            <w:proofErr w:type="spellStart"/>
            <w:r w:rsidRPr="00A332E5">
              <w:rPr>
                <w:color w:val="000000"/>
                <w:sz w:val="20"/>
                <w:szCs w:val="20"/>
                <w:lang w:val="en-US"/>
              </w:rPr>
              <w:t>Tukar</w:t>
            </w:r>
            <w:proofErr w:type="spellEnd"/>
            <w:r w:rsidRPr="00A332E5">
              <w:rPr>
                <w:color w:val="000000"/>
                <w:sz w:val="20"/>
                <w:szCs w:val="20"/>
                <w:lang w:val="en-US"/>
              </w:rPr>
              <w:t xml:space="preserve"> (VOL)</w:t>
            </w:r>
          </w:p>
        </w:tc>
        <w:tc>
          <w:tcPr>
            <w:tcW w:w="1418" w:type="dxa"/>
            <w:tcBorders>
              <w:top w:val="nil"/>
              <w:left w:val="nil"/>
              <w:bottom w:val="single" w:sz="4" w:space="0" w:color="auto"/>
              <w:right w:val="nil"/>
            </w:tcBorders>
            <w:vAlign w:val="center"/>
          </w:tcPr>
          <w:p w14:paraId="29C18038" w14:textId="7A334335" w:rsidR="00091076" w:rsidRPr="00A332E5" w:rsidRDefault="00091076" w:rsidP="00091076">
            <w:pPr>
              <w:jc w:val="center"/>
              <w:rPr>
                <w:color w:val="000000"/>
                <w:sz w:val="20"/>
                <w:szCs w:val="20"/>
                <w:lang w:val="en-US"/>
              </w:rPr>
            </w:pPr>
            <w:r w:rsidRPr="00A332E5">
              <w:rPr>
                <w:color w:val="000000"/>
                <w:sz w:val="20"/>
                <w:szCs w:val="20"/>
                <w:lang w:val="en-US"/>
              </w:rPr>
              <w:t>0.0055</w:t>
            </w:r>
          </w:p>
        </w:tc>
        <w:tc>
          <w:tcPr>
            <w:tcW w:w="1559" w:type="dxa"/>
            <w:tcBorders>
              <w:top w:val="nil"/>
              <w:left w:val="nil"/>
              <w:bottom w:val="single" w:sz="4" w:space="0" w:color="auto"/>
              <w:right w:val="nil"/>
            </w:tcBorders>
            <w:vAlign w:val="center"/>
          </w:tcPr>
          <w:p w14:paraId="31438E0B" w14:textId="4C9ECFC4"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c>
          <w:tcPr>
            <w:tcW w:w="1425" w:type="dxa"/>
            <w:tcBorders>
              <w:top w:val="nil"/>
              <w:left w:val="nil"/>
              <w:bottom w:val="single" w:sz="4" w:space="0" w:color="auto"/>
              <w:right w:val="nil"/>
            </w:tcBorders>
            <w:noWrap/>
            <w:vAlign w:val="center"/>
          </w:tcPr>
          <w:p w14:paraId="0B9B5CC4" w14:textId="2FAD9540"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nil"/>
              <w:left w:val="nil"/>
              <w:bottom w:val="single" w:sz="4" w:space="0" w:color="auto"/>
              <w:right w:val="nil"/>
            </w:tcBorders>
            <w:noWrap/>
          </w:tcPr>
          <w:p w14:paraId="62427ED4" w14:textId="348BC76A"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r w:rsidR="00091076" w:rsidRPr="00A332E5" w14:paraId="030389E8" w14:textId="77777777" w:rsidTr="005F416F">
        <w:trPr>
          <w:trHeight w:val="312"/>
          <w:jc w:val="center"/>
        </w:trPr>
        <w:tc>
          <w:tcPr>
            <w:tcW w:w="2835" w:type="dxa"/>
            <w:tcBorders>
              <w:top w:val="single" w:sz="4" w:space="0" w:color="auto"/>
              <w:left w:val="nil"/>
              <w:bottom w:val="single" w:sz="4" w:space="0" w:color="auto"/>
              <w:right w:val="nil"/>
            </w:tcBorders>
            <w:noWrap/>
            <w:vAlign w:val="center"/>
            <w:hideMark/>
          </w:tcPr>
          <w:p w14:paraId="59EF4D45" w14:textId="77777777" w:rsidR="00091076" w:rsidRPr="00A332E5" w:rsidRDefault="00091076" w:rsidP="00091076">
            <w:pPr>
              <w:jc w:val="center"/>
              <w:rPr>
                <w:color w:val="000000"/>
                <w:sz w:val="20"/>
                <w:szCs w:val="20"/>
                <w:lang w:val="en-US"/>
              </w:rPr>
            </w:pPr>
            <w:r w:rsidRPr="00A332E5">
              <w:rPr>
                <w:i/>
                <w:iCs/>
                <w:color w:val="000000"/>
                <w:sz w:val="20"/>
                <w:szCs w:val="20"/>
                <w:lang w:val="en-US"/>
              </w:rPr>
              <w:t xml:space="preserve">Capital Control </w:t>
            </w:r>
            <w:r w:rsidRPr="00A332E5">
              <w:rPr>
                <w:color w:val="000000"/>
                <w:sz w:val="20"/>
                <w:szCs w:val="20"/>
                <w:lang w:val="en-US"/>
              </w:rPr>
              <w:t>(CAP)</w:t>
            </w:r>
          </w:p>
        </w:tc>
        <w:tc>
          <w:tcPr>
            <w:tcW w:w="1418" w:type="dxa"/>
            <w:tcBorders>
              <w:top w:val="single" w:sz="4" w:space="0" w:color="auto"/>
              <w:left w:val="nil"/>
              <w:bottom w:val="single" w:sz="4" w:space="0" w:color="auto"/>
              <w:right w:val="nil"/>
            </w:tcBorders>
            <w:vAlign w:val="center"/>
          </w:tcPr>
          <w:p w14:paraId="38201FCA" w14:textId="56503593" w:rsidR="00091076" w:rsidRPr="00A332E5" w:rsidRDefault="00091076" w:rsidP="00091076">
            <w:pPr>
              <w:jc w:val="center"/>
              <w:rPr>
                <w:color w:val="000000"/>
                <w:sz w:val="20"/>
                <w:szCs w:val="20"/>
                <w:lang w:val="en-US"/>
              </w:rPr>
            </w:pPr>
            <w:r w:rsidRPr="00A332E5">
              <w:rPr>
                <w:color w:val="000000"/>
                <w:sz w:val="20"/>
                <w:szCs w:val="20"/>
                <w:lang w:val="en-US"/>
              </w:rPr>
              <w:t>0.1900</w:t>
            </w:r>
          </w:p>
        </w:tc>
        <w:tc>
          <w:tcPr>
            <w:tcW w:w="1559" w:type="dxa"/>
            <w:tcBorders>
              <w:top w:val="single" w:sz="4" w:space="0" w:color="auto"/>
              <w:left w:val="nil"/>
              <w:bottom w:val="single" w:sz="4" w:space="0" w:color="auto"/>
              <w:right w:val="nil"/>
            </w:tcBorders>
          </w:tcPr>
          <w:p w14:paraId="160BE5D7" w14:textId="560AE640" w:rsidR="00091076" w:rsidRPr="00A332E5" w:rsidRDefault="00091076" w:rsidP="00091076">
            <w:pPr>
              <w:jc w:val="center"/>
              <w:rPr>
                <w:color w:val="000000"/>
                <w:sz w:val="20"/>
                <w:szCs w:val="20"/>
                <w:lang w:val="en-US"/>
              </w:rPr>
            </w:pPr>
            <w:r w:rsidRPr="00A332E5">
              <w:rPr>
                <w:color w:val="000000"/>
                <w:sz w:val="20"/>
                <w:szCs w:val="20"/>
                <w:lang w:val="en-US"/>
              </w:rPr>
              <w:t>Non-</w:t>
            </w:r>
            <w:proofErr w:type="spellStart"/>
            <w:r w:rsidRPr="00A332E5">
              <w:rPr>
                <w:color w:val="000000"/>
                <w:sz w:val="20"/>
                <w:szCs w:val="20"/>
                <w:lang w:val="en-US"/>
              </w:rPr>
              <w:t>Statioary</w:t>
            </w:r>
            <w:proofErr w:type="spellEnd"/>
          </w:p>
        </w:tc>
        <w:tc>
          <w:tcPr>
            <w:tcW w:w="1425" w:type="dxa"/>
            <w:tcBorders>
              <w:top w:val="single" w:sz="4" w:space="0" w:color="auto"/>
              <w:left w:val="nil"/>
              <w:bottom w:val="single" w:sz="4" w:space="0" w:color="auto"/>
              <w:right w:val="nil"/>
            </w:tcBorders>
            <w:noWrap/>
            <w:vAlign w:val="center"/>
          </w:tcPr>
          <w:p w14:paraId="4C744567" w14:textId="07AD1504"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single" w:sz="4" w:space="0" w:color="auto"/>
              <w:left w:val="nil"/>
              <w:bottom w:val="single" w:sz="4" w:space="0" w:color="auto"/>
              <w:right w:val="nil"/>
            </w:tcBorders>
            <w:noWrap/>
          </w:tcPr>
          <w:p w14:paraId="23976B7E" w14:textId="24A6D84F"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r w:rsidR="00091076" w:rsidRPr="00A332E5" w14:paraId="20F190E3" w14:textId="77777777" w:rsidTr="005F416F">
        <w:trPr>
          <w:trHeight w:val="312"/>
          <w:jc w:val="center"/>
        </w:trPr>
        <w:tc>
          <w:tcPr>
            <w:tcW w:w="2835" w:type="dxa"/>
            <w:tcBorders>
              <w:top w:val="single" w:sz="4" w:space="0" w:color="auto"/>
              <w:left w:val="nil"/>
              <w:bottom w:val="single" w:sz="4" w:space="0" w:color="auto"/>
              <w:right w:val="nil"/>
            </w:tcBorders>
            <w:noWrap/>
            <w:vAlign w:val="center"/>
          </w:tcPr>
          <w:p w14:paraId="39CE478C" w14:textId="77777777" w:rsidR="00091076" w:rsidRPr="00A332E5" w:rsidRDefault="00091076" w:rsidP="00091076">
            <w:pPr>
              <w:jc w:val="center"/>
              <w:rPr>
                <w:color w:val="000000"/>
                <w:sz w:val="20"/>
                <w:szCs w:val="20"/>
                <w:lang w:val="en-US"/>
              </w:rPr>
            </w:pPr>
            <w:r w:rsidRPr="00A332E5">
              <w:rPr>
                <w:i/>
                <w:iCs/>
                <w:color w:val="000000"/>
                <w:sz w:val="20"/>
                <w:szCs w:val="20"/>
                <w:lang w:val="en-US"/>
              </w:rPr>
              <w:t xml:space="preserve">Trade Openness </w:t>
            </w:r>
            <w:r w:rsidRPr="00A332E5">
              <w:rPr>
                <w:color w:val="000000"/>
                <w:sz w:val="20"/>
                <w:szCs w:val="20"/>
                <w:lang w:val="en-US"/>
              </w:rPr>
              <w:t>(TO)</w:t>
            </w:r>
          </w:p>
        </w:tc>
        <w:tc>
          <w:tcPr>
            <w:tcW w:w="1418" w:type="dxa"/>
            <w:tcBorders>
              <w:top w:val="single" w:sz="4" w:space="0" w:color="auto"/>
              <w:left w:val="nil"/>
              <w:bottom w:val="single" w:sz="4" w:space="0" w:color="auto"/>
              <w:right w:val="nil"/>
            </w:tcBorders>
            <w:vAlign w:val="center"/>
          </w:tcPr>
          <w:p w14:paraId="47AECAD0" w14:textId="2EF42BA6" w:rsidR="00091076" w:rsidRPr="00A332E5" w:rsidRDefault="00091076" w:rsidP="00091076">
            <w:pPr>
              <w:jc w:val="center"/>
              <w:rPr>
                <w:color w:val="000000"/>
                <w:sz w:val="20"/>
                <w:szCs w:val="20"/>
                <w:lang w:val="en-US"/>
              </w:rPr>
            </w:pPr>
            <w:r w:rsidRPr="00A332E5">
              <w:rPr>
                <w:color w:val="000000"/>
                <w:sz w:val="20"/>
                <w:szCs w:val="20"/>
                <w:lang w:val="en-US"/>
              </w:rPr>
              <w:t>0.0206</w:t>
            </w:r>
          </w:p>
        </w:tc>
        <w:tc>
          <w:tcPr>
            <w:tcW w:w="1559" w:type="dxa"/>
            <w:tcBorders>
              <w:top w:val="single" w:sz="4" w:space="0" w:color="auto"/>
              <w:left w:val="nil"/>
              <w:bottom w:val="single" w:sz="4" w:space="0" w:color="auto"/>
              <w:right w:val="nil"/>
            </w:tcBorders>
          </w:tcPr>
          <w:p w14:paraId="18B8668D" w14:textId="7FA9B55D" w:rsidR="00091076" w:rsidRPr="00A332E5" w:rsidRDefault="00091076" w:rsidP="00091076">
            <w:pPr>
              <w:jc w:val="center"/>
              <w:rPr>
                <w:color w:val="000000"/>
                <w:sz w:val="20"/>
                <w:szCs w:val="20"/>
                <w:lang w:val="en-US"/>
              </w:rPr>
            </w:pPr>
            <w:r w:rsidRPr="00A332E5">
              <w:rPr>
                <w:color w:val="000000"/>
                <w:sz w:val="20"/>
                <w:szCs w:val="20"/>
                <w:lang w:val="en-US"/>
              </w:rPr>
              <w:t>Non-</w:t>
            </w:r>
            <w:proofErr w:type="spellStart"/>
            <w:r w:rsidRPr="00A332E5">
              <w:rPr>
                <w:color w:val="000000"/>
                <w:sz w:val="20"/>
                <w:szCs w:val="20"/>
                <w:lang w:val="en-US"/>
              </w:rPr>
              <w:t>Statioary</w:t>
            </w:r>
            <w:proofErr w:type="spellEnd"/>
          </w:p>
        </w:tc>
        <w:tc>
          <w:tcPr>
            <w:tcW w:w="1425" w:type="dxa"/>
            <w:tcBorders>
              <w:top w:val="single" w:sz="4" w:space="0" w:color="auto"/>
              <w:left w:val="nil"/>
              <w:bottom w:val="single" w:sz="4" w:space="0" w:color="auto"/>
              <w:right w:val="nil"/>
            </w:tcBorders>
            <w:noWrap/>
            <w:vAlign w:val="center"/>
          </w:tcPr>
          <w:p w14:paraId="399B9D87" w14:textId="617D2319" w:rsidR="00091076" w:rsidRPr="00A332E5" w:rsidRDefault="00091076" w:rsidP="00091076">
            <w:pPr>
              <w:jc w:val="center"/>
              <w:rPr>
                <w:color w:val="000000"/>
                <w:sz w:val="20"/>
                <w:szCs w:val="20"/>
                <w:lang w:val="en-US"/>
              </w:rPr>
            </w:pPr>
            <w:r w:rsidRPr="00A332E5">
              <w:rPr>
                <w:color w:val="000000"/>
                <w:sz w:val="20"/>
                <w:szCs w:val="20"/>
                <w:lang w:val="en-US"/>
              </w:rPr>
              <w:t>0.0000</w:t>
            </w:r>
          </w:p>
        </w:tc>
        <w:tc>
          <w:tcPr>
            <w:tcW w:w="1410" w:type="dxa"/>
            <w:tcBorders>
              <w:top w:val="single" w:sz="4" w:space="0" w:color="auto"/>
              <w:left w:val="nil"/>
              <w:bottom w:val="single" w:sz="4" w:space="0" w:color="auto"/>
              <w:right w:val="nil"/>
            </w:tcBorders>
            <w:noWrap/>
          </w:tcPr>
          <w:p w14:paraId="21F72274" w14:textId="3635EFE6" w:rsidR="00091076" w:rsidRPr="00A332E5" w:rsidRDefault="00091076" w:rsidP="00091076">
            <w:pPr>
              <w:jc w:val="center"/>
              <w:rPr>
                <w:color w:val="000000"/>
                <w:sz w:val="20"/>
                <w:szCs w:val="20"/>
                <w:lang w:val="en-US"/>
              </w:rPr>
            </w:pPr>
            <w:proofErr w:type="gramStart"/>
            <w:r w:rsidRPr="00A332E5">
              <w:rPr>
                <w:color w:val="000000"/>
                <w:sz w:val="20"/>
                <w:szCs w:val="20"/>
                <w:lang w:val="en-US"/>
              </w:rPr>
              <w:t>I(</w:t>
            </w:r>
            <w:proofErr w:type="gramEnd"/>
            <w:r w:rsidRPr="00A332E5">
              <w:rPr>
                <w:color w:val="000000"/>
                <w:sz w:val="20"/>
                <w:szCs w:val="20"/>
                <w:lang w:val="en-US"/>
              </w:rPr>
              <w:t>0)</w:t>
            </w:r>
          </w:p>
        </w:tc>
      </w:tr>
    </w:tbl>
    <w:p w14:paraId="4AC47A07" w14:textId="77777777" w:rsidR="00091076" w:rsidRDefault="00091076" w:rsidP="00D5375B">
      <w:pPr>
        <w:rPr>
          <w:lang w:val="en-US"/>
        </w:rPr>
      </w:pPr>
    </w:p>
    <w:p w14:paraId="198DAA20" w14:textId="015A3B8D" w:rsidR="00A93BCA" w:rsidRPr="00A93BCA" w:rsidRDefault="00A93BCA" w:rsidP="00A332E5">
      <w:pPr>
        <w:adjustRightInd w:val="0"/>
        <w:snapToGrid w:val="0"/>
        <w:spacing w:line="360" w:lineRule="auto"/>
        <w:ind w:firstLine="720"/>
        <w:jc w:val="both"/>
        <w:rPr>
          <w:lang w:val="en-US"/>
        </w:rPr>
      </w:pPr>
      <w:r>
        <w:rPr>
          <w:lang w:val="en-US"/>
        </w:rPr>
        <w:t>Prior</w:t>
      </w:r>
      <w:r w:rsidRPr="00A93BCA">
        <w:rPr>
          <w:lang w:val="en-US"/>
        </w:rPr>
        <w:t xml:space="preserve"> estimating the long-run relationship between capital flight and its determinants, we carry out panel unit root tests to check the stationarity of the variables. This helps us avoid spurious results and makes the subsequent tests credible. Since the data set has the panel structure, we use the ADF-Fisher Chi-square test for unit root tests.</w:t>
      </w:r>
      <w:r w:rsidR="00A332E5">
        <w:rPr>
          <w:lang w:val="en-US"/>
        </w:rPr>
        <w:t xml:space="preserve"> </w:t>
      </w:r>
      <w:r w:rsidRPr="00A93BCA">
        <w:rPr>
          <w:lang w:val="en-US"/>
        </w:rPr>
        <w:t xml:space="preserve">Table </w:t>
      </w:r>
      <w:r w:rsidR="00A332E5">
        <w:rPr>
          <w:lang w:val="en-US"/>
        </w:rPr>
        <w:t>2</w:t>
      </w:r>
      <w:r w:rsidRPr="00A93BCA">
        <w:rPr>
          <w:lang w:val="en-US"/>
        </w:rPr>
        <w:t xml:space="preserve"> presents the results of the unit root tests for the variables in their level form. The results indicate that the variables, </w:t>
      </w:r>
      <w:r w:rsidRPr="00A93BCA">
        <w:rPr>
          <w:lang w:val="en-US"/>
        </w:rPr>
        <w:lastRenderedPageBreak/>
        <w:t>namely capital flight (CF), monetary policy efficiency (MPE), and exchange rate volatility (VOL), are stationary at their level because their p-values are below the 5% threshold. However, the variables, namely external debt (ED), capital control (CAP), and trade openness (TO), are not stationary at their levels, which indicates the presence of unit roots.</w:t>
      </w:r>
    </w:p>
    <w:p w14:paraId="10E44D55" w14:textId="4B85A710" w:rsidR="00D5375B" w:rsidRDefault="00A93BCA" w:rsidP="005E4747">
      <w:pPr>
        <w:adjustRightInd w:val="0"/>
        <w:snapToGrid w:val="0"/>
        <w:spacing w:line="360" w:lineRule="auto"/>
        <w:ind w:firstLine="720"/>
        <w:jc w:val="both"/>
        <w:rPr>
          <w:lang w:val="en-US"/>
        </w:rPr>
      </w:pPr>
      <w:r w:rsidRPr="00A93BCA">
        <w:rPr>
          <w:lang w:val="en-US"/>
        </w:rPr>
        <w:t xml:space="preserve">To deal with the unit roots, we carry out the unit root tests for the variables at their first differences. Table 2 presents the results of the unit root tests for the variables at their first differences. The results indicate that the variables are stationary at their first differences because their p-values are significant at the 5% threshold. This suggests that the variables are integrated of the order one, i.e., the variables are </w:t>
      </w:r>
      <w:proofErr w:type="gramStart"/>
      <w:r w:rsidRPr="00A93BCA">
        <w:rPr>
          <w:lang w:val="en-US"/>
        </w:rPr>
        <w:t>I(</w:t>
      </w:r>
      <w:proofErr w:type="gramEnd"/>
      <w:r w:rsidRPr="00A93BCA">
        <w:rPr>
          <w:lang w:val="en-US"/>
        </w:rPr>
        <w:t>1), which is typical for macroeconomic panel data sets. Moreover, the integration properties of the variables are mixed, which makes the panel ARDL model appropriate for estimating the short-run and long-run relationships between the variables because the model can accommodate variables with mixed integration properties.</w:t>
      </w:r>
    </w:p>
    <w:p w14:paraId="4D72AAEF" w14:textId="77777777" w:rsidR="005E4747" w:rsidRPr="00D5375B" w:rsidRDefault="005E4747" w:rsidP="00A93BCA">
      <w:pPr>
        <w:rPr>
          <w:lang w:val="en-US"/>
        </w:rPr>
      </w:pPr>
    </w:p>
    <w:p w14:paraId="2177610A" w14:textId="77777777" w:rsidR="00D5375B" w:rsidRPr="00D5375B" w:rsidRDefault="00D5375B" w:rsidP="00D5375B">
      <w:pPr>
        <w:rPr>
          <w:lang w:val="en-US"/>
        </w:rPr>
      </w:pPr>
      <w:r w:rsidRPr="00D5375B">
        <w:rPr>
          <w:lang w:val="en-US"/>
        </w:rPr>
        <w:t>4.2 Panel Cointegration Test</w:t>
      </w:r>
    </w:p>
    <w:p w14:paraId="0A7C64B2" w14:textId="77777777" w:rsidR="00C17472" w:rsidRDefault="00C17472" w:rsidP="00C17472"/>
    <w:p w14:paraId="612FB8B6" w14:textId="77777777" w:rsidR="00C17472" w:rsidRDefault="00C17472" w:rsidP="005E4747"/>
    <w:p w14:paraId="111812FB" w14:textId="30A1C909" w:rsidR="005432E2" w:rsidRPr="00D11663" w:rsidRDefault="005432E2" w:rsidP="00D11663">
      <w:pPr>
        <w:pStyle w:val="Heading4"/>
        <w:spacing w:before="0"/>
        <w:jc w:val="center"/>
        <w:rPr>
          <w:rFonts w:cs="Times New Roman"/>
          <w:b/>
          <w:bCs/>
          <w:i w:val="0"/>
          <w:iCs w:val="0"/>
          <w:color w:val="auto"/>
          <w:sz w:val="20"/>
          <w:szCs w:val="20"/>
          <w:lang w:val="en-US"/>
        </w:rPr>
      </w:pPr>
      <w:bookmarkStart w:id="4" w:name="_Toc169361193"/>
      <w:bookmarkStart w:id="5" w:name="_Toc169361349"/>
      <w:r w:rsidRPr="00D11663">
        <w:rPr>
          <w:rFonts w:cs="Times New Roman"/>
          <w:b/>
          <w:bCs/>
          <w:i w:val="0"/>
          <w:iCs w:val="0"/>
          <w:color w:val="auto"/>
          <w:sz w:val="20"/>
          <w:szCs w:val="20"/>
          <w:lang w:val="en-US"/>
        </w:rPr>
        <w:t>Tabl</w:t>
      </w:r>
      <w:r w:rsidR="005E4747" w:rsidRPr="00D11663">
        <w:rPr>
          <w:rFonts w:cs="Times New Roman"/>
          <w:b/>
          <w:bCs/>
          <w:i w:val="0"/>
          <w:iCs w:val="0"/>
          <w:color w:val="auto"/>
          <w:sz w:val="20"/>
          <w:szCs w:val="20"/>
          <w:lang w:val="en-US"/>
        </w:rPr>
        <w:t>e</w:t>
      </w:r>
      <w:r w:rsidRPr="00D11663">
        <w:rPr>
          <w:rFonts w:cs="Times New Roman"/>
          <w:b/>
          <w:bCs/>
          <w:i w:val="0"/>
          <w:iCs w:val="0"/>
          <w:color w:val="auto"/>
          <w:sz w:val="20"/>
          <w:szCs w:val="20"/>
          <w:lang w:val="en-US"/>
        </w:rPr>
        <w:t xml:space="preserve"> 3. </w:t>
      </w:r>
      <w:bookmarkEnd w:id="4"/>
      <w:bookmarkEnd w:id="5"/>
      <w:r w:rsidR="005E4747" w:rsidRPr="00D11663">
        <w:rPr>
          <w:rFonts w:cs="Times New Roman"/>
          <w:b/>
          <w:bCs/>
          <w:color w:val="auto"/>
          <w:sz w:val="20"/>
          <w:szCs w:val="20"/>
          <w:lang w:val="en-US"/>
        </w:rPr>
        <w:t>KAO Residual Cointegration Test</w:t>
      </w:r>
    </w:p>
    <w:tbl>
      <w:tblPr>
        <w:tblW w:w="5460" w:type="dxa"/>
        <w:jc w:val="center"/>
        <w:tblLook w:val="04A0" w:firstRow="1" w:lastRow="0" w:firstColumn="1" w:lastColumn="0" w:noHBand="0" w:noVBand="1"/>
      </w:tblPr>
      <w:tblGrid>
        <w:gridCol w:w="2340"/>
        <w:gridCol w:w="1760"/>
        <w:gridCol w:w="1360"/>
      </w:tblGrid>
      <w:tr w:rsidR="005432E2" w:rsidRPr="005D645B" w14:paraId="72D91FA5" w14:textId="77777777" w:rsidTr="00077132">
        <w:trPr>
          <w:trHeight w:val="298"/>
          <w:jc w:val="center"/>
        </w:trPr>
        <w:tc>
          <w:tcPr>
            <w:tcW w:w="2340" w:type="dxa"/>
            <w:tcBorders>
              <w:top w:val="single" w:sz="4" w:space="0" w:color="auto"/>
              <w:left w:val="nil"/>
              <w:bottom w:val="single" w:sz="4" w:space="0" w:color="auto"/>
              <w:right w:val="nil"/>
            </w:tcBorders>
            <w:noWrap/>
            <w:vAlign w:val="center"/>
            <w:hideMark/>
          </w:tcPr>
          <w:p w14:paraId="639CEEE3" w14:textId="77777777" w:rsidR="005432E2" w:rsidRPr="005D645B" w:rsidRDefault="005432E2" w:rsidP="00077132">
            <w:pPr>
              <w:jc w:val="center"/>
              <w:rPr>
                <w:color w:val="000000"/>
              </w:rPr>
            </w:pPr>
          </w:p>
        </w:tc>
        <w:tc>
          <w:tcPr>
            <w:tcW w:w="1760" w:type="dxa"/>
            <w:tcBorders>
              <w:top w:val="single" w:sz="4" w:space="0" w:color="auto"/>
              <w:left w:val="nil"/>
              <w:bottom w:val="single" w:sz="4" w:space="0" w:color="auto"/>
              <w:right w:val="nil"/>
            </w:tcBorders>
            <w:noWrap/>
            <w:vAlign w:val="center"/>
            <w:hideMark/>
          </w:tcPr>
          <w:p w14:paraId="16857427" w14:textId="77777777" w:rsidR="005432E2" w:rsidRPr="005D645B" w:rsidRDefault="005432E2" w:rsidP="00077132">
            <w:pPr>
              <w:jc w:val="center"/>
              <w:rPr>
                <w:color w:val="000000"/>
              </w:rPr>
            </w:pPr>
            <w:r w:rsidRPr="005D645B">
              <w:rPr>
                <w:color w:val="000000"/>
              </w:rPr>
              <w:t>t-Statistic</w:t>
            </w:r>
          </w:p>
        </w:tc>
        <w:tc>
          <w:tcPr>
            <w:tcW w:w="1360" w:type="dxa"/>
            <w:tcBorders>
              <w:top w:val="single" w:sz="4" w:space="0" w:color="auto"/>
              <w:left w:val="nil"/>
              <w:bottom w:val="single" w:sz="4" w:space="0" w:color="auto"/>
              <w:right w:val="nil"/>
            </w:tcBorders>
            <w:noWrap/>
            <w:vAlign w:val="center"/>
            <w:hideMark/>
          </w:tcPr>
          <w:p w14:paraId="18C5AF0C" w14:textId="77777777" w:rsidR="005432E2" w:rsidRPr="005D645B" w:rsidRDefault="005432E2" w:rsidP="00077132">
            <w:pPr>
              <w:jc w:val="center"/>
              <w:rPr>
                <w:color w:val="000000"/>
              </w:rPr>
            </w:pPr>
            <w:r w:rsidRPr="005D645B">
              <w:rPr>
                <w:color w:val="000000"/>
              </w:rPr>
              <w:t>Prob.</w:t>
            </w:r>
          </w:p>
        </w:tc>
      </w:tr>
      <w:tr w:rsidR="005432E2" w:rsidRPr="005D645B" w14:paraId="6B970F65" w14:textId="77777777" w:rsidTr="00077132">
        <w:trPr>
          <w:trHeight w:val="312"/>
          <w:jc w:val="center"/>
        </w:trPr>
        <w:tc>
          <w:tcPr>
            <w:tcW w:w="2340" w:type="dxa"/>
            <w:tcBorders>
              <w:top w:val="nil"/>
              <w:left w:val="nil"/>
              <w:bottom w:val="single" w:sz="4" w:space="0" w:color="auto"/>
              <w:right w:val="nil"/>
            </w:tcBorders>
            <w:noWrap/>
            <w:vAlign w:val="center"/>
            <w:hideMark/>
          </w:tcPr>
          <w:p w14:paraId="0E9FF74D" w14:textId="77777777" w:rsidR="005432E2" w:rsidRPr="005D645B" w:rsidRDefault="005432E2" w:rsidP="00077132">
            <w:pPr>
              <w:jc w:val="center"/>
              <w:rPr>
                <w:color w:val="000000"/>
              </w:rPr>
            </w:pPr>
            <w:r w:rsidRPr="005D645B">
              <w:rPr>
                <w:color w:val="000000"/>
              </w:rPr>
              <w:t>ADF</w:t>
            </w:r>
          </w:p>
        </w:tc>
        <w:tc>
          <w:tcPr>
            <w:tcW w:w="1760" w:type="dxa"/>
            <w:tcBorders>
              <w:top w:val="nil"/>
              <w:left w:val="nil"/>
              <w:bottom w:val="single" w:sz="4" w:space="0" w:color="auto"/>
              <w:right w:val="nil"/>
            </w:tcBorders>
            <w:noWrap/>
            <w:vAlign w:val="center"/>
            <w:hideMark/>
          </w:tcPr>
          <w:p w14:paraId="29DF1047" w14:textId="77777777" w:rsidR="005432E2" w:rsidRPr="005D645B" w:rsidRDefault="005432E2" w:rsidP="00077132">
            <w:pPr>
              <w:jc w:val="center"/>
              <w:rPr>
                <w:color w:val="000000"/>
                <w:lang w:val="en-US"/>
              </w:rPr>
            </w:pPr>
            <w:r w:rsidRPr="005D645B">
              <w:rPr>
                <w:color w:val="000000"/>
                <w:lang w:val="en-US"/>
              </w:rPr>
              <w:t>-3.643062</w:t>
            </w:r>
          </w:p>
        </w:tc>
        <w:tc>
          <w:tcPr>
            <w:tcW w:w="1360" w:type="dxa"/>
            <w:tcBorders>
              <w:top w:val="nil"/>
              <w:left w:val="nil"/>
              <w:bottom w:val="single" w:sz="4" w:space="0" w:color="auto"/>
              <w:right w:val="nil"/>
            </w:tcBorders>
            <w:noWrap/>
            <w:vAlign w:val="center"/>
            <w:hideMark/>
          </w:tcPr>
          <w:p w14:paraId="6D803C52" w14:textId="77777777" w:rsidR="005432E2" w:rsidRPr="005D645B" w:rsidRDefault="005432E2" w:rsidP="00077132">
            <w:pPr>
              <w:jc w:val="center"/>
              <w:rPr>
                <w:color w:val="000000"/>
                <w:lang w:val="en-US"/>
              </w:rPr>
            </w:pPr>
            <w:r w:rsidRPr="005D645B">
              <w:rPr>
                <w:color w:val="000000"/>
              </w:rPr>
              <w:t>0.0</w:t>
            </w:r>
            <w:r w:rsidRPr="005D645B">
              <w:rPr>
                <w:color w:val="000000"/>
                <w:lang w:val="en-US"/>
              </w:rPr>
              <w:t>001</w:t>
            </w:r>
          </w:p>
        </w:tc>
      </w:tr>
      <w:tr w:rsidR="005432E2" w:rsidRPr="005D645B" w14:paraId="798F26AF" w14:textId="77777777" w:rsidTr="00077132">
        <w:trPr>
          <w:trHeight w:val="312"/>
          <w:jc w:val="center"/>
        </w:trPr>
        <w:tc>
          <w:tcPr>
            <w:tcW w:w="2340" w:type="dxa"/>
            <w:tcBorders>
              <w:top w:val="nil"/>
              <w:left w:val="nil"/>
              <w:bottom w:val="single" w:sz="4" w:space="0" w:color="auto"/>
              <w:right w:val="nil"/>
            </w:tcBorders>
            <w:noWrap/>
            <w:vAlign w:val="center"/>
            <w:hideMark/>
          </w:tcPr>
          <w:p w14:paraId="1D368E67" w14:textId="77777777" w:rsidR="005432E2" w:rsidRPr="005D645B" w:rsidRDefault="005432E2" w:rsidP="00077132">
            <w:pPr>
              <w:jc w:val="center"/>
              <w:rPr>
                <w:color w:val="000000"/>
              </w:rPr>
            </w:pPr>
            <w:r w:rsidRPr="005D645B">
              <w:rPr>
                <w:color w:val="000000"/>
              </w:rPr>
              <w:t>Residual variance</w:t>
            </w:r>
          </w:p>
        </w:tc>
        <w:tc>
          <w:tcPr>
            <w:tcW w:w="1760" w:type="dxa"/>
            <w:tcBorders>
              <w:top w:val="nil"/>
              <w:left w:val="nil"/>
              <w:bottom w:val="single" w:sz="4" w:space="0" w:color="auto"/>
              <w:right w:val="nil"/>
            </w:tcBorders>
            <w:noWrap/>
            <w:hideMark/>
          </w:tcPr>
          <w:p w14:paraId="5101D0DF" w14:textId="77777777" w:rsidR="005432E2" w:rsidRPr="005D645B" w:rsidRDefault="005432E2" w:rsidP="00077132">
            <w:pPr>
              <w:jc w:val="center"/>
              <w:rPr>
                <w:color w:val="000000"/>
                <w:lang w:val="en-US"/>
              </w:rPr>
            </w:pPr>
            <w:r w:rsidRPr="005D645B">
              <w:t xml:space="preserve"> 3.608175</w:t>
            </w:r>
          </w:p>
        </w:tc>
        <w:tc>
          <w:tcPr>
            <w:tcW w:w="1360" w:type="dxa"/>
            <w:tcBorders>
              <w:top w:val="nil"/>
              <w:left w:val="nil"/>
              <w:bottom w:val="single" w:sz="4" w:space="0" w:color="auto"/>
              <w:right w:val="nil"/>
            </w:tcBorders>
            <w:noWrap/>
            <w:vAlign w:val="center"/>
            <w:hideMark/>
          </w:tcPr>
          <w:p w14:paraId="4DB6D17A" w14:textId="77777777" w:rsidR="005432E2" w:rsidRPr="005D645B" w:rsidRDefault="005432E2" w:rsidP="00077132">
            <w:pPr>
              <w:jc w:val="center"/>
              <w:rPr>
                <w:color w:val="000000"/>
              </w:rPr>
            </w:pPr>
          </w:p>
        </w:tc>
      </w:tr>
      <w:tr w:rsidR="005432E2" w:rsidRPr="005D645B" w14:paraId="60215809" w14:textId="77777777" w:rsidTr="00077132">
        <w:trPr>
          <w:trHeight w:val="312"/>
          <w:jc w:val="center"/>
        </w:trPr>
        <w:tc>
          <w:tcPr>
            <w:tcW w:w="2340" w:type="dxa"/>
            <w:tcBorders>
              <w:top w:val="nil"/>
              <w:left w:val="nil"/>
              <w:bottom w:val="single" w:sz="4" w:space="0" w:color="auto"/>
              <w:right w:val="nil"/>
            </w:tcBorders>
            <w:noWrap/>
            <w:vAlign w:val="center"/>
            <w:hideMark/>
          </w:tcPr>
          <w:p w14:paraId="03CC00F6" w14:textId="77777777" w:rsidR="005432E2" w:rsidRPr="005D645B" w:rsidRDefault="005432E2" w:rsidP="00077132">
            <w:pPr>
              <w:jc w:val="center"/>
              <w:rPr>
                <w:color w:val="000000"/>
              </w:rPr>
            </w:pPr>
            <w:r w:rsidRPr="005D645B">
              <w:rPr>
                <w:color w:val="000000"/>
              </w:rPr>
              <w:t>HAC variance</w:t>
            </w:r>
          </w:p>
        </w:tc>
        <w:tc>
          <w:tcPr>
            <w:tcW w:w="1760" w:type="dxa"/>
            <w:tcBorders>
              <w:top w:val="nil"/>
              <w:left w:val="nil"/>
              <w:bottom w:val="single" w:sz="4" w:space="0" w:color="auto"/>
              <w:right w:val="nil"/>
            </w:tcBorders>
            <w:noWrap/>
            <w:hideMark/>
          </w:tcPr>
          <w:p w14:paraId="444D9ABC" w14:textId="77777777" w:rsidR="005432E2" w:rsidRPr="005D645B" w:rsidRDefault="005432E2" w:rsidP="00077132">
            <w:pPr>
              <w:jc w:val="center"/>
              <w:rPr>
                <w:color w:val="000000"/>
                <w:lang w:val="en-US"/>
              </w:rPr>
            </w:pPr>
            <w:r w:rsidRPr="005D645B">
              <w:t xml:space="preserve"> 6.254613</w:t>
            </w:r>
          </w:p>
        </w:tc>
        <w:tc>
          <w:tcPr>
            <w:tcW w:w="1360" w:type="dxa"/>
            <w:tcBorders>
              <w:top w:val="nil"/>
              <w:left w:val="nil"/>
              <w:bottom w:val="single" w:sz="4" w:space="0" w:color="auto"/>
              <w:right w:val="nil"/>
            </w:tcBorders>
            <w:noWrap/>
            <w:vAlign w:val="center"/>
            <w:hideMark/>
          </w:tcPr>
          <w:p w14:paraId="7035EF11" w14:textId="77777777" w:rsidR="005432E2" w:rsidRPr="005D645B" w:rsidRDefault="005432E2" w:rsidP="00077132">
            <w:pPr>
              <w:jc w:val="center"/>
              <w:rPr>
                <w:color w:val="000000"/>
              </w:rPr>
            </w:pPr>
          </w:p>
        </w:tc>
      </w:tr>
    </w:tbl>
    <w:p w14:paraId="1C2AFD50" w14:textId="77777777" w:rsidR="00D5375B" w:rsidRPr="00D5375B" w:rsidRDefault="00D5375B" w:rsidP="00D5375B">
      <w:pPr>
        <w:rPr>
          <w:lang w:val="en-US"/>
        </w:rPr>
      </w:pPr>
    </w:p>
    <w:p w14:paraId="2E26C28A" w14:textId="2354C04D" w:rsidR="00294278" w:rsidRDefault="00683400" w:rsidP="00D11663">
      <w:pPr>
        <w:adjustRightInd w:val="0"/>
        <w:snapToGrid w:val="0"/>
        <w:spacing w:line="360" w:lineRule="auto"/>
        <w:ind w:firstLine="720"/>
        <w:jc w:val="both"/>
        <w:rPr>
          <w:lang w:val="en-US"/>
        </w:rPr>
      </w:pPr>
      <w:r w:rsidRPr="00683400">
        <w:rPr>
          <w:lang w:val="en-US"/>
        </w:rPr>
        <w:t>Having understood the long-run behavior of these variables, the next step is to establish whether there exists a long-run equilibrium relationship between capital flight and its determinants. This study employed the Kao residual cointegration test to check for the presence of cointegration between these variables, which is common in panel data estimation to find long-run relationships between non-stationary variables.</w:t>
      </w:r>
      <w:r w:rsidR="00D11663">
        <w:rPr>
          <w:lang w:val="en-US"/>
        </w:rPr>
        <w:t xml:space="preserve"> </w:t>
      </w:r>
      <w:r w:rsidRPr="00683400">
        <w:rPr>
          <w:lang w:val="en-US"/>
        </w:rPr>
        <w:t>The results of the cointegration test are presented in Table 3. The ADF value of −3.643, coupled with its p-value of 0.0001, clearly rejects the null hypothesis of no cointegration, thus establishing the presence of cointegration between capital flight and its determinants, including monetary policy efficiency, external debt, exchange rate volatility, capital controls, and trade openness.</w:t>
      </w:r>
      <w:r w:rsidR="00D11663">
        <w:rPr>
          <w:lang w:val="en-US"/>
        </w:rPr>
        <w:t xml:space="preserve"> </w:t>
      </w:r>
      <w:r w:rsidRPr="00683400">
        <w:rPr>
          <w:lang w:val="en-US"/>
        </w:rPr>
        <w:t xml:space="preserve">The presence of cointegration between these variables indicates that, despite short-run fluctuations, these variables are gradually moving towards equilibrium. This supports the theoretical framework of capital flight, which was discussed in the previous section, where it was suggested that capital flight is influenced by several factors, including the effectiveness of macroeconomic policies, external financial vulnerabilities, and structural openness of the economy. Having found </w:t>
      </w:r>
      <w:r w:rsidRPr="00683400">
        <w:rPr>
          <w:lang w:val="en-US"/>
        </w:rPr>
        <w:lastRenderedPageBreak/>
        <w:t>cointegration between these variables, the next step would be to use the Pooled Mean Group estimator of the panel ARDL approach for estimation in the next step of analysis.</w:t>
      </w:r>
    </w:p>
    <w:p w14:paraId="1BEDA5FA" w14:textId="77777777" w:rsidR="00683400" w:rsidRDefault="00683400" w:rsidP="00683400"/>
    <w:p w14:paraId="3BFDE402" w14:textId="6F1EC637" w:rsidR="00C17472" w:rsidRPr="00C369A7" w:rsidRDefault="005432E2" w:rsidP="00C17472">
      <w:pPr>
        <w:pStyle w:val="ListParagraph"/>
        <w:numPr>
          <w:ilvl w:val="1"/>
          <w:numId w:val="20"/>
        </w:numPr>
        <w:tabs>
          <w:tab w:val="right" w:pos="13892"/>
        </w:tabs>
        <w:spacing w:after="0" w:line="288" w:lineRule="auto"/>
        <w:ind w:left="426" w:hanging="426"/>
        <w:rPr>
          <w:rFonts w:ascii="Times New Roman" w:eastAsiaTheme="minorEastAsia" w:hAnsi="Times New Roman" w:cs="Times New Roman"/>
          <w:b/>
          <w:bCs/>
          <w:sz w:val="24"/>
          <w:szCs w:val="24"/>
        </w:rPr>
      </w:pPr>
      <w:proofErr w:type="spellStart"/>
      <w:r>
        <w:rPr>
          <w:rFonts w:ascii="Times New Roman" w:eastAsiaTheme="minorEastAsia" w:hAnsi="Times New Roman" w:cs="Times New Roman"/>
          <w:b/>
          <w:bCs/>
          <w:sz w:val="24"/>
          <w:szCs w:val="24"/>
          <w:lang w:val="en-US"/>
        </w:rPr>
        <w:t>Estimasi</w:t>
      </w:r>
      <w:proofErr w:type="spellEnd"/>
      <w:r>
        <w:rPr>
          <w:rFonts w:ascii="Times New Roman" w:eastAsiaTheme="minorEastAsia" w:hAnsi="Times New Roman" w:cs="Times New Roman"/>
          <w:b/>
          <w:bCs/>
          <w:sz w:val="24"/>
          <w:szCs w:val="24"/>
          <w:lang w:val="en-US"/>
        </w:rPr>
        <w:t xml:space="preserve"> PMG</w:t>
      </w:r>
    </w:p>
    <w:p w14:paraId="1620F852" w14:textId="77777777" w:rsidR="00C17472" w:rsidRDefault="00C17472" w:rsidP="00C17472"/>
    <w:p w14:paraId="2800F0C2" w14:textId="41D991A3" w:rsidR="00A04AD5" w:rsidRPr="00F6676C" w:rsidRDefault="005432E2" w:rsidP="00F6676C">
      <w:pPr>
        <w:pStyle w:val="Heading4"/>
        <w:spacing w:before="0"/>
        <w:jc w:val="center"/>
        <w:rPr>
          <w:rFonts w:cs="Times New Roman"/>
          <w:b/>
          <w:bCs/>
          <w:i w:val="0"/>
          <w:iCs w:val="0"/>
          <w:color w:val="auto"/>
          <w:sz w:val="20"/>
          <w:szCs w:val="20"/>
          <w:lang w:val="en-US"/>
        </w:rPr>
      </w:pPr>
      <w:r w:rsidRPr="00F6676C">
        <w:rPr>
          <w:rFonts w:cs="Times New Roman"/>
          <w:b/>
          <w:bCs/>
          <w:i w:val="0"/>
          <w:iCs w:val="0"/>
          <w:color w:val="auto"/>
          <w:sz w:val="20"/>
          <w:szCs w:val="20"/>
          <w:lang w:val="en-US"/>
        </w:rPr>
        <w:t>Tab</w:t>
      </w:r>
      <w:r w:rsidR="00F6676C" w:rsidRPr="00F6676C">
        <w:rPr>
          <w:rFonts w:cs="Times New Roman"/>
          <w:b/>
          <w:bCs/>
          <w:i w:val="0"/>
          <w:iCs w:val="0"/>
          <w:color w:val="auto"/>
          <w:sz w:val="20"/>
          <w:szCs w:val="20"/>
          <w:lang w:val="en-US"/>
        </w:rPr>
        <w:t xml:space="preserve">le </w:t>
      </w:r>
      <w:r w:rsidRPr="00F6676C">
        <w:rPr>
          <w:rFonts w:cs="Times New Roman"/>
          <w:b/>
          <w:bCs/>
          <w:i w:val="0"/>
          <w:iCs w:val="0"/>
          <w:color w:val="auto"/>
          <w:sz w:val="20"/>
          <w:szCs w:val="20"/>
          <w:lang w:val="en-US"/>
        </w:rPr>
        <w:t xml:space="preserve">4. </w:t>
      </w:r>
      <w:r w:rsidR="00F6676C" w:rsidRPr="00F6676C">
        <w:rPr>
          <w:rFonts w:cs="Times New Roman"/>
          <w:b/>
          <w:bCs/>
          <w:i w:val="0"/>
          <w:iCs w:val="0"/>
          <w:color w:val="auto"/>
          <w:sz w:val="20"/>
          <w:szCs w:val="20"/>
          <w:lang w:val="en-US"/>
        </w:rPr>
        <w:t>PMG Estimation</w:t>
      </w:r>
    </w:p>
    <w:tbl>
      <w:tblPr>
        <w:tblStyle w:val="TableGrid0"/>
        <w:tblW w:w="0" w:type="auto"/>
        <w:tblInd w:w="988" w:type="dxa"/>
        <w:tblLook w:val="04A0" w:firstRow="1" w:lastRow="0" w:firstColumn="1" w:lastColumn="0" w:noHBand="0" w:noVBand="1"/>
      </w:tblPr>
      <w:tblGrid>
        <w:gridCol w:w="2405"/>
        <w:gridCol w:w="1201"/>
        <w:gridCol w:w="1209"/>
        <w:gridCol w:w="1276"/>
        <w:gridCol w:w="1417"/>
      </w:tblGrid>
      <w:tr w:rsidR="00D11663" w:rsidRPr="00F6676C" w14:paraId="2855A860" w14:textId="77777777" w:rsidTr="00F6676C">
        <w:tc>
          <w:tcPr>
            <w:tcW w:w="2405" w:type="dxa"/>
            <w:vAlign w:val="center"/>
          </w:tcPr>
          <w:p w14:paraId="3B4AE5BA" w14:textId="45C76FB5" w:rsidR="00D11663" w:rsidRPr="00F6676C" w:rsidRDefault="00D11663" w:rsidP="00F6676C">
            <w:pPr>
              <w:adjustRightInd w:val="0"/>
              <w:snapToGrid w:val="0"/>
              <w:jc w:val="both"/>
              <w:rPr>
                <w:sz w:val="20"/>
                <w:szCs w:val="20"/>
                <w:lang w:val="en-US"/>
              </w:rPr>
            </w:pPr>
            <w:r w:rsidRPr="00F6676C">
              <w:rPr>
                <w:b/>
                <w:bCs/>
                <w:sz w:val="20"/>
                <w:szCs w:val="20"/>
              </w:rPr>
              <w:t>Variable</w:t>
            </w:r>
          </w:p>
        </w:tc>
        <w:tc>
          <w:tcPr>
            <w:tcW w:w="1201" w:type="dxa"/>
            <w:vAlign w:val="center"/>
          </w:tcPr>
          <w:p w14:paraId="435BEB02" w14:textId="0F153F8F" w:rsidR="00D11663" w:rsidRPr="00F6676C" w:rsidRDefault="00D11663" w:rsidP="00F6676C">
            <w:pPr>
              <w:adjustRightInd w:val="0"/>
              <w:snapToGrid w:val="0"/>
              <w:jc w:val="both"/>
              <w:rPr>
                <w:sz w:val="20"/>
                <w:szCs w:val="20"/>
                <w:lang w:val="en-US"/>
              </w:rPr>
            </w:pPr>
            <w:r w:rsidRPr="00F6676C">
              <w:rPr>
                <w:b/>
                <w:bCs/>
                <w:sz w:val="20"/>
                <w:szCs w:val="20"/>
              </w:rPr>
              <w:t>Model 1</w:t>
            </w:r>
          </w:p>
        </w:tc>
        <w:tc>
          <w:tcPr>
            <w:tcW w:w="1209" w:type="dxa"/>
            <w:vAlign w:val="center"/>
          </w:tcPr>
          <w:p w14:paraId="38538EC8" w14:textId="3D340B65" w:rsidR="00D11663" w:rsidRPr="00F6676C" w:rsidRDefault="00D11663" w:rsidP="00F6676C">
            <w:pPr>
              <w:adjustRightInd w:val="0"/>
              <w:snapToGrid w:val="0"/>
              <w:jc w:val="both"/>
              <w:rPr>
                <w:sz w:val="20"/>
                <w:szCs w:val="20"/>
                <w:lang w:val="en-US"/>
              </w:rPr>
            </w:pPr>
            <w:r w:rsidRPr="00F6676C">
              <w:rPr>
                <w:b/>
                <w:bCs/>
                <w:sz w:val="20"/>
                <w:szCs w:val="20"/>
              </w:rPr>
              <w:t>Model 2</w:t>
            </w:r>
          </w:p>
        </w:tc>
        <w:tc>
          <w:tcPr>
            <w:tcW w:w="1276" w:type="dxa"/>
            <w:vAlign w:val="center"/>
          </w:tcPr>
          <w:p w14:paraId="78996D70" w14:textId="10A5EF3F" w:rsidR="00D11663" w:rsidRPr="00F6676C" w:rsidRDefault="00D11663" w:rsidP="00F6676C">
            <w:pPr>
              <w:adjustRightInd w:val="0"/>
              <w:snapToGrid w:val="0"/>
              <w:jc w:val="both"/>
              <w:rPr>
                <w:sz w:val="20"/>
                <w:szCs w:val="20"/>
                <w:lang w:val="en-US"/>
              </w:rPr>
            </w:pPr>
            <w:r w:rsidRPr="00F6676C">
              <w:rPr>
                <w:b/>
                <w:bCs/>
                <w:sz w:val="20"/>
                <w:szCs w:val="20"/>
              </w:rPr>
              <w:t>Model 3</w:t>
            </w:r>
          </w:p>
        </w:tc>
        <w:tc>
          <w:tcPr>
            <w:tcW w:w="1417" w:type="dxa"/>
            <w:vAlign w:val="center"/>
          </w:tcPr>
          <w:p w14:paraId="31085946" w14:textId="48D7F74A" w:rsidR="00D11663" w:rsidRPr="00F6676C" w:rsidRDefault="00D11663" w:rsidP="00F6676C">
            <w:pPr>
              <w:adjustRightInd w:val="0"/>
              <w:snapToGrid w:val="0"/>
              <w:jc w:val="both"/>
              <w:rPr>
                <w:sz w:val="20"/>
                <w:szCs w:val="20"/>
                <w:lang w:val="en-US"/>
              </w:rPr>
            </w:pPr>
            <w:r w:rsidRPr="00F6676C">
              <w:rPr>
                <w:b/>
                <w:bCs/>
                <w:sz w:val="20"/>
                <w:szCs w:val="20"/>
              </w:rPr>
              <w:t>Model 4</w:t>
            </w:r>
          </w:p>
        </w:tc>
      </w:tr>
      <w:tr w:rsidR="00D11663" w:rsidRPr="00F6676C" w14:paraId="37173328" w14:textId="77777777" w:rsidTr="00F6676C">
        <w:tc>
          <w:tcPr>
            <w:tcW w:w="7508" w:type="dxa"/>
            <w:gridSpan w:val="5"/>
          </w:tcPr>
          <w:p w14:paraId="7495EFA3" w14:textId="3F56FB9F" w:rsidR="00D11663" w:rsidRPr="00F6676C" w:rsidRDefault="00D11663" w:rsidP="00F6676C">
            <w:pPr>
              <w:adjustRightInd w:val="0"/>
              <w:snapToGrid w:val="0"/>
              <w:jc w:val="both"/>
              <w:rPr>
                <w:sz w:val="20"/>
                <w:szCs w:val="20"/>
                <w:lang w:val="en-US"/>
              </w:rPr>
            </w:pPr>
            <w:r w:rsidRPr="00F6676C">
              <w:rPr>
                <w:rStyle w:val="Strong"/>
                <w:sz w:val="20"/>
                <w:szCs w:val="20"/>
              </w:rPr>
              <w:t>Long-run equation</w:t>
            </w:r>
          </w:p>
        </w:tc>
      </w:tr>
      <w:tr w:rsidR="00D11663" w:rsidRPr="00F6676C" w14:paraId="13AD675C" w14:textId="77777777" w:rsidTr="00F6676C">
        <w:tc>
          <w:tcPr>
            <w:tcW w:w="2405" w:type="dxa"/>
            <w:vAlign w:val="center"/>
          </w:tcPr>
          <w:p w14:paraId="10125170" w14:textId="02760D2F" w:rsidR="00D11663" w:rsidRPr="00F6676C" w:rsidRDefault="00D11663" w:rsidP="00F6676C">
            <w:pPr>
              <w:adjustRightInd w:val="0"/>
              <w:snapToGrid w:val="0"/>
              <w:jc w:val="both"/>
              <w:rPr>
                <w:sz w:val="20"/>
                <w:szCs w:val="20"/>
                <w:lang w:val="en-US"/>
              </w:rPr>
            </w:pPr>
            <w:r w:rsidRPr="00F6676C">
              <w:rPr>
                <w:sz w:val="20"/>
                <w:szCs w:val="20"/>
              </w:rPr>
              <w:t xml:space="preserve"> MPE</w:t>
            </w:r>
          </w:p>
        </w:tc>
        <w:tc>
          <w:tcPr>
            <w:tcW w:w="1201" w:type="dxa"/>
            <w:vAlign w:val="center"/>
          </w:tcPr>
          <w:p w14:paraId="29CAE93D" w14:textId="77777777" w:rsidR="00D11663" w:rsidRPr="00F6676C" w:rsidRDefault="00D11663" w:rsidP="00F6676C">
            <w:pPr>
              <w:adjustRightInd w:val="0"/>
              <w:snapToGrid w:val="0"/>
              <w:jc w:val="both"/>
              <w:rPr>
                <w:sz w:val="20"/>
                <w:szCs w:val="20"/>
                <w:lang w:val="en-US"/>
              </w:rPr>
            </w:pPr>
          </w:p>
        </w:tc>
        <w:tc>
          <w:tcPr>
            <w:tcW w:w="1209" w:type="dxa"/>
            <w:vAlign w:val="center"/>
          </w:tcPr>
          <w:p w14:paraId="03DD4318" w14:textId="77777777" w:rsidR="00D11663" w:rsidRPr="00F6676C" w:rsidRDefault="00D11663" w:rsidP="00F6676C">
            <w:pPr>
              <w:adjustRightInd w:val="0"/>
              <w:snapToGrid w:val="0"/>
              <w:jc w:val="both"/>
              <w:rPr>
                <w:sz w:val="20"/>
                <w:szCs w:val="20"/>
              </w:rPr>
            </w:pPr>
            <w:r w:rsidRPr="00F6676C">
              <w:rPr>
                <w:sz w:val="20"/>
                <w:szCs w:val="20"/>
              </w:rPr>
              <w:t>−0.812</w:t>
            </w:r>
            <w:r w:rsidR="00A04AD5" w:rsidRPr="00F6676C">
              <w:rPr>
                <w:sz w:val="20"/>
                <w:szCs w:val="20"/>
              </w:rPr>
              <w:t>4</w:t>
            </w:r>
            <w:r w:rsidRPr="00F6676C">
              <w:rPr>
                <w:sz w:val="20"/>
                <w:szCs w:val="20"/>
              </w:rPr>
              <w:t>***</w:t>
            </w:r>
          </w:p>
          <w:p w14:paraId="6862A1CC" w14:textId="4915F234" w:rsidR="00C41AF4" w:rsidRPr="00F6676C" w:rsidRDefault="00C41AF4" w:rsidP="00F6676C">
            <w:pPr>
              <w:adjustRightInd w:val="0"/>
              <w:snapToGrid w:val="0"/>
              <w:jc w:val="both"/>
              <w:rPr>
                <w:sz w:val="20"/>
                <w:szCs w:val="20"/>
                <w:lang w:val="en-US"/>
              </w:rPr>
            </w:pPr>
            <w:r w:rsidRPr="00F6676C">
              <w:rPr>
                <w:sz w:val="20"/>
                <w:szCs w:val="20"/>
              </w:rPr>
              <w:t>(0.2053)</w:t>
            </w:r>
          </w:p>
        </w:tc>
        <w:tc>
          <w:tcPr>
            <w:tcW w:w="1276" w:type="dxa"/>
            <w:vAlign w:val="center"/>
          </w:tcPr>
          <w:p w14:paraId="250B0E70" w14:textId="77777777" w:rsidR="00D11663" w:rsidRPr="00F6676C" w:rsidRDefault="00D11663" w:rsidP="00F6676C">
            <w:pPr>
              <w:adjustRightInd w:val="0"/>
              <w:snapToGrid w:val="0"/>
              <w:jc w:val="both"/>
              <w:rPr>
                <w:sz w:val="20"/>
                <w:szCs w:val="20"/>
              </w:rPr>
            </w:pPr>
            <w:r w:rsidRPr="00F6676C">
              <w:rPr>
                <w:sz w:val="20"/>
                <w:szCs w:val="20"/>
              </w:rPr>
              <w:t>−0.854</w:t>
            </w:r>
            <w:r w:rsidR="00A04AD5" w:rsidRPr="00F6676C">
              <w:rPr>
                <w:sz w:val="20"/>
                <w:szCs w:val="20"/>
              </w:rPr>
              <w:t>1</w:t>
            </w:r>
            <w:r w:rsidRPr="00F6676C">
              <w:rPr>
                <w:sz w:val="20"/>
                <w:szCs w:val="20"/>
              </w:rPr>
              <w:t>***</w:t>
            </w:r>
          </w:p>
          <w:p w14:paraId="2AE60ABE" w14:textId="7D27EDC8" w:rsidR="00C41AF4" w:rsidRPr="00F6676C" w:rsidRDefault="00C41AF4" w:rsidP="00F6676C">
            <w:pPr>
              <w:adjustRightInd w:val="0"/>
              <w:snapToGrid w:val="0"/>
              <w:jc w:val="both"/>
              <w:rPr>
                <w:sz w:val="20"/>
                <w:szCs w:val="20"/>
                <w:lang w:val="en-US"/>
              </w:rPr>
            </w:pPr>
            <w:r w:rsidRPr="00F6676C">
              <w:rPr>
                <w:sz w:val="20"/>
                <w:szCs w:val="20"/>
              </w:rPr>
              <w:t>(0.2128)</w:t>
            </w:r>
          </w:p>
        </w:tc>
        <w:tc>
          <w:tcPr>
            <w:tcW w:w="1417" w:type="dxa"/>
            <w:vAlign w:val="center"/>
          </w:tcPr>
          <w:p w14:paraId="6E0B3E26" w14:textId="77777777" w:rsidR="00D11663" w:rsidRPr="00F6676C" w:rsidRDefault="00D11663" w:rsidP="00F6676C">
            <w:pPr>
              <w:adjustRightInd w:val="0"/>
              <w:snapToGrid w:val="0"/>
              <w:jc w:val="both"/>
              <w:rPr>
                <w:sz w:val="20"/>
                <w:szCs w:val="20"/>
              </w:rPr>
            </w:pPr>
            <w:r w:rsidRPr="00F6676C">
              <w:rPr>
                <w:sz w:val="20"/>
                <w:szCs w:val="20"/>
              </w:rPr>
              <w:t>−0.84</w:t>
            </w:r>
            <w:r w:rsidR="00A04AD5" w:rsidRPr="00F6676C">
              <w:rPr>
                <w:sz w:val="20"/>
                <w:szCs w:val="20"/>
              </w:rPr>
              <w:t>3</w:t>
            </w:r>
            <w:r w:rsidRPr="00F6676C">
              <w:rPr>
                <w:sz w:val="20"/>
                <w:szCs w:val="20"/>
              </w:rPr>
              <w:t>***</w:t>
            </w:r>
          </w:p>
          <w:p w14:paraId="5636E99F" w14:textId="7B121006" w:rsidR="00C41AF4" w:rsidRPr="00F6676C" w:rsidRDefault="00C41AF4" w:rsidP="00F6676C">
            <w:pPr>
              <w:adjustRightInd w:val="0"/>
              <w:snapToGrid w:val="0"/>
              <w:jc w:val="both"/>
              <w:rPr>
                <w:sz w:val="20"/>
                <w:szCs w:val="20"/>
                <w:lang w:val="en-US"/>
              </w:rPr>
            </w:pPr>
            <w:r w:rsidRPr="00F6676C">
              <w:rPr>
                <w:sz w:val="20"/>
                <w:szCs w:val="20"/>
              </w:rPr>
              <w:t>(0.2141)</w:t>
            </w:r>
          </w:p>
        </w:tc>
      </w:tr>
      <w:tr w:rsidR="00D11663" w:rsidRPr="00F6676C" w14:paraId="3A532412" w14:textId="77777777" w:rsidTr="00F6676C">
        <w:tc>
          <w:tcPr>
            <w:tcW w:w="2405" w:type="dxa"/>
            <w:vAlign w:val="center"/>
          </w:tcPr>
          <w:p w14:paraId="7E62EBCA" w14:textId="45A50234" w:rsidR="00D11663" w:rsidRPr="00F6676C" w:rsidRDefault="00D11663" w:rsidP="00F6676C">
            <w:pPr>
              <w:adjustRightInd w:val="0"/>
              <w:snapToGrid w:val="0"/>
              <w:jc w:val="both"/>
              <w:rPr>
                <w:sz w:val="20"/>
                <w:szCs w:val="20"/>
                <w:lang w:val="en-US"/>
              </w:rPr>
            </w:pPr>
            <w:r w:rsidRPr="00F6676C">
              <w:rPr>
                <w:sz w:val="20"/>
                <w:szCs w:val="20"/>
              </w:rPr>
              <w:t>ED</w:t>
            </w:r>
          </w:p>
        </w:tc>
        <w:tc>
          <w:tcPr>
            <w:tcW w:w="1201" w:type="dxa"/>
            <w:vAlign w:val="center"/>
          </w:tcPr>
          <w:p w14:paraId="66FCD754" w14:textId="59AA5FAF" w:rsidR="00D11663" w:rsidRPr="00F6676C" w:rsidRDefault="00D11663" w:rsidP="00F6676C">
            <w:pPr>
              <w:adjustRightInd w:val="0"/>
              <w:snapToGrid w:val="0"/>
              <w:jc w:val="both"/>
              <w:rPr>
                <w:sz w:val="20"/>
                <w:szCs w:val="20"/>
              </w:rPr>
            </w:pPr>
            <w:r w:rsidRPr="00F6676C">
              <w:rPr>
                <w:sz w:val="20"/>
                <w:szCs w:val="20"/>
              </w:rPr>
              <w:t>0.446</w:t>
            </w:r>
            <w:r w:rsidR="00C41AF4" w:rsidRPr="00F6676C">
              <w:rPr>
                <w:sz w:val="20"/>
                <w:szCs w:val="20"/>
              </w:rPr>
              <w:t>3</w:t>
            </w:r>
            <w:r w:rsidRPr="00F6676C">
              <w:rPr>
                <w:sz w:val="20"/>
                <w:szCs w:val="20"/>
              </w:rPr>
              <w:t>***</w:t>
            </w:r>
          </w:p>
          <w:p w14:paraId="33FCAD81" w14:textId="58A8AAB9" w:rsidR="00C41AF4" w:rsidRPr="00F6676C" w:rsidRDefault="00C41AF4" w:rsidP="00F6676C">
            <w:pPr>
              <w:adjustRightInd w:val="0"/>
              <w:snapToGrid w:val="0"/>
              <w:jc w:val="both"/>
              <w:rPr>
                <w:sz w:val="20"/>
                <w:szCs w:val="20"/>
                <w:lang w:val="en-US"/>
              </w:rPr>
            </w:pPr>
            <w:r w:rsidRPr="00F6676C">
              <w:rPr>
                <w:sz w:val="20"/>
                <w:szCs w:val="20"/>
              </w:rPr>
              <w:t>(0.1184)</w:t>
            </w:r>
          </w:p>
        </w:tc>
        <w:tc>
          <w:tcPr>
            <w:tcW w:w="1209" w:type="dxa"/>
            <w:vAlign w:val="center"/>
          </w:tcPr>
          <w:p w14:paraId="7F98F0C5" w14:textId="33AFFA02" w:rsidR="00D11663" w:rsidRPr="00F6676C" w:rsidRDefault="00D11663" w:rsidP="00F6676C">
            <w:pPr>
              <w:adjustRightInd w:val="0"/>
              <w:snapToGrid w:val="0"/>
              <w:jc w:val="both"/>
              <w:rPr>
                <w:sz w:val="20"/>
                <w:szCs w:val="20"/>
                <w:lang w:val="en-US"/>
              </w:rPr>
            </w:pPr>
          </w:p>
        </w:tc>
        <w:tc>
          <w:tcPr>
            <w:tcW w:w="1276" w:type="dxa"/>
            <w:vAlign w:val="center"/>
          </w:tcPr>
          <w:p w14:paraId="5155E7C3" w14:textId="77777777" w:rsidR="00D11663" w:rsidRPr="00F6676C" w:rsidRDefault="00D11663" w:rsidP="00F6676C">
            <w:pPr>
              <w:adjustRightInd w:val="0"/>
              <w:snapToGrid w:val="0"/>
              <w:jc w:val="both"/>
              <w:rPr>
                <w:sz w:val="20"/>
                <w:szCs w:val="20"/>
              </w:rPr>
            </w:pPr>
            <w:r w:rsidRPr="00F6676C">
              <w:rPr>
                <w:sz w:val="20"/>
                <w:szCs w:val="20"/>
              </w:rPr>
              <w:t>0.421</w:t>
            </w:r>
            <w:r w:rsidR="00C41AF4" w:rsidRPr="00F6676C">
              <w:rPr>
                <w:sz w:val="20"/>
                <w:szCs w:val="20"/>
              </w:rPr>
              <w:t>2</w:t>
            </w:r>
            <w:r w:rsidRPr="00F6676C">
              <w:rPr>
                <w:sz w:val="20"/>
                <w:szCs w:val="20"/>
              </w:rPr>
              <w:t>***</w:t>
            </w:r>
          </w:p>
          <w:p w14:paraId="2959BDA3" w14:textId="004A3274" w:rsidR="00C41AF4" w:rsidRPr="00F6676C" w:rsidRDefault="00C41AF4" w:rsidP="00F6676C">
            <w:pPr>
              <w:adjustRightInd w:val="0"/>
              <w:snapToGrid w:val="0"/>
              <w:jc w:val="both"/>
              <w:rPr>
                <w:sz w:val="20"/>
                <w:szCs w:val="20"/>
                <w:lang w:val="en-US"/>
              </w:rPr>
            </w:pPr>
            <w:r w:rsidRPr="00F6676C">
              <w:rPr>
                <w:sz w:val="20"/>
                <w:szCs w:val="20"/>
              </w:rPr>
              <w:t>(0.1112)</w:t>
            </w:r>
          </w:p>
        </w:tc>
        <w:tc>
          <w:tcPr>
            <w:tcW w:w="1417" w:type="dxa"/>
            <w:vAlign w:val="center"/>
          </w:tcPr>
          <w:p w14:paraId="3C91D41B" w14:textId="77777777" w:rsidR="00D11663" w:rsidRPr="00F6676C" w:rsidRDefault="00D11663" w:rsidP="00F6676C">
            <w:pPr>
              <w:adjustRightInd w:val="0"/>
              <w:snapToGrid w:val="0"/>
              <w:jc w:val="both"/>
              <w:rPr>
                <w:sz w:val="20"/>
                <w:szCs w:val="20"/>
              </w:rPr>
            </w:pPr>
            <w:r w:rsidRPr="00F6676C">
              <w:rPr>
                <w:sz w:val="20"/>
                <w:szCs w:val="20"/>
              </w:rPr>
              <w:t>0.431</w:t>
            </w:r>
            <w:r w:rsidR="00C41AF4" w:rsidRPr="00F6676C">
              <w:rPr>
                <w:sz w:val="20"/>
                <w:szCs w:val="20"/>
              </w:rPr>
              <w:t>1</w:t>
            </w:r>
            <w:r w:rsidRPr="00F6676C">
              <w:rPr>
                <w:sz w:val="20"/>
                <w:szCs w:val="20"/>
              </w:rPr>
              <w:t>***</w:t>
            </w:r>
          </w:p>
          <w:p w14:paraId="72CCEAA8" w14:textId="434F2968" w:rsidR="00C41AF4" w:rsidRPr="00F6676C" w:rsidRDefault="00C41AF4" w:rsidP="00F6676C">
            <w:pPr>
              <w:adjustRightInd w:val="0"/>
              <w:snapToGrid w:val="0"/>
              <w:jc w:val="both"/>
              <w:rPr>
                <w:sz w:val="20"/>
                <w:szCs w:val="20"/>
                <w:lang w:val="en-US"/>
              </w:rPr>
            </w:pPr>
            <w:r w:rsidRPr="00F6676C">
              <w:rPr>
                <w:sz w:val="20"/>
                <w:szCs w:val="20"/>
              </w:rPr>
              <w:t>(0.1123)</w:t>
            </w:r>
          </w:p>
        </w:tc>
      </w:tr>
      <w:tr w:rsidR="00A04AD5" w:rsidRPr="00F6676C" w14:paraId="2B6B8E18" w14:textId="77777777" w:rsidTr="00F6676C">
        <w:tc>
          <w:tcPr>
            <w:tcW w:w="2405" w:type="dxa"/>
            <w:vAlign w:val="center"/>
          </w:tcPr>
          <w:p w14:paraId="229B95BE" w14:textId="59AD026D" w:rsidR="00A04AD5" w:rsidRPr="00F6676C" w:rsidRDefault="00A04AD5" w:rsidP="00F6676C">
            <w:pPr>
              <w:adjustRightInd w:val="0"/>
              <w:snapToGrid w:val="0"/>
              <w:jc w:val="both"/>
              <w:rPr>
                <w:sz w:val="20"/>
                <w:szCs w:val="20"/>
                <w:lang w:val="en-US"/>
              </w:rPr>
            </w:pPr>
            <w:r w:rsidRPr="00F6676C">
              <w:rPr>
                <w:sz w:val="20"/>
                <w:szCs w:val="20"/>
              </w:rPr>
              <w:t xml:space="preserve"> VOL</w:t>
            </w:r>
          </w:p>
        </w:tc>
        <w:tc>
          <w:tcPr>
            <w:tcW w:w="1201" w:type="dxa"/>
            <w:vAlign w:val="center"/>
          </w:tcPr>
          <w:p w14:paraId="0BA788BC" w14:textId="6C008AD4" w:rsidR="00A04AD5" w:rsidRPr="00F6676C" w:rsidRDefault="00A04AD5" w:rsidP="00F6676C">
            <w:pPr>
              <w:adjustRightInd w:val="0"/>
              <w:snapToGrid w:val="0"/>
              <w:jc w:val="both"/>
              <w:rPr>
                <w:sz w:val="20"/>
                <w:szCs w:val="20"/>
              </w:rPr>
            </w:pPr>
            <w:r w:rsidRPr="00F6676C">
              <w:rPr>
                <w:sz w:val="20"/>
                <w:szCs w:val="20"/>
              </w:rPr>
              <w:t>0.069</w:t>
            </w:r>
            <w:r w:rsidR="00C41AF4" w:rsidRPr="00F6676C">
              <w:rPr>
                <w:sz w:val="20"/>
                <w:szCs w:val="20"/>
              </w:rPr>
              <w:t>3</w:t>
            </w:r>
          </w:p>
          <w:p w14:paraId="45CC4D46" w14:textId="68F7C343" w:rsidR="00C41AF4" w:rsidRPr="00F6676C" w:rsidRDefault="00C41AF4" w:rsidP="00F6676C">
            <w:pPr>
              <w:adjustRightInd w:val="0"/>
              <w:snapToGrid w:val="0"/>
              <w:jc w:val="both"/>
              <w:rPr>
                <w:sz w:val="20"/>
                <w:szCs w:val="20"/>
                <w:lang w:val="en-US"/>
              </w:rPr>
            </w:pPr>
            <w:r w:rsidRPr="00F6676C">
              <w:rPr>
                <w:sz w:val="20"/>
                <w:szCs w:val="20"/>
              </w:rPr>
              <w:t>(0.0551)</w:t>
            </w:r>
          </w:p>
        </w:tc>
        <w:tc>
          <w:tcPr>
            <w:tcW w:w="1209" w:type="dxa"/>
            <w:vAlign w:val="center"/>
          </w:tcPr>
          <w:p w14:paraId="2CE38C8E" w14:textId="6BDAC832" w:rsidR="00A04AD5" w:rsidRPr="00F6676C" w:rsidRDefault="00A04AD5" w:rsidP="00F6676C">
            <w:pPr>
              <w:adjustRightInd w:val="0"/>
              <w:snapToGrid w:val="0"/>
              <w:jc w:val="both"/>
              <w:rPr>
                <w:sz w:val="20"/>
                <w:szCs w:val="20"/>
              </w:rPr>
            </w:pPr>
            <w:r w:rsidRPr="00F6676C">
              <w:rPr>
                <w:sz w:val="20"/>
                <w:szCs w:val="20"/>
              </w:rPr>
              <w:t>0.061</w:t>
            </w:r>
            <w:r w:rsidR="00C41AF4" w:rsidRPr="00F6676C">
              <w:rPr>
                <w:sz w:val="20"/>
                <w:szCs w:val="20"/>
              </w:rPr>
              <w:t>4</w:t>
            </w:r>
          </w:p>
          <w:p w14:paraId="49BD598F" w14:textId="16D2656B" w:rsidR="00C41AF4" w:rsidRPr="00F6676C" w:rsidRDefault="00C41AF4" w:rsidP="00F6676C">
            <w:pPr>
              <w:adjustRightInd w:val="0"/>
              <w:snapToGrid w:val="0"/>
              <w:jc w:val="both"/>
              <w:rPr>
                <w:sz w:val="20"/>
                <w:szCs w:val="20"/>
                <w:lang w:val="en-US"/>
              </w:rPr>
            </w:pPr>
            <w:r w:rsidRPr="00F6676C">
              <w:rPr>
                <w:sz w:val="20"/>
                <w:szCs w:val="20"/>
              </w:rPr>
              <w:t>(0.0523)</w:t>
            </w:r>
          </w:p>
        </w:tc>
        <w:tc>
          <w:tcPr>
            <w:tcW w:w="1276" w:type="dxa"/>
            <w:vAlign w:val="center"/>
          </w:tcPr>
          <w:p w14:paraId="0021A8B5" w14:textId="01170036" w:rsidR="00A04AD5" w:rsidRPr="00F6676C" w:rsidRDefault="00A04AD5" w:rsidP="00F6676C">
            <w:pPr>
              <w:adjustRightInd w:val="0"/>
              <w:snapToGrid w:val="0"/>
              <w:jc w:val="both"/>
              <w:rPr>
                <w:sz w:val="20"/>
                <w:szCs w:val="20"/>
                <w:lang w:val="en-US"/>
              </w:rPr>
            </w:pPr>
          </w:p>
        </w:tc>
        <w:tc>
          <w:tcPr>
            <w:tcW w:w="1417" w:type="dxa"/>
            <w:vAlign w:val="center"/>
          </w:tcPr>
          <w:p w14:paraId="556267EA" w14:textId="433F16A2" w:rsidR="00A04AD5" w:rsidRPr="00F6676C" w:rsidRDefault="00A04AD5" w:rsidP="00F6676C">
            <w:pPr>
              <w:adjustRightInd w:val="0"/>
              <w:snapToGrid w:val="0"/>
              <w:jc w:val="both"/>
              <w:rPr>
                <w:sz w:val="20"/>
                <w:szCs w:val="20"/>
              </w:rPr>
            </w:pPr>
            <w:r w:rsidRPr="00F6676C">
              <w:rPr>
                <w:sz w:val="20"/>
                <w:szCs w:val="20"/>
              </w:rPr>
              <w:t>0.063</w:t>
            </w:r>
            <w:r w:rsidR="00C41AF4" w:rsidRPr="00F6676C">
              <w:rPr>
                <w:sz w:val="20"/>
                <w:szCs w:val="20"/>
              </w:rPr>
              <w:t>2</w:t>
            </w:r>
          </w:p>
          <w:p w14:paraId="2651CE7E" w14:textId="5D499C5D" w:rsidR="00C41AF4" w:rsidRPr="00F6676C" w:rsidRDefault="00C41AF4" w:rsidP="00F6676C">
            <w:pPr>
              <w:adjustRightInd w:val="0"/>
              <w:snapToGrid w:val="0"/>
              <w:jc w:val="both"/>
              <w:rPr>
                <w:sz w:val="20"/>
                <w:szCs w:val="20"/>
                <w:lang w:val="en-US"/>
              </w:rPr>
            </w:pPr>
            <w:r w:rsidRPr="00F6676C">
              <w:rPr>
                <w:sz w:val="20"/>
                <w:szCs w:val="20"/>
              </w:rPr>
              <w:t>(0.0521)</w:t>
            </w:r>
          </w:p>
        </w:tc>
      </w:tr>
      <w:tr w:rsidR="00A04AD5" w:rsidRPr="00F6676C" w14:paraId="4617B75B" w14:textId="77777777" w:rsidTr="00F6676C">
        <w:tc>
          <w:tcPr>
            <w:tcW w:w="2405" w:type="dxa"/>
            <w:vAlign w:val="center"/>
          </w:tcPr>
          <w:p w14:paraId="5836FA2C" w14:textId="7DC59C95" w:rsidR="00A04AD5" w:rsidRPr="00F6676C" w:rsidRDefault="00A04AD5" w:rsidP="00F6676C">
            <w:pPr>
              <w:adjustRightInd w:val="0"/>
              <w:snapToGrid w:val="0"/>
              <w:jc w:val="both"/>
              <w:rPr>
                <w:sz w:val="20"/>
                <w:szCs w:val="20"/>
                <w:lang w:val="en-US"/>
              </w:rPr>
            </w:pPr>
            <w:r w:rsidRPr="00F6676C">
              <w:rPr>
                <w:sz w:val="20"/>
                <w:szCs w:val="20"/>
              </w:rPr>
              <w:t xml:space="preserve"> CAP</w:t>
            </w:r>
          </w:p>
        </w:tc>
        <w:tc>
          <w:tcPr>
            <w:tcW w:w="1201" w:type="dxa"/>
            <w:vAlign w:val="center"/>
          </w:tcPr>
          <w:p w14:paraId="3460C9E6" w14:textId="77777777" w:rsidR="00A04AD5" w:rsidRPr="00F6676C" w:rsidRDefault="00A04AD5" w:rsidP="00F6676C">
            <w:pPr>
              <w:adjustRightInd w:val="0"/>
              <w:snapToGrid w:val="0"/>
              <w:jc w:val="both"/>
              <w:rPr>
                <w:sz w:val="20"/>
                <w:szCs w:val="20"/>
              </w:rPr>
            </w:pPr>
            <w:r w:rsidRPr="00F6676C">
              <w:rPr>
                <w:sz w:val="20"/>
                <w:szCs w:val="20"/>
              </w:rPr>
              <w:t>−0.221</w:t>
            </w:r>
            <w:r w:rsidR="00C41AF4" w:rsidRPr="00F6676C">
              <w:rPr>
                <w:sz w:val="20"/>
                <w:szCs w:val="20"/>
              </w:rPr>
              <w:t>4</w:t>
            </w:r>
            <w:r w:rsidRPr="00F6676C">
              <w:rPr>
                <w:sz w:val="20"/>
                <w:szCs w:val="20"/>
              </w:rPr>
              <w:t>**</w:t>
            </w:r>
          </w:p>
          <w:p w14:paraId="50284073" w14:textId="3BD97936" w:rsidR="00C41AF4" w:rsidRPr="00F6676C" w:rsidRDefault="00C41AF4" w:rsidP="00F6676C">
            <w:pPr>
              <w:adjustRightInd w:val="0"/>
              <w:snapToGrid w:val="0"/>
              <w:jc w:val="both"/>
              <w:rPr>
                <w:sz w:val="20"/>
                <w:szCs w:val="20"/>
                <w:lang w:val="en-US"/>
              </w:rPr>
            </w:pPr>
            <w:r w:rsidRPr="00F6676C">
              <w:rPr>
                <w:sz w:val="20"/>
                <w:szCs w:val="20"/>
              </w:rPr>
              <w:t>(0.0952)</w:t>
            </w:r>
          </w:p>
        </w:tc>
        <w:tc>
          <w:tcPr>
            <w:tcW w:w="1209" w:type="dxa"/>
            <w:vAlign w:val="center"/>
          </w:tcPr>
          <w:p w14:paraId="5E53222B" w14:textId="77777777" w:rsidR="00A04AD5" w:rsidRPr="00F6676C" w:rsidRDefault="00A04AD5" w:rsidP="00F6676C">
            <w:pPr>
              <w:adjustRightInd w:val="0"/>
              <w:snapToGrid w:val="0"/>
              <w:jc w:val="both"/>
              <w:rPr>
                <w:sz w:val="20"/>
                <w:szCs w:val="20"/>
              </w:rPr>
            </w:pPr>
            <w:r w:rsidRPr="00F6676C">
              <w:rPr>
                <w:sz w:val="20"/>
                <w:szCs w:val="20"/>
              </w:rPr>
              <w:t>−0.215</w:t>
            </w:r>
            <w:r w:rsidR="00C41AF4" w:rsidRPr="00F6676C">
              <w:rPr>
                <w:sz w:val="20"/>
                <w:szCs w:val="20"/>
              </w:rPr>
              <w:t>2</w:t>
            </w:r>
            <w:r w:rsidRPr="00F6676C">
              <w:rPr>
                <w:sz w:val="20"/>
                <w:szCs w:val="20"/>
              </w:rPr>
              <w:t>**</w:t>
            </w:r>
          </w:p>
          <w:p w14:paraId="333D6D25" w14:textId="5410B2CE" w:rsidR="00C41AF4" w:rsidRPr="00F6676C" w:rsidRDefault="00C41AF4" w:rsidP="00F6676C">
            <w:pPr>
              <w:adjustRightInd w:val="0"/>
              <w:snapToGrid w:val="0"/>
              <w:jc w:val="both"/>
              <w:rPr>
                <w:sz w:val="20"/>
                <w:szCs w:val="20"/>
                <w:lang w:val="en-US"/>
              </w:rPr>
            </w:pPr>
            <w:r w:rsidRPr="00F6676C">
              <w:rPr>
                <w:sz w:val="20"/>
                <w:szCs w:val="20"/>
              </w:rPr>
              <w:t>(</w:t>
            </w:r>
            <w:r w:rsidR="00F6676C" w:rsidRPr="00F6676C">
              <w:rPr>
                <w:sz w:val="20"/>
                <w:szCs w:val="20"/>
              </w:rPr>
              <w:t>0.0914</w:t>
            </w:r>
            <w:r w:rsidRPr="00F6676C">
              <w:rPr>
                <w:sz w:val="20"/>
                <w:szCs w:val="20"/>
              </w:rPr>
              <w:t>)</w:t>
            </w:r>
          </w:p>
        </w:tc>
        <w:tc>
          <w:tcPr>
            <w:tcW w:w="1276" w:type="dxa"/>
            <w:vAlign w:val="center"/>
          </w:tcPr>
          <w:p w14:paraId="1BA48417" w14:textId="77777777" w:rsidR="00A04AD5" w:rsidRPr="00F6676C" w:rsidRDefault="00A04AD5" w:rsidP="00F6676C">
            <w:pPr>
              <w:adjustRightInd w:val="0"/>
              <w:snapToGrid w:val="0"/>
              <w:jc w:val="both"/>
              <w:rPr>
                <w:sz w:val="20"/>
                <w:szCs w:val="20"/>
              </w:rPr>
            </w:pPr>
            <w:r w:rsidRPr="00F6676C">
              <w:rPr>
                <w:sz w:val="20"/>
                <w:szCs w:val="20"/>
              </w:rPr>
              <w:t>−0.212</w:t>
            </w:r>
            <w:r w:rsidR="00C41AF4" w:rsidRPr="00F6676C">
              <w:rPr>
                <w:sz w:val="20"/>
                <w:szCs w:val="20"/>
              </w:rPr>
              <w:t>3</w:t>
            </w:r>
            <w:r w:rsidRPr="00F6676C">
              <w:rPr>
                <w:sz w:val="20"/>
                <w:szCs w:val="20"/>
              </w:rPr>
              <w:t>**</w:t>
            </w:r>
          </w:p>
          <w:p w14:paraId="5690F776" w14:textId="0DD7BDEF" w:rsidR="00F6676C" w:rsidRPr="00F6676C" w:rsidRDefault="00F6676C" w:rsidP="00F6676C">
            <w:pPr>
              <w:adjustRightInd w:val="0"/>
              <w:snapToGrid w:val="0"/>
              <w:jc w:val="both"/>
              <w:rPr>
                <w:sz w:val="20"/>
                <w:szCs w:val="20"/>
                <w:lang w:val="en-US"/>
              </w:rPr>
            </w:pPr>
            <w:r w:rsidRPr="00F6676C">
              <w:rPr>
                <w:sz w:val="20"/>
                <w:szCs w:val="20"/>
              </w:rPr>
              <w:t>(0.0903)</w:t>
            </w:r>
          </w:p>
        </w:tc>
        <w:tc>
          <w:tcPr>
            <w:tcW w:w="1417" w:type="dxa"/>
            <w:vAlign w:val="center"/>
          </w:tcPr>
          <w:p w14:paraId="569BBBE3" w14:textId="77777777" w:rsidR="00A04AD5" w:rsidRPr="00F6676C" w:rsidRDefault="00A04AD5" w:rsidP="00F6676C">
            <w:pPr>
              <w:adjustRightInd w:val="0"/>
              <w:snapToGrid w:val="0"/>
              <w:jc w:val="both"/>
              <w:rPr>
                <w:sz w:val="20"/>
                <w:szCs w:val="20"/>
              </w:rPr>
            </w:pPr>
            <w:r w:rsidRPr="00F6676C">
              <w:rPr>
                <w:sz w:val="20"/>
                <w:szCs w:val="20"/>
              </w:rPr>
              <w:t>−0.214</w:t>
            </w:r>
            <w:r w:rsidR="00C41AF4" w:rsidRPr="00F6676C">
              <w:rPr>
                <w:sz w:val="20"/>
                <w:szCs w:val="20"/>
              </w:rPr>
              <w:t>1</w:t>
            </w:r>
            <w:r w:rsidRPr="00F6676C">
              <w:rPr>
                <w:sz w:val="20"/>
                <w:szCs w:val="20"/>
              </w:rPr>
              <w:t>**</w:t>
            </w:r>
          </w:p>
          <w:p w14:paraId="12724D9A" w14:textId="6C4C4487" w:rsidR="00F6676C" w:rsidRPr="00F6676C" w:rsidRDefault="00F6676C" w:rsidP="00F6676C">
            <w:pPr>
              <w:adjustRightInd w:val="0"/>
              <w:snapToGrid w:val="0"/>
              <w:jc w:val="both"/>
              <w:rPr>
                <w:sz w:val="20"/>
                <w:szCs w:val="20"/>
                <w:lang w:val="en-US"/>
              </w:rPr>
            </w:pPr>
            <w:r w:rsidRPr="00F6676C">
              <w:rPr>
                <w:sz w:val="20"/>
                <w:szCs w:val="20"/>
              </w:rPr>
              <w:t>(0.0931)</w:t>
            </w:r>
          </w:p>
        </w:tc>
      </w:tr>
      <w:tr w:rsidR="00A04AD5" w:rsidRPr="00F6676C" w14:paraId="1A1029FF" w14:textId="77777777" w:rsidTr="00F6676C">
        <w:tc>
          <w:tcPr>
            <w:tcW w:w="2405" w:type="dxa"/>
            <w:vAlign w:val="center"/>
          </w:tcPr>
          <w:p w14:paraId="16E1F08F" w14:textId="76158C30" w:rsidR="00A04AD5" w:rsidRPr="00F6676C" w:rsidRDefault="00A04AD5" w:rsidP="00F6676C">
            <w:pPr>
              <w:adjustRightInd w:val="0"/>
              <w:snapToGrid w:val="0"/>
              <w:jc w:val="both"/>
              <w:rPr>
                <w:sz w:val="20"/>
                <w:szCs w:val="20"/>
                <w:lang w:val="en-US"/>
              </w:rPr>
            </w:pPr>
            <w:r w:rsidRPr="00F6676C">
              <w:rPr>
                <w:sz w:val="20"/>
                <w:szCs w:val="20"/>
              </w:rPr>
              <w:t>TO</w:t>
            </w:r>
          </w:p>
        </w:tc>
        <w:tc>
          <w:tcPr>
            <w:tcW w:w="1201" w:type="dxa"/>
            <w:vAlign w:val="center"/>
          </w:tcPr>
          <w:p w14:paraId="722EED09" w14:textId="77777777" w:rsidR="00A04AD5" w:rsidRPr="00F6676C" w:rsidRDefault="00A04AD5" w:rsidP="00F6676C">
            <w:pPr>
              <w:adjustRightInd w:val="0"/>
              <w:snapToGrid w:val="0"/>
              <w:jc w:val="both"/>
              <w:rPr>
                <w:sz w:val="20"/>
                <w:szCs w:val="20"/>
              </w:rPr>
            </w:pPr>
            <w:r w:rsidRPr="00F6676C">
              <w:rPr>
                <w:sz w:val="20"/>
                <w:szCs w:val="20"/>
              </w:rPr>
              <w:t>0.309***</w:t>
            </w:r>
          </w:p>
          <w:p w14:paraId="74D650E6" w14:textId="464536B0" w:rsidR="00F6676C" w:rsidRPr="00F6676C" w:rsidRDefault="00F6676C" w:rsidP="00F6676C">
            <w:pPr>
              <w:adjustRightInd w:val="0"/>
              <w:snapToGrid w:val="0"/>
              <w:jc w:val="both"/>
              <w:rPr>
                <w:sz w:val="20"/>
                <w:szCs w:val="20"/>
                <w:lang w:val="en-US"/>
              </w:rPr>
            </w:pPr>
            <w:r w:rsidRPr="00F6676C">
              <w:rPr>
                <w:sz w:val="20"/>
                <w:szCs w:val="20"/>
              </w:rPr>
              <w:t>(0.0864)</w:t>
            </w:r>
          </w:p>
        </w:tc>
        <w:tc>
          <w:tcPr>
            <w:tcW w:w="1209" w:type="dxa"/>
            <w:vAlign w:val="center"/>
          </w:tcPr>
          <w:p w14:paraId="5C93E241" w14:textId="77777777" w:rsidR="00A04AD5" w:rsidRPr="00F6676C" w:rsidRDefault="00A04AD5" w:rsidP="00F6676C">
            <w:pPr>
              <w:adjustRightInd w:val="0"/>
              <w:snapToGrid w:val="0"/>
              <w:jc w:val="both"/>
              <w:rPr>
                <w:sz w:val="20"/>
                <w:szCs w:val="20"/>
              </w:rPr>
            </w:pPr>
            <w:r w:rsidRPr="00F6676C">
              <w:rPr>
                <w:sz w:val="20"/>
                <w:szCs w:val="20"/>
              </w:rPr>
              <w:t>0.295***</w:t>
            </w:r>
          </w:p>
          <w:p w14:paraId="5CEA752C" w14:textId="07A12A63" w:rsidR="00F6676C" w:rsidRPr="00F6676C" w:rsidRDefault="00F6676C" w:rsidP="00F6676C">
            <w:pPr>
              <w:adjustRightInd w:val="0"/>
              <w:snapToGrid w:val="0"/>
              <w:jc w:val="both"/>
              <w:rPr>
                <w:sz w:val="20"/>
                <w:szCs w:val="20"/>
                <w:lang w:val="en-US"/>
              </w:rPr>
            </w:pPr>
            <w:r w:rsidRPr="00F6676C">
              <w:rPr>
                <w:sz w:val="20"/>
                <w:szCs w:val="20"/>
              </w:rPr>
              <w:t>(0.0813)</w:t>
            </w:r>
          </w:p>
        </w:tc>
        <w:tc>
          <w:tcPr>
            <w:tcW w:w="1276" w:type="dxa"/>
            <w:vAlign w:val="center"/>
          </w:tcPr>
          <w:p w14:paraId="5D0E5C8B" w14:textId="77777777" w:rsidR="00A04AD5" w:rsidRPr="00F6676C" w:rsidRDefault="00A04AD5" w:rsidP="00F6676C">
            <w:pPr>
              <w:adjustRightInd w:val="0"/>
              <w:snapToGrid w:val="0"/>
              <w:jc w:val="both"/>
              <w:rPr>
                <w:sz w:val="20"/>
                <w:szCs w:val="20"/>
              </w:rPr>
            </w:pPr>
            <w:r w:rsidRPr="00F6676C">
              <w:rPr>
                <w:sz w:val="20"/>
                <w:szCs w:val="20"/>
              </w:rPr>
              <w:t>0.304***</w:t>
            </w:r>
          </w:p>
          <w:p w14:paraId="299E0F4C" w14:textId="0F48042B" w:rsidR="00F6676C" w:rsidRPr="00F6676C" w:rsidRDefault="00F6676C" w:rsidP="00F6676C">
            <w:pPr>
              <w:adjustRightInd w:val="0"/>
              <w:snapToGrid w:val="0"/>
              <w:jc w:val="both"/>
              <w:rPr>
                <w:sz w:val="20"/>
                <w:szCs w:val="20"/>
                <w:lang w:val="en-US"/>
              </w:rPr>
            </w:pPr>
            <w:r w:rsidRPr="00F6676C">
              <w:rPr>
                <w:sz w:val="20"/>
                <w:szCs w:val="20"/>
              </w:rPr>
              <w:t>(0.0831)</w:t>
            </w:r>
          </w:p>
        </w:tc>
        <w:tc>
          <w:tcPr>
            <w:tcW w:w="1417" w:type="dxa"/>
            <w:vAlign w:val="center"/>
          </w:tcPr>
          <w:p w14:paraId="6DC5F3FA" w14:textId="77777777" w:rsidR="00A04AD5" w:rsidRPr="00F6676C" w:rsidRDefault="00A04AD5" w:rsidP="00F6676C">
            <w:pPr>
              <w:adjustRightInd w:val="0"/>
              <w:snapToGrid w:val="0"/>
              <w:jc w:val="both"/>
              <w:rPr>
                <w:sz w:val="20"/>
                <w:szCs w:val="20"/>
              </w:rPr>
            </w:pPr>
            <w:r w:rsidRPr="00F6676C">
              <w:rPr>
                <w:sz w:val="20"/>
                <w:szCs w:val="20"/>
              </w:rPr>
              <w:t>0.317***</w:t>
            </w:r>
          </w:p>
          <w:p w14:paraId="2FBDA92F" w14:textId="5349D1BE" w:rsidR="00F6676C" w:rsidRPr="00F6676C" w:rsidRDefault="00F6676C" w:rsidP="00F6676C">
            <w:pPr>
              <w:adjustRightInd w:val="0"/>
              <w:snapToGrid w:val="0"/>
              <w:jc w:val="both"/>
              <w:rPr>
                <w:sz w:val="20"/>
                <w:szCs w:val="20"/>
                <w:lang w:val="en-US"/>
              </w:rPr>
            </w:pPr>
            <w:r w:rsidRPr="00F6676C">
              <w:rPr>
                <w:sz w:val="20"/>
                <w:szCs w:val="20"/>
              </w:rPr>
              <w:t>(0.0842)</w:t>
            </w:r>
          </w:p>
        </w:tc>
      </w:tr>
      <w:tr w:rsidR="00A04AD5" w:rsidRPr="00F6676C" w14:paraId="04CEEE81" w14:textId="77777777" w:rsidTr="00F6676C">
        <w:tc>
          <w:tcPr>
            <w:tcW w:w="7508" w:type="dxa"/>
            <w:gridSpan w:val="5"/>
          </w:tcPr>
          <w:p w14:paraId="0FDF4E63" w14:textId="5B3E4F70" w:rsidR="00A04AD5" w:rsidRPr="00F6676C" w:rsidRDefault="00A04AD5" w:rsidP="00F6676C">
            <w:pPr>
              <w:adjustRightInd w:val="0"/>
              <w:snapToGrid w:val="0"/>
              <w:jc w:val="both"/>
              <w:rPr>
                <w:sz w:val="20"/>
                <w:szCs w:val="20"/>
                <w:lang w:val="en-US"/>
              </w:rPr>
            </w:pPr>
            <w:r w:rsidRPr="00F6676C">
              <w:rPr>
                <w:rStyle w:val="Strong"/>
                <w:sz w:val="20"/>
                <w:szCs w:val="20"/>
              </w:rPr>
              <w:t>Short-run equation</w:t>
            </w:r>
          </w:p>
        </w:tc>
      </w:tr>
      <w:tr w:rsidR="00A04AD5" w:rsidRPr="00F6676C" w14:paraId="7E928953" w14:textId="77777777" w:rsidTr="00F6676C">
        <w:tc>
          <w:tcPr>
            <w:tcW w:w="2405" w:type="dxa"/>
            <w:vAlign w:val="center"/>
          </w:tcPr>
          <w:p w14:paraId="11A089BB" w14:textId="2760C44B" w:rsidR="00A04AD5" w:rsidRPr="00F6676C" w:rsidRDefault="00A04AD5" w:rsidP="00F6676C">
            <w:pPr>
              <w:adjustRightInd w:val="0"/>
              <w:snapToGrid w:val="0"/>
              <w:jc w:val="both"/>
              <w:rPr>
                <w:sz w:val="20"/>
                <w:szCs w:val="20"/>
                <w:lang w:val="en-US"/>
              </w:rPr>
            </w:pPr>
            <w:r w:rsidRPr="00F6676C">
              <w:rPr>
                <w:sz w:val="20"/>
                <w:szCs w:val="20"/>
              </w:rPr>
              <w:t>Error correction term</w:t>
            </w:r>
          </w:p>
        </w:tc>
        <w:tc>
          <w:tcPr>
            <w:tcW w:w="1201" w:type="dxa"/>
            <w:vAlign w:val="center"/>
          </w:tcPr>
          <w:p w14:paraId="6E8AB3DC" w14:textId="77777777" w:rsidR="00A04AD5" w:rsidRPr="00F6676C" w:rsidRDefault="00A04AD5" w:rsidP="00F6676C">
            <w:pPr>
              <w:adjustRightInd w:val="0"/>
              <w:snapToGrid w:val="0"/>
              <w:jc w:val="both"/>
              <w:rPr>
                <w:sz w:val="20"/>
                <w:szCs w:val="20"/>
              </w:rPr>
            </w:pPr>
            <w:r w:rsidRPr="00F6676C">
              <w:rPr>
                <w:sz w:val="20"/>
                <w:szCs w:val="20"/>
              </w:rPr>
              <w:t>−0.4483***</w:t>
            </w:r>
          </w:p>
          <w:p w14:paraId="56D08D9E" w14:textId="3E1CF08C" w:rsidR="00F6676C" w:rsidRPr="00F6676C" w:rsidRDefault="00F6676C" w:rsidP="00F6676C">
            <w:pPr>
              <w:adjustRightInd w:val="0"/>
              <w:snapToGrid w:val="0"/>
              <w:jc w:val="both"/>
              <w:rPr>
                <w:sz w:val="20"/>
                <w:szCs w:val="20"/>
                <w:lang w:val="en-US"/>
              </w:rPr>
            </w:pPr>
            <w:r w:rsidRPr="00F6676C">
              <w:rPr>
                <w:sz w:val="20"/>
                <w:szCs w:val="20"/>
              </w:rPr>
              <w:t>(0.0432)</w:t>
            </w:r>
          </w:p>
        </w:tc>
        <w:tc>
          <w:tcPr>
            <w:tcW w:w="1209" w:type="dxa"/>
            <w:vAlign w:val="center"/>
          </w:tcPr>
          <w:p w14:paraId="2CC11BFD" w14:textId="77777777" w:rsidR="00A04AD5" w:rsidRPr="00F6676C" w:rsidRDefault="00A04AD5" w:rsidP="00F6676C">
            <w:pPr>
              <w:adjustRightInd w:val="0"/>
              <w:snapToGrid w:val="0"/>
              <w:jc w:val="both"/>
              <w:rPr>
                <w:sz w:val="20"/>
                <w:szCs w:val="20"/>
              </w:rPr>
            </w:pPr>
            <w:r w:rsidRPr="00F6676C">
              <w:rPr>
                <w:sz w:val="20"/>
                <w:szCs w:val="20"/>
              </w:rPr>
              <w:t>−0.4621***</w:t>
            </w:r>
          </w:p>
          <w:p w14:paraId="19D5D991" w14:textId="63639AD9" w:rsidR="00F6676C" w:rsidRPr="00F6676C" w:rsidRDefault="00F6676C" w:rsidP="00F6676C">
            <w:pPr>
              <w:adjustRightInd w:val="0"/>
              <w:snapToGrid w:val="0"/>
              <w:jc w:val="both"/>
              <w:rPr>
                <w:sz w:val="20"/>
                <w:szCs w:val="20"/>
                <w:lang w:val="en-US"/>
              </w:rPr>
            </w:pPr>
            <w:r w:rsidRPr="00F6676C">
              <w:rPr>
                <w:sz w:val="20"/>
                <w:szCs w:val="20"/>
              </w:rPr>
              <w:t>(0.0413)</w:t>
            </w:r>
          </w:p>
        </w:tc>
        <w:tc>
          <w:tcPr>
            <w:tcW w:w="1276" w:type="dxa"/>
            <w:vAlign w:val="center"/>
          </w:tcPr>
          <w:p w14:paraId="2E5369F8" w14:textId="77777777" w:rsidR="00A04AD5" w:rsidRPr="00F6676C" w:rsidRDefault="00A04AD5" w:rsidP="00F6676C">
            <w:pPr>
              <w:adjustRightInd w:val="0"/>
              <w:snapToGrid w:val="0"/>
              <w:jc w:val="both"/>
              <w:rPr>
                <w:sz w:val="20"/>
                <w:szCs w:val="20"/>
              </w:rPr>
            </w:pPr>
            <w:r w:rsidRPr="00F6676C">
              <w:rPr>
                <w:sz w:val="20"/>
                <w:szCs w:val="20"/>
              </w:rPr>
              <w:t>−0.4582***</w:t>
            </w:r>
          </w:p>
          <w:p w14:paraId="3C084A1F" w14:textId="0AE2AA15" w:rsidR="00F6676C" w:rsidRPr="00F6676C" w:rsidRDefault="00F6676C" w:rsidP="00F6676C">
            <w:pPr>
              <w:adjustRightInd w:val="0"/>
              <w:snapToGrid w:val="0"/>
              <w:jc w:val="both"/>
              <w:rPr>
                <w:sz w:val="20"/>
                <w:szCs w:val="20"/>
                <w:lang w:val="en-US"/>
              </w:rPr>
            </w:pPr>
            <w:r w:rsidRPr="00F6676C">
              <w:rPr>
                <w:sz w:val="20"/>
                <w:szCs w:val="20"/>
              </w:rPr>
              <w:t>(0.0404)</w:t>
            </w:r>
          </w:p>
        </w:tc>
        <w:tc>
          <w:tcPr>
            <w:tcW w:w="1417" w:type="dxa"/>
            <w:vAlign w:val="center"/>
          </w:tcPr>
          <w:p w14:paraId="0553D789" w14:textId="77777777" w:rsidR="00A04AD5" w:rsidRPr="00F6676C" w:rsidRDefault="00A04AD5" w:rsidP="00F6676C">
            <w:pPr>
              <w:adjustRightInd w:val="0"/>
              <w:snapToGrid w:val="0"/>
              <w:jc w:val="both"/>
              <w:rPr>
                <w:sz w:val="20"/>
                <w:szCs w:val="20"/>
              </w:rPr>
            </w:pPr>
            <w:r w:rsidRPr="00F6676C">
              <w:rPr>
                <w:sz w:val="20"/>
                <w:szCs w:val="20"/>
              </w:rPr>
              <w:t>−0.4624***</w:t>
            </w:r>
          </w:p>
          <w:p w14:paraId="251054D1" w14:textId="38997DE0" w:rsidR="00F6676C" w:rsidRPr="00F6676C" w:rsidRDefault="00F6676C" w:rsidP="00F6676C">
            <w:pPr>
              <w:adjustRightInd w:val="0"/>
              <w:snapToGrid w:val="0"/>
              <w:jc w:val="both"/>
              <w:rPr>
                <w:sz w:val="20"/>
                <w:szCs w:val="20"/>
                <w:lang w:val="en-US"/>
              </w:rPr>
            </w:pPr>
            <w:r w:rsidRPr="00F6676C">
              <w:rPr>
                <w:sz w:val="20"/>
                <w:szCs w:val="20"/>
              </w:rPr>
              <w:t>(0.0412)</w:t>
            </w:r>
          </w:p>
        </w:tc>
      </w:tr>
      <w:tr w:rsidR="00A04AD5" w:rsidRPr="00F6676C" w14:paraId="19D53A85" w14:textId="77777777" w:rsidTr="00F6676C">
        <w:tc>
          <w:tcPr>
            <w:tcW w:w="2405" w:type="dxa"/>
            <w:vAlign w:val="center"/>
          </w:tcPr>
          <w:p w14:paraId="56AB2638" w14:textId="64DE8C08" w:rsidR="00A04AD5" w:rsidRPr="00F6676C" w:rsidRDefault="00A04AD5" w:rsidP="00F6676C">
            <w:pPr>
              <w:adjustRightInd w:val="0"/>
              <w:snapToGrid w:val="0"/>
              <w:jc w:val="both"/>
              <w:rPr>
                <w:sz w:val="20"/>
                <w:szCs w:val="20"/>
                <w:lang w:val="en-US"/>
              </w:rPr>
            </w:pPr>
            <w:r w:rsidRPr="00F6676C">
              <w:rPr>
                <w:sz w:val="20"/>
                <w:szCs w:val="20"/>
              </w:rPr>
              <w:t>ΔMPE</w:t>
            </w:r>
          </w:p>
        </w:tc>
        <w:tc>
          <w:tcPr>
            <w:tcW w:w="1201" w:type="dxa"/>
            <w:vAlign w:val="center"/>
          </w:tcPr>
          <w:p w14:paraId="7EE60FED" w14:textId="737EDCE7" w:rsidR="00A04AD5" w:rsidRPr="00F6676C" w:rsidRDefault="00A04AD5" w:rsidP="00F6676C">
            <w:pPr>
              <w:adjustRightInd w:val="0"/>
              <w:snapToGrid w:val="0"/>
              <w:jc w:val="both"/>
              <w:rPr>
                <w:sz w:val="20"/>
                <w:szCs w:val="20"/>
                <w:lang w:val="en-US"/>
              </w:rPr>
            </w:pPr>
          </w:p>
        </w:tc>
        <w:tc>
          <w:tcPr>
            <w:tcW w:w="1209" w:type="dxa"/>
            <w:vAlign w:val="center"/>
          </w:tcPr>
          <w:p w14:paraId="3DE1AB1F" w14:textId="77777777" w:rsidR="00A04AD5" w:rsidRPr="00F6676C" w:rsidRDefault="00A04AD5" w:rsidP="00F6676C">
            <w:pPr>
              <w:adjustRightInd w:val="0"/>
              <w:snapToGrid w:val="0"/>
              <w:jc w:val="both"/>
              <w:rPr>
                <w:sz w:val="20"/>
                <w:szCs w:val="20"/>
              </w:rPr>
            </w:pPr>
            <w:r w:rsidRPr="00F6676C">
              <w:rPr>
                <w:sz w:val="20"/>
                <w:szCs w:val="20"/>
              </w:rPr>
              <w:t>0.2084</w:t>
            </w:r>
          </w:p>
          <w:p w14:paraId="5AFDF247" w14:textId="628667E3" w:rsidR="00F6676C" w:rsidRPr="00F6676C" w:rsidRDefault="00F6676C" w:rsidP="00F6676C">
            <w:pPr>
              <w:adjustRightInd w:val="0"/>
              <w:snapToGrid w:val="0"/>
              <w:jc w:val="both"/>
              <w:rPr>
                <w:sz w:val="20"/>
                <w:szCs w:val="20"/>
                <w:lang w:val="en-US"/>
              </w:rPr>
            </w:pPr>
            <w:r w:rsidRPr="00F6676C">
              <w:rPr>
                <w:sz w:val="20"/>
                <w:szCs w:val="20"/>
              </w:rPr>
              <w:t>(0.1703)</w:t>
            </w:r>
          </w:p>
        </w:tc>
        <w:tc>
          <w:tcPr>
            <w:tcW w:w="1276" w:type="dxa"/>
            <w:vAlign w:val="center"/>
          </w:tcPr>
          <w:p w14:paraId="62737B2A" w14:textId="77777777" w:rsidR="00A04AD5" w:rsidRPr="00F6676C" w:rsidRDefault="00A04AD5" w:rsidP="00F6676C">
            <w:pPr>
              <w:adjustRightInd w:val="0"/>
              <w:snapToGrid w:val="0"/>
              <w:jc w:val="both"/>
              <w:rPr>
                <w:sz w:val="20"/>
                <w:szCs w:val="20"/>
              </w:rPr>
            </w:pPr>
            <w:r w:rsidRPr="00F6676C">
              <w:rPr>
                <w:sz w:val="20"/>
                <w:szCs w:val="20"/>
              </w:rPr>
              <w:t>0.2213</w:t>
            </w:r>
          </w:p>
          <w:p w14:paraId="5B447F4F" w14:textId="01B07B36" w:rsidR="00F6676C" w:rsidRPr="00F6676C" w:rsidRDefault="00F6676C" w:rsidP="00F6676C">
            <w:pPr>
              <w:adjustRightInd w:val="0"/>
              <w:snapToGrid w:val="0"/>
              <w:jc w:val="both"/>
              <w:rPr>
                <w:sz w:val="20"/>
                <w:szCs w:val="20"/>
                <w:lang w:val="en-US"/>
              </w:rPr>
            </w:pPr>
            <w:r w:rsidRPr="00F6676C">
              <w:rPr>
                <w:sz w:val="20"/>
                <w:szCs w:val="20"/>
              </w:rPr>
              <w:t>(0.1742)</w:t>
            </w:r>
          </w:p>
        </w:tc>
        <w:tc>
          <w:tcPr>
            <w:tcW w:w="1417" w:type="dxa"/>
            <w:vAlign w:val="center"/>
          </w:tcPr>
          <w:p w14:paraId="6D9C6FBF" w14:textId="77777777" w:rsidR="00A04AD5" w:rsidRPr="00F6676C" w:rsidRDefault="00A04AD5" w:rsidP="00F6676C">
            <w:pPr>
              <w:adjustRightInd w:val="0"/>
              <w:snapToGrid w:val="0"/>
              <w:jc w:val="both"/>
              <w:rPr>
                <w:sz w:val="20"/>
                <w:szCs w:val="20"/>
              </w:rPr>
            </w:pPr>
            <w:r w:rsidRPr="00F6676C">
              <w:rPr>
                <w:sz w:val="20"/>
                <w:szCs w:val="20"/>
              </w:rPr>
              <w:t>0.2142</w:t>
            </w:r>
          </w:p>
          <w:p w14:paraId="6DD4DAA7" w14:textId="3AA9D5CF" w:rsidR="00F6676C" w:rsidRPr="00F6676C" w:rsidRDefault="00F6676C" w:rsidP="00F6676C">
            <w:pPr>
              <w:adjustRightInd w:val="0"/>
              <w:snapToGrid w:val="0"/>
              <w:jc w:val="both"/>
              <w:rPr>
                <w:sz w:val="20"/>
                <w:szCs w:val="20"/>
                <w:lang w:val="en-US"/>
              </w:rPr>
            </w:pPr>
            <w:r w:rsidRPr="00F6676C">
              <w:rPr>
                <w:sz w:val="20"/>
                <w:szCs w:val="20"/>
              </w:rPr>
              <w:t>(0.1734)</w:t>
            </w:r>
          </w:p>
        </w:tc>
      </w:tr>
      <w:tr w:rsidR="00A04AD5" w:rsidRPr="00F6676C" w14:paraId="0BE48C55" w14:textId="77777777" w:rsidTr="00F6676C">
        <w:tc>
          <w:tcPr>
            <w:tcW w:w="2405" w:type="dxa"/>
            <w:vAlign w:val="center"/>
          </w:tcPr>
          <w:p w14:paraId="2432D1EA" w14:textId="2CC17782" w:rsidR="00A04AD5" w:rsidRPr="00F6676C" w:rsidRDefault="00A04AD5" w:rsidP="00F6676C">
            <w:pPr>
              <w:adjustRightInd w:val="0"/>
              <w:snapToGrid w:val="0"/>
              <w:jc w:val="both"/>
              <w:rPr>
                <w:sz w:val="20"/>
                <w:szCs w:val="20"/>
                <w:lang w:val="en-US"/>
              </w:rPr>
            </w:pPr>
            <w:r w:rsidRPr="00F6676C">
              <w:rPr>
                <w:sz w:val="20"/>
                <w:szCs w:val="20"/>
              </w:rPr>
              <w:t>ΔED</w:t>
            </w:r>
          </w:p>
        </w:tc>
        <w:tc>
          <w:tcPr>
            <w:tcW w:w="1201" w:type="dxa"/>
            <w:vAlign w:val="center"/>
          </w:tcPr>
          <w:p w14:paraId="3D834767" w14:textId="77777777" w:rsidR="00A04AD5" w:rsidRPr="00F6676C" w:rsidRDefault="00A04AD5" w:rsidP="00F6676C">
            <w:pPr>
              <w:adjustRightInd w:val="0"/>
              <w:snapToGrid w:val="0"/>
              <w:jc w:val="both"/>
              <w:rPr>
                <w:sz w:val="20"/>
                <w:szCs w:val="20"/>
              </w:rPr>
            </w:pPr>
            <w:r w:rsidRPr="00F6676C">
              <w:rPr>
                <w:sz w:val="20"/>
                <w:szCs w:val="20"/>
              </w:rPr>
              <w:t>0.1472</w:t>
            </w:r>
          </w:p>
          <w:p w14:paraId="4CABD06E" w14:textId="0F33F995" w:rsidR="00F6676C" w:rsidRPr="00F6676C" w:rsidRDefault="00F6676C" w:rsidP="00F6676C">
            <w:pPr>
              <w:adjustRightInd w:val="0"/>
              <w:snapToGrid w:val="0"/>
              <w:jc w:val="both"/>
              <w:rPr>
                <w:sz w:val="20"/>
                <w:szCs w:val="20"/>
                <w:lang w:val="en-US"/>
              </w:rPr>
            </w:pPr>
            <w:r w:rsidRPr="00F6676C">
              <w:rPr>
                <w:sz w:val="20"/>
                <w:szCs w:val="20"/>
              </w:rPr>
              <w:t>(0.1201)</w:t>
            </w:r>
          </w:p>
        </w:tc>
        <w:tc>
          <w:tcPr>
            <w:tcW w:w="1209" w:type="dxa"/>
            <w:vAlign w:val="center"/>
          </w:tcPr>
          <w:p w14:paraId="7667DE4E" w14:textId="64ED84A6" w:rsidR="00A04AD5" w:rsidRPr="00F6676C" w:rsidRDefault="00A04AD5" w:rsidP="00F6676C">
            <w:pPr>
              <w:adjustRightInd w:val="0"/>
              <w:snapToGrid w:val="0"/>
              <w:jc w:val="both"/>
              <w:rPr>
                <w:sz w:val="20"/>
                <w:szCs w:val="20"/>
                <w:lang w:val="en-US"/>
              </w:rPr>
            </w:pPr>
          </w:p>
        </w:tc>
        <w:tc>
          <w:tcPr>
            <w:tcW w:w="1276" w:type="dxa"/>
            <w:vAlign w:val="center"/>
          </w:tcPr>
          <w:p w14:paraId="57222ECA" w14:textId="77777777" w:rsidR="00A04AD5" w:rsidRPr="00F6676C" w:rsidRDefault="00A04AD5" w:rsidP="00F6676C">
            <w:pPr>
              <w:adjustRightInd w:val="0"/>
              <w:snapToGrid w:val="0"/>
              <w:jc w:val="both"/>
              <w:rPr>
                <w:sz w:val="20"/>
                <w:szCs w:val="20"/>
              </w:rPr>
            </w:pPr>
            <w:r w:rsidRPr="00F6676C">
              <w:rPr>
                <w:sz w:val="20"/>
                <w:szCs w:val="20"/>
              </w:rPr>
              <w:t>0.1591</w:t>
            </w:r>
          </w:p>
          <w:p w14:paraId="09C84815" w14:textId="62FB6D2A" w:rsidR="00F6676C" w:rsidRPr="00F6676C" w:rsidRDefault="00F6676C" w:rsidP="00F6676C">
            <w:pPr>
              <w:adjustRightInd w:val="0"/>
              <w:snapToGrid w:val="0"/>
              <w:jc w:val="both"/>
              <w:rPr>
                <w:sz w:val="20"/>
                <w:szCs w:val="20"/>
                <w:lang w:val="en-US"/>
              </w:rPr>
            </w:pPr>
            <w:r w:rsidRPr="00F6676C">
              <w:rPr>
                <w:sz w:val="20"/>
                <w:szCs w:val="20"/>
              </w:rPr>
              <w:t>(0.1182)</w:t>
            </w:r>
          </w:p>
        </w:tc>
        <w:tc>
          <w:tcPr>
            <w:tcW w:w="1417" w:type="dxa"/>
            <w:vAlign w:val="center"/>
          </w:tcPr>
          <w:p w14:paraId="73CEC675" w14:textId="77777777" w:rsidR="00A04AD5" w:rsidRPr="00F6676C" w:rsidRDefault="00A04AD5" w:rsidP="00F6676C">
            <w:pPr>
              <w:adjustRightInd w:val="0"/>
              <w:snapToGrid w:val="0"/>
              <w:jc w:val="both"/>
              <w:rPr>
                <w:sz w:val="20"/>
                <w:szCs w:val="20"/>
              </w:rPr>
            </w:pPr>
            <w:r w:rsidRPr="00F6676C">
              <w:rPr>
                <w:sz w:val="20"/>
                <w:szCs w:val="20"/>
              </w:rPr>
              <w:t>0.1423</w:t>
            </w:r>
          </w:p>
          <w:p w14:paraId="6381F6C3" w14:textId="5B2B62F0" w:rsidR="00F6676C" w:rsidRPr="00F6676C" w:rsidRDefault="00F6676C" w:rsidP="00F6676C">
            <w:pPr>
              <w:adjustRightInd w:val="0"/>
              <w:snapToGrid w:val="0"/>
              <w:jc w:val="both"/>
              <w:rPr>
                <w:sz w:val="20"/>
                <w:szCs w:val="20"/>
                <w:lang w:val="en-US"/>
              </w:rPr>
            </w:pPr>
            <w:r w:rsidRPr="00F6676C">
              <w:rPr>
                <w:sz w:val="20"/>
                <w:szCs w:val="20"/>
              </w:rPr>
              <w:t>(0.1183)</w:t>
            </w:r>
          </w:p>
        </w:tc>
      </w:tr>
      <w:tr w:rsidR="00A04AD5" w:rsidRPr="00F6676C" w14:paraId="0BFE623C" w14:textId="77777777" w:rsidTr="00F6676C">
        <w:tc>
          <w:tcPr>
            <w:tcW w:w="2405" w:type="dxa"/>
            <w:vAlign w:val="center"/>
          </w:tcPr>
          <w:p w14:paraId="59E84529" w14:textId="1105F19B" w:rsidR="00A04AD5" w:rsidRPr="00F6676C" w:rsidRDefault="00A04AD5" w:rsidP="00F6676C">
            <w:pPr>
              <w:adjustRightInd w:val="0"/>
              <w:snapToGrid w:val="0"/>
              <w:jc w:val="both"/>
              <w:rPr>
                <w:sz w:val="20"/>
                <w:szCs w:val="20"/>
                <w:lang w:val="en-US"/>
              </w:rPr>
            </w:pPr>
            <w:r w:rsidRPr="00F6676C">
              <w:rPr>
                <w:sz w:val="20"/>
                <w:szCs w:val="20"/>
              </w:rPr>
              <w:t>ΔVOL</w:t>
            </w:r>
          </w:p>
        </w:tc>
        <w:tc>
          <w:tcPr>
            <w:tcW w:w="1201" w:type="dxa"/>
            <w:vAlign w:val="center"/>
          </w:tcPr>
          <w:p w14:paraId="777003BC" w14:textId="77777777" w:rsidR="00A04AD5" w:rsidRPr="00F6676C" w:rsidRDefault="00A04AD5" w:rsidP="00F6676C">
            <w:pPr>
              <w:adjustRightInd w:val="0"/>
              <w:snapToGrid w:val="0"/>
              <w:jc w:val="both"/>
              <w:rPr>
                <w:sz w:val="20"/>
                <w:szCs w:val="20"/>
              </w:rPr>
            </w:pPr>
            <w:r w:rsidRPr="00F6676C">
              <w:rPr>
                <w:sz w:val="20"/>
                <w:szCs w:val="20"/>
              </w:rPr>
              <w:t>0.0314</w:t>
            </w:r>
          </w:p>
          <w:p w14:paraId="3EB21D25" w14:textId="1B9318C1" w:rsidR="00F6676C" w:rsidRPr="00F6676C" w:rsidRDefault="00F6676C" w:rsidP="00F6676C">
            <w:pPr>
              <w:adjustRightInd w:val="0"/>
              <w:snapToGrid w:val="0"/>
              <w:jc w:val="both"/>
              <w:rPr>
                <w:sz w:val="20"/>
                <w:szCs w:val="20"/>
                <w:lang w:val="en-US"/>
              </w:rPr>
            </w:pPr>
            <w:r w:rsidRPr="00F6676C">
              <w:rPr>
                <w:sz w:val="20"/>
                <w:szCs w:val="20"/>
              </w:rPr>
              <w:t>(0.0441)</w:t>
            </w:r>
          </w:p>
        </w:tc>
        <w:tc>
          <w:tcPr>
            <w:tcW w:w="1209" w:type="dxa"/>
            <w:vAlign w:val="center"/>
          </w:tcPr>
          <w:p w14:paraId="4D8813BC" w14:textId="77777777" w:rsidR="00A04AD5" w:rsidRPr="00F6676C" w:rsidRDefault="00A04AD5" w:rsidP="00F6676C">
            <w:pPr>
              <w:adjustRightInd w:val="0"/>
              <w:snapToGrid w:val="0"/>
              <w:jc w:val="both"/>
              <w:rPr>
                <w:sz w:val="20"/>
                <w:szCs w:val="20"/>
              </w:rPr>
            </w:pPr>
            <w:r w:rsidRPr="00F6676C">
              <w:rPr>
                <w:sz w:val="20"/>
                <w:szCs w:val="20"/>
              </w:rPr>
              <w:t>0.0342</w:t>
            </w:r>
          </w:p>
          <w:p w14:paraId="5214F9D2" w14:textId="381FB459" w:rsidR="00F6676C" w:rsidRPr="00F6676C" w:rsidRDefault="00F6676C" w:rsidP="00F6676C">
            <w:pPr>
              <w:adjustRightInd w:val="0"/>
              <w:snapToGrid w:val="0"/>
              <w:jc w:val="both"/>
              <w:rPr>
                <w:sz w:val="20"/>
                <w:szCs w:val="20"/>
                <w:lang w:val="en-US"/>
              </w:rPr>
            </w:pPr>
            <w:r w:rsidRPr="00F6676C">
              <w:rPr>
                <w:sz w:val="20"/>
                <w:szCs w:val="20"/>
              </w:rPr>
              <w:t>(0.0422)</w:t>
            </w:r>
          </w:p>
        </w:tc>
        <w:tc>
          <w:tcPr>
            <w:tcW w:w="1276" w:type="dxa"/>
            <w:vAlign w:val="center"/>
          </w:tcPr>
          <w:p w14:paraId="09C0BDEA" w14:textId="0706C261" w:rsidR="00A04AD5" w:rsidRPr="00F6676C" w:rsidRDefault="00A04AD5" w:rsidP="00F6676C">
            <w:pPr>
              <w:adjustRightInd w:val="0"/>
              <w:snapToGrid w:val="0"/>
              <w:jc w:val="both"/>
              <w:rPr>
                <w:sz w:val="20"/>
                <w:szCs w:val="20"/>
                <w:lang w:val="en-US"/>
              </w:rPr>
            </w:pPr>
          </w:p>
        </w:tc>
        <w:tc>
          <w:tcPr>
            <w:tcW w:w="1417" w:type="dxa"/>
            <w:vAlign w:val="center"/>
          </w:tcPr>
          <w:p w14:paraId="1BDB2985" w14:textId="77777777" w:rsidR="00A04AD5" w:rsidRPr="00F6676C" w:rsidRDefault="00A04AD5" w:rsidP="00F6676C">
            <w:pPr>
              <w:adjustRightInd w:val="0"/>
              <w:snapToGrid w:val="0"/>
              <w:jc w:val="both"/>
              <w:rPr>
                <w:sz w:val="20"/>
                <w:szCs w:val="20"/>
              </w:rPr>
            </w:pPr>
            <w:r w:rsidRPr="00F6676C">
              <w:rPr>
                <w:sz w:val="20"/>
                <w:szCs w:val="20"/>
              </w:rPr>
              <w:t>0.0273</w:t>
            </w:r>
          </w:p>
          <w:p w14:paraId="42427E91" w14:textId="6DBC5D5F" w:rsidR="00F6676C" w:rsidRPr="00F6676C" w:rsidRDefault="00F6676C" w:rsidP="00F6676C">
            <w:pPr>
              <w:adjustRightInd w:val="0"/>
              <w:snapToGrid w:val="0"/>
              <w:jc w:val="both"/>
              <w:rPr>
                <w:sz w:val="20"/>
                <w:szCs w:val="20"/>
                <w:lang w:val="en-US"/>
              </w:rPr>
            </w:pPr>
            <w:r w:rsidRPr="00F6676C">
              <w:rPr>
                <w:sz w:val="20"/>
                <w:szCs w:val="20"/>
              </w:rPr>
              <w:t>(0.0432)</w:t>
            </w:r>
          </w:p>
        </w:tc>
      </w:tr>
      <w:tr w:rsidR="00A04AD5" w:rsidRPr="00F6676C" w14:paraId="3D226F0C" w14:textId="77777777" w:rsidTr="00F6676C">
        <w:tc>
          <w:tcPr>
            <w:tcW w:w="2405" w:type="dxa"/>
            <w:vAlign w:val="center"/>
          </w:tcPr>
          <w:p w14:paraId="390B5E4E" w14:textId="2BB810D6" w:rsidR="00A04AD5" w:rsidRPr="00F6676C" w:rsidRDefault="00A04AD5" w:rsidP="00F6676C">
            <w:pPr>
              <w:adjustRightInd w:val="0"/>
              <w:snapToGrid w:val="0"/>
              <w:jc w:val="both"/>
              <w:rPr>
                <w:sz w:val="20"/>
                <w:szCs w:val="20"/>
                <w:lang w:val="en-US"/>
              </w:rPr>
            </w:pPr>
            <w:r w:rsidRPr="00F6676C">
              <w:rPr>
                <w:sz w:val="20"/>
                <w:szCs w:val="20"/>
              </w:rPr>
              <w:t>ΔCAP</w:t>
            </w:r>
          </w:p>
        </w:tc>
        <w:tc>
          <w:tcPr>
            <w:tcW w:w="1201" w:type="dxa"/>
            <w:vAlign w:val="center"/>
          </w:tcPr>
          <w:p w14:paraId="1904EBF1" w14:textId="77777777" w:rsidR="00A04AD5" w:rsidRPr="00F6676C" w:rsidRDefault="00A04AD5" w:rsidP="00F6676C">
            <w:pPr>
              <w:adjustRightInd w:val="0"/>
              <w:snapToGrid w:val="0"/>
              <w:jc w:val="both"/>
              <w:rPr>
                <w:sz w:val="20"/>
                <w:szCs w:val="20"/>
              </w:rPr>
            </w:pPr>
            <w:r w:rsidRPr="00F6676C">
              <w:rPr>
                <w:sz w:val="20"/>
                <w:szCs w:val="20"/>
              </w:rPr>
              <w:t>−0.0872</w:t>
            </w:r>
          </w:p>
          <w:p w14:paraId="042DAD42" w14:textId="4BEF0836" w:rsidR="00F6676C" w:rsidRPr="00F6676C" w:rsidRDefault="00F6676C" w:rsidP="00F6676C">
            <w:pPr>
              <w:adjustRightInd w:val="0"/>
              <w:snapToGrid w:val="0"/>
              <w:jc w:val="both"/>
              <w:rPr>
                <w:sz w:val="20"/>
                <w:szCs w:val="20"/>
                <w:lang w:val="en-US"/>
              </w:rPr>
            </w:pPr>
            <w:r w:rsidRPr="00F6676C">
              <w:rPr>
                <w:sz w:val="20"/>
                <w:szCs w:val="20"/>
              </w:rPr>
              <w:t>(0.0731)</w:t>
            </w:r>
          </w:p>
        </w:tc>
        <w:tc>
          <w:tcPr>
            <w:tcW w:w="1209" w:type="dxa"/>
            <w:vAlign w:val="center"/>
          </w:tcPr>
          <w:p w14:paraId="1D48ECDA" w14:textId="77777777" w:rsidR="00A04AD5" w:rsidRPr="00F6676C" w:rsidRDefault="00A04AD5" w:rsidP="00F6676C">
            <w:pPr>
              <w:adjustRightInd w:val="0"/>
              <w:snapToGrid w:val="0"/>
              <w:jc w:val="both"/>
              <w:rPr>
                <w:sz w:val="20"/>
                <w:szCs w:val="20"/>
              </w:rPr>
            </w:pPr>
            <w:r w:rsidRPr="00F6676C">
              <w:rPr>
                <w:sz w:val="20"/>
                <w:szCs w:val="20"/>
              </w:rPr>
              <w:t>−0.0833</w:t>
            </w:r>
          </w:p>
          <w:p w14:paraId="675C6510" w14:textId="2A935B70" w:rsidR="00F6676C" w:rsidRPr="00F6676C" w:rsidRDefault="00F6676C" w:rsidP="00F6676C">
            <w:pPr>
              <w:adjustRightInd w:val="0"/>
              <w:snapToGrid w:val="0"/>
              <w:jc w:val="both"/>
              <w:rPr>
                <w:sz w:val="20"/>
                <w:szCs w:val="20"/>
                <w:lang w:val="en-US"/>
              </w:rPr>
            </w:pPr>
            <w:r w:rsidRPr="00F6676C">
              <w:rPr>
                <w:sz w:val="20"/>
                <w:szCs w:val="20"/>
              </w:rPr>
              <w:t>(0.0712)</w:t>
            </w:r>
          </w:p>
        </w:tc>
        <w:tc>
          <w:tcPr>
            <w:tcW w:w="1276" w:type="dxa"/>
            <w:vAlign w:val="center"/>
          </w:tcPr>
          <w:p w14:paraId="771D41DC" w14:textId="77777777" w:rsidR="00A04AD5" w:rsidRPr="00F6676C" w:rsidRDefault="00A04AD5" w:rsidP="00F6676C">
            <w:pPr>
              <w:adjustRightInd w:val="0"/>
              <w:snapToGrid w:val="0"/>
              <w:jc w:val="both"/>
              <w:rPr>
                <w:sz w:val="20"/>
                <w:szCs w:val="20"/>
              </w:rPr>
            </w:pPr>
            <w:r w:rsidRPr="00F6676C">
              <w:rPr>
                <w:sz w:val="20"/>
                <w:szCs w:val="20"/>
              </w:rPr>
              <w:t>−0.0794</w:t>
            </w:r>
          </w:p>
          <w:p w14:paraId="5E9DF778" w14:textId="450246B8" w:rsidR="00F6676C" w:rsidRPr="00F6676C" w:rsidRDefault="00F6676C" w:rsidP="00F6676C">
            <w:pPr>
              <w:adjustRightInd w:val="0"/>
              <w:snapToGrid w:val="0"/>
              <w:jc w:val="both"/>
              <w:rPr>
                <w:sz w:val="20"/>
                <w:szCs w:val="20"/>
                <w:lang w:val="en-US"/>
              </w:rPr>
            </w:pPr>
            <w:r w:rsidRPr="00F6676C">
              <w:rPr>
                <w:sz w:val="20"/>
                <w:szCs w:val="20"/>
              </w:rPr>
              <w:t>(0.0701)</w:t>
            </w:r>
          </w:p>
        </w:tc>
        <w:tc>
          <w:tcPr>
            <w:tcW w:w="1417" w:type="dxa"/>
            <w:vAlign w:val="center"/>
          </w:tcPr>
          <w:p w14:paraId="11DC0027" w14:textId="77777777" w:rsidR="00A04AD5" w:rsidRPr="00F6676C" w:rsidRDefault="00A04AD5" w:rsidP="00F6676C">
            <w:pPr>
              <w:adjustRightInd w:val="0"/>
              <w:snapToGrid w:val="0"/>
              <w:jc w:val="both"/>
              <w:rPr>
                <w:sz w:val="20"/>
                <w:szCs w:val="20"/>
              </w:rPr>
            </w:pPr>
            <w:r w:rsidRPr="00F6676C">
              <w:rPr>
                <w:sz w:val="20"/>
                <w:szCs w:val="20"/>
              </w:rPr>
              <w:t>−0.0841</w:t>
            </w:r>
          </w:p>
          <w:p w14:paraId="6D2B9C92" w14:textId="21B7BB18" w:rsidR="00F6676C" w:rsidRPr="00F6676C" w:rsidRDefault="00F6676C" w:rsidP="00F6676C">
            <w:pPr>
              <w:adjustRightInd w:val="0"/>
              <w:snapToGrid w:val="0"/>
              <w:jc w:val="both"/>
              <w:rPr>
                <w:sz w:val="20"/>
                <w:szCs w:val="20"/>
                <w:lang w:val="en-US"/>
              </w:rPr>
            </w:pPr>
            <w:r w:rsidRPr="00F6676C">
              <w:rPr>
                <w:sz w:val="20"/>
                <w:szCs w:val="20"/>
              </w:rPr>
              <w:t>(0.0723)</w:t>
            </w:r>
          </w:p>
        </w:tc>
      </w:tr>
      <w:tr w:rsidR="00A04AD5" w:rsidRPr="00F6676C" w14:paraId="3E80B50E" w14:textId="77777777" w:rsidTr="00F6676C">
        <w:tc>
          <w:tcPr>
            <w:tcW w:w="2405" w:type="dxa"/>
            <w:vAlign w:val="center"/>
          </w:tcPr>
          <w:p w14:paraId="6D0AE950" w14:textId="20FC84B1" w:rsidR="00A04AD5" w:rsidRPr="00F6676C" w:rsidRDefault="00A04AD5" w:rsidP="00F6676C">
            <w:pPr>
              <w:adjustRightInd w:val="0"/>
              <w:snapToGrid w:val="0"/>
              <w:jc w:val="both"/>
              <w:rPr>
                <w:sz w:val="20"/>
                <w:szCs w:val="20"/>
                <w:lang w:val="en-US"/>
              </w:rPr>
            </w:pPr>
            <w:r w:rsidRPr="00F6676C">
              <w:rPr>
                <w:sz w:val="20"/>
                <w:szCs w:val="20"/>
              </w:rPr>
              <w:t>ΔTO</w:t>
            </w:r>
          </w:p>
        </w:tc>
        <w:tc>
          <w:tcPr>
            <w:tcW w:w="1201" w:type="dxa"/>
            <w:vAlign w:val="center"/>
          </w:tcPr>
          <w:p w14:paraId="02503408" w14:textId="77777777" w:rsidR="00A04AD5" w:rsidRPr="00F6676C" w:rsidRDefault="00A04AD5" w:rsidP="00F6676C">
            <w:pPr>
              <w:adjustRightInd w:val="0"/>
              <w:snapToGrid w:val="0"/>
              <w:jc w:val="both"/>
              <w:rPr>
                <w:sz w:val="20"/>
                <w:szCs w:val="20"/>
              </w:rPr>
            </w:pPr>
            <w:r w:rsidRPr="00F6676C">
              <w:rPr>
                <w:sz w:val="20"/>
                <w:szCs w:val="20"/>
              </w:rPr>
              <w:t>0.1512*</w:t>
            </w:r>
          </w:p>
          <w:p w14:paraId="56A5869D" w14:textId="12A789CE" w:rsidR="00F6676C" w:rsidRPr="00F6676C" w:rsidRDefault="00F6676C" w:rsidP="00F6676C">
            <w:pPr>
              <w:adjustRightInd w:val="0"/>
              <w:snapToGrid w:val="0"/>
              <w:jc w:val="both"/>
              <w:rPr>
                <w:sz w:val="20"/>
                <w:szCs w:val="20"/>
                <w:lang w:val="en-US"/>
              </w:rPr>
            </w:pPr>
            <w:r w:rsidRPr="00F6676C">
              <w:rPr>
                <w:sz w:val="20"/>
                <w:szCs w:val="20"/>
              </w:rPr>
              <w:t>(0.0902)</w:t>
            </w:r>
          </w:p>
        </w:tc>
        <w:tc>
          <w:tcPr>
            <w:tcW w:w="1209" w:type="dxa"/>
            <w:vAlign w:val="center"/>
          </w:tcPr>
          <w:p w14:paraId="017BA4E1" w14:textId="77777777" w:rsidR="00A04AD5" w:rsidRPr="00F6676C" w:rsidRDefault="00A04AD5" w:rsidP="00F6676C">
            <w:pPr>
              <w:adjustRightInd w:val="0"/>
              <w:snapToGrid w:val="0"/>
              <w:jc w:val="both"/>
              <w:rPr>
                <w:sz w:val="20"/>
                <w:szCs w:val="20"/>
              </w:rPr>
            </w:pPr>
            <w:r w:rsidRPr="00F6676C">
              <w:rPr>
                <w:sz w:val="20"/>
                <w:szCs w:val="20"/>
              </w:rPr>
              <w:t>0.1624*</w:t>
            </w:r>
          </w:p>
          <w:p w14:paraId="272A2C19" w14:textId="5F00531A" w:rsidR="00F6676C" w:rsidRPr="00F6676C" w:rsidRDefault="00F6676C" w:rsidP="00F6676C">
            <w:pPr>
              <w:adjustRightInd w:val="0"/>
              <w:snapToGrid w:val="0"/>
              <w:jc w:val="both"/>
              <w:rPr>
                <w:sz w:val="20"/>
                <w:szCs w:val="20"/>
                <w:lang w:val="en-US"/>
              </w:rPr>
            </w:pPr>
            <w:r w:rsidRPr="00F6676C">
              <w:rPr>
                <w:sz w:val="20"/>
                <w:szCs w:val="20"/>
              </w:rPr>
              <w:t>(0.0893)</w:t>
            </w:r>
          </w:p>
        </w:tc>
        <w:tc>
          <w:tcPr>
            <w:tcW w:w="1276" w:type="dxa"/>
            <w:vAlign w:val="center"/>
          </w:tcPr>
          <w:p w14:paraId="2E31CEA4" w14:textId="77777777" w:rsidR="00A04AD5" w:rsidRPr="00F6676C" w:rsidRDefault="00A04AD5" w:rsidP="00F6676C">
            <w:pPr>
              <w:adjustRightInd w:val="0"/>
              <w:snapToGrid w:val="0"/>
              <w:jc w:val="both"/>
              <w:rPr>
                <w:sz w:val="20"/>
                <w:szCs w:val="20"/>
              </w:rPr>
            </w:pPr>
            <w:r w:rsidRPr="00F6676C">
              <w:rPr>
                <w:sz w:val="20"/>
                <w:szCs w:val="20"/>
              </w:rPr>
              <w:t>0.1561*</w:t>
            </w:r>
          </w:p>
          <w:p w14:paraId="17EA869D" w14:textId="243D1079" w:rsidR="00F6676C" w:rsidRPr="00F6676C" w:rsidRDefault="00F6676C" w:rsidP="00F6676C">
            <w:pPr>
              <w:adjustRightInd w:val="0"/>
              <w:snapToGrid w:val="0"/>
              <w:jc w:val="both"/>
              <w:rPr>
                <w:sz w:val="20"/>
                <w:szCs w:val="20"/>
                <w:lang w:val="en-US"/>
              </w:rPr>
            </w:pPr>
            <w:r w:rsidRPr="00F6676C">
              <w:rPr>
                <w:sz w:val="20"/>
                <w:szCs w:val="20"/>
              </w:rPr>
              <w:t>(0.0884)</w:t>
            </w:r>
          </w:p>
        </w:tc>
        <w:tc>
          <w:tcPr>
            <w:tcW w:w="1417" w:type="dxa"/>
            <w:vAlign w:val="center"/>
          </w:tcPr>
          <w:p w14:paraId="070007D4" w14:textId="77777777" w:rsidR="00A04AD5" w:rsidRPr="00F6676C" w:rsidRDefault="00A04AD5" w:rsidP="00F6676C">
            <w:pPr>
              <w:adjustRightInd w:val="0"/>
              <w:snapToGrid w:val="0"/>
              <w:jc w:val="both"/>
              <w:rPr>
                <w:sz w:val="20"/>
                <w:szCs w:val="20"/>
              </w:rPr>
            </w:pPr>
            <w:r w:rsidRPr="00F6676C">
              <w:rPr>
                <w:sz w:val="20"/>
                <w:szCs w:val="20"/>
              </w:rPr>
              <w:t>0.1583*</w:t>
            </w:r>
          </w:p>
          <w:p w14:paraId="1B3AEC1C" w14:textId="489020F2" w:rsidR="00F6676C" w:rsidRPr="00F6676C" w:rsidRDefault="00F6676C" w:rsidP="00F6676C">
            <w:pPr>
              <w:adjustRightInd w:val="0"/>
              <w:snapToGrid w:val="0"/>
              <w:jc w:val="both"/>
              <w:rPr>
                <w:sz w:val="20"/>
                <w:szCs w:val="20"/>
                <w:lang w:val="en-US"/>
              </w:rPr>
            </w:pPr>
            <w:r w:rsidRPr="00F6676C">
              <w:rPr>
                <w:sz w:val="20"/>
                <w:szCs w:val="20"/>
              </w:rPr>
              <w:t>(0.0891)</w:t>
            </w:r>
          </w:p>
        </w:tc>
      </w:tr>
      <w:tr w:rsidR="00A04AD5" w:rsidRPr="00F6676C" w14:paraId="12F61977" w14:textId="77777777" w:rsidTr="00F6676C">
        <w:tc>
          <w:tcPr>
            <w:tcW w:w="2405" w:type="dxa"/>
            <w:vAlign w:val="center"/>
          </w:tcPr>
          <w:p w14:paraId="6AAEAD7B" w14:textId="0B9A87F7" w:rsidR="00A04AD5" w:rsidRPr="00F6676C" w:rsidRDefault="00A04AD5" w:rsidP="00F6676C">
            <w:pPr>
              <w:adjustRightInd w:val="0"/>
              <w:snapToGrid w:val="0"/>
              <w:jc w:val="both"/>
              <w:rPr>
                <w:sz w:val="20"/>
                <w:szCs w:val="20"/>
                <w:lang w:val="en-US"/>
              </w:rPr>
            </w:pPr>
            <w:r w:rsidRPr="00F6676C">
              <w:rPr>
                <w:sz w:val="20"/>
                <w:szCs w:val="20"/>
              </w:rPr>
              <w:t>Constant</w:t>
            </w:r>
          </w:p>
        </w:tc>
        <w:tc>
          <w:tcPr>
            <w:tcW w:w="1201" w:type="dxa"/>
            <w:vAlign w:val="center"/>
          </w:tcPr>
          <w:p w14:paraId="0979CB5F" w14:textId="77777777" w:rsidR="00A04AD5" w:rsidRPr="00F6676C" w:rsidRDefault="00A04AD5" w:rsidP="00F6676C">
            <w:pPr>
              <w:adjustRightInd w:val="0"/>
              <w:snapToGrid w:val="0"/>
              <w:jc w:val="both"/>
              <w:rPr>
                <w:sz w:val="20"/>
                <w:szCs w:val="20"/>
              </w:rPr>
            </w:pPr>
            <w:r w:rsidRPr="00F6676C">
              <w:rPr>
                <w:sz w:val="20"/>
                <w:szCs w:val="20"/>
              </w:rPr>
              <w:t>2.2874***</w:t>
            </w:r>
          </w:p>
          <w:p w14:paraId="4A4227E4" w14:textId="7351E8B3" w:rsidR="00F6676C" w:rsidRPr="00F6676C" w:rsidRDefault="00F6676C" w:rsidP="00F6676C">
            <w:pPr>
              <w:adjustRightInd w:val="0"/>
              <w:snapToGrid w:val="0"/>
              <w:jc w:val="both"/>
              <w:rPr>
                <w:sz w:val="20"/>
                <w:szCs w:val="20"/>
                <w:lang w:val="en-US"/>
              </w:rPr>
            </w:pPr>
            <w:r w:rsidRPr="00F6676C">
              <w:rPr>
                <w:sz w:val="20"/>
                <w:szCs w:val="20"/>
              </w:rPr>
              <w:t>(0.5203)</w:t>
            </w:r>
          </w:p>
        </w:tc>
        <w:tc>
          <w:tcPr>
            <w:tcW w:w="1209" w:type="dxa"/>
            <w:vAlign w:val="center"/>
          </w:tcPr>
          <w:p w14:paraId="7A79DA94" w14:textId="77777777" w:rsidR="00A04AD5" w:rsidRPr="00F6676C" w:rsidRDefault="00A04AD5" w:rsidP="00F6676C">
            <w:pPr>
              <w:adjustRightInd w:val="0"/>
              <w:snapToGrid w:val="0"/>
              <w:jc w:val="both"/>
              <w:rPr>
                <w:sz w:val="20"/>
                <w:szCs w:val="20"/>
              </w:rPr>
            </w:pPr>
            <w:r w:rsidRPr="00F6676C">
              <w:rPr>
                <w:sz w:val="20"/>
                <w:szCs w:val="20"/>
              </w:rPr>
              <w:t>2.1152***</w:t>
            </w:r>
          </w:p>
          <w:p w14:paraId="6701385B" w14:textId="5A8F17D2" w:rsidR="00F6676C" w:rsidRPr="00F6676C" w:rsidRDefault="00F6676C" w:rsidP="00F6676C">
            <w:pPr>
              <w:adjustRightInd w:val="0"/>
              <w:snapToGrid w:val="0"/>
              <w:jc w:val="both"/>
              <w:rPr>
                <w:sz w:val="20"/>
                <w:szCs w:val="20"/>
                <w:lang w:val="en-US"/>
              </w:rPr>
            </w:pPr>
            <w:r w:rsidRPr="00F6676C">
              <w:rPr>
                <w:sz w:val="20"/>
                <w:szCs w:val="20"/>
              </w:rPr>
              <w:t>(0.4982)</w:t>
            </w:r>
          </w:p>
        </w:tc>
        <w:tc>
          <w:tcPr>
            <w:tcW w:w="1276" w:type="dxa"/>
            <w:vAlign w:val="center"/>
          </w:tcPr>
          <w:p w14:paraId="79ADCE7D" w14:textId="77777777" w:rsidR="00A04AD5" w:rsidRPr="00F6676C" w:rsidRDefault="00A04AD5" w:rsidP="00F6676C">
            <w:pPr>
              <w:adjustRightInd w:val="0"/>
              <w:snapToGrid w:val="0"/>
              <w:jc w:val="both"/>
              <w:rPr>
                <w:sz w:val="20"/>
                <w:szCs w:val="20"/>
              </w:rPr>
            </w:pPr>
            <w:r w:rsidRPr="00F6676C">
              <w:rPr>
                <w:sz w:val="20"/>
                <w:szCs w:val="20"/>
              </w:rPr>
              <w:t>2.3563***</w:t>
            </w:r>
          </w:p>
          <w:p w14:paraId="34DBF5CB" w14:textId="5DBA9B82" w:rsidR="00F6676C" w:rsidRPr="00F6676C" w:rsidRDefault="00F6676C" w:rsidP="00F6676C">
            <w:pPr>
              <w:adjustRightInd w:val="0"/>
              <w:snapToGrid w:val="0"/>
              <w:jc w:val="both"/>
              <w:rPr>
                <w:sz w:val="20"/>
                <w:szCs w:val="20"/>
                <w:lang w:val="en-US"/>
              </w:rPr>
            </w:pPr>
            <w:r w:rsidRPr="00F6676C">
              <w:rPr>
                <w:sz w:val="20"/>
                <w:szCs w:val="20"/>
              </w:rPr>
              <w:t>(0.5154)</w:t>
            </w:r>
          </w:p>
        </w:tc>
        <w:tc>
          <w:tcPr>
            <w:tcW w:w="1417" w:type="dxa"/>
            <w:vAlign w:val="center"/>
          </w:tcPr>
          <w:p w14:paraId="477DE263" w14:textId="77777777" w:rsidR="00A04AD5" w:rsidRPr="00F6676C" w:rsidRDefault="00A04AD5" w:rsidP="00F6676C">
            <w:pPr>
              <w:adjustRightInd w:val="0"/>
              <w:snapToGrid w:val="0"/>
              <w:jc w:val="both"/>
              <w:rPr>
                <w:sz w:val="20"/>
                <w:szCs w:val="20"/>
              </w:rPr>
            </w:pPr>
            <w:r w:rsidRPr="00F6676C">
              <w:rPr>
                <w:sz w:val="20"/>
                <w:szCs w:val="20"/>
              </w:rPr>
              <w:t>2.3141***</w:t>
            </w:r>
          </w:p>
          <w:p w14:paraId="75713473" w14:textId="5FA9AB73" w:rsidR="00F6676C" w:rsidRPr="00F6676C" w:rsidRDefault="00F6676C" w:rsidP="00F6676C">
            <w:pPr>
              <w:adjustRightInd w:val="0"/>
              <w:snapToGrid w:val="0"/>
              <w:jc w:val="both"/>
              <w:rPr>
                <w:sz w:val="20"/>
                <w:szCs w:val="20"/>
                <w:lang w:val="en-US"/>
              </w:rPr>
            </w:pPr>
            <w:r w:rsidRPr="00F6676C">
              <w:rPr>
                <w:sz w:val="20"/>
                <w:szCs w:val="20"/>
              </w:rPr>
              <w:t>(0.5121)</w:t>
            </w:r>
          </w:p>
        </w:tc>
      </w:tr>
      <w:tr w:rsidR="00A04AD5" w:rsidRPr="00F6676C" w14:paraId="4D31CA52" w14:textId="77777777" w:rsidTr="00F6676C">
        <w:tc>
          <w:tcPr>
            <w:tcW w:w="2405" w:type="dxa"/>
            <w:vAlign w:val="center"/>
          </w:tcPr>
          <w:p w14:paraId="063B9D1C" w14:textId="763B5226" w:rsidR="00A04AD5" w:rsidRPr="00F6676C" w:rsidRDefault="00A04AD5" w:rsidP="00F6676C">
            <w:pPr>
              <w:adjustRightInd w:val="0"/>
              <w:snapToGrid w:val="0"/>
              <w:jc w:val="both"/>
              <w:rPr>
                <w:sz w:val="20"/>
                <w:szCs w:val="20"/>
                <w:lang w:val="en-US"/>
              </w:rPr>
            </w:pPr>
            <w:r w:rsidRPr="00F6676C">
              <w:rPr>
                <w:rStyle w:val="Strong"/>
                <w:sz w:val="20"/>
                <w:szCs w:val="20"/>
              </w:rPr>
              <w:t>Observations</w:t>
            </w:r>
          </w:p>
        </w:tc>
        <w:tc>
          <w:tcPr>
            <w:tcW w:w="1201" w:type="dxa"/>
            <w:vAlign w:val="center"/>
          </w:tcPr>
          <w:p w14:paraId="3806FB76" w14:textId="5CCB7A22" w:rsidR="00A04AD5" w:rsidRPr="00F6676C" w:rsidRDefault="00A04AD5" w:rsidP="00F6676C">
            <w:pPr>
              <w:adjustRightInd w:val="0"/>
              <w:snapToGrid w:val="0"/>
              <w:jc w:val="both"/>
              <w:rPr>
                <w:sz w:val="20"/>
                <w:szCs w:val="20"/>
                <w:lang w:val="en-US"/>
              </w:rPr>
            </w:pPr>
            <w:r w:rsidRPr="00F6676C">
              <w:rPr>
                <w:sz w:val="20"/>
                <w:szCs w:val="20"/>
              </w:rPr>
              <w:t>1638</w:t>
            </w:r>
          </w:p>
        </w:tc>
        <w:tc>
          <w:tcPr>
            <w:tcW w:w="1209" w:type="dxa"/>
            <w:vAlign w:val="center"/>
          </w:tcPr>
          <w:p w14:paraId="7EE9B1DC" w14:textId="05194DA3" w:rsidR="00A04AD5" w:rsidRPr="00F6676C" w:rsidRDefault="00A04AD5" w:rsidP="00F6676C">
            <w:pPr>
              <w:adjustRightInd w:val="0"/>
              <w:snapToGrid w:val="0"/>
              <w:jc w:val="both"/>
              <w:rPr>
                <w:sz w:val="20"/>
                <w:szCs w:val="20"/>
                <w:lang w:val="en-US"/>
              </w:rPr>
            </w:pPr>
            <w:r w:rsidRPr="00F6676C">
              <w:rPr>
                <w:sz w:val="20"/>
                <w:szCs w:val="20"/>
              </w:rPr>
              <w:t>1638</w:t>
            </w:r>
          </w:p>
        </w:tc>
        <w:tc>
          <w:tcPr>
            <w:tcW w:w="1276" w:type="dxa"/>
            <w:vAlign w:val="center"/>
          </w:tcPr>
          <w:p w14:paraId="66593683" w14:textId="36C40D2E" w:rsidR="00A04AD5" w:rsidRPr="00F6676C" w:rsidRDefault="00A04AD5" w:rsidP="00F6676C">
            <w:pPr>
              <w:adjustRightInd w:val="0"/>
              <w:snapToGrid w:val="0"/>
              <w:jc w:val="both"/>
              <w:rPr>
                <w:sz w:val="20"/>
                <w:szCs w:val="20"/>
                <w:lang w:val="en-US"/>
              </w:rPr>
            </w:pPr>
            <w:r w:rsidRPr="00F6676C">
              <w:rPr>
                <w:sz w:val="20"/>
                <w:szCs w:val="20"/>
              </w:rPr>
              <w:t>1638</w:t>
            </w:r>
          </w:p>
        </w:tc>
        <w:tc>
          <w:tcPr>
            <w:tcW w:w="1417" w:type="dxa"/>
            <w:vAlign w:val="center"/>
          </w:tcPr>
          <w:p w14:paraId="078D2785" w14:textId="1A3A6293" w:rsidR="00A04AD5" w:rsidRPr="00F6676C" w:rsidRDefault="00A04AD5" w:rsidP="00F6676C">
            <w:pPr>
              <w:adjustRightInd w:val="0"/>
              <w:snapToGrid w:val="0"/>
              <w:jc w:val="both"/>
              <w:rPr>
                <w:sz w:val="20"/>
                <w:szCs w:val="20"/>
                <w:lang w:val="en-US"/>
              </w:rPr>
            </w:pPr>
            <w:r w:rsidRPr="00F6676C">
              <w:rPr>
                <w:sz w:val="20"/>
                <w:szCs w:val="20"/>
              </w:rPr>
              <w:t>1638</w:t>
            </w:r>
          </w:p>
        </w:tc>
      </w:tr>
      <w:tr w:rsidR="00A04AD5" w:rsidRPr="00F6676C" w14:paraId="77DF32F8" w14:textId="77777777" w:rsidTr="00F6676C">
        <w:tc>
          <w:tcPr>
            <w:tcW w:w="2405" w:type="dxa"/>
            <w:vAlign w:val="center"/>
          </w:tcPr>
          <w:p w14:paraId="0A2B7DB0" w14:textId="4CE4521B" w:rsidR="00A04AD5" w:rsidRPr="00F6676C" w:rsidRDefault="00A04AD5" w:rsidP="00F6676C">
            <w:pPr>
              <w:adjustRightInd w:val="0"/>
              <w:snapToGrid w:val="0"/>
              <w:jc w:val="both"/>
              <w:rPr>
                <w:sz w:val="20"/>
                <w:szCs w:val="20"/>
                <w:lang w:val="en-US"/>
              </w:rPr>
            </w:pPr>
            <w:r w:rsidRPr="00F6676C">
              <w:rPr>
                <w:rStyle w:val="Strong"/>
                <w:sz w:val="20"/>
                <w:szCs w:val="20"/>
              </w:rPr>
              <w:t>No. of countries</w:t>
            </w:r>
          </w:p>
        </w:tc>
        <w:tc>
          <w:tcPr>
            <w:tcW w:w="1201" w:type="dxa"/>
            <w:vAlign w:val="center"/>
          </w:tcPr>
          <w:p w14:paraId="418190DE" w14:textId="6E2EB231" w:rsidR="00A04AD5" w:rsidRPr="00F6676C" w:rsidRDefault="00A04AD5" w:rsidP="00F6676C">
            <w:pPr>
              <w:adjustRightInd w:val="0"/>
              <w:snapToGrid w:val="0"/>
              <w:jc w:val="both"/>
              <w:rPr>
                <w:sz w:val="20"/>
                <w:szCs w:val="20"/>
                <w:lang w:val="en-US"/>
              </w:rPr>
            </w:pPr>
            <w:r w:rsidRPr="00F6676C">
              <w:rPr>
                <w:sz w:val="20"/>
                <w:szCs w:val="20"/>
              </w:rPr>
              <w:t>12</w:t>
            </w:r>
          </w:p>
        </w:tc>
        <w:tc>
          <w:tcPr>
            <w:tcW w:w="1209" w:type="dxa"/>
            <w:vAlign w:val="center"/>
          </w:tcPr>
          <w:p w14:paraId="229F7CE0" w14:textId="10770095" w:rsidR="00A04AD5" w:rsidRPr="00F6676C" w:rsidRDefault="00A04AD5" w:rsidP="00F6676C">
            <w:pPr>
              <w:adjustRightInd w:val="0"/>
              <w:snapToGrid w:val="0"/>
              <w:jc w:val="both"/>
              <w:rPr>
                <w:sz w:val="20"/>
                <w:szCs w:val="20"/>
                <w:lang w:val="en-US"/>
              </w:rPr>
            </w:pPr>
            <w:r w:rsidRPr="00F6676C">
              <w:rPr>
                <w:sz w:val="20"/>
                <w:szCs w:val="20"/>
              </w:rPr>
              <w:t>12</w:t>
            </w:r>
          </w:p>
        </w:tc>
        <w:tc>
          <w:tcPr>
            <w:tcW w:w="1276" w:type="dxa"/>
            <w:vAlign w:val="center"/>
          </w:tcPr>
          <w:p w14:paraId="5B866A40" w14:textId="405E147E" w:rsidR="00A04AD5" w:rsidRPr="00F6676C" w:rsidRDefault="00A04AD5" w:rsidP="00F6676C">
            <w:pPr>
              <w:adjustRightInd w:val="0"/>
              <w:snapToGrid w:val="0"/>
              <w:jc w:val="both"/>
              <w:rPr>
                <w:sz w:val="20"/>
                <w:szCs w:val="20"/>
                <w:lang w:val="en-US"/>
              </w:rPr>
            </w:pPr>
            <w:r w:rsidRPr="00F6676C">
              <w:rPr>
                <w:sz w:val="20"/>
                <w:szCs w:val="20"/>
              </w:rPr>
              <w:t>12</w:t>
            </w:r>
          </w:p>
        </w:tc>
        <w:tc>
          <w:tcPr>
            <w:tcW w:w="1417" w:type="dxa"/>
            <w:vAlign w:val="center"/>
          </w:tcPr>
          <w:p w14:paraId="4EA70106" w14:textId="744500BC" w:rsidR="00A04AD5" w:rsidRPr="00F6676C" w:rsidRDefault="00A04AD5" w:rsidP="00F6676C">
            <w:pPr>
              <w:keepNext/>
              <w:adjustRightInd w:val="0"/>
              <w:snapToGrid w:val="0"/>
              <w:jc w:val="both"/>
              <w:rPr>
                <w:sz w:val="20"/>
                <w:szCs w:val="20"/>
                <w:lang w:val="en-US"/>
              </w:rPr>
            </w:pPr>
            <w:r w:rsidRPr="00F6676C">
              <w:rPr>
                <w:sz w:val="20"/>
                <w:szCs w:val="20"/>
              </w:rPr>
              <w:t>12</w:t>
            </w:r>
          </w:p>
        </w:tc>
      </w:tr>
    </w:tbl>
    <w:p w14:paraId="2B1CBE1B" w14:textId="77777777" w:rsidR="00A04AD5" w:rsidRDefault="00A04AD5" w:rsidP="0049612A">
      <w:pPr>
        <w:adjustRightInd w:val="0"/>
        <w:snapToGrid w:val="0"/>
        <w:spacing w:line="360" w:lineRule="auto"/>
        <w:jc w:val="both"/>
      </w:pPr>
    </w:p>
    <w:p w14:paraId="54B628C3" w14:textId="77777777" w:rsidR="00F6676C" w:rsidRDefault="0049612A" w:rsidP="00F6676C">
      <w:pPr>
        <w:adjustRightInd w:val="0"/>
        <w:snapToGrid w:val="0"/>
        <w:spacing w:line="360" w:lineRule="auto"/>
        <w:ind w:firstLine="720"/>
        <w:jc w:val="both"/>
      </w:pPr>
      <w:r w:rsidRPr="0049612A">
        <w:t xml:space="preserve">As shown in Table 4, the main results remain robust across the different PMG model specifications. In the long run, the external debt variable remains positive and statistically significant in all models where the variable is included, implying that the more the country uses foreign debt, the more the capital flight, which supports the idea of debt-driven capital flight. Monetary policy efficiency remains negative and significant in Models 2, 3, and 4, implying that the more efficient the monetary policy, the lower the capital flight because of the improved macroeconomic credibility and investor sentiment. Trade openness, on the other hand, remains positive and significant in all models, implying that the more the country is integrated into the global economy, the more avenues for capital flight are created. However, exchange rate volatility, which is positive, fails to pass the test of statistical significance, implying that exchange rate volatility cannot be considered a factor in the long run. Finally, the results </w:t>
      </w:r>
      <w:r w:rsidRPr="0049612A">
        <w:lastRenderedPageBreak/>
        <w:t>indicate that the more the capital control, the lower the capital flight, which is negative and significant.</w:t>
      </w:r>
    </w:p>
    <w:p w14:paraId="1D7B6BE3" w14:textId="408BF802" w:rsidR="005432E2" w:rsidRPr="0049612A" w:rsidRDefault="0049612A" w:rsidP="00F6676C">
      <w:pPr>
        <w:adjustRightInd w:val="0"/>
        <w:snapToGrid w:val="0"/>
        <w:spacing w:line="360" w:lineRule="auto"/>
        <w:ind w:firstLine="720"/>
        <w:jc w:val="both"/>
      </w:pPr>
      <w:r w:rsidRPr="0049612A">
        <w:t>In the short run, the error correction term remains negative and significant in all models, implying the existence of a stable long-run equilibrium and the correction of deviations towards the equilibrium over time. The short-run results, on the other hand, are generally weaker and mostly insignificant, except for trade openness, which remains significant. This suggests that the factors driving capital flight in developing countries are more structural and long-term macroeconomic factors than short-term factors.</w:t>
      </w:r>
    </w:p>
    <w:p w14:paraId="78344F72" w14:textId="77777777" w:rsidR="005432E2" w:rsidRPr="00F425E3" w:rsidRDefault="005432E2" w:rsidP="00F425E3">
      <w:pPr>
        <w:spacing w:line="480" w:lineRule="auto"/>
        <w:jc w:val="both"/>
        <w:rPr>
          <w:sz w:val="20"/>
          <w:szCs w:val="20"/>
        </w:rPr>
      </w:pPr>
    </w:p>
    <w:p w14:paraId="07D8973E" w14:textId="77777777" w:rsidR="00D03FFC" w:rsidRDefault="00D03FFC" w:rsidP="005F328A">
      <w:pPr>
        <w:tabs>
          <w:tab w:val="left" w:pos="2977"/>
          <w:tab w:val="left" w:pos="3261"/>
        </w:tabs>
        <w:spacing w:line="276" w:lineRule="auto"/>
        <w:rPr>
          <w:rFonts w:ascii="__Public_Sans_Fallback_3a41d0" w:hAnsi="__Public_Sans_Fallback_3a41d0"/>
          <w:color w:val="131615"/>
          <w:sz w:val="21"/>
          <w:szCs w:val="21"/>
          <w:shd w:val="clear" w:color="auto" w:fill="FFFFFF"/>
        </w:rPr>
      </w:pPr>
    </w:p>
    <w:p w14:paraId="3CDC48C5" w14:textId="33D2AEB2" w:rsidR="00954AEA" w:rsidRPr="00F6676C" w:rsidRDefault="00F6676C" w:rsidP="00F6676C">
      <w:pPr>
        <w:tabs>
          <w:tab w:val="left" w:pos="2977"/>
          <w:tab w:val="left" w:pos="3261"/>
        </w:tabs>
        <w:spacing w:line="276" w:lineRule="auto"/>
        <w:rPr>
          <w:b/>
          <w:bCs/>
        </w:rPr>
      </w:pPr>
      <w:r>
        <w:rPr>
          <w:b/>
          <w:bCs/>
        </w:rPr>
        <w:t xml:space="preserve">4.3 </w:t>
      </w:r>
      <w:r w:rsidR="00E56EA2" w:rsidRPr="00757FF1">
        <w:rPr>
          <w:b/>
          <w:bCs/>
        </w:rPr>
        <w:t>Discussion</w:t>
      </w:r>
    </w:p>
    <w:p w14:paraId="5912D655" w14:textId="4675E4AE" w:rsidR="0049612A" w:rsidRPr="002008A4" w:rsidRDefault="0049612A" w:rsidP="00F6676C">
      <w:pPr>
        <w:adjustRightInd w:val="0"/>
        <w:snapToGrid w:val="0"/>
        <w:spacing w:line="360" w:lineRule="auto"/>
        <w:ind w:firstLine="720"/>
        <w:jc w:val="both"/>
        <w:rPr>
          <w:color w:val="000000"/>
        </w:rPr>
      </w:pPr>
      <w:r w:rsidRPr="0049612A">
        <w:rPr>
          <w:color w:val="000000"/>
        </w:rPr>
        <w:t>The data provides insight on what influences capital flight in developing economies. In the long run, an effective monetary policy reduces capital flight, and this is negative and statistically significant. This is consistent with the theory of portfolio choice</w:t>
      </w:r>
      <w:r w:rsidR="006C31C2">
        <w:rPr>
          <w:color w:val="000000"/>
        </w:rPr>
        <w:t xml:space="preserve"> (</w:t>
      </w:r>
      <w:r w:rsidR="006C31C2" w:rsidRPr="006C31C2">
        <w:rPr>
          <w:color w:val="222222"/>
          <w:shd w:val="clear" w:color="auto" w:fill="FFFFFF"/>
        </w:rPr>
        <w:t>Markowitz,</w:t>
      </w:r>
      <w:r w:rsidR="006C31C2">
        <w:rPr>
          <w:color w:val="222222"/>
          <w:shd w:val="clear" w:color="auto" w:fill="FFFFFF"/>
        </w:rPr>
        <w:t xml:space="preserve"> </w:t>
      </w:r>
      <w:r w:rsidR="006C31C2" w:rsidRPr="006C31C2">
        <w:rPr>
          <w:color w:val="222222"/>
          <w:shd w:val="clear" w:color="auto" w:fill="FFFFFF"/>
        </w:rPr>
        <w:t>1952)</w:t>
      </w:r>
      <w:r w:rsidRPr="0049612A">
        <w:rPr>
          <w:color w:val="000000"/>
        </w:rPr>
        <w:t>. Individuals decide on investment opportunities based on what is expected to be earned and what is considered to be risky</w:t>
      </w:r>
      <w:r w:rsidR="00C73CC7">
        <w:rPr>
          <w:color w:val="000000"/>
        </w:rPr>
        <w:t xml:space="preserve"> (Hanlon et al., 2022)</w:t>
      </w:r>
      <w:r w:rsidRPr="0049612A">
        <w:rPr>
          <w:color w:val="000000"/>
        </w:rPr>
        <w:t>. If monetary policy is effective in reducing inflation and output uncertainty, it reduces macroeconomic uncertainty. Hence, investors find domestic investment opportunities more attractive, and there is no need to send funds abroad</w:t>
      </w:r>
      <w:r w:rsidR="00C73CC7">
        <w:rPr>
          <w:color w:val="000000"/>
        </w:rPr>
        <w:t xml:space="preserve"> </w:t>
      </w:r>
      <w:r w:rsidR="00C73CC7" w:rsidRPr="00C73CC7">
        <w:rPr>
          <w:color w:val="000000"/>
        </w:rPr>
        <w:t>(</w:t>
      </w:r>
      <w:proofErr w:type="spellStart"/>
      <w:r w:rsidR="00C73CC7" w:rsidRPr="00C73CC7">
        <w:rPr>
          <w:color w:val="222222"/>
          <w:shd w:val="clear" w:color="auto" w:fill="FFFFFF"/>
        </w:rPr>
        <w:t>Chaisse</w:t>
      </w:r>
      <w:proofErr w:type="spellEnd"/>
      <w:r w:rsidR="00C73CC7" w:rsidRPr="00C73CC7">
        <w:rPr>
          <w:color w:val="222222"/>
          <w:shd w:val="clear" w:color="auto" w:fill="FFFFFF"/>
        </w:rPr>
        <w:t xml:space="preserve"> &amp; </w:t>
      </w:r>
      <w:proofErr w:type="spellStart"/>
      <w:r w:rsidR="00C73CC7" w:rsidRPr="00C73CC7">
        <w:rPr>
          <w:color w:val="222222"/>
          <w:shd w:val="clear" w:color="auto" w:fill="FFFFFF"/>
        </w:rPr>
        <w:t>Dimitropoulos</w:t>
      </w:r>
      <w:proofErr w:type="spellEnd"/>
      <w:r w:rsidR="00C73CC7" w:rsidRPr="00C73CC7">
        <w:rPr>
          <w:color w:val="222222"/>
          <w:shd w:val="clear" w:color="auto" w:fill="FFFFFF"/>
        </w:rPr>
        <w:t>, 2023)</w:t>
      </w:r>
      <w:r w:rsidRPr="00C73CC7">
        <w:rPr>
          <w:color w:val="000000"/>
        </w:rPr>
        <w:t>.</w:t>
      </w:r>
      <w:r w:rsidRPr="0049612A">
        <w:rPr>
          <w:color w:val="000000"/>
        </w:rPr>
        <w:t xml:space="preserve"> It is also consistent with an emerging literature on policy credibility and its role in determining international capital flows</w:t>
      </w:r>
      <w:r w:rsidR="00C73CC7">
        <w:rPr>
          <w:color w:val="000000"/>
        </w:rPr>
        <w:t xml:space="preserve"> (Dreher et al., 2025)</w:t>
      </w:r>
      <w:r w:rsidRPr="0049612A">
        <w:rPr>
          <w:color w:val="000000"/>
        </w:rPr>
        <w:t>.</w:t>
      </w:r>
    </w:p>
    <w:p w14:paraId="36B7AC8C" w14:textId="4791FBCE" w:rsidR="0049612A" w:rsidRPr="002008A4" w:rsidRDefault="0049612A" w:rsidP="00F6676C">
      <w:pPr>
        <w:adjustRightInd w:val="0"/>
        <w:snapToGrid w:val="0"/>
        <w:spacing w:line="360" w:lineRule="auto"/>
        <w:ind w:firstLine="720"/>
        <w:jc w:val="both"/>
        <w:rPr>
          <w:color w:val="000000"/>
        </w:rPr>
      </w:pPr>
      <w:r w:rsidRPr="0049612A">
        <w:rPr>
          <w:color w:val="000000"/>
        </w:rPr>
        <w:t>This connection between the effectiveness of monetary policy and capital flight out of the country serves to illustrate just how important central banks are in maintaining macroeconomic stability in developing countries. In many developing countries, financial markets are still quite underdeveloped and tend to react quite vigorously to changes in market sentiment</w:t>
      </w:r>
      <w:r w:rsidR="00C73CC7">
        <w:rPr>
          <w:color w:val="000000"/>
        </w:rPr>
        <w:t xml:space="preserve"> (Anwar et al., 2024)</w:t>
      </w:r>
      <w:r w:rsidRPr="0049612A">
        <w:rPr>
          <w:color w:val="000000"/>
        </w:rPr>
        <w:t>. If monetary policy is unclear and fuzzy, it can exacerbate economic fluctuations, which can cause inflationary surprises and exchange rate pressures and, as a result, capital flight. Hence, improving monetary policy credibility and effectiveness can be an important tool in stemming capital flight. This is in line with prior research indicating macroeconomic stability as an important determinant in preventing capital flight (Ndikumana &amp; Sarr, 2019; Ampah &amp; Kiss, 2019).</w:t>
      </w:r>
    </w:p>
    <w:p w14:paraId="10C031EF" w14:textId="7320ACCC" w:rsidR="0049612A" w:rsidRPr="002008A4" w:rsidRDefault="0049612A" w:rsidP="00F6676C">
      <w:pPr>
        <w:adjustRightInd w:val="0"/>
        <w:snapToGrid w:val="0"/>
        <w:spacing w:line="360" w:lineRule="auto"/>
        <w:ind w:firstLine="720"/>
        <w:jc w:val="both"/>
        <w:rPr>
          <w:color w:val="000000"/>
        </w:rPr>
      </w:pPr>
      <w:r w:rsidRPr="0049612A">
        <w:rPr>
          <w:color w:val="000000"/>
        </w:rPr>
        <w:t xml:space="preserve">The results, therefore, imply that external debt does, to some extent, affect capital flight, such that the higher the external debt, the higher the capital flight. This is consistent with the debt-driven capital flight concept, whereby the increase in external debt causes people to expect fiscal problems, currency depreciation, or higher taxes in the future, hence leading to capital </w:t>
      </w:r>
      <w:r w:rsidRPr="0049612A">
        <w:rPr>
          <w:color w:val="000000"/>
        </w:rPr>
        <w:lastRenderedPageBreak/>
        <w:t>flight. This can be particularly true for developing countries, where people are likely to worry about debt sustainability and macroeconomic volatility</w:t>
      </w:r>
      <w:r w:rsidR="00C73CC7">
        <w:rPr>
          <w:color w:val="000000"/>
        </w:rPr>
        <w:t xml:space="preserve"> (Otieno et al., 2022)</w:t>
      </w:r>
      <w:r w:rsidRPr="0049612A">
        <w:rPr>
          <w:color w:val="000000"/>
        </w:rPr>
        <w:t>. This study, therefore, implies that investors are likely to expect fiscal problems if they feel that the external debt of their home countries is rising beyond sustainable levels, hence leading to capital flight to other safe countries. This is consistent with previous empirical evidence of the positive relationship between external debt and capital flight in developing countries (Forson et al., 2017). However, this study is inconsistent with other empirical evidence of the insignificant effect of external debt on capital flight.</w:t>
      </w:r>
    </w:p>
    <w:p w14:paraId="5A4ABAAD" w14:textId="1FB1629C" w:rsidR="0049612A" w:rsidRPr="002008A4" w:rsidRDefault="0049612A" w:rsidP="00F6676C">
      <w:pPr>
        <w:adjustRightInd w:val="0"/>
        <w:snapToGrid w:val="0"/>
        <w:spacing w:line="360" w:lineRule="auto"/>
        <w:ind w:firstLine="720"/>
        <w:jc w:val="both"/>
        <w:rPr>
          <w:color w:val="000000"/>
        </w:rPr>
      </w:pPr>
      <w:r w:rsidRPr="0049612A">
        <w:rPr>
          <w:color w:val="000000"/>
        </w:rPr>
        <w:t>While theoretically, exchange rate fluctuations have the ability to deter capital through the uncertainty they cause regarding asset values, they do not have a statistically significant long-run impact according to this research. One possible reason is that investors in developing countries view exchange rate volatility as a temporary blip in the larger macroeconomic context</w:t>
      </w:r>
      <w:r w:rsidR="00C73CC7">
        <w:rPr>
          <w:color w:val="000000"/>
        </w:rPr>
        <w:t xml:space="preserve"> (</w:t>
      </w:r>
      <w:proofErr w:type="spellStart"/>
      <w:r w:rsidR="00C73CC7">
        <w:rPr>
          <w:color w:val="000000"/>
        </w:rPr>
        <w:t>Joebges</w:t>
      </w:r>
      <w:proofErr w:type="spellEnd"/>
      <w:r w:rsidR="00C73CC7">
        <w:rPr>
          <w:color w:val="000000"/>
        </w:rPr>
        <w:t>, 2025)</w:t>
      </w:r>
      <w:r w:rsidRPr="0049612A">
        <w:rPr>
          <w:color w:val="000000"/>
        </w:rPr>
        <w:t>. Another possible reason is that the impact of exchange rate volatility is already being factored in indirectly through other macro variables, such as the effectiveness of monetary policy and external debt levels</w:t>
      </w:r>
      <w:r w:rsidR="00C73CC7">
        <w:rPr>
          <w:color w:val="000000"/>
        </w:rPr>
        <w:t xml:space="preserve"> (</w:t>
      </w:r>
      <w:proofErr w:type="spellStart"/>
      <w:r w:rsidR="00C73CC7">
        <w:rPr>
          <w:color w:val="000000"/>
        </w:rPr>
        <w:t>Oyadeyi</w:t>
      </w:r>
      <w:proofErr w:type="spellEnd"/>
      <w:r w:rsidR="00C73CC7">
        <w:rPr>
          <w:color w:val="000000"/>
        </w:rPr>
        <w:t>, 2026)</w:t>
      </w:r>
      <w:r w:rsidRPr="0049612A">
        <w:rPr>
          <w:color w:val="000000"/>
        </w:rPr>
        <w:t>. This is in line with research indicating only a weak correlation between exchange rate volatility and capital flight, although it has been noted as significant in financial crises and macro instability</w:t>
      </w:r>
      <w:r w:rsidR="00C73CC7">
        <w:rPr>
          <w:color w:val="000000"/>
        </w:rPr>
        <w:t xml:space="preserve"> (Yalta &amp; Yalta, 2024)</w:t>
      </w:r>
      <w:r w:rsidRPr="0049612A">
        <w:rPr>
          <w:color w:val="000000"/>
        </w:rPr>
        <w:t>.</w:t>
      </w:r>
    </w:p>
    <w:p w14:paraId="52D8199B" w14:textId="20740CCF" w:rsidR="0049612A" w:rsidRPr="0049612A" w:rsidRDefault="0049612A" w:rsidP="00F6676C">
      <w:pPr>
        <w:adjustRightInd w:val="0"/>
        <w:snapToGrid w:val="0"/>
        <w:spacing w:line="360" w:lineRule="auto"/>
        <w:ind w:firstLine="720"/>
        <w:jc w:val="both"/>
        <w:rPr>
          <w:color w:val="000000"/>
        </w:rPr>
      </w:pPr>
      <w:r w:rsidRPr="0049612A">
        <w:rPr>
          <w:color w:val="000000"/>
        </w:rPr>
        <w:t>Another interesting finding is related to capital control policy; it reveals a negative and significant relationship with capital flight. In simple terms, it means that if regulations related to capital account are more stringent, it can help control capital flight and reduce the probability of capital flight from the country</w:t>
      </w:r>
      <w:r w:rsidR="00F644D5">
        <w:rPr>
          <w:color w:val="000000"/>
        </w:rPr>
        <w:t xml:space="preserve"> (Abbas et al., 2025)</w:t>
      </w:r>
      <w:r w:rsidRPr="0049612A">
        <w:rPr>
          <w:color w:val="000000"/>
        </w:rPr>
        <w:t>. In the context of developing countries with unstable financial markets, capital control policy can be more helpful in maintaining financial stability</w:t>
      </w:r>
      <w:r w:rsidR="00F644D5">
        <w:rPr>
          <w:color w:val="000000"/>
        </w:rPr>
        <w:t xml:space="preserve"> (Hamdaoui et al., 2022)</w:t>
      </w:r>
      <w:r w:rsidRPr="0049612A">
        <w:rPr>
          <w:color w:val="000000"/>
        </w:rPr>
        <w:t>. However, it is noteworthy that its effectiveness would depend upon how well the government is able to implement such regulations and monitor cross-border financial transactions</w:t>
      </w:r>
      <w:r w:rsidR="00F644D5">
        <w:rPr>
          <w:color w:val="000000"/>
        </w:rPr>
        <w:t xml:space="preserve"> </w:t>
      </w:r>
      <w:r w:rsidR="00F644D5" w:rsidRPr="00F644D5">
        <w:rPr>
          <w:color w:val="000000"/>
        </w:rPr>
        <w:t>(</w:t>
      </w:r>
      <w:r w:rsidR="00F644D5" w:rsidRPr="00F644D5">
        <w:rPr>
          <w:color w:val="222222"/>
          <w:shd w:val="clear" w:color="auto" w:fill="FFFFFF"/>
        </w:rPr>
        <w:t>Chu &amp; Rathbun, 2025)</w:t>
      </w:r>
      <w:r w:rsidRPr="00F644D5">
        <w:rPr>
          <w:color w:val="000000"/>
        </w:rPr>
        <w:t>.</w:t>
      </w:r>
    </w:p>
    <w:p w14:paraId="475B3B48" w14:textId="77777777" w:rsidR="0049612A" w:rsidRPr="0049612A" w:rsidRDefault="0049612A" w:rsidP="00F6676C">
      <w:pPr>
        <w:adjustRightInd w:val="0"/>
        <w:snapToGrid w:val="0"/>
        <w:spacing w:line="360" w:lineRule="auto"/>
        <w:ind w:firstLine="720"/>
        <w:jc w:val="both"/>
        <w:rPr>
          <w:color w:val="000000"/>
        </w:rPr>
      </w:pPr>
    </w:p>
    <w:p w14:paraId="3DF67A6A" w14:textId="74D035EC" w:rsidR="002008A4" w:rsidRPr="002008A4" w:rsidRDefault="0049612A" w:rsidP="00F6676C">
      <w:pPr>
        <w:adjustRightInd w:val="0"/>
        <w:snapToGrid w:val="0"/>
        <w:spacing w:line="360" w:lineRule="auto"/>
        <w:ind w:firstLine="720"/>
        <w:jc w:val="both"/>
        <w:rPr>
          <w:color w:val="000000"/>
        </w:rPr>
      </w:pPr>
      <w:r w:rsidRPr="0049612A">
        <w:rPr>
          <w:color w:val="000000"/>
        </w:rPr>
        <w:t xml:space="preserve">On the </w:t>
      </w:r>
      <w:r w:rsidR="00F644D5">
        <w:rPr>
          <w:color w:val="000000"/>
        </w:rPr>
        <w:t>other</w:t>
      </w:r>
      <w:r w:rsidRPr="0049612A">
        <w:rPr>
          <w:color w:val="000000"/>
        </w:rPr>
        <w:t xml:space="preserve"> side, trade openness is seen to have a positive relationship with capital flight. It is a signal that more trade openness with the global economy can actually create more avenues for capital flight. Trade openness may be more helpful in terms of efficiency and contributing to economic growth in the long run through global linkages</w:t>
      </w:r>
      <w:r w:rsidR="00F644D5">
        <w:rPr>
          <w:color w:val="000000"/>
        </w:rPr>
        <w:t xml:space="preserve"> </w:t>
      </w:r>
      <w:r w:rsidR="00F644D5" w:rsidRPr="00F644D5">
        <w:rPr>
          <w:color w:val="000000"/>
        </w:rPr>
        <w:t>(</w:t>
      </w:r>
      <w:r w:rsidR="00F644D5" w:rsidRPr="00F644D5">
        <w:rPr>
          <w:color w:val="222222"/>
          <w:shd w:val="clear" w:color="auto" w:fill="FFFFFF"/>
        </w:rPr>
        <w:t>Mohamed Sghaier, 2023)</w:t>
      </w:r>
      <w:r w:rsidR="00F644D5" w:rsidRPr="00F644D5">
        <w:rPr>
          <w:color w:val="000000"/>
        </w:rPr>
        <w:t>.</w:t>
      </w:r>
      <w:r w:rsidRPr="0049612A">
        <w:rPr>
          <w:color w:val="000000"/>
        </w:rPr>
        <w:t xml:space="preserve"> </w:t>
      </w:r>
      <w:r w:rsidR="00F644D5">
        <w:rPr>
          <w:color w:val="000000"/>
        </w:rPr>
        <w:t>H</w:t>
      </w:r>
      <w:r w:rsidRPr="0049612A">
        <w:rPr>
          <w:color w:val="000000"/>
        </w:rPr>
        <w:t>owever, it may create more financial volatilities in terms of capital flight in the context of developing countries</w:t>
      </w:r>
      <w:r w:rsidR="00F644D5">
        <w:rPr>
          <w:color w:val="000000"/>
        </w:rPr>
        <w:t xml:space="preserve"> (Basher et al., 2023)</w:t>
      </w:r>
      <w:r w:rsidRPr="0049612A">
        <w:rPr>
          <w:color w:val="000000"/>
        </w:rPr>
        <w:t>. As more economies integrate into the global economy, more avenues for investors to diversify internationally may create more capital flight risks if the domestic economy is not performing well</w:t>
      </w:r>
      <w:r w:rsidR="00F644D5">
        <w:rPr>
          <w:color w:val="000000"/>
        </w:rPr>
        <w:t xml:space="preserve"> (Sun et al., 2023)</w:t>
      </w:r>
      <w:r w:rsidRPr="0049612A">
        <w:rPr>
          <w:color w:val="000000"/>
        </w:rPr>
        <w:t>.</w:t>
      </w:r>
    </w:p>
    <w:p w14:paraId="02BF1E35" w14:textId="77777777" w:rsidR="002008A4" w:rsidRDefault="002008A4" w:rsidP="00F6676C">
      <w:pPr>
        <w:adjustRightInd w:val="0"/>
        <w:snapToGrid w:val="0"/>
        <w:spacing w:line="360" w:lineRule="auto"/>
        <w:ind w:firstLine="720"/>
        <w:jc w:val="both"/>
        <w:rPr>
          <w:color w:val="000000"/>
        </w:rPr>
      </w:pPr>
    </w:p>
    <w:p w14:paraId="43B4E430" w14:textId="27087A90" w:rsidR="00926779" w:rsidRPr="00757FF1" w:rsidRDefault="00926779" w:rsidP="005F328A">
      <w:pPr>
        <w:spacing w:line="276" w:lineRule="auto"/>
        <w:jc w:val="both"/>
        <w:rPr>
          <w:color w:val="000000"/>
        </w:rPr>
      </w:pPr>
      <w:r>
        <w:rPr>
          <w:b/>
          <w:bCs/>
          <w:color w:val="000000"/>
        </w:rPr>
        <w:t>5. Conclusion</w:t>
      </w:r>
    </w:p>
    <w:p w14:paraId="4AF883DE" w14:textId="77777777" w:rsidR="00E56EA2" w:rsidRDefault="00E56EA2" w:rsidP="005F328A">
      <w:pPr>
        <w:spacing w:line="276" w:lineRule="auto"/>
        <w:rPr>
          <w:color w:val="000000"/>
        </w:rPr>
      </w:pPr>
    </w:p>
    <w:p w14:paraId="71A36DFD" w14:textId="065C1606" w:rsidR="0049612A" w:rsidRPr="0049612A" w:rsidRDefault="0049612A" w:rsidP="00F6676C">
      <w:pPr>
        <w:adjustRightInd w:val="0"/>
        <w:snapToGrid w:val="0"/>
        <w:spacing w:line="360" w:lineRule="auto"/>
        <w:ind w:firstLine="720"/>
        <w:jc w:val="both"/>
        <w:rPr>
          <w:color w:val="131615"/>
          <w:shd w:val="clear" w:color="auto" w:fill="FFFFFF"/>
        </w:rPr>
      </w:pPr>
      <w:r w:rsidRPr="0049612A">
        <w:rPr>
          <w:color w:val="131615"/>
          <w:shd w:val="clear" w:color="auto" w:fill="FFFFFF"/>
        </w:rPr>
        <w:t>This study examines what drives capital flight in developing economies and focuses specifically on how well monetary policy works, external debt levels, exchange rate fluctuations, capital controls, and trade openness contribute to capital flight. By employing quarterly panel data for twelve developing economies between 2000Q1 and 2023Q4 and using the Pooled Mean Group approach in a panel ARDL framework, the study provides interesting and key results. Efficient monetary policy is found to reduce capital flight in the long run; however, it is essential to understand that for monetary policy to be effective and credible, it must be efficient in order to boost macroeconomic stability. On the other hand, it is found that higher levels of external debt contribute to capital flight in developing economies and supports the debt-driven capital flight hypothesis that suggests capital flight is driven by rising levels of external debt in developing economies. Finally, capital controls reduce capital flight in developing economies, while trade openness increases capital flight in developing economies.</w:t>
      </w:r>
    </w:p>
    <w:p w14:paraId="5156EC18" w14:textId="2A738A33" w:rsidR="003D7EFC" w:rsidRPr="0049612A" w:rsidRDefault="0049612A" w:rsidP="0049612A">
      <w:pPr>
        <w:adjustRightInd w:val="0"/>
        <w:snapToGrid w:val="0"/>
        <w:spacing w:line="360" w:lineRule="auto"/>
        <w:ind w:firstLine="720"/>
        <w:jc w:val="both"/>
        <w:rPr>
          <w:color w:val="131615"/>
          <w:shd w:val="clear" w:color="auto" w:fill="FFFFFF"/>
        </w:rPr>
      </w:pPr>
      <w:r w:rsidRPr="0049612A">
        <w:rPr>
          <w:color w:val="131615"/>
          <w:shd w:val="clear" w:color="auto" w:fill="FFFFFF"/>
        </w:rPr>
        <w:t>From the policy perspective, the message seems clear: establish credibility for monetary policy, manage external debt effectively, and shape rules on capital flows with care if one wishes to contain capital flight in developing economies. When monetary policy is predictable and well-structured, macroeconomic stability and investor sentiment are improved. Careful debt management helps to mitigate perceptions of fiscal and currency risks. Yet, policymakers must balance the potential gains of financial and trade openness against the need to contain risks of sharp capital outflows when the macro environment turns uncertain. The study has its limitations, such as the sample of small countries and the exclusion of institutional factors like governance and political stability. What are the implications for the future? Future work could expand the analysis to include institutional variables, explore nonlinear relationships, and investigate the impact of global financial conditions on the dynamics of capital flight.</w:t>
      </w:r>
    </w:p>
    <w:p w14:paraId="0EC9A226" w14:textId="77777777" w:rsidR="0049612A" w:rsidRDefault="0049612A" w:rsidP="00926779">
      <w:pPr>
        <w:rPr>
          <w:color w:val="000000"/>
        </w:rPr>
      </w:pPr>
    </w:p>
    <w:p w14:paraId="5A3AC3FA" w14:textId="77777777" w:rsidR="00F6676C" w:rsidRDefault="00F6676C" w:rsidP="00926779">
      <w:pPr>
        <w:rPr>
          <w:color w:val="000000"/>
        </w:rPr>
      </w:pPr>
    </w:p>
    <w:p w14:paraId="2B1113F3" w14:textId="77777777" w:rsidR="00F6676C" w:rsidRDefault="00F6676C" w:rsidP="00926779">
      <w:pPr>
        <w:rPr>
          <w:color w:val="000000"/>
        </w:rPr>
      </w:pPr>
    </w:p>
    <w:p w14:paraId="3DBB28B0" w14:textId="77DCEA84" w:rsidR="00926779" w:rsidRDefault="00926779" w:rsidP="00926779">
      <w:pPr>
        <w:rPr>
          <w:b/>
          <w:bCs/>
          <w:color w:val="000000"/>
          <w:sz w:val="28"/>
          <w:szCs w:val="28"/>
        </w:rPr>
      </w:pPr>
      <w:r>
        <w:rPr>
          <w:b/>
          <w:bCs/>
          <w:color w:val="000000"/>
          <w:sz w:val="28"/>
          <w:szCs w:val="28"/>
        </w:rPr>
        <w:t>References</w:t>
      </w:r>
    </w:p>
    <w:p w14:paraId="33BB58E6" w14:textId="77777777" w:rsidR="0049612A" w:rsidRDefault="0049612A" w:rsidP="00926779">
      <w:pPr>
        <w:rPr>
          <w:b/>
          <w:bCs/>
          <w:color w:val="000000"/>
          <w:sz w:val="28"/>
          <w:szCs w:val="28"/>
        </w:rPr>
      </w:pPr>
    </w:p>
    <w:p w14:paraId="45247583"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Abbas, S. J., Ahmad, S., Hayat, N., &amp; Ahmad, S. (2025). </w:t>
      </w:r>
      <w:proofErr w:type="spellStart"/>
      <w:r w:rsidRPr="005E4747">
        <w:rPr>
          <w:color w:val="222222"/>
          <w:shd w:val="clear" w:color="auto" w:fill="FFFFFF"/>
        </w:rPr>
        <w:t>Unraveling</w:t>
      </w:r>
      <w:proofErr w:type="spellEnd"/>
      <w:r w:rsidRPr="005E4747">
        <w:rPr>
          <w:color w:val="222222"/>
          <w:shd w:val="clear" w:color="auto" w:fill="FFFFFF"/>
        </w:rPr>
        <w:t xml:space="preserve"> the Regional Determinants of Capital Flight: A Comparative Analysis. </w:t>
      </w:r>
      <w:r w:rsidRPr="005E4747">
        <w:rPr>
          <w:i/>
          <w:iCs/>
          <w:color w:val="222222"/>
          <w:shd w:val="clear" w:color="auto" w:fill="FFFFFF"/>
        </w:rPr>
        <w:t>Journal of the Knowledge Economy</w:t>
      </w:r>
      <w:r w:rsidRPr="005E4747">
        <w:rPr>
          <w:color w:val="222222"/>
          <w:shd w:val="clear" w:color="auto" w:fill="FFFFFF"/>
        </w:rPr>
        <w:t>, </w:t>
      </w:r>
      <w:r w:rsidRPr="005E4747">
        <w:rPr>
          <w:i/>
          <w:iCs/>
          <w:color w:val="222222"/>
          <w:shd w:val="clear" w:color="auto" w:fill="FFFFFF"/>
        </w:rPr>
        <w:t>16</w:t>
      </w:r>
      <w:r w:rsidRPr="005E4747">
        <w:rPr>
          <w:color w:val="222222"/>
          <w:shd w:val="clear" w:color="auto" w:fill="FFFFFF"/>
        </w:rPr>
        <w:t>(3), 13516-13536.</w:t>
      </w:r>
    </w:p>
    <w:p w14:paraId="22BD050C"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Agyeman, G., Sakyi, D., &amp; Oteng-Abayie, E. F. (2022). External debt and economic growth in selected sub-Saharan African countries: The role of capital flight. </w:t>
      </w:r>
      <w:r w:rsidRPr="005E4747">
        <w:rPr>
          <w:i/>
          <w:iCs/>
          <w:color w:val="222222"/>
          <w:shd w:val="clear" w:color="auto" w:fill="FFFFFF"/>
        </w:rPr>
        <w:t>Research in Globalization</w:t>
      </w:r>
      <w:r w:rsidRPr="005E4747">
        <w:rPr>
          <w:color w:val="222222"/>
          <w:shd w:val="clear" w:color="auto" w:fill="FFFFFF"/>
        </w:rPr>
        <w:t>, </w:t>
      </w:r>
      <w:r w:rsidRPr="005E4747">
        <w:rPr>
          <w:i/>
          <w:iCs/>
          <w:color w:val="222222"/>
          <w:shd w:val="clear" w:color="auto" w:fill="FFFFFF"/>
        </w:rPr>
        <w:t>5</w:t>
      </w:r>
      <w:r w:rsidRPr="005E4747">
        <w:rPr>
          <w:color w:val="222222"/>
          <w:shd w:val="clear" w:color="auto" w:fill="FFFFFF"/>
        </w:rPr>
        <w:t>, 100091.</w:t>
      </w:r>
    </w:p>
    <w:p w14:paraId="48776AC3"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lastRenderedPageBreak/>
        <w:t xml:space="preserve">Anwar, C. J., </w:t>
      </w:r>
      <w:proofErr w:type="spellStart"/>
      <w:r w:rsidRPr="005E4747">
        <w:rPr>
          <w:color w:val="222222"/>
          <w:shd w:val="clear" w:color="auto" w:fill="FFFFFF"/>
        </w:rPr>
        <w:t>Fitri</w:t>
      </w:r>
      <w:proofErr w:type="spellEnd"/>
      <w:r w:rsidRPr="005E4747">
        <w:rPr>
          <w:color w:val="222222"/>
          <w:shd w:val="clear" w:color="auto" w:fill="FFFFFF"/>
        </w:rPr>
        <w:t xml:space="preserve">, M., Suhendra, I., Kambara, R., &amp; </w:t>
      </w:r>
      <w:proofErr w:type="spellStart"/>
      <w:r w:rsidRPr="005E4747">
        <w:rPr>
          <w:color w:val="222222"/>
          <w:shd w:val="clear" w:color="auto" w:fill="FFFFFF"/>
        </w:rPr>
        <w:t>Worasutr</w:t>
      </w:r>
      <w:proofErr w:type="spellEnd"/>
      <w:r w:rsidRPr="005E4747">
        <w:rPr>
          <w:color w:val="222222"/>
          <w:shd w:val="clear" w:color="auto" w:fill="FFFFFF"/>
        </w:rPr>
        <w:t>, A. (2025). Monetary policy efficiency, institutional quality, and financial inclusion in developing countries. </w:t>
      </w:r>
      <w:r w:rsidRPr="005E4747">
        <w:rPr>
          <w:i/>
          <w:iCs/>
          <w:color w:val="222222"/>
          <w:shd w:val="clear" w:color="auto" w:fill="FFFFFF"/>
        </w:rPr>
        <w:t>Asian Economic and Financial Review</w:t>
      </w:r>
      <w:r w:rsidRPr="005E4747">
        <w:rPr>
          <w:color w:val="222222"/>
          <w:shd w:val="clear" w:color="auto" w:fill="FFFFFF"/>
        </w:rPr>
        <w:t>, </w:t>
      </w:r>
      <w:r w:rsidRPr="005E4747">
        <w:rPr>
          <w:i/>
          <w:iCs/>
          <w:color w:val="222222"/>
          <w:shd w:val="clear" w:color="auto" w:fill="FFFFFF"/>
        </w:rPr>
        <w:t>15</w:t>
      </w:r>
      <w:r w:rsidRPr="005E4747">
        <w:rPr>
          <w:color w:val="222222"/>
          <w:shd w:val="clear" w:color="auto" w:fill="FFFFFF"/>
        </w:rPr>
        <w:t>(4), 537.</w:t>
      </w:r>
    </w:p>
    <w:p w14:paraId="284786AB"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Anwar, C. J., Okot, N., </w:t>
      </w:r>
      <w:proofErr w:type="spellStart"/>
      <w:r w:rsidRPr="005E4747">
        <w:rPr>
          <w:color w:val="222222"/>
          <w:shd w:val="clear" w:color="auto" w:fill="FFFFFF"/>
        </w:rPr>
        <w:t>Suhendra</w:t>
      </w:r>
      <w:proofErr w:type="spellEnd"/>
      <w:r w:rsidRPr="005E4747">
        <w:rPr>
          <w:color w:val="222222"/>
          <w:shd w:val="clear" w:color="auto" w:fill="FFFFFF"/>
        </w:rPr>
        <w:t xml:space="preserve">, I., </w:t>
      </w:r>
      <w:proofErr w:type="spellStart"/>
      <w:r w:rsidRPr="005E4747">
        <w:rPr>
          <w:color w:val="222222"/>
          <w:shd w:val="clear" w:color="auto" w:fill="FFFFFF"/>
        </w:rPr>
        <w:t>Indriyani</w:t>
      </w:r>
      <w:proofErr w:type="spellEnd"/>
      <w:r w:rsidRPr="005E4747">
        <w:rPr>
          <w:color w:val="222222"/>
          <w:shd w:val="clear" w:color="auto" w:fill="FFFFFF"/>
        </w:rPr>
        <w:t>, D., &amp; Jie, F. (2024). Monetary policy, macroprudential policy, and bank risk-taking behaviour in the Indonesian banking industry. </w:t>
      </w:r>
      <w:r w:rsidRPr="005E4747">
        <w:rPr>
          <w:i/>
          <w:iCs/>
          <w:color w:val="222222"/>
          <w:shd w:val="clear" w:color="auto" w:fill="FFFFFF"/>
        </w:rPr>
        <w:t>Journal of Applied Economics</w:t>
      </w:r>
      <w:r w:rsidRPr="005E4747">
        <w:rPr>
          <w:color w:val="222222"/>
          <w:shd w:val="clear" w:color="auto" w:fill="FFFFFF"/>
        </w:rPr>
        <w:t>, </w:t>
      </w:r>
      <w:r w:rsidRPr="005E4747">
        <w:rPr>
          <w:i/>
          <w:iCs/>
          <w:color w:val="222222"/>
          <w:shd w:val="clear" w:color="auto" w:fill="FFFFFF"/>
        </w:rPr>
        <w:t>27</w:t>
      </w:r>
      <w:r w:rsidRPr="005E4747">
        <w:rPr>
          <w:color w:val="222222"/>
          <w:shd w:val="clear" w:color="auto" w:fill="FFFFFF"/>
        </w:rPr>
        <w:t>(1), 2295732.</w:t>
      </w:r>
    </w:p>
    <w:p w14:paraId="5B062111"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Anwar, C. J., Okot, N., </w:t>
      </w:r>
      <w:proofErr w:type="spellStart"/>
      <w:r w:rsidRPr="005E4747">
        <w:rPr>
          <w:color w:val="222222"/>
          <w:shd w:val="clear" w:color="auto" w:fill="FFFFFF"/>
        </w:rPr>
        <w:t>Suhendra</w:t>
      </w:r>
      <w:proofErr w:type="spellEnd"/>
      <w:r w:rsidRPr="005E4747">
        <w:rPr>
          <w:color w:val="222222"/>
          <w:shd w:val="clear" w:color="auto" w:fill="FFFFFF"/>
        </w:rPr>
        <w:t xml:space="preserve">, I., Yolanda, S., Ginanjar, R. A. F., &amp; </w:t>
      </w:r>
      <w:proofErr w:type="spellStart"/>
      <w:r w:rsidRPr="005E4747">
        <w:rPr>
          <w:color w:val="222222"/>
          <w:shd w:val="clear" w:color="auto" w:fill="FFFFFF"/>
        </w:rPr>
        <w:t>Sutjipto</w:t>
      </w:r>
      <w:proofErr w:type="spellEnd"/>
      <w:r w:rsidRPr="005E4747">
        <w:rPr>
          <w:color w:val="222222"/>
          <w:shd w:val="clear" w:color="auto" w:fill="FFFFFF"/>
        </w:rPr>
        <w:t xml:space="preserve">, H. (2022). Response of Exchange Rate to Monetary Policy Shocks: An Evidence </w:t>
      </w:r>
      <w:proofErr w:type="gramStart"/>
      <w:r w:rsidRPr="005E4747">
        <w:rPr>
          <w:color w:val="222222"/>
          <w:shd w:val="clear" w:color="auto" w:fill="FFFFFF"/>
        </w:rPr>
        <w:t>From</w:t>
      </w:r>
      <w:proofErr w:type="gramEnd"/>
      <w:r w:rsidRPr="005E4747">
        <w:rPr>
          <w:color w:val="222222"/>
          <w:shd w:val="clear" w:color="auto" w:fill="FFFFFF"/>
        </w:rPr>
        <w:t xml:space="preserve"> Indonesia. </w:t>
      </w:r>
      <w:r w:rsidRPr="005E4747">
        <w:rPr>
          <w:i/>
          <w:iCs/>
          <w:color w:val="222222"/>
          <w:shd w:val="clear" w:color="auto" w:fill="FFFFFF"/>
        </w:rPr>
        <w:t>International Journal of Economics and Finance Studies</w:t>
      </w:r>
      <w:r w:rsidRPr="005E4747">
        <w:rPr>
          <w:color w:val="222222"/>
          <w:shd w:val="clear" w:color="auto" w:fill="FFFFFF"/>
        </w:rPr>
        <w:t>, </w:t>
      </w:r>
      <w:r w:rsidRPr="005E4747">
        <w:rPr>
          <w:i/>
          <w:iCs/>
          <w:color w:val="222222"/>
          <w:shd w:val="clear" w:color="auto" w:fill="FFFFFF"/>
        </w:rPr>
        <w:t>14</w:t>
      </w:r>
      <w:r w:rsidRPr="005E4747">
        <w:rPr>
          <w:color w:val="222222"/>
          <w:shd w:val="clear" w:color="auto" w:fill="FFFFFF"/>
        </w:rPr>
        <w:t>(1), 443-446.</w:t>
      </w:r>
    </w:p>
    <w:p w14:paraId="152F65F1"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Anwar, C. J., </w:t>
      </w:r>
      <w:proofErr w:type="spellStart"/>
      <w:r w:rsidRPr="005E4747">
        <w:rPr>
          <w:color w:val="222222"/>
          <w:shd w:val="clear" w:color="auto" w:fill="FFFFFF"/>
        </w:rPr>
        <w:t>Suhendra</w:t>
      </w:r>
      <w:proofErr w:type="spellEnd"/>
      <w:r w:rsidRPr="005E4747">
        <w:rPr>
          <w:color w:val="222222"/>
          <w:shd w:val="clear" w:color="auto" w:fill="FFFFFF"/>
        </w:rPr>
        <w:t xml:space="preserve">, I., Ginanjar, R. A. F., </w:t>
      </w:r>
      <w:proofErr w:type="spellStart"/>
      <w:r w:rsidRPr="005E4747">
        <w:rPr>
          <w:color w:val="222222"/>
          <w:shd w:val="clear" w:color="auto" w:fill="FFFFFF"/>
        </w:rPr>
        <w:t>Purwanda</w:t>
      </w:r>
      <w:proofErr w:type="spellEnd"/>
      <w:r w:rsidRPr="005E4747">
        <w:rPr>
          <w:color w:val="222222"/>
          <w:shd w:val="clear" w:color="auto" w:fill="FFFFFF"/>
        </w:rPr>
        <w:t xml:space="preserve">, E., &amp; </w:t>
      </w:r>
      <w:proofErr w:type="spellStart"/>
      <w:r w:rsidRPr="005E4747">
        <w:rPr>
          <w:color w:val="222222"/>
          <w:shd w:val="clear" w:color="auto" w:fill="FFFFFF"/>
        </w:rPr>
        <w:t>Kholishoh</w:t>
      </w:r>
      <w:proofErr w:type="spellEnd"/>
      <w:r w:rsidRPr="005E4747">
        <w:rPr>
          <w:color w:val="222222"/>
          <w:shd w:val="clear" w:color="auto" w:fill="FFFFFF"/>
        </w:rPr>
        <w:t>, L. N. (2022). Monetary Policy Efficiency, Financial Market Development and Financial Stability in Developing Countries. </w:t>
      </w:r>
      <w:r w:rsidRPr="005E4747">
        <w:rPr>
          <w:i/>
          <w:iCs/>
          <w:color w:val="222222"/>
          <w:shd w:val="clear" w:color="auto" w:fill="FFFFFF"/>
        </w:rPr>
        <w:t>International Journal of Economics &amp; Management</w:t>
      </w:r>
      <w:r w:rsidRPr="005E4747">
        <w:rPr>
          <w:color w:val="222222"/>
          <w:shd w:val="clear" w:color="auto" w:fill="FFFFFF"/>
        </w:rPr>
        <w:t>, </w:t>
      </w:r>
      <w:r w:rsidRPr="005E4747">
        <w:rPr>
          <w:i/>
          <w:iCs/>
          <w:color w:val="222222"/>
          <w:shd w:val="clear" w:color="auto" w:fill="FFFFFF"/>
        </w:rPr>
        <w:t>16</w:t>
      </w:r>
      <w:r w:rsidRPr="005E4747">
        <w:rPr>
          <w:color w:val="222222"/>
          <w:shd w:val="clear" w:color="auto" w:fill="FFFFFF"/>
        </w:rPr>
        <w:t>(3).</w:t>
      </w:r>
    </w:p>
    <w:p w14:paraId="56667D15"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Basher, S., Mamun, A., Bal, H., Hoque, N., &amp; Uddin, M. (2023). Does capital flight tone down economic growth? Evidence from emerging Asia. </w:t>
      </w:r>
      <w:r w:rsidRPr="005E4747">
        <w:rPr>
          <w:i/>
          <w:iCs/>
          <w:color w:val="222222"/>
          <w:shd w:val="clear" w:color="auto" w:fill="FFFFFF"/>
        </w:rPr>
        <w:t>Journal of Financial Economic Policy</w:t>
      </w:r>
      <w:r w:rsidRPr="005E4747">
        <w:rPr>
          <w:color w:val="222222"/>
          <w:shd w:val="clear" w:color="auto" w:fill="FFFFFF"/>
        </w:rPr>
        <w:t>, </w:t>
      </w:r>
      <w:r w:rsidRPr="005E4747">
        <w:rPr>
          <w:i/>
          <w:iCs/>
          <w:color w:val="222222"/>
          <w:shd w:val="clear" w:color="auto" w:fill="FFFFFF"/>
        </w:rPr>
        <w:t>15</w:t>
      </w:r>
      <w:r w:rsidRPr="005E4747">
        <w:rPr>
          <w:color w:val="222222"/>
          <w:shd w:val="clear" w:color="auto" w:fill="FFFFFF"/>
        </w:rPr>
        <w:t>(4-5), 444-484.</w:t>
      </w:r>
    </w:p>
    <w:p w14:paraId="34D960C0"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Basher, S., Mamun, A., Bal, H., Hoque, N., &amp; Uddin, M. (2023). Does capital flight tone down economic growth? Evidence from emerging Asia. </w:t>
      </w:r>
      <w:r w:rsidRPr="005E4747">
        <w:rPr>
          <w:i/>
          <w:iCs/>
          <w:color w:val="222222"/>
          <w:shd w:val="clear" w:color="auto" w:fill="FFFFFF"/>
        </w:rPr>
        <w:t>Journal of Financial Economic Policy</w:t>
      </w:r>
      <w:r w:rsidRPr="005E4747">
        <w:rPr>
          <w:color w:val="222222"/>
          <w:shd w:val="clear" w:color="auto" w:fill="FFFFFF"/>
        </w:rPr>
        <w:t>, </w:t>
      </w:r>
      <w:r w:rsidRPr="005E4747">
        <w:rPr>
          <w:i/>
          <w:iCs/>
          <w:color w:val="222222"/>
          <w:shd w:val="clear" w:color="auto" w:fill="FFFFFF"/>
        </w:rPr>
        <w:t>15</w:t>
      </w:r>
      <w:r w:rsidRPr="005E4747">
        <w:rPr>
          <w:color w:val="222222"/>
          <w:shd w:val="clear" w:color="auto" w:fill="FFFFFF"/>
        </w:rPr>
        <w:t>(4-5), 444-484.</w:t>
      </w:r>
    </w:p>
    <w:p w14:paraId="12618297"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Bauer, M. D., Bernanke, B. S., &amp; Milstein, E. (2023). Risk appetite and the risk-taking channel of monetary policy. </w:t>
      </w:r>
      <w:r w:rsidRPr="005E4747">
        <w:rPr>
          <w:i/>
          <w:iCs/>
          <w:color w:val="222222"/>
          <w:shd w:val="clear" w:color="auto" w:fill="FFFFFF"/>
        </w:rPr>
        <w:t>Journal of Economic Perspectives</w:t>
      </w:r>
      <w:r w:rsidRPr="005E4747">
        <w:rPr>
          <w:color w:val="222222"/>
          <w:shd w:val="clear" w:color="auto" w:fill="FFFFFF"/>
        </w:rPr>
        <w:t>, </w:t>
      </w:r>
      <w:r w:rsidRPr="005E4747">
        <w:rPr>
          <w:i/>
          <w:iCs/>
          <w:color w:val="222222"/>
          <w:shd w:val="clear" w:color="auto" w:fill="FFFFFF"/>
        </w:rPr>
        <w:t>37</w:t>
      </w:r>
      <w:r w:rsidRPr="005E4747">
        <w:rPr>
          <w:color w:val="222222"/>
          <w:shd w:val="clear" w:color="auto" w:fill="FFFFFF"/>
        </w:rPr>
        <w:t>(1), 77-100.</w:t>
      </w:r>
    </w:p>
    <w:p w14:paraId="41DB905B"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Blay, K. A. (2024). From Portfolio Selection to Portfolio Choice: Remembering Harry Markowitz. </w:t>
      </w:r>
      <w:r w:rsidRPr="005E4747">
        <w:rPr>
          <w:i/>
          <w:iCs/>
          <w:color w:val="222222"/>
          <w:shd w:val="clear" w:color="auto" w:fill="FFFFFF"/>
        </w:rPr>
        <w:t>Journal of Portfolio Management</w:t>
      </w:r>
      <w:r w:rsidRPr="005E4747">
        <w:rPr>
          <w:color w:val="222222"/>
          <w:shd w:val="clear" w:color="auto" w:fill="FFFFFF"/>
        </w:rPr>
        <w:t>, </w:t>
      </w:r>
      <w:r w:rsidRPr="005E4747">
        <w:rPr>
          <w:i/>
          <w:iCs/>
          <w:color w:val="222222"/>
          <w:shd w:val="clear" w:color="auto" w:fill="FFFFFF"/>
        </w:rPr>
        <w:t>50</w:t>
      </w:r>
      <w:r w:rsidRPr="005E4747">
        <w:rPr>
          <w:color w:val="222222"/>
          <w:shd w:val="clear" w:color="auto" w:fill="FFFFFF"/>
        </w:rPr>
        <w:t>(8).</w:t>
      </w:r>
    </w:p>
    <w:p w14:paraId="1F3DC110"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Boutfssi</w:t>
      </w:r>
      <w:proofErr w:type="spellEnd"/>
      <w:r w:rsidRPr="005E4747">
        <w:rPr>
          <w:color w:val="222222"/>
          <w:shd w:val="clear" w:color="auto" w:fill="FFFFFF"/>
        </w:rPr>
        <w:t>, A., &amp; Quamar, T. (2026). Short-Run Monetary Policy Transmission, Credit Risk, and Bank Portfolio Adjustments: Evidence from the Non-Financial Corporate Sector in an Emerging Economy. </w:t>
      </w:r>
      <w:r w:rsidRPr="005E4747">
        <w:rPr>
          <w:i/>
          <w:iCs/>
          <w:color w:val="222222"/>
          <w:shd w:val="clear" w:color="auto" w:fill="FFFFFF"/>
        </w:rPr>
        <w:t>Journal of Risk and Financial Management</w:t>
      </w:r>
      <w:r w:rsidRPr="005E4747">
        <w:rPr>
          <w:color w:val="222222"/>
          <w:shd w:val="clear" w:color="auto" w:fill="FFFFFF"/>
        </w:rPr>
        <w:t>, </w:t>
      </w:r>
      <w:r w:rsidRPr="005E4747">
        <w:rPr>
          <w:i/>
          <w:iCs/>
          <w:color w:val="222222"/>
          <w:shd w:val="clear" w:color="auto" w:fill="FFFFFF"/>
        </w:rPr>
        <w:t>19</w:t>
      </w:r>
      <w:r w:rsidRPr="005E4747">
        <w:rPr>
          <w:color w:val="222222"/>
          <w:shd w:val="clear" w:color="auto" w:fill="FFFFFF"/>
        </w:rPr>
        <w:t>(3), 178.</w:t>
      </w:r>
    </w:p>
    <w:p w14:paraId="1F2439AA"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Boyce, J. K. (1992). The revolving door? External debt and capital flight: A Philippine case study. </w:t>
      </w:r>
      <w:r w:rsidRPr="005E4747">
        <w:rPr>
          <w:i/>
          <w:iCs/>
          <w:color w:val="222222"/>
          <w:shd w:val="clear" w:color="auto" w:fill="FFFFFF"/>
        </w:rPr>
        <w:t>World Development</w:t>
      </w:r>
      <w:r w:rsidRPr="005E4747">
        <w:rPr>
          <w:color w:val="222222"/>
          <w:shd w:val="clear" w:color="auto" w:fill="FFFFFF"/>
        </w:rPr>
        <w:t>, </w:t>
      </w:r>
      <w:r w:rsidRPr="005E4747">
        <w:rPr>
          <w:i/>
          <w:iCs/>
          <w:color w:val="222222"/>
          <w:shd w:val="clear" w:color="auto" w:fill="FFFFFF"/>
        </w:rPr>
        <w:t>20</w:t>
      </w:r>
      <w:r w:rsidRPr="005E4747">
        <w:rPr>
          <w:color w:val="222222"/>
          <w:shd w:val="clear" w:color="auto" w:fill="FFFFFF"/>
        </w:rPr>
        <w:t>(3), 335-349.</w:t>
      </w:r>
    </w:p>
    <w:p w14:paraId="4BC4E0BC"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Cecchetti, S. G., Flores‐Lagunes, A., &amp; Krause, S. (2006). Has monetary policy become more efficient? A cross‐country analysis. </w:t>
      </w:r>
      <w:r w:rsidRPr="005E4747">
        <w:rPr>
          <w:i/>
          <w:iCs/>
          <w:color w:val="222222"/>
          <w:shd w:val="clear" w:color="auto" w:fill="FFFFFF"/>
        </w:rPr>
        <w:t>The Economic Journal</w:t>
      </w:r>
      <w:r w:rsidRPr="005E4747">
        <w:rPr>
          <w:color w:val="222222"/>
          <w:shd w:val="clear" w:color="auto" w:fill="FFFFFF"/>
        </w:rPr>
        <w:t>, </w:t>
      </w:r>
      <w:r w:rsidRPr="005E4747">
        <w:rPr>
          <w:i/>
          <w:iCs/>
          <w:color w:val="222222"/>
          <w:shd w:val="clear" w:color="auto" w:fill="FFFFFF"/>
        </w:rPr>
        <w:t>116</w:t>
      </w:r>
      <w:r w:rsidRPr="005E4747">
        <w:rPr>
          <w:color w:val="222222"/>
          <w:shd w:val="clear" w:color="auto" w:fill="FFFFFF"/>
        </w:rPr>
        <w:t>(511), 408-433.</w:t>
      </w:r>
    </w:p>
    <w:p w14:paraId="5AEE6C0E"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Chaisse</w:t>
      </w:r>
      <w:proofErr w:type="spellEnd"/>
      <w:r w:rsidRPr="005E4747">
        <w:rPr>
          <w:color w:val="222222"/>
          <w:shd w:val="clear" w:color="auto" w:fill="FFFFFF"/>
        </w:rPr>
        <w:t>, J., &amp; Dimitropoulos, G. (2023). Domestic investment laws and international economic law in the liberal international order. </w:t>
      </w:r>
      <w:r w:rsidRPr="005E4747">
        <w:rPr>
          <w:i/>
          <w:iCs/>
          <w:color w:val="222222"/>
          <w:shd w:val="clear" w:color="auto" w:fill="FFFFFF"/>
        </w:rPr>
        <w:t>World Trade Review</w:t>
      </w:r>
      <w:r w:rsidRPr="005E4747">
        <w:rPr>
          <w:color w:val="222222"/>
          <w:shd w:val="clear" w:color="auto" w:fill="FFFFFF"/>
        </w:rPr>
        <w:t>, </w:t>
      </w:r>
      <w:r w:rsidRPr="005E4747">
        <w:rPr>
          <w:i/>
          <w:iCs/>
          <w:color w:val="222222"/>
          <w:shd w:val="clear" w:color="auto" w:fill="FFFFFF"/>
        </w:rPr>
        <w:t>22</w:t>
      </w:r>
      <w:r w:rsidRPr="005E4747">
        <w:rPr>
          <w:color w:val="222222"/>
          <w:shd w:val="clear" w:color="auto" w:fill="FFFFFF"/>
        </w:rPr>
        <w:t>(1), 1-17.</w:t>
      </w:r>
    </w:p>
    <w:p w14:paraId="07B4342C"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Chu, Y., &amp; Rathbun, N. S. (2025). Monetary Sovereignty and Central Bank Digital Currencies: Competing Models for Future Cross‐Border Payment Platforms. </w:t>
      </w:r>
      <w:r w:rsidRPr="005E4747">
        <w:rPr>
          <w:i/>
          <w:iCs/>
          <w:color w:val="222222"/>
          <w:shd w:val="clear" w:color="auto" w:fill="FFFFFF"/>
        </w:rPr>
        <w:t>Global Policy</w:t>
      </w:r>
      <w:r w:rsidRPr="005E4747">
        <w:rPr>
          <w:color w:val="222222"/>
          <w:shd w:val="clear" w:color="auto" w:fill="FFFFFF"/>
        </w:rPr>
        <w:t>, </w:t>
      </w:r>
      <w:r w:rsidRPr="005E4747">
        <w:rPr>
          <w:i/>
          <w:iCs/>
          <w:color w:val="222222"/>
          <w:shd w:val="clear" w:color="auto" w:fill="FFFFFF"/>
        </w:rPr>
        <w:t>16</w:t>
      </w:r>
      <w:r w:rsidRPr="005E4747">
        <w:rPr>
          <w:color w:val="222222"/>
          <w:shd w:val="clear" w:color="auto" w:fill="FFFFFF"/>
        </w:rPr>
        <w:t>(2), 329-340.</w:t>
      </w:r>
    </w:p>
    <w:p w14:paraId="274242B8"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Collier, P., Hoeffler, A., &amp; Pattillo, C. (2001). Flight capital as a portfolio choice. </w:t>
      </w:r>
      <w:r w:rsidRPr="005E4747">
        <w:rPr>
          <w:i/>
          <w:iCs/>
          <w:color w:val="222222"/>
          <w:shd w:val="clear" w:color="auto" w:fill="FFFFFF"/>
        </w:rPr>
        <w:t>the world bank economic review</w:t>
      </w:r>
      <w:r w:rsidRPr="005E4747">
        <w:rPr>
          <w:color w:val="222222"/>
          <w:shd w:val="clear" w:color="auto" w:fill="FFFFFF"/>
        </w:rPr>
        <w:t>, </w:t>
      </w:r>
      <w:r w:rsidRPr="005E4747">
        <w:rPr>
          <w:i/>
          <w:iCs/>
          <w:color w:val="222222"/>
          <w:shd w:val="clear" w:color="auto" w:fill="FFFFFF"/>
        </w:rPr>
        <w:t>15</w:t>
      </w:r>
      <w:r w:rsidRPr="005E4747">
        <w:rPr>
          <w:color w:val="222222"/>
          <w:shd w:val="clear" w:color="auto" w:fill="FFFFFF"/>
        </w:rPr>
        <w:t>(1), 55-80.</w:t>
      </w:r>
    </w:p>
    <w:p w14:paraId="3406524E"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Cuddington, J. T. (1986). Capital flight: Estimates, issues, and explanations (Vol. 58). </w:t>
      </w:r>
      <w:r w:rsidRPr="005E4747">
        <w:rPr>
          <w:i/>
          <w:iCs/>
          <w:color w:val="222222"/>
          <w:shd w:val="clear" w:color="auto" w:fill="FFFFFF"/>
        </w:rPr>
        <w:t>Princeton, NJ: International Finance Section, Department of Economics, Princeton University</w:t>
      </w:r>
      <w:r w:rsidRPr="005E4747">
        <w:rPr>
          <w:color w:val="222222"/>
          <w:shd w:val="clear" w:color="auto" w:fill="FFFFFF"/>
        </w:rPr>
        <w:t>.</w:t>
      </w:r>
    </w:p>
    <w:p w14:paraId="71903C6C"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Da Silva, V. R. (2024). The impact of central bank’s repo balance on monetary policy transmission-evidence from Brazil. </w:t>
      </w:r>
      <w:r w:rsidRPr="005E4747">
        <w:rPr>
          <w:i/>
          <w:iCs/>
          <w:color w:val="222222"/>
          <w:shd w:val="clear" w:color="auto" w:fill="FFFFFF"/>
        </w:rPr>
        <w:t>Macroeconomics and Finance in Emerging Market Economies</w:t>
      </w:r>
      <w:r w:rsidRPr="005E4747">
        <w:rPr>
          <w:color w:val="222222"/>
          <w:shd w:val="clear" w:color="auto" w:fill="FFFFFF"/>
        </w:rPr>
        <w:t>, </w:t>
      </w:r>
      <w:r w:rsidRPr="005E4747">
        <w:rPr>
          <w:i/>
          <w:iCs/>
          <w:color w:val="222222"/>
          <w:shd w:val="clear" w:color="auto" w:fill="FFFFFF"/>
        </w:rPr>
        <w:t>17</w:t>
      </w:r>
      <w:r w:rsidRPr="005E4747">
        <w:rPr>
          <w:color w:val="222222"/>
          <w:shd w:val="clear" w:color="auto" w:fill="FFFFFF"/>
        </w:rPr>
        <w:t>(3), 505-525.</w:t>
      </w:r>
    </w:p>
    <w:p w14:paraId="456ADD04"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Dreher, A., Lang, V., Rosendorff, B. P., &amp; Vreeland, J. R. (2022). Bilateral or multilateral? International financial flows and the dirty-work hypothesis. </w:t>
      </w:r>
      <w:r w:rsidRPr="005E4747">
        <w:rPr>
          <w:i/>
          <w:iCs/>
          <w:color w:val="222222"/>
          <w:shd w:val="clear" w:color="auto" w:fill="FFFFFF"/>
        </w:rPr>
        <w:t>The Journal of Politics</w:t>
      </w:r>
      <w:r w:rsidRPr="005E4747">
        <w:rPr>
          <w:color w:val="222222"/>
          <w:shd w:val="clear" w:color="auto" w:fill="FFFFFF"/>
        </w:rPr>
        <w:t>, </w:t>
      </w:r>
      <w:r w:rsidRPr="005E4747">
        <w:rPr>
          <w:i/>
          <w:iCs/>
          <w:color w:val="222222"/>
          <w:shd w:val="clear" w:color="auto" w:fill="FFFFFF"/>
        </w:rPr>
        <w:t>84</w:t>
      </w:r>
      <w:r w:rsidRPr="005E4747">
        <w:rPr>
          <w:color w:val="222222"/>
          <w:shd w:val="clear" w:color="auto" w:fill="FFFFFF"/>
        </w:rPr>
        <w:t>(4), 1932-1946.</w:t>
      </w:r>
    </w:p>
    <w:p w14:paraId="2FADBDF1"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Egbulonu, A. J., &amp; Bhattarai, K. (2020). Determinants of capital flight: new panel evidence from Sub-Saharan Africa (SSA). </w:t>
      </w:r>
      <w:r w:rsidRPr="005E4747">
        <w:rPr>
          <w:i/>
          <w:iCs/>
          <w:color w:val="222222"/>
          <w:shd w:val="clear" w:color="auto" w:fill="FFFFFF"/>
        </w:rPr>
        <w:t>Journal of Development Economics and Finance</w:t>
      </w:r>
      <w:r w:rsidRPr="005E4747">
        <w:rPr>
          <w:color w:val="222222"/>
          <w:shd w:val="clear" w:color="auto" w:fill="FFFFFF"/>
        </w:rPr>
        <w:t>, </w:t>
      </w:r>
      <w:r w:rsidRPr="005E4747">
        <w:rPr>
          <w:i/>
          <w:iCs/>
          <w:color w:val="222222"/>
          <w:shd w:val="clear" w:color="auto" w:fill="FFFFFF"/>
        </w:rPr>
        <w:t>1</w:t>
      </w:r>
      <w:r w:rsidRPr="005E4747">
        <w:rPr>
          <w:color w:val="222222"/>
          <w:shd w:val="clear" w:color="auto" w:fill="FFFFFF"/>
        </w:rPr>
        <w:t>(2), 255-287.</w:t>
      </w:r>
    </w:p>
    <w:p w14:paraId="375C9813"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Forson, R., Obeng, K. C., &amp; </w:t>
      </w:r>
      <w:proofErr w:type="spellStart"/>
      <w:r w:rsidRPr="005E4747">
        <w:rPr>
          <w:color w:val="222222"/>
          <w:shd w:val="clear" w:color="auto" w:fill="FFFFFF"/>
        </w:rPr>
        <w:t>Brafu-Insaidoo</w:t>
      </w:r>
      <w:proofErr w:type="spellEnd"/>
      <w:r w:rsidRPr="005E4747">
        <w:rPr>
          <w:color w:val="222222"/>
          <w:shd w:val="clear" w:color="auto" w:fill="FFFFFF"/>
        </w:rPr>
        <w:t>, W. (2017). Determinants of capital flight in Ghana. </w:t>
      </w:r>
      <w:r w:rsidRPr="005E4747">
        <w:rPr>
          <w:i/>
          <w:iCs/>
          <w:color w:val="222222"/>
          <w:shd w:val="clear" w:color="auto" w:fill="FFFFFF"/>
        </w:rPr>
        <w:t>Journal of Business and Enterprise Development</w:t>
      </w:r>
      <w:r w:rsidRPr="005E4747">
        <w:rPr>
          <w:color w:val="222222"/>
          <w:shd w:val="clear" w:color="auto" w:fill="FFFFFF"/>
        </w:rPr>
        <w:t>, </w:t>
      </w:r>
      <w:r w:rsidRPr="005E4747">
        <w:rPr>
          <w:i/>
          <w:iCs/>
          <w:color w:val="222222"/>
          <w:shd w:val="clear" w:color="auto" w:fill="FFFFFF"/>
        </w:rPr>
        <w:t>7</w:t>
      </w:r>
      <w:r w:rsidRPr="005E4747">
        <w:rPr>
          <w:color w:val="222222"/>
          <w:shd w:val="clear" w:color="auto" w:fill="FFFFFF"/>
        </w:rPr>
        <w:t>, 151-180.</w:t>
      </w:r>
    </w:p>
    <w:p w14:paraId="7642DC5A"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lastRenderedPageBreak/>
        <w:t>Green, W. N. (2023). Financial inclusion or subordination? The monetary politics of debt in Cambodia. </w:t>
      </w:r>
      <w:r w:rsidRPr="005E4747">
        <w:rPr>
          <w:i/>
          <w:iCs/>
          <w:color w:val="222222"/>
          <w:shd w:val="clear" w:color="auto" w:fill="FFFFFF"/>
        </w:rPr>
        <w:t>Antipode</w:t>
      </w:r>
      <w:r w:rsidRPr="005E4747">
        <w:rPr>
          <w:color w:val="222222"/>
          <w:shd w:val="clear" w:color="auto" w:fill="FFFFFF"/>
        </w:rPr>
        <w:t>, </w:t>
      </w:r>
      <w:r w:rsidRPr="005E4747">
        <w:rPr>
          <w:i/>
          <w:iCs/>
          <w:color w:val="222222"/>
          <w:shd w:val="clear" w:color="auto" w:fill="FFFFFF"/>
        </w:rPr>
        <w:t>55</w:t>
      </w:r>
      <w:r w:rsidRPr="005E4747">
        <w:rPr>
          <w:color w:val="222222"/>
          <w:shd w:val="clear" w:color="auto" w:fill="FFFFFF"/>
        </w:rPr>
        <w:t>(4), 1172-1192.</w:t>
      </w:r>
    </w:p>
    <w:p w14:paraId="7E0C6586" w14:textId="77777777" w:rsidR="005E4747" w:rsidRPr="005E4747" w:rsidRDefault="005E4747" w:rsidP="005E4747">
      <w:pPr>
        <w:adjustRightInd w:val="0"/>
        <w:snapToGrid w:val="0"/>
        <w:ind w:left="720" w:hanging="720"/>
        <w:jc w:val="both"/>
        <w:rPr>
          <w:b/>
          <w:bCs/>
          <w:color w:val="000000"/>
        </w:rPr>
      </w:pPr>
      <w:r w:rsidRPr="005E4747">
        <w:rPr>
          <w:color w:val="222222"/>
          <w:shd w:val="clear" w:color="auto" w:fill="FFFFFF"/>
        </w:rPr>
        <w:t>Haddad, S. (2023). Global financial market integration: a literature survey. </w:t>
      </w:r>
      <w:r w:rsidRPr="005E4747">
        <w:rPr>
          <w:i/>
          <w:iCs/>
          <w:color w:val="222222"/>
          <w:shd w:val="clear" w:color="auto" w:fill="FFFFFF"/>
        </w:rPr>
        <w:t>Journal of Risk and Financial Management</w:t>
      </w:r>
      <w:r w:rsidRPr="005E4747">
        <w:rPr>
          <w:color w:val="222222"/>
          <w:shd w:val="clear" w:color="auto" w:fill="FFFFFF"/>
        </w:rPr>
        <w:t>, </w:t>
      </w:r>
      <w:r w:rsidRPr="005E4747">
        <w:rPr>
          <w:i/>
          <w:iCs/>
          <w:color w:val="222222"/>
          <w:shd w:val="clear" w:color="auto" w:fill="FFFFFF"/>
        </w:rPr>
        <w:t>16</w:t>
      </w:r>
      <w:r w:rsidRPr="005E4747">
        <w:rPr>
          <w:color w:val="222222"/>
          <w:shd w:val="clear" w:color="auto" w:fill="FFFFFF"/>
        </w:rPr>
        <w:t>(12), 495.</w:t>
      </w:r>
    </w:p>
    <w:p w14:paraId="3C9FB70C"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Hamdaoui, M., </w:t>
      </w:r>
      <w:proofErr w:type="spellStart"/>
      <w:r w:rsidRPr="005E4747">
        <w:rPr>
          <w:color w:val="222222"/>
          <w:shd w:val="clear" w:color="auto" w:fill="FFFFFF"/>
        </w:rPr>
        <w:t>Ayouni</w:t>
      </w:r>
      <w:proofErr w:type="spellEnd"/>
      <w:r w:rsidRPr="005E4747">
        <w:rPr>
          <w:color w:val="222222"/>
          <w:shd w:val="clear" w:color="auto" w:fill="FFFFFF"/>
        </w:rPr>
        <w:t xml:space="preserve">, S. E., &amp; </w:t>
      </w:r>
      <w:proofErr w:type="spellStart"/>
      <w:r w:rsidRPr="005E4747">
        <w:rPr>
          <w:color w:val="222222"/>
          <w:shd w:val="clear" w:color="auto" w:fill="FFFFFF"/>
        </w:rPr>
        <w:t>Maktouf</w:t>
      </w:r>
      <w:proofErr w:type="spellEnd"/>
      <w:r w:rsidRPr="005E4747">
        <w:rPr>
          <w:color w:val="222222"/>
          <w:shd w:val="clear" w:color="auto" w:fill="FFFFFF"/>
        </w:rPr>
        <w:t>, S. (2022). Capital account liberalization, political stability, and economic growth. </w:t>
      </w:r>
      <w:r w:rsidRPr="005E4747">
        <w:rPr>
          <w:i/>
          <w:iCs/>
          <w:color w:val="222222"/>
          <w:shd w:val="clear" w:color="auto" w:fill="FFFFFF"/>
        </w:rPr>
        <w:t>Journal of the Knowledge Economy</w:t>
      </w:r>
      <w:r w:rsidRPr="005E4747">
        <w:rPr>
          <w:color w:val="222222"/>
          <w:shd w:val="clear" w:color="auto" w:fill="FFFFFF"/>
        </w:rPr>
        <w:t>, </w:t>
      </w:r>
      <w:r w:rsidRPr="005E4747">
        <w:rPr>
          <w:i/>
          <w:iCs/>
          <w:color w:val="222222"/>
          <w:shd w:val="clear" w:color="auto" w:fill="FFFFFF"/>
        </w:rPr>
        <w:t>13</w:t>
      </w:r>
      <w:r w:rsidRPr="005E4747">
        <w:rPr>
          <w:color w:val="222222"/>
          <w:shd w:val="clear" w:color="auto" w:fill="FFFFFF"/>
        </w:rPr>
        <w:t>(1), 723-772.</w:t>
      </w:r>
    </w:p>
    <w:p w14:paraId="563E1A74"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Hanlon, M., Yeung, K., &amp; Zuo, L. (2022). </w:t>
      </w:r>
      <w:proofErr w:type="spellStart"/>
      <w:r w:rsidRPr="005E4747">
        <w:rPr>
          <w:color w:val="222222"/>
          <w:shd w:val="clear" w:color="auto" w:fill="FFFFFF"/>
        </w:rPr>
        <w:t>Behavioral</w:t>
      </w:r>
      <w:proofErr w:type="spellEnd"/>
      <w:r w:rsidRPr="005E4747">
        <w:rPr>
          <w:color w:val="222222"/>
          <w:shd w:val="clear" w:color="auto" w:fill="FFFFFF"/>
        </w:rPr>
        <w:t xml:space="preserve"> economics of accounting: A review of archival research on individual decision makers. </w:t>
      </w:r>
      <w:r w:rsidRPr="005E4747">
        <w:rPr>
          <w:i/>
          <w:iCs/>
          <w:color w:val="222222"/>
          <w:shd w:val="clear" w:color="auto" w:fill="FFFFFF"/>
        </w:rPr>
        <w:t>Contemporary Accounting Research</w:t>
      </w:r>
      <w:r w:rsidRPr="005E4747">
        <w:rPr>
          <w:color w:val="222222"/>
          <w:shd w:val="clear" w:color="auto" w:fill="FFFFFF"/>
        </w:rPr>
        <w:t>, </w:t>
      </w:r>
      <w:r w:rsidRPr="005E4747">
        <w:rPr>
          <w:i/>
          <w:iCs/>
          <w:color w:val="222222"/>
          <w:shd w:val="clear" w:color="auto" w:fill="FFFFFF"/>
        </w:rPr>
        <w:t>39</w:t>
      </w:r>
      <w:r w:rsidRPr="005E4747">
        <w:rPr>
          <w:color w:val="222222"/>
          <w:shd w:val="clear" w:color="auto" w:fill="FFFFFF"/>
        </w:rPr>
        <w:t>(2), 1150-1214.</w:t>
      </w:r>
    </w:p>
    <w:p w14:paraId="2789BED7"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Joebges</w:t>
      </w:r>
      <w:proofErr w:type="spellEnd"/>
      <w:r w:rsidRPr="005E4747">
        <w:rPr>
          <w:color w:val="222222"/>
          <w:shd w:val="clear" w:color="auto" w:fill="FFFFFF"/>
        </w:rPr>
        <w:t>, H., Herr, H., &amp; Kellermann, C. (2025). Crypto assets as a threat to financial market stability. </w:t>
      </w:r>
      <w:r w:rsidRPr="005E4747">
        <w:rPr>
          <w:i/>
          <w:iCs/>
          <w:color w:val="222222"/>
          <w:shd w:val="clear" w:color="auto" w:fill="FFFFFF"/>
        </w:rPr>
        <w:t>Eurasian Economic Review</w:t>
      </w:r>
      <w:r w:rsidRPr="005E4747">
        <w:rPr>
          <w:color w:val="222222"/>
          <w:shd w:val="clear" w:color="auto" w:fill="FFFFFF"/>
        </w:rPr>
        <w:t>, </w:t>
      </w:r>
      <w:r w:rsidRPr="005E4747">
        <w:rPr>
          <w:i/>
          <w:iCs/>
          <w:color w:val="222222"/>
          <w:shd w:val="clear" w:color="auto" w:fill="FFFFFF"/>
        </w:rPr>
        <w:t>15</w:t>
      </w:r>
      <w:r w:rsidRPr="005E4747">
        <w:rPr>
          <w:color w:val="222222"/>
          <w:shd w:val="clear" w:color="auto" w:fill="FFFFFF"/>
        </w:rPr>
        <w:t>(2), 473-502.</w:t>
      </w:r>
    </w:p>
    <w:p w14:paraId="6A6B0AC1"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Johnston, A. L., &amp; Johnson, J. (2025). Bent into submission? Domestic investors and populist governments. </w:t>
      </w:r>
      <w:r w:rsidRPr="005E4747">
        <w:rPr>
          <w:i/>
          <w:iCs/>
          <w:color w:val="222222"/>
          <w:shd w:val="clear" w:color="auto" w:fill="FFFFFF"/>
        </w:rPr>
        <w:t>Perspectives on Politics</w:t>
      </w:r>
      <w:r w:rsidRPr="005E4747">
        <w:rPr>
          <w:color w:val="222222"/>
          <w:shd w:val="clear" w:color="auto" w:fill="FFFFFF"/>
        </w:rPr>
        <w:t>, 1-22.</w:t>
      </w:r>
    </w:p>
    <w:p w14:paraId="27888759" w14:textId="77777777" w:rsidR="005E4747" w:rsidRPr="005E4747" w:rsidRDefault="005E4747" w:rsidP="005E4747">
      <w:pPr>
        <w:adjustRightInd w:val="0"/>
        <w:snapToGrid w:val="0"/>
        <w:ind w:left="720" w:hanging="720"/>
        <w:jc w:val="both"/>
        <w:rPr>
          <w:b/>
          <w:bCs/>
          <w:color w:val="000000"/>
        </w:rPr>
      </w:pPr>
      <w:r w:rsidRPr="005E4747">
        <w:rPr>
          <w:color w:val="222222"/>
          <w:shd w:val="clear" w:color="auto" w:fill="FFFFFF"/>
        </w:rPr>
        <w:t>Kashyap, A. K., &amp; Stein, J. C. (2023). Monetary policy when the central bank shapes financial-market sentiment. </w:t>
      </w:r>
      <w:r w:rsidRPr="005E4747">
        <w:rPr>
          <w:i/>
          <w:iCs/>
          <w:color w:val="222222"/>
          <w:shd w:val="clear" w:color="auto" w:fill="FFFFFF"/>
        </w:rPr>
        <w:t>Journal of Economic Perspectives</w:t>
      </w:r>
      <w:r w:rsidRPr="005E4747">
        <w:rPr>
          <w:color w:val="222222"/>
          <w:shd w:val="clear" w:color="auto" w:fill="FFFFFF"/>
        </w:rPr>
        <w:t>, </w:t>
      </w:r>
      <w:r w:rsidRPr="005E4747">
        <w:rPr>
          <w:i/>
          <w:iCs/>
          <w:color w:val="222222"/>
          <w:shd w:val="clear" w:color="auto" w:fill="FFFFFF"/>
        </w:rPr>
        <w:t>37</w:t>
      </w:r>
      <w:r w:rsidRPr="005E4747">
        <w:rPr>
          <w:color w:val="222222"/>
          <w:shd w:val="clear" w:color="auto" w:fill="FFFFFF"/>
        </w:rPr>
        <w:t>(1), 53-75.</w:t>
      </w:r>
    </w:p>
    <w:p w14:paraId="3BBD3720"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Kaya, A. I., Erden, L., &amp; Ozkan, I. (2022). Detecting capital flow surges in developing countries. </w:t>
      </w:r>
      <w:r w:rsidRPr="005E4747">
        <w:rPr>
          <w:i/>
          <w:iCs/>
          <w:color w:val="222222"/>
          <w:shd w:val="clear" w:color="auto" w:fill="FFFFFF"/>
        </w:rPr>
        <w:t>International Journal of Finance &amp; Economics</w:t>
      </w:r>
      <w:r w:rsidRPr="005E4747">
        <w:rPr>
          <w:color w:val="222222"/>
          <w:shd w:val="clear" w:color="auto" w:fill="FFFFFF"/>
        </w:rPr>
        <w:t>, </w:t>
      </w:r>
      <w:r w:rsidRPr="005E4747">
        <w:rPr>
          <w:i/>
          <w:iCs/>
          <w:color w:val="222222"/>
          <w:shd w:val="clear" w:color="auto" w:fill="FFFFFF"/>
        </w:rPr>
        <w:t>27</w:t>
      </w:r>
      <w:r w:rsidRPr="005E4747">
        <w:rPr>
          <w:color w:val="222222"/>
          <w:shd w:val="clear" w:color="auto" w:fill="FFFFFF"/>
        </w:rPr>
        <w:t>(3), 3510-3530.</w:t>
      </w:r>
    </w:p>
    <w:p w14:paraId="64F89FA3"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Manasseh, C. O., Abada, F. C., </w:t>
      </w:r>
      <w:proofErr w:type="spellStart"/>
      <w:r w:rsidRPr="005E4747">
        <w:rPr>
          <w:color w:val="222222"/>
          <w:shd w:val="clear" w:color="auto" w:fill="FFFFFF"/>
        </w:rPr>
        <w:t>Okiche</w:t>
      </w:r>
      <w:proofErr w:type="spellEnd"/>
      <w:r w:rsidRPr="005E4747">
        <w:rPr>
          <w:color w:val="222222"/>
          <w:shd w:val="clear" w:color="auto" w:fill="FFFFFF"/>
        </w:rPr>
        <w:t xml:space="preserve">, E. L., </w:t>
      </w:r>
      <w:proofErr w:type="spellStart"/>
      <w:r w:rsidRPr="005E4747">
        <w:rPr>
          <w:color w:val="222222"/>
          <w:shd w:val="clear" w:color="auto" w:fill="FFFFFF"/>
        </w:rPr>
        <w:t>Okanya</w:t>
      </w:r>
      <w:proofErr w:type="spellEnd"/>
      <w:r w:rsidRPr="005E4747">
        <w:rPr>
          <w:color w:val="222222"/>
          <w:shd w:val="clear" w:color="auto" w:fill="FFFFFF"/>
        </w:rPr>
        <w:t xml:space="preserve">, O., Nwakoby, I. C., </w:t>
      </w:r>
      <w:proofErr w:type="spellStart"/>
      <w:r w:rsidRPr="005E4747">
        <w:rPr>
          <w:color w:val="222222"/>
          <w:shd w:val="clear" w:color="auto" w:fill="FFFFFF"/>
        </w:rPr>
        <w:t>Offu</w:t>
      </w:r>
      <w:proofErr w:type="spellEnd"/>
      <w:r w:rsidRPr="005E4747">
        <w:rPr>
          <w:color w:val="222222"/>
          <w:shd w:val="clear" w:color="auto" w:fill="FFFFFF"/>
        </w:rPr>
        <w:t xml:space="preserve">, P., ... &amp; </w:t>
      </w:r>
      <w:proofErr w:type="spellStart"/>
      <w:r w:rsidRPr="005E4747">
        <w:rPr>
          <w:color w:val="222222"/>
          <w:shd w:val="clear" w:color="auto" w:fill="FFFFFF"/>
        </w:rPr>
        <w:t>Nwonye</w:t>
      </w:r>
      <w:proofErr w:type="spellEnd"/>
      <w:r w:rsidRPr="005E4747">
        <w:rPr>
          <w:color w:val="222222"/>
          <w:shd w:val="clear" w:color="auto" w:fill="FFFFFF"/>
        </w:rPr>
        <w:t xml:space="preserve">, N. G. (2022). External debt and economic growth in Sub-Saharan Africa: Does governance </w:t>
      </w:r>
      <w:proofErr w:type="gramStart"/>
      <w:r w:rsidRPr="005E4747">
        <w:rPr>
          <w:color w:val="222222"/>
          <w:shd w:val="clear" w:color="auto" w:fill="FFFFFF"/>
        </w:rPr>
        <w:t>matter?.</w:t>
      </w:r>
      <w:proofErr w:type="gramEnd"/>
      <w:r w:rsidRPr="005E4747">
        <w:rPr>
          <w:color w:val="222222"/>
          <w:shd w:val="clear" w:color="auto" w:fill="FFFFFF"/>
        </w:rPr>
        <w:t> </w:t>
      </w:r>
      <w:proofErr w:type="spellStart"/>
      <w:r w:rsidRPr="005E4747">
        <w:rPr>
          <w:i/>
          <w:iCs/>
          <w:color w:val="222222"/>
          <w:shd w:val="clear" w:color="auto" w:fill="FFFFFF"/>
        </w:rPr>
        <w:t>Plos</w:t>
      </w:r>
      <w:proofErr w:type="spellEnd"/>
      <w:r w:rsidRPr="005E4747">
        <w:rPr>
          <w:i/>
          <w:iCs/>
          <w:color w:val="222222"/>
          <w:shd w:val="clear" w:color="auto" w:fill="FFFFFF"/>
        </w:rPr>
        <w:t xml:space="preserve"> one</w:t>
      </w:r>
      <w:r w:rsidRPr="005E4747">
        <w:rPr>
          <w:color w:val="222222"/>
          <w:shd w:val="clear" w:color="auto" w:fill="FFFFFF"/>
        </w:rPr>
        <w:t>, </w:t>
      </w:r>
      <w:r w:rsidRPr="005E4747">
        <w:rPr>
          <w:i/>
          <w:iCs/>
          <w:color w:val="222222"/>
          <w:shd w:val="clear" w:color="auto" w:fill="FFFFFF"/>
        </w:rPr>
        <w:t>17</w:t>
      </w:r>
      <w:r w:rsidRPr="005E4747">
        <w:rPr>
          <w:color w:val="222222"/>
          <w:shd w:val="clear" w:color="auto" w:fill="FFFFFF"/>
        </w:rPr>
        <w:t>(3), e0264082.</w:t>
      </w:r>
    </w:p>
    <w:p w14:paraId="31112853"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Markowitz, H. (1952). Modern portfolio theory. </w:t>
      </w:r>
      <w:r w:rsidRPr="005E4747">
        <w:rPr>
          <w:i/>
          <w:iCs/>
          <w:color w:val="222222"/>
          <w:shd w:val="clear" w:color="auto" w:fill="FFFFFF"/>
        </w:rPr>
        <w:t>Journal of Finance</w:t>
      </w:r>
      <w:r w:rsidRPr="005E4747">
        <w:rPr>
          <w:color w:val="222222"/>
          <w:shd w:val="clear" w:color="auto" w:fill="FFFFFF"/>
        </w:rPr>
        <w:t>, </w:t>
      </w:r>
      <w:r w:rsidRPr="005E4747">
        <w:rPr>
          <w:i/>
          <w:iCs/>
          <w:color w:val="222222"/>
          <w:shd w:val="clear" w:color="auto" w:fill="FFFFFF"/>
        </w:rPr>
        <w:t>7</w:t>
      </w:r>
      <w:r w:rsidRPr="005E4747">
        <w:rPr>
          <w:color w:val="222222"/>
          <w:shd w:val="clear" w:color="auto" w:fill="FFFFFF"/>
        </w:rPr>
        <w:t>(11), 77-91.</w:t>
      </w:r>
    </w:p>
    <w:p w14:paraId="7A44D882"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Mawutor</w:t>
      </w:r>
      <w:proofErr w:type="spellEnd"/>
      <w:r w:rsidRPr="005E4747">
        <w:rPr>
          <w:color w:val="222222"/>
          <w:shd w:val="clear" w:color="auto" w:fill="FFFFFF"/>
        </w:rPr>
        <w:t xml:space="preserve">, J. K. M., </w:t>
      </w:r>
      <w:proofErr w:type="spellStart"/>
      <w:r w:rsidRPr="005E4747">
        <w:rPr>
          <w:color w:val="222222"/>
          <w:shd w:val="clear" w:color="auto" w:fill="FFFFFF"/>
        </w:rPr>
        <w:t>Gborse</w:t>
      </w:r>
      <w:proofErr w:type="spellEnd"/>
      <w:r w:rsidRPr="005E4747">
        <w:rPr>
          <w:color w:val="222222"/>
          <w:shd w:val="clear" w:color="auto" w:fill="FFFFFF"/>
        </w:rPr>
        <w:t xml:space="preserve">, F. C., </w:t>
      </w:r>
      <w:proofErr w:type="spellStart"/>
      <w:r w:rsidRPr="005E4747">
        <w:rPr>
          <w:color w:val="222222"/>
          <w:shd w:val="clear" w:color="auto" w:fill="FFFFFF"/>
        </w:rPr>
        <w:t>Sogah</w:t>
      </w:r>
      <w:proofErr w:type="spellEnd"/>
      <w:r w:rsidRPr="005E4747">
        <w:rPr>
          <w:color w:val="222222"/>
          <w:shd w:val="clear" w:color="auto" w:fill="FFFFFF"/>
        </w:rPr>
        <w:t>, E., &amp; Mensah, B. D. (2022). Doing Business and capital flight: role of financial development. </w:t>
      </w:r>
      <w:r w:rsidRPr="005E4747">
        <w:rPr>
          <w:i/>
          <w:iCs/>
          <w:color w:val="222222"/>
          <w:shd w:val="clear" w:color="auto" w:fill="FFFFFF"/>
        </w:rPr>
        <w:t>Journal of Financial Economic Policy</w:t>
      </w:r>
      <w:r w:rsidRPr="005E4747">
        <w:rPr>
          <w:color w:val="222222"/>
          <w:shd w:val="clear" w:color="auto" w:fill="FFFFFF"/>
        </w:rPr>
        <w:t>, </w:t>
      </w:r>
      <w:r w:rsidRPr="005E4747">
        <w:rPr>
          <w:i/>
          <w:iCs/>
          <w:color w:val="222222"/>
          <w:shd w:val="clear" w:color="auto" w:fill="FFFFFF"/>
        </w:rPr>
        <w:t>14</w:t>
      </w:r>
      <w:r w:rsidRPr="005E4747">
        <w:rPr>
          <w:color w:val="222222"/>
          <w:shd w:val="clear" w:color="auto" w:fill="FFFFFF"/>
        </w:rPr>
        <w:t>(4), 515-532.</w:t>
      </w:r>
    </w:p>
    <w:p w14:paraId="3E32E3B2"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Mohamed Sghaier, I. (2023). Trade openness, financial development and economic growth in North African countries. </w:t>
      </w:r>
      <w:r w:rsidRPr="005E4747">
        <w:rPr>
          <w:i/>
          <w:iCs/>
          <w:color w:val="222222"/>
          <w:shd w:val="clear" w:color="auto" w:fill="FFFFFF"/>
        </w:rPr>
        <w:t>International Journal of Finance &amp; Economics</w:t>
      </w:r>
      <w:r w:rsidRPr="005E4747">
        <w:rPr>
          <w:color w:val="222222"/>
          <w:shd w:val="clear" w:color="auto" w:fill="FFFFFF"/>
        </w:rPr>
        <w:t>, </w:t>
      </w:r>
      <w:r w:rsidRPr="005E4747">
        <w:rPr>
          <w:i/>
          <w:iCs/>
          <w:color w:val="222222"/>
          <w:shd w:val="clear" w:color="auto" w:fill="FFFFFF"/>
        </w:rPr>
        <w:t>28</w:t>
      </w:r>
      <w:r w:rsidRPr="005E4747">
        <w:rPr>
          <w:color w:val="222222"/>
          <w:shd w:val="clear" w:color="auto" w:fill="FFFFFF"/>
        </w:rPr>
        <w:t>(2), 1729-1740.</w:t>
      </w:r>
    </w:p>
    <w:p w14:paraId="4155EFDE"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Nazir, A., &amp; Mir, S. A. (2025). Effects of Inflation on Household Consumption Expenditure: An Empirical Insights </w:t>
      </w:r>
      <w:proofErr w:type="gramStart"/>
      <w:r w:rsidRPr="005E4747">
        <w:rPr>
          <w:color w:val="222222"/>
          <w:shd w:val="clear" w:color="auto" w:fill="FFFFFF"/>
        </w:rPr>
        <w:t>From</w:t>
      </w:r>
      <w:proofErr w:type="gramEnd"/>
      <w:r w:rsidRPr="005E4747">
        <w:rPr>
          <w:color w:val="222222"/>
          <w:shd w:val="clear" w:color="auto" w:fill="FFFFFF"/>
        </w:rPr>
        <w:t xml:space="preserve"> The Indian Economy. </w:t>
      </w:r>
      <w:r w:rsidRPr="005E4747">
        <w:rPr>
          <w:i/>
          <w:iCs/>
          <w:color w:val="222222"/>
          <w:shd w:val="clear" w:color="auto" w:fill="FFFFFF"/>
        </w:rPr>
        <w:t>Indian Journal of Human Development</w:t>
      </w:r>
      <w:r w:rsidRPr="005E4747">
        <w:rPr>
          <w:color w:val="222222"/>
          <w:shd w:val="clear" w:color="auto" w:fill="FFFFFF"/>
        </w:rPr>
        <w:t>, </w:t>
      </w:r>
      <w:r w:rsidRPr="005E4747">
        <w:rPr>
          <w:i/>
          <w:iCs/>
          <w:color w:val="222222"/>
          <w:shd w:val="clear" w:color="auto" w:fill="FFFFFF"/>
        </w:rPr>
        <w:t>19</w:t>
      </w:r>
      <w:r w:rsidRPr="005E4747">
        <w:rPr>
          <w:color w:val="222222"/>
          <w:shd w:val="clear" w:color="auto" w:fill="FFFFFF"/>
        </w:rPr>
        <w:t>(1), 118-134.</w:t>
      </w:r>
    </w:p>
    <w:p w14:paraId="18DFE713"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Ndikumana, L., &amp; Boyce, J. K. (2011). Capital flight from sub‐Saharan Africa: linkages with external borrowing and policy options. </w:t>
      </w:r>
      <w:r w:rsidRPr="005E4747">
        <w:rPr>
          <w:i/>
          <w:iCs/>
          <w:color w:val="222222"/>
          <w:shd w:val="clear" w:color="auto" w:fill="FFFFFF"/>
        </w:rPr>
        <w:t>International Review of Applied Economics</w:t>
      </w:r>
      <w:r w:rsidRPr="005E4747">
        <w:rPr>
          <w:color w:val="222222"/>
          <w:shd w:val="clear" w:color="auto" w:fill="FFFFFF"/>
        </w:rPr>
        <w:t>, </w:t>
      </w:r>
      <w:r w:rsidRPr="005E4747">
        <w:rPr>
          <w:i/>
          <w:iCs/>
          <w:color w:val="222222"/>
          <w:shd w:val="clear" w:color="auto" w:fill="FFFFFF"/>
        </w:rPr>
        <w:t>25</w:t>
      </w:r>
      <w:r w:rsidRPr="005E4747">
        <w:rPr>
          <w:color w:val="222222"/>
          <w:shd w:val="clear" w:color="auto" w:fill="FFFFFF"/>
        </w:rPr>
        <w:t>(2), 149-170.</w:t>
      </w:r>
    </w:p>
    <w:p w14:paraId="60B08C0E"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Ndikumana, L., &amp; Sarr, M. (2019). Capital flight, foreign direct investment and natural resources in Africa. </w:t>
      </w:r>
      <w:r w:rsidRPr="005E4747">
        <w:rPr>
          <w:i/>
          <w:iCs/>
          <w:color w:val="222222"/>
          <w:shd w:val="clear" w:color="auto" w:fill="FFFFFF"/>
        </w:rPr>
        <w:t>Resources Policy</w:t>
      </w:r>
      <w:r w:rsidRPr="005E4747">
        <w:rPr>
          <w:color w:val="222222"/>
          <w:shd w:val="clear" w:color="auto" w:fill="FFFFFF"/>
        </w:rPr>
        <w:t>, </w:t>
      </w:r>
      <w:r w:rsidRPr="005E4747">
        <w:rPr>
          <w:i/>
          <w:iCs/>
          <w:color w:val="222222"/>
          <w:shd w:val="clear" w:color="auto" w:fill="FFFFFF"/>
        </w:rPr>
        <w:t>63</w:t>
      </w:r>
      <w:r w:rsidRPr="005E4747">
        <w:rPr>
          <w:color w:val="222222"/>
          <w:shd w:val="clear" w:color="auto" w:fill="FFFFFF"/>
        </w:rPr>
        <w:t>, 101427.</w:t>
      </w:r>
    </w:p>
    <w:p w14:paraId="6FF9F237"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Otieno, S., Mose, N., &amp; </w:t>
      </w:r>
      <w:proofErr w:type="spellStart"/>
      <w:r w:rsidRPr="005E4747">
        <w:rPr>
          <w:color w:val="222222"/>
          <w:shd w:val="clear" w:color="auto" w:fill="FFFFFF"/>
        </w:rPr>
        <w:t>Matundura</w:t>
      </w:r>
      <w:proofErr w:type="spellEnd"/>
      <w:r w:rsidRPr="005E4747">
        <w:rPr>
          <w:color w:val="222222"/>
          <w:shd w:val="clear" w:color="auto" w:fill="FFFFFF"/>
        </w:rPr>
        <w:t>, E. (2022). External debt and capital flight in East Africa. </w:t>
      </w:r>
      <w:r w:rsidRPr="005E4747">
        <w:rPr>
          <w:i/>
          <w:iCs/>
          <w:color w:val="222222"/>
          <w:shd w:val="clear" w:color="auto" w:fill="FFFFFF"/>
        </w:rPr>
        <w:t>Journal of Economics and Sustainable Development</w:t>
      </w:r>
      <w:r w:rsidRPr="005E4747">
        <w:rPr>
          <w:color w:val="222222"/>
          <w:shd w:val="clear" w:color="auto" w:fill="FFFFFF"/>
        </w:rPr>
        <w:t>, </w:t>
      </w:r>
      <w:r w:rsidRPr="005E4747">
        <w:rPr>
          <w:i/>
          <w:iCs/>
          <w:color w:val="222222"/>
          <w:shd w:val="clear" w:color="auto" w:fill="FFFFFF"/>
        </w:rPr>
        <w:t>13</w:t>
      </w:r>
      <w:r w:rsidRPr="005E4747">
        <w:rPr>
          <w:color w:val="222222"/>
          <w:shd w:val="clear" w:color="auto" w:fill="FFFFFF"/>
        </w:rPr>
        <w:t>(6), 23-</w:t>
      </w:r>
      <w:proofErr w:type="gramStart"/>
      <w:r w:rsidRPr="005E4747">
        <w:rPr>
          <w:color w:val="222222"/>
          <w:shd w:val="clear" w:color="auto" w:fill="FFFFFF"/>
        </w:rPr>
        <w:t>29.Ampah</w:t>
      </w:r>
      <w:proofErr w:type="gramEnd"/>
      <w:r w:rsidRPr="005E4747">
        <w:rPr>
          <w:color w:val="222222"/>
          <w:shd w:val="clear" w:color="auto" w:fill="FFFFFF"/>
        </w:rPr>
        <w:t>, I. K., &amp; Kiss, G. D. (2019). Economic policy implications of external debt and capital flight in sub-Saharan Africa's heavily indebted poor countries. </w:t>
      </w:r>
      <w:r w:rsidRPr="005E4747">
        <w:rPr>
          <w:i/>
          <w:iCs/>
          <w:color w:val="222222"/>
          <w:shd w:val="clear" w:color="auto" w:fill="FFFFFF"/>
        </w:rPr>
        <w:t>Society and Economy</w:t>
      </w:r>
      <w:r w:rsidRPr="005E4747">
        <w:rPr>
          <w:color w:val="222222"/>
          <w:shd w:val="clear" w:color="auto" w:fill="FFFFFF"/>
        </w:rPr>
        <w:t>, </w:t>
      </w:r>
      <w:r w:rsidRPr="005E4747">
        <w:rPr>
          <w:i/>
          <w:iCs/>
          <w:color w:val="222222"/>
          <w:shd w:val="clear" w:color="auto" w:fill="FFFFFF"/>
        </w:rPr>
        <w:t>41</w:t>
      </w:r>
      <w:r w:rsidRPr="005E4747">
        <w:rPr>
          <w:color w:val="222222"/>
          <w:shd w:val="clear" w:color="auto" w:fill="FFFFFF"/>
        </w:rPr>
        <w:t>(4), 523-542.</w:t>
      </w:r>
    </w:p>
    <w:p w14:paraId="62CE0EDB"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Otieno, S., Mose, N., &amp; </w:t>
      </w:r>
      <w:proofErr w:type="spellStart"/>
      <w:r w:rsidRPr="005E4747">
        <w:rPr>
          <w:color w:val="222222"/>
          <w:shd w:val="clear" w:color="auto" w:fill="FFFFFF"/>
        </w:rPr>
        <w:t>Matundura</w:t>
      </w:r>
      <w:proofErr w:type="spellEnd"/>
      <w:r w:rsidRPr="005E4747">
        <w:rPr>
          <w:color w:val="222222"/>
          <w:shd w:val="clear" w:color="auto" w:fill="FFFFFF"/>
        </w:rPr>
        <w:t>, E. (2022). External debt and capital flight in East Africa. </w:t>
      </w:r>
      <w:r w:rsidRPr="005E4747">
        <w:rPr>
          <w:i/>
          <w:iCs/>
          <w:color w:val="222222"/>
          <w:shd w:val="clear" w:color="auto" w:fill="FFFFFF"/>
        </w:rPr>
        <w:t>Journal of Economics and Sustainable Development</w:t>
      </w:r>
      <w:r w:rsidRPr="005E4747">
        <w:rPr>
          <w:color w:val="222222"/>
          <w:shd w:val="clear" w:color="auto" w:fill="FFFFFF"/>
        </w:rPr>
        <w:t>, </w:t>
      </w:r>
      <w:r w:rsidRPr="005E4747">
        <w:rPr>
          <w:i/>
          <w:iCs/>
          <w:color w:val="222222"/>
          <w:shd w:val="clear" w:color="auto" w:fill="FFFFFF"/>
        </w:rPr>
        <w:t>13</w:t>
      </w:r>
      <w:r w:rsidRPr="005E4747">
        <w:rPr>
          <w:color w:val="222222"/>
          <w:shd w:val="clear" w:color="auto" w:fill="FFFFFF"/>
        </w:rPr>
        <w:t>(6), 23-29.</w:t>
      </w:r>
    </w:p>
    <w:p w14:paraId="161CD089"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Oyadeyi, O. O. (2026). The macroeconomic determinants of exchange rate volatility and the impact of currency volatility on the performance of the Nigerian Economy. </w:t>
      </w:r>
      <w:r w:rsidRPr="005E4747">
        <w:rPr>
          <w:i/>
          <w:iCs/>
          <w:color w:val="222222"/>
          <w:shd w:val="clear" w:color="auto" w:fill="FFFFFF"/>
        </w:rPr>
        <w:t>Foreign Trade Review</w:t>
      </w:r>
      <w:r w:rsidRPr="005E4747">
        <w:rPr>
          <w:color w:val="222222"/>
          <w:shd w:val="clear" w:color="auto" w:fill="FFFFFF"/>
        </w:rPr>
        <w:t>, </w:t>
      </w:r>
      <w:r w:rsidRPr="005E4747">
        <w:rPr>
          <w:i/>
          <w:iCs/>
          <w:color w:val="222222"/>
          <w:shd w:val="clear" w:color="auto" w:fill="FFFFFF"/>
        </w:rPr>
        <w:t>61</w:t>
      </w:r>
      <w:r w:rsidRPr="005E4747">
        <w:rPr>
          <w:color w:val="222222"/>
          <w:shd w:val="clear" w:color="auto" w:fill="FFFFFF"/>
        </w:rPr>
        <w:t>(1), 79-108.</w:t>
      </w:r>
    </w:p>
    <w:p w14:paraId="6A78DD9A"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Pesaran</w:t>
      </w:r>
      <w:proofErr w:type="spellEnd"/>
      <w:r w:rsidRPr="005E4747">
        <w:rPr>
          <w:color w:val="222222"/>
          <w:shd w:val="clear" w:color="auto" w:fill="FFFFFF"/>
        </w:rPr>
        <w:t>, M. H., Shin, Y., &amp; Smith, R. P. (1999). Pooled mean group estimation of dynamic heterogeneous panels. </w:t>
      </w:r>
      <w:r w:rsidRPr="005E4747">
        <w:rPr>
          <w:i/>
          <w:iCs/>
          <w:color w:val="222222"/>
          <w:shd w:val="clear" w:color="auto" w:fill="FFFFFF"/>
        </w:rPr>
        <w:t>Journal of the American statistical Association</w:t>
      </w:r>
      <w:r w:rsidRPr="005E4747">
        <w:rPr>
          <w:color w:val="222222"/>
          <w:shd w:val="clear" w:color="auto" w:fill="FFFFFF"/>
        </w:rPr>
        <w:t>, </w:t>
      </w:r>
      <w:r w:rsidRPr="005E4747">
        <w:rPr>
          <w:i/>
          <w:iCs/>
          <w:color w:val="222222"/>
          <w:shd w:val="clear" w:color="auto" w:fill="FFFFFF"/>
        </w:rPr>
        <w:t>94</w:t>
      </w:r>
      <w:r w:rsidRPr="005E4747">
        <w:rPr>
          <w:color w:val="222222"/>
          <w:shd w:val="clear" w:color="auto" w:fill="FFFFFF"/>
        </w:rPr>
        <w:t>(446), 621-634.</w:t>
      </w:r>
    </w:p>
    <w:p w14:paraId="39DA41E0" w14:textId="77777777" w:rsidR="005E4747" w:rsidRPr="005E4747" w:rsidRDefault="005E4747" w:rsidP="005E4747">
      <w:pPr>
        <w:adjustRightInd w:val="0"/>
        <w:snapToGrid w:val="0"/>
        <w:ind w:left="720" w:hanging="720"/>
        <w:jc w:val="both"/>
        <w:rPr>
          <w:color w:val="222222"/>
          <w:shd w:val="clear" w:color="auto" w:fill="FFFFFF"/>
        </w:rPr>
      </w:pPr>
      <w:proofErr w:type="spellStart"/>
      <w:r w:rsidRPr="005E4747">
        <w:rPr>
          <w:color w:val="222222"/>
          <w:shd w:val="clear" w:color="auto" w:fill="FFFFFF"/>
        </w:rPr>
        <w:t>Purwanda</w:t>
      </w:r>
      <w:proofErr w:type="spellEnd"/>
      <w:r w:rsidRPr="005E4747">
        <w:rPr>
          <w:color w:val="222222"/>
          <w:shd w:val="clear" w:color="auto" w:fill="FFFFFF"/>
        </w:rPr>
        <w:t>, E., &amp; Rochana, S. H. (2017). Measurement of the efficiency of monetary policy. </w:t>
      </w:r>
      <w:r w:rsidRPr="005E4747">
        <w:rPr>
          <w:i/>
          <w:iCs/>
          <w:color w:val="222222"/>
          <w:shd w:val="clear" w:color="auto" w:fill="FFFFFF"/>
        </w:rPr>
        <w:t>Economic Journal of Emerging Markets</w:t>
      </w:r>
      <w:r w:rsidRPr="005E4747">
        <w:rPr>
          <w:color w:val="222222"/>
          <w:shd w:val="clear" w:color="auto" w:fill="FFFFFF"/>
        </w:rPr>
        <w:t>, </w:t>
      </w:r>
      <w:r w:rsidRPr="005E4747">
        <w:rPr>
          <w:i/>
          <w:iCs/>
          <w:color w:val="222222"/>
          <w:shd w:val="clear" w:color="auto" w:fill="FFFFFF"/>
        </w:rPr>
        <w:t>9</w:t>
      </w:r>
      <w:r w:rsidRPr="005E4747">
        <w:rPr>
          <w:color w:val="222222"/>
          <w:shd w:val="clear" w:color="auto" w:fill="FFFFFF"/>
        </w:rPr>
        <w:t>(2), 138-149.</w:t>
      </w:r>
    </w:p>
    <w:p w14:paraId="051DFB8E"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lastRenderedPageBreak/>
        <w:t xml:space="preserve">Rafie, F. E., &amp; </w:t>
      </w:r>
      <w:proofErr w:type="spellStart"/>
      <w:r w:rsidRPr="005E4747">
        <w:rPr>
          <w:color w:val="222222"/>
          <w:shd w:val="clear" w:color="auto" w:fill="FFFFFF"/>
        </w:rPr>
        <w:t>Lekhal</w:t>
      </w:r>
      <w:proofErr w:type="spellEnd"/>
      <w:r w:rsidRPr="005E4747">
        <w:rPr>
          <w:color w:val="222222"/>
          <w:shd w:val="clear" w:color="auto" w:fill="FFFFFF"/>
        </w:rPr>
        <w:t>, M. (2025). Empirical investigation of the relationship between public external debt sustainability, foreign reserves and fixed exchange rate. </w:t>
      </w:r>
      <w:r w:rsidRPr="005E4747">
        <w:rPr>
          <w:i/>
          <w:iCs/>
          <w:color w:val="222222"/>
          <w:shd w:val="clear" w:color="auto" w:fill="FFFFFF"/>
        </w:rPr>
        <w:t>Cogent Economics &amp; Finance</w:t>
      </w:r>
      <w:r w:rsidRPr="005E4747">
        <w:rPr>
          <w:color w:val="222222"/>
          <w:shd w:val="clear" w:color="auto" w:fill="FFFFFF"/>
        </w:rPr>
        <w:t>, </w:t>
      </w:r>
      <w:r w:rsidRPr="005E4747">
        <w:rPr>
          <w:i/>
          <w:iCs/>
          <w:color w:val="222222"/>
          <w:shd w:val="clear" w:color="auto" w:fill="FFFFFF"/>
        </w:rPr>
        <w:t>13</w:t>
      </w:r>
      <w:r w:rsidRPr="005E4747">
        <w:rPr>
          <w:color w:val="222222"/>
          <w:shd w:val="clear" w:color="auto" w:fill="FFFFFF"/>
        </w:rPr>
        <w:t>(1), 2457478.</w:t>
      </w:r>
    </w:p>
    <w:p w14:paraId="6A482D82"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 xml:space="preserve">Suhendra, I., </w:t>
      </w:r>
      <w:proofErr w:type="spellStart"/>
      <w:r w:rsidRPr="005E4747">
        <w:rPr>
          <w:color w:val="222222"/>
          <w:shd w:val="clear" w:color="auto" w:fill="FFFFFF"/>
        </w:rPr>
        <w:t>Istikomah</w:t>
      </w:r>
      <w:proofErr w:type="spellEnd"/>
      <w:r w:rsidRPr="005E4747">
        <w:rPr>
          <w:color w:val="222222"/>
          <w:shd w:val="clear" w:color="auto" w:fill="FFFFFF"/>
        </w:rPr>
        <w:t>, N., &amp; Anwar, C. J. (2022). On Foreign Direct Investment from the ASEAN-8 Countries: A Panel Data Estimation. </w:t>
      </w:r>
      <w:r w:rsidRPr="005E4747">
        <w:rPr>
          <w:i/>
          <w:iCs/>
          <w:color w:val="222222"/>
          <w:shd w:val="clear" w:color="auto" w:fill="FFFFFF"/>
        </w:rPr>
        <w:t>WSEAS Transactions on Business and Economics</w:t>
      </w:r>
      <w:r w:rsidRPr="005E4747">
        <w:rPr>
          <w:color w:val="222222"/>
          <w:shd w:val="clear" w:color="auto" w:fill="FFFFFF"/>
        </w:rPr>
        <w:t>, </w:t>
      </w:r>
      <w:r w:rsidRPr="005E4747">
        <w:rPr>
          <w:i/>
          <w:iCs/>
          <w:color w:val="222222"/>
          <w:shd w:val="clear" w:color="auto" w:fill="FFFFFF"/>
        </w:rPr>
        <w:t>19</w:t>
      </w:r>
      <w:r w:rsidRPr="005E4747">
        <w:rPr>
          <w:color w:val="222222"/>
          <w:shd w:val="clear" w:color="auto" w:fill="FFFFFF"/>
        </w:rPr>
        <w:t>, 150-160.</w:t>
      </w:r>
    </w:p>
    <w:p w14:paraId="6E06B388"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Sun, C., Abbas, H. S. M., Xu, X., Gillani, S., Ullah, S., &amp; Raza, M. A. A. (2023). Role of capital investment, investment risks, and globalization in economic growth. </w:t>
      </w:r>
      <w:r w:rsidRPr="005E4747">
        <w:rPr>
          <w:i/>
          <w:iCs/>
          <w:color w:val="222222"/>
          <w:shd w:val="clear" w:color="auto" w:fill="FFFFFF"/>
        </w:rPr>
        <w:t>International Journal of Finance &amp; Economics</w:t>
      </w:r>
      <w:r w:rsidRPr="005E4747">
        <w:rPr>
          <w:color w:val="222222"/>
          <w:shd w:val="clear" w:color="auto" w:fill="FFFFFF"/>
        </w:rPr>
        <w:t>, </w:t>
      </w:r>
      <w:r w:rsidRPr="005E4747">
        <w:rPr>
          <w:i/>
          <w:iCs/>
          <w:color w:val="222222"/>
          <w:shd w:val="clear" w:color="auto" w:fill="FFFFFF"/>
        </w:rPr>
        <w:t>28</w:t>
      </w:r>
      <w:r w:rsidRPr="005E4747">
        <w:rPr>
          <w:color w:val="222222"/>
          <w:shd w:val="clear" w:color="auto" w:fill="FFFFFF"/>
        </w:rPr>
        <w:t>(2), 1883-1898.</w:t>
      </w:r>
    </w:p>
    <w:p w14:paraId="12226A69"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Wani, N. U. H. (2024). Incidence of reverse capital flight to Afghanistan: An empirical examination. In </w:t>
      </w:r>
      <w:r w:rsidRPr="005E4747">
        <w:rPr>
          <w:i/>
          <w:iCs/>
          <w:color w:val="222222"/>
          <w:shd w:val="clear" w:color="auto" w:fill="FFFFFF"/>
        </w:rPr>
        <w:t>Policy Solutions for Economic Growth in a Developing Country</w:t>
      </w:r>
      <w:r w:rsidRPr="005E4747">
        <w:rPr>
          <w:color w:val="222222"/>
          <w:shd w:val="clear" w:color="auto" w:fill="FFFFFF"/>
        </w:rPr>
        <w:t> (pp. 131-154). Emerald Publishing Limited.</w:t>
      </w:r>
    </w:p>
    <w:p w14:paraId="4D58F750"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Yalta, A. Y., &amp; Yalta, A. T. (2024). Capital flight and the real exchange rate: evidence from resource scarce MENA countries. </w:t>
      </w:r>
      <w:r w:rsidRPr="005E4747">
        <w:rPr>
          <w:i/>
          <w:iCs/>
          <w:color w:val="222222"/>
          <w:shd w:val="clear" w:color="auto" w:fill="FFFFFF"/>
        </w:rPr>
        <w:t>Middle East Development Journal</w:t>
      </w:r>
      <w:r w:rsidRPr="005E4747">
        <w:rPr>
          <w:color w:val="222222"/>
          <w:shd w:val="clear" w:color="auto" w:fill="FFFFFF"/>
        </w:rPr>
        <w:t>, </w:t>
      </w:r>
      <w:r w:rsidRPr="005E4747">
        <w:rPr>
          <w:i/>
          <w:iCs/>
          <w:color w:val="222222"/>
          <w:shd w:val="clear" w:color="auto" w:fill="FFFFFF"/>
        </w:rPr>
        <w:t>16</w:t>
      </w:r>
      <w:r w:rsidRPr="005E4747">
        <w:rPr>
          <w:color w:val="222222"/>
          <w:shd w:val="clear" w:color="auto" w:fill="FFFFFF"/>
        </w:rPr>
        <w:t>(1), 55-73.</w:t>
      </w:r>
    </w:p>
    <w:p w14:paraId="6914A89A" w14:textId="77777777" w:rsidR="005E4747" w:rsidRPr="005E4747" w:rsidRDefault="005E4747" w:rsidP="005E4747">
      <w:pPr>
        <w:adjustRightInd w:val="0"/>
        <w:snapToGrid w:val="0"/>
        <w:ind w:left="720" w:hanging="720"/>
        <w:jc w:val="both"/>
        <w:rPr>
          <w:color w:val="222222"/>
          <w:shd w:val="clear" w:color="auto" w:fill="FFFFFF"/>
        </w:rPr>
      </w:pPr>
      <w:r w:rsidRPr="005E4747">
        <w:rPr>
          <w:color w:val="222222"/>
          <w:shd w:val="clear" w:color="auto" w:fill="FFFFFF"/>
        </w:rPr>
        <w:t>Zhang, D., &amp; Chen, R. (2025). The Impact of Economic Uncertainty on Cross-Border Capital Flows. </w:t>
      </w:r>
      <w:r w:rsidRPr="005E4747">
        <w:rPr>
          <w:i/>
          <w:iCs/>
          <w:color w:val="222222"/>
          <w:shd w:val="clear" w:color="auto" w:fill="FFFFFF"/>
        </w:rPr>
        <w:t>Emerging Markets Finance and Trade</w:t>
      </w:r>
      <w:r w:rsidRPr="005E4747">
        <w:rPr>
          <w:color w:val="222222"/>
          <w:shd w:val="clear" w:color="auto" w:fill="FFFFFF"/>
        </w:rPr>
        <w:t>, </w:t>
      </w:r>
      <w:r w:rsidRPr="005E4747">
        <w:rPr>
          <w:i/>
          <w:iCs/>
          <w:color w:val="222222"/>
          <w:shd w:val="clear" w:color="auto" w:fill="FFFFFF"/>
        </w:rPr>
        <w:t>61</w:t>
      </w:r>
      <w:r w:rsidRPr="005E4747">
        <w:rPr>
          <w:color w:val="222222"/>
          <w:shd w:val="clear" w:color="auto" w:fill="FFFFFF"/>
        </w:rPr>
        <w:t>(11), 3423-3445.</w:t>
      </w:r>
    </w:p>
    <w:p w14:paraId="5F6B2A75" w14:textId="77777777" w:rsidR="006C31C2" w:rsidRDefault="006C31C2" w:rsidP="00926779">
      <w:pPr>
        <w:rPr>
          <w:rFonts w:ascii="Arial" w:hAnsi="Arial" w:cs="Arial"/>
          <w:color w:val="222222"/>
          <w:sz w:val="20"/>
          <w:szCs w:val="20"/>
          <w:shd w:val="clear" w:color="auto" w:fill="FFFFFF"/>
        </w:rPr>
      </w:pPr>
    </w:p>
    <w:p w14:paraId="57067371" w14:textId="77777777" w:rsidR="006C31C2" w:rsidRDefault="006C31C2" w:rsidP="00926779">
      <w:pPr>
        <w:rPr>
          <w:rFonts w:ascii="Arial" w:hAnsi="Arial" w:cs="Arial"/>
          <w:color w:val="222222"/>
          <w:sz w:val="20"/>
          <w:szCs w:val="20"/>
          <w:shd w:val="clear" w:color="auto" w:fill="FFFFFF"/>
        </w:rPr>
      </w:pPr>
    </w:p>
    <w:p w14:paraId="2AE4CE95" w14:textId="6FC9A5B5" w:rsidR="008B61EC" w:rsidRPr="008B61EC" w:rsidRDefault="008B61EC" w:rsidP="008B61EC">
      <w:pPr>
        <w:pStyle w:val="NormalWeb"/>
        <w:adjustRightInd w:val="0"/>
        <w:snapToGrid w:val="0"/>
        <w:spacing w:before="0" w:beforeAutospacing="0" w:after="0" w:afterAutospacing="0"/>
        <w:ind w:left="709" w:hanging="720"/>
        <w:jc w:val="both"/>
      </w:pPr>
    </w:p>
    <w:sectPr w:rsidR="008B61EC" w:rsidRPr="008B61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61030" w14:textId="77777777" w:rsidR="003D678C" w:rsidRDefault="003D678C">
      <w:r>
        <w:separator/>
      </w:r>
    </w:p>
  </w:endnote>
  <w:endnote w:type="continuationSeparator" w:id="0">
    <w:p w14:paraId="6EACF4F1" w14:textId="77777777" w:rsidR="003D678C" w:rsidRDefault="003D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__Public_Sans_Fallback_3a41d0">
    <w:altName w:val="Cambria"/>
    <w:charset w:val="00"/>
    <w:family w:val="roman"/>
    <w:pitch w:val="default"/>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DE25A" w14:textId="77777777" w:rsidR="00440C73" w:rsidRDefault="00440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DAB3D" w14:textId="77777777" w:rsidR="00440C73" w:rsidRDefault="00440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75D5" w14:textId="77777777" w:rsidR="00440C73" w:rsidRDefault="0044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00FCB" w14:textId="77777777" w:rsidR="003D678C" w:rsidRDefault="003D678C">
      <w:r>
        <w:separator/>
      </w:r>
    </w:p>
  </w:footnote>
  <w:footnote w:type="continuationSeparator" w:id="0">
    <w:p w14:paraId="5745C6D2" w14:textId="77777777" w:rsidR="003D678C" w:rsidRDefault="003D6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D5068" w14:textId="147C571F" w:rsidR="00440C73" w:rsidRDefault="00440C73">
    <w:pPr>
      <w:pStyle w:val="Header"/>
    </w:pPr>
    <w:r>
      <w:rPr>
        <w:noProof/>
      </w:rPr>
      <w:pict w14:anchorId="5D36A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7607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A951" w14:textId="6BB6CF9A" w:rsidR="00D62D24" w:rsidRDefault="00440C73">
    <w:pPr>
      <w:pStyle w:val="Header"/>
      <w:rPr>
        <w:rFonts w:ascii="Lao UI" w:hAnsi="Lao UI" w:cs="Lao UI"/>
      </w:rPr>
    </w:pPr>
    <w:r>
      <w:rPr>
        <w:noProof/>
      </w:rPr>
      <w:pict w14:anchorId="344C3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7608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A6110A">
      <w:rPr>
        <w:rFonts w:ascii="Lao UI" w:hAnsi="Lao UI" w:cs="Lao UI"/>
      </w:rPr>
      <w:fldChar w:fldCharType="begin"/>
    </w:r>
    <w:r w:rsidR="00A6110A">
      <w:rPr>
        <w:rFonts w:ascii="Lao UI" w:hAnsi="Lao UI" w:cs="Lao UI"/>
      </w:rPr>
      <w:instrText xml:space="preserve"> PAGE   \* MERGEFORMAT </w:instrText>
    </w:r>
    <w:r w:rsidR="00A6110A">
      <w:rPr>
        <w:rFonts w:ascii="Lao UI" w:hAnsi="Lao UI" w:cs="Lao UI"/>
      </w:rPr>
      <w:fldChar w:fldCharType="separate"/>
    </w:r>
    <w:r w:rsidR="00A6110A">
      <w:rPr>
        <w:rFonts w:ascii="Lao UI" w:hAnsi="Lao UI" w:cs="Lao UI"/>
        <w:noProof/>
      </w:rPr>
      <w:t>8</w:t>
    </w:r>
    <w:r w:rsidR="00A6110A">
      <w:rPr>
        <w:rFonts w:ascii="Lao UI" w:hAnsi="Lao UI" w:cs="Lao UI"/>
        <w:noProof/>
      </w:rPr>
      <w:fldChar w:fldCharType="end"/>
    </w:r>
  </w:p>
  <w:p w14:paraId="0AA07C6B" w14:textId="77777777" w:rsidR="00D62D24" w:rsidRDefault="00A6110A">
    <w:pPr>
      <w:pStyle w:val="Header"/>
    </w:pPr>
    <w:r>
      <w:rPr>
        <w:rFonts w:ascii="Lao UI" w:hAnsi="Lao UI" w:cs="Lao UI"/>
        <w:noProof/>
        <w:lang w:val="en-GB" w:eastAsia="en-GB"/>
      </w:rPr>
      <mc:AlternateContent>
        <mc:Choice Requires="wps">
          <w:drawing>
            <wp:anchor distT="0" distB="0" distL="0" distR="0" simplePos="0" relativeHeight="2" behindDoc="0" locked="0" layoutInCell="1" allowOverlap="1" wp14:anchorId="05299DB3" wp14:editId="28937FFF">
              <wp:simplePos x="0" y="0"/>
              <wp:positionH relativeFrom="margin">
                <wp:posOffset>-36000</wp:posOffset>
              </wp:positionH>
              <wp:positionV relativeFrom="paragraph">
                <wp:posOffset>80544</wp:posOffset>
              </wp:positionV>
              <wp:extent cx="5743085" cy="0"/>
              <wp:effectExtent l="0" t="0" r="0" b="0"/>
              <wp:wrapNone/>
              <wp:docPr id="409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43085" cy="0"/>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2C9209" id="Straight Connector 2" o:spid="_x0000_s1026" style="position:absolute;flip:y;z-index: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2.85pt,6.35pt" to="449.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">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27CE" w14:textId="340E2C28" w:rsidR="00440C73" w:rsidRDefault="00440C73">
    <w:pPr>
      <w:pStyle w:val="Header"/>
    </w:pPr>
    <w:r>
      <w:rPr>
        <w:noProof/>
      </w:rPr>
      <w:pict w14:anchorId="56346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7607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A8853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multilevel"/>
    <w:tmpl w:val="CB3EA6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2970C81"/>
    <w:multiLevelType w:val="multilevel"/>
    <w:tmpl w:val="E3F6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D0455"/>
    <w:multiLevelType w:val="multilevel"/>
    <w:tmpl w:val="D506D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B1B6B"/>
    <w:multiLevelType w:val="multilevel"/>
    <w:tmpl w:val="06EE1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4320C"/>
    <w:multiLevelType w:val="multilevel"/>
    <w:tmpl w:val="7D6046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43751"/>
    <w:multiLevelType w:val="multilevel"/>
    <w:tmpl w:val="B8E6E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24CB8"/>
    <w:multiLevelType w:val="multilevel"/>
    <w:tmpl w:val="1A467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6EC0EB7"/>
    <w:multiLevelType w:val="multilevel"/>
    <w:tmpl w:val="74C4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01BDA"/>
    <w:multiLevelType w:val="multilevel"/>
    <w:tmpl w:val="5C6280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866330"/>
    <w:multiLevelType w:val="multilevel"/>
    <w:tmpl w:val="C5E8E666"/>
    <w:lvl w:ilvl="0">
      <w:start w:val="4"/>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3049AF"/>
    <w:multiLevelType w:val="hybridMultilevel"/>
    <w:tmpl w:val="00422D98"/>
    <w:lvl w:ilvl="0" w:tplc="E0F0F3E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B81A7E"/>
    <w:multiLevelType w:val="multilevel"/>
    <w:tmpl w:val="06624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AD4452"/>
    <w:multiLevelType w:val="multilevel"/>
    <w:tmpl w:val="88EA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D291B"/>
    <w:multiLevelType w:val="multilevel"/>
    <w:tmpl w:val="5DC2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229F3"/>
    <w:multiLevelType w:val="multilevel"/>
    <w:tmpl w:val="3794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13D1B"/>
    <w:multiLevelType w:val="multilevel"/>
    <w:tmpl w:val="ED963D32"/>
    <w:styleLink w:val="CurrentList1"/>
    <w:lvl w:ilvl="0">
      <w:start w:val="3"/>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56426B"/>
    <w:multiLevelType w:val="multilevel"/>
    <w:tmpl w:val="80F2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D5B45"/>
    <w:multiLevelType w:val="multilevel"/>
    <w:tmpl w:val="3DCC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7B06B7"/>
    <w:multiLevelType w:val="multilevel"/>
    <w:tmpl w:val="6B840B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7F64F45"/>
    <w:multiLevelType w:val="multilevel"/>
    <w:tmpl w:val="A156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E10FC7"/>
    <w:multiLevelType w:val="multilevel"/>
    <w:tmpl w:val="DD883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F701C9"/>
    <w:multiLevelType w:val="multilevel"/>
    <w:tmpl w:val="6296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97E25"/>
    <w:multiLevelType w:val="multilevel"/>
    <w:tmpl w:val="68920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AB4CF8"/>
    <w:multiLevelType w:val="multilevel"/>
    <w:tmpl w:val="FCF6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927B59"/>
    <w:multiLevelType w:val="multilevel"/>
    <w:tmpl w:val="BFEA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4646D"/>
    <w:multiLevelType w:val="hybridMultilevel"/>
    <w:tmpl w:val="F1E8ED0E"/>
    <w:lvl w:ilvl="0" w:tplc="E42C1B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141E32"/>
    <w:multiLevelType w:val="multilevel"/>
    <w:tmpl w:val="CB3EA6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 w15:restartNumberingAfterBreak="0">
    <w:nsid w:val="6FBF387E"/>
    <w:multiLevelType w:val="hybridMultilevel"/>
    <w:tmpl w:val="F574ED90"/>
    <w:lvl w:ilvl="0" w:tplc="C1EE81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E96005"/>
    <w:multiLevelType w:val="multilevel"/>
    <w:tmpl w:val="DE0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05490E"/>
    <w:multiLevelType w:val="multilevel"/>
    <w:tmpl w:val="ED963D32"/>
    <w:lvl w:ilvl="0">
      <w:start w:val="3"/>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111911"/>
    <w:multiLevelType w:val="hybridMultilevel"/>
    <w:tmpl w:val="FFFFFFFF"/>
    <w:lvl w:ilvl="0" w:tplc="874E5038">
      <w:start w:val="1"/>
      <w:numFmt w:val="decimal"/>
      <w:lvlText w:val="4.2.%1"/>
      <w:lvlJc w:val="left"/>
      <w:pPr>
        <w:ind w:left="720" w:hanging="360"/>
      </w:pPr>
      <w:rPr>
        <w:rFonts w:cs="Times New Roman" w:hint="default"/>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7"/>
  </w:num>
  <w:num w:numId="4">
    <w:abstractNumId w:val="19"/>
  </w:num>
  <w:num w:numId="5">
    <w:abstractNumId w:val="12"/>
  </w:num>
  <w:num w:numId="6">
    <w:abstractNumId w:val="8"/>
  </w:num>
  <w:num w:numId="7">
    <w:abstractNumId w:val="20"/>
  </w:num>
  <w:num w:numId="8">
    <w:abstractNumId w:val="25"/>
  </w:num>
  <w:num w:numId="9">
    <w:abstractNumId w:val="21"/>
  </w:num>
  <w:num w:numId="10">
    <w:abstractNumId w:val="22"/>
  </w:num>
  <w:num w:numId="11">
    <w:abstractNumId w:val="29"/>
  </w:num>
  <w:num w:numId="12">
    <w:abstractNumId w:val="2"/>
  </w:num>
  <w:num w:numId="13">
    <w:abstractNumId w:val="15"/>
  </w:num>
  <w:num w:numId="14">
    <w:abstractNumId w:val="13"/>
  </w:num>
  <w:num w:numId="15">
    <w:abstractNumId w:val="24"/>
  </w:num>
  <w:num w:numId="16">
    <w:abstractNumId w:val="3"/>
  </w:num>
  <w:num w:numId="17">
    <w:abstractNumId w:val="18"/>
  </w:num>
  <w:num w:numId="18">
    <w:abstractNumId w:val="4"/>
  </w:num>
  <w:num w:numId="19">
    <w:abstractNumId w:val="28"/>
  </w:num>
  <w:num w:numId="20">
    <w:abstractNumId w:val="10"/>
  </w:num>
  <w:num w:numId="21">
    <w:abstractNumId w:val="11"/>
  </w:num>
  <w:num w:numId="22">
    <w:abstractNumId w:val="26"/>
  </w:num>
  <w:num w:numId="23">
    <w:abstractNumId w:val="30"/>
  </w:num>
  <w:num w:numId="24">
    <w:abstractNumId w:val="16"/>
  </w:num>
  <w:num w:numId="25">
    <w:abstractNumId w:val="31"/>
  </w:num>
  <w:num w:numId="26">
    <w:abstractNumId w:val="17"/>
  </w:num>
  <w:num w:numId="27">
    <w:abstractNumId w:val="6"/>
  </w:num>
  <w:num w:numId="28">
    <w:abstractNumId w:val="23"/>
  </w:num>
  <w:num w:numId="29">
    <w:abstractNumId w:val="9"/>
  </w:num>
  <w:num w:numId="30">
    <w:abstractNumId w:val="5"/>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24"/>
    <w:rsid w:val="00000AA3"/>
    <w:rsid w:val="00042884"/>
    <w:rsid w:val="00064A7D"/>
    <w:rsid w:val="00080AD1"/>
    <w:rsid w:val="000828FC"/>
    <w:rsid w:val="00091076"/>
    <w:rsid w:val="000A14F1"/>
    <w:rsid w:val="000C179A"/>
    <w:rsid w:val="000C2B99"/>
    <w:rsid w:val="000C711D"/>
    <w:rsid w:val="000E2399"/>
    <w:rsid w:val="000F6709"/>
    <w:rsid w:val="00150FE3"/>
    <w:rsid w:val="001521F7"/>
    <w:rsid w:val="00165B56"/>
    <w:rsid w:val="00171858"/>
    <w:rsid w:val="00173EEB"/>
    <w:rsid w:val="0017551B"/>
    <w:rsid w:val="001B432F"/>
    <w:rsid w:val="001B4E8B"/>
    <w:rsid w:val="001D1985"/>
    <w:rsid w:val="001E1A45"/>
    <w:rsid w:val="001E2064"/>
    <w:rsid w:val="001E23B7"/>
    <w:rsid w:val="002008A4"/>
    <w:rsid w:val="002268D0"/>
    <w:rsid w:val="00244652"/>
    <w:rsid w:val="00277493"/>
    <w:rsid w:val="00294278"/>
    <w:rsid w:val="002A1E71"/>
    <w:rsid w:val="002A4BF7"/>
    <w:rsid w:val="002B7994"/>
    <w:rsid w:val="002D5BCB"/>
    <w:rsid w:val="00322284"/>
    <w:rsid w:val="00324D3F"/>
    <w:rsid w:val="00335256"/>
    <w:rsid w:val="003418B6"/>
    <w:rsid w:val="00371544"/>
    <w:rsid w:val="00372FA8"/>
    <w:rsid w:val="00374C00"/>
    <w:rsid w:val="00395FF5"/>
    <w:rsid w:val="003B0C26"/>
    <w:rsid w:val="003C41F9"/>
    <w:rsid w:val="003D2D83"/>
    <w:rsid w:val="003D678C"/>
    <w:rsid w:val="003D7EFC"/>
    <w:rsid w:val="003E1886"/>
    <w:rsid w:val="0041794C"/>
    <w:rsid w:val="00437213"/>
    <w:rsid w:val="00440C73"/>
    <w:rsid w:val="004429D2"/>
    <w:rsid w:val="004446A6"/>
    <w:rsid w:val="00476A69"/>
    <w:rsid w:val="00476F5F"/>
    <w:rsid w:val="00484870"/>
    <w:rsid w:val="00486E41"/>
    <w:rsid w:val="0049612A"/>
    <w:rsid w:val="00497FB6"/>
    <w:rsid w:val="004D42CA"/>
    <w:rsid w:val="004D6B7E"/>
    <w:rsid w:val="0053225C"/>
    <w:rsid w:val="005432E2"/>
    <w:rsid w:val="00556FF8"/>
    <w:rsid w:val="0057357D"/>
    <w:rsid w:val="00576A24"/>
    <w:rsid w:val="005A33F7"/>
    <w:rsid w:val="005E4747"/>
    <w:rsid w:val="005F328A"/>
    <w:rsid w:val="005F66B6"/>
    <w:rsid w:val="00615630"/>
    <w:rsid w:val="00625B84"/>
    <w:rsid w:val="00630D08"/>
    <w:rsid w:val="00677857"/>
    <w:rsid w:val="00683400"/>
    <w:rsid w:val="00684A3B"/>
    <w:rsid w:val="00687911"/>
    <w:rsid w:val="00691F10"/>
    <w:rsid w:val="006C31C2"/>
    <w:rsid w:val="006F37B0"/>
    <w:rsid w:val="0070060A"/>
    <w:rsid w:val="00722E77"/>
    <w:rsid w:val="00734046"/>
    <w:rsid w:val="0074777F"/>
    <w:rsid w:val="007505E5"/>
    <w:rsid w:val="00752AB6"/>
    <w:rsid w:val="00757FF1"/>
    <w:rsid w:val="007D1A43"/>
    <w:rsid w:val="008411EE"/>
    <w:rsid w:val="0085321E"/>
    <w:rsid w:val="008731CE"/>
    <w:rsid w:val="00887437"/>
    <w:rsid w:val="008B61EC"/>
    <w:rsid w:val="008D17F5"/>
    <w:rsid w:val="0091022A"/>
    <w:rsid w:val="00926779"/>
    <w:rsid w:val="00930F8E"/>
    <w:rsid w:val="00954AEA"/>
    <w:rsid w:val="00957BF5"/>
    <w:rsid w:val="009621A2"/>
    <w:rsid w:val="0096355A"/>
    <w:rsid w:val="00972056"/>
    <w:rsid w:val="00984851"/>
    <w:rsid w:val="009A506D"/>
    <w:rsid w:val="009B78EA"/>
    <w:rsid w:val="009C201B"/>
    <w:rsid w:val="009D0C34"/>
    <w:rsid w:val="00A04AD5"/>
    <w:rsid w:val="00A1025E"/>
    <w:rsid w:val="00A15CD8"/>
    <w:rsid w:val="00A21D80"/>
    <w:rsid w:val="00A25EEA"/>
    <w:rsid w:val="00A332E5"/>
    <w:rsid w:val="00A475C7"/>
    <w:rsid w:val="00A6110A"/>
    <w:rsid w:val="00A63821"/>
    <w:rsid w:val="00A64DC9"/>
    <w:rsid w:val="00A93BCA"/>
    <w:rsid w:val="00AC08DB"/>
    <w:rsid w:val="00AE1533"/>
    <w:rsid w:val="00AE6912"/>
    <w:rsid w:val="00AF1248"/>
    <w:rsid w:val="00AF718A"/>
    <w:rsid w:val="00B0788F"/>
    <w:rsid w:val="00B74353"/>
    <w:rsid w:val="00B9038F"/>
    <w:rsid w:val="00B91B05"/>
    <w:rsid w:val="00BC19CB"/>
    <w:rsid w:val="00BC617D"/>
    <w:rsid w:val="00BC716E"/>
    <w:rsid w:val="00BD5E53"/>
    <w:rsid w:val="00BF6A4D"/>
    <w:rsid w:val="00C049FF"/>
    <w:rsid w:val="00C10351"/>
    <w:rsid w:val="00C17472"/>
    <w:rsid w:val="00C20E53"/>
    <w:rsid w:val="00C23258"/>
    <w:rsid w:val="00C23902"/>
    <w:rsid w:val="00C257B7"/>
    <w:rsid w:val="00C32737"/>
    <w:rsid w:val="00C32FB7"/>
    <w:rsid w:val="00C369A7"/>
    <w:rsid w:val="00C41AF4"/>
    <w:rsid w:val="00C43780"/>
    <w:rsid w:val="00C531FB"/>
    <w:rsid w:val="00C53B3D"/>
    <w:rsid w:val="00C53D36"/>
    <w:rsid w:val="00C55E89"/>
    <w:rsid w:val="00C73CC7"/>
    <w:rsid w:val="00C92935"/>
    <w:rsid w:val="00C9337C"/>
    <w:rsid w:val="00C93DDB"/>
    <w:rsid w:val="00CC0F67"/>
    <w:rsid w:val="00D03FFC"/>
    <w:rsid w:val="00D11663"/>
    <w:rsid w:val="00D236E3"/>
    <w:rsid w:val="00D47C1F"/>
    <w:rsid w:val="00D5375B"/>
    <w:rsid w:val="00D62D24"/>
    <w:rsid w:val="00D7369B"/>
    <w:rsid w:val="00D85196"/>
    <w:rsid w:val="00DC7DCF"/>
    <w:rsid w:val="00DD048C"/>
    <w:rsid w:val="00DE58C4"/>
    <w:rsid w:val="00E075FB"/>
    <w:rsid w:val="00E07AFB"/>
    <w:rsid w:val="00E23999"/>
    <w:rsid w:val="00E30673"/>
    <w:rsid w:val="00E30B18"/>
    <w:rsid w:val="00E56EA2"/>
    <w:rsid w:val="00E62F2D"/>
    <w:rsid w:val="00E7322E"/>
    <w:rsid w:val="00E73EF0"/>
    <w:rsid w:val="00EB27E1"/>
    <w:rsid w:val="00F22583"/>
    <w:rsid w:val="00F425E3"/>
    <w:rsid w:val="00F53F6A"/>
    <w:rsid w:val="00F61864"/>
    <w:rsid w:val="00F6233B"/>
    <w:rsid w:val="00F644D5"/>
    <w:rsid w:val="00F64D85"/>
    <w:rsid w:val="00F66009"/>
    <w:rsid w:val="00F6676C"/>
    <w:rsid w:val="00FA606D"/>
    <w:rsid w:val="00FA683B"/>
    <w:rsid w:val="00FB18AE"/>
    <w:rsid w:val="00FB3A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F1D6CC"/>
  <w15:docId w15:val="{54EB100B-10E2-714E-AF88-C4F0E4B1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id-ID" w:eastAsia="en-US" w:bidi="ar-SA"/>
      </w:rPr>
    </w:rPrDefault>
    <w:pPrDefault>
      <w:pPr>
        <w:spacing w:after="20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8A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C174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link w:val="Heading2Char"/>
    <w:uiPriority w:val="9"/>
    <w:qFormat/>
    <w:rsid w:val="0043721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E07AFB"/>
    <w:pPr>
      <w:keepNext/>
      <w:keepLines/>
      <w:spacing w:before="40"/>
      <w:outlineLvl w:val="2"/>
    </w:pPr>
    <w:rPr>
      <w:rFonts w:asciiTheme="majorHAnsi" w:eastAsiaTheme="majorEastAsia" w:hAnsiTheme="majorHAnsi" w:cstheme="majorBidi"/>
      <w:color w:val="243F60" w:themeColor="accent1" w:themeShade="7F"/>
      <w:lang w:val="en-ID" w:eastAsia="en-US"/>
    </w:rPr>
  </w:style>
  <w:style w:type="paragraph" w:styleId="Heading4">
    <w:name w:val="heading 4"/>
    <w:basedOn w:val="Normal"/>
    <w:next w:val="Normal"/>
    <w:link w:val="Heading4Char"/>
    <w:uiPriority w:val="9"/>
    <w:unhideWhenUsed/>
    <w:qFormat/>
    <w:rsid w:val="00C174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174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17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rPr>
      <w:rFonts w:ascii="Calibri" w:eastAsia="Calibri" w:hAnsi="Calibri" w:cs="SimSun"/>
      <w:sz w:val="22"/>
      <w:szCs w:val="22"/>
      <w:lang w:val="id-ID"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rPr>
      <w:rFonts w:ascii="Calibri" w:eastAsia="Calibri" w:hAnsi="Calibri" w:cs="SimSun"/>
      <w:sz w:val="22"/>
      <w:szCs w:val="22"/>
      <w:lang w:val="id-ID" w:eastAsia="en-US"/>
    </w:r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rPr>
      <w:rFonts w:ascii="Calibri" w:eastAsia="Calibri" w:hAnsi="Calibri" w:cs="SimSun"/>
      <w:sz w:val="20"/>
      <w:szCs w:val="20"/>
      <w:lang w:val="id-ID" w:eastAsia="en-US"/>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NormalWeb">
    <w:name w:val="Normal (Web)"/>
    <w:basedOn w:val="Normal"/>
    <w:uiPriority w:val="99"/>
    <w:pPr>
      <w:spacing w:before="100" w:beforeAutospacing="1" w:after="100" w:afterAutospacing="1"/>
    </w:pPr>
    <w:rPr>
      <w:lang w:val="id-ID" w:eastAsia="id-ID"/>
    </w:rPr>
  </w:style>
  <w:style w:type="character" w:styleId="PlaceholderText">
    <w:name w:val="Placeholder Text"/>
    <w:basedOn w:val="DefaultParagraphFont"/>
    <w:uiPriority w:val="99"/>
    <w:rPr>
      <w:color w:val="808080"/>
    </w:rPr>
  </w:style>
  <w:style w:type="paragraph" w:styleId="ListParagraph">
    <w:name w:val="List Paragraph"/>
    <w:aliases w:val="Body of text,List Deskripsi Aktivitas,Grafik"/>
    <w:basedOn w:val="Normal"/>
    <w:link w:val="ListParagraphChar"/>
    <w:uiPriority w:val="34"/>
    <w:qFormat/>
    <w:pPr>
      <w:spacing w:after="200" w:line="480" w:lineRule="auto"/>
      <w:ind w:left="720"/>
      <w:contextualSpacing/>
    </w:pPr>
    <w:rPr>
      <w:rFonts w:ascii="Calibri" w:eastAsia="Calibri" w:hAnsi="Calibri" w:cs="SimSun"/>
      <w:sz w:val="22"/>
      <w:szCs w:val="22"/>
      <w:lang w:val="id-ID" w:eastAsia="en-US"/>
    </w:rPr>
  </w:style>
  <w:style w:type="paragraph" w:styleId="Caption">
    <w:name w:val="caption"/>
    <w:basedOn w:val="Normal"/>
    <w:next w:val="Normal"/>
    <w:uiPriority w:val="35"/>
    <w:qFormat/>
    <w:pPr>
      <w:spacing w:after="200"/>
    </w:pPr>
    <w:rPr>
      <w:rFonts w:ascii="Calibri" w:eastAsia="Calibri" w:hAnsi="Calibri" w:cs="SimSun"/>
      <w:i/>
      <w:iCs/>
      <w:color w:val="1F497D"/>
      <w:sz w:val="18"/>
      <w:szCs w:val="18"/>
      <w:lang w:val="id-ID" w:eastAsia="en-US"/>
    </w:rPr>
  </w:style>
  <w:style w:type="paragraph" w:customStyle="1" w:styleId="Paragraphbody">
    <w:name w:val="Paragraph body"/>
    <w:basedOn w:val="Normal"/>
    <w:pPr>
      <w:spacing w:line="260" w:lineRule="exact"/>
      <w:ind w:firstLine="284"/>
      <w:jc w:val="both"/>
    </w:pPr>
    <w:rPr>
      <w:spacing w:val="2"/>
      <w:sz w:val="20"/>
      <w:lang w:val="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GB" w:eastAsia="id-ID"/>
    </w:rPr>
  </w:style>
  <w:style w:type="character" w:customStyle="1" w:styleId="apple-converted-space">
    <w:name w:val="apple-converted-space"/>
    <w:basedOn w:val="DefaultParagraphFont"/>
    <w:qForma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rPr>
      <w:sz w:val="18"/>
      <w:szCs w:val="18"/>
      <w:lang w:val="en-ID" w:eastAsia="en-US"/>
    </w:rPr>
  </w:style>
  <w:style w:type="character" w:customStyle="1" w:styleId="BalloonTextChar">
    <w:name w:val="Balloon Text Char"/>
    <w:basedOn w:val="DefaultParagraphFont"/>
    <w:link w:val="BalloonText"/>
    <w:uiPriority w:val="99"/>
    <w:rPr>
      <w:rFonts w:ascii="Times New Roman" w:eastAsia="Times New Roman" w:hAnsi="Times New Roman" w:cs="Times New Roman"/>
      <w:sz w:val="18"/>
      <w:szCs w:val="18"/>
      <w:lang w:val="en-ID"/>
    </w:rPr>
  </w:style>
  <w:style w:type="character" w:customStyle="1" w:styleId="ListParagraphChar">
    <w:name w:val="List Paragraph Char"/>
    <w:aliases w:val="Body of text Char,List Deskripsi Aktivitas Char,Grafik Char"/>
    <w:link w:val="ListParagraph"/>
    <w:uiPriority w:val="1"/>
    <w:qFormat/>
  </w:style>
  <w:style w:type="paragraph" w:styleId="BodyText2">
    <w:name w:val="Body Text 2"/>
    <w:basedOn w:val="Normal"/>
    <w:link w:val="BodyText2Char"/>
    <w:pPr>
      <w:spacing w:after="120" w:line="480" w:lineRule="auto"/>
    </w:pPr>
    <w:rPr>
      <w:lang w:eastAsia="en-US"/>
    </w:rPr>
  </w:style>
  <w:style w:type="character" w:customStyle="1" w:styleId="BodyText2Char">
    <w:name w:val="Body Text 2 Char"/>
    <w:basedOn w:val="DefaultParagraphFont"/>
    <w:link w:val="BodyText2"/>
    <w:rPr>
      <w:rFonts w:ascii="Times New Roman" w:eastAsia="Times New Roman" w:hAnsi="Times New Roman" w:cs="Times New Roman"/>
      <w:sz w:val="24"/>
      <w:szCs w:val="24"/>
      <w:lang w:val="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1"/>
    <w:unhideWhenUsed/>
    <w:qFormat/>
    <w:rsid w:val="00371544"/>
    <w:pPr>
      <w:spacing w:after="120"/>
    </w:pPr>
    <w:rPr>
      <w:lang w:val="en-ID" w:eastAsia="en-US"/>
    </w:rPr>
  </w:style>
  <w:style w:type="character" w:customStyle="1" w:styleId="BodyTextChar">
    <w:name w:val="Body Text Char"/>
    <w:basedOn w:val="DefaultParagraphFont"/>
    <w:link w:val="BodyText"/>
    <w:uiPriority w:val="1"/>
    <w:rsid w:val="00371544"/>
    <w:rPr>
      <w:rFonts w:ascii="Times New Roman" w:eastAsia="Times New Roman" w:hAnsi="Times New Roman" w:cs="Times New Roman"/>
      <w:sz w:val="24"/>
      <w:szCs w:val="24"/>
      <w:lang w:val="en-ID"/>
    </w:rPr>
  </w:style>
  <w:style w:type="character" w:customStyle="1" w:styleId="truncate">
    <w:name w:val="truncate"/>
    <w:basedOn w:val="DefaultParagraphFont"/>
    <w:rsid w:val="00722E77"/>
  </w:style>
  <w:style w:type="character" w:styleId="Strong">
    <w:name w:val="Strong"/>
    <w:basedOn w:val="DefaultParagraphFont"/>
    <w:uiPriority w:val="22"/>
    <w:qFormat/>
    <w:rsid w:val="008411EE"/>
    <w:rPr>
      <w:b/>
      <w:bCs/>
    </w:rPr>
  </w:style>
  <w:style w:type="character" w:customStyle="1" w:styleId="text-primary">
    <w:name w:val="text-primary"/>
    <w:basedOn w:val="DefaultParagraphFont"/>
    <w:rsid w:val="00615630"/>
  </w:style>
  <w:style w:type="character" w:customStyle="1" w:styleId="Heading2Char">
    <w:name w:val="Heading 2 Char"/>
    <w:basedOn w:val="DefaultParagraphFont"/>
    <w:link w:val="Heading2"/>
    <w:uiPriority w:val="9"/>
    <w:rsid w:val="00437213"/>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E07AFB"/>
    <w:rPr>
      <w:rFonts w:asciiTheme="majorHAnsi" w:eastAsiaTheme="majorEastAsia" w:hAnsiTheme="majorHAnsi" w:cstheme="majorBidi"/>
      <w:color w:val="243F60" w:themeColor="accent1" w:themeShade="7F"/>
      <w:sz w:val="24"/>
      <w:szCs w:val="24"/>
      <w:lang w:val="en-ID"/>
    </w:rPr>
  </w:style>
  <w:style w:type="character" w:customStyle="1" w:styleId="katex-mathml">
    <w:name w:val="katex-mathml"/>
    <w:basedOn w:val="DefaultParagraphFont"/>
    <w:rsid w:val="00E07AFB"/>
  </w:style>
  <w:style w:type="character" w:customStyle="1" w:styleId="mord">
    <w:name w:val="mord"/>
    <w:basedOn w:val="DefaultParagraphFont"/>
    <w:rsid w:val="00E07AFB"/>
  </w:style>
  <w:style w:type="character" w:customStyle="1" w:styleId="vlist-s">
    <w:name w:val="vlist-s"/>
    <w:basedOn w:val="DefaultParagraphFont"/>
    <w:rsid w:val="00E07AFB"/>
  </w:style>
  <w:style w:type="character" w:customStyle="1" w:styleId="mrel">
    <w:name w:val="mrel"/>
    <w:basedOn w:val="DefaultParagraphFont"/>
    <w:rsid w:val="00E07AFB"/>
  </w:style>
  <w:style w:type="character" w:customStyle="1" w:styleId="mbin">
    <w:name w:val="mbin"/>
    <w:basedOn w:val="DefaultParagraphFont"/>
    <w:rsid w:val="00E07AFB"/>
  </w:style>
  <w:style w:type="character" w:customStyle="1" w:styleId="overflow-hidden">
    <w:name w:val="overflow-hidden"/>
    <w:basedOn w:val="DefaultParagraphFont"/>
    <w:rsid w:val="00E07AFB"/>
  </w:style>
  <w:style w:type="character" w:customStyle="1" w:styleId="Heading1Char">
    <w:name w:val="Heading 1 Char"/>
    <w:basedOn w:val="DefaultParagraphFont"/>
    <w:link w:val="Heading1"/>
    <w:uiPriority w:val="9"/>
    <w:rsid w:val="00C17472"/>
    <w:rPr>
      <w:rFonts w:asciiTheme="majorHAnsi" w:eastAsiaTheme="majorEastAsia" w:hAnsiTheme="majorHAnsi" w:cstheme="majorBidi"/>
      <w:color w:val="365F91" w:themeColor="accent1" w:themeShade="BF"/>
      <w:sz w:val="40"/>
      <w:szCs w:val="40"/>
      <w:lang w:val="en-GB" w:eastAsia="en-GB"/>
    </w:rPr>
  </w:style>
  <w:style w:type="character" w:customStyle="1" w:styleId="Heading4Char">
    <w:name w:val="Heading 4 Char"/>
    <w:basedOn w:val="DefaultParagraphFont"/>
    <w:link w:val="Heading4"/>
    <w:uiPriority w:val="9"/>
    <w:rsid w:val="00C17472"/>
    <w:rPr>
      <w:rFonts w:ascii="Times New Roman" w:eastAsiaTheme="majorEastAsia" w:hAnsi="Times New Roman" w:cstheme="majorBidi"/>
      <w:i/>
      <w:iCs/>
      <w:color w:val="365F91" w:themeColor="accent1" w:themeShade="BF"/>
      <w:sz w:val="24"/>
      <w:szCs w:val="24"/>
      <w:lang w:val="en-GB" w:eastAsia="en-GB"/>
    </w:rPr>
  </w:style>
  <w:style w:type="character" w:customStyle="1" w:styleId="Heading5Char">
    <w:name w:val="Heading 5 Char"/>
    <w:basedOn w:val="DefaultParagraphFont"/>
    <w:link w:val="Heading5"/>
    <w:uiPriority w:val="9"/>
    <w:semiHidden/>
    <w:rsid w:val="00C17472"/>
    <w:rPr>
      <w:rFonts w:ascii="Times New Roman" w:eastAsiaTheme="majorEastAsia" w:hAnsi="Times New Roman" w:cstheme="majorBidi"/>
      <w:color w:val="365F91" w:themeColor="accent1" w:themeShade="BF"/>
      <w:sz w:val="24"/>
      <w:szCs w:val="24"/>
      <w:lang w:val="en-GB" w:eastAsia="en-GB"/>
    </w:rPr>
  </w:style>
  <w:style w:type="character" w:customStyle="1" w:styleId="Heading6Char">
    <w:name w:val="Heading 6 Char"/>
    <w:basedOn w:val="DefaultParagraphFont"/>
    <w:link w:val="Heading6"/>
    <w:uiPriority w:val="9"/>
    <w:semiHidden/>
    <w:rsid w:val="00C17472"/>
    <w:rPr>
      <w:rFonts w:ascii="Times New Roman" w:eastAsiaTheme="majorEastAsia" w:hAnsi="Times New Roman" w:cstheme="majorBidi"/>
      <w:i/>
      <w:iCs/>
      <w:color w:val="595959" w:themeColor="text1" w:themeTint="A6"/>
      <w:sz w:val="24"/>
      <w:szCs w:val="24"/>
      <w:lang w:val="en-GB" w:eastAsia="en-GB"/>
    </w:rPr>
  </w:style>
  <w:style w:type="character" w:customStyle="1" w:styleId="Heading7Char">
    <w:name w:val="Heading 7 Char"/>
    <w:basedOn w:val="DefaultParagraphFont"/>
    <w:link w:val="Heading7"/>
    <w:uiPriority w:val="9"/>
    <w:semiHidden/>
    <w:rsid w:val="00C17472"/>
    <w:rPr>
      <w:rFonts w:ascii="Times New Roman" w:eastAsiaTheme="majorEastAsia" w:hAnsi="Times New Roman" w:cstheme="majorBidi"/>
      <w:color w:val="595959" w:themeColor="text1" w:themeTint="A6"/>
      <w:sz w:val="24"/>
      <w:szCs w:val="24"/>
      <w:lang w:val="en-GB" w:eastAsia="en-GB"/>
    </w:rPr>
  </w:style>
  <w:style w:type="character" w:customStyle="1" w:styleId="Heading8Char">
    <w:name w:val="Heading 8 Char"/>
    <w:basedOn w:val="DefaultParagraphFont"/>
    <w:link w:val="Heading8"/>
    <w:uiPriority w:val="9"/>
    <w:semiHidden/>
    <w:rsid w:val="00C17472"/>
    <w:rPr>
      <w:rFonts w:ascii="Times New Roman" w:eastAsiaTheme="majorEastAsia" w:hAnsi="Times New Roman" w:cstheme="majorBidi"/>
      <w:i/>
      <w:iCs/>
      <w:color w:val="272727" w:themeColor="text1" w:themeTint="D8"/>
      <w:sz w:val="24"/>
      <w:szCs w:val="24"/>
      <w:lang w:val="en-GB" w:eastAsia="en-GB"/>
    </w:rPr>
  </w:style>
  <w:style w:type="character" w:customStyle="1" w:styleId="Heading9Char">
    <w:name w:val="Heading 9 Char"/>
    <w:basedOn w:val="DefaultParagraphFont"/>
    <w:link w:val="Heading9"/>
    <w:uiPriority w:val="9"/>
    <w:semiHidden/>
    <w:rsid w:val="00C17472"/>
    <w:rPr>
      <w:rFonts w:ascii="Times New Roman" w:eastAsiaTheme="majorEastAsia" w:hAnsi="Times New Roman" w:cstheme="majorBidi"/>
      <w:color w:val="272727" w:themeColor="text1" w:themeTint="D8"/>
      <w:sz w:val="24"/>
      <w:szCs w:val="24"/>
      <w:lang w:val="en-GB" w:eastAsia="en-GB"/>
    </w:rPr>
  </w:style>
  <w:style w:type="paragraph" w:styleId="Title">
    <w:name w:val="Title"/>
    <w:basedOn w:val="Normal"/>
    <w:next w:val="Normal"/>
    <w:link w:val="TitleChar"/>
    <w:uiPriority w:val="10"/>
    <w:qFormat/>
    <w:rsid w:val="00C17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472"/>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C17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472"/>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C17472"/>
    <w:pPr>
      <w:spacing w:before="160"/>
      <w:jc w:val="center"/>
    </w:pPr>
    <w:rPr>
      <w:i/>
      <w:iCs/>
      <w:color w:val="404040" w:themeColor="text1" w:themeTint="BF"/>
    </w:rPr>
  </w:style>
  <w:style w:type="character" w:customStyle="1" w:styleId="QuoteChar">
    <w:name w:val="Quote Char"/>
    <w:basedOn w:val="DefaultParagraphFont"/>
    <w:link w:val="Quote"/>
    <w:uiPriority w:val="29"/>
    <w:rsid w:val="00C17472"/>
    <w:rPr>
      <w:rFonts w:ascii="Times New Roman" w:eastAsia="Times New Roman" w:hAnsi="Times New Roman" w:cs="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C17472"/>
    <w:rPr>
      <w:i/>
      <w:iCs/>
      <w:color w:val="365F91" w:themeColor="accent1" w:themeShade="BF"/>
    </w:rPr>
  </w:style>
  <w:style w:type="paragraph" w:styleId="IntenseQuote">
    <w:name w:val="Intense Quote"/>
    <w:basedOn w:val="Normal"/>
    <w:next w:val="Normal"/>
    <w:link w:val="IntenseQuoteChar"/>
    <w:uiPriority w:val="30"/>
    <w:qFormat/>
    <w:rsid w:val="00C174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17472"/>
    <w:rPr>
      <w:rFonts w:ascii="Times New Roman" w:eastAsia="Times New Roman" w:hAnsi="Times New Roman" w:cs="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C17472"/>
    <w:rPr>
      <w:b/>
      <w:bCs/>
      <w:smallCaps/>
      <w:color w:val="365F91" w:themeColor="accent1" w:themeShade="BF"/>
      <w:spacing w:val="5"/>
    </w:rPr>
  </w:style>
  <w:style w:type="table" w:customStyle="1" w:styleId="TableGrid">
    <w:name w:val="TableGrid"/>
    <w:rsid w:val="00C17472"/>
    <w:pPr>
      <w:spacing w:after="0" w:line="240" w:lineRule="auto"/>
    </w:pPr>
    <w:rPr>
      <w:rFonts w:asciiTheme="minorHAnsi" w:eastAsiaTheme="minorEastAsia" w:hAnsiTheme="minorHAnsi" w:cstheme="minorBidi"/>
      <w:kern w:val="2"/>
      <w:sz w:val="24"/>
      <w:szCs w:val="24"/>
      <w:lang w:val="en-GB" w:eastAsia="en-GB"/>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C17472"/>
    <w:rPr>
      <w:color w:val="0000FF" w:themeColor="hyperlink"/>
      <w:u w:val="single"/>
    </w:rPr>
  </w:style>
  <w:style w:type="character" w:styleId="UnresolvedMention">
    <w:name w:val="Unresolved Mention"/>
    <w:basedOn w:val="DefaultParagraphFont"/>
    <w:uiPriority w:val="99"/>
    <w:semiHidden/>
    <w:unhideWhenUsed/>
    <w:rsid w:val="00C17472"/>
    <w:rPr>
      <w:color w:val="605E5C"/>
      <w:shd w:val="clear" w:color="auto" w:fill="E1DFDD"/>
    </w:rPr>
  </w:style>
  <w:style w:type="character" w:styleId="FollowedHyperlink">
    <w:name w:val="FollowedHyperlink"/>
    <w:basedOn w:val="DefaultParagraphFont"/>
    <w:uiPriority w:val="99"/>
    <w:semiHidden/>
    <w:unhideWhenUsed/>
    <w:rsid w:val="00C17472"/>
    <w:rPr>
      <w:color w:val="800080" w:themeColor="followedHyperlink"/>
      <w:u w:val="single"/>
    </w:rPr>
  </w:style>
  <w:style w:type="paragraph" w:customStyle="1" w:styleId="p1">
    <w:name w:val="p1"/>
    <w:basedOn w:val="Normal"/>
    <w:rsid w:val="00E56EA2"/>
    <w:pPr>
      <w:spacing w:before="100" w:beforeAutospacing="1" w:after="100" w:afterAutospacing="1"/>
    </w:pPr>
  </w:style>
  <w:style w:type="character" w:customStyle="1" w:styleId="s1">
    <w:name w:val="s1"/>
    <w:basedOn w:val="DefaultParagraphFont"/>
    <w:rsid w:val="00E56EA2"/>
  </w:style>
  <w:style w:type="paragraph" w:customStyle="1" w:styleId="p2">
    <w:name w:val="p2"/>
    <w:basedOn w:val="Normal"/>
    <w:rsid w:val="00E56EA2"/>
    <w:pPr>
      <w:spacing w:before="100" w:beforeAutospacing="1" w:after="100" w:afterAutospacing="1"/>
    </w:pPr>
  </w:style>
  <w:style w:type="numbering" w:customStyle="1" w:styleId="CurrentList1">
    <w:name w:val="Current List1"/>
    <w:uiPriority w:val="99"/>
    <w:rsid w:val="00757FF1"/>
    <w:pPr>
      <w:numPr>
        <w:numId w:val="24"/>
      </w:numPr>
    </w:pPr>
  </w:style>
  <w:style w:type="paragraph" w:styleId="BodyTextIndent">
    <w:name w:val="Body Text Indent"/>
    <w:basedOn w:val="Normal"/>
    <w:link w:val="BodyTextIndentChar"/>
    <w:uiPriority w:val="99"/>
    <w:semiHidden/>
    <w:unhideWhenUsed/>
    <w:rsid w:val="000828FC"/>
    <w:pPr>
      <w:spacing w:after="120"/>
      <w:ind w:left="283"/>
    </w:pPr>
    <w:rPr>
      <w:lang w:val="en-ID" w:eastAsia="en-US"/>
    </w:rPr>
  </w:style>
  <w:style w:type="character" w:customStyle="1" w:styleId="BodyTextIndentChar">
    <w:name w:val="Body Text Indent Char"/>
    <w:basedOn w:val="DefaultParagraphFont"/>
    <w:link w:val="BodyTextIndent"/>
    <w:uiPriority w:val="99"/>
    <w:semiHidden/>
    <w:rsid w:val="000828FC"/>
    <w:rPr>
      <w:rFonts w:ascii="Times New Roman" w:eastAsia="Times New Roman" w:hAnsi="Times New Roman" w:cs="Times New Roman"/>
      <w:sz w:val="24"/>
      <w:szCs w:val="24"/>
      <w:lang w:val="en-ID"/>
    </w:rPr>
  </w:style>
  <w:style w:type="table" w:styleId="TableGrid0">
    <w:name w:val="Table Grid"/>
    <w:basedOn w:val="TableNormal"/>
    <w:uiPriority w:val="39"/>
    <w:rsid w:val="00D11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9275">
      <w:bodyDiv w:val="1"/>
      <w:marLeft w:val="0"/>
      <w:marRight w:val="0"/>
      <w:marTop w:val="0"/>
      <w:marBottom w:val="0"/>
      <w:divBdr>
        <w:top w:val="none" w:sz="0" w:space="0" w:color="auto"/>
        <w:left w:val="none" w:sz="0" w:space="0" w:color="auto"/>
        <w:bottom w:val="none" w:sz="0" w:space="0" w:color="auto"/>
        <w:right w:val="none" w:sz="0" w:space="0" w:color="auto"/>
      </w:divBdr>
    </w:div>
    <w:div w:id="64568378">
      <w:bodyDiv w:val="1"/>
      <w:marLeft w:val="0"/>
      <w:marRight w:val="0"/>
      <w:marTop w:val="0"/>
      <w:marBottom w:val="0"/>
      <w:divBdr>
        <w:top w:val="none" w:sz="0" w:space="0" w:color="auto"/>
        <w:left w:val="none" w:sz="0" w:space="0" w:color="auto"/>
        <w:bottom w:val="none" w:sz="0" w:space="0" w:color="auto"/>
        <w:right w:val="none" w:sz="0" w:space="0" w:color="auto"/>
      </w:divBdr>
    </w:div>
    <w:div w:id="90783581">
      <w:bodyDiv w:val="1"/>
      <w:marLeft w:val="0"/>
      <w:marRight w:val="0"/>
      <w:marTop w:val="0"/>
      <w:marBottom w:val="0"/>
      <w:divBdr>
        <w:top w:val="none" w:sz="0" w:space="0" w:color="auto"/>
        <w:left w:val="none" w:sz="0" w:space="0" w:color="auto"/>
        <w:bottom w:val="none" w:sz="0" w:space="0" w:color="auto"/>
        <w:right w:val="none" w:sz="0" w:space="0" w:color="auto"/>
      </w:divBdr>
    </w:div>
    <w:div w:id="206838619">
      <w:bodyDiv w:val="1"/>
      <w:marLeft w:val="0"/>
      <w:marRight w:val="0"/>
      <w:marTop w:val="0"/>
      <w:marBottom w:val="0"/>
      <w:divBdr>
        <w:top w:val="none" w:sz="0" w:space="0" w:color="auto"/>
        <w:left w:val="none" w:sz="0" w:space="0" w:color="auto"/>
        <w:bottom w:val="none" w:sz="0" w:space="0" w:color="auto"/>
        <w:right w:val="none" w:sz="0" w:space="0" w:color="auto"/>
      </w:divBdr>
    </w:div>
    <w:div w:id="215554486">
      <w:bodyDiv w:val="1"/>
      <w:marLeft w:val="0"/>
      <w:marRight w:val="0"/>
      <w:marTop w:val="0"/>
      <w:marBottom w:val="0"/>
      <w:divBdr>
        <w:top w:val="none" w:sz="0" w:space="0" w:color="auto"/>
        <w:left w:val="none" w:sz="0" w:space="0" w:color="auto"/>
        <w:bottom w:val="none" w:sz="0" w:space="0" w:color="auto"/>
        <w:right w:val="none" w:sz="0" w:space="0" w:color="auto"/>
      </w:divBdr>
    </w:div>
    <w:div w:id="217059820">
      <w:bodyDiv w:val="1"/>
      <w:marLeft w:val="0"/>
      <w:marRight w:val="0"/>
      <w:marTop w:val="0"/>
      <w:marBottom w:val="0"/>
      <w:divBdr>
        <w:top w:val="none" w:sz="0" w:space="0" w:color="auto"/>
        <w:left w:val="none" w:sz="0" w:space="0" w:color="auto"/>
        <w:bottom w:val="none" w:sz="0" w:space="0" w:color="auto"/>
        <w:right w:val="none" w:sz="0" w:space="0" w:color="auto"/>
      </w:divBdr>
    </w:div>
    <w:div w:id="222520979">
      <w:bodyDiv w:val="1"/>
      <w:marLeft w:val="0"/>
      <w:marRight w:val="0"/>
      <w:marTop w:val="0"/>
      <w:marBottom w:val="0"/>
      <w:divBdr>
        <w:top w:val="none" w:sz="0" w:space="0" w:color="auto"/>
        <w:left w:val="none" w:sz="0" w:space="0" w:color="auto"/>
        <w:bottom w:val="none" w:sz="0" w:space="0" w:color="auto"/>
        <w:right w:val="none" w:sz="0" w:space="0" w:color="auto"/>
      </w:divBdr>
    </w:div>
    <w:div w:id="243226501">
      <w:bodyDiv w:val="1"/>
      <w:marLeft w:val="0"/>
      <w:marRight w:val="0"/>
      <w:marTop w:val="0"/>
      <w:marBottom w:val="0"/>
      <w:divBdr>
        <w:top w:val="none" w:sz="0" w:space="0" w:color="auto"/>
        <w:left w:val="none" w:sz="0" w:space="0" w:color="auto"/>
        <w:bottom w:val="none" w:sz="0" w:space="0" w:color="auto"/>
        <w:right w:val="none" w:sz="0" w:space="0" w:color="auto"/>
      </w:divBdr>
    </w:div>
    <w:div w:id="259489181">
      <w:bodyDiv w:val="1"/>
      <w:marLeft w:val="0"/>
      <w:marRight w:val="0"/>
      <w:marTop w:val="0"/>
      <w:marBottom w:val="0"/>
      <w:divBdr>
        <w:top w:val="none" w:sz="0" w:space="0" w:color="auto"/>
        <w:left w:val="none" w:sz="0" w:space="0" w:color="auto"/>
        <w:bottom w:val="none" w:sz="0" w:space="0" w:color="auto"/>
        <w:right w:val="none" w:sz="0" w:space="0" w:color="auto"/>
      </w:divBdr>
    </w:div>
    <w:div w:id="260533667">
      <w:bodyDiv w:val="1"/>
      <w:marLeft w:val="0"/>
      <w:marRight w:val="0"/>
      <w:marTop w:val="0"/>
      <w:marBottom w:val="0"/>
      <w:divBdr>
        <w:top w:val="none" w:sz="0" w:space="0" w:color="auto"/>
        <w:left w:val="none" w:sz="0" w:space="0" w:color="auto"/>
        <w:bottom w:val="none" w:sz="0" w:space="0" w:color="auto"/>
        <w:right w:val="none" w:sz="0" w:space="0" w:color="auto"/>
      </w:divBdr>
    </w:div>
    <w:div w:id="269749748">
      <w:bodyDiv w:val="1"/>
      <w:marLeft w:val="0"/>
      <w:marRight w:val="0"/>
      <w:marTop w:val="0"/>
      <w:marBottom w:val="0"/>
      <w:divBdr>
        <w:top w:val="none" w:sz="0" w:space="0" w:color="auto"/>
        <w:left w:val="none" w:sz="0" w:space="0" w:color="auto"/>
        <w:bottom w:val="none" w:sz="0" w:space="0" w:color="auto"/>
        <w:right w:val="none" w:sz="0" w:space="0" w:color="auto"/>
      </w:divBdr>
    </w:div>
    <w:div w:id="290399853">
      <w:bodyDiv w:val="1"/>
      <w:marLeft w:val="0"/>
      <w:marRight w:val="0"/>
      <w:marTop w:val="0"/>
      <w:marBottom w:val="0"/>
      <w:divBdr>
        <w:top w:val="none" w:sz="0" w:space="0" w:color="auto"/>
        <w:left w:val="none" w:sz="0" w:space="0" w:color="auto"/>
        <w:bottom w:val="none" w:sz="0" w:space="0" w:color="auto"/>
        <w:right w:val="none" w:sz="0" w:space="0" w:color="auto"/>
      </w:divBdr>
    </w:div>
    <w:div w:id="334190305">
      <w:bodyDiv w:val="1"/>
      <w:marLeft w:val="0"/>
      <w:marRight w:val="0"/>
      <w:marTop w:val="0"/>
      <w:marBottom w:val="0"/>
      <w:divBdr>
        <w:top w:val="none" w:sz="0" w:space="0" w:color="auto"/>
        <w:left w:val="none" w:sz="0" w:space="0" w:color="auto"/>
        <w:bottom w:val="none" w:sz="0" w:space="0" w:color="auto"/>
        <w:right w:val="none" w:sz="0" w:space="0" w:color="auto"/>
      </w:divBdr>
    </w:div>
    <w:div w:id="369695522">
      <w:bodyDiv w:val="1"/>
      <w:marLeft w:val="0"/>
      <w:marRight w:val="0"/>
      <w:marTop w:val="0"/>
      <w:marBottom w:val="0"/>
      <w:divBdr>
        <w:top w:val="none" w:sz="0" w:space="0" w:color="auto"/>
        <w:left w:val="none" w:sz="0" w:space="0" w:color="auto"/>
        <w:bottom w:val="none" w:sz="0" w:space="0" w:color="auto"/>
        <w:right w:val="none" w:sz="0" w:space="0" w:color="auto"/>
      </w:divBdr>
    </w:div>
    <w:div w:id="419377907">
      <w:bodyDiv w:val="1"/>
      <w:marLeft w:val="0"/>
      <w:marRight w:val="0"/>
      <w:marTop w:val="0"/>
      <w:marBottom w:val="0"/>
      <w:divBdr>
        <w:top w:val="none" w:sz="0" w:space="0" w:color="auto"/>
        <w:left w:val="none" w:sz="0" w:space="0" w:color="auto"/>
        <w:bottom w:val="none" w:sz="0" w:space="0" w:color="auto"/>
        <w:right w:val="none" w:sz="0" w:space="0" w:color="auto"/>
      </w:divBdr>
    </w:div>
    <w:div w:id="438840928">
      <w:bodyDiv w:val="1"/>
      <w:marLeft w:val="0"/>
      <w:marRight w:val="0"/>
      <w:marTop w:val="0"/>
      <w:marBottom w:val="0"/>
      <w:divBdr>
        <w:top w:val="none" w:sz="0" w:space="0" w:color="auto"/>
        <w:left w:val="none" w:sz="0" w:space="0" w:color="auto"/>
        <w:bottom w:val="none" w:sz="0" w:space="0" w:color="auto"/>
        <w:right w:val="none" w:sz="0" w:space="0" w:color="auto"/>
      </w:divBdr>
    </w:div>
    <w:div w:id="466434529">
      <w:bodyDiv w:val="1"/>
      <w:marLeft w:val="0"/>
      <w:marRight w:val="0"/>
      <w:marTop w:val="0"/>
      <w:marBottom w:val="0"/>
      <w:divBdr>
        <w:top w:val="none" w:sz="0" w:space="0" w:color="auto"/>
        <w:left w:val="none" w:sz="0" w:space="0" w:color="auto"/>
        <w:bottom w:val="none" w:sz="0" w:space="0" w:color="auto"/>
        <w:right w:val="none" w:sz="0" w:space="0" w:color="auto"/>
      </w:divBdr>
    </w:div>
    <w:div w:id="473639168">
      <w:bodyDiv w:val="1"/>
      <w:marLeft w:val="0"/>
      <w:marRight w:val="0"/>
      <w:marTop w:val="0"/>
      <w:marBottom w:val="0"/>
      <w:divBdr>
        <w:top w:val="none" w:sz="0" w:space="0" w:color="auto"/>
        <w:left w:val="none" w:sz="0" w:space="0" w:color="auto"/>
        <w:bottom w:val="none" w:sz="0" w:space="0" w:color="auto"/>
        <w:right w:val="none" w:sz="0" w:space="0" w:color="auto"/>
      </w:divBdr>
    </w:div>
    <w:div w:id="503862067">
      <w:bodyDiv w:val="1"/>
      <w:marLeft w:val="0"/>
      <w:marRight w:val="0"/>
      <w:marTop w:val="0"/>
      <w:marBottom w:val="0"/>
      <w:divBdr>
        <w:top w:val="none" w:sz="0" w:space="0" w:color="auto"/>
        <w:left w:val="none" w:sz="0" w:space="0" w:color="auto"/>
        <w:bottom w:val="none" w:sz="0" w:space="0" w:color="auto"/>
        <w:right w:val="none" w:sz="0" w:space="0" w:color="auto"/>
      </w:divBdr>
    </w:div>
    <w:div w:id="547570488">
      <w:bodyDiv w:val="1"/>
      <w:marLeft w:val="0"/>
      <w:marRight w:val="0"/>
      <w:marTop w:val="0"/>
      <w:marBottom w:val="0"/>
      <w:divBdr>
        <w:top w:val="none" w:sz="0" w:space="0" w:color="auto"/>
        <w:left w:val="none" w:sz="0" w:space="0" w:color="auto"/>
        <w:bottom w:val="none" w:sz="0" w:space="0" w:color="auto"/>
        <w:right w:val="none" w:sz="0" w:space="0" w:color="auto"/>
      </w:divBdr>
    </w:div>
    <w:div w:id="596524519">
      <w:bodyDiv w:val="1"/>
      <w:marLeft w:val="0"/>
      <w:marRight w:val="0"/>
      <w:marTop w:val="0"/>
      <w:marBottom w:val="0"/>
      <w:divBdr>
        <w:top w:val="none" w:sz="0" w:space="0" w:color="auto"/>
        <w:left w:val="none" w:sz="0" w:space="0" w:color="auto"/>
        <w:bottom w:val="none" w:sz="0" w:space="0" w:color="auto"/>
        <w:right w:val="none" w:sz="0" w:space="0" w:color="auto"/>
      </w:divBdr>
    </w:div>
    <w:div w:id="617181659">
      <w:bodyDiv w:val="1"/>
      <w:marLeft w:val="0"/>
      <w:marRight w:val="0"/>
      <w:marTop w:val="0"/>
      <w:marBottom w:val="0"/>
      <w:divBdr>
        <w:top w:val="none" w:sz="0" w:space="0" w:color="auto"/>
        <w:left w:val="none" w:sz="0" w:space="0" w:color="auto"/>
        <w:bottom w:val="none" w:sz="0" w:space="0" w:color="auto"/>
        <w:right w:val="none" w:sz="0" w:space="0" w:color="auto"/>
      </w:divBdr>
    </w:div>
    <w:div w:id="625353203">
      <w:bodyDiv w:val="1"/>
      <w:marLeft w:val="0"/>
      <w:marRight w:val="0"/>
      <w:marTop w:val="0"/>
      <w:marBottom w:val="0"/>
      <w:divBdr>
        <w:top w:val="none" w:sz="0" w:space="0" w:color="auto"/>
        <w:left w:val="none" w:sz="0" w:space="0" w:color="auto"/>
        <w:bottom w:val="none" w:sz="0" w:space="0" w:color="auto"/>
        <w:right w:val="none" w:sz="0" w:space="0" w:color="auto"/>
      </w:divBdr>
    </w:div>
    <w:div w:id="627704876">
      <w:bodyDiv w:val="1"/>
      <w:marLeft w:val="0"/>
      <w:marRight w:val="0"/>
      <w:marTop w:val="0"/>
      <w:marBottom w:val="0"/>
      <w:divBdr>
        <w:top w:val="none" w:sz="0" w:space="0" w:color="auto"/>
        <w:left w:val="none" w:sz="0" w:space="0" w:color="auto"/>
        <w:bottom w:val="none" w:sz="0" w:space="0" w:color="auto"/>
        <w:right w:val="none" w:sz="0" w:space="0" w:color="auto"/>
      </w:divBdr>
    </w:div>
    <w:div w:id="673800236">
      <w:bodyDiv w:val="1"/>
      <w:marLeft w:val="0"/>
      <w:marRight w:val="0"/>
      <w:marTop w:val="0"/>
      <w:marBottom w:val="0"/>
      <w:divBdr>
        <w:top w:val="none" w:sz="0" w:space="0" w:color="auto"/>
        <w:left w:val="none" w:sz="0" w:space="0" w:color="auto"/>
        <w:bottom w:val="none" w:sz="0" w:space="0" w:color="auto"/>
        <w:right w:val="none" w:sz="0" w:space="0" w:color="auto"/>
      </w:divBdr>
    </w:div>
    <w:div w:id="678628912">
      <w:bodyDiv w:val="1"/>
      <w:marLeft w:val="0"/>
      <w:marRight w:val="0"/>
      <w:marTop w:val="0"/>
      <w:marBottom w:val="0"/>
      <w:divBdr>
        <w:top w:val="none" w:sz="0" w:space="0" w:color="auto"/>
        <w:left w:val="none" w:sz="0" w:space="0" w:color="auto"/>
        <w:bottom w:val="none" w:sz="0" w:space="0" w:color="auto"/>
        <w:right w:val="none" w:sz="0" w:space="0" w:color="auto"/>
      </w:divBdr>
    </w:div>
    <w:div w:id="730538357">
      <w:bodyDiv w:val="1"/>
      <w:marLeft w:val="0"/>
      <w:marRight w:val="0"/>
      <w:marTop w:val="0"/>
      <w:marBottom w:val="0"/>
      <w:divBdr>
        <w:top w:val="none" w:sz="0" w:space="0" w:color="auto"/>
        <w:left w:val="none" w:sz="0" w:space="0" w:color="auto"/>
        <w:bottom w:val="none" w:sz="0" w:space="0" w:color="auto"/>
        <w:right w:val="none" w:sz="0" w:space="0" w:color="auto"/>
      </w:divBdr>
    </w:div>
    <w:div w:id="812677955">
      <w:bodyDiv w:val="1"/>
      <w:marLeft w:val="0"/>
      <w:marRight w:val="0"/>
      <w:marTop w:val="0"/>
      <w:marBottom w:val="0"/>
      <w:divBdr>
        <w:top w:val="none" w:sz="0" w:space="0" w:color="auto"/>
        <w:left w:val="none" w:sz="0" w:space="0" w:color="auto"/>
        <w:bottom w:val="none" w:sz="0" w:space="0" w:color="auto"/>
        <w:right w:val="none" w:sz="0" w:space="0" w:color="auto"/>
      </w:divBdr>
    </w:div>
    <w:div w:id="837381323">
      <w:bodyDiv w:val="1"/>
      <w:marLeft w:val="0"/>
      <w:marRight w:val="0"/>
      <w:marTop w:val="0"/>
      <w:marBottom w:val="0"/>
      <w:divBdr>
        <w:top w:val="none" w:sz="0" w:space="0" w:color="auto"/>
        <w:left w:val="none" w:sz="0" w:space="0" w:color="auto"/>
        <w:bottom w:val="none" w:sz="0" w:space="0" w:color="auto"/>
        <w:right w:val="none" w:sz="0" w:space="0" w:color="auto"/>
      </w:divBdr>
    </w:div>
    <w:div w:id="867453821">
      <w:bodyDiv w:val="1"/>
      <w:marLeft w:val="0"/>
      <w:marRight w:val="0"/>
      <w:marTop w:val="0"/>
      <w:marBottom w:val="0"/>
      <w:divBdr>
        <w:top w:val="none" w:sz="0" w:space="0" w:color="auto"/>
        <w:left w:val="none" w:sz="0" w:space="0" w:color="auto"/>
        <w:bottom w:val="none" w:sz="0" w:space="0" w:color="auto"/>
        <w:right w:val="none" w:sz="0" w:space="0" w:color="auto"/>
      </w:divBdr>
    </w:div>
    <w:div w:id="888303162">
      <w:bodyDiv w:val="1"/>
      <w:marLeft w:val="0"/>
      <w:marRight w:val="0"/>
      <w:marTop w:val="0"/>
      <w:marBottom w:val="0"/>
      <w:divBdr>
        <w:top w:val="none" w:sz="0" w:space="0" w:color="auto"/>
        <w:left w:val="none" w:sz="0" w:space="0" w:color="auto"/>
        <w:bottom w:val="none" w:sz="0" w:space="0" w:color="auto"/>
        <w:right w:val="none" w:sz="0" w:space="0" w:color="auto"/>
      </w:divBdr>
    </w:div>
    <w:div w:id="955017780">
      <w:bodyDiv w:val="1"/>
      <w:marLeft w:val="0"/>
      <w:marRight w:val="0"/>
      <w:marTop w:val="0"/>
      <w:marBottom w:val="0"/>
      <w:divBdr>
        <w:top w:val="none" w:sz="0" w:space="0" w:color="auto"/>
        <w:left w:val="none" w:sz="0" w:space="0" w:color="auto"/>
        <w:bottom w:val="none" w:sz="0" w:space="0" w:color="auto"/>
        <w:right w:val="none" w:sz="0" w:space="0" w:color="auto"/>
      </w:divBdr>
    </w:div>
    <w:div w:id="1001857869">
      <w:bodyDiv w:val="1"/>
      <w:marLeft w:val="0"/>
      <w:marRight w:val="0"/>
      <w:marTop w:val="0"/>
      <w:marBottom w:val="0"/>
      <w:divBdr>
        <w:top w:val="none" w:sz="0" w:space="0" w:color="auto"/>
        <w:left w:val="none" w:sz="0" w:space="0" w:color="auto"/>
        <w:bottom w:val="none" w:sz="0" w:space="0" w:color="auto"/>
        <w:right w:val="none" w:sz="0" w:space="0" w:color="auto"/>
      </w:divBdr>
    </w:div>
    <w:div w:id="1011297103">
      <w:bodyDiv w:val="1"/>
      <w:marLeft w:val="0"/>
      <w:marRight w:val="0"/>
      <w:marTop w:val="0"/>
      <w:marBottom w:val="0"/>
      <w:divBdr>
        <w:top w:val="none" w:sz="0" w:space="0" w:color="auto"/>
        <w:left w:val="none" w:sz="0" w:space="0" w:color="auto"/>
        <w:bottom w:val="none" w:sz="0" w:space="0" w:color="auto"/>
        <w:right w:val="none" w:sz="0" w:space="0" w:color="auto"/>
      </w:divBdr>
    </w:div>
    <w:div w:id="1086999513">
      <w:bodyDiv w:val="1"/>
      <w:marLeft w:val="0"/>
      <w:marRight w:val="0"/>
      <w:marTop w:val="0"/>
      <w:marBottom w:val="0"/>
      <w:divBdr>
        <w:top w:val="none" w:sz="0" w:space="0" w:color="auto"/>
        <w:left w:val="none" w:sz="0" w:space="0" w:color="auto"/>
        <w:bottom w:val="none" w:sz="0" w:space="0" w:color="auto"/>
        <w:right w:val="none" w:sz="0" w:space="0" w:color="auto"/>
      </w:divBdr>
      <w:divsChild>
        <w:div w:id="266232154">
          <w:marLeft w:val="0"/>
          <w:marRight w:val="0"/>
          <w:marTop w:val="0"/>
          <w:marBottom w:val="0"/>
          <w:divBdr>
            <w:top w:val="none" w:sz="0" w:space="0" w:color="auto"/>
            <w:left w:val="none" w:sz="0" w:space="0" w:color="auto"/>
            <w:bottom w:val="none" w:sz="0" w:space="0" w:color="auto"/>
            <w:right w:val="none" w:sz="0" w:space="0" w:color="auto"/>
          </w:divBdr>
        </w:div>
        <w:div w:id="1336344628">
          <w:marLeft w:val="0"/>
          <w:marRight w:val="0"/>
          <w:marTop w:val="0"/>
          <w:marBottom w:val="0"/>
          <w:divBdr>
            <w:top w:val="none" w:sz="0" w:space="0" w:color="auto"/>
            <w:left w:val="none" w:sz="0" w:space="0" w:color="auto"/>
            <w:bottom w:val="none" w:sz="0" w:space="0" w:color="auto"/>
            <w:right w:val="none" w:sz="0" w:space="0" w:color="auto"/>
          </w:divBdr>
        </w:div>
        <w:div w:id="1375229900">
          <w:marLeft w:val="0"/>
          <w:marRight w:val="0"/>
          <w:marTop w:val="0"/>
          <w:marBottom w:val="0"/>
          <w:divBdr>
            <w:top w:val="none" w:sz="0" w:space="0" w:color="auto"/>
            <w:left w:val="none" w:sz="0" w:space="0" w:color="auto"/>
            <w:bottom w:val="none" w:sz="0" w:space="0" w:color="auto"/>
            <w:right w:val="none" w:sz="0" w:space="0" w:color="auto"/>
          </w:divBdr>
        </w:div>
      </w:divsChild>
    </w:div>
    <w:div w:id="1091973771">
      <w:bodyDiv w:val="1"/>
      <w:marLeft w:val="0"/>
      <w:marRight w:val="0"/>
      <w:marTop w:val="0"/>
      <w:marBottom w:val="0"/>
      <w:divBdr>
        <w:top w:val="none" w:sz="0" w:space="0" w:color="auto"/>
        <w:left w:val="none" w:sz="0" w:space="0" w:color="auto"/>
        <w:bottom w:val="none" w:sz="0" w:space="0" w:color="auto"/>
        <w:right w:val="none" w:sz="0" w:space="0" w:color="auto"/>
      </w:divBdr>
    </w:div>
    <w:div w:id="1093746079">
      <w:bodyDiv w:val="1"/>
      <w:marLeft w:val="0"/>
      <w:marRight w:val="0"/>
      <w:marTop w:val="0"/>
      <w:marBottom w:val="0"/>
      <w:divBdr>
        <w:top w:val="none" w:sz="0" w:space="0" w:color="auto"/>
        <w:left w:val="none" w:sz="0" w:space="0" w:color="auto"/>
        <w:bottom w:val="none" w:sz="0" w:space="0" w:color="auto"/>
        <w:right w:val="none" w:sz="0" w:space="0" w:color="auto"/>
      </w:divBdr>
    </w:div>
    <w:div w:id="1154030647">
      <w:bodyDiv w:val="1"/>
      <w:marLeft w:val="0"/>
      <w:marRight w:val="0"/>
      <w:marTop w:val="0"/>
      <w:marBottom w:val="0"/>
      <w:divBdr>
        <w:top w:val="none" w:sz="0" w:space="0" w:color="auto"/>
        <w:left w:val="none" w:sz="0" w:space="0" w:color="auto"/>
        <w:bottom w:val="none" w:sz="0" w:space="0" w:color="auto"/>
        <w:right w:val="none" w:sz="0" w:space="0" w:color="auto"/>
      </w:divBdr>
    </w:div>
    <w:div w:id="1178035484">
      <w:bodyDiv w:val="1"/>
      <w:marLeft w:val="0"/>
      <w:marRight w:val="0"/>
      <w:marTop w:val="0"/>
      <w:marBottom w:val="0"/>
      <w:divBdr>
        <w:top w:val="none" w:sz="0" w:space="0" w:color="auto"/>
        <w:left w:val="none" w:sz="0" w:space="0" w:color="auto"/>
        <w:bottom w:val="none" w:sz="0" w:space="0" w:color="auto"/>
        <w:right w:val="none" w:sz="0" w:space="0" w:color="auto"/>
      </w:divBdr>
    </w:div>
    <w:div w:id="1185558045">
      <w:bodyDiv w:val="1"/>
      <w:marLeft w:val="0"/>
      <w:marRight w:val="0"/>
      <w:marTop w:val="0"/>
      <w:marBottom w:val="0"/>
      <w:divBdr>
        <w:top w:val="none" w:sz="0" w:space="0" w:color="auto"/>
        <w:left w:val="none" w:sz="0" w:space="0" w:color="auto"/>
        <w:bottom w:val="none" w:sz="0" w:space="0" w:color="auto"/>
        <w:right w:val="none" w:sz="0" w:space="0" w:color="auto"/>
      </w:divBdr>
    </w:div>
    <w:div w:id="1229655824">
      <w:bodyDiv w:val="1"/>
      <w:marLeft w:val="0"/>
      <w:marRight w:val="0"/>
      <w:marTop w:val="0"/>
      <w:marBottom w:val="0"/>
      <w:divBdr>
        <w:top w:val="none" w:sz="0" w:space="0" w:color="auto"/>
        <w:left w:val="none" w:sz="0" w:space="0" w:color="auto"/>
        <w:bottom w:val="none" w:sz="0" w:space="0" w:color="auto"/>
        <w:right w:val="none" w:sz="0" w:space="0" w:color="auto"/>
      </w:divBdr>
    </w:div>
    <w:div w:id="1260790376">
      <w:bodyDiv w:val="1"/>
      <w:marLeft w:val="0"/>
      <w:marRight w:val="0"/>
      <w:marTop w:val="0"/>
      <w:marBottom w:val="0"/>
      <w:divBdr>
        <w:top w:val="none" w:sz="0" w:space="0" w:color="auto"/>
        <w:left w:val="none" w:sz="0" w:space="0" w:color="auto"/>
        <w:bottom w:val="none" w:sz="0" w:space="0" w:color="auto"/>
        <w:right w:val="none" w:sz="0" w:space="0" w:color="auto"/>
      </w:divBdr>
    </w:div>
    <w:div w:id="1273128493">
      <w:bodyDiv w:val="1"/>
      <w:marLeft w:val="0"/>
      <w:marRight w:val="0"/>
      <w:marTop w:val="0"/>
      <w:marBottom w:val="0"/>
      <w:divBdr>
        <w:top w:val="none" w:sz="0" w:space="0" w:color="auto"/>
        <w:left w:val="none" w:sz="0" w:space="0" w:color="auto"/>
        <w:bottom w:val="none" w:sz="0" w:space="0" w:color="auto"/>
        <w:right w:val="none" w:sz="0" w:space="0" w:color="auto"/>
      </w:divBdr>
    </w:div>
    <w:div w:id="1336498249">
      <w:bodyDiv w:val="1"/>
      <w:marLeft w:val="0"/>
      <w:marRight w:val="0"/>
      <w:marTop w:val="0"/>
      <w:marBottom w:val="0"/>
      <w:divBdr>
        <w:top w:val="none" w:sz="0" w:space="0" w:color="auto"/>
        <w:left w:val="none" w:sz="0" w:space="0" w:color="auto"/>
        <w:bottom w:val="none" w:sz="0" w:space="0" w:color="auto"/>
        <w:right w:val="none" w:sz="0" w:space="0" w:color="auto"/>
      </w:divBdr>
    </w:div>
    <w:div w:id="1344471917">
      <w:bodyDiv w:val="1"/>
      <w:marLeft w:val="0"/>
      <w:marRight w:val="0"/>
      <w:marTop w:val="0"/>
      <w:marBottom w:val="0"/>
      <w:divBdr>
        <w:top w:val="none" w:sz="0" w:space="0" w:color="auto"/>
        <w:left w:val="none" w:sz="0" w:space="0" w:color="auto"/>
        <w:bottom w:val="none" w:sz="0" w:space="0" w:color="auto"/>
        <w:right w:val="none" w:sz="0" w:space="0" w:color="auto"/>
      </w:divBdr>
    </w:div>
    <w:div w:id="1355619315">
      <w:bodyDiv w:val="1"/>
      <w:marLeft w:val="0"/>
      <w:marRight w:val="0"/>
      <w:marTop w:val="0"/>
      <w:marBottom w:val="0"/>
      <w:divBdr>
        <w:top w:val="none" w:sz="0" w:space="0" w:color="auto"/>
        <w:left w:val="none" w:sz="0" w:space="0" w:color="auto"/>
        <w:bottom w:val="none" w:sz="0" w:space="0" w:color="auto"/>
        <w:right w:val="none" w:sz="0" w:space="0" w:color="auto"/>
      </w:divBdr>
    </w:div>
    <w:div w:id="1367876148">
      <w:bodyDiv w:val="1"/>
      <w:marLeft w:val="0"/>
      <w:marRight w:val="0"/>
      <w:marTop w:val="0"/>
      <w:marBottom w:val="0"/>
      <w:divBdr>
        <w:top w:val="none" w:sz="0" w:space="0" w:color="auto"/>
        <w:left w:val="none" w:sz="0" w:space="0" w:color="auto"/>
        <w:bottom w:val="none" w:sz="0" w:space="0" w:color="auto"/>
        <w:right w:val="none" w:sz="0" w:space="0" w:color="auto"/>
      </w:divBdr>
    </w:div>
    <w:div w:id="1465387030">
      <w:bodyDiv w:val="1"/>
      <w:marLeft w:val="0"/>
      <w:marRight w:val="0"/>
      <w:marTop w:val="0"/>
      <w:marBottom w:val="0"/>
      <w:divBdr>
        <w:top w:val="none" w:sz="0" w:space="0" w:color="auto"/>
        <w:left w:val="none" w:sz="0" w:space="0" w:color="auto"/>
        <w:bottom w:val="none" w:sz="0" w:space="0" w:color="auto"/>
        <w:right w:val="none" w:sz="0" w:space="0" w:color="auto"/>
      </w:divBdr>
    </w:div>
    <w:div w:id="1492869474">
      <w:bodyDiv w:val="1"/>
      <w:marLeft w:val="0"/>
      <w:marRight w:val="0"/>
      <w:marTop w:val="0"/>
      <w:marBottom w:val="0"/>
      <w:divBdr>
        <w:top w:val="none" w:sz="0" w:space="0" w:color="auto"/>
        <w:left w:val="none" w:sz="0" w:space="0" w:color="auto"/>
        <w:bottom w:val="none" w:sz="0" w:space="0" w:color="auto"/>
        <w:right w:val="none" w:sz="0" w:space="0" w:color="auto"/>
      </w:divBdr>
    </w:div>
    <w:div w:id="1505586713">
      <w:bodyDiv w:val="1"/>
      <w:marLeft w:val="0"/>
      <w:marRight w:val="0"/>
      <w:marTop w:val="0"/>
      <w:marBottom w:val="0"/>
      <w:divBdr>
        <w:top w:val="none" w:sz="0" w:space="0" w:color="auto"/>
        <w:left w:val="none" w:sz="0" w:space="0" w:color="auto"/>
        <w:bottom w:val="none" w:sz="0" w:space="0" w:color="auto"/>
        <w:right w:val="none" w:sz="0" w:space="0" w:color="auto"/>
      </w:divBdr>
    </w:div>
    <w:div w:id="1538807965">
      <w:bodyDiv w:val="1"/>
      <w:marLeft w:val="0"/>
      <w:marRight w:val="0"/>
      <w:marTop w:val="0"/>
      <w:marBottom w:val="0"/>
      <w:divBdr>
        <w:top w:val="none" w:sz="0" w:space="0" w:color="auto"/>
        <w:left w:val="none" w:sz="0" w:space="0" w:color="auto"/>
        <w:bottom w:val="none" w:sz="0" w:space="0" w:color="auto"/>
        <w:right w:val="none" w:sz="0" w:space="0" w:color="auto"/>
      </w:divBdr>
    </w:div>
    <w:div w:id="1624000978">
      <w:bodyDiv w:val="1"/>
      <w:marLeft w:val="0"/>
      <w:marRight w:val="0"/>
      <w:marTop w:val="0"/>
      <w:marBottom w:val="0"/>
      <w:divBdr>
        <w:top w:val="none" w:sz="0" w:space="0" w:color="auto"/>
        <w:left w:val="none" w:sz="0" w:space="0" w:color="auto"/>
        <w:bottom w:val="none" w:sz="0" w:space="0" w:color="auto"/>
        <w:right w:val="none" w:sz="0" w:space="0" w:color="auto"/>
      </w:divBdr>
    </w:div>
    <w:div w:id="1687977251">
      <w:bodyDiv w:val="1"/>
      <w:marLeft w:val="0"/>
      <w:marRight w:val="0"/>
      <w:marTop w:val="0"/>
      <w:marBottom w:val="0"/>
      <w:divBdr>
        <w:top w:val="none" w:sz="0" w:space="0" w:color="auto"/>
        <w:left w:val="none" w:sz="0" w:space="0" w:color="auto"/>
        <w:bottom w:val="none" w:sz="0" w:space="0" w:color="auto"/>
        <w:right w:val="none" w:sz="0" w:space="0" w:color="auto"/>
      </w:divBdr>
      <w:divsChild>
        <w:div w:id="1614248988">
          <w:marLeft w:val="0"/>
          <w:marRight w:val="0"/>
          <w:marTop w:val="0"/>
          <w:marBottom w:val="0"/>
          <w:divBdr>
            <w:top w:val="none" w:sz="0" w:space="0" w:color="auto"/>
            <w:left w:val="none" w:sz="0" w:space="0" w:color="auto"/>
            <w:bottom w:val="none" w:sz="0" w:space="0" w:color="auto"/>
            <w:right w:val="none" w:sz="0" w:space="0" w:color="auto"/>
          </w:divBdr>
          <w:divsChild>
            <w:div w:id="959531759">
              <w:marLeft w:val="0"/>
              <w:marRight w:val="0"/>
              <w:marTop w:val="0"/>
              <w:marBottom w:val="0"/>
              <w:divBdr>
                <w:top w:val="none" w:sz="0" w:space="0" w:color="auto"/>
                <w:left w:val="none" w:sz="0" w:space="0" w:color="auto"/>
                <w:bottom w:val="none" w:sz="0" w:space="0" w:color="auto"/>
                <w:right w:val="none" w:sz="0" w:space="0" w:color="auto"/>
              </w:divBdr>
              <w:divsChild>
                <w:div w:id="1143422742">
                  <w:marLeft w:val="0"/>
                  <w:marRight w:val="0"/>
                  <w:marTop w:val="0"/>
                  <w:marBottom w:val="0"/>
                  <w:divBdr>
                    <w:top w:val="none" w:sz="0" w:space="0" w:color="auto"/>
                    <w:left w:val="none" w:sz="0" w:space="0" w:color="auto"/>
                    <w:bottom w:val="none" w:sz="0" w:space="0" w:color="auto"/>
                    <w:right w:val="none" w:sz="0" w:space="0" w:color="auto"/>
                  </w:divBdr>
                  <w:divsChild>
                    <w:div w:id="13261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16502">
          <w:marLeft w:val="0"/>
          <w:marRight w:val="0"/>
          <w:marTop w:val="0"/>
          <w:marBottom w:val="0"/>
          <w:divBdr>
            <w:top w:val="none" w:sz="0" w:space="0" w:color="auto"/>
            <w:left w:val="none" w:sz="0" w:space="0" w:color="auto"/>
            <w:bottom w:val="none" w:sz="0" w:space="0" w:color="auto"/>
            <w:right w:val="none" w:sz="0" w:space="0" w:color="auto"/>
          </w:divBdr>
          <w:divsChild>
            <w:div w:id="189683448">
              <w:marLeft w:val="0"/>
              <w:marRight w:val="0"/>
              <w:marTop w:val="0"/>
              <w:marBottom w:val="0"/>
              <w:divBdr>
                <w:top w:val="none" w:sz="0" w:space="0" w:color="auto"/>
                <w:left w:val="none" w:sz="0" w:space="0" w:color="auto"/>
                <w:bottom w:val="none" w:sz="0" w:space="0" w:color="auto"/>
                <w:right w:val="none" w:sz="0" w:space="0" w:color="auto"/>
              </w:divBdr>
              <w:divsChild>
                <w:div w:id="843323754">
                  <w:marLeft w:val="0"/>
                  <w:marRight w:val="0"/>
                  <w:marTop w:val="0"/>
                  <w:marBottom w:val="0"/>
                  <w:divBdr>
                    <w:top w:val="none" w:sz="0" w:space="0" w:color="auto"/>
                    <w:left w:val="none" w:sz="0" w:space="0" w:color="auto"/>
                    <w:bottom w:val="none" w:sz="0" w:space="0" w:color="auto"/>
                    <w:right w:val="none" w:sz="0" w:space="0" w:color="auto"/>
                  </w:divBdr>
                  <w:divsChild>
                    <w:div w:id="441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4099">
      <w:bodyDiv w:val="1"/>
      <w:marLeft w:val="0"/>
      <w:marRight w:val="0"/>
      <w:marTop w:val="0"/>
      <w:marBottom w:val="0"/>
      <w:divBdr>
        <w:top w:val="none" w:sz="0" w:space="0" w:color="auto"/>
        <w:left w:val="none" w:sz="0" w:space="0" w:color="auto"/>
        <w:bottom w:val="none" w:sz="0" w:space="0" w:color="auto"/>
        <w:right w:val="none" w:sz="0" w:space="0" w:color="auto"/>
      </w:divBdr>
      <w:divsChild>
        <w:div w:id="808353360">
          <w:marLeft w:val="0"/>
          <w:marRight w:val="0"/>
          <w:marTop w:val="0"/>
          <w:marBottom w:val="0"/>
          <w:divBdr>
            <w:top w:val="none" w:sz="0" w:space="0" w:color="auto"/>
            <w:left w:val="none" w:sz="0" w:space="0" w:color="auto"/>
            <w:bottom w:val="none" w:sz="0" w:space="0" w:color="auto"/>
            <w:right w:val="none" w:sz="0" w:space="0" w:color="auto"/>
          </w:divBdr>
          <w:divsChild>
            <w:div w:id="3958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288">
      <w:bodyDiv w:val="1"/>
      <w:marLeft w:val="0"/>
      <w:marRight w:val="0"/>
      <w:marTop w:val="0"/>
      <w:marBottom w:val="0"/>
      <w:divBdr>
        <w:top w:val="none" w:sz="0" w:space="0" w:color="auto"/>
        <w:left w:val="none" w:sz="0" w:space="0" w:color="auto"/>
        <w:bottom w:val="none" w:sz="0" w:space="0" w:color="auto"/>
        <w:right w:val="none" w:sz="0" w:space="0" w:color="auto"/>
      </w:divBdr>
      <w:divsChild>
        <w:div w:id="1509564898">
          <w:marLeft w:val="0"/>
          <w:marRight w:val="0"/>
          <w:marTop w:val="0"/>
          <w:marBottom w:val="0"/>
          <w:divBdr>
            <w:top w:val="none" w:sz="0" w:space="0" w:color="auto"/>
            <w:left w:val="none" w:sz="0" w:space="0" w:color="auto"/>
            <w:bottom w:val="none" w:sz="0" w:space="0" w:color="auto"/>
            <w:right w:val="none" w:sz="0" w:space="0" w:color="auto"/>
          </w:divBdr>
          <w:divsChild>
            <w:div w:id="1248271951">
              <w:marLeft w:val="0"/>
              <w:marRight w:val="0"/>
              <w:marTop w:val="0"/>
              <w:marBottom w:val="0"/>
              <w:divBdr>
                <w:top w:val="none" w:sz="0" w:space="0" w:color="auto"/>
                <w:left w:val="none" w:sz="0" w:space="0" w:color="auto"/>
                <w:bottom w:val="none" w:sz="0" w:space="0" w:color="auto"/>
                <w:right w:val="none" w:sz="0" w:space="0" w:color="auto"/>
              </w:divBdr>
              <w:divsChild>
                <w:div w:id="1268345852">
                  <w:marLeft w:val="0"/>
                  <w:marRight w:val="0"/>
                  <w:marTop w:val="0"/>
                  <w:marBottom w:val="0"/>
                  <w:divBdr>
                    <w:top w:val="none" w:sz="0" w:space="0" w:color="auto"/>
                    <w:left w:val="none" w:sz="0" w:space="0" w:color="auto"/>
                    <w:bottom w:val="none" w:sz="0" w:space="0" w:color="auto"/>
                    <w:right w:val="none" w:sz="0" w:space="0" w:color="auto"/>
                  </w:divBdr>
                  <w:divsChild>
                    <w:div w:id="654073024">
                      <w:marLeft w:val="0"/>
                      <w:marRight w:val="0"/>
                      <w:marTop w:val="0"/>
                      <w:marBottom w:val="0"/>
                      <w:divBdr>
                        <w:top w:val="none" w:sz="0" w:space="0" w:color="auto"/>
                        <w:left w:val="none" w:sz="0" w:space="0" w:color="auto"/>
                        <w:bottom w:val="none" w:sz="0" w:space="0" w:color="auto"/>
                        <w:right w:val="none" w:sz="0" w:space="0" w:color="auto"/>
                      </w:divBdr>
                      <w:divsChild>
                        <w:div w:id="2144421233">
                          <w:marLeft w:val="0"/>
                          <w:marRight w:val="0"/>
                          <w:marTop w:val="0"/>
                          <w:marBottom w:val="0"/>
                          <w:divBdr>
                            <w:top w:val="none" w:sz="0" w:space="0" w:color="auto"/>
                            <w:left w:val="none" w:sz="0" w:space="0" w:color="auto"/>
                            <w:bottom w:val="none" w:sz="0" w:space="0" w:color="auto"/>
                            <w:right w:val="none" w:sz="0" w:space="0" w:color="auto"/>
                          </w:divBdr>
                          <w:divsChild>
                            <w:div w:id="1372262391">
                              <w:marLeft w:val="0"/>
                              <w:marRight w:val="0"/>
                              <w:marTop w:val="0"/>
                              <w:marBottom w:val="0"/>
                              <w:divBdr>
                                <w:top w:val="none" w:sz="0" w:space="0" w:color="auto"/>
                                <w:left w:val="none" w:sz="0" w:space="0" w:color="auto"/>
                                <w:bottom w:val="none" w:sz="0" w:space="0" w:color="auto"/>
                                <w:right w:val="none" w:sz="0" w:space="0" w:color="auto"/>
                              </w:divBdr>
                              <w:divsChild>
                                <w:div w:id="17751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92432">
      <w:bodyDiv w:val="1"/>
      <w:marLeft w:val="0"/>
      <w:marRight w:val="0"/>
      <w:marTop w:val="0"/>
      <w:marBottom w:val="0"/>
      <w:divBdr>
        <w:top w:val="none" w:sz="0" w:space="0" w:color="auto"/>
        <w:left w:val="none" w:sz="0" w:space="0" w:color="auto"/>
        <w:bottom w:val="none" w:sz="0" w:space="0" w:color="auto"/>
        <w:right w:val="none" w:sz="0" w:space="0" w:color="auto"/>
      </w:divBdr>
    </w:div>
    <w:div w:id="1865898204">
      <w:bodyDiv w:val="1"/>
      <w:marLeft w:val="0"/>
      <w:marRight w:val="0"/>
      <w:marTop w:val="0"/>
      <w:marBottom w:val="0"/>
      <w:divBdr>
        <w:top w:val="none" w:sz="0" w:space="0" w:color="auto"/>
        <w:left w:val="none" w:sz="0" w:space="0" w:color="auto"/>
        <w:bottom w:val="none" w:sz="0" w:space="0" w:color="auto"/>
        <w:right w:val="none" w:sz="0" w:space="0" w:color="auto"/>
      </w:divBdr>
    </w:div>
    <w:div w:id="1944419093">
      <w:bodyDiv w:val="1"/>
      <w:marLeft w:val="0"/>
      <w:marRight w:val="0"/>
      <w:marTop w:val="0"/>
      <w:marBottom w:val="0"/>
      <w:divBdr>
        <w:top w:val="none" w:sz="0" w:space="0" w:color="auto"/>
        <w:left w:val="none" w:sz="0" w:space="0" w:color="auto"/>
        <w:bottom w:val="none" w:sz="0" w:space="0" w:color="auto"/>
        <w:right w:val="none" w:sz="0" w:space="0" w:color="auto"/>
      </w:divBdr>
    </w:div>
    <w:div w:id="1960994032">
      <w:bodyDiv w:val="1"/>
      <w:marLeft w:val="0"/>
      <w:marRight w:val="0"/>
      <w:marTop w:val="0"/>
      <w:marBottom w:val="0"/>
      <w:divBdr>
        <w:top w:val="none" w:sz="0" w:space="0" w:color="auto"/>
        <w:left w:val="none" w:sz="0" w:space="0" w:color="auto"/>
        <w:bottom w:val="none" w:sz="0" w:space="0" w:color="auto"/>
        <w:right w:val="none" w:sz="0" w:space="0" w:color="auto"/>
      </w:divBdr>
    </w:div>
    <w:div w:id="1996835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1DD6C-FBDF-4D97-86FE-CE86691B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15</Pages>
  <Words>5909</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 Tiyani</dc:creator>
  <cp:keywords/>
  <dc:description/>
  <cp:lastModifiedBy>SDI PC 1170</cp:lastModifiedBy>
  <cp:revision>18</cp:revision>
  <cp:lastPrinted>2025-08-07T12:30:00Z</cp:lastPrinted>
  <dcterms:created xsi:type="dcterms:W3CDTF">2026-03-11T08:46:00Z</dcterms:created>
  <dcterms:modified xsi:type="dcterms:W3CDTF">2026-03-13T09:36:00Z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1c514c35-77cd-3bb3-b7dc-67008b9d2fd5</vt:lpwstr>
  </property>
  <property fmtid="{D5CDD505-2E9C-101B-9397-08002B2CF9AE}" pid="24" name="_DocHome">
    <vt:i4>-721103885</vt:i4>
  </property>
  <property fmtid="{D5CDD505-2E9C-101B-9397-08002B2CF9AE}" pid="25" name="Mendeley Citation Style_1">
    <vt:lpwstr>http://www.zotero.org/styles/apa</vt:lpwstr>
  </property>
  <property fmtid="{D5CDD505-2E9C-101B-9397-08002B2CF9AE}" pid="26" name="ICV">
    <vt:lpwstr>71d164f0e9da4adfbdb9d1e1b2203337</vt:lpwstr>
  </property>
</Properties>
</file>