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6DA48" w14:textId="77777777" w:rsidR="00CD6F20" w:rsidRDefault="00962CAF" w:rsidP="00962CAF">
      <w:pPr>
        <w:jc w:val="center"/>
        <w:rPr>
          <w:rFonts w:ascii="Times New Roman" w:hAnsi="Times New Roman" w:cs="Times New Roman"/>
          <w:b/>
          <w:sz w:val="24"/>
          <w:szCs w:val="24"/>
        </w:rPr>
      </w:pPr>
      <w:r w:rsidRPr="00962CAF">
        <w:rPr>
          <w:rFonts w:ascii="Times New Roman" w:hAnsi="Times New Roman" w:cs="Times New Roman"/>
          <w:b/>
          <w:sz w:val="24"/>
          <w:szCs w:val="24"/>
        </w:rPr>
        <w:t>Community engagement and Blue-entrepreneurs</w:t>
      </w:r>
      <w:r w:rsidR="00B854F3">
        <w:rPr>
          <w:rFonts w:ascii="Times New Roman" w:hAnsi="Times New Roman" w:cs="Times New Roman"/>
          <w:b/>
          <w:sz w:val="24"/>
          <w:szCs w:val="24"/>
        </w:rPr>
        <w:t>hip performance in Tanzania: A C</w:t>
      </w:r>
      <w:r w:rsidRPr="00962CAF">
        <w:rPr>
          <w:rFonts w:ascii="Times New Roman" w:hAnsi="Times New Roman" w:cs="Times New Roman"/>
          <w:b/>
          <w:sz w:val="24"/>
          <w:szCs w:val="24"/>
        </w:rPr>
        <w:t>omparative Case Study of Bagamoyo District and Kinondoni District</w:t>
      </w:r>
    </w:p>
    <w:p w14:paraId="4549A0C3" w14:textId="4C1A0AAE" w:rsidR="00CA64C8" w:rsidRDefault="00CA64C8" w:rsidP="00AD6F7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54724417" w14:textId="77777777" w:rsidR="00CA64C8" w:rsidRDefault="00CA64C8" w:rsidP="00AD6F79">
      <w:pPr>
        <w:spacing w:line="240" w:lineRule="auto"/>
        <w:jc w:val="center"/>
        <w:rPr>
          <w:rFonts w:ascii="Times New Roman" w:hAnsi="Times New Roman" w:cs="Times New Roman"/>
          <w:sz w:val="24"/>
          <w:szCs w:val="24"/>
        </w:rPr>
      </w:pPr>
    </w:p>
    <w:p w14:paraId="08556A4D" w14:textId="77777777" w:rsidR="00A56B91" w:rsidRPr="00A56B91" w:rsidRDefault="00A56B91" w:rsidP="00A56B91">
      <w:pPr>
        <w:jc w:val="both"/>
        <w:rPr>
          <w:rFonts w:ascii="Times New Roman" w:hAnsi="Times New Roman" w:cs="Times New Roman"/>
          <w:b/>
          <w:bCs/>
          <w:sz w:val="24"/>
          <w:szCs w:val="24"/>
        </w:rPr>
      </w:pPr>
      <w:r w:rsidRPr="00A56B91">
        <w:rPr>
          <w:rFonts w:ascii="Times New Roman" w:hAnsi="Times New Roman" w:cs="Times New Roman"/>
          <w:b/>
          <w:bCs/>
          <w:sz w:val="24"/>
          <w:szCs w:val="24"/>
        </w:rPr>
        <w:t>Abstract</w:t>
      </w:r>
    </w:p>
    <w:p w14:paraId="4FDBCE95" w14:textId="77777777" w:rsidR="00A56B91" w:rsidRPr="00A56B91" w:rsidRDefault="00A11354" w:rsidP="00A56B91">
      <w:pPr>
        <w:jc w:val="both"/>
        <w:rPr>
          <w:rFonts w:ascii="Times New Roman" w:hAnsi="Times New Roman" w:cs="Times New Roman"/>
          <w:sz w:val="24"/>
          <w:szCs w:val="24"/>
        </w:rPr>
      </w:pPr>
      <w:r w:rsidRPr="00A11354">
        <w:rPr>
          <w:rFonts w:ascii="Times New Roman" w:hAnsi="Times New Roman" w:cs="Times New Roman"/>
          <w:sz w:val="24"/>
          <w:szCs w:val="24"/>
        </w:rPr>
        <w:t>The Blue Economy is now a key development strategy for coastal states that want to find a balance between economic growth, better living conditions, and protecting the environment. In Tanzania, small-scale Blue-economy businesses are very important for local development, but many of them are still not very productive, are not growing very quickly, and are not very stable when the market or the environment changes. This research investigates the impact of community engagement on the performance of Blue entrepreneurship, utilizing theories of social capital and participatory governance. Utilizing a comparative cross-sectional mixed-methods design, primary data were gathered from 240 Blue entrepreneurs in Bagamoyo District and Kinondoni District. Descriptive statistics, correlation analysis, and multivariate regression models were used to look at the quantitative data. Qualitative interviews and focus group discussions gave us more information about the context. The findings demonstrate that community engagement exerts a positive and statistically significant impact on enterprise performance, encompassing income growth, business sustainability, diversification, and the implementation of sustainable practices. Joining community savings and credit groups greatly increases the chances of a business surviving, while being involved in local decision-making and knowledge-sharing networks improves both economic and environmental outcomes. Furthermore, the impacts of community engagement are more pronounced in semi-rural coastal areas compared to urban environments, underscoring the significance of local institutional contexts. The study adds to Blue Economy research by showing that community involvement is not only a way to govern but also a valuable economic resource. Policy implications underscore the necessity of institutionalizing community-based engagement and financial mechanisms within Tanzania’s Blue Economy strategy to foster inclusive and sustainable coastal development.</w:t>
      </w:r>
      <w:r w:rsidRPr="00A11354">
        <w:rPr>
          <w:rFonts w:ascii="Times New Roman" w:hAnsi="Times New Roman" w:cs="Times New Roman"/>
          <w:sz w:val="24"/>
          <w:szCs w:val="24"/>
        </w:rPr>
        <w:br/>
      </w:r>
      <w:r w:rsidR="00A56B91" w:rsidRPr="00A56B91">
        <w:rPr>
          <w:rFonts w:ascii="Times New Roman" w:hAnsi="Times New Roman" w:cs="Times New Roman"/>
          <w:b/>
          <w:bCs/>
          <w:sz w:val="24"/>
          <w:szCs w:val="24"/>
        </w:rPr>
        <w:t>Keywords:</w:t>
      </w:r>
      <w:r w:rsidR="00A56B91" w:rsidRPr="00A56B91">
        <w:rPr>
          <w:rFonts w:ascii="Times New Roman" w:hAnsi="Times New Roman" w:cs="Times New Roman"/>
          <w:sz w:val="24"/>
          <w:szCs w:val="24"/>
        </w:rPr>
        <w:t xml:space="preserve"> Blue Economy; community engagement; social capital; entrepreneurship performance; coastal development; Tanzania</w:t>
      </w:r>
    </w:p>
    <w:p w14:paraId="3E911653" w14:textId="77777777" w:rsidR="00A56B91" w:rsidRDefault="00A56B91" w:rsidP="00962CAF">
      <w:pPr>
        <w:jc w:val="both"/>
        <w:rPr>
          <w:rFonts w:ascii="Times New Roman" w:hAnsi="Times New Roman" w:cs="Times New Roman"/>
          <w:sz w:val="24"/>
          <w:szCs w:val="24"/>
        </w:rPr>
      </w:pPr>
    </w:p>
    <w:p w14:paraId="5F125314" w14:textId="3274ABF1" w:rsidR="00FD40C0" w:rsidRDefault="00FD40C0" w:rsidP="00962CAF">
      <w:pPr>
        <w:jc w:val="both"/>
        <w:rPr>
          <w:rFonts w:ascii="Times New Roman" w:hAnsi="Times New Roman" w:cs="Times New Roman"/>
          <w:sz w:val="24"/>
          <w:szCs w:val="24"/>
        </w:rPr>
      </w:pPr>
    </w:p>
    <w:p w14:paraId="40F4FD24" w14:textId="11A01796" w:rsidR="00444C3B" w:rsidRDefault="00444C3B" w:rsidP="00962CAF">
      <w:pPr>
        <w:jc w:val="both"/>
        <w:rPr>
          <w:rFonts w:ascii="Times New Roman" w:hAnsi="Times New Roman" w:cs="Times New Roman"/>
          <w:sz w:val="24"/>
          <w:szCs w:val="24"/>
        </w:rPr>
      </w:pPr>
    </w:p>
    <w:p w14:paraId="45B5903C" w14:textId="77777777" w:rsidR="00444C3B" w:rsidRDefault="00444C3B" w:rsidP="00962CAF">
      <w:pPr>
        <w:jc w:val="both"/>
        <w:rPr>
          <w:rFonts w:ascii="Times New Roman" w:hAnsi="Times New Roman" w:cs="Times New Roman"/>
          <w:sz w:val="24"/>
          <w:szCs w:val="24"/>
        </w:rPr>
      </w:pPr>
      <w:bookmarkStart w:id="0" w:name="_GoBack"/>
      <w:bookmarkEnd w:id="0"/>
    </w:p>
    <w:p w14:paraId="5D0A19CE" w14:textId="77777777" w:rsidR="00A56B91" w:rsidRDefault="00A56B91" w:rsidP="00962CAF">
      <w:pPr>
        <w:jc w:val="both"/>
        <w:rPr>
          <w:rFonts w:ascii="Times New Roman" w:hAnsi="Times New Roman" w:cs="Times New Roman"/>
          <w:sz w:val="24"/>
          <w:szCs w:val="24"/>
        </w:rPr>
      </w:pPr>
    </w:p>
    <w:p w14:paraId="678CD11F" w14:textId="77777777" w:rsidR="003B2D17" w:rsidRPr="003B2D17" w:rsidRDefault="003B2D17" w:rsidP="003B2D17">
      <w:pPr>
        <w:jc w:val="both"/>
        <w:rPr>
          <w:rFonts w:ascii="Times New Roman" w:hAnsi="Times New Roman" w:cs="Times New Roman"/>
          <w:b/>
          <w:bCs/>
          <w:sz w:val="24"/>
          <w:szCs w:val="24"/>
        </w:rPr>
      </w:pPr>
      <w:r w:rsidRPr="003B2D17">
        <w:rPr>
          <w:rFonts w:ascii="Times New Roman" w:hAnsi="Times New Roman" w:cs="Times New Roman"/>
          <w:b/>
          <w:bCs/>
          <w:sz w:val="24"/>
          <w:szCs w:val="24"/>
        </w:rPr>
        <w:lastRenderedPageBreak/>
        <w:t>1. Introduction</w:t>
      </w:r>
    </w:p>
    <w:p w14:paraId="203F7193" w14:textId="77777777"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The Blue Economy has become a major global development model that uses coastal and marine resources to boost economic growth, improve people's lives, and protect ecosystems in a balanced and integrated way. It includes a wide range of ocean-based economic activities, such as fisheries, aquaculture, marine and coastal tourism, maritime services, and related value chains. It also stresses the importance of protecting the environment, including everyone, and making sure that resources are available for a long time (World Bank, 2017). For developing coastal nations, the Blue Economy presents a strategic avenue for diversifying livelihoods, alleviating poverty, and bolstering socio-economic resilience within communities whose well-being is intricately linked to</w:t>
      </w:r>
      <w:r>
        <w:rPr>
          <w:rFonts w:ascii="Times New Roman" w:hAnsi="Times New Roman" w:cs="Times New Roman"/>
          <w:sz w:val="24"/>
          <w:szCs w:val="24"/>
        </w:rPr>
        <w:t xml:space="preserve"> marine and coastal ecosystems.</w:t>
      </w:r>
    </w:p>
    <w:p w14:paraId="3CF4C9AD" w14:textId="77777777"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The Blue Economy has become more important in Tanzania's policies because the country has a long coastline along the Indian Ocean, a lot of marine biodiversity, and a large part of the population relies on coastal and marine resources for food and money. The Blue Economy is clearly seen as a driver of inclusive growth, job creation, and local economic development in national development frameworks (United Republic of Tanzania [URT], 2021; National Environment Management Council [NEMC], 2024). Small-scale business owners in Tanzania's Blue Economy work in fisheries, seaweed farming, aquaculture, and coastal tourism. These people are the backbone of the economy. These businesses are very important for helping families make money, making sure people have enough food, and getting people involved in the economy in both rura</w:t>
      </w:r>
      <w:r>
        <w:rPr>
          <w:rFonts w:ascii="Times New Roman" w:hAnsi="Times New Roman" w:cs="Times New Roman"/>
          <w:sz w:val="24"/>
          <w:szCs w:val="24"/>
        </w:rPr>
        <w:t>l and peri-urban coastal areas.</w:t>
      </w:r>
    </w:p>
    <w:p w14:paraId="15E9D14F" w14:textId="77777777"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Even though it has a lot of potential, Blue-economy entrepreneurship in Tanzania is still held back by ongoing structural and institutional problems. Evidence from both research and policy shows that productivity is low, access to finance is limited, market integration is weak, governance is inefficient, and the economy is becoming more vulnerable to climate change and environmental damage (World Bank, 2023). These kinds of restrictions hurt business growth and income stability, and they make it harder for entrepreneurs to use sustainable production methods. This weakens the Blue Economy agenda's promise for bro</w:t>
      </w:r>
      <w:r>
        <w:rPr>
          <w:rFonts w:ascii="Times New Roman" w:hAnsi="Times New Roman" w:cs="Times New Roman"/>
          <w:sz w:val="24"/>
          <w:szCs w:val="24"/>
        </w:rPr>
        <w:t>ader development.</w:t>
      </w:r>
    </w:p>
    <w:p w14:paraId="460F86E9" w14:textId="77777777"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Policymakers and development partners are putting more and more emphasis on community engagement as a key way to improve business performance and long-term viability in response to these problems. Community engagement entails the active involvement of local stakeholders in decision-making processes, collaborative initiatives, knowledge sharing, and the joint management of resources and economic activities (Pretty, 2003). In coastal areas where people rely on common-pool resources, community involvement is closely linked to building social capital, trust, giving and getting back, and working together. These are all important for good resource management and business success.</w:t>
      </w:r>
    </w:p>
    <w:p w14:paraId="5CB76FDC" w14:textId="77777777" w:rsidR="00A11354" w:rsidRPr="00A11354" w:rsidRDefault="00A11354" w:rsidP="00A11354">
      <w:pPr>
        <w:jc w:val="both"/>
        <w:rPr>
          <w:rFonts w:ascii="Times New Roman" w:hAnsi="Times New Roman" w:cs="Times New Roman"/>
          <w:sz w:val="24"/>
          <w:szCs w:val="24"/>
        </w:rPr>
      </w:pPr>
    </w:p>
    <w:p w14:paraId="044B3540" w14:textId="77777777"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lastRenderedPageBreak/>
        <w:t>Although community engagement is frequently advocated in policy discussions as a fundamental element of sustainable Blue Economy development, empirical evidence concerning its direct influence on entrepreneurial performance is scarce and context-dependent. In Tanzania, numerous Blue entrepreneurs persist in facing erratic incomes, sluggish business expansion, and insufficient resilience to market and environmental disruptions, even in communities aimed at by participatory development initiatives (World Bank, 2023; URT, 2021). This implies that the correlation between community engagement and enhanced enterprise outcomes may be more intricate and conditional than pol</w:t>
      </w:r>
      <w:r>
        <w:rPr>
          <w:rFonts w:ascii="Times New Roman" w:hAnsi="Times New Roman" w:cs="Times New Roman"/>
          <w:sz w:val="24"/>
          <w:szCs w:val="24"/>
        </w:rPr>
        <w:t>icy narratives typically posit.</w:t>
      </w:r>
    </w:p>
    <w:p w14:paraId="5446820F" w14:textId="77777777"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Another shortcoming in current research is the lack of comprehensive, district-level comparative studies that systematically analyze the correlation between community engagement mechanisms and quantifiable entrepreneurial performance outcomes. There is a lack of empirical clarity regarding whi</w:t>
      </w:r>
      <w:r>
        <w:rPr>
          <w:rFonts w:ascii="Times New Roman" w:hAnsi="Times New Roman" w:cs="Times New Roman"/>
          <w:sz w:val="24"/>
          <w:szCs w:val="24"/>
        </w:rPr>
        <w:t xml:space="preserve">ch specific forms of engagement </w:t>
      </w:r>
      <w:r w:rsidRPr="00A11354">
        <w:rPr>
          <w:rFonts w:ascii="Times New Roman" w:hAnsi="Times New Roman" w:cs="Times New Roman"/>
          <w:sz w:val="24"/>
          <w:szCs w:val="24"/>
        </w:rPr>
        <w:t>such as participation in local governance structures, membership in community savings and credit associations, or involvemen</w:t>
      </w:r>
      <w:r>
        <w:rPr>
          <w:rFonts w:ascii="Times New Roman" w:hAnsi="Times New Roman" w:cs="Times New Roman"/>
          <w:sz w:val="24"/>
          <w:szCs w:val="24"/>
        </w:rPr>
        <w:t xml:space="preserve">t in knowledge-sharing networks </w:t>
      </w:r>
      <w:r w:rsidRPr="00A11354">
        <w:rPr>
          <w:rFonts w:ascii="Times New Roman" w:hAnsi="Times New Roman" w:cs="Times New Roman"/>
          <w:sz w:val="24"/>
          <w:szCs w:val="24"/>
        </w:rPr>
        <w:t>are most effective in various coastal contexts. This gap makes it harder for policymakers and local governments to come up with specific, evidence-based plans that will help the Blue Economy grow in a way</w:t>
      </w:r>
      <w:r>
        <w:rPr>
          <w:rFonts w:ascii="Times New Roman" w:hAnsi="Times New Roman" w:cs="Times New Roman"/>
          <w:sz w:val="24"/>
          <w:szCs w:val="24"/>
        </w:rPr>
        <w:t xml:space="preserve"> that is fair and long-lasting.</w:t>
      </w:r>
    </w:p>
    <w:p w14:paraId="2FF860ED" w14:textId="77777777"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 xml:space="preserve">Community-based organizations, cooperatives, participatory governance structures, and savings and credit associations—especially Village Community Banks (VICOBA)—are having a bigger and bigger impact on how businesses grow in Tanzania's coastal areas. New evidence shows that these kinds of involvement can make it easier to get money, help people learn from each other, give them more power in negotiations, and make it easier to follow rules for using resources sustainably (International Union for Conservation of Nature [IUCN], 2023; United Nations Development </w:t>
      </w:r>
      <w:proofErr w:type="spellStart"/>
      <w:r w:rsidRPr="00A11354">
        <w:rPr>
          <w:rFonts w:ascii="Times New Roman" w:hAnsi="Times New Roman" w:cs="Times New Roman"/>
          <w:sz w:val="24"/>
          <w:szCs w:val="24"/>
        </w:rPr>
        <w:t>Programme</w:t>
      </w:r>
      <w:proofErr w:type="spellEnd"/>
      <w:r w:rsidRPr="00A11354">
        <w:rPr>
          <w:rFonts w:ascii="Times New Roman" w:hAnsi="Times New Roman" w:cs="Times New Roman"/>
          <w:sz w:val="24"/>
          <w:szCs w:val="24"/>
        </w:rPr>
        <w:t xml:space="preserve"> [UNDP], 2024). These mechanisms are especially crucial for small-scale Blue entrepreneurs functioning in resource-dependent and institutionally intricate settings where individual enterprise ca</w:t>
      </w:r>
      <w:r>
        <w:rPr>
          <w:rFonts w:ascii="Times New Roman" w:hAnsi="Times New Roman" w:cs="Times New Roman"/>
          <w:sz w:val="24"/>
          <w:szCs w:val="24"/>
        </w:rPr>
        <w:t>pacity is frequently limited.</w:t>
      </w:r>
    </w:p>
    <w:p w14:paraId="66AB3804" w14:textId="77777777"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Bagamoyo District and Kinondoni District offer analytically significant comparative contexts within this framework. Bagamoyo has a mostly semi-rural coastal economy that depends a lot on fishing, seaweed farming, and new eco-tourism. Kinondoni, on the other hand, is an urban coastal district that is part of the larger Dar es Salaam metropolitan economy and has more commercialized but very competitive market conditions. Both districts have been the focus of Blue Economy interventions and community-based projects. This makes them good places to look at how the context affects how well community engagement can affect business perfor</w:t>
      </w:r>
      <w:r>
        <w:rPr>
          <w:rFonts w:ascii="Times New Roman" w:hAnsi="Times New Roman" w:cs="Times New Roman"/>
          <w:sz w:val="24"/>
          <w:szCs w:val="24"/>
        </w:rPr>
        <w:t>mance (NEMC, 2024; UNDP, 2024).</w:t>
      </w:r>
    </w:p>
    <w:p w14:paraId="5190DC13" w14:textId="77777777" w:rsidR="00A11354" w:rsidRDefault="00A11354" w:rsidP="00782DFF">
      <w:pPr>
        <w:jc w:val="both"/>
        <w:rPr>
          <w:rFonts w:ascii="Times New Roman" w:hAnsi="Times New Roman" w:cs="Times New Roman"/>
          <w:sz w:val="24"/>
          <w:szCs w:val="24"/>
        </w:rPr>
      </w:pPr>
      <w:r w:rsidRPr="00A11354">
        <w:rPr>
          <w:rFonts w:ascii="Times New Roman" w:hAnsi="Times New Roman" w:cs="Times New Roman"/>
          <w:sz w:val="24"/>
          <w:szCs w:val="24"/>
        </w:rPr>
        <w:t xml:space="preserve">Even though more and more researchers and policymakers are interested in the Blue Economy, not much research has directly connected community engagement methods to measurable business performance indicators like income growth, business survival, diversification, and the use of sustainable practices. Current research predominantly analyzes environmental co-management outcomes or entrepreneurial performance separately, failing to synthesize the two </w:t>
      </w:r>
      <w:r w:rsidRPr="00A11354">
        <w:rPr>
          <w:rFonts w:ascii="Times New Roman" w:hAnsi="Times New Roman" w:cs="Times New Roman"/>
          <w:sz w:val="24"/>
          <w:szCs w:val="24"/>
        </w:rPr>
        <w:lastRenderedPageBreak/>
        <w:t>areas. This study empirically examines the relationship between community engagement and Blue-entrepreneurship performance through a comparative district-level analysis, thereby addressing a significant gap and enhancing the understanding of how participatory mechanisms affect economic and sustainability outcomes i</w:t>
      </w:r>
      <w:r>
        <w:rPr>
          <w:rFonts w:ascii="Times New Roman" w:hAnsi="Times New Roman" w:cs="Times New Roman"/>
          <w:sz w:val="24"/>
          <w:szCs w:val="24"/>
        </w:rPr>
        <w:t>n coastal development contexts.</w:t>
      </w:r>
    </w:p>
    <w:p w14:paraId="3D57B0F3" w14:textId="77777777" w:rsidR="004A4172" w:rsidRDefault="004A4172" w:rsidP="004A4172">
      <w:pPr>
        <w:jc w:val="both"/>
        <w:rPr>
          <w:rFonts w:ascii="Times New Roman" w:hAnsi="Times New Roman" w:cs="Times New Roman"/>
          <w:b/>
          <w:sz w:val="24"/>
          <w:szCs w:val="24"/>
        </w:rPr>
      </w:pPr>
      <w:r w:rsidRPr="004A4172">
        <w:rPr>
          <w:rFonts w:ascii="Times New Roman" w:hAnsi="Times New Roman" w:cs="Times New Roman"/>
          <w:b/>
          <w:sz w:val="24"/>
          <w:szCs w:val="24"/>
        </w:rPr>
        <w:t>2. Literature Review</w:t>
      </w:r>
    </w:p>
    <w:p w14:paraId="682C3144" w14:textId="77777777" w:rsidR="008436A1" w:rsidRDefault="008436A1" w:rsidP="004A4172">
      <w:pPr>
        <w:jc w:val="both"/>
        <w:rPr>
          <w:rFonts w:ascii="Times New Roman" w:hAnsi="Times New Roman" w:cs="Times New Roman"/>
          <w:b/>
          <w:sz w:val="24"/>
          <w:szCs w:val="24"/>
        </w:rPr>
      </w:pPr>
      <w:r>
        <w:rPr>
          <w:rFonts w:ascii="Times New Roman" w:hAnsi="Times New Roman" w:cs="Times New Roman"/>
          <w:b/>
          <w:sz w:val="24"/>
          <w:szCs w:val="24"/>
        </w:rPr>
        <w:t xml:space="preserve">2.1 Definitions of Key Concept </w:t>
      </w:r>
    </w:p>
    <w:p w14:paraId="026AF97D" w14:textId="77777777" w:rsidR="008436A1" w:rsidRPr="008436A1" w:rsidRDefault="008436A1" w:rsidP="008436A1">
      <w:pPr>
        <w:jc w:val="both"/>
        <w:rPr>
          <w:rFonts w:ascii="Times New Roman" w:hAnsi="Times New Roman" w:cs="Times New Roman"/>
          <w:b/>
          <w:bCs/>
          <w:sz w:val="24"/>
          <w:szCs w:val="24"/>
        </w:rPr>
      </w:pPr>
      <w:r w:rsidRPr="008436A1">
        <w:rPr>
          <w:rFonts w:ascii="Times New Roman" w:hAnsi="Times New Roman" w:cs="Times New Roman"/>
          <w:b/>
          <w:bCs/>
          <w:sz w:val="24"/>
          <w:szCs w:val="24"/>
        </w:rPr>
        <w:t>Concept of Community Engagement</w:t>
      </w:r>
    </w:p>
    <w:p w14:paraId="5CF1E695" w14:textId="77777777" w:rsidR="00A11354" w:rsidRPr="00A11354" w:rsidRDefault="00A11354" w:rsidP="00A11354">
      <w:pPr>
        <w:jc w:val="both"/>
        <w:rPr>
          <w:rFonts w:ascii="Times New Roman" w:hAnsi="Times New Roman" w:cs="Times New Roman"/>
          <w:bCs/>
          <w:sz w:val="24"/>
          <w:szCs w:val="24"/>
        </w:rPr>
      </w:pPr>
      <w:r w:rsidRPr="00A11354">
        <w:rPr>
          <w:rFonts w:ascii="Times New Roman" w:hAnsi="Times New Roman" w:cs="Times New Roman"/>
          <w:bCs/>
          <w:sz w:val="24"/>
          <w:szCs w:val="24"/>
        </w:rPr>
        <w:t xml:space="preserve">Community engagement is when people in a community work together to make decisions, share information, and manage resources and economic activities that affect their lives and health. It includes both formal and informal ways of getting involved, such as being a member of community-based organizations, cooperatives, and savings and credit associations, as well as taking part in collective action and local governance processes (Pretty, 2003). From the standpoint of social capital theory, community engagement serves as a conduit for the cultivation and activation of trust, shared norms, and social networks, thereby facilitating access to information, resources, and reciprocal support that improve economic and social outcomes (Putnam, 1993; </w:t>
      </w:r>
      <w:proofErr w:type="spellStart"/>
      <w:r w:rsidRPr="00A11354">
        <w:rPr>
          <w:rFonts w:ascii="Times New Roman" w:hAnsi="Times New Roman" w:cs="Times New Roman"/>
          <w:bCs/>
          <w:sz w:val="24"/>
          <w:szCs w:val="24"/>
        </w:rPr>
        <w:t>Nahapiet</w:t>
      </w:r>
      <w:proofErr w:type="spellEnd"/>
      <w:r w:rsidRPr="00A11354">
        <w:rPr>
          <w:rFonts w:ascii="Times New Roman" w:hAnsi="Times New Roman" w:cs="Times New Roman"/>
          <w:bCs/>
          <w:sz w:val="24"/>
          <w:szCs w:val="24"/>
        </w:rPr>
        <w:t xml:space="preserve"> &amp; Ghoshal, 1998). In resource-dependent contexts, like coastal and marine economies, community engagement promotes collaboration among stakeholders whose livelihoods are interconnected, thus lowering transaction costs and enhancing collective </w:t>
      </w:r>
      <w:r>
        <w:rPr>
          <w:rFonts w:ascii="Times New Roman" w:hAnsi="Times New Roman" w:cs="Times New Roman"/>
          <w:bCs/>
          <w:sz w:val="24"/>
          <w:szCs w:val="24"/>
        </w:rPr>
        <w:t>problem-solving (Ostrom, 1990).</w:t>
      </w:r>
    </w:p>
    <w:p w14:paraId="4727C87C" w14:textId="77777777" w:rsidR="00A11354" w:rsidRDefault="00A11354" w:rsidP="00782DFF">
      <w:pPr>
        <w:jc w:val="both"/>
        <w:rPr>
          <w:rFonts w:ascii="Times New Roman" w:hAnsi="Times New Roman" w:cs="Times New Roman"/>
          <w:bCs/>
          <w:sz w:val="24"/>
          <w:szCs w:val="24"/>
        </w:rPr>
      </w:pPr>
      <w:r w:rsidRPr="00A11354">
        <w:rPr>
          <w:rFonts w:ascii="Times New Roman" w:hAnsi="Times New Roman" w:cs="Times New Roman"/>
          <w:bCs/>
          <w:sz w:val="24"/>
          <w:szCs w:val="24"/>
        </w:rPr>
        <w:t xml:space="preserve">In the context of participatory governance, community engagement denotes the extent of involvement of local stakeholders in the formulation of regulations, the management of common-pool resources, and the influence on developmental initiatives that impact their economic activities (Pretty, 2003; </w:t>
      </w:r>
      <w:proofErr w:type="spellStart"/>
      <w:r w:rsidRPr="00A11354">
        <w:rPr>
          <w:rFonts w:ascii="Times New Roman" w:hAnsi="Times New Roman" w:cs="Times New Roman"/>
          <w:bCs/>
          <w:sz w:val="24"/>
          <w:szCs w:val="24"/>
        </w:rPr>
        <w:t>Béné</w:t>
      </w:r>
      <w:proofErr w:type="spellEnd"/>
      <w:r w:rsidRPr="00A11354">
        <w:rPr>
          <w:rFonts w:ascii="Times New Roman" w:hAnsi="Times New Roman" w:cs="Times New Roman"/>
          <w:bCs/>
          <w:sz w:val="24"/>
          <w:szCs w:val="24"/>
        </w:rPr>
        <w:t xml:space="preserve"> et al., 2016). In this study, community engagement is defined as a multidimensional construct encompassing entrepreneurs' involvement in local decision-making, membership in community savings and credit groups (e.g., VICOBA), participation in cooperatives and community-based organizations, engagement in knowledge-sharing networks, and the degree of trust and collective action within their communities.</w:t>
      </w:r>
    </w:p>
    <w:p w14:paraId="5C430C2B" w14:textId="77777777" w:rsidR="00782DFF" w:rsidRPr="00782DFF" w:rsidRDefault="00180D58" w:rsidP="00180D58">
      <w:pPr>
        <w:jc w:val="both"/>
        <w:rPr>
          <w:rFonts w:ascii="Times New Roman" w:hAnsi="Times New Roman" w:cs="Times New Roman"/>
          <w:b/>
          <w:bCs/>
          <w:sz w:val="24"/>
          <w:szCs w:val="24"/>
        </w:rPr>
      </w:pPr>
      <w:r w:rsidRPr="00180D58">
        <w:rPr>
          <w:rFonts w:ascii="Times New Roman" w:hAnsi="Times New Roman" w:cs="Times New Roman"/>
          <w:b/>
          <w:bCs/>
          <w:sz w:val="24"/>
          <w:szCs w:val="24"/>
        </w:rPr>
        <w:t>The Blue Economy</w:t>
      </w:r>
    </w:p>
    <w:p w14:paraId="1336C6A2" w14:textId="77777777"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The Blue Economy is the sustainable use of ocean, sea, and coastal resources to support economic growth, improve livelihoods, and create jobs while keeping marine and coastal ecosystems healthy and strong. The idea is that ocean-based industries like fisheries, aquaculture, marine and coastal tourism, maritime transport, and related value chains should all work together to promote economic growth, social inclusion, and environmental sustainability (World Bank, 2017). The Blue Economy framework is different from traditional ocean-based development models because it recognizes the ecological limits of marine systems and the need to balance exploitation with conservation. Traditional models focu</w:t>
      </w:r>
      <w:r>
        <w:rPr>
          <w:rFonts w:ascii="Times New Roman" w:hAnsi="Times New Roman" w:cs="Times New Roman"/>
          <w:sz w:val="24"/>
          <w:szCs w:val="24"/>
        </w:rPr>
        <w:t>s on short-term economic gains.</w:t>
      </w:r>
    </w:p>
    <w:p w14:paraId="376EF5BE" w14:textId="77777777"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lastRenderedPageBreak/>
        <w:t>The Blue Economy is becoming more and more seen as a strategic way to reduce poverty, diversify livelihoods, and build resilience in communities that rely heavily on natural resources (</w:t>
      </w:r>
      <w:proofErr w:type="spellStart"/>
      <w:r w:rsidRPr="00A11354">
        <w:rPr>
          <w:rFonts w:ascii="Times New Roman" w:hAnsi="Times New Roman" w:cs="Times New Roman"/>
          <w:sz w:val="24"/>
          <w:szCs w:val="24"/>
        </w:rPr>
        <w:t>Béné</w:t>
      </w:r>
      <w:proofErr w:type="spellEnd"/>
      <w:r w:rsidRPr="00A11354">
        <w:rPr>
          <w:rFonts w:ascii="Times New Roman" w:hAnsi="Times New Roman" w:cs="Times New Roman"/>
          <w:sz w:val="24"/>
          <w:szCs w:val="24"/>
        </w:rPr>
        <w:t xml:space="preserve"> et al., 2016). The Blue Economy could help local economies grow by encouraging value addition, innovation, and sustainable resource management. It could also make communities less vulnerable to climate change and environmental degradation. However, the quality of governance, coordination between institutions, and the involvement of local communities in decision-making are all very important for these benefits to happen. In Africa, the Blue Economy has become more important as governments try to use the continent's vast marine resources to speed up economic change while dealing with problems like overfishing, habitat loss, and weak regulatory capacity (UNDP, 2024). Community involvement and co-management plans are becoming more and more important for good Blue Economy governance, especially in small-scale fisheries and coastal businesses where people's lives and ecosystems are closely linke</w:t>
      </w:r>
      <w:r>
        <w:rPr>
          <w:rFonts w:ascii="Times New Roman" w:hAnsi="Times New Roman" w:cs="Times New Roman"/>
          <w:sz w:val="24"/>
          <w:szCs w:val="24"/>
        </w:rPr>
        <w:t>d (Ostrom, 1990; Pretty, 2003).</w:t>
      </w:r>
    </w:p>
    <w:p w14:paraId="36D6390A" w14:textId="77777777"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The Blue Economy has become a national development priority in Tanzania because the country has a long coastline along the Indian Ocean, a lot of marine biodiversity, and the coastal and marine sectors are important for people's livelihoods and food security. National policy frameworks underscore the significance of the Blue Economy in fostering inclusive growth, generating employment, and ensuring the sustainable utilization of marine resources (United Republic of Tanzania [URT], 2021; National Environment Management Council [NEMC], 2024). Small-scale business owners who work in fisheries, seaweed farming, aquaculture, and coastal tourism are a key part of Tanzania's Blue Economy, especially at the community leve</w:t>
      </w:r>
      <w:r>
        <w:rPr>
          <w:rFonts w:ascii="Times New Roman" w:hAnsi="Times New Roman" w:cs="Times New Roman"/>
          <w:sz w:val="24"/>
          <w:szCs w:val="24"/>
        </w:rPr>
        <w:t>l.</w:t>
      </w:r>
    </w:p>
    <w:p w14:paraId="53570541" w14:textId="77777777" w:rsidR="00A11354" w:rsidRDefault="00A11354" w:rsidP="00782DFF">
      <w:pPr>
        <w:jc w:val="both"/>
        <w:rPr>
          <w:rFonts w:ascii="Times New Roman" w:hAnsi="Times New Roman" w:cs="Times New Roman"/>
          <w:sz w:val="24"/>
          <w:szCs w:val="24"/>
        </w:rPr>
      </w:pPr>
      <w:r w:rsidRPr="00A11354">
        <w:rPr>
          <w:rFonts w:ascii="Times New Roman" w:hAnsi="Times New Roman" w:cs="Times New Roman"/>
          <w:sz w:val="24"/>
          <w:szCs w:val="24"/>
        </w:rPr>
        <w:t>The Blue Economy in Tanzania has a lot of potential, but it is still hard to make it work because of problems like limited access to finance, weak market links, poor governance, and growing pressures from climate change and environmental degradation (World Bank, 2023). These challenges underscore the necessity of amalgamating economic goals with social and institutional aspects, especially community involvement and participatory governance, to guarantee that Blue Economy advancement results in sustainable and inclusive outcomes.</w:t>
      </w:r>
    </w:p>
    <w:p w14:paraId="4C717989" w14:textId="77777777" w:rsidR="008436A1" w:rsidRPr="008436A1" w:rsidRDefault="008436A1" w:rsidP="008436A1">
      <w:pPr>
        <w:jc w:val="both"/>
        <w:rPr>
          <w:rFonts w:ascii="Times New Roman" w:hAnsi="Times New Roman" w:cs="Times New Roman"/>
          <w:b/>
          <w:bCs/>
          <w:sz w:val="24"/>
          <w:szCs w:val="24"/>
        </w:rPr>
      </w:pPr>
      <w:r w:rsidRPr="008436A1">
        <w:rPr>
          <w:rFonts w:ascii="Times New Roman" w:hAnsi="Times New Roman" w:cs="Times New Roman"/>
          <w:b/>
          <w:bCs/>
          <w:sz w:val="24"/>
          <w:szCs w:val="24"/>
        </w:rPr>
        <w:t>Concept of Blue-Entrepreneurship Performance</w:t>
      </w:r>
    </w:p>
    <w:p w14:paraId="38505E54" w14:textId="77777777" w:rsidR="00A11354" w:rsidRPr="00A11354" w:rsidRDefault="00A11354" w:rsidP="00A11354">
      <w:pPr>
        <w:jc w:val="both"/>
        <w:rPr>
          <w:rFonts w:ascii="Times New Roman" w:hAnsi="Times New Roman" w:cs="Times New Roman"/>
          <w:bCs/>
          <w:sz w:val="24"/>
          <w:szCs w:val="24"/>
        </w:rPr>
      </w:pPr>
      <w:r w:rsidRPr="00A11354">
        <w:rPr>
          <w:rFonts w:ascii="Times New Roman" w:hAnsi="Times New Roman" w:cs="Times New Roman"/>
          <w:bCs/>
          <w:sz w:val="24"/>
          <w:szCs w:val="24"/>
        </w:rPr>
        <w:t>Blue-entrepreneurship performance is how well businesses in the Blue Economy do when they use coastal and marine resources to get good economic, organizational, and sustainability results. The Blue Economy includes economic activities that take place in oceans, seas, and coastal areas in ways that are good for the environment and for people (World Bank, 2017). Conventional measures of entrepreneurial performance often only look at financial indicators like profit or sales growth. In contrast, Blue-entrepreneurship performance is inherently multidimensional because it shows how closely economic activities and marine ecosystems are linked (</w:t>
      </w:r>
      <w:proofErr w:type="spellStart"/>
      <w:r w:rsidRPr="00A11354">
        <w:rPr>
          <w:rFonts w:ascii="Times New Roman" w:hAnsi="Times New Roman" w:cs="Times New Roman"/>
          <w:bCs/>
          <w:sz w:val="24"/>
          <w:szCs w:val="24"/>
        </w:rPr>
        <w:t>Béné</w:t>
      </w:r>
      <w:proofErr w:type="spellEnd"/>
      <w:r w:rsidRPr="00A11354">
        <w:rPr>
          <w:rFonts w:ascii="Times New Roman" w:hAnsi="Times New Roman" w:cs="Times New Roman"/>
          <w:bCs/>
          <w:sz w:val="24"/>
          <w:szCs w:val="24"/>
        </w:rPr>
        <w:t xml:space="preserve"> et al., 2016). Performance encompasses not only economic growth and business continuity but also the capacity of enterprises to implement sustainable practices that safeguard the resource base upo</w:t>
      </w:r>
      <w:r>
        <w:rPr>
          <w:rFonts w:ascii="Times New Roman" w:hAnsi="Times New Roman" w:cs="Times New Roman"/>
          <w:bCs/>
          <w:sz w:val="24"/>
          <w:szCs w:val="24"/>
        </w:rPr>
        <w:t>n which they rely (UNDP, 2024).</w:t>
      </w:r>
    </w:p>
    <w:p w14:paraId="7E3F8305" w14:textId="77777777" w:rsidR="00782DFF" w:rsidRDefault="00A11354" w:rsidP="008436A1">
      <w:pPr>
        <w:jc w:val="both"/>
        <w:rPr>
          <w:rFonts w:ascii="Times New Roman" w:hAnsi="Times New Roman" w:cs="Times New Roman"/>
          <w:bCs/>
          <w:sz w:val="24"/>
          <w:szCs w:val="24"/>
        </w:rPr>
      </w:pPr>
      <w:r w:rsidRPr="00A11354">
        <w:rPr>
          <w:rFonts w:ascii="Times New Roman" w:hAnsi="Times New Roman" w:cs="Times New Roman"/>
          <w:bCs/>
          <w:sz w:val="24"/>
          <w:szCs w:val="24"/>
        </w:rPr>
        <w:lastRenderedPageBreak/>
        <w:t>This study defines blue entrepreneurship performance through four interconnected dimensions: income growth, which tracks changes in business profits over time; enterprise survival, which shows how stable and resilient a business is; enterprise diversification, which shows how a business is expanding into new products or services; and adoption of sustainable practices, which shows how environmentally responsible behaviors help protect resources in the long term (World Bank, 2023; IUCN, 2023). In theory, Blue-entrepreneurship performance measures not only how well individual businesses do economically, but also how they help coastal development that is both inclusive and long-lasting within the larger Blue Economy framework.</w:t>
      </w:r>
    </w:p>
    <w:p w14:paraId="65925418" w14:textId="77777777" w:rsidR="004A4172" w:rsidRPr="004A4172" w:rsidRDefault="00935690" w:rsidP="004A4172">
      <w:pPr>
        <w:jc w:val="both"/>
        <w:rPr>
          <w:rFonts w:ascii="Times New Roman" w:hAnsi="Times New Roman" w:cs="Times New Roman"/>
          <w:b/>
          <w:sz w:val="24"/>
          <w:szCs w:val="24"/>
        </w:rPr>
      </w:pPr>
      <w:r>
        <w:rPr>
          <w:rFonts w:ascii="Times New Roman" w:hAnsi="Times New Roman" w:cs="Times New Roman"/>
          <w:b/>
          <w:sz w:val="24"/>
          <w:szCs w:val="24"/>
        </w:rPr>
        <w:t>2.2</w:t>
      </w:r>
      <w:r w:rsidR="004A4172" w:rsidRPr="004A4172">
        <w:rPr>
          <w:rFonts w:ascii="Times New Roman" w:hAnsi="Times New Roman" w:cs="Times New Roman"/>
          <w:b/>
          <w:sz w:val="24"/>
          <w:szCs w:val="24"/>
        </w:rPr>
        <w:t xml:space="preserve"> Theoretical Foundations</w:t>
      </w:r>
    </w:p>
    <w:p w14:paraId="39B11188" w14:textId="77777777" w:rsidR="004A4172" w:rsidRPr="004A4172" w:rsidRDefault="00935690" w:rsidP="004A4172">
      <w:pPr>
        <w:jc w:val="both"/>
        <w:rPr>
          <w:rFonts w:ascii="Times New Roman" w:hAnsi="Times New Roman" w:cs="Times New Roman"/>
          <w:b/>
          <w:sz w:val="24"/>
          <w:szCs w:val="24"/>
        </w:rPr>
      </w:pPr>
      <w:r>
        <w:rPr>
          <w:rFonts w:ascii="Times New Roman" w:hAnsi="Times New Roman" w:cs="Times New Roman"/>
          <w:b/>
          <w:sz w:val="24"/>
          <w:szCs w:val="24"/>
        </w:rPr>
        <w:t>2.2</w:t>
      </w:r>
      <w:r w:rsidR="004A4172" w:rsidRPr="004A4172">
        <w:rPr>
          <w:rFonts w:ascii="Times New Roman" w:hAnsi="Times New Roman" w:cs="Times New Roman"/>
          <w:b/>
          <w:sz w:val="24"/>
          <w:szCs w:val="24"/>
        </w:rPr>
        <w:t xml:space="preserve">.1 Social Capital </w:t>
      </w:r>
      <w:r w:rsidR="004A4172">
        <w:rPr>
          <w:rFonts w:ascii="Times New Roman" w:hAnsi="Times New Roman" w:cs="Times New Roman"/>
          <w:b/>
          <w:sz w:val="24"/>
          <w:szCs w:val="24"/>
        </w:rPr>
        <w:t>Theory and Community Engagement</w:t>
      </w:r>
    </w:p>
    <w:p w14:paraId="58FA6F10" w14:textId="77777777" w:rsidR="00A11354" w:rsidRDefault="00A11354" w:rsidP="00782DFF">
      <w:pPr>
        <w:jc w:val="both"/>
        <w:rPr>
          <w:rFonts w:ascii="Times New Roman" w:hAnsi="Times New Roman" w:cs="Times New Roman"/>
          <w:sz w:val="24"/>
          <w:szCs w:val="24"/>
        </w:rPr>
      </w:pPr>
      <w:r w:rsidRPr="00A11354">
        <w:rPr>
          <w:rFonts w:ascii="Times New Roman" w:hAnsi="Times New Roman" w:cs="Times New Roman"/>
          <w:sz w:val="24"/>
          <w:szCs w:val="24"/>
        </w:rPr>
        <w:t>Social capital theory serves as a fundamental analytical framework for examining the impact of community engagement on entrepreneurial performance. Social capital encompasses the networks, norms, trust, and shared values that enable coordination and collaboration for collective advantage within a social system (Putnam, 1993). In the realm of entrepreneurship, social capital facilitates access to information, financial resources, markets, and informal support systems, especially for small enterprises facing resource limitations (</w:t>
      </w:r>
      <w:proofErr w:type="spellStart"/>
      <w:r w:rsidRPr="00A11354">
        <w:rPr>
          <w:rFonts w:ascii="Times New Roman" w:hAnsi="Times New Roman" w:cs="Times New Roman"/>
          <w:sz w:val="24"/>
          <w:szCs w:val="24"/>
        </w:rPr>
        <w:t>Nahapiet</w:t>
      </w:r>
      <w:proofErr w:type="spellEnd"/>
      <w:r w:rsidRPr="00A11354">
        <w:rPr>
          <w:rFonts w:ascii="Times New Roman" w:hAnsi="Times New Roman" w:cs="Times New Roman"/>
          <w:sz w:val="24"/>
          <w:szCs w:val="24"/>
        </w:rPr>
        <w:t xml:space="preserve"> &amp; Ghoshal, 1998). Social capital is very important for blue-economy entrepreneurship because marine and coastal resources are used by many people at once. Participating in local institutions, cooperatives, savings groups, and collective decision-making builds bonding and bridging social capital, which can lower transaction costs, make it easier to share risks, and encourage people to work together to invest in pr</w:t>
      </w:r>
      <w:r>
        <w:rPr>
          <w:rFonts w:ascii="Times New Roman" w:hAnsi="Times New Roman" w:cs="Times New Roman"/>
          <w:sz w:val="24"/>
          <w:szCs w:val="24"/>
        </w:rPr>
        <w:t xml:space="preserve">oductive and long-lasting ways. </w:t>
      </w:r>
      <w:r w:rsidRPr="00A11354">
        <w:rPr>
          <w:rFonts w:ascii="Times New Roman" w:hAnsi="Times New Roman" w:cs="Times New Roman"/>
          <w:sz w:val="24"/>
          <w:szCs w:val="24"/>
        </w:rPr>
        <w:t>From this point of view, community engagement is not just an ideal way to get people involved; it is also a way to create and use social capital to improve business performance. Entrepreneurs who are part of active communities are more likely to get informal credit, business knowledge, and group market opportunities. This can help them make more m</w:t>
      </w:r>
      <w:r>
        <w:rPr>
          <w:rFonts w:ascii="Times New Roman" w:hAnsi="Times New Roman" w:cs="Times New Roman"/>
          <w:sz w:val="24"/>
          <w:szCs w:val="24"/>
        </w:rPr>
        <w:t>oney and grow their businesses.</w:t>
      </w:r>
    </w:p>
    <w:p w14:paraId="1A839ECB" w14:textId="77777777" w:rsidR="004A4172" w:rsidRPr="004A4172" w:rsidRDefault="00935690" w:rsidP="004A4172">
      <w:pPr>
        <w:jc w:val="both"/>
        <w:rPr>
          <w:rFonts w:ascii="Times New Roman" w:hAnsi="Times New Roman" w:cs="Times New Roman"/>
          <w:b/>
          <w:sz w:val="24"/>
          <w:szCs w:val="24"/>
        </w:rPr>
      </w:pPr>
      <w:r>
        <w:rPr>
          <w:rFonts w:ascii="Times New Roman" w:hAnsi="Times New Roman" w:cs="Times New Roman"/>
          <w:b/>
          <w:sz w:val="24"/>
          <w:szCs w:val="24"/>
        </w:rPr>
        <w:t>2.2</w:t>
      </w:r>
      <w:r w:rsidR="004A4172" w:rsidRPr="004A4172">
        <w:rPr>
          <w:rFonts w:ascii="Times New Roman" w:hAnsi="Times New Roman" w:cs="Times New Roman"/>
          <w:b/>
          <w:sz w:val="24"/>
          <w:szCs w:val="24"/>
        </w:rPr>
        <w:t>.2 Participatory Governance and Community-Based Management</w:t>
      </w:r>
    </w:p>
    <w:p w14:paraId="466F8D64" w14:textId="77777777" w:rsidR="00A11354" w:rsidRDefault="00A11354" w:rsidP="00DD50C7">
      <w:pPr>
        <w:jc w:val="both"/>
        <w:rPr>
          <w:rFonts w:ascii="Times New Roman" w:hAnsi="Times New Roman" w:cs="Times New Roman"/>
          <w:sz w:val="24"/>
          <w:szCs w:val="24"/>
        </w:rPr>
      </w:pPr>
      <w:r w:rsidRPr="00A11354">
        <w:rPr>
          <w:rFonts w:ascii="Times New Roman" w:hAnsi="Times New Roman" w:cs="Times New Roman"/>
          <w:sz w:val="24"/>
          <w:szCs w:val="24"/>
        </w:rPr>
        <w:t>Participatory governance theory stresses that people who live in an area should have a say in decisions about resource management and development planning. In coastal and marine settings, participatory governance is implemented via community-based natural resource management (CBNRM) and co-management frameworks, wherein authority and responsibility are distributed between communities and state institutions (Pretty, 2003). Participatory governance is especially important for the Blue Economy because it connects local economic incentives with environmental sustainability. When communities help make rules, keep an eye on how resources are used, and settle disagreements, people are more likely to follow sustainable practices. This cuts down on resource degradation and makes the economy more stable in the long run (</w:t>
      </w:r>
      <w:proofErr w:type="spellStart"/>
      <w:r w:rsidRPr="00A11354">
        <w:rPr>
          <w:rFonts w:ascii="Times New Roman" w:hAnsi="Times New Roman" w:cs="Times New Roman"/>
          <w:sz w:val="24"/>
          <w:szCs w:val="24"/>
        </w:rPr>
        <w:t>Béné</w:t>
      </w:r>
      <w:proofErr w:type="spellEnd"/>
      <w:r w:rsidRPr="00A11354">
        <w:rPr>
          <w:rFonts w:ascii="Times New Roman" w:hAnsi="Times New Roman" w:cs="Times New Roman"/>
          <w:sz w:val="24"/>
          <w:szCs w:val="24"/>
        </w:rPr>
        <w:t xml:space="preserve"> et al., 2016). For Blue entrepreneurs, participatory governance can determine access to fishing grounds, aquaculture sites, tourism resources, and regulatory assistance, thereby directly </w:t>
      </w:r>
      <w:r>
        <w:rPr>
          <w:rFonts w:ascii="Times New Roman" w:hAnsi="Times New Roman" w:cs="Times New Roman"/>
          <w:sz w:val="24"/>
          <w:szCs w:val="24"/>
        </w:rPr>
        <w:lastRenderedPageBreak/>
        <w:t xml:space="preserve">affecting business performance. </w:t>
      </w:r>
      <w:r w:rsidRPr="00A11354">
        <w:rPr>
          <w:rFonts w:ascii="Times New Roman" w:hAnsi="Times New Roman" w:cs="Times New Roman"/>
          <w:sz w:val="24"/>
          <w:szCs w:val="24"/>
        </w:rPr>
        <w:t>The amalgamation of social capital theory and participatory governance indicates that community engagement influences Blue entrepreneurship performance via social mechanisms (trust, networks, cooperation) and institutional mechanisms (rules, access, legitimacy). This comprehensive theoretical framework supports the current research.</w:t>
      </w:r>
    </w:p>
    <w:p w14:paraId="408FFF48" w14:textId="77777777" w:rsidR="004A4172" w:rsidRPr="004A4172" w:rsidRDefault="00935690" w:rsidP="004A4172">
      <w:pPr>
        <w:jc w:val="both"/>
        <w:rPr>
          <w:rFonts w:ascii="Times New Roman" w:hAnsi="Times New Roman" w:cs="Times New Roman"/>
          <w:b/>
          <w:bCs/>
          <w:sz w:val="24"/>
          <w:szCs w:val="24"/>
        </w:rPr>
      </w:pPr>
      <w:r>
        <w:rPr>
          <w:rFonts w:ascii="Times New Roman" w:hAnsi="Times New Roman" w:cs="Times New Roman"/>
          <w:b/>
          <w:bCs/>
          <w:sz w:val="24"/>
          <w:szCs w:val="24"/>
        </w:rPr>
        <w:t>2.3</w:t>
      </w:r>
      <w:r w:rsidR="004A4172" w:rsidRPr="004A4172">
        <w:rPr>
          <w:rFonts w:ascii="Times New Roman" w:hAnsi="Times New Roman" w:cs="Times New Roman"/>
          <w:b/>
          <w:bCs/>
          <w:sz w:val="24"/>
          <w:szCs w:val="24"/>
        </w:rPr>
        <w:t xml:space="preserve"> Empirical Evidence on Community Engagement and Entrepreneurial Performance</w:t>
      </w:r>
    </w:p>
    <w:p w14:paraId="6F4151B5" w14:textId="77777777" w:rsidR="004A4172" w:rsidRPr="004A4172" w:rsidRDefault="00935690" w:rsidP="004A4172">
      <w:pPr>
        <w:jc w:val="both"/>
        <w:rPr>
          <w:rFonts w:ascii="Times New Roman" w:hAnsi="Times New Roman" w:cs="Times New Roman"/>
          <w:b/>
          <w:bCs/>
          <w:sz w:val="24"/>
          <w:szCs w:val="24"/>
        </w:rPr>
      </w:pPr>
      <w:r>
        <w:rPr>
          <w:rFonts w:ascii="Times New Roman" w:hAnsi="Times New Roman" w:cs="Times New Roman"/>
          <w:b/>
          <w:bCs/>
          <w:sz w:val="24"/>
          <w:szCs w:val="24"/>
        </w:rPr>
        <w:t>2.3</w:t>
      </w:r>
      <w:r w:rsidR="004A4172" w:rsidRPr="004A4172">
        <w:rPr>
          <w:rFonts w:ascii="Times New Roman" w:hAnsi="Times New Roman" w:cs="Times New Roman"/>
          <w:b/>
          <w:bCs/>
          <w:sz w:val="24"/>
          <w:szCs w:val="24"/>
        </w:rPr>
        <w:t>.1 Community Engagement and Small-Scale Entrepreneurship</w:t>
      </w:r>
    </w:p>
    <w:p w14:paraId="37E883D1" w14:textId="77777777" w:rsidR="00DD50C7" w:rsidRDefault="00A11354" w:rsidP="004A4172">
      <w:pPr>
        <w:jc w:val="both"/>
        <w:rPr>
          <w:rFonts w:ascii="Times New Roman" w:hAnsi="Times New Roman" w:cs="Times New Roman"/>
          <w:sz w:val="24"/>
          <w:szCs w:val="24"/>
        </w:rPr>
      </w:pPr>
      <w:r w:rsidRPr="00A11354">
        <w:rPr>
          <w:rFonts w:ascii="Times New Roman" w:hAnsi="Times New Roman" w:cs="Times New Roman"/>
          <w:sz w:val="24"/>
          <w:szCs w:val="24"/>
        </w:rPr>
        <w:t xml:space="preserve">Empirical research in developing economies consistently demonstrates a positive correlation between community engagement and the performance of small enterprises. Joining community groups and savings groups has been linked to better access to money, better risk-sharing, and stronger businesses (Karlan et al., 2014). Knowledge-sharing networks in communities’ help micro-entrepreneurs learn more, come up with new ideas, and work more efficiently. But these benefits don't always happen; they depend on things like how well people participate, how open local institutions are, and the bigger picture of </w:t>
      </w:r>
      <w:proofErr w:type="gramStart"/>
      <w:r w:rsidRPr="00A11354">
        <w:rPr>
          <w:rFonts w:ascii="Times New Roman" w:hAnsi="Times New Roman" w:cs="Times New Roman"/>
          <w:sz w:val="24"/>
          <w:szCs w:val="24"/>
        </w:rPr>
        <w:t>governance.</w:t>
      </w:r>
      <w:r w:rsidR="00DD50C7">
        <w:rPr>
          <w:rFonts w:ascii="Times New Roman" w:hAnsi="Times New Roman" w:cs="Times New Roman"/>
          <w:sz w:val="24"/>
          <w:szCs w:val="24"/>
        </w:rPr>
        <w:t>.</w:t>
      </w:r>
      <w:proofErr w:type="gramEnd"/>
    </w:p>
    <w:p w14:paraId="6E15B487" w14:textId="77777777" w:rsidR="004A4172" w:rsidRPr="004A4172" w:rsidRDefault="00935690" w:rsidP="004A4172">
      <w:pPr>
        <w:jc w:val="both"/>
        <w:rPr>
          <w:rFonts w:ascii="Times New Roman" w:hAnsi="Times New Roman" w:cs="Times New Roman"/>
          <w:b/>
          <w:bCs/>
          <w:sz w:val="24"/>
          <w:szCs w:val="24"/>
        </w:rPr>
      </w:pPr>
      <w:r>
        <w:rPr>
          <w:rFonts w:ascii="Times New Roman" w:hAnsi="Times New Roman" w:cs="Times New Roman"/>
          <w:b/>
          <w:bCs/>
          <w:sz w:val="24"/>
          <w:szCs w:val="24"/>
        </w:rPr>
        <w:t>2.3</w:t>
      </w:r>
      <w:r w:rsidR="004A4172" w:rsidRPr="004A4172">
        <w:rPr>
          <w:rFonts w:ascii="Times New Roman" w:hAnsi="Times New Roman" w:cs="Times New Roman"/>
          <w:b/>
          <w:bCs/>
          <w:sz w:val="24"/>
          <w:szCs w:val="24"/>
        </w:rPr>
        <w:t>.2 Community Engagement and the Blue Economy</w:t>
      </w:r>
    </w:p>
    <w:p w14:paraId="51BB8372" w14:textId="77777777" w:rsidR="00A11354" w:rsidRDefault="00A11354" w:rsidP="00DD50C7">
      <w:pPr>
        <w:jc w:val="both"/>
        <w:rPr>
          <w:rFonts w:ascii="Times New Roman" w:hAnsi="Times New Roman" w:cs="Times New Roman"/>
          <w:sz w:val="24"/>
          <w:szCs w:val="24"/>
        </w:rPr>
      </w:pPr>
      <w:r w:rsidRPr="00A11354">
        <w:rPr>
          <w:rFonts w:ascii="Times New Roman" w:hAnsi="Times New Roman" w:cs="Times New Roman"/>
          <w:sz w:val="24"/>
          <w:szCs w:val="24"/>
        </w:rPr>
        <w:t>In the literature on the Blue Economy, community involvement is widely seen as an important factor for the success of long-term fishing, aquaculture, and coastal tourism. Research indicates that community-based strategies enhance resource management, mitigate conflict, and amplify local economic advantages, especially when integrated with capacity building and market assistance (</w:t>
      </w:r>
      <w:proofErr w:type="spellStart"/>
      <w:r w:rsidRPr="00A11354">
        <w:rPr>
          <w:rFonts w:ascii="Times New Roman" w:hAnsi="Times New Roman" w:cs="Times New Roman"/>
          <w:sz w:val="24"/>
          <w:szCs w:val="24"/>
        </w:rPr>
        <w:t>Béné</w:t>
      </w:r>
      <w:proofErr w:type="spellEnd"/>
      <w:r w:rsidRPr="00A11354">
        <w:rPr>
          <w:rFonts w:ascii="Times New Roman" w:hAnsi="Times New Roman" w:cs="Times New Roman"/>
          <w:sz w:val="24"/>
          <w:szCs w:val="24"/>
        </w:rPr>
        <w:t xml:space="preserve"> et al., 2016). Despite this, a lot of this research focuses on environmental and governance outcomes and not so much on direct measures of entrepreneurial performance like income growth, business survival, and diversification.</w:t>
      </w:r>
    </w:p>
    <w:p w14:paraId="21AE958A" w14:textId="77777777" w:rsidR="004A4172" w:rsidRPr="004A4172" w:rsidRDefault="00935690" w:rsidP="004A4172">
      <w:pPr>
        <w:jc w:val="both"/>
        <w:rPr>
          <w:rFonts w:ascii="Times New Roman" w:hAnsi="Times New Roman" w:cs="Times New Roman"/>
          <w:b/>
          <w:bCs/>
          <w:sz w:val="24"/>
          <w:szCs w:val="24"/>
        </w:rPr>
      </w:pPr>
      <w:r>
        <w:rPr>
          <w:rFonts w:ascii="Times New Roman" w:hAnsi="Times New Roman" w:cs="Times New Roman"/>
          <w:b/>
          <w:bCs/>
          <w:sz w:val="24"/>
          <w:szCs w:val="24"/>
        </w:rPr>
        <w:t>2.3</w:t>
      </w:r>
      <w:r w:rsidR="004A4172" w:rsidRPr="004A4172">
        <w:rPr>
          <w:rFonts w:ascii="Times New Roman" w:hAnsi="Times New Roman" w:cs="Times New Roman"/>
          <w:b/>
          <w:bCs/>
          <w:sz w:val="24"/>
          <w:szCs w:val="24"/>
        </w:rPr>
        <w:t>.3 Empirical Evidence from Tanzania</w:t>
      </w:r>
    </w:p>
    <w:p w14:paraId="41ABA2E7" w14:textId="77777777"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Development programs are putting more emphasis on getting people involved in Blue Economy projects. This is to improve financial inclusion, skills development, and working together (UNDP, 2024; World Bank, 2023). Evidence indicates that involvement in savings groups enhances access to working capital and mitigates susceptibility to income fluctuations, whereas cooperative membership fortifies bargaining power and market access</w:t>
      </w:r>
      <w:r>
        <w:rPr>
          <w:rFonts w:ascii="Times New Roman" w:hAnsi="Times New Roman" w:cs="Times New Roman"/>
          <w:sz w:val="24"/>
          <w:szCs w:val="24"/>
        </w:rPr>
        <w:t xml:space="preserve">ibility. </w:t>
      </w:r>
    </w:p>
    <w:p w14:paraId="7095549A" w14:textId="77777777" w:rsidR="00A11354" w:rsidRDefault="00A11354" w:rsidP="00DD50C7">
      <w:pPr>
        <w:jc w:val="both"/>
        <w:rPr>
          <w:rFonts w:ascii="Times New Roman" w:hAnsi="Times New Roman" w:cs="Times New Roman"/>
          <w:sz w:val="24"/>
          <w:szCs w:val="24"/>
        </w:rPr>
      </w:pPr>
      <w:r w:rsidRPr="00A11354">
        <w:rPr>
          <w:rFonts w:ascii="Times New Roman" w:hAnsi="Times New Roman" w:cs="Times New Roman"/>
          <w:sz w:val="24"/>
          <w:szCs w:val="24"/>
        </w:rPr>
        <w:t xml:space="preserve">Evidence indicates that involvement in savings groups enhances access to working capital and mitigates susceptibility to income fluctuations, whereas cooperative membership fortifies bargaining power and market accessibility. Community engagement has been linked to better adherence to sustainable resource-use practices, especially in fisheries and seaweed farming. Nevertheless, current research is predominantly descriptive or project-oriented, seldom utilizing robust quantitative methodologies to examine the correlation between community engagement and enterprise performance. Additionally, there is an absence of comparative, district-level studies that investigate the variability of community engagement effectiveness across diverse </w:t>
      </w:r>
      <w:r w:rsidRPr="00A11354">
        <w:rPr>
          <w:rFonts w:ascii="Times New Roman" w:hAnsi="Times New Roman" w:cs="Times New Roman"/>
          <w:sz w:val="24"/>
          <w:szCs w:val="24"/>
        </w:rPr>
        <w:lastRenderedPageBreak/>
        <w:t>coastal contexts, such as semi-rural versus urban districts. This gap is especially important in Tanzania, where coastal districts have very different levels of access to markets, governance capacity, and institutional density.</w:t>
      </w:r>
    </w:p>
    <w:p w14:paraId="2BDB8C3C" w14:textId="77777777" w:rsidR="004A4172" w:rsidRPr="004A4172" w:rsidRDefault="00935690" w:rsidP="004A4172">
      <w:pPr>
        <w:jc w:val="both"/>
        <w:rPr>
          <w:rFonts w:ascii="Times New Roman" w:hAnsi="Times New Roman" w:cs="Times New Roman"/>
          <w:b/>
          <w:bCs/>
          <w:sz w:val="24"/>
          <w:szCs w:val="24"/>
        </w:rPr>
      </w:pPr>
      <w:r>
        <w:rPr>
          <w:rFonts w:ascii="Times New Roman" w:hAnsi="Times New Roman" w:cs="Times New Roman"/>
          <w:b/>
          <w:bCs/>
          <w:sz w:val="24"/>
          <w:szCs w:val="24"/>
        </w:rPr>
        <w:t>2.4</w:t>
      </w:r>
      <w:r w:rsidR="004A4172" w:rsidRPr="004A4172">
        <w:rPr>
          <w:rFonts w:ascii="Times New Roman" w:hAnsi="Times New Roman" w:cs="Times New Roman"/>
          <w:b/>
          <w:bCs/>
          <w:sz w:val="24"/>
          <w:szCs w:val="24"/>
        </w:rPr>
        <w:t xml:space="preserve"> Research Gap and Hypothesis Development</w:t>
      </w:r>
    </w:p>
    <w:p w14:paraId="209FB00B" w14:textId="77777777"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While the current literature offers robust theoretical frameworks and preliminary empirical evidence connecting community engagement to entrepreneurial outcomes, notable gaps persist. First, there is a scarcity of empirical research that quantitatively evaluates the influence of community engagement on Blue-economy entrepreneurship performance through distinct and quantifiable indicators. Second, the comparative efficacy of various engagement mechanisms, including participatory decision-making, community savings groups, and knowledge-sharing networks, is insufficiently examined. Third, there are few studies that use a comparative district-level approach to look at differences in context within a single national setting, like Tanzania.</w:t>
      </w:r>
    </w:p>
    <w:p w14:paraId="29314C19" w14:textId="77777777" w:rsidR="00A11354" w:rsidRDefault="00A11354" w:rsidP="004A4172">
      <w:pPr>
        <w:jc w:val="both"/>
        <w:rPr>
          <w:rFonts w:ascii="Times New Roman" w:hAnsi="Times New Roman" w:cs="Times New Roman"/>
          <w:sz w:val="24"/>
          <w:szCs w:val="24"/>
        </w:rPr>
      </w:pPr>
      <w:r w:rsidRPr="00A11354">
        <w:rPr>
          <w:rFonts w:ascii="Times New Roman" w:hAnsi="Times New Roman" w:cs="Times New Roman"/>
          <w:sz w:val="24"/>
          <w:szCs w:val="24"/>
        </w:rPr>
        <w:t>To fill these gaps, this study looks at the link between community involvement and the success of Blue-entrepreneurship through a case study of Bagamoyo District and Kinondoni District. Based on theories of social capital and participatory governance, the study proposes the following hypotheses:</w:t>
      </w:r>
    </w:p>
    <w:p w14:paraId="6341141A" w14:textId="77777777" w:rsidR="004A4172" w:rsidRPr="008436A1" w:rsidRDefault="004A4172" w:rsidP="008436A1">
      <w:pPr>
        <w:pStyle w:val="ListParagraph"/>
        <w:numPr>
          <w:ilvl w:val="0"/>
          <w:numId w:val="4"/>
        </w:numPr>
        <w:jc w:val="both"/>
        <w:rPr>
          <w:rFonts w:ascii="Times New Roman" w:hAnsi="Times New Roman" w:cs="Times New Roman"/>
          <w:sz w:val="24"/>
          <w:szCs w:val="24"/>
        </w:rPr>
      </w:pPr>
      <w:r w:rsidRPr="008436A1">
        <w:rPr>
          <w:rFonts w:ascii="Times New Roman" w:hAnsi="Times New Roman" w:cs="Times New Roman"/>
          <w:b/>
          <w:bCs/>
          <w:sz w:val="24"/>
          <w:szCs w:val="24"/>
        </w:rPr>
        <w:t>H1:</w:t>
      </w:r>
      <w:r w:rsidRPr="008436A1">
        <w:rPr>
          <w:rFonts w:ascii="Times New Roman" w:hAnsi="Times New Roman" w:cs="Times New Roman"/>
          <w:sz w:val="24"/>
          <w:szCs w:val="24"/>
        </w:rPr>
        <w:t xml:space="preserve"> Community engagement has a positive and significant effect on the performance of Blue-economy enterprises.</w:t>
      </w:r>
    </w:p>
    <w:p w14:paraId="52AD0C0D" w14:textId="77777777" w:rsidR="004A4172" w:rsidRPr="008436A1" w:rsidRDefault="004A4172" w:rsidP="008436A1">
      <w:pPr>
        <w:pStyle w:val="ListParagraph"/>
        <w:numPr>
          <w:ilvl w:val="0"/>
          <w:numId w:val="4"/>
        </w:numPr>
        <w:jc w:val="both"/>
        <w:rPr>
          <w:rFonts w:ascii="Times New Roman" w:hAnsi="Times New Roman" w:cs="Times New Roman"/>
          <w:sz w:val="24"/>
          <w:szCs w:val="24"/>
        </w:rPr>
      </w:pPr>
      <w:r w:rsidRPr="008436A1">
        <w:rPr>
          <w:rFonts w:ascii="Times New Roman" w:hAnsi="Times New Roman" w:cs="Times New Roman"/>
          <w:b/>
          <w:bCs/>
          <w:sz w:val="24"/>
          <w:szCs w:val="24"/>
        </w:rPr>
        <w:t>H2:</w:t>
      </w:r>
      <w:r w:rsidRPr="008436A1">
        <w:rPr>
          <w:rFonts w:ascii="Times New Roman" w:hAnsi="Times New Roman" w:cs="Times New Roman"/>
          <w:sz w:val="24"/>
          <w:szCs w:val="24"/>
        </w:rPr>
        <w:t xml:space="preserve"> Participation in community savings and credit associations is positively associated with higher income growth and enterprise survival among Blue entrepreneurs.</w:t>
      </w:r>
    </w:p>
    <w:p w14:paraId="53B42A0F" w14:textId="77777777" w:rsidR="004A4172" w:rsidRPr="008436A1" w:rsidRDefault="004A4172" w:rsidP="008436A1">
      <w:pPr>
        <w:pStyle w:val="ListParagraph"/>
        <w:numPr>
          <w:ilvl w:val="0"/>
          <w:numId w:val="4"/>
        </w:numPr>
        <w:jc w:val="both"/>
        <w:rPr>
          <w:rFonts w:ascii="Times New Roman" w:hAnsi="Times New Roman" w:cs="Times New Roman"/>
          <w:sz w:val="24"/>
          <w:szCs w:val="24"/>
        </w:rPr>
      </w:pPr>
      <w:r w:rsidRPr="008436A1">
        <w:rPr>
          <w:rFonts w:ascii="Times New Roman" w:hAnsi="Times New Roman" w:cs="Times New Roman"/>
          <w:b/>
          <w:bCs/>
          <w:sz w:val="24"/>
          <w:szCs w:val="24"/>
        </w:rPr>
        <w:t>H3:</w:t>
      </w:r>
      <w:r w:rsidRPr="008436A1">
        <w:rPr>
          <w:rFonts w:ascii="Times New Roman" w:hAnsi="Times New Roman" w:cs="Times New Roman"/>
          <w:sz w:val="24"/>
          <w:szCs w:val="24"/>
        </w:rPr>
        <w:t xml:space="preserve"> Participation in local decision-making and knowledge-sharing networks positively influences enterprise diversification and adoption of sustainable practices.</w:t>
      </w:r>
    </w:p>
    <w:p w14:paraId="41BE6B66" w14:textId="77777777" w:rsidR="004A4172" w:rsidRPr="008436A1" w:rsidRDefault="004A4172" w:rsidP="008436A1">
      <w:pPr>
        <w:pStyle w:val="ListParagraph"/>
        <w:numPr>
          <w:ilvl w:val="0"/>
          <w:numId w:val="4"/>
        </w:numPr>
        <w:jc w:val="both"/>
        <w:rPr>
          <w:rFonts w:ascii="Times New Roman" w:hAnsi="Times New Roman" w:cs="Times New Roman"/>
          <w:sz w:val="24"/>
          <w:szCs w:val="24"/>
        </w:rPr>
      </w:pPr>
      <w:r w:rsidRPr="008436A1">
        <w:rPr>
          <w:rFonts w:ascii="Times New Roman" w:hAnsi="Times New Roman" w:cs="Times New Roman"/>
          <w:b/>
          <w:bCs/>
          <w:sz w:val="24"/>
          <w:szCs w:val="24"/>
        </w:rPr>
        <w:t>H4:</w:t>
      </w:r>
      <w:r w:rsidRPr="008436A1">
        <w:rPr>
          <w:rFonts w:ascii="Times New Roman" w:hAnsi="Times New Roman" w:cs="Times New Roman"/>
          <w:sz w:val="24"/>
          <w:szCs w:val="24"/>
        </w:rPr>
        <w:t xml:space="preserve"> The effect of community engagement on Blue-entrepreneurship performance differs between semi-rural and urban coastal districts.</w:t>
      </w:r>
    </w:p>
    <w:p w14:paraId="412AFBC0" w14:textId="77777777" w:rsidR="004264B3" w:rsidRDefault="00A11354" w:rsidP="004A4172">
      <w:pPr>
        <w:jc w:val="both"/>
        <w:rPr>
          <w:rFonts w:ascii="Times New Roman" w:hAnsi="Times New Roman" w:cs="Times New Roman"/>
          <w:sz w:val="24"/>
          <w:szCs w:val="24"/>
        </w:rPr>
      </w:pPr>
      <w:r w:rsidRPr="00A11354">
        <w:rPr>
          <w:rFonts w:ascii="Times New Roman" w:hAnsi="Times New Roman" w:cs="Times New Roman"/>
          <w:sz w:val="24"/>
          <w:szCs w:val="24"/>
        </w:rPr>
        <w:t>These hypotheses offer a structured framework for empirical validation and facilitate a systematic evaluation of the impact of community engagement on Blue-economy entrepreneurship performance across various coastal contexts in Tanzania.</w:t>
      </w:r>
    </w:p>
    <w:p w14:paraId="2908CA78" w14:textId="77777777" w:rsidR="004A4172" w:rsidRPr="00270567" w:rsidRDefault="00270567" w:rsidP="004A4172">
      <w:pPr>
        <w:jc w:val="both"/>
        <w:rPr>
          <w:rFonts w:ascii="Times New Roman" w:hAnsi="Times New Roman" w:cs="Times New Roman"/>
          <w:b/>
          <w:sz w:val="24"/>
          <w:szCs w:val="24"/>
        </w:rPr>
      </w:pPr>
      <w:r w:rsidRPr="00270567">
        <w:rPr>
          <w:rFonts w:ascii="Times New Roman" w:hAnsi="Times New Roman" w:cs="Times New Roman"/>
          <w:b/>
          <w:sz w:val="24"/>
          <w:szCs w:val="24"/>
        </w:rPr>
        <w:t xml:space="preserve">3. </w:t>
      </w:r>
      <w:r w:rsidR="004A4172" w:rsidRPr="00270567">
        <w:rPr>
          <w:rFonts w:ascii="Times New Roman" w:hAnsi="Times New Roman" w:cs="Times New Roman"/>
          <w:b/>
          <w:sz w:val="24"/>
          <w:szCs w:val="24"/>
        </w:rPr>
        <w:t xml:space="preserve">Methodology </w:t>
      </w:r>
    </w:p>
    <w:p w14:paraId="514C2FA4" w14:textId="77777777" w:rsidR="004264B3" w:rsidRDefault="004264B3" w:rsidP="004A4172">
      <w:pPr>
        <w:jc w:val="both"/>
        <w:rPr>
          <w:rFonts w:ascii="Times New Roman" w:hAnsi="Times New Roman" w:cs="Times New Roman"/>
          <w:sz w:val="24"/>
          <w:szCs w:val="24"/>
        </w:rPr>
      </w:pPr>
      <w:r w:rsidRPr="004264B3">
        <w:rPr>
          <w:rFonts w:ascii="Times New Roman" w:hAnsi="Times New Roman" w:cs="Times New Roman"/>
          <w:sz w:val="24"/>
          <w:szCs w:val="24"/>
        </w:rPr>
        <w:t xml:space="preserve">This study utilizes a comparative cross-sectional mixed-methods research design to investigate the correlation between community engagement and Blue-entrepreneurship performance in Bagamoyo District and Kinondoni District, which represent semi-rural and urban coastal environments, respectively. Quantitative data were gathered from around 240 small-scale Blue entrepreneurs via a structured questionnaire addressing socio-demographic characteristics, enterprise attributes, community engagement, access to finance and training, and performance outcomes, supplemented by qualitative data from key informant interviews and focus group discussions. A multi-stage sampling strategy was employed, integrating purposive selection of </w:t>
      </w:r>
      <w:r w:rsidRPr="004264B3">
        <w:rPr>
          <w:rFonts w:ascii="Times New Roman" w:hAnsi="Times New Roman" w:cs="Times New Roman"/>
          <w:sz w:val="24"/>
          <w:szCs w:val="24"/>
        </w:rPr>
        <w:lastRenderedPageBreak/>
        <w:t>wards, stratification by enterprise type, and either random or systematic selection of respondents. We measured community engagement by looking at participation, organizational membership, knowledge sharing, trust, and collective action. We measured blue-entrepreneurship performance by looking at income growth, business survival, diversification, and the use of sustainable practices. We used SPSS to look at the quantitative data through descriptive statistics, reliability tests, correlation analysis, and multivariate regression models, such as OLS and logistic regression, with interaction terms to see how districts differ. We also looked at the qualitative data thematically to put the quantitative results in context and make sense of them. Before collecting data, we got ethical approval, got informed consent from all participants, and made sure that confidentiality and anonymity were strictly followed, as required by research ethics</w:t>
      </w:r>
      <w:r>
        <w:rPr>
          <w:rFonts w:ascii="Times New Roman" w:hAnsi="Times New Roman" w:cs="Times New Roman"/>
          <w:sz w:val="24"/>
          <w:szCs w:val="24"/>
        </w:rPr>
        <w:t xml:space="preserve">. </w:t>
      </w:r>
    </w:p>
    <w:p w14:paraId="72CC7C71" w14:textId="77777777" w:rsidR="00A556BF" w:rsidRPr="00A556BF" w:rsidRDefault="00A556BF" w:rsidP="00A556BF">
      <w:pPr>
        <w:jc w:val="both"/>
        <w:rPr>
          <w:rFonts w:ascii="Times New Roman" w:hAnsi="Times New Roman" w:cs="Times New Roman"/>
          <w:b/>
          <w:bCs/>
          <w:sz w:val="24"/>
          <w:szCs w:val="24"/>
        </w:rPr>
      </w:pPr>
      <w:r w:rsidRPr="00A556BF">
        <w:rPr>
          <w:rFonts w:ascii="Times New Roman" w:hAnsi="Times New Roman" w:cs="Times New Roman"/>
          <w:b/>
          <w:bCs/>
          <w:sz w:val="24"/>
          <w:szCs w:val="24"/>
        </w:rPr>
        <w:t>4. Results</w:t>
      </w:r>
    </w:p>
    <w:p w14:paraId="29CF0166" w14:textId="77777777" w:rsidR="00A556BF" w:rsidRPr="00A556BF" w:rsidRDefault="00A556BF" w:rsidP="00A556BF">
      <w:pPr>
        <w:jc w:val="both"/>
        <w:rPr>
          <w:rFonts w:ascii="Times New Roman" w:hAnsi="Times New Roman" w:cs="Times New Roman"/>
          <w:b/>
          <w:bCs/>
          <w:sz w:val="24"/>
          <w:szCs w:val="24"/>
        </w:rPr>
      </w:pPr>
      <w:r w:rsidRPr="00A556BF">
        <w:rPr>
          <w:rFonts w:ascii="Times New Roman" w:hAnsi="Times New Roman" w:cs="Times New Roman"/>
          <w:b/>
          <w:bCs/>
          <w:sz w:val="24"/>
          <w:szCs w:val="24"/>
        </w:rPr>
        <w:t>4.1 Descriptive Statistics</w:t>
      </w:r>
    </w:p>
    <w:p w14:paraId="057573C2" w14:textId="77777777" w:rsidR="004264B3" w:rsidRDefault="004264B3" w:rsidP="00A556BF">
      <w:pPr>
        <w:jc w:val="both"/>
        <w:rPr>
          <w:rFonts w:ascii="Times New Roman" w:hAnsi="Times New Roman" w:cs="Times New Roman"/>
          <w:sz w:val="24"/>
          <w:szCs w:val="24"/>
        </w:rPr>
      </w:pPr>
      <w:r w:rsidRPr="004264B3">
        <w:rPr>
          <w:rFonts w:ascii="Times New Roman" w:hAnsi="Times New Roman" w:cs="Times New Roman"/>
          <w:sz w:val="24"/>
          <w:szCs w:val="24"/>
        </w:rPr>
        <w:t>Table 1 shows descriptive statistics for the most important study variables. The sample comprises 240 Blue-economy entrepreneurs, evenly sourced from Bagamoyo District and Kinondoni District. Overall, the people who answered the survey are moderately involved in their communities, but there are big differences in how businesses grow their income, diversify, and practice sustainability.</w:t>
      </w:r>
    </w:p>
    <w:p w14:paraId="05E69AD1" w14:textId="77777777" w:rsidR="00A556BF" w:rsidRPr="00A556BF" w:rsidRDefault="00A556BF" w:rsidP="004A4172">
      <w:pPr>
        <w:jc w:val="both"/>
        <w:rPr>
          <w:rFonts w:ascii="Times New Roman" w:hAnsi="Times New Roman" w:cs="Times New Roman"/>
          <w:b/>
          <w:bCs/>
          <w:sz w:val="24"/>
          <w:szCs w:val="24"/>
        </w:rPr>
      </w:pPr>
      <w:r w:rsidRPr="00A556BF">
        <w:rPr>
          <w:rFonts w:ascii="Times New Roman" w:hAnsi="Times New Roman" w:cs="Times New Roman"/>
          <w:b/>
          <w:bCs/>
          <w:sz w:val="24"/>
          <w:szCs w:val="24"/>
        </w:rPr>
        <w:t>Table 1</w:t>
      </w:r>
      <w:r w:rsidR="008431F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8431F0">
        <w:rPr>
          <w:rFonts w:ascii="Times New Roman" w:hAnsi="Times New Roman" w:cs="Times New Roman"/>
          <w:bCs/>
          <w:sz w:val="24"/>
          <w:szCs w:val="24"/>
        </w:rPr>
        <w:t>Descriptive Statistics of Key Variables (N = 240)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5"/>
        <w:gridCol w:w="1080"/>
        <w:gridCol w:w="1170"/>
        <w:gridCol w:w="1530"/>
        <w:gridCol w:w="1620"/>
      </w:tblGrid>
      <w:tr w:rsidR="00A556BF" w:rsidRPr="00A556BF" w14:paraId="35388921" w14:textId="77777777" w:rsidTr="00B854F3">
        <w:trPr>
          <w:tblHeader/>
          <w:tblCellSpacing w:w="15" w:type="dxa"/>
        </w:trPr>
        <w:tc>
          <w:tcPr>
            <w:tcW w:w="3780" w:type="dxa"/>
            <w:vAlign w:val="center"/>
            <w:hideMark/>
          </w:tcPr>
          <w:p w14:paraId="7ACE0662" w14:textId="77777777" w:rsidR="00A556BF" w:rsidRPr="00A556BF" w:rsidRDefault="00A556BF" w:rsidP="00B854F3">
            <w:pPr>
              <w:spacing w:line="240" w:lineRule="auto"/>
              <w:jc w:val="both"/>
              <w:rPr>
                <w:rFonts w:ascii="Times New Roman" w:hAnsi="Times New Roman" w:cs="Times New Roman"/>
                <w:b/>
                <w:bCs/>
                <w:sz w:val="24"/>
                <w:szCs w:val="24"/>
              </w:rPr>
            </w:pPr>
            <w:r w:rsidRPr="00A556BF">
              <w:rPr>
                <w:rFonts w:ascii="Times New Roman" w:hAnsi="Times New Roman" w:cs="Times New Roman"/>
                <w:b/>
                <w:bCs/>
                <w:sz w:val="24"/>
                <w:szCs w:val="24"/>
              </w:rPr>
              <w:t>Variable</w:t>
            </w:r>
          </w:p>
        </w:tc>
        <w:tc>
          <w:tcPr>
            <w:tcW w:w="1050" w:type="dxa"/>
            <w:vAlign w:val="center"/>
            <w:hideMark/>
          </w:tcPr>
          <w:p w14:paraId="4CD7E239" w14:textId="77777777" w:rsidR="00A556BF" w:rsidRPr="00A556BF" w:rsidRDefault="00A556BF" w:rsidP="00BD7697">
            <w:pPr>
              <w:spacing w:line="240" w:lineRule="auto"/>
              <w:jc w:val="center"/>
              <w:rPr>
                <w:rFonts w:ascii="Times New Roman" w:hAnsi="Times New Roman" w:cs="Times New Roman"/>
                <w:b/>
                <w:bCs/>
                <w:sz w:val="24"/>
                <w:szCs w:val="24"/>
              </w:rPr>
            </w:pPr>
            <w:r w:rsidRPr="00A556BF">
              <w:rPr>
                <w:rFonts w:ascii="Times New Roman" w:hAnsi="Times New Roman" w:cs="Times New Roman"/>
                <w:b/>
                <w:bCs/>
                <w:sz w:val="24"/>
                <w:szCs w:val="24"/>
              </w:rPr>
              <w:t>Mean</w:t>
            </w:r>
          </w:p>
        </w:tc>
        <w:tc>
          <w:tcPr>
            <w:tcW w:w="1140" w:type="dxa"/>
            <w:vAlign w:val="center"/>
            <w:hideMark/>
          </w:tcPr>
          <w:p w14:paraId="110E9208" w14:textId="77777777" w:rsidR="00A556BF" w:rsidRPr="00A556BF" w:rsidRDefault="00A556BF" w:rsidP="00BD7697">
            <w:pPr>
              <w:spacing w:line="240" w:lineRule="auto"/>
              <w:jc w:val="center"/>
              <w:rPr>
                <w:rFonts w:ascii="Times New Roman" w:hAnsi="Times New Roman" w:cs="Times New Roman"/>
                <w:b/>
                <w:bCs/>
                <w:sz w:val="24"/>
                <w:szCs w:val="24"/>
              </w:rPr>
            </w:pPr>
            <w:r w:rsidRPr="00A556BF">
              <w:rPr>
                <w:rFonts w:ascii="Times New Roman" w:hAnsi="Times New Roman" w:cs="Times New Roman"/>
                <w:b/>
                <w:bCs/>
                <w:sz w:val="24"/>
                <w:szCs w:val="24"/>
              </w:rPr>
              <w:t>SD</w:t>
            </w:r>
          </w:p>
        </w:tc>
        <w:tc>
          <w:tcPr>
            <w:tcW w:w="1500" w:type="dxa"/>
            <w:vAlign w:val="center"/>
            <w:hideMark/>
          </w:tcPr>
          <w:p w14:paraId="7704F0E7" w14:textId="77777777" w:rsidR="00A556BF" w:rsidRPr="00A556BF" w:rsidRDefault="00A556BF" w:rsidP="00BD7697">
            <w:pPr>
              <w:spacing w:line="240" w:lineRule="auto"/>
              <w:jc w:val="center"/>
              <w:rPr>
                <w:rFonts w:ascii="Times New Roman" w:hAnsi="Times New Roman" w:cs="Times New Roman"/>
                <w:b/>
                <w:bCs/>
                <w:sz w:val="24"/>
                <w:szCs w:val="24"/>
              </w:rPr>
            </w:pPr>
            <w:r w:rsidRPr="00A556BF">
              <w:rPr>
                <w:rFonts w:ascii="Times New Roman" w:hAnsi="Times New Roman" w:cs="Times New Roman"/>
                <w:b/>
                <w:bCs/>
                <w:sz w:val="24"/>
                <w:szCs w:val="24"/>
              </w:rPr>
              <w:t>Min</w:t>
            </w:r>
          </w:p>
        </w:tc>
        <w:tc>
          <w:tcPr>
            <w:tcW w:w="1575" w:type="dxa"/>
            <w:vAlign w:val="center"/>
            <w:hideMark/>
          </w:tcPr>
          <w:p w14:paraId="139AD05F" w14:textId="77777777" w:rsidR="00A556BF" w:rsidRPr="00A556BF" w:rsidRDefault="00A556BF" w:rsidP="00BD7697">
            <w:pPr>
              <w:spacing w:line="240" w:lineRule="auto"/>
              <w:jc w:val="center"/>
              <w:rPr>
                <w:rFonts w:ascii="Times New Roman" w:hAnsi="Times New Roman" w:cs="Times New Roman"/>
                <w:b/>
                <w:bCs/>
                <w:sz w:val="24"/>
                <w:szCs w:val="24"/>
              </w:rPr>
            </w:pPr>
            <w:r w:rsidRPr="00A556BF">
              <w:rPr>
                <w:rFonts w:ascii="Times New Roman" w:hAnsi="Times New Roman" w:cs="Times New Roman"/>
                <w:b/>
                <w:bCs/>
                <w:sz w:val="24"/>
                <w:szCs w:val="24"/>
              </w:rPr>
              <w:t>Max</w:t>
            </w:r>
          </w:p>
        </w:tc>
      </w:tr>
      <w:tr w:rsidR="00A556BF" w:rsidRPr="00A556BF" w14:paraId="08AC8AAC" w14:textId="77777777" w:rsidTr="00B854F3">
        <w:trPr>
          <w:tblCellSpacing w:w="15" w:type="dxa"/>
        </w:trPr>
        <w:tc>
          <w:tcPr>
            <w:tcW w:w="3780" w:type="dxa"/>
            <w:vAlign w:val="center"/>
            <w:hideMark/>
          </w:tcPr>
          <w:p w14:paraId="54F18ECE" w14:textId="77777777" w:rsidR="00A556BF" w:rsidRPr="00A556BF" w:rsidRDefault="00A556BF" w:rsidP="00B854F3">
            <w:pPr>
              <w:spacing w:line="240" w:lineRule="auto"/>
              <w:jc w:val="both"/>
              <w:rPr>
                <w:rFonts w:ascii="Times New Roman" w:hAnsi="Times New Roman" w:cs="Times New Roman"/>
                <w:sz w:val="24"/>
                <w:szCs w:val="24"/>
              </w:rPr>
            </w:pPr>
            <w:r w:rsidRPr="00A556BF">
              <w:rPr>
                <w:rFonts w:ascii="Times New Roman" w:hAnsi="Times New Roman" w:cs="Times New Roman"/>
                <w:sz w:val="24"/>
                <w:szCs w:val="24"/>
              </w:rPr>
              <w:t>Community Engagement Index (CEI)</w:t>
            </w:r>
          </w:p>
        </w:tc>
        <w:tc>
          <w:tcPr>
            <w:tcW w:w="1050" w:type="dxa"/>
            <w:vAlign w:val="center"/>
            <w:hideMark/>
          </w:tcPr>
          <w:p w14:paraId="52004A2E" w14:textId="77777777"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3.41</w:t>
            </w:r>
          </w:p>
        </w:tc>
        <w:tc>
          <w:tcPr>
            <w:tcW w:w="1140" w:type="dxa"/>
            <w:vAlign w:val="center"/>
            <w:hideMark/>
          </w:tcPr>
          <w:p w14:paraId="702A9C47" w14:textId="77777777"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0.76</w:t>
            </w:r>
          </w:p>
        </w:tc>
        <w:tc>
          <w:tcPr>
            <w:tcW w:w="1500" w:type="dxa"/>
            <w:vAlign w:val="center"/>
            <w:hideMark/>
          </w:tcPr>
          <w:p w14:paraId="2DBA3A44" w14:textId="77777777"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1.25</w:t>
            </w:r>
          </w:p>
        </w:tc>
        <w:tc>
          <w:tcPr>
            <w:tcW w:w="1575" w:type="dxa"/>
            <w:vAlign w:val="center"/>
            <w:hideMark/>
          </w:tcPr>
          <w:p w14:paraId="5C5A20E3" w14:textId="77777777"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4.90</w:t>
            </w:r>
          </w:p>
        </w:tc>
      </w:tr>
      <w:tr w:rsidR="00A556BF" w:rsidRPr="00A556BF" w14:paraId="46309759" w14:textId="77777777" w:rsidTr="00B854F3">
        <w:trPr>
          <w:tblCellSpacing w:w="15" w:type="dxa"/>
        </w:trPr>
        <w:tc>
          <w:tcPr>
            <w:tcW w:w="3780" w:type="dxa"/>
            <w:vAlign w:val="center"/>
            <w:hideMark/>
          </w:tcPr>
          <w:p w14:paraId="5E5092AB" w14:textId="77777777" w:rsidR="00A556BF" w:rsidRPr="00A556BF" w:rsidRDefault="00A556BF" w:rsidP="00B854F3">
            <w:pPr>
              <w:spacing w:line="240" w:lineRule="auto"/>
              <w:jc w:val="both"/>
              <w:rPr>
                <w:rFonts w:ascii="Times New Roman" w:hAnsi="Times New Roman" w:cs="Times New Roman"/>
                <w:sz w:val="24"/>
                <w:szCs w:val="24"/>
              </w:rPr>
            </w:pPr>
            <w:r w:rsidRPr="00A556BF">
              <w:rPr>
                <w:rFonts w:ascii="Times New Roman" w:hAnsi="Times New Roman" w:cs="Times New Roman"/>
                <w:sz w:val="24"/>
                <w:szCs w:val="24"/>
              </w:rPr>
              <w:t>Income growth (%)</w:t>
            </w:r>
          </w:p>
        </w:tc>
        <w:tc>
          <w:tcPr>
            <w:tcW w:w="1050" w:type="dxa"/>
            <w:vAlign w:val="center"/>
            <w:hideMark/>
          </w:tcPr>
          <w:p w14:paraId="54178E13" w14:textId="77777777"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13.2</w:t>
            </w:r>
          </w:p>
        </w:tc>
        <w:tc>
          <w:tcPr>
            <w:tcW w:w="1140" w:type="dxa"/>
            <w:vAlign w:val="center"/>
            <w:hideMark/>
          </w:tcPr>
          <w:p w14:paraId="26B25495" w14:textId="77777777"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18.6</w:t>
            </w:r>
          </w:p>
        </w:tc>
        <w:tc>
          <w:tcPr>
            <w:tcW w:w="1500" w:type="dxa"/>
            <w:vAlign w:val="center"/>
            <w:hideMark/>
          </w:tcPr>
          <w:p w14:paraId="22639E44" w14:textId="77777777"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−45</w:t>
            </w:r>
          </w:p>
        </w:tc>
        <w:tc>
          <w:tcPr>
            <w:tcW w:w="1575" w:type="dxa"/>
            <w:vAlign w:val="center"/>
            <w:hideMark/>
          </w:tcPr>
          <w:p w14:paraId="62BB4AC7" w14:textId="77777777"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160</w:t>
            </w:r>
          </w:p>
        </w:tc>
      </w:tr>
      <w:tr w:rsidR="00A556BF" w:rsidRPr="00A556BF" w14:paraId="7AF82652" w14:textId="77777777" w:rsidTr="00B854F3">
        <w:trPr>
          <w:tblCellSpacing w:w="15" w:type="dxa"/>
        </w:trPr>
        <w:tc>
          <w:tcPr>
            <w:tcW w:w="3780" w:type="dxa"/>
            <w:vAlign w:val="center"/>
            <w:hideMark/>
          </w:tcPr>
          <w:p w14:paraId="512B101E" w14:textId="77777777" w:rsidR="00A556BF" w:rsidRPr="00A556BF" w:rsidRDefault="00A556BF" w:rsidP="00B854F3">
            <w:pPr>
              <w:spacing w:line="240" w:lineRule="auto"/>
              <w:jc w:val="both"/>
              <w:rPr>
                <w:rFonts w:ascii="Times New Roman" w:hAnsi="Times New Roman" w:cs="Times New Roman"/>
                <w:sz w:val="24"/>
                <w:szCs w:val="24"/>
              </w:rPr>
            </w:pPr>
            <w:r w:rsidRPr="00A556BF">
              <w:rPr>
                <w:rFonts w:ascii="Times New Roman" w:hAnsi="Times New Roman" w:cs="Times New Roman"/>
                <w:sz w:val="24"/>
                <w:szCs w:val="24"/>
              </w:rPr>
              <w:t>Enterprise survival (years)</w:t>
            </w:r>
          </w:p>
        </w:tc>
        <w:tc>
          <w:tcPr>
            <w:tcW w:w="1050" w:type="dxa"/>
            <w:vAlign w:val="center"/>
            <w:hideMark/>
          </w:tcPr>
          <w:p w14:paraId="7C16201E" w14:textId="77777777"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4.6</w:t>
            </w:r>
          </w:p>
        </w:tc>
        <w:tc>
          <w:tcPr>
            <w:tcW w:w="1140" w:type="dxa"/>
            <w:vAlign w:val="center"/>
            <w:hideMark/>
          </w:tcPr>
          <w:p w14:paraId="77DB1B34" w14:textId="77777777"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3.1</w:t>
            </w:r>
          </w:p>
        </w:tc>
        <w:tc>
          <w:tcPr>
            <w:tcW w:w="1500" w:type="dxa"/>
            <w:vAlign w:val="center"/>
            <w:hideMark/>
          </w:tcPr>
          <w:p w14:paraId="2BAF80EB" w14:textId="77777777"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1</w:t>
            </w:r>
          </w:p>
        </w:tc>
        <w:tc>
          <w:tcPr>
            <w:tcW w:w="1575" w:type="dxa"/>
            <w:vAlign w:val="center"/>
            <w:hideMark/>
          </w:tcPr>
          <w:p w14:paraId="06F187EC" w14:textId="77777777"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18</w:t>
            </w:r>
          </w:p>
        </w:tc>
      </w:tr>
      <w:tr w:rsidR="00A556BF" w:rsidRPr="00A556BF" w14:paraId="6399D5E3" w14:textId="77777777" w:rsidTr="00B854F3">
        <w:trPr>
          <w:tblCellSpacing w:w="15" w:type="dxa"/>
        </w:trPr>
        <w:tc>
          <w:tcPr>
            <w:tcW w:w="3780" w:type="dxa"/>
            <w:vAlign w:val="center"/>
            <w:hideMark/>
          </w:tcPr>
          <w:p w14:paraId="1CE323D5" w14:textId="77777777" w:rsidR="00A556BF" w:rsidRPr="00A556BF" w:rsidRDefault="00A556BF" w:rsidP="00B854F3">
            <w:pPr>
              <w:spacing w:line="240" w:lineRule="auto"/>
              <w:jc w:val="both"/>
              <w:rPr>
                <w:rFonts w:ascii="Times New Roman" w:hAnsi="Times New Roman" w:cs="Times New Roman"/>
                <w:sz w:val="24"/>
                <w:szCs w:val="24"/>
              </w:rPr>
            </w:pPr>
            <w:r w:rsidRPr="00A556BF">
              <w:rPr>
                <w:rFonts w:ascii="Times New Roman" w:hAnsi="Times New Roman" w:cs="Times New Roman"/>
                <w:sz w:val="24"/>
                <w:szCs w:val="24"/>
              </w:rPr>
              <w:t>Enterprise diversification (count)</w:t>
            </w:r>
          </w:p>
        </w:tc>
        <w:tc>
          <w:tcPr>
            <w:tcW w:w="1050" w:type="dxa"/>
            <w:vAlign w:val="center"/>
            <w:hideMark/>
          </w:tcPr>
          <w:p w14:paraId="50E26896" w14:textId="77777777"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2.3</w:t>
            </w:r>
          </w:p>
        </w:tc>
        <w:tc>
          <w:tcPr>
            <w:tcW w:w="1140" w:type="dxa"/>
            <w:vAlign w:val="center"/>
            <w:hideMark/>
          </w:tcPr>
          <w:p w14:paraId="18D323E7" w14:textId="77777777"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1.4</w:t>
            </w:r>
          </w:p>
        </w:tc>
        <w:tc>
          <w:tcPr>
            <w:tcW w:w="1500" w:type="dxa"/>
            <w:vAlign w:val="center"/>
            <w:hideMark/>
          </w:tcPr>
          <w:p w14:paraId="77150D7C" w14:textId="77777777"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1</w:t>
            </w:r>
          </w:p>
        </w:tc>
        <w:tc>
          <w:tcPr>
            <w:tcW w:w="1575" w:type="dxa"/>
            <w:vAlign w:val="center"/>
            <w:hideMark/>
          </w:tcPr>
          <w:p w14:paraId="7DB35391" w14:textId="77777777"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6</w:t>
            </w:r>
          </w:p>
        </w:tc>
      </w:tr>
      <w:tr w:rsidR="00A556BF" w:rsidRPr="00A556BF" w14:paraId="6EB4117C" w14:textId="77777777" w:rsidTr="00B854F3">
        <w:trPr>
          <w:tblCellSpacing w:w="15" w:type="dxa"/>
        </w:trPr>
        <w:tc>
          <w:tcPr>
            <w:tcW w:w="3780" w:type="dxa"/>
            <w:vAlign w:val="center"/>
            <w:hideMark/>
          </w:tcPr>
          <w:p w14:paraId="1FAF5B2E" w14:textId="77777777" w:rsidR="00A556BF" w:rsidRPr="00A556BF" w:rsidRDefault="00A556BF" w:rsidP="00B854F3">
            <w:pPr>
              <w:spacing w:line="240" w:lineRule="auto"/>
              <w:jc w:val="both"/>
              <w:rPr>
                <w:rFonts w:ascii="Times New Roman" w:hAnsi="Times New Roman" w:cs="Times New Roman"/>
                <w:sz w:val="24"/>
                <w:szCs w:val="24"/>
              </w:rPr>
            </w:pPr>
            <w:r w:rsidRPr="00A556BF">
              <w:rPr>
                <w:rFonts w:ascii="Times New Roman" w:hAnsi="Times New Roman" w:cs="Times New Roman"/>
                <w:sz w:val="24"/>
                <w:szCs w:val="24"/>
              </w:rPr>
              <w:t>Sustainability practices index</w:t>
            </w:r>
          </w:p>
        </w:tc>
        <w:tc>
          <w:tcPr>
            <w:tcW w:w="1050" w:type="dxa"/>
            <w:vAlign w:val="center"/>
            <w:hideMark/>
          </w:tcPr>
          <w:p w14:paraId="2549B4E7" w14:textId="77777777"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2.9</w:t>
            </w:r>
          </w:p>
        </w:tc>
        <w:tc>
          <w:tcPr>
            <w:tcW w:w="1140" w:type="dxa"/>
            <w:vAlign w:val="center"/>
            <w:hideMark/>
          </w:tcPr>
          <w:p w14:paraId="17ADB672" w14:textId="77777777"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1.5</w:t>
            </w:r>
          </w:p>
        </w:tc>
        <w:tc>
          <w:tcPr>
            <w:tcW w:w="1500" w:type="dxa"/>
            <w:vAlign w:val="center"/>
            <w:hideMark/>
          </w:tcPr>
          <w:p w14:paraId="7E3CF38D" w14:textId="77777777"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0</w:t>
            </w:r>
          </w:p>
        </w:tc>
        <w:tc>
          <w:tcPr>
            <w:tcW w:w="1575" w:type="dxa"/>
            <w:vAlign w:val="center"/>
            <w:hideMark/>
          </w:tcPr>
          <w:p w14:paraId="035854A6" w14:textId="77777777"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7</w:t>
            </w:r>
          </w:p>
        </w:tc>
      </w:tr>
    </w:tbl>
    <w:p w14:paraId="0D0FB032" w14:textId="77777777" w:rsidR="00A556BF" w:rsidRDefault="004264B3" w:rsidP="004A4172">
      <w:pPr>
        <w:jc w:val="both"/>
        <w:rPr>
          <w:rFonts w:ascii="Times New Roman" w:hAnsi="Times New Roman" w:cs="Times New Roman"/>
          <w:sz w:val="24"/>
          <w:szCs w:val="24"/>
        </w:rPr>
      </w:pPr>
      <w:r w:rsidRPr="004264B3">
        <w:rPr>
          <w:rFonts w:ascii="Times New Roman" w:hAnsi="Times New Roman" w:cs="Times New Roman"/>
          <w:sz w:val="24"/>
          <w:szCs w:val="24"/>
        </w:rPr>
        <w:t xml:space="preserve">On average, blue entrepreneurs said they were somewhat involved in community structures and processes. The average income growth was good, but the big standard deviation shows that the results were very different from each other. There is still room for businesses to be more environmentally friendly because not many of them are using sustainable </w:t>
      </w:r>
      <w:proofErr w:type="gramStart"/>
      <w:r w:rsidRPr="004264B3">
        <w:rPr>
          <w:rFonts w:ascii="Times New Roman" w:hAnsi="Times New Roman" w:cs="Times New Roman"/>
          <w:sz w:val="24"/>
          <w:szCs w:val="24"/>
        </w:rPr>
        <w:t>practices.</w:t>
      </w:r>
      <w:r w:rsidR="00A556BF" w:rsidRPr="00A556BF">
        <w:rPr>
          <w:rFonts w:ascii="Times New Roman" w:hAnsi="Times New Roman" w:cs="Times New Roman"/>
          <w:sz w:val="24"/>
          <w:szCs w:val="24"/>
        </w:rPr>
        <w:t>.</w:t>
      </w:r>
      <w:proofErr w:type="gramEnd"/>
    </w:p>
    <w:p w14:paraId="2DE7223E" w14:textId="77777777" w:rsidR="00A556BF" w:rsidRPr="00A556BF" w:rsidRDefault="00A556BF" w:rsidP="00A556BF">
      <w:pPr>
        <w:jc w:val="both"/>
        <w:rPr>
          <w:rFonts w:ascii="Times New Roman" w:hAnsi="Times New Roman" w:cs="Times New Roman"/>
          <w:b/>
          <w:bCs/>
          <w:sz w:val="24"/>
          <w:szCs w:val="24"/>
        </w:rPr>
      </w:pPr>
      <w:r w:rsidRPr="00A556BF">
        <w:rPr>
          <w:rFonts w:ascii="Times New Roman" w:hAnsi="Times New Roman" w:cs="Times New Roman"/>
          <w:b/>
          <w:bCs/>
          <w:sz w:val="24"/>
          <w:szCs w:val="24"/>
        </w:rPr>
        <w:t>4.2 Reliability Analysis</w:t>
      </w:r>
    </w:p>
    <w:p w14:paraId="17196138" w14:textId="77777777" w:rsidR="004264B3" w:rsidRDefault="004264B3" w:rsidP="00A556BF">
      <w:pPr>
        <w:jc w:val="both"/>
        <w:rPr>
          <w:rFonts w:ascii="Times New Roman" w:hAnsi="Times New Roman" w:cs="Times New Roman"/>
          <w:sz w:val="24"/>
          <w:szCs w:val="24"/>
        </w:rPr>
      </w:pPr>
      <w:r w:rsidRPr="004264B3">
        <w:rPr>
          <w:rFonts w:ascii="Times New Roman" w:hAnsi="Times New Roman" w:cs="Times New Roman"/>
          <w:sz w:val="24"/>
          <w:szCs w:val="24"/>
        </w:rPr>
        <w:t>We used Cronbach's alpha to check the internal consistency of the Community Engagement Index and the Sustainability Practices Index.</w:t>
      </w:r>
    </w:p>
    <w:p w14:paraId="43B359C4" w14:textId="77777777" w:rsidR="00A556BF" w:rsidRPr="00A556BF" w:rsidRDefault="00A556BF" w:rsidP="004A4172">
      <w:pPr>
        <w:jc w:val="both"/>
        <w:rPr>
          <w:rFonts w:ascii="Times New Roman" w:hAnsi="Times New Roman" w:cs="Times New Roman"/>
          <w:b/>
          <w:bCs/>
          <w:sz w:val="24"/>
          <w:szCs w:val="24"/>
        </w:rPr>
      </w:pPr>
      <w:r w:rsidRPr="00A556BF">
        <w:rPr>
          <w:rFonts w:ascii="Times New Roman" w:hAnsi="Times New Roman" w:cs="Times New Roman"/>
          <w:b/>
          <w:bCs/>
          <w:sz w:val="24"/>
          <w:szCs w:val="24"/>
        </w:rPr>
        <w:lastRenderedPageBreak/>
        <w:t>Table 2</w:t>
      </w:r>
      <w:r>
        <w:rPr>
          <w:rFonts w:ascii="Times New Roman" w:hAnsi="Times New Roman" w:cs="Times New Roman"/>
          <w:b/>
          <w:bCs/>
          <w:sz w:val="24"/>
          <w:szCs w:val="24"/>
        </w:rPr>
        <w:t xml:space="preserve">: </w:t>
      </w:r>
      <w:r w:rsidRPr="008431F0">
        <w:rPr>
          <w:rFonts w:ascii="Times New Roman" w:hAnsi="Times New Roman" w:cs="Times New Roman"/>
          <w:bCs/>
          <w:sz w:val="24"/>
          <w:szCs w:val="24"/>
        </w:rPr>
        <w:t>Reliability Statistics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5"/>
        <w:gridCol w:w="2340"/>
        <w:gridCol w:w="1980"/>
      </w:tblGrid>
      <w:tr w:rsidR="00A556BF" w:rsidRPr="00A556BF" w14:paraId="7594927E" w14:textId="77777777" w:rsidTr="008431F0">
        <w:trPr>
          <w:tblHeader/>
          <w:tblCellSpacing w:w="15" w:type="dxa"/>
        </w:trPr>
        <w:tc>
          <w:tcPr>
            <w:tcW w:w="3420" w:type="dxa"/>
            <w:vAlign w:val="center"/>
            <w:hideMark/>
          </w:tcPr>
          <w:p w14:paraId="5287856D" w14:textId="77777777" w:rsidR="00A556BF" w:rsidRPr="00A556BF" w:rsidRDefault="00A556BF" w:rsidP="00A556BF">
            <w:pPr>
              <w:jc w:val="both"/>
              <w:rPr>
                <w:rFonts w:ascii="Times New Roman" w:hAnsi="Times New Roman" w:cs="Times New Roman"/>
                <w:b/>
                <w:bCs/>
                <w:sz w:val="24"/>
                <w:szCs w:val="24"/>
              </w:rPr>
            </w:pPr>
            <w:r w:rsidRPr="00A556BF">
              <w:rPr>
                <w:rFonts w:ascii="Times New Roman" w:hAnsi="Times New Roman" w:cs="Times New Roman"/>
                <w:b/>
                <w:bCs/>
                <w:sz w:val="24"/>
                <w:szCs w:val="24"/>
              </w:rPr>
              <w:t>Construct</w:t>
            </w:r>
          </w:p>
        </w:tc>
        <w:tc>
          <w:tcPr>
            <w:tcW w:w="2310" w:type="dxa"/>
            <w:vAlign w:val="center"/>
            <w:hideMark/>
          </w:tcPr>
          <w:p w14:paraId="34167C8B" w14:textId="77777777" w:rsidR="00A556BF" w:rsidRPr="00A556BF" w:rsidRDefault="00A556BF" w:rsidP="00BD7697">
            <w:pPr>
              <w:jc w:val="center"/>
              <w:rPr>
                <w:rFonts w:ascii="Times New Roman" w:hAnsi="Times New Roman" w:cs="Times New Roman"/>
                <w:b/>
                <w:bCs/>
                <w:sz w:val="24"/>
                <w:szCs w:val="24"/>
              </w:rPr>
            </w:pPr>
            <w:r w:rsidRPr="00A556BF">
              <w:rPr>
                <w:rFonts w:ascii="Times New Roman" w:hAnsi="Times New Roman" w:cs="Times New Roman"/>
                <w:b/>
                <w:bCs/>
                <w:sz w:val="24"/>
                <w:szCs w:val="24"/>
              </w:rPr>
              <w:t>Number of items</w:t>
            </w:r>
          </w:p>
        </w:tc>
        <w:tc>
          <w:tcPr>
            <w:tcW w:w="1935" w:type="dxa"/>
            <w:vAlign w:val="center"/>
            <w:hideMark/>
          </w:tcPr>
          <w:p w14:paraId="5DB4A115" w14:textId="77777777" w:rsidR="00A556BF" w:rsidRPr="00A556BF" w:rsidRDefault="00A556BF" w:rsidP="00BD7697">
            <w:pPr>
              <w:jc w:val="center"/>
              <w:rPr>
                <w:rFonts w:ascii="Times New Roman" w:hAnsi="Times New Roman" w:cs="Times New Roman"/>
                <w:b/>
                <w:bCs/>
                <w:sz w:val="24"/>
                <w:szCs w:val="24"/>
              </w:rPr>
            </w:pPr>
            <w:r w:rsidRPr="00A556BF">
              <w:rPr>
                <w:rFonts w:ascii="Times New Roman" w:hAnsi="Times New Roman" w:cs="Times New Roman"/>
                <w:b/>
                <w:bCs/>
                <w:sz w:val="24"/>
                <w:szCs w:val="24"/>
              </w:rPr>
              <w:t>Cronbach’s α</w:t>
            </w:r>
          </w:p>
        </w:tc>
      </w:tr>
      <w:tr w:rsidR="00A556BF" w:rsidRPr="00A556BF" w14:paraId="04598B28" w14:textId="77777777" w:rsidTr="008431F0">
        <w:trPr>
          <w:tblCellSpacing w:w="15" w:type="dxa"/>
        </w:trPr>
        <w:tc>
          <w:tcPr>
            <w:tcW w:w="3420" w:type="dxa"/>
            <w:vAlign w:val="center"/>
            <w:hideMark/>
          </w:tcPr>
          <w:p w14:paraId="5FC4F33E" w14:textId="77777777" w:rsidR="00A556BF" w:rsidRPr="00A556BF" w:rsidRDefault="00A556BF" w:rsidP="00A556BF">
            <w:pPr>
              <w:jc w:val="both"/>
              <w:rPr>
                <w:rFonts w:ascii="Times New Roman" w:hAnsi="Times New Roman" w:cs="Times New Roman"/>
                <w:sz w:val="24"/>
                <w:szCs w:val="24"/>
              </w:rPr>
            </w:pPr>
            <w:r w:rsidRPr="00A556BF">
              <w:rPr>
                <w:rFonts w:ascii="Times New Roman" w:hAnsi="Times New Roman" w:cs="Times New Roman"/>
                <w:sz w:val="24"/>
                <w:szCs w:val="24"/>
              </w:rPr>
              <w:t>Community Engagement Index</w:t>
            </w:r>
          </w:p>
        </w:tc>
        <w:tc>
          <w:tcPr>
            <w:tcW w:w="2310" w:type="dxa"/>
            <w:vAlign w:val="center"/>
            <w:hideMark/>
          </w:tcPr>
          <w:p w14:paraId="21B47AF3" w14:textId="77777777" w:rsidR="00A556BF" w:rsidRPr="00A556BF" w:rsidRDefault="00A556BF" w:rsidP="00BD7697">
            <w:pPr>
              <w:jc w:val="center"/>
              <w:rPr>
                <w:rFonts w:ascii="Times New Roman" w:hAnsi="Times New Roman" w:cs="Times New Roman"/>
                <w:sz w:val="24"/>
                <w:szCs w:val="24"/>
              </w:rPr>
            </w:pPr>
            <w:r w:rsidRPr="00A556BF">
              <w:rPr>
                <w:rFonts w:ascii="Times New Roman" w:hAnsi="Times New Roman" w:cs="Times New Roman"/>
                <w:sz w:val="24"/>
                <w:szCs w:val="24"/>
              </w:rPr>
              <w:t>8</w:t>
            </w:r>
          </w:p>
        </w:tc>
        <w:tc>
          <w:tcPr>
            <w:tcW w:w="1935" w:type="dxa"/>
            <w:vAlign w:val="center"/>
            <w:hideMark/>
          </w:tcPr>
          <w:p w14:paraId="23DD858F" w14:textId="77777777" w:rsidR="00A556BF" w:rsidRPr="00A556BF" w:rsidRDefault="00A556BF" w:rsidP="00BD7697">
            <w:pPr>
              <w:jc w:val="center"/>
              <w:rPr>
                <w:rFonts w:ascii="Times New Roman" w:hAnsi="Times New Roman" w:cs="Times New Roman"/>
                <w:sz w:val="24"/>
                <w:szCs w:val="24"/>
              </w:rPr>
            </w:pPr>
            <w:r w:rsidRPr="00A556BF">
              <w:rPr>
                <w:rFonts w:ascii="Times New Roman" w:hAnsi="Times New Roman" w:cs="Times New Roman"/>
                <w:sz w:val="24"/>
                <w:szCs w:val="24"/>
              </w:rPr>
              <w:t>0.82</w:t>
            </w:r>
          </w:p>
        </w:tc>
      </w:tr>
      <w:tr w:rsidR="00A556BF" w:rsidRPr="00A556BF" w14:paraId="71DD1466" w14:textId="77777777" w:rsidTr="008431F0">
        <w:trPr>
          <w:tblCellSpacing w:w="15" w:type="dxa"/>
        </w:trPr>
        <w:tc>
          <w:tcPr>
            <w:tcW w:w="3420" w:type="dxa"/>
            <w:vAlign w:val="center"/>
            <w:hideMark/>
          </w:tcPr>
          <w:p w14:paraId="7A3C2697" w14:textId="77777777" w:rsidR="00A556BF" w:rsidRPr="00A556BF" w:rsidRDefault="00A556BF" w:rsidP="00A556BF">
            <w:pPr>
              <w:jc w:val="both"/>
              <w:rPr>
                <w:rFonts w:ascii="Times New Roman" w:hAnsi="Times New Roman" w:cs="Times New Roman"/>
                <w:sz w:val="24"/>
                <w:szCs w:val="24"/>
              </w:rPr>
            </w:pPr>
            <w:r w:rsidRPr="00A556BF">
              <w:rPr>
                <w:rFonts w:ascii="Times New Roman" w:hAnsi="Times New Roman" w:cs="Times New Roman"/>
                <w:sz w:val="24"/>
                <w:szCs w:val="24"/>
              </w:rPr>
              <w:t>Sustainability Practices Index</w:t>
            </w:r>
          </w:p>
        </w:tc>
        <w:tc>
          <w:tcPr>
            <w:tcW w:w="2310" w:type="dxa"/>
            <w:vAlign w:val="center"/>
            <w:hideMark/>
          </w:tcPr>
          <w:p w14:paraId="70A15D5F" w14:textId="77777777" w:rsidR="00A556BF" w:rsidRPr="00A556BF" w:rsidRDefault="00A556BF" w:rsidP="00BD7697">
            <w:pPr>
              <w:jc w:val="center"/>
              <w:rPr>
                <w:rFonts w:ascii="Times New Roman" w:hAnsi="Times New Roman" w:cs="Times New Roman"/>
                <w:sz w:val="24"/>
                <w:szCs w:val="24"/>
              </w:rPr>
            </w:pPr>
            <w:r w:rsidRPr="00A556BF">
              <w:rPr>
                <w:rFonts w:ascii="Times New Roman" w:hAnsi="Times New Roman" w:cs="Times New Roman"/>
                <w:sz w:val="24"/>
                <w:szCs w:val="24"/>
              </w:rPr>
              <w:t>6</w:t>
            </w:r>
          </w:p>
        </w:tc>
        <w:tc>
          <w:tcPr>
            <w:tcW w:w="1935" w:type="dxa"/>
            <w:vAlign w:val="center"/>
            <w:hideMark/>
          </w:tcPr>
          <w:p w14:paraId="798802B7" w14:textId="77777777" w:rsidR="00A556BF" w:rsidRPr="00A556BF" w:rsidRDefault="00A556BF" w:rsidP="00BD7697">
            <w:pPr>
              <w:jc w:val="center"/>
              <w:rPr>
                <w:rFonts w:ascii="Times New Roman" w:hAnsi="Times New Roman" w:cs="Times New Roman"/>
                <w:sz w:val="24"/>
                <w:szCs w:val="24"/>
              </w:rPr>
            </w:pPr>
            <w:r w:rsidRPr="00A556BF">
              <w:rPr>
                <w:rFonts w:ascii="Times New Roman" w:hAnsi="Times New Roman" w:cs="Times New Roman"/>
                <w:sz w:val="24"/>
                <w:szCs w:val="24"/>
              </w:rPr>
              <w:t>0.79</w:t>
            </w:r>
          </w:p>
        </w:tc>
      </w:tr>
    </w:tbl>
    <w:p w14:paraId="496478E0" w14:textId="77777777" w:rsidR="004264B3" w:rsidRDefault="004264B3" w:rsidP="004A4172">
      <w:pPr>
        <w:jc w:val="both"/>
        <w:rPr>
          <w:rFonts w:ascii="Times New Roman" w:hAnsi="Times New Roman" w:cs="Times New Roman"/>
          <w:sz w:val="24"/>
          <w:szCs w:val="24"/>
        </w:rPr>
      </w:pPr>
      <w:r w:rsidRPr="004264B3">
        <w:rPr>
          <w:rFonts w:ascii="Times New Roman" w:hAnsi="Times New Roman" w:cs="Times New Roman"/>
          <w:sz w:val="24"/>
          <w:szCs w:val="24"/>
        </w:rPr>
        <w:t>Cronbach's alpha values are higher than the recommended level of 0.70, which means that the composite indices used in later analyses are reliable and consistent.</w:t>
      </w:r>
    </w:p>
    <w:p w14:paraId="2E7E11E7" w14:textId="77777777" w:rsidR="00D24365" w:rsidRPr="00D24365" w:rsidRDefault="00D24365" w:rsidP="00D24365">
      <w:pPr>
        <w:jc w:val="both"/>
        <w:rPr>
          <w:rFonts w:ascii="Times New Roman" w:hAnsi="Times New Roman" w:cs="Times New Roman"/>
          <w:b/>
          <w:bCs/>
          <w:sz w:val="24"/>
          <w:szCs w:val="24"/>
        </w:rPr>
      </w:pPr>
      <w:r w:rsidRPr="00D24365">
        <w:rPr>
          <w:rFonts w:ascii="Times New Roman" w:hAnsi="Times New Roman" w:cs="Times New Roman"/>
          <w:b/>
          <w:bCs/>
          <w:sz w:val="24"/>
          <w:szCs w:val="24"/>
        </w:rPr>
        <w:t>4.3 Correlation Analysis</w:t>
      </w:r>
    </w:p>
    <w:p w14:paraId="35818D4E" w14:textId="77777777" w:rsidR="004264B3" w:rsidRPr="004264B3" w:rsidRDefault="004264B3" w:rsidP="004264B3">
      <w:pPr>
        <w:rPr>
          <w:rFonts w:ascii="Times New Roman" w:hAnsi="Times New Roman" w:cs="Times New Roman"/>
          <w:sz w:val="24"/>
          <w:szCs w:val="24"/>
        </w:rPr>
      </w:pPr>
      <w:r w:rsidRPr="004264B3">
        <w:rPr>
          <w:rFonts w:ascii="Times New Roman" w:hAnsi="Times New Roman" w:cs="Times New Roman"/>
          <w:sz w:val="24"/>
          <w:szCs w:val="24"/>
        </w:rPr>
        <w:t>Pearson correlation coefficients were calculated to analyze bivariate relationships between community engagement and performance indicators.</w:t>
      </w:r>
    </w:p>
    <w:p w14:paraId="4616C0A1" w14:textId="77777777" w:rsidR="00D24365" w:rsidRPr="00D24365" w:rsidRDefault="00D24365" w:rsidP="004A4172">
      <w:pPr>
        <w:jc w:val="both"/>
        <w:rPr>
          <w:rFonts w:ascii="Times New Roman" w:hAnsi="Times New Roman" w:cs="Times New Roman"/>
          <w:b/>
          <w:bCs/>
          <w:sz w:val="24"/>
          <w:szCs w:val="24"/>
        </w:rPr>
      </w:pPr>
      <w:r w:rsidRPr="00D24365">
        <w:rPr>
          <w:rFonts w:ascii="Times New Roman" w:hAnsi="Times New Roman" w:cs="Times New Roman"/>
          <w:b/>
          <w:bCs/>
          <w:sz w:val="24"/>
          <w:szCs w:val="24"/>
        </w:rPr>
        <w:t>Table 3</w:t>
      </w:r>
      <w:r>
        <w:rPr>
          <w:rFonts w:ascii="Times New Roman" w:hAnsi="Times New Roman" w:cs="Times New Roman"/>
          <w:b/>
          <w:bCs/>
          <w:sz w:val="24"/>
          <w:szCs w:val="24"/>
        </w:rPr>
        <w:t>:</w:t>
      </w:r>
      <w:r w:rsidR="00B82C1F">
        <w:rPr>
          <w:rFonts w:ascii="Times New Roman" w:hAnsi="Times New Roman" w:cs="Times New Roman"/>
          <w:b/>
          <w:bCs/>
          <w:sz w:val="24"/>
          <w:szCs w:val="24"/>
        </w:rPr>
        <w:t xml:space="preserve"> </w:t>
      </w:r>
      <w:r w:rsidRPr="00B82C1F">
        <w:rPr>
          <w:rFonts w:ascii="Times New Roman" w:hAnsi="Times New Roman" w:cs="Times New Roman"/>
          <w:bCs/>
          <w:sz w:val="24"/>
          <w:szCs w:val="24"/>
        </w:rPr>
        <w:t>Correlation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5"/>
        <w:gridCol w:w="900"/>
        <w:gridCol w:w="1710"/>
        <w:gridCol w:w="1800"/>
        <w:gridCol w:w="1740"/>
      </w:tblGrid>
      <w:tr w:rsidR="008431F0" w:rsidRPr="00D24365" w14:paraId="6F8C7297" w14:textId="77777777" w:rsidTr="008431F0">
        <w:trPr>
          <w:tblHeader/>
          <w:tblCellSpacing w:w="15" w:type="dxa"/>
        </w:trPr>
        <w:tc>
          <w:tcPr>
            <w:tcW w:w="3150" w:type="dxa"/>
            <w:vAlign w:val="center"/>
            <w:hideMark/>
          </w:tcPr>
          <w:p w14:paraId="71E8AB6A" w14:textId="77777777" w:rsidR="00D24365" w:rsidRPr="00D24365" w:rsidRDefault="00D24365" w:rsidP="00B854F3">
            <w:pPr>
              <w:spacing w:line="240" w:lineRule="auto"/>
              <w:jc w:val="both"/>
              <w:rPr>
                <w:rFonts w:ascii="Times New Roman" w:hAnsi="Times New Roman" w:cs="Times New Roman"/>
                <w:b/>
                <w:bCs/>
                <w:sz w:val="24"/>
                <w:szCs w:val="24"/>
              </w:rPr>
            </w:pPr>
            <w:r w:rsidRPr="00D24365">
              <w:rPr>
                <w:rFonts w:ascii="Times New Roman" w:hAnsi="Times New Roman" w:cs="Times New Roman"/>
                <w:b/>
                <w:bCs/>
                <w:sz w:val="24"/>
                <w:szCs w:val="24"/>
              </w:rPr>
              <w:t>Variable</w:t>
            </w:r>
          </w:p>
        </w:tc>
        <w:tc>
          <w:tcPr>
            <w:tcW w:w="870" w:type="dxa"/>
            <w:vAlign w:val="center"/>
            <w:hideMark/>
          </w:tcPr>
          <w:p w14:paraId="0604F3ED" w14:textId="77777777" w:rsidR="00D24365" w:rsidRPr="00D24365" w:rsidRDefault="00D24365" w:rsidP="00BD7697">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CEI</w:t>
            </w:r>
          </w:p>
        </w:tc>
        <w:tc>
          <w:tcPr>
            <w:tcW w:w="1680" w:type="dxa"/>
            <w:vAlign w:val="center"/>
            <w:hideMark/>
          </w:tcPr>
          <w:p w14:paraId="070E8CAA" w14:textId="77777777" w:rsidR="00D24365" w:rsidRPr="00D24365" w:rsidRDefault="00D24365" w:rsidP="00BD7697">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Income growth</w:t>
            </w:r>
          </w:p>
        </w:tc>
        <w:tc>
          <w:tcPr>
            <w:tcW w:w="1770" w:type="dxa"/>
            <w:vAlign w:val="center"/>
            <w:hideMark/>
          </w:tcPr>
          <w:p w14:paraId="543706C3" w14:textId="77777777" w:rsidR="00D24365" w:rsidRPr="00D24365" w:rsidRDefault="00D24365" w:rsidP="00BD7697">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Diversification</w:t>
            </w:r>
          </w:p>
        </w:tc>
        <w:tc>
          <w:tcPr>
            <w:tcW w:w="1695" w:type="dxa"/>
            <w:vAlign w:val="center"/>
            <w:hideMark/>
          </w:tcPr>
          <w:p w14:paraId="5E0B38BC" w14:textId="77777777" w:rsidR="00D24365" w:rsidRPr="00D24365" w:rsidRDefault="00D24365" w:rsidP="00BD7697">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Sustainability</w:t>
            </w:r>
          </w:p>
        </w:tc>
      </w:tr>
      <w:tr w:rsidR="008431F0" w:rsidRPr="00D24365" w14:paraId="34477B25" w14:textId="77777777" w:rsidTr="008431F0">
        <w:trPr>
          <w:tblCellSpacing w:w="15" w:type="dxa"/>
        </w:trPr>
        <w:tc>
          <w:tcPr>
            <w:tcW w:w="3150" w:type="dxa"/>
            <w:vAlign w:val="center"/>
            <w:hideMark/>
          </w:tcPr>
          <w:p w14:paraId="7A14F314" w14:textId="77777777"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Community Engagement Index</w:t>
            </w:r>
          </w:p>
        </w:tc>
        <w:tc>
          <w:tcPr>
            <w:tcW w:w="870" w:type="dxa"/>
            <w:vAlign w:val="center"/>
            <w:hideMark/>
          </w:tcPr>
          <w:p w14:paraId="10BE3995"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w:t>
            </w:r>
          </w:p>
        </w:tc>
        <w:tc>
          <w:tcPr>
            <w:tcW w:w="1680" w:type="dxa"/>
            <w:vAlign w:val="center"/>
            <w:hideMark/>
          </w:tcPr>
          <w:p w14:paraId="6CB3D195" w14:textId="77777777" w:rsidR="00D24365" w:rsidRPr="00D24365" w:rsidRDefault="00D24365" w:rsidP="00BD7697">
            <w:pPr>
              <w:spacing w:line="240" w:lineRule="auto"/>
              <w:jc w:val="center"/>
              <w:rPr>
                <w:rFonts w:ascii="Times New Roman" w:hAnsi="Times New Roman" w:cs="Times New Roman"/>
                <w:sz w:val="24"/>
                <w:szCs w:val="24"/>
              </w:rPr>
            </w:pPr>
          </w:p>
        </w:tc>
        <w:tc>
          <w:tcPr>
            <w:tcW w:w="1770" w:type="dxa"/>
            <w:vAlign w:val="center"/>
            <w:hideMark/>
          </w:tcPr>
          <w:p w14:paraId="497C33C5" w14:textId="77777777" w:rsidR="00D24365" w:rsidRPr="00D24365" w:rsidRDefault="00D24365" w:rsidP="00BD7697">
            <w:pPr>
              <w:spacing w:line="240" w:lineRule="auto"/>
              <w:jc w:val="center"/>
              <w:rPr>
                <w:rFonts w:ascii="Times New Roman" w:hAnsi="Times New Roman" w:cs="Times New Roman"/>
                <w:sz w:val="24"/>
                <w:szCs w:val="24"/>
              </w:rPr>
            </w:pPr>
          </w:p>
        </w:tc>
        <w:tc>
          <w:tcPr>
            <w:tcW w:w="1695" w:type="dxa"/>
            <w:vAlign w:val="center"/>
            <w:hideMark/>
          </w:tcPr>
          <w:p w14:paraId="3CDAE31C" w14:textId="77777777" w:rsidR="00D24365" w:rsidRPr="00D24365" w:rsidRDefault="00D24365" w:rsidP="00BD7697">
            <w:pPr>
              <w:spacing w:line="240" w:lineRule="auto"/>
              <w:jc w:val="center"/>
              <w:rPr>
                <w:rFonts w:ascii="Times New Roman" w:hAnsi="Times New Roman" w:cs="Times New Roman"/>
                <w:sz w:val="24"/>
                <w:szCs w:val="24"/>
              </w:rPr>
            </w:pPr>
          </w:p>
        </w:tc>
      </w:tr>
      <w:tr w:rsidR="008431F0" w:rsidRPr="00D24365" w14:paraId="5A533310" w14:textId="77777777" w:rsidTr="008431F0">
        <w:trPr>
          <w:tblCellSpacing w:w="15" w:type="dxa"/>
        </w:trPr>
        <w:tc>
          <w:tcPr>
            <w:tcW w:w="3150" w:type="dxa"/>
            <w:vAlign w:val="center"/>
            <w:hideMark/>
          </w:tcPr>
          <w:p w14:paraId="354C0958" w14:textId="77777777"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Income growth</w:t>
            </w:r>
          </w:p>
        </w:tc>
        <w:tc>
          <w:tcPr>
            <w:tcW w:w="870" w:type="dxa"/>
            <w:vAlign w:val="center"/>
            <w:hideMark/>
          </w:tcPr>
          <w:p w14:paraId="410F32B6"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.32***</w:t>
            </w:r>
          </w:p>
        </w:tc>
        <w:tc>
          <w:tcPr>
            <w:tcW w:w="1680" w:type="dxa"/>
            <w:vAlign w:val="center"/>
            <w:hideMark/>
          </w:tcPr>
          <w:p w14:paraId="7F193D5D"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w:t>
            </w:r>
          </w:p>
        </w:tc>
        <w:tc>
          <w:tcPr>
            <w:tcW w:w="1770" w:type="dxa"/>
            <w:vAlign w:val="center"/>
            <w:hideMark/>
          </w:tcPr>
          <w:p w14:paraId="06542368" w14:textId="77777777" w:rsidR="00D24365" w:rsidRPr="00D24365" w:rsidRDefault="00D24365" w:rsidP="00BD7697">
            <w:pPr>
              <w:spacing w:line="240" w:lineRule="auto"/>
              <w:jc w:val="center"/>
              <w:rPr>
                <w:rFonts w:ascii="Times New Roman" w:hAnsi="Times New Roman" w:cs="Times New Roman"/>
                <w:sz w:val="24"/>
                <w:szCs w:val="24"/>
              </w:rPr>
            </w:pPr>
          </w:p>
        </w:tc>
        <w:tc>
          <w:tcPr>
            <w:tcW w:w="1695" w:type="dxa"/>
            <w:vAlign w:val="center"/>
            <w:hideMark/>
          </w:tcPr>
          <w:p w14:paraId="64DF01C1" w14:textId="77777777" w:rsidR="00D24365" w:rsidRPr="00D24365" w:rsidRDefault="00D24365" w:rsidP="00BD7697">
            <w:pPr>
              <w:spacing w:line="240" w:lineRule="auto"/>
              <w:jc w:val="center"/>
              <w:rPr>
                <w:rFonts w:ascii="Times New Roman" w:hAnsi="Times New Roman" w:cs="Times New Roman"/>
                <w:sz w:val="24"/>
                <w:szCs w:val="24"/>
              </w:rPr>
            </w:pPr>
          </w:p>
        </w:tc>
      </w:tr>
      <w:tr w:rsidR="008431F0" w:rsidRPr="00D24365" w14:paraId="01891349" w14:textId="77777777" w:rsidTr="008431F0">
        <w:trPr>
          <w:tblCellSpacing w:w="15" w:type="dxa"/>
        </w:trPr>
        <w:tc>
          <w:tcPr>
            <w:tcW w:w="3150" w:type="dxa"/>
            <w:vAlign w:val="center"/>
            <w:hideMark/>
          </w:tcPr>
          <w:p w14:paraId="44DAC082" w14:textId="77777777"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Diversification</w:t>
            </w:r>
          </w:p>
        </w:tc>
        <w:tc>
          <w:tcPr>
            <w:tcW w:w="870" w:type="dxa"/>
            <w:vAlign w:val="center"/>
            <w:hideMark/>
          </w:tcPr>
          <w:p w14:paraId="171810F3"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.28***</w:t>
            </w:r>
          </w:p>
        </w:tc>
        <w:tc>
          <w:tcPr>
            <w:tcW w:w="1680" w:type="dxa"/>
            <w:vAlign w:val="center"/>
            <w:hideMark/>
          </w:tcPr>
          <w:p w14:paraId="114EE5F7"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.24***</w:t>
            </w:r>
          </w:p>
        </w:tc>
        <w:tc>
          <w:tcPr>
            <w:tcW w:w="1770" w:type="dxa"/>
            <w:vAlign w:val="center"/>
            <w:hideMark/>
          </w:tcPr>
          <w:p w14:paraId="1AD8E43D"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w:t>
            </w:r>
          </w:p>
        </w:tc>
        <w:tc>
          <w:tcPr>
            <w:tcW w:w="1695" w:type="dxa"/>
            <w:vAlign w:val="center"/>
            <w:hideMark/>
          </w:tcPr>
          <w:p w14:paraId="0DB8B1C9" w14:textId="77777777" w:rsidR="00D24365" w:rsidRPr="00D24365" w:rsidRDefault="00D24365" w:rsidP="00BD7697">
            <w:pPr>
              <w:spacing w:line="240" w:lineRule="auto"/>
              <w:jc w:val="center"/>
              <w:rPr>
                <w:rFonts w:ascii="Times New Roman" w:hAnsi="Times New Roman" w:cs="Times New Roman"/>
                <w:sz w:val="24"/>
                <w:szCs w:val="24"/>
              </w:rPr>
            </w:pPr>
          </w:p>
        </w:tc>
      </w:tr>
      <w:tr w:rsidR="008431F0" w:rsidRPr="00D24365" w14:paraId="782C7E7D" w14:textId="77777777" w:rsidTr="008431F0">
        <w:trPr>
          <w:tblCellSpacing w:w="15" w:type="dxa"/>
        </w:trPr>
        <w:tc>
          <w:tcPr>
            <w:tcW w:w="3150" w:type="dxa"/>
            <w:vAlign w:val="center"/>
            <w:hideMark/>
          </w:tcPr>
          <w:p w14:paraId="02B591E5" w14:textId="77777777"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Sustainability practices</w:t>
            </w:r>
          </w:p>
        </w:tc>
        <w:tc>
          <w:tcPr>
            <w:tcW w:w="870" w:type="dxa"/>
            <w:vAlign w:val="center"/>
            <w:hideMark/>
          </w:tcPr>
          <w:p w14:paraId="0AAA9E6A"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.35***</w:t>
            </w:r>
          </w:p>
        </w:tc>
        <w:tc>
          <w:tcPr>
            <w:tcW w:w="1680" w:type="dxa"/>
            <w:vAlign w:val="center"/>
            <w:hideMark/>
          </w:tcPr>
          <w:p w14:paraId="4E8C0B87"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.21**</w:t>
            </w:r>
          </w:p>
        </w:tc>
        <w:tc>
          <w:tcPr>
            <w:tcW w:w="1770" w:type="dxa"/>
            <w:vAlign w:val="center"/>
            <w:hideMark/>
          </w:tcPr>
          <w:p w14:paraId="6DA32263"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.26***</w:t>
            </w:r>
          </w:p>
        </w:tc>
        <w:tc>
          <w:tcPr>
            <w:tcW w:w="1695" w:type="dxa"/>
            <w:vAlign w:val="center"/>
            <w:hideMark/>
          </w:tcPr>
          <w:p w14:paraId="266B29BA"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w:t>
            </w:r>
          </w:p>
        </w:tc>
      </w:tr>
    </w:tbl>
    <w:p w14:paraId="5DFD6AE8" w14:textId="77777777" w:rsidR="00D24365" w:rsidRDefault="00D24365" w:rsidP="004A4172">
      <w:pPr>
        <w:jc w:val="both"/>
        <w:rPr>
          <w:rFonts w:ascii="Times New Roman" w:hAnsi="Times New Roman" w:cs="Times New Roman"/>
          <w:sz w:val="24"/>
          <w:szCs w:val="24"/>
        </w:rPr>
      </w:pPr>
    </w:p>
    <w:p w14:paraId="5DFB3CE4" w14:textId="77777777" w:rsidR="008431F0" w:rsidRDefault="00D24365" w:rsidP="00D24365">
      <w:pPr>
        <w:jc w:val="both"/>
        <w:rPr>
          <w:rFonts w:ascii="Times New Roman" w:hAnsi="Times New Roman" w:cs="Times New Roman"/>
          <w:sz w:val="24"/>
          <w:szCs w:val="24"/>
        </w:rPr>
      </w:pPr>
      <w:r w:rsidRPr="00D24365">
        <w:rPr>
          <w:rFonts w:ascii="Times New Roman" w:hAnsi="Times New Roman" w:cs="Times New Roman"/>
          <w:i/>
          <w:iCs/>
          <w:sz w:val="24"/>
          <w:szCs w:val="24"/>
        </w:rPr>
        <w:t>p</w:t>
      </w:r>
      <w:r w:rsidRPr="00D24365">
        <w:rPr>
          <w:rFonts w:ascii="Times New Roman" w:hAnsi="Times New Roman" w:cs="Times New Roman"/>
          <w:sz w:val="24"/>
          <w:szCs w:val="24"/>
        </w:rPr>
        <w:t xml:space="preserve"> &lt; .05**, </w:t>
      </w:r>
      <w:r w:rsidRPr="00D24365">
        <w:rPr>
          <w:rFonts w:ascii="Times New Roman" w:hAnsi="Times New Roman" w:cs="Times New Roman"/>
          <w:i/>
          <w:iCs/>
          <w:sz w:val="24"/>
          <w:szCs w:val="24"/>
        </w:rPr>
        <w:t>p</w:t>
      </w:r>
      <w:r w:rsidRPr="00D24365">
        <w:rPr>
          <w:rFonts w:ascii="Times New Roman" w:hAnsi="Times New Roman" w:cs="Times New Roman"/>
          <w:sz w:val="24"/>
          <w:szCs w:val="24"/>
        </w:rPr>
        <w:t xml:space="preserve"> &lt; .01***</w:t>
      </w:r>
    </w:p>
    <w:p w14:paraId="0A5BE547" w14:textId="77777777" w:rsidR="00D24365" w:rsidRPr="00D24365" w:rsidRDefault="00D24365" w:rsidP="00D24365">
      <w:pPr>
        <w:jc w:val="both"/>
        <w:rPr>
          <w:rFonts w:ascii="Times New Roman" w:hAnsi="Times New Roman" w:cs="Times New Roman"/>
          <w:sz w:val="24"/>
          <w:szCs w:val="24"/>
        </w:rPr>
      </w:pPr>
      <w:r w:rsidRPr="00D24365">
        <w:rPr>
          <w:rFonts w:ascii="Times New Roman" w:hAnsi="Times New Roman" w:cs="Times New Roman"/>
          <w:sz w:val="24"/>
          <w:szCs w:val="24"/>
        </w:rPr>
        <w:br/>
      </w:r>
      <w:r w:rsidR="004264B3" w:rsidRPr="004264B3">
        <w:rPr>
          <w:rFonts w:ascii="Times New Roman" w:hAnsi="Times New Roman" w:cs="Times New Roman"/>
          <w:sz w:val="24"/>
          <w:szCs w:val="24"/>
        </w:rPr>
        <w:t>Community engagement is positively and significantly associated with all performance indicators. The most significant correlation is noted between community engagement and the adoption of sustainable practices, succeeded by income growth and enterprise diversification. These early findings lend preliminary support to H1 and H3.</w:t>
      </w:r>
    </w:p>
    <w:p w14:paraId="02777E3B" w14:textId="77777777" w:rsidR="00D24365" w:rsidRPr="00D24365" w:rsidRDefault="00D24365" w:rsidP="00D24365">
      <w:pPr>
        <w:jc w:val="both"/>
        <w:rPr>
          <w:rFonts w:ascii="Times New Roman" w:hAnsi="Times New Roman" w:cs="Times New Roman"/>
          <w:b/>
          <w:bCs/>
          <w:sz w:val="24"/>
          <w:szCs w:val="24"/>
        </w:rPr>
      </w:pPr>
      <w:r w:rsidRPr="00D24365">
        <w:rPr>
          <w:rFonts w:ascii="Times New Roman" w:hAnsi="Times New Roman" w:cs="Times New Roman"/>
          <w:b/>
          <w:bCs/>
          <w:sz w:val="24"/>
          <w:szCs w:val="24"/>
        </w:rPr>
        <w:t>4.4 Regression Results</w:t>
      </w:r>
    </w:p>
    <w:p w14:paraId="3D326212" w14:textId="77777777" w:rsidR="00D24365" w:rsidRPr="00D24365" w:rsidRDefault="00D24365" w:rsidP="00D24365">
      <w:pPr>
        <w:jc w:val="both"/>
        <w:rPr>
          <w:rFonts w:ascii="Times New Roman" w:hAnsi="Times New Roman" w:cs="Times New Roman"/>
          <w:b/>
          <w:bCs/>
          <w:sz w:val="24"/>
          <w:szCs w:val="24"/>
        </w:rPr>
      </w:pPr>
      <w:r w:rsidRPr="00D24365">
        <w:rPr>
          <w:rFonts w:ascii="Times New Roman" w:hAnsi="Times New Roman" w:cs="Times New Roman"/>
          <w:b/>
          <w:bCs/>
          <w:sz w:val="24"/>
          <w:szCs w:val="24"/>
        </w:rPr>
        <w:t>4.4.1 Effect of Community Engagement on Income Growth</w:t>
      </w:r>
    </w:p>
    <w:p w14:paraId="50E90EB4" w14:textId="77777777" w:rsidR="004264B3" w:rsidRDefault="004264B3" w:rsidP="00D24365">
      <w:pPr>
        <w:jc w:val="both"/>
        <w:rPr>
          <w:rFonts w:ascii="Times New Roman" w:hAnsi="Times New Roman" w:cs="Times New Roman"/>
          <w:sz w:val="24"/>
          <w:szCs w:val="24"/>
        </w:rPr>
      </w:pPr>
      <w:r w:rsidRPr="004264B3">
        <w:rPr>
          <w:rFonts w:ascii="Times New Roman" w:hAnsi="Times New Roman" w:cs="Times New Roman"/>
          <w:sz w:val="24"/>
          <w:szCs w:val="24"/>
        </w:rPr>
        <w:t xml:space="preserve">Table 4 shows the results of the OLS regression that looked at how community engagement affects income growth while </w:t>
      </w:r>
      <w:proofErr w:type="gramStart"/>
      <w:r w:rsidRPr="004264B3">
        <w:rPr>
          <w:rFonts w:ascii="Times New Roman" w:hAnsi="Times New Roman" w:cs="Times New Roman"/>
          <w:sz w:val="24"/>
          <w:szCs w:val="24"/>
        </w:rPr>
        <w:t>taking into account</w:t>
      </w:r>
      <w:proofErr w:type="gramEnd"/>
      <w:r w:rsidRPr="004264B3">
        <w:rPr>
          <w:rFonts w:ascii="Times New Roman" w:hAnsi="Times New Roman" w:cs="Times New Roman"/>
          <w:sz w:val="24"/>
          <w:szCs w:val="24"/>
        </w:rPr>
        <w:t xml:space="preserve"> education, business experience, type of business, access to finance, and district location.</w:t>
      </w:r>
    </w:p>
    <w:p w14:paraId="17E5E8C8" w14:textId="77777777" w:rsidR="00D24365" w:rsidRPr="008431F0" w:rsidRDefault="00D24365" w:rsidP="004A4172">
      <w:pPr>
        <w:jc w:val="both"/>
        <w:rPr>
          <w:rFonts w:ascii="Times New Roman" w:hAnsi="Times New Roman" w:cs="Times New Roman"/>
          <w:bCs/>
          <w:sz w:val="24"/>
          <w:szCs w:val="24"/>
        </w:rPr>
      </w:pPr>
      <w:r w:rsidRPr="00D24365">
        <w:rPr>
          <w:rFonts w:ascii="Times New Roman" w:hAnsi="Times New Roman" w:cs="Times New Roman"/>
          <w:b/>
          <w:bCs/>
          <w:sz w:val="24"/>
          <w:szCs w:val="24"/>
        </w:rPr>
        <w:lastRenderedPageBreak/>
        <w:t>Table 4</w:t>
      </w:r>
      <w:r>
        <w:rPr>
          <w:rFonts w:ascii="Times New Roman" w:hAnsi="Times New Roman" w:cs="Times New Roman"/>
          <w:b/>
          <w:bCs/>
          <w:sz w:val="24"/>
          <w:szCs w:val="24"/>
        </w:rPr>
        <w:t xml:space="preserve">: </w:t>
      </w:r>
      <w:r w:rsidRPr="008431F0">
        <w:rPr>
          <w:rFonts w:ascii="Times New Roman" w:hAnsi="Times New Roman" w:cs="Times New Roman"/>
          <w:bCs/>
          <w:sz w:val="24"/>
          <w:szCs w:val="24"/>
        </w:rPr>
        <w:t>OLS Regression Results: Income Growth</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088"/>
        <w:gridCol w:w="917"/>
        <w:gridCol w:w="900"/>
        <w:gridCol w:w="990"/>
        <w:gridCol w:w="1350"/>
        <w:gridCol w:w="1890"/>
      </w:tblGrid>
      <w:tr w:rsidR="008431F0" w:rsidRPr="00D24365" w14:paraId="1780171E" w14:textId="77777777" w:rsidTr="00B854F3">
        <w:trPr>
          <w:tblHeader/>
          <w:tblCellSpacing w:w="15" w:type="dxa"/>
          <w:jc w:val="center"/>
        </w:trPr>
        <w:tc>
          <w:tcPr>
            <w:tcW w:w="3043" w:type="dxa"/>
            <w:vAlign w:val="center"/>
            <w:hideMark/>
          </w:tcPr>
          <w:p w14:paraId="6A200EE1" w14:textId="77777777" w:rsidR="00D24365" w:rsidRPr="00D24365" w:rsidRDefault="00D24365" w:rsidP="00B854F3">
            <w:pPr>
              <w:spacing w:line="240" w:lineRule="auto"/>
              <w:jc w:val="both"/>
              <w:rPr>
                <w:rFonts w:ascii="Times New Roman" w:hAnsi="Times New Roman" w:cs="Times New Roman"/>
                <w:b/>
                <w:bCs/>
                <w:sz w:val="24"/>
                <w:szCs w:val="24"/>
              </w:rPr>
            </w:pPr>
            <w:r w:rsidRPr="00D24365">
              <w:rPr>
                <w:rFonts w:ascii="Times New Roman" w:hAnsi="Times New Roman" w:cs="Times New Roman"/>
                <w:b/>
                <w:bCs/>
                <w:sz w:val="24"/>
                <w:szCs w:val="24"/>
              </w:rPr>
              <w:t>Predictor</w:t>
            </w:r>
          </w:p>
        </w:tc>
        <w:tc>
          <w:tcPr>
            <w:tcW w:w="887" w:type="dxa"/>
            <w:vAlign w:val="center"/>
            <w:hideMark/>
          </w:tcPr>
          <w:p w14:paraId="6AE7BFDA" w14:textId="77777777" w:rsidR="00D24365" w:rsidRPr="00D24365" w:rsidRDefault="00D24365" w:rsidP="00B854F3">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B</w:t>
            </w:r>
          </w:p>
        </w:tc>
        <w:tc>
          <w:tcPr>
            <w:tcW w:w="870" w:type="dxa"/>
            <w:vAlign w:val="center"/>
            <w:hideMark/>
          </w:tcPr>
          <w:p w14:paraId="57B80089" w14:textId="77777777" w:rsidR="00D24365" w:rsidRPr="00D24365" w:rsidRDefault="00D24365" w:rsidP="00B854F3">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SE</w:t>
            </w:r>
          </w:p>
        </w:tc>
        <w:tc>
          <w:tcPr>
            <w:tcW w:w="960" w:type="dxa"/>
            <w:vAlign w:val="center"/>
            <w:hideMark/>
          </w:tcPr>
          <w:p w14:paraId="48F968CD" w14:textId="77777777" w:rsidR="00D24365" w:rsidRPr="00D24365" w:rsidRDefault="008431F0" w:rsidP="00B854F3">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Β</w:t>
            </w:r>
          </w:p>
        </w:tc>
        <w:tc>
          <w:tcPr>
            <w:tcW w:w="1320" w:type="dxa"/>
            <w:vAlign w:val="center"/>
            <w:hideMark/>
          </w:tcPr>
          <w:p w14:paraId="233662EE" w14:textId="77777777" w:rsidR="00D24365" w:rsidRPr="00D24365" w:rsidRDefault="00321828" w:rsidP="00BD7697">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T</w:t>
            </w:r>
          </w:p>
        </w:tc>
        <w:tc>
          <w:tcPr>
            <w:tcW w:w="1845" w:type="dxa"/>
            <w:vAlign w:val="center"/>
            <w:hideMark/>
          </w:tcPr>
          <w:p w14:paraId="787E11DC" w14:textId="77777777" w:rsidR="00D24365" w:rsidRPr="00D24365" w:rsidRDefault="00450AE7" w:rsidP="00BD7697">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P</w:t>
            </w:r>
          </w:p>
        </w:tc>
      </w:tr>
      <w:tr w:rsidR="008431F0" w:rsidRPr="00D24365" w14:paraId="2E74C869" w14:textId="77777777" w:rsidTr="00B854F3">
        <w:trPr>
          <w:tblCellSpacing w:w="15" w:type="dxa"/>
          <w:jc w:val="center"/>
        </w:trPr>
        <w:tc>
          <w:tcPr>
            <w:tcW w:w="3043" w:type="dxa"/>
            <w:vAlign w:val="center"/>
            <w:hideMark/>
          </w:tcPr>
          <w:p w14:paraId="2803867C" w14:textId="77777777"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Constant</w:t>
            </w:r>
          </w:p>
        </w:tc>
        <w:tc>
          <w:tcPr>
            <w:tcW w:w="887" w:type="dxa"/>
            <w:vAlign w:val="center"/>
            <w:hideMark/>
          </w:tcPr>
          <w:p w14:paraId="2A4AF972"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−4.12</w:t>
            </w:r>
          </w:p>
        </w:tc>
        <w:tc>
          <w:tcPr>
            <w:tcW w:w="870" w:type="dxa"/>
            <w:vAlign w:val="center"/>
            <w:hideMark/>
          </w:tcPr>
          <w:p w14:paraId="19505F4F"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3.10</w:t>
            </w:r>
          </w:p>
        </w:tc>
        <w:tc>
          <w:tcPr>
            <w:tcW w:w="960" w:type="dxa"/>
            <w:vAlign w:val="center"/>
            <w:hideMark/>
          </w:tcPr>
          <w:p w14:paraId="3B652BD2"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w:t>
            </w:r>
          </w:p>
        </w:tc>
        <w:tc>
          <w:tcPr>
            <w:tcW w:w="1320" w:type="dxa"/>
            <w:vAlign w:val="center"/>
            <w:hideMark/>
          </w:tcPr>
          <w:p w14:paraId="334EF420"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−1.33</w:t>
            </w:r>
          </w:p>
        </w:tc>
        <w:tc>
          <w:tcPr>
            <w:tcW w:w="1845" w:type="dxa"/>
            <w:vAlign w:val="center"/>
            <w:hideMark/>
          </w:tcPr>
          <w:p w14:paraId="76F84B7C"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.184</w:t>
            </w:r>
          </w:p>
        </w:tc>
      </w:tr>
      <w:tr w:rsidR="008431F0" w:rsidRPr="00D24365" w14:paraId="3E6D5CF6" w14:textId="77777777" w:rsidTr="00B854F3">
        <w:trPr>
          <w:tblCellSpacing w:w="15" w:type="dxa"/>
          <w:jc w:val="center"/>
        </w:trPr>
        <w:tc>
          <w:tcPr>
            <w:tcW w:w="3043" w:type="dxa"/>
            <w:vAlign w:val="center"/>
            <w:hideMark/>
          </w:tcPr>
          <w:p w14:paraId="5139416E" w14:textId="77777777"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Community Engagement Index</w:t>
            </w:r>
          </w:p>
        </w:tc>
        <w:tc>
          <w:tcPr>
            <w:tcW w:w="887" w:type="dxa"/>
            <w:vAlign w:val="center"/>
            <w:hideMark/>
          </w:tcPr>
          <w:p w14:paraId="1C8FF846"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4.68</w:t>
            </w:r>
          </w:p>
        </w:tc>
        <w:tc>
          <w:tcPr>
            <w:tcW w:w="870" w:type="dxa"/>
            <w:vAlign w:val="center"/>
            <w:hideMark/>
          </w:tcPr>
          <w:p w14:paraId="5A344AB4"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1.05</w:t>
            </w:r>
          </w:p>
        </w:tc>
        <w:tc>
          <w:tcPr>
            <w:tcW w:w="960" w:type="dxa"/>
            <w:vAlign w:val="center"/>
            <w:hideMark/>
          </w:tcPr>
          <w:p w14:paraId="2322BADA"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.29</w:t>
            </w:r>
          </w:p>
        </w:tc>
        <w:tc>
          <w:tcPr>
            <w:tcW w:w="1320" w:type="dxa"/>
            <w:vAlign w:val="center"/>
            <w:hideMark/>
          </w:tcPr>
          <w:p w14:paraId="06670069"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4.46</w:t>
            </w:r>
          </w:p>
        </w:tc>
        <w:tc>
          <w:tcPr>
            <w:tcW w:w="1845" w:type="dxa"/>
            <w:vAlign w:val="center"/>
            <w:hideMark/>
          </w:tcPr>
          <w:p w14:paraId="38876D00"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.000***</w:t>
            </w:r>
          </w:p>
        </w:tc>
      </w:tr>
      <w:tr w:rsidR="008431F0" w:rsidRPr="00D24365" w14:paraId="7BFF743C" w14:textId="77777777" w:rsidTr="00B854F3">
        <w:trPr>
          <w:tblCellSpacing w:w="15" w:type="dxa"/>
          <w:jc w:val="center"/>
        </w:trPr>
        <w:tc>
          <w:tcPr>
            <w:tcW w:w="3043" w:type="dxa"/>
            <w:vAlign w:val="center"/>
            <w:hideMark/>
          </w:tcPr>
          <w:p w14:paraId="0494198B" w14:textId="77777777"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Education (years)</w:t>
            </w:r>
          </w:p>
        </w:tc>
        <w:tc>
          <w:tcPr>
            <w:tcW w:w="887" w:type="dxa"/>
            <w:vAlign w:val="center"/>
            <w:hideMark/>
          </w:tcPr>
          <w:p w14:paraId="40A4AA9C"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0.41</w:t>
            </w:r>
          </w:p>
        </w:tc>
        <w:tc>
          <w:tcPr>
            <w:tcW w:w="870" w:type="dxa"/>
            <w:vAlign w:val="center"/>
            <w:hideMark/>
          </w:tcPr>
          <w:p w14:paraId="0831F698"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0.19</w:t>
            </w:r>
          </w:p>
        </w:tc>
        <w:tc>
          <w:tcPr>
            <w:tcW w:w="960" w:type="dxa"/>
            <w:vAlign w:val="center"/>
            <w:hideMark/>
          </w:tcPr>
          <w:p w14:paraId="7FCDE97A"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.11</w:t>
            </w:r>
          </w:p>
        </w:tc>
        <w:tc>
          <w:tcPr>
            <w:tcW w:w="1320" w:type="dxa"/>
            <w:vAlign w:val="center"/>
            <w:hideMark/>
          </w:tcPr>
          <w:p w14:paraId="1982D95F"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2.16</w:t>
            </w:r>
          </w:p>
        </w:tc>
        <w:tc>
          <w:tcPr>
            <w:tcW w:w="1845" w:type="dxa"/>
            <w:vAlign w:val="center"/>
            <w:hideMark/>
          </w:tcPr>
          <w:p w14:paraId="4BD9C24A"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.032**</w:t>
            </w:r>
          </w:p>
        </w:tc>
      </w:tr>
      <w:tr w:rsidR="008431F0" w:rsidRPr="00D24365" w14:paraId="5A8011B9" w14:textId="77777777" w:rsidTr="00B854F3">
        <w:trPr>
          <w:tblCellSpacing w:w="15" w:type="dxa"/>
          <w:jc w:val="center"/>
        </w:trPr>
        <w:tc>
          <w:tcPr>
            <w:tcW w:w="3043" w:type="dxa"/>
            <w:vAlign w:val="center"/>
            <w:hideMark/>
          </w:tcPr>
          <w:p w14:paraId="121B1C75" w14:textId="77777777"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Business experience (years)</w:t>
            </w:r>
          </w:p>
        </w:tc>
        <w:tc>
          <w:tcPr>
            <w:tcW w:w="887" w:type="dxa"/>
            <w:vAlign w:val="center"/>
            <w:hideMark/>
          </w:tcPr>
          <w:p w14:paraId="351F7551"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0.37</w:t>
            </w:r>
          </w:p>
        </w:tc>
        <w:tc>
          <w:tcPr>
            <w:tcW w:w="870" w:type="dxa"/>
            <w:vAlign w:val="center"/>
            <w:hideMark/>
          </w:tcPr>
          <w:p w14:paraId="12E482D7"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0.16</w:t>
            </w:r>
          </w:p>
        </w:tc>
        <w:tc>
          <w:tcPr>
            <w:tcW w:w="960" w:type="dxa"/>
            <w:vAlign w:val="center"/>
            <w:hideMark/>
          </w:tcPr>
          <w:p w14:paraId="637C207C"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.12</w:t>
            </w:r>
          </w:p>
        </w:tc>
        <w:tc>
          <w:tcPr>
            <w:tcW w:w="1320" w:type="dxa"/>
            <w:vAlign w:val="center"/>
            <w:hideMark/>
          </w:tcPr>
          <w:p w14:paraId="2BF71F99"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2.31</w:t>
            </w:r>
          </w:p>
        </w:tc>
        <w:tc>
          <w:tcPr>
            <w:tcW w:w="1845" w:type="dxa"/>
            <w:vAlign w:val="center"/>
            <w:hideMark/>
          </w:tcPr>
          <w:p w14:paraId="4283EF4C"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.022**</w:t>
            </w:r>
          </w:p>
        </w:tc>
      </w:tr>
      <w:tr w:rsidR="008431F0" w:rsidRPr="00D24365" w14:paraId="79512E44" w14:textId="77777777" w:rsidTr="00B854F3">
        <w:trPr>
          <w:tblCellSpacing w:w="15" w:type="dxa"/>
          <w:jc w:val="center"/>
        </w:trPr>
        <w:tc>
          <w:tcPr>
            <w:tcW w:w="3043" w:type="dxa"/>
            <w:vAlign w:val="center"/>
            <w:hideMark/>
          </w:tcPr>
          <w:p w14:paraId="7E34BB3F" w14:textId="77777777"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Access to finance</w:t>
            </w:r>
          </w:p>
        </w:tc>
        <w:tc>
          <w:tcPr>
            <w:tcW w:w="887" w:type="dxa"/>
            <w:vAlign w:val="center"/>
            <w:hideMark/>
          </w:tcPr>
          <w:p w14:paraId="4800664F"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3.25</w:t>
            </w:r>
          </w:p>
        </w:tc>
        <w:tc>
          <w:tcPr>
            <w:tcW w:w="870" w:type="dxa"/>
            <w:vAlign w:val="center"/>
            <w:hideMark/>
          </w:tcPr>
          <w:p w14:paraId="5261B971"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1.48</w:t>
            </w:r>
          </w:p>
        </w:tc>
        <w:tc>
          <w:tcPr>
            <w:tcW w:w="960" w:type="dxa"/>
            <w:vAlign w:val="center"/>
            <w:hideMark/>
          </w:tcPr>
          <w:p w14:paraId="0A140E9A"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.14</w:t>
            </w:r>
          </w:p>
        </w:tc>
        <w:tc>
          <w:tcPr>
            <w:tcW w:w="1320" w:type="dxa"/>
            <w:vAlign w:val="center"/>
            <w:hideMark/>
          </w:tcPr>
          <w:p w14:paraId="3E80E8A9"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2.20</w:t>
            </w:r>
          </w:p>
        </w:tc>
        <w:tc>
          <w:tcPr>
            <w:tcW w:w="1845" w:type="dxa"/>
            <w:vAlign w:val="center"/>
            <w:hideMark/>
          </w:tcPr>
          <w:p w14:paraId="726A7681"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.029**</w:t>
            </w:r>
          </w:p>
        </w:tc>
      </w:tr>
      <w:tr w:rsidR="008431F0" w:rsidRPr="00D24365" w14:paraId="1D6B64C9" w14:textId="77777777" w:rsidTr="00B854F3">
        <w:trPr>
          <w:tblCellSpacing w:w="15" w:type="dxa"/>
          <w:jc w:val="center"/>
        </w:trPr>
        <w:tc>
          <w:tcPr>
            <w:tcW w:w="3043" w:type="dxa"/>
            <w:vAlign w:val="center"/>
            <w:hideMark/>
          </w:tcPr>
          <w:p w14:paraId="3A68ED33" w14:textId="77777777"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District (Kinondoni = 1)</w:t>
            </w:r>
          </w:p>
        </w:tc>
        <w:tc>
          <w:tcPr>
            <w:tcW w:w="887" w:type="dxa"/>
            <w:vAlign w:val="center"/>
            <w:hideMark/>
          </w:tcPr>
          <w:p w14:paraId="6660992A"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2.18</w:t>
            </w:r>
          </w:p>
        </w:tc>
        <w:tc>
          <w:tcPr>
            <w:tcW w:w="870" w:type="dxa"/>
            <w:vAlign w:val="center"/>
            <w:hideMark/>
          </w:tcPr>
          <w:p w14:paraId="22E0BFB8"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1.34</w:t>
            </w:r>
          </w:p>
        </w:tc>
        <w:tc>
          <w:tcPr>
            <w:tcW w:w="960" w:type="dxa"/>
            <w:vAlign w:val="center"/>
            <w:hideMark/>
          </w:tcPr>
          <w:p w14:paraId="2327B90E"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.09</w:t>
            </w:r>
          </w:p>
        </w:tc>
        <w:tc>
          <w:tcPr>
            <w:tcW w:w="1320" w:type="dxa"/>
            <w:vAlign w:val="center"/>
            <w:hideMark/>
          </w:tcPr>
          <w:p w14:paraId="45F3254D"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1.63</w:t>
            </w:r>
          </w:p>
        </w:tc>
        <w:tc>
          <w:tcPr>
            <w:tcW w:w="1845" w:type="dxa"/>
            <w:vAlign w:val="center"/>
            <w:hideMark/>
          </w:tcPr>
          <w:p w14:paraId="1BEAE54C"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.104</w:t>
            </w:r>
          </w:p>
        </w:tc>
      </w:tr>
    </w:tbl>
    <w:p w14:paraId="3C063422" w14:textId="77777777" w:rsidR="00D24365" w:rsidRDefault="00D24365" w:rsidP="004A4172">
      <w:pPr>
        <w:jc w:val="both"/>
        <w:rPr>
          <w:rFonts w:ascii="Times New Roman" w:hAnsi="Times New Roman" w:cs="Times New Roman"/>
          <w:sz w:val="24"/>
          <w:szCs w:val="24"/>
        </w:rPr>
      </w:pPr>
      <w:r w:rsidRPr="00D24365">
        <w:rPr>
          <w:rFonts w:ascii="Times New Roman" w:hAnsi="Times New Roman" w:cs="Times New Roman"/>
          <w:sz w:val="24"/>
          <w:szCs w:val="24"/>
        </w:rPr>
        <w:t>R² = .31, Adjusted R² = .29, F = 16.7***</w:t>
      </w:r>
    </w:p>
    <w:p w14:paraId="550AD045" w14:textId="77777777" w:rsidR="004264B3" w:rsidRDefault="004264B3" w:rsidP="004A4172">
      <w:pPr>
        <w:jc w:val="both"/>
        <w:rPr>
          <w:rFonts w:ascii="Times New Roman" w:hAnsi="Times New Roman" w:cs="Times New Roman"/>
          <w:sz w:val="24"/>
          <w:szCs w:val="24"/>
        </w:rPr>
      </w:pPr>
      <w:r w:rsidRPr="004264B3">
        <w:rPr>
          <w:rFonts w:ascii="Times New Roman" w:hAnsi="Times New Roman" w:cs="Times New Roman"/>
          <w:sz w:val="24"/>
          <w:szCs w:val="24"/>
        </w:rPr>
        <w:t>Community engagement positively and statistically significantly impacts income growth, corroborating H1. An increase of one unit in the Community Engagement Index corresponds to an average rise of 4.7 percentage points in income growth. Education, business experience, and access to finance also have big positive effects, showing that there are many factors that affect how well Blue-entrepreneurship works.</w:t>
      </w:r>
    </w:p>
    <w:p w14:paraId="1AE4D1B1" w14:textId="77777777" w:rsidR="00D24365" w:rsidRPr="00D24365" w:rsidRDefault="00D24365" w:rsidP="00D24365">
      <w:pPr>
        <w:jc w:val="both"/>
        <w:rPr>
          <w:rFonts w:ascii="Times New Roman" w:hAnsi="Times New Roman" w:cs="Times New Roman"/>
          <w:b/>
          <w:bCs/>
          <w:sz w:val="24"/>
          <w:szCs w:val="24"/>
        </w:rPr>
      </w:pPr>
      <w:r w:rsidRPr="00D24365">
        <w:rPr>
          <w:rFonts w:ascii="Times New Roman" w:hAnsi="Times New Roman" w:cs="Times New Roman"/>
          <w:b/>
          <w:bCs/>
          <w:sz w:val="24"/>
          <w:szCs w:val="24"/>
        </w:rPr>
        <w:t>4.4.2 Community Savings Groups and Enterprise Survival</w:t>
      </w:r>
    </w:p>
    <w:p w14:paraId="574D38FC" w14:textId="77777777" w:rsidR="00F524DD" w:rsidRDefault="00F524DD" w:rsidP="00D24365">
      <w:pPr>
        <w:jc w:val="both"/>
        <w:rPr>
          <w:rFonts w:ascii="Times New Roman" w:hAnsi="Times New Roman" w:cs="Times New Roman"/>
          <w:sz w:val="24"/>
          <w:szCs w:val="24"/>
        </w:rPr>
      </w:pPr>
      <w:r w:rsidRPr="00F524DD">
        <w:rPr>
          <w:rFonts w:ascii="Times New Roman" w:hAnsi="Times New Roman" w:cs="Times New Roman"/>
          <w:sz w:val="24"/>
          <w:szCs w:val="24"/>
        </w:rPr>
        <w:t>We used logistic regression to look at the link between being a member of a savings group (VICOBA) and the survival of a business.</w:t>
      </w:r>
    </w:p>
    <w:p w14:paraId="488FF28A" w14:textId="77777777" w:rsidR="00D24365" w:rsidRPr="00D24365" w:rsidRDefault="00D24365" w:rsidP="004A4172">
      <w:pPr>
        <w:jc w:val="both"/>
        <w:rPr>
          <w:rFonts w:ascii="Times New Roman" w:hAnsi="Times New Roman" w:cs="Times New Roman"/>
          <w:b/>
          <w:bCs/>
          <w:sz w:val="24"/>
          <w:szCs w:val="24"/>
        </w:rPr>
      </w:pPr>
      <w:r w:rsidRPr="00D24365">
        <w:rPr>
          <w:rFonts w:ascii="Times New Roman" w:hAnsi="Times New Roman" w:cs="Times New Roman"/>
          <w:b/>
          <w:bCs/>
          <w:sz w:val="24"/>
          <w:szCs w:val="24"/>
        </w:rPr>
        <w:t>Table 5</w:t>
      </w:r>
      <w:r>
        <w:rPr>
          <w:rFonts w:ascii="Times New Roman" w:hAnsi="Times New Roman" w:cs="Times New Roman"/>
          <w:b/>
          <w:bCs/>
          <w:sz w:val="24"/>
          <w:szCs w:val="24"/>
        </w:rPr>
        <w:t xml:space="preserve">: </w:t>
      </w:r>
      <w:r w:rsidRPr="008431F0">
        <w:rPr>
          <w:rFonts w:ascii="Times New Roman" w:hAnsi="Times New Roman" w:cs="Times New Roman"/>
          <w:bCs/>
          <w:sz w:val="24"/>
          <w:szCs w:val="24"/>
        </w:rPr>
        <w:t>Logistic Regression Results: Enterprise Survival (&gt;2 years)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925"/>
        <w:gridCol w:w="1440"/>
        <w:gridCol w:w="990"/>
        <w:gridCol w:w="1440"/>
        <w:gridCol w:w="1620"/>
      </w:tblGrid>
      <w:tr w:rsidR="00D24365" w:rsidRPr="00D24365" w14:paraId="549CE90B" w14:textId="77777777" w:rsidTr="00B854F3">
        <w:trPr>
          <w:tblHeader/>
          <w:tblCellSpacing w:w="15" w:type="dxa"/>
          <w:jc w:val="center"/>
        </w:trPr>
        <w:tc>
          <w:tcPr>
            <w:tcW w:w="2880" w:type="dxa"/>
            <w:vAlign w:val="center"/>
            <w:hideMark/>
          </w:tcPr>
          <w:p w14:paraId="55586D8D" w14:textId="77777777" w:rsidR="00D24365" w:rsidRPr="00D24365" w:rsidRDefault="00D24365" w:rsidP="00B854F3">
            <w:pPr>
              <w:spacing w:line="240" w:lineRule="auto"/>
              <w:jc w:val="both"/>
              <w:rPr>
                <w:rFonts w:ascii="Times New Roman" w:hAnsi="Times New Roman" w:cs="Times New Roman"/>
                <w:b/>
                <w:bCs/>
                <w:sz w:val="24"/>
                <w:szCs w:val="24"/>
              </w:rPr>
            </w:pPr>
            <w:r w:rsidRPr="00D24365">
              <w:rPr>
                <w:rFonts w:ascii="Times New Roman" w:hAnsi="Times New Roman" w:cs="Times New Roman"/>
                <w:b/>
                <w:bCs/>
                <w:sz w:val="24"/>
                <w:szCs w:val="24"/>
              </w:rPr>
              <w:t>Predictor</w:t>
            </w:r>
          </w:p>
        </w:tc>
        <w:tc>
          <w:tcPr>
            <w:tcW w:w="1410" w:type="dxa"/>
            <w:vAlign w:val="center"/>
            <w:hideMark/>
          </w:tcPr>
          <w:p w14:paraId="3C6F96C2" w14:textId="77777777" w:rsidR="00D24365" w:rsidRPr="00D24365" w:rsidRDefault="00D24365" w:rsidP="00B854F3">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Odds Ratio</w:t>
            </w:r>
          </w:p>
        </w:tc>
        <w:tc>
          <w:tcPr>
            <w:tcW w:w="960" w:type="dxa"/>
            <w:vAlign w:val="center"/>
            <w:hideMark/>
          </w:tcPr>
          <w:p w14:paraId="1FF776D5" w14:textId="77777777" w:rsidR="00D24365" w:rsidRPr="00D24365" w:rsidRDefault="00D24365" w:rsidP="00B854F3">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SE</w:t>
            </w:r>
          </w:p>
        </w:tc>
        <w:tc>
          <w:tcPr>
            <w:tcW w:w="1410" w:type="dxa"/>
            <w:vAlign w:val="center"/>
            <w:hideMark/>
          </w:tcPr>
          <w:p w14:paraId="7396817F" w14:textId="77777777" w:rsidR="00D24365" w:rsidRPr="00D24365" w:rsidRDefault="00D24365" w:rsidP="00B854F3">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Wald</w:t>
            </w:r>
          </w:p>
        </w:tc>
        <w:tc>
          <w:tcPr>
            <w:tcW w:w="1575" w:type="dxa"/>
            <w:vAlign w:val="center"/>
            <w:hideMark/>
          </w:tcPr>
          <w:p w14:paraId="6FF2E736" w14:textId="77777777" w:rsidR="00D24365" w:rsidRPr="00D24365" w:rsidRDefault="00935690" w:rsidP="00BD7697">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P</w:t>
            </w:r>
          </w:p>
        </w:tc>
      </w:tr>
      <w:tr w:rsidR="00D24365" w:rsidRPr="00D24365" w14:paraId="3510FC9A" w14:textId="77777777" w:rsidTr="00B854F3">
        <w:trPr>
          <w:tblCellSpacing w:w="15" w:type="dxa"/>
          <w:jc w:val="center"/>
        </w:trPr>
        <w:tc>
          <w:tcPr>
            <w:tcW w:w="2880" w:type="dxa"/>
            <w:vAlign w:val="center"/>
            <w:hideMark/>
          </w:tcPr>
          <w:p w14:paraId="22A53087" w14:textId="77777777"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Savings group membership</w:t>
            </w:r>
          </w:p>
        </w:tc>
        <w:tc>
          <w:tcPr>
            <w:tcW w:w="1410" w:type="dxa"/>
            <w:vAlign w:val="center"/>
            <w:hideMark/>
          </w:tcPr>
          <w:p w14:paraId="3643633D"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2.11</w:t>
            </w:r>
          </w:p>
        </w:tc>
        <w:tc>
          <w:tcPr>
            <w:tcW w:w="960" w:type="dxa"/>
            <w:vAlign w:val="center"/>
            <w:hideMark/>
          </w:tcPr>
          <w:p w14:paraId="5242FDD7"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0.48</w:t>
            </w:r>
          </w:p>
        </w:tc>
        <w:tc>
          <w:tcPr>
            <w:tcW w:w="1410" w:type="dxa"/>
            <w:vAlign w:val="center"/>
            <w:hideMark/>
          </w:tcPr>
          <w:p w14:paraId="6F110369"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6.89</w:t>
            </w:r>
          </w:p>
        </w:tc>
        <w:tc>
          <w:tcPr>
            <w:tcW w:w="1575" w:type="dxa"/>
            <w:vAlign w:val="center"/>
            <w:hideMark/>
          </w:tcPr>
          <w:p w14:paraId="7ABCB8F8"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.009***</w:t>
            </w:r>
          </w:p>
        </w:tc>
      </w:tr>
      <w:tr w:rsidR="00D24365" w:rsidRPr="00D24365" w14:paraId="2C1338D6" w14:textId="77777777" w:rsidTr="00B854F3">
        <w:trPr>
          <w:tblCellSpacing w:w="15" w:type="dxa"/>
          <w:jc w:val="center"/>
        </w:trPr>
        <w:tc>
          <w:tcPr>
            <w:tcW w:w="2880" w:type="dxa"/>
            <w:vAlign w:val="center"/>
            <w:hideMark/>
          </w:tcPr>
          <w:p w14:paraId="67B7792F" w14:textId="77777777"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Business experience</w:t>
            </w:r>
          </w:p>
        </w:tc>
        <w:tc>
          <w:tcPr>
            <w:tcW w:w="1410" w:type="dxa"/>
            <w:vAlign w:val="center"/>
            <w:hideMark/>
          </w:tcPr>
          <w:p w14:paraId="04B0E6BB"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1.18</w:t>
            </w:r>
          </w:p>
        </w:tc>
        <w:tc>
          <w:tcPr>
            <w:tcW w:w="960" w:type="dxa"/>
            <w:vAlign w:val="center"/>
            <w:hideMark/>
          </w:tcPr>
          <w:p w14:paraId="11904191"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0.06</w:t>
            </w:r>
          </w:p>
        </w:tc>
        <w:tc>
          <w:tcPr>
            <w:tcW w:w="1410" w:type="dxa"/>
            <w:vAlign w:val="center"/>
            <w:hideMark/>
          </w:tcPr>
          <w:p w14:paraId="663022E7"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8.21</w:t>
            </w:r>
          </w:p>
        </w:tc>
        <w:tc>
          <w:tcPr>
            <w:tcW w:w="1575" w:type="dxa"/>
            <w:vAlign w:val="center"/>
            <w:hideMark/>
          </w:tcPr>
          <w:p w14:paraId="5FB7DFD8"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.004***</w:t>
            </w:r>
          </w:p>
        </w:tc>
      </w:tr>
      <w:tr w:rsidR="00D24365" w:rsidRPr="00D24365" w14:paraId="00423DF1" w14:textId="77777777" w:rsidTr="00B854F3">
        <w:trPr>
          <w:tblCellSpacing w:w="15" w:type="dxa"/>
          <w:jc w:val="center"/>
        </w:trPr>
        <w:tc>
          <w:tcPr>
            <w:tcW w:w="2880" w:type="dxa"/>
            <w:vAlign w:val="center"/>
            <w:hideMark/>
          </w:tcPr>
          <w:p w14:paraId="78783BA3" w14:textId="77777777"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Access to training</w:t>
            </w:r>
          </w:p>
        </w:tc>
        <w:tc>
          <w:tcPr>
            <w:tcW w:w="1410" w:type="dxa"/>
            <w:vAlign w:val="center"/>
            <w:hideMark/>
          </w:tcPr>
          <w:p w14:paraId="3794CA83"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1.67</w:t>
            </w:r>
          </w:p>
        </w:tc>
        <w:tc>
          <w:tcPr>
            <w:tcW w:w="960" w:type="dxa"/>
            <w:vAlign w:val="center"/>
            <w:hideMark/>
          </w:tcPr>
          <w:p w14:paraId="6229C573"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0.39</w:t>
            </w:r>
          </w:p>
        </w:tc>
        <w:tc>
          <w:tcPr>
            <w:tcW w:w="1410" w:type="dxa"/>
            <w:vAlign w:val="center"/>
            <w:hideMark/>
          </w:tcPr>
          <w:p w14:paraId="7788C004" w14:textId="77777777"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4.32</w:t>
            </w:r>
          </w:p>
        </w:tc>
        <w:tc>
          <w:tcPr>
            <w:tcW w:w="1575" w:type="dxa"/>
            <w:vAlign w:val="center"/>
            <w:hideMark/>
          </w:tcPr>
          <w:p w14:paraId="543B413A" w14:textId="77777777"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.038**</w:t>
            </w:r>
          </w:p>
        </w:tc>
      </w:tr>
    </w:tbl>
    <w:p w14:paraId="084F014C" w14:textId="77777777" w:rsidR="00F524DD" w:rsidRDefault="00F524DD" w:rsidP="004A4172">
      <w:pPr>
        <w:jc w:val="both"/>
        <w:rPr>
          <w:rFonts w:ascii="Times New Roman" w:hAnsi="Times New Roman" w:cs="Times New Roman"/>
          <w:sz w:val="24"/>
          <w:szCs w:val="24"/>
        </w:rPr>
      </w:pPr>
      <w:r w:rsidRPr="00F524DD">
        <w:rPr>
          <w:rFonts w:ascii="Times New Roman" w:hAnsi="Times New Roman" w:cs="Times New Roman"/>
          <w:sz w:val="24"/>
          <w:szCs w:val="24"/>
        </w:rPr>
        <w:t>Entrepreneurs affiliated with community savings and credit associations are over twice as likely to maintain their businesses for more than two years compared to those who are not members. This finding offers robust empirical validation for H2, highlighting the significance of community-based financial engagement in bolstering business stability.</w:t>
      </w:r>
    </w:p>
    <w:p w14:paraId="59F183AC" w14:textId="77777777" w:rsidR="00BD7697" w:rsidRDefault="00BD7697" w:rsidP="004A4172">
      <w:pPr>
        <w:jc w:val="both"/>
        <w:rPr>
          <w:rFonts w:ascii="Times New Roman" w:hAnsi="Times New Roman" w:cs="Times New Roman"/>
          <w:sz w:val="24"/>
          <w:szCs w:val="24"/>
        </w:rPr>
      </w:pPr>
    </w:p>
    <w:p w14:paraId="21553525" w14:textId="77777777" w:rsidR="00BD7697" w:rsidRDefault="00BD7697" w:rsidP="004A4172">
      <w:pPr>
        <w:jc w:val="both"/>
        <w:rPr>
          <w:rFonts w:ascii="Times New Roman" w:hAnsi="Times New Roman" w:cs="Times New Roman"/>
          <w:sz w:val="24"/>
          <w:szCs w:val="24"/>
        </w:rPr>
      </w:pPr>
    </w:p>
    <w:p w14:paraId="5CE48490" w14:textId="77777777" w:rsidR="00D24365" w:rsidRPr="00D24365" w:rsidRDefault="00D24365" w:rsidP="00D24365">
      <w:pPr>
        <w:jc w:val="both"/>
        <w:rPr>
          <w:rFonts w:ascii="Times New Roman" w:hAnsi="Times New Roman" w:cs="Times New Roman"/>
          <w:b/>
          <w:bCs/>
          <w:sz w:val="24"/>
          <w:szCs w:val="24"/>
        </w:rPr>
      </w:pPr>
      <w:r w:rsidRPr="00D24365">
        <w:rPr>
          <w:rFonts w:ascii="Times New Roman" w:hAnsi="Times New Roman" w:cs="Times New Roman"/>
          <w:b/>
          <w:bCs/>
          <w:sz w:val="24"/>
          <w:szCs w:val="24"/>
        </w:rPr>
        <w:lastRenderedPageBreak/>
        <w:t>4.4.3 Community Engagement, Diversification, and Sustainability</w:t>
      </w:r>
    </w:p>
    <w:p w14:paraId="45BE6406" w14:textId="77777777" w:rsidR="00F524DD" w:rsidRDefault="00F524DD" w:rsidP="00D24365">
      <w:pPr>
        <w:jc w:val="both"/>
        <w:rPr>
          <w:rFonts w:ascii="Times New Roman" w:hAnsi="Times New Roman" w:cs="Times New Roman"/>
          <w:sz w:val="24"/>
          <w:szCs w:val="24"/>
        </w:rPr>
      </w:pPr>
      <w:r w:rsidRPr="00F524DD">
        <w:rPr>
          <w:rFonts w:ascii="Times New Roman" w:hAnsi="Times New Roman" w:cs="Times New Roman"/>
          <w:sz w:val="24"/>
          <w:szCs w:val="24"/>
        </w:rPr>
        <w:t>Table 6 shows the results of a regression analysis of enterprise diversification and sustainability practices.</w:t>
      </w:r>
    </w:p>
    <w:p w14:paraId="3410209C" w14:textId="77777777" w:rsidR="00D24365" w:rsidRPr="00D24365" w:rsidRDefault="00D24365" w:rsidP="004A4172">
      <w:pPr>
        <w:jc w:val="both"/>
        <w:rPr>
          <w:rFonts w:ascii="Times New Roman" w:hAnsi="Times New Roman" w:cs="Times New Roman"/>
          <w:b/>
          <w:bCs/>
          <w:sz w:val="24"/>
          <w:szCs w:val="24"/>
        </w:rPr>
      </w:pPr>
      <w:r w:rsidRPr="00D24365">
        <w:rPr>
          <w:rFonts w:ascii="Times New Roman" w:hAnsi="Times New Roman" w:cs="Times New Roman"/>
          <w:b/>
          <w:bCs/>
          <w:sz w:val="24"/>
          <w:szCs w:val="24"/>
        </w:rPr>
        <w:t>Table 6</w:t>
      </w:r>
      <w:r>
        <w:rPr>
          <w:rFonts w:ascii="Times New Roman" w:hAnsi="Times New Roman" w:cs="Times New Roman"/>
          <w:b/>
          <w:bCs/>
          <w:sz w:val="24"/>
          <w:szCs w:val="24"/>
        </w:rPr>
        <w:t xml:space="preserve">: </w:t>
      </w:r>
      <w:r w:rsidRPr="00D24365">
        <w:rPr>
          <w:rFonts w:ascii="Times New Roman" w:hAnsi="Times New Roman" w:cs="Times New Roman"/>
          <w:bCs/>
          <w:sz w:val="24"/>
          <w:szCs w:val="24"/>
        </w:rPr>
        <w:t>OLS Regression Results: Diversification and Sustainability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645"/>
        <w:gridCol w:w="2160"/>
        <w:gridCol w:w="2700"/>
      </w:tblGrid>
      <w:tr w:rsidR="00D24365" w:rsidRPr="00D24365" w14:paraId="6E2FFFC5" w14:textId="77777777" w:rsidTr="00B854F3">
        <w:trPr>
          <w:tblHeader/>
          <w:tblCellSpacing w:w="15" w:type="dxa"/>
          <w:jc w:val="center"/>
        </w:trPr>
        <w:tc>
          <w:tcPr>
            <w:tcW w:w="3600" w:type="dxa"/>
            <w:vAlign w:val="center"/>
            <w:hideMark/>
          </w:tcPr>
          <w:p w14:paraId="69BFBFC2" w14:textId="77777777" w:rsidR="00D24365" w:rsidRPr="00D24365" w:rsidRDefault="00D24365" w:rsidP="00B854F3">
            <w:pPr>
              <w:rPr>
                <w:rFonts w:ascii="Times New Roman" w:hAnsi="Times New Roman" w:cs="Times New Roman"/>
                <w:b/>
                <w:bCs/>
                <w:sz w:val="24"/>
                <w:szCs w:val="24"/>
              </w:rPr>
            </w:pPr>
            <w:r w:rsidRPr="00D24365">
              <w:rPr>
                <w:rFonts w:ascii="Times New Roman" w:hAnsi="Times New Roman" w:cs="Times New Roman"/>
                <w:b/>
                <w:bCs/>
                <w:sz w:val="24"/>
                <w:szCs w:val="24"/>
              </w:rPr>
              <w:t>Predictor</w:t>
            </w:r>
          </w:p>
        </w:tc>
        <w:tc>
          <w:tcPr>
            <w:tcW w:w="2130" w:type="dxa"/>
            <w:vAlign w:val="center"/>
            <w:hideMark/>
          </w:tcPr>
          <w:p w14:paraId="7C2C736D" w14:textId="77777777" w:rsidR="00D24365" w:rsidRPr="00D24365" w:rsidRDefault="00D24365" w:rsidP="00BD7697">
            <w:pPr>
              <w:jc w:val="center"/>
              <w:rPr>
                <w:rFonts w:ascii="Times New Roman" w:hAnsi="Times New Roman" w:cs="Times New Roman"/>
                <w:b/>
                <w:bCs/>
                <w:sz w:val="24"/>
                <w:szCs w:val="24"/>
              </w:rPr>
            </w:pPr>
            <w:r w:rsidRPr="00D24365">
              <w:rPr>
                <w:rFonts w:ascii="Times New Roman" w:hAnsi="Times New Roman" w:cs="Times New Roman"/>
                <w:b/>
                <w:bCs/>
                <w:sz w:val="24"/>
                <w:szCs w:val="24"/>
              </w:rPr>
              <w:t>Diversification (β)</w:t>
            </w:r>
          </w:p>
        </w:tc>
        <w:tc>
          <w:tcPr>
            <w:tcW w:w="2655" w:type="dxa"/>
            <w:vAlign w:val="center"/>
            <w:hideMark/>
          </w:tcPr>
          <w:p w14:paraId="505529C3" w14:textId="77777777" w:rsidR="00D24365" w:rsidRPr="00D24365" w:rsidRDefault="00D24365" w:rsidP="00BD7697">
            <w:pPr>
              <w:jc w:val="center"/>
              <w:rPr>
                <w:rFonts w:ascii="Times New Roman" w:hAnsi="Times New Roman" w:cs="Times New Roman"/>
                <w:b/>
                <w:bCs/>
                <w:sz w:val="24"/>
                <w:szCs w:val="24"/>
              </w:rPr>
            </w:pPr>
            <w:r w:rsidRPr="00D24365">
              <w:rPr>
                <w:rFonts w:ascii="Times New Roman" w:hAnsi="Times New Roman" w:cs="Times New Roman"/>
                <w:b/>
                <w:bCs/>
                <w:sz w:val="24"/>
                <w:szCs w:val="24"/>
              </w:rPr>
              <w:t>Sustainability (β)</w:t>
            </w:r>
          </w:p>
        </w:tc>
      </w:tr>
      <w:tr w:rsidR="00D24365" w:rsidRPr="00D24365" w14:paraId="274C3589" w14:textId="77777777" w:rsidTr="00B854F3">
        <w:trPr>
          <w:tblCellSpacing w:w="15" w:type="dxa"/>
          <w:jc w:val="center"/>
        </w:trPr>
        <w:tc>
          <w:tcPr>
            <w:tcW w:w="3600" w:type="dxa"/>
            <w:vAlign w:val="center"/>
            <w:hideMark/>
          </w:tcPr>
          <w:p w14:paraId="427411EA" w14:textId="77777777" w:rsidR="00D24365" w:rsidRPr="00D24365" w:rsidRDefault="00D24365" w:rsidP="00B854F3">
            <w:pPr>
              <w:rPr>
                <w:rFonts w:ascii="Times New Roman" w:hAnsi="Times New Roman" w:cs="Times New Roman"/>
                <w:sz w:val="24"/>
                <w:szCs w:val="24"/>
              </w:rPr>
            </w:pPr>
            <w:r w:rsidRPr="00D24365">
              <w:rPr>
                <w:rFonts w:ascii="Times New Roman" w:hAnsi="Times New Roman" w:cs="Times New Roman"/>
                <w:sz w:val="24"/>
                <w:szCs w:val="24"/>
              </w:rPr>
              <w:t>Community Engagement Index</w:t>
            </w:r>
          </w:p>
        </w:tc>
        <w:tc>
          <w:tcPr>
            <w:tcW w:w="2130" w:type="dxa"/>
            <w:vAlign w:val="center"/>
            <w:hideMark/>
          </w:tcPr>
          <w:p w14:paraId="79E026D4" w14:textId="77777777" w:rsidR="00D24365" w:rsidRPr="00D24365" w:rsidRDefault="00D24365" w:rsidP="00BD7697">
            <w:pPr>
              <w:jc w:val="center"/>
              <w:rPr>
                <w:rFonts w:ascii="Times New Roman" w:hAnsi="Times New Roman" w:cs="Times New Roman"/>
                <w:sz w:val="24"/>
                <w:szCs w:val="24"/>
              </w:rPr>
            </w:pPr>
            <w:r w:rsidRPr="00D24365">
              <w:rPr>
                <w:rFonts w:ascii="Times New Roman" w:hAnsi="Times New Roman" w:cs="Times New Roman"/>
                <w:sz w:val="24"/>
                <w:szCs w:val="24"/>
              </w:rPr>
              <w:t>.24***</w:t>
            </w:r>
          </w:p>
        </w:tc>
        <w:tc>
          <w:tcPr>
            <w:tcW w:w="2655" w:type="dxa"/>
            <w:vAlign w:val="center"/>
            <w:hideMark/>
          </w:tcPr>
          <w:p w14:paraId="273E97A4" w14:textId="77777777" w:rsidR="00D24365" w:rsidRPr="00D24365" w:rsidRDefault="00D24365" w:rsidP="00BD7697">
            <w:pPr>
              <w:jc w:val="center"/>
              <w:rPr>
                <w:rFonts w:ascii="Times New Roman" w:hAnsi="Times New Roman" w:cs="Times New Roman"/>
                <w:sz w:val="24"/>
                <w:szCs w:val="24"/>
              </w:rPr>
            </w:pPr>
            <w:r w:rsidRPr="00D24365">
              <w:rPr>
                <w:rFonts w:ascii="Times New Roman" w:hAnsi="Times New Roman" w:cs="Times New Roman"/>
                <w:sz w:val="24"/>
                <w:szCs w:val="24"/>
              </w:rPr>
              <w:t>.31***</w:t>
            </w:r>
          </w:p>
        </w:tc>
      </w:tr>
      <w:tr w:rsidR="00D24365" w:rsidRPr="00D24365" w14:paraId="2B4A7A11" w14:textId="77777777" w:rsidTr="00B854F3">
        <w:trPr>
          <w:tblCellSpacing w:w="15" w:type="dxa"/>
          <w:jc w:val="center"/>
        </w:trPr>
        <w:tc>
          <w:tcPr>
            <w:tcW w:w="3600" w:type="dxa"/>
            <w:vAlign w:val="center"/>
            <w:hideMark/>
          </w:tcPr>
          <w:p w14:paraId="31AEA322" w14:textId="77777777" w:rsidR="00D24365" w:rsidRPr="00D24365" w:rsidRDefault="00D24365" w:rsidP="00B854F3">
            <w:pPr>
              <w:rPr>
                <w:rFonts w:ascii="Times New Roman" w:hAnsi="Times New Roman" w:cs="Times New Roman"/>
                <w:sz w:val="24"/>
                <w:szCs w:val="24"/>
              </w:rPr>
            </w:pPr>
            <w:r w:rsidRPr="00D24365">
              <w:rPr>
                <w:rFonts w:ascii="Times New Roman" w:hAnsi="Times New Roman" w:cs="Times New Roman"/>
                <w:sz w:val="24"/>
                <w:szCs w:val="24"/>
              </w:rPr>
              <w:t>Participation in decision-making</w:t>
            </w:r>
          </w:p>
        </w:tc>
        <w:tc>
          <w:tcPr>
            <w:tcW w:w="2130" w:type="dxa"/>
            <w:vAlign w:val="center"/>
            <w:hideMark/>
          </w:tcPr>
          <w:p w14:paraId="13B52B71" w14:textId="77777777" w:rsidR="00D24365" w:rsidRPr="00D24365" w:rsidRDefault="00D24365" w:rsidP="00BD7697">
            <w:pPr>
              <w:jc w:val="center"/>
              <w:rPr>
                <w:rFonts w:ascii="Times New Roman" w:hAnsi="Times New Roman" w:cs="Times New Roman"/>
                <w:sz w:val="24"/>
                <w:szCs w:val="24"/>
              </w:rPr>
            </w:pPr>
            <w:r w:rsidRPr="00D24365">
              <w:rPr>
                <w:rFonts w:ascii="Times New Roman" w:hAnsi="Times New Roman" w:cs="Times New Roman"/>
                <w:sz w:val="24"/>
                <w:szCs w:val="24"/>
              </w:rPr>
              <w:t>.19**</w:t>
            </w:r>
          </w:p>
        </w:tc>
        <w:tc>
          <w:tcPr>
            <w:tcW w:w="2655" w:type="dxa"/>
            <w:vAlign w:val="center"/>
            <w:hideMark/>
          </w:tcPr>
          <w:p w14:paraId="28504A98" w14:textId="77777777" w:rsidR="00D24365" w:rsidRPr="00D24365" w:rsidRDefault="00D24365" w:rsidP="00BD7697">
            <w:pPr>
              <w:jc w:val="center"/>
              <w:rPr>
                <w:rFonts w:ascii="Times New Roman" w:hAnsi="Times New Roman" w:cs="Times New Roman"/>
                <w:sz w:val="24"/>
                <w:szCs w:val="24"/>
              </w:rPr>
            </w:pPr>
            <w:r w:rsidRPr="00D24365">
              <w:rPr>
                <w:rFonts w:ascii="Times New Roman" w:hAnsi="Times New Roman" w:cs="Times New Roman"/>
                <w:sz w:val="24"/>
                <w:szCs w:val="24"/>
              </w:rPr>
              <w:t>.27***</w:t>
            </w:r>
          </w:p>
        </w:tc>
      </w:tr>
      <w:tr w:rsidR="00D24365" w:rsidRPr="00D24365" w14:paraId="28DF62AB" w14:textId="77777777" w:rsidTr="00B854F3">
        <w:trPr>
          <w:tblCellSpacing w:w="15" w:type="dxa"/>
          <w:jc w:val="center"/>
        </w:trPr>
        <w:tc>
          <w:tcPr>
            <w:tcW w:w="3600" w:type="dxa"/>
            <w:vAlign w:val="center"/>
            <w:hideMark/>
          </w:tcPr>
          <w:p w14:paraId="6339B7A3" w14:textId="77777777" w:rsidR="00D24365" w:rsidRPr="00D24365" w:rsidRDefault="00D24365" w:rsidP="00B854F3">
            <w:pPr>
              <w:rPr>
                <w:rFonts w:ascii="Times New Roman" w:hAnsi="Times New Roman" w:cs="Times New Roman"/>
                <w:sz w:val="24"/>
                <w:szCs w:val="24"/>
              </w:rPr>
            </w:pPr>
            <w:r w:rsidRPr="00D24365">
              <w:rPr>
                <w:rFonts w:ascii="Times New Roman" w:hAnsi="Times New Roman" w:cs="Times New Roman"/>
                <w:sz w:val="24"/>
                <w:szCs w:val="24"/>
              </w:rPr>
              <w:t>Knowledge-sharing networks</w:t>
            </w:r>
          </w:p>
        </w:tc>
        <w:tc>
          <w:tcPr>
            <w:tcW w:w="2130" w:type="dxa"/>
            <w:vAlign w:val="center"/>
            <w:hideMark/>
          </w:tcPr>
          <w:p w14:paraId="3846E3C6" w14:textId="77777777" w:rsidR="00D24365" w:rsidRPr="00D24365" w:rsidRDefault="00D24365" w:rsidP="00BD7697">
            <w:pPr>
              <w:jc w:val="center"/>
              <w:rPr>
                <w:rFonts w:ascii="Times New Roman" w:hAnsi="Times New Roman" w:cs="Times New Roman"/>
                <w:sz w:val="24"/>
                <w:szCs w:val="24"/>
              </w:rPr>
            </w:pPr>
            <w:r w:rsidRPr="00D24365">
              <w:rPr>
                <w:rFonts w:ascii="Times New Roman" w:hAnsi="Times New Roman" w:cs="Times New Roman"/>
                <w:sz w:val="24"/>
                <w:szCs w:val="24"/>
              </w:rPr>
              <w:t>.21***</w:t>
            </w:r>
          </w:p>
        </w:tc>
        <w:tc>
          <w:tcPr>
            <w:tcW w:w="2655" w:type="dxa"/>
            <w:vAlign w:val="center"/>
            <w:hideMark/>
          </w:tcPr>
          <w:p w14:paraId="129CEA90" w14:textId="77777777" w:rsidR="00D24365" w:rsidRPr="00D24365" w:rsidRDefault="00D24365" w:rsidP="00BD7697">
            <w:pPr>
              <w:jc w:val="center"/>
              <w:rPr>
                <w:rFonts w:ascii="Times New Roman" w:hAnsi="Times New Roman" w:cs="Times New Roman"/>
                <w:sz w:val="24"/>
                <w:szCs w:val="24"/>
              </w:rPr>
            </w:pPr>
            <w:r w:rsidRPr="00D24365">
              <w:rPr>
                <w:rFonts w:ascii="Times New Roman" w:hAnsi="Times New Roman" w:cs="Times New Roman"/>
                <w:sz w:val="24"/>
                <w:szCs w:val="24"/>
              </w:rPr>
              <w:t>.29***</w:t>
            </w:r>
          </w:p>
        </w:tc>
      </w:tr>
      <w:tr w:rsidR="00D24365" w:rsidRPr="00D24365" w14:paraId="7C27211D" w14:textId="77777777" w:rsidTr="00B854F3">
        <w:trPr>
          <w:tblCellSpacing w:w="15" w:type="dxa"/>
          <w:jc w:val="center"/>
        </w:trPr>
        <w:tc>
          <w:tcPr>
            <w:tcW w:w="3600" w:type="dxa"/>
            <w:vAlign w:val="center"/>
            <w:hideMark/>
          </w:tcPr>
          <w:p w14:paraId="1CD8F11F" w14:textId="77777777" w:rsidR="00D24365" w:rsidRPr="00D24365" w:rsidRDefault="00D24365" w:rsidP="00B854F3">
            <w:pPr>
              <w:rPr>
                <w:rFonts w:ascii="Times New Roman" w:hAnsi="Times New Roman" w:cs="Times New Roman"/>
                <w:sz w:val="24"/>
                <w:szCs w:val="24"/>
              </w:rPr>
            </w:pPr>
            <w:r w:rsidRPr="00D24365">
              <w:rPr>
                <w:rFonts w:ascii="Times New Roman" w:hAnsi="Times New Roman" w:cs="Times New Roman"/>
                <w:sz w:val="24"/>
                <w:szCs w:val="24"/>
              </w:rPr>
              <w:t>Access to training</w:t>
            </w:r>
          </w:p>
        </w:tc>
        <w:tc>
          <w:tcPr>
            <w:tcW w:w="2130" w:type="dxa"/>
            <w:vAlign w:val="center"/>
            <w:hideMark/>
          </w:tcPr>
          <w:p w14:paraId="49A6F22D" w14:textId="77777777" w:rsidR="00D24365" w:rsidRPr="00D24365" w:rsidRDefault="00D24365" w:rsidP="00BD7697">
            <w:pPr>
              <w:jc w:val="center"/>
              <w:rPr>
                <w:rFonts w:ascii="Times New Roman" w:hAnsi="Times New Roman" w:cs="Times New Roman"/>
                <w:sz w:val="24"/>
                <w:szCs w:val="24"/>
              </w:rPr>
            </w:pPr>
            <w:r w:rsidRPr="00D24365">
              <w:rPr>
                <w:rFonts w:ascii="Times New Roman" w:hAnsi="Times New Roman" w:cs="Times New Roman"/>
                <w:sz w:val="24"/>
                <w:szCs w:val="24"/>
              </w:rPr>
              <w:t>.16**</w:t>
            </w:r>
          </w:p>
        </w:tc>
        <w:tc>
          <w:tcPr>
            <w:tcW w:w="2655" w:type="dxa"/>
            <w:vAlign w:val="center"/>
            <w:hideMark/>
          </w:tcPr>
          <w:p w14:paraId="24A57FDE" w14:textId="77777777" w:rsidR="00D24365" w:rsidRPr="00D24365" w:rsidRDefault="00D24365" w:rsidP="00BD7697">
            <w:pPr>
              <w:jc w:val="center"/>
              <w:rPr>
                <w:rFonts w:ascii="Times New Roman" w:hAnsi="Times New Roman" w:cs="Times New Roman"/>
                <w:sz w:val="24"/>
                <w:szCs w:val="24"/>
              </w:rPr>
            </w:pPr>
            <w:r w:rsidRPr="00D24365">
              <w:rPr>
                <w:rFonts w:ascii="Times New Roman" w:hAnsi="Times New Roman" w:cs="Times New Roman"/>
                <w:sz w:val="24"/>
                <w:szCs w:val="24"/>
              </w:rPr>
              <w:t>.23***</w:t>
            </w:r>
          </w:p>
        </w:tc>
      </w:tr>
    </w:tbl>
    <w:p w14:paraId="042E61F4" w14:textId="77777777" w:rsidR="00D24365" w:rsidRPr="00D24365" w:rsidRDefault="00B854F3" w:rsidP="00B854F3">
      <w:pPr>
        <w:rPr>
          <w:rFonts w:ascii="Times New Roman" w:hAnsi="Times New Roman" w:cs="Times New Roman"/>
          <w:sz w:val="24"/>
          <w:szCs w:val="24"/>
        </w:rPr>
      </w:pPr>
      <w:r>
        <w:rPr>
          <w:rFonts w:ascii="Times New Roman" w:hAnsi="Times New Roman" w:cs="Times New Roman"/>
          <w:i/>
          <w:iCs/>
          <w:sz w:val="24"/>
          <w:szCs w:val="24"/>
        </w:rPr>
        <w:t xml:space="preserve">          </w:t>
      </w:r>
      <w:r w:rsidR="00D24365" w:rsidRPr="00D24365">
        <w:rPr>
          <w:rFonts w:ascii="Times New Roman" w:hAnsi="Times New Roman" w:cs="Times New Roman"/>
          <w:i/>
          <w:iCs/>
          <w:sz w:val="24"/>
          <w:szCs w:val="24"/>
        </w:rPr>
        <w:t>p</w:t>
      </w:r>
      <w:r w:rsidR="00D24365" w:rsidRPr="00D24365">
        <w:rPr>
          <w:rFonts w:ascii="Times New Roman" w:hAnsi="Times New Roman" w:cs="Times New Roman"/>
          <w:sz w:val="24"/>
          <w:szCs w:val="24"/>
        </w:rPr>
        <w:t xml:space="preserve"> &lt; .05**, </w:t>
      </w:r>
      <w:r w:rsidR="00D24365" w:rsidRPr="00D24365">
        <w:rPr>
          <w:rFonts w:ascii="Times New Roman" w:hAnsi="Times New Roman" w:cs="Times New Roman"/>
          <w:i/>
          <w:iCs/>
          <w:sz w:val="24"/>
          <w:szCs w:val="24"/>
        </w:rPr>
        <w:t>p</w:t>
      </w:r>
      <w:r w:rsidR="00D24365" w:rsidRPr="00D24365">
        <w:rPr>
          <w:rFonts w:ascii="Times New Roman" w:hAnsi="Times New Roman" w:cs="Times New Roman"/>
          <w:sz w:val="24"/>
          <w:szCs w:val="24"/>
        </w:rPr>
        <w:t xml:space="preserve"> &lt; .01***</w:t>
      </w:r>
    </w:p>
    <w:p w14:paraId="02709068" w14:textId="77777777" w:rsidR="00F524DD" w:rsidRDefault="00D24365" w:rsidP="004A4172">
      <w:pPr>
        <w:jc w:val="both"/>
        <w:rPr>
          <w:rFonts w:ascii="Times New Roman" w:hAnsi="Times New Roman" w:cs="Times New Roman"/>
          <w:sz w:val="24"/>
          <w:szCs w:val="24"/>
        </w:rPr>
      </w:pPr>
      <w:r w:rsidRPr="00D24365">
        <w:rPr>
          <w:rFonts w:ascii="Times New Roman" w:hAnsi="Times New Roman" w:cs="Times New Roman"/>
          <w:sz w:val="24"/>
          <w:szCs w:val="24"/>
        </w:rPr>
        <w:br/>
      </w:r>
      <w:r w:rsidR="00F524DD" w:rsidRPr="00F524DD">
        <w:rPr>
          <w:rFonts w:ascii="Times New Roman" w:hAnsi="Times New Roman" w:cs="Times New Roman"/>
          <w:sz w:val="24"/>
          <w:szCs w:val="24"/>
        </w:rPr>
        <w:t>Being involved in local decision-making and knowledge-sharing networks greatly improves both the diversification of businesses and the use of sustainable practices. These results back up H3 and show that being involved in the community helps not only the economy but also entrepreneurs who care about the environment.</w:t>
      </w:r>
    </w:p>
    <w:p w14:paraId="33609330" w14:textId="77777777" w:rsidR="00D24365" w:rsidRPr="00D24365" w:rsidRDefault="00D24365" w:rsidP="00D24365">
      <w:pPr>
        <w:jc w:val="both"/>
        <w:rPr>
          <w:rFonts w:ascii="Times New Roman" w:hAnsi="Times New Roman" w:cs="Times New Roman"/>
          <w:b/>
          <w:bCs/>
          <w:sz w:val="24"/>
          <w:szCs w:val="24"/>
        </w:rPr>
      </w:pPr>
      <w:r w:rsidRPr="00D24365">
        <w:rPr>
          <w:rFonts w:ascii="Times New Roman" w:hAnsi="Times New Roman" w:cs="Times New Roman"/>
          <w:b/>
          <w:bCs/>
          <w:sz w:val="24"/>
          <w:szCs w:val="24"/>
        </w:rPr>
        <w:t>4.5 District-Level Differences</w:t>
      </w:r>
    </w:p>
    <w:p w14:paraId="1AFB7521" w14:textId="77777777" w:rsidR="00FD40C0" w:rsidRDefault="00F524DD" w:rsidP="004A4172">
      <w:pPr>
        <w:jc w:val="both"/>
        <w:rPr>
          <w:rFonts w:ascii="Times New Roman" w:hAnsi="Times New Roman" w:cs="Times New Roman"/>
          <w:sz w:val="24"/>
          <w:szCs w:val="24"/>
        </w:rPr>
      </w:pPr>
      <w:r w:rsidRPr="00F524DD">
        <w:rPr>
          <w:rFonts w:ascii="Times New Roman" w:hAnsi="Times New Roman" w:cs="Times New Roman"/>
          <w:sz w:val="24"/>
          <w:szCs w:val="24"/>
        </w:rPr>
        <w:t>Interaction terms between community engagement and district location show that effect sizes are statistically different. Community engagement has a bigger effect on income growth and diversification in Bagamoyo than in Kinondoni. This suggests that community-based approaches may be especially effective in semi-rural coastal areas. This finding corroborates H4 and underscores the significance of contextual variation in the dynamics of Blue-economy entrepreneurship.</w:t>
      </w:r>
    </w:p>
    <w:p w14:paraId="3BC9318E" w14:textId="77777777" w:rsidR="00BD7697" w:rsidRDefault="00BD7697" w:rsidP="004A4172">
      <w:pPr>
        <w:jc w:val="both"/>
        <w:rPr>
          <w:rFonts w:ascii="Times New Roman" w:hAnsi="Times New Roman" w:cs="Times New Roman"/>
          <w:sz w:val="24"/>
          <w:szCs w:val="24"/>
        </w:rPr>
      </w:pPr>
    </w:p>
    <w:p w14:paraId="307EE1C3" w14:textId="77777777" w:rsidR="00BD7697" w:rsidRDefault="00BD7697" w:rsidP="004A4172">
      <w:pPr>
        <w:jc w:val="both"/>
        <w:rPr>
          <w:rFonts w:ascii="Times New Roman" w:hAnsi="Times New Roman" w:cs="Times New Roman"/>
          <w:sz w:val="24"/>
          <w:szCs w:val="24"/>
        </w:rPr>
      </w:pPr>
    </w:p>
    <w:p w14:paraId="0EA7D321" w14:textId="77777777" w:rsidR="00BD7697" w:rsidRDefault="00BD7697" w:rsidP="004A4172">
      <w:pPr>
        <w:jc w:val="both"/>
        <w:rPr>
          <w:rFonts w:ascii="Times New Roman" w:hAnsi="Times New Roman" w:cs="Times New Roman"/>
          <w:sz w:val="24"/>
          <w:szCs w:val="24"/>
        </w:rPr>
      </w:pPr>
    </w:p>
    <w:p w14:paraId="575B51EF" w14:textId="77777777" w:rsidR="00BD7697" w:rsidRDefault="00BD7697" w:rsidP="004A4172">
      <w:pPr>
        <w:jc w:val="both"/>
        <w:rPr>
          <w:rFonts w:ascii="Times New Roman" w:hAnsi="Times New Roman" w:cs="Times New Roman"/>
          <w:sz w:val="24"/>
          <w:szCs w:val="24"/>
        </w:rPr>
      </w:pPr>
    </w:p>
    <w:p w14:paraId="65631976" w14:textId="77777777" w:rsidR="00BD7697" w:rsidRDefault="00BD7697" w:rsidP="004A4172">
      <w:pPr>
        <w:jc w:val="both"/>
        <w:rPr>
          <w:rFonts w:ascii="Times New Roman" w:hAnsi="Times New Roman" w:cs="Times New Roman"/>
          <w:sz w:val="24"/>
          <w:szCs w:val="24"/>
        </w:rPr>
      </w:pPr>
    </w:p>
    <w:p w14:paraId="25D4A354" w14:textId="77777777" w:rsidR="00BD7697" w:rsidRDefault="00BD7697" w:rsidP="004A4172">
      <w:pPr>
        <w:jc w:val="both"/>
        <w:rPr>
          <w:rFonts w:ascii="Times New Roman" w:hAnsi="Times New Roman" w:cs="Times New Roman"/>
          <w:sz w:val="24"/>
          <w:szCs w:val="24"/>
        </w:rPr>
      </w:pPr>
    </w:p>
    <w:p w14:paraId="698A90B9" w14:textId="77777777" w:rsidR="00D24365" w:rsidRPr="00450AE7" w:rsidRDefault="00450AE7" w:rsidP="004A4172">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7: </w:t>
      </w:r>
      <w:r w:rsidR="00D24365" w:rsidRPr="00450AE7">
        <w:rPr>
          <w:rFonts w:ascii="Times New Roman" w:hAnsi="Times New Roman" w:cs="Times New Roman"/>
          <w:sz w:val="24"/>
          <w:szCs w:val="24"/>
        </w:rPr>
        <w:t>Summary of Hypothesis Testing</w:t>
      </w:r>
    </w:p>
    <w:tbl>
      <w:tblPr>
        <w:tblW w:w="9585" w:type="dxa"/>
        <w:jc w:val="center"/>
        <w:tblCellSpacing w:w="15" w:type="dxa"/>
        <w:tblCellMar>
          <w:top w:w="15" w:type="dxa"/>
          <w:left w:w="15" w:type="dxa"/>
          <w:bottom w:w="15" w:type="dxa"/>
          <w:right w:w="15" w:type="dxa"/>
        </w:tblCellMar>
        <w:tblLook w:val="04A0" w:firstRow="1" w:lastRow="0" w:firstColumn="1" w:lastColumn="0" w:noHBand="0" w:noVBand="1"/>
      </w:tblPr>
      <w:tblGrid>
        <w:gridCol w:w="1215"/>
        <w:gridCol w:w="7173"/>
        <w:gridCol w:w="1197"/>
      </w:tblGrid>
      <w:tr w:rsidR="00D24365" w:rsidRPr="00D24365" w14:paraId="62FE7B8D" w14:textId="77777777" w:rsidTr="00981D71">
        <w:trPr>
          <w:tblHeader/>
          <w:tblCellSpacing w:w="15" w:type="dxa"/>
          <w:jc w:val="center"/>
        </w:trPr>
        <w:tc>
          <w:tcPr>
            <w:tcW w:w="1170" w:type="dxa"/>
            <w:vAlign w:val="center"/>
            <w:hideMark/>
          </w:tcPr>
          <w:p w14:paraId="03DF06CA" w14:textId="77777777" w:rsidR="00D24365" w:rsidRPr="00D24365" w:rsidRDefault="00D24365" w:rsidP="00BD7697">
            <w:pPr>
              <w:spacing w:line="240" w:lineRule="auto"/>
              <w:rPr>
                <w:rFonts w:ascii="Times New Roman" w:hAnsi="Times New Roman" w:cs="Times New Roman"/>
                <w:b/>
                <w:bCs/>
                <w:sz w:val="24"/>
                <w:szCs w:val="24"/>
              </w:rPr>
            </w:pPr>
            <w:r w:rsidRPr="00D24365">
              <w:rPr>
                <w:rFonts w:ascii="Times New Roman" w:hAnsi="Times New Roman" w:cs="Times New Roman"/>
                <w:b/>
                <w:bCs/>
                <w:sz w:val="24"/>
                <w:szCs w:val="24"/>
              </w:rPr>
              <w:t>Hypothesis</w:t>
            </w:r>
          </w:p>
        </w:tc>
        <w:tc>
          <w:tcPr>
            <w:tcW w:w="7143" w:type="dxa"/>
            <w:vAlign w:val="center"/>
            <w:hideMark/>
          </w:tcPr>
          <w:p w14:paraId="1E143758" w14:textId="77777777" w:rsidR="00D24365" w:rsidRPr="00D24365" w:rsidRDefault="00D24365" w:rsidP="00BD7697">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Statement</w:t>
            </w:r>
          </w:p>
        </w:tc>
        <w:tc>
          <w:tcPr>
            <w:tcW w:w="1152" w:type="dxa"/>
            <w:vAlign w:val="center"/>
            <w:hideMark/>
          </w:tcPr>
          <w:p w14:paraId="089BFB25" w14:textId="77777777" w:rsidR="00D24365" w:rsidRPr="00D24365" w:rsidRDefault="00D24365" w:rsidP="00BD7697">
            <w:pPr>
              <w:spacing w:line="240" w:lineRule="auto"/>
              <w:rPr>
                <w:rFonts w:ascii="Times New Roman" w:hAnsi="Times New Roman" w:cs="Times New Roman"/>
                <w:b/>
                <w:bCs/>
                <w:sz w:val="24"/>
                <w:szCs w:val="24"/>
              </w:rPr>
            </w:pPr>
            <w:r w:rsidRPr="00D24365">
              <w:rPr>
                <w:rFonts w:ascii="Times New Roman" w:hAnsi="Times New Roman" w:cs="Times New Roman"/>
                <w:b/>
                <w:bCs/>
                <w:sz w:val="24"/>
                <w:szCs w:val="24"/>
              </w:rPr>
              <w:t>Result</w:t>
            </w:r>
          </w:p>
        </w:tc>
      </w:tr>
      <w:tr w:rsidR="00D24365" w:rsidRPr="00D24365" w14:paraId="417EB5B6" w14:textId="77777777" w:rsidTr="00981D71">
        <w:trPr>
          <w:tblCellSpacing w:w="15" w:type="dxa"/>
          <w:jc w:val="center"/>
        </w:trPr>
        <w:tc>
          <w:tcPr>
            <w:tcW w:w="1170" w:type="dxa"/>
            <w:vAlign w:val="center"/>
            <w:hideMark/>
          </w:tcPr>
          <w:p w14:paraId="57D6CA81" w14:textId="77777777"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H1</w:t>
            </w:r>
          </w:p>
        </w:tc>
        <w:tc>
          <w:tcPr>
            <w:tcW w:w="7143" w:type="dxa"/>
            <w:vAlign w:val="center"/>
            <w:hideMark/>
          </w:tcPr>
          <w:p w14:paraId="6623A17C" w14:textId="77777777"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Community engagement positively affects performance</w:t>
            </w:r>
          </w:p>
        </w:tc>
        <w:tc>
          <w:tcPr>
            <w:tcW w:w="1152" w:type="dxa"/>
            <w:vAlign w:val="center"/>
            <w:hideMark/>
          </w:tcPr>
          <w:p w14:paraId="7FF6FE17" w14:textId="77777777"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Supported</w:t>
            </w:r>
          </w:p>
        </w:tc>
      </w:tr>
      <w:tr w:rsidR="00D24365" w:rsidRPr="00D24365" w14:paraId="5DD6DCB3" w14:textId="77777777" w:rsidTr="00981D71">
        <w:trPr>
          <w:tblCellSpacing w:w="15" w:type="dxa"/>
          <w:jc w:val="center"/>
        </w:trPr>
        <w:tc>
          <w:tcPr>
            <w:tcW w:w="1170" w:type="dxa"/>
            <w:vAlign w:val="center"/>
            <w:hideMark/>
          </w:tcPr>
          <w:p w14:paraId="350DDC9D" w14:textId="77777777"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H2</w:t>
            </w:r>
          </w:p>
        </w:tc>
        <w:tc>
          <w:tcPr>
            <w:tcW w:w="7143" w:type="dxa"/>
            <w:vAlign w:val="center"/>
            <w:hideMark/>
          </w:tcPr>
          <w:p w14:paraId="6FD5302D" w14:textId="77777777"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Savings group participation improves income growth and survival</w:t>
            </w:r>
          </w:p>
        </w:tc>
        <w:tc>
          <w:tcPr>
            <w:tcW w:w="1152" w:type="dxa"/>
            <w:vAlign w:val="center"/>
            <w:hideMark/>
          </w:tcPr>
          <w:p w14:paraId="60A61094" w14:textId="77777777"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Supported</w:t>
            </w:r>
          </w:p>
        </w:tc>
      </w:tr>
      <w:tr w:rsidR="00D24365" w:rsidRPr="00D24365" w14:paraId="3912E655" w14:textId="77777777" w:rsidTr="00981D71">
        <w:trPr>
          <w:tblCellSpacing w:w="15" w:type="dxa"/>
          <w:jc w:val="center"/>
        </w:trPr>
        <w:tc>
          <w:tcPr>
            <w:tcW w:w="1170" w:type="dxa"/>
            <w:vAlign w:val="center"/>
            <w:hideMark/>
          </w:tcPr>
          <w:p w14:paraId="16DD9E30" w14:textId="77777777"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H3</w:t>
            </w:r>
          </w:p>
        </w:tc>
        <w:tc>
          <w:tcPr>
            <w:tcW w:w="7143" w:type="dxa"/>
            <w:vAlign w:val="center"/>
            <w:hideMark/>
          </w:tcPr>
          <w:p w14:paraId="4F0A6523" w14:textId="77777777"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Participation and knowledge sharing enhance diversification and sustainability</w:t>
            </w:r>
          </w:p>
        </w:tc>
        <w:tc>
          <w:tcPr>
            <w:tcW w:w="1152" w:type="dxa"/>
            <w:vAlign w:val="center"/>
            <w:hideMark/>
          </w:tcPr>
          <w:p w14:paraId="5CD6D76A" w14:textId="77777777"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Supported</w:t>
            </w:r>
          </w:p>
        </w:tc>
      </w:tr>
      <w:tr w:rsidR="00D24365" w:rsidRPr="00D24365" w14:paraId="6AA32F28" w14:textId="77777777" w:rsidTr="00981D71">
        <w:trPr>
          <w:tblCellSpacing w:w="15" w:type="dxa"/>
          <w:jc w:val="center"/>
        </w:trPr>
        <w:tc>
          <w:tcPr>
            <w:tcW w:w="1170" w:type="dxa"/>
            <w:vAlign w:val="center"/>
            <w:hideMark/>
          </w:tcPr>
          <w:p w14:paraId="251B2924" w14:textId="77777777"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H4</w:t>
            </w:r>
          </w:p>
        </w:tc>
        <w:tc>
          <w:tcPr>
            <w:tcW w:w="7143" w:type="dxa"/>
            <w:vAlign w:val="center"/>
            <w:hideMark/>
          </w:tcPr>
          <w:p w14:paraId="1E0610E3" w14:textId="77777777"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Effects differ by district context</w:t>
            </w:r>
          </w:p>
        </w:tc>
        <w:tc>
          <w:tcPr>
            <w:tcW w:w="1152" w:type="dxa"/>
            <w:vAlign w:val="center"/>
            <w:hideMark/>
          </w:tcPr>
          <w:p w14:paraId="69C2A0E4" w14:textId="77777777"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Supported</w:t>
            </w:r>
          </w:p>
        </w:tc>
      </w:tr>
    </w:tbl>
    <w:p w14:paraId="1154F3B1" w14:textId="77777777" w:rsidR="00981D71" w:rsidRDefault="00981D71" w:rsidP="00A56B91">
      <w:pPr>
        <w:jc w:val="both"/>
        <w:rPr>
          <w:rFonts w:ascii="Times New Roman" w:hAnsi="Times New Roman" w:cs="Times New Roman"/>
          <w:b/>
          <w:sz w:val="24"/>
          <w:szCs w:val="24"/>
        </w:rPr>
      </w:pPr>
    </w:p>
    <w:p w14:paraId="03157ED5" w14:textId="77777777" w:rsidR="00A56B91" w:rsidRPr="00A56B91" w:rsidRDefault="00A56B91" w:rsidP="00A56B91">
      <w:pPr>
        <w:jc w:val="both"/>
        <w:rPr>
          <w:rFonts w:ascii="Times New Roman" w:hAnsi="Times New Roman" w:cs="Times New Roman"/>
          <w:b/>
          <w:bCs/>
          <w:sz w:val="24"/>
          <w:szCs w:val="24"/>
        </w:rPr>
      </w:pPr>
      <w:r w:rsidRPr="00A56B91">
        <w:rPr>
          <w:rFonts w:ascii="Times New Roman" w:hAnsi="Times New Roman" w:cs="Times New Roman"/>
          <w:b/>
          <w:bCs/>
          <w:sz w:val="24"/>
          <w:szCs w:val="24"/>
        </w:rPr>
        <w:t>5. Discussion</w:t>
      </w:r>
    </w:p>
    <w:p w14:paraId="6AAF6753" w14:textId="77777777" w:rsidR="00A56B91" w:rsidRPr="00A56B91" w:rsidRDefault="00A56B91" w:rsidP="00A56B91">
      <w:pPr>
        <w:jc w:val="both"/>
        <w:rPr>
          <w:rFonts w:ascii="Times New Roman" w:hAnsi="Times New Roman" w:cs="Times New Roman"/>
          <w:b/>
          <w:bCs/>
          <w:sz w:val="24"/>
          <w:szCs w:val="24"/>
        </w:rPr>
      </w:pPr>
      <w:r w:rsidRPr="00A56B91">
        <w:rPr>
          <w:rFonts w:ascii="Times New Roman" w:hAnsi="Times New Roman" w:cs="Times New Roman"/>
          <w:b/>
          <w:bCs/>
          <w:sz w:val="24"/>
          <w:szCs w:val="24"/>
        </w:rPr>
        <w:t>5.1</w:t>
      </w:r>
      <w:r w:rsidR="00253BA8">
        <w:rPr>
          <w:rFonts w:ascii="Times New Roman" w:hAnsi="Times New Roman" w:cs="Times New Roman"/>
          <w:b/>
          <w:bCs/>
          <w:sz w:val="24"/>
          <w:szCs w:val="24"/>
        </w:rPr>
        <w:t xml:space="preserve">.1 </w:t>
      </w:r>
      <w:r w:rsidRPr="00A56B91">
        <w:rPr>
          <w:rFonts w:ascii="Times New Roman" w:hAnsi="Times New Roman" w:cs="Times New Roman"/>
          <w:b/>
          <w:bCs/>
          <w:sz w:val="24"/>
          <w:szCs w:val="24"/>
        </w:rPr>
        <w:t>Community Engagement and Blue-Entrepreneurship Performance</w:t>
      </w:r>
    </w:p>
    <w:p w14:paraId="661BD2F7" w14:textId="77777777" w:rsidR="00F524DD" w:rsidRDefault="00F524DD" w:rsidP="00A56B91">
      <w:pPr>
        <w:jc w:val="both"/>
        <w:rPr>
          <w:rFonts w:ascii="Times New Roman" w:hAnsi="Times New Roman" w:cs="Times New Roman"/>
          <w:sz w:val="24"/>
          <w:szCs w:val="24"/>
        </w:rPr>
      </w:pPr>
      <w:r w:rsidRPr="00F524DD">
        <w:rPr>
          <w:rFonts w:ascii="Times New Roman" w:hAnsi="Times New Roman" w:cs="Times New Roman"/>
          <w:sz w:val="24"/>
          <w:szCs w:val="24"/>
        </w:rPr>
        <w:t xml:space="preserve">The results of this study offer substantial empirical evidence for the assertion that community engagement significantly contributes to the performance enhancement of Blue-economy enterprises. The positive and statistically significant correlation between the Community Engagement Index and income growth substantiates H1 and closely corresponds with social capital theory, which highlights the importance of trust, networks, and collective action in enhancing economic outcomes for small-scale entrepreneurs (Putnam, 1993; </w:t>
      </w:r>
      <w:proofErr w:type="spellStart"/>
      <w:r w:rsidRPr="00F524DD">
        <w:rPr>
          <w:rFonts w:ascii="Times New Roman" w:hAnsi="Times New Roman" w:cs="Times New Roman"/>
          <w:sz w:val="24"/>
          <w:szCs w:val="24"/>
        </w:rPr>
        <w:t>Nahapiet</w:t>
      </w:r>
      <w:proofErr w:type="spellEnd"/>
      <w:r w:rsidRPr="00F524DD">
        <w:rPr>
          <w:rFonts w:ascii="Times New Roman" w:hAnsi="Times New Roman" w:cs="Times New Roman"/>
          <w:sz w:val="24"/>
          <w:szCs w:val="24"/>
        </w:rPr>
        <w:t xml:space="preserve"> &amp; Ghoshal, 1998). Entrepreneurs who are more involved in their communities seem to have better access to information, informal loans, and business opportunities, which means that their social connections can lead to real economic benefits. These findings align with previous empirical research in developing economies, indicating that community involvement and network integration improve enterprise resilience and performance, especially in resource-dependent industries (Karlan et al., 2014). In the context of the Blue Economy, the findings augment the existing literature, which has predominantly concentrated on environmental governance outcomes, by demonstrating that community engagement also produces quantifiable benefits in entrepreneurial performance, thereby reinforcing the economic rationale for participatory methodologies.</w:t>
      </w:r>
    </w:p>
    <w:p w14:paraId="54792938" w14:textId="77777777" w:rsidR="00A56B91" w:rsidRPr="00A56B91" w:rsidRDefault="00253BA8" w:rsidP="00A56B91">
      <w:pPr>
        <w:jc w:val="both"/>
        <w:rPr>
          <w:rFonts w:ascii="Times New Roman" w:hAnsi="Times New Roman" w:cs="Times New Roman"/>
          <w:b/>
          <w:bCs/>
          <w:sz w:val="24"/>
          <w:szCs w:val="24"/>
        </w:rPr>
      </w:pPr>
      <w:r>
        <w:rPr>
          <w:rFonts w:ascii="Times New Roman" w:hAnsi="Times New Roman" w:cs="Times New Roman"/>
          <w:b/>
          <w:bCs/>
          <w:sz w:val="24"/>
          <w:szCs w:val="24"/>
        </w:rPr>
        <w:t>5.1.2</w:t>
      </w:r>
      <w:r w:rsidR="00A56B91" w:rsidRPr="00A56B91">
        <w:rPr>
          <w:rFonts w:ascii="Times New Roman" w:hAnsi="Times New Roman" w:cs="Times New Roman"/>
          <w:b/>
          <w:bCs/>
          <w:sz w:val="24"/>
          <w:szCs w:val="24"/>
        </w:rPr>
        <w:t xml:space="preserve"> Role of Community-Based Financial Engagement</w:t>
      </w:r>
    </w:p>
    <w:p w14:paraId="472F1ADE" w14:textId="77777777" w:rsidR="00F524DD" w:rsidRDefault="00F524DD" w:rsidP="00A56B91">
      <w:pPr>
        <w:jc w:val="both"/>
        <w:rPr>
          <w:rFonts w:ascii="Times New Roman" w:hAnsi="Times New Roman" w:cs="Times New Roman"/>
          <w:sz w:val="24"/>
          <w:szCs w:val="24"/>
        </w:rPr>
      </w:pPr>
      <w:r w:rsidRPr="00F524DD">
        <w:rPr>
          <w:rFonts w:ascii="Times New Roman" w:hAnsi="Times New Roman" w:cs="Times New Roman"/>
          <w:sz w:val="24"/>
          <w:szCs w:val="24"/>
        </w:rPr>
        <w:t>The robust positive correlation between engagement in community savings and credit associations and enterprise sustainability (H2) underscores the essential function of community-based financial systems in maintaining Blue-economy enterprises. Being a member of savings groups more than doubled the chances of a business staying open. This shows how important it is to include people in financial systems in places where formal credit markets are not available or not good enou</w:t>
      </w:r>
      <w:r>
        <w:rPr>
          <w:rFonts w:ascii="Times New Roman" w:hAnsi="Times New Roman" w:cs="Times New Roman"/>
          <w:sz w:val="24"/>
          <w:szCs w:val="24"/>
        </w:rPr>
        <w:t xml:space="preserve">gh. </w:t>
      </w:r>
      <w:r w:rsidRPr="00F524DD">
        <w:rPr>
          <w:rFonts w:ascii="Times New Roman" w:hAnsi="Times New Roman" w:cs="Times New Roman"/>
          <w:sz w:val="24"/>
          <w:szCs w:val="24"/>
        </w:rPr>
        <w:t xml:space="preserve">This finding supports earlier research that community savings groups improve </w:t>
      </w:r>
      <w:r w:rsidRPr="00F524DD">
        <w:rPr>
          <w:rFonts w:ascii="Times New Roman" w:hAnsi="Times New Roman" w:cs="Times New Roman"/>
          <w:sz w:val="24"/>
          <w:szCs w:val="24"/>
        </w:rPr>
        <w:lastRenderedPageBreak/>
        <w:t xml:space="preserve">liquidity, risk-sharing, and coping skills for micro-entrepreneurs (Karlan et al., 2014), and it strengthens policy arguments for including VICOBA-type models in Tanzania's Blue Economy programs. From a theoretical standpoint, savings groups actualize social capital by transforming trust and reciprocity into financial assets, thereby </w:t>
      </w:r>
      <w:r>
        <w:rPr>
          <w:rFonts w:ascii="Times New Roman" w:hAnsi="Times New Roman" w:cs="Times New Roman"/>
          <w:sz w:val="24"/>
          <w:szCs w:val="24"/>
        </w:rPr>
        <w:t>enhancing enterprise stability.</w:t>
      </w:r>
    </w:p>
    <w:p w14:paraId="75268219" w14:textId="77777777" w:rsidR="00A56B91" w:rsidRPr="00A56B91" w:rsidRDefault="00253BA8" w:rsidP="00A56B91">
      <w:pPr>
        <w:jc w:val="both"/>
        <w:rPr>
          <w:rFonts w:ascii="Times New Roman" w:hAnsi="Times New Roman" w:cs="Times New Roman"/>
          <w:b/>
          <w:bCs/>
          <w:sz w:val="24"/>
          <w:szCs w:val="24"/>
        </w:rPr>
      </w:pPr>
      <w:r>
        <w:rPr>
          <w:rFonts w:ascii="Times New Roman" w:hAnsi="Times New Roman" w:cs="Times New Roman"/>
          <w:b/>
          <w:bCs/>
          <w:sz w:val="24"/>
          <w:szCs w:val="24"/>
        </w:rPr>
        <w:t>5.1.3</w:t>
      </w:r>
      <w:r w:rsidR="00A56B91" w:rsidRPr="00A56B91">
        <w:rPr>
          <w:rFonts w:ascii="Times New Roman" w:hAnsi="Times New Roman" w:cs="Times New Roman"/>
          <w:b/>
          <w:bCs/>
          <w:sz w:val="24"/>
          <w:szCs w:val="24"/>
        </w:rPr>
        <w:t xml:space="preserve"> Community Engagement, Diversification, and Sustainability</w:t>
      </w:r>
    </w:p>
    <w:p w14:paraId="6159F5E9" w14:textId="77777777" w:rsidR="00F524DD" w:rsidRDefault="00F524DD" w:rsidP="00A56B91">
      <w:pPr>
        <w:jc w:val="both"/>
        <w:rPr>
          <w:rFonts w:ascii="Times New Roman" w:hAnsi="Times New Roman" w:cs="Times New Roman"/>
          <w:sz w:val="24"/>
          <w:szCs w:val="24"/>
        </w:rPr>
      </w:pPr>
      <w:r w:rsidRPr="00F524DD">
        <w:rPr>
          <w:rFonts w:ascii="Times New Roman" w:hAnsi="Times New Roman" w:cs="Times New Roman"/>
          <w:sz w:val="24"/>
          <w:szCs w:val="24"/>
        </w:rPr>
        <w:t xml:space="preserve">The results further demonstrate that involvement in local decision-making processes and participation in knowledge-sharing networks substantially improve enterprise diversification and the implementation of sustainable practices, thereby corroborating H3. These results align closely with participatory governance theory, which asserts that inclusive decision-making and collective learning enhance compliance and foster innovation in resource-dependent economic activities (Pretty, 2003; </w:t>
      </w:r>
      <w:proofErr w:type="spellStart"/>
      <w:r w:rsidRPr="00F524DD">
        <w:rPr>
          <w:rFonts w:ascii="Times New Roman" w:hAnsi="Times New Roman" w:cs="Times New Roman"/>
          <w:sz w:val="24"/>
          <w:szCs w:val="24"/>
        </w:rPr>
        <w:t>Béné</w:t>
      </w:r>
      <w:proofErr w:type="spellEnd"/>
      <w:r w:rsidRPr="00F524DD">
        <w:rPr>
          <w:rFonts w:ascii="Times New Roman" w:hAnsi="Times New Roman" w:cs="Times New Roman"/>
          <w:sz w:val="24"/>
          <w:szCs w:val="24"/>
        </w:rPr>
        <w:t xml:space="preserve"> et al., 2016). The robust correlation between community engagement and sustainability practices indicates that economic and environmental goals within the Blue Economy are not inherently conflicting. When entrepreneurs are part of participatory institutions, they are more likely to use environmentally friendly methods that help keep resources available for a long time. This discovery adds to the ongoing discussions in the Blue Economy literature about whether it is possible to combine goals for protecting the environment with goals for improving people's lives.</w:t>
      </w:r>
    </w:p>
    <w:p w14:paraId="533BDD29" w14:textId="77777777" w:rsidR="00A56B91" w:rsidRPr="00A56B91" w:rsidRDefault="00253BA8" w:rsidP="00A56B91">
      <w:pPr>
        <w:jc w:val="both"/>
        <w:rPr>
          <w:rFonts w:ascii="Times New Roman" w:hAnsi="Times New Roman" w:cs="Times New Roman"/>
          <w:b/>
          <w:bCs/>
          <w:sz w:val="24"/>
          <w:szCs w:val="24"/>
        </w:rPr>
      </w:pPr>
      <w:r>
        <w:rPr>
          <w:rFonts w:ascii="Times New Roman" w:hAnsi="Times New Roman" w:cs="Times New Roman"/>
          <w:b/>
          <w:bCs/>
          <w:sz w:val="24"/>
          <w:szCs w:val="24"/>
        </w:rPr>
        <w:t>5.1.4</w:t>
      </w:r>
      <w:r w:rsidR="00A56B91" w:rsidRPr="00A56B91">
        <w:rPr>
          <w:rFonts w:ascii="Times New Roman" w:hAnsi="Times New Roman" w:cs="Times New Roman"/>
          <w:b/>
          <w:bCs/>
          <w:sz w:val="24"/>
          <w:szCs w:val="24"/>
        </w:rPr>
        <w:t xml:space="preserve"> Contextual Differences </w:t>
      </w:r>
      <w:r w:rsidR="00981D71" w:rsidRPr="00A56B91">
        <w:rPr>
          <w:rFonts w:ascii="Times New Roman" w:hAnsi="Times New Roman" w:cs="Times New Roman"/>
          <w:b/>
          <w:bCs/>
          <w:sz w:val="24"/>
          <w:szCs w:val="24"/>
        </w:rPr>
        <w:t>between</w:t>
      </w:r>
      <w:r w:rsidR="00A56B91" w:rsidRPr="00A56B91">
        <w:rPr>
          <w:rFonts w:ascii="Times New Roman" w:hAnsi="Times New Roman" w:cs="Times New Roman"/>
          <w:b/>
          <w:bCs/>
          <w:sz w:val="24"/>
          <w:szCs w:val="24"/>
        </w:rPr>
        <w:t xml:space="preserve"> Coastal Districts</w:t>
      </w:r>
    </w:p>
    <w:p w14:paraId="3AA04EDA" w14:textId="77777777" w:rsidR="00A607FB" w:rsidRDefault="00F524DD" w:rsidP="004A4172">
      <w:pPr>
        <w:jc w:val="both"/>
        <w:rPr>
          <w:rFonts w:ascii="Times New Roman" w:hAnsi="Times New Roman" w:cs="Times New Roman"/>
          <w:sz w:val="24"/>
          <w:szCs w:val="24"/>
        </w:rPr>
      </w:pPr>
      <w:r w:rsidRPr="00F524DD">
        <w:rPr>
          <w:rFonts w:ascii="Times New Roman" w:hAnsi="Times New Roman" w:cs="Times New Roman"/>
          <w:sz w:val="24"/>
          <w:szCs w:val="24"/>
        </w:rPr>
        <w:t>The observed district-level disparities in the intensity of community engagement effects offer empirical validation for H4 and highlight the significance of contextual variation. The more powerful effects seen in Bagamoyo District compared to Kinondoni District suggest that community-based mechanisms may work better in semi-rural areas where formal institutions and mar</w:t>
      </w:r>
      <w:r>
        <w:rPr>
          <w:rFonts w:ascii="Times New Roman" w:hAnsi="Times New Roman" w:cs="Times New Roman"/>
          <w:sz w:val="24"/>
          <w:szCs w:val="24"/>
        </w:rPr>
        <w:t xml:space="preserve">kets are not as well developed. </w:t>
      </w:r>
      <w:r w:rsidRPr="00F524DD">
        <w:rPr>
          <w:rFonts w:ascii="Times New Roman" w:hAnsi="Times New Roman" w:cs="Times New Roman"/>
          <w:sz w:val="24"/>
          <w:szCs w:val="24"/>
        </w:rPr>
        <w:t xml:space="preserve">In more urbanized areas like Kinondoni, Blue entrepreneurs work in competitive and commercialized settings where market forces and formal institutions may take the place of community-based support. This finding is consistent with previous research indicating that the efficacy of participatory and community-driven methodologies is dependent on local institutional density and market configuration. It also shows that we need Blue Economy policies that </w:t>
      </w:r>
      <w:proofErr w:type="gramStart"/>
      <w:r w:rsidRPr="00F524DD">
        <w:rPr>
          <w:rFonts w:ascii="Times New Roman" w:hAnsi="Times New Roman" w:cs="Times New Roman"/>
          <w:sz w:val="24"/>
          <w:szCs w:val="24"/>
        </w:rPr>
        <w:t>take into account</w:t>
      </w:r>
      <w:proofErr w:type="gramEnd"/>
      <w:r w:rsidRPr="00F524DD">
        <w:rPr>
          <w:rFonts w:ascii="Times New Roman" w:hAnsi="Times New Roman" w:cs="Times New Roman"/>
          <w:sz w:val="24"/>
          <w:szCs w:val="24"/>
        </w:rPr>
        <w:t xml:space="preserve"> the specific needs of each situation, rather than policies that work for everyone</w:t>
      </w:r>
      <w:r>
        <w:rPr>
          <w:rFonts w:ascii="Times New Roman" w:hAnsi="Times New Roman" w:cs="Times New Roman"/>
          <w:sz w:val="24"/>
          <w:szCs w:val="24"/>
        </w:rPr>
        <w:t xml:space="preserve">. </w:t>
      </w:r>
    </w:p>
    <w:p w14:paraId="32FDDCAF" w14:textId="77777777" w:rsidR="00450AE7" w:rsidRPr="00450AE7" w:rsidRDefault="00253BA8" w:rsidP="00450AE7">
      <w:pPr>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450AE7" w:rsidRPr="00450AE7">
        <w:rPr>
          <w:rFonts w:ascii="Times New Roman" w:hAnsi="Times New Roman" w:cs="Times New Roman"/>
          <w:b/>
          <w:bCs/>
          <w:sz w:val="24"/>
          <w:szCs w:val="24"/>
        </w:rPr>
        <w:t>Conclusion</w:t>
      </w:r>
    </w:p>
    <w:p w14:paraId="5007F718" w14:textId="77777777" w:rsidR="00F524DD" w:rsidRDefault="00F524DD" w:rsidP="004A4172">
      <w:pPr>
        <w:jc w:val="both"/>
        <w:rPr>
          <w:rFonts w:ascii="Times New Roman" w:hAnsi="Times New Roman" w:cs="Times New Roman"/>
          <w:sz w:val="24"/>
          <w:szCs w:val="24"/>
        </w:rPr>
      </w:pPr>
      <w:r w:rsidRPr="00F524DD">
        <w:rPr>
          <w:rFonts w:ascii="Times New Roman" w:hAnsi="Times New Roman" w:cs="Times New Roman"/>
          <w:sz w:val="24"/>
          <w:szCs w:val="24"/>
        </w:rPr>
        <w:t xml:space="preserve">This study aimed to investigate the role of community engagement in improving Blue-entrepreneurship performance in Tanzania via a comparative analysis of the Bagamoyo and Kinondoni districts. Utilizing theories of social capital and participatory governance, the study offers substantial empirical evidence that community engagement markedly enhances income growth, enterprise sustainability, diversification, and the implementation of sustainable practices among Blue entrepreneurs. The study significantly enhances Blue Economy and entrepreneurship literature by transcending mere descriptive narratives and establishing </w:t>
      </w:r>
      <w:r w:rsidRPr="00F524DD">
        <w:rPr>
          <w:rFonts w:ascii="Times New Roman" w:hAnsi="Times New Roman" w:cs="Times New Roman"/>
          <w:sz w:val="24"/>
          <w:szCs w:val="24"/>
        </w:rPr>
        <w:lastRenderedPageBreak/>
        <w:t>empirical connections between community engagement mechanisms and quantifiable performance outcomes. The results indicate that community engagement serves not only as a governance or environmental instrument but also as an essential economic asset for small-scale entrepreneurs in coastal and marine industries. The study has limitations, such as its cross-sectional design and dependence on self-reported performance metrics, despite its contributions. Future studies could utilize longitudinal designs to elucidate dynamic effects over time and investigate causal pathways more comprehensively. The study offers timely and policy-relevant insights that can guide the formulation of inclusive and sustainable Blue Economy strategies in Tanzania and similar coastal regions.</w:t>
      </w:r>
    </w:p>
    <w:p w14:paraId="5C9F4589" w14:textId="77777777" w:rsidR="00A56B91" w:rsidRPr="00A56B91" w:rsidRDefault="00253BA8" w:rsidP="00A56B91">
      <w:pPr>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A56B91">
        <w:rPr>
          <w:rFonts w:ascii="Times New Roman" w:hAnsi="Times New Roman" w:cs="Times New Roman"/>
          <w:b/>
          <w:bCs/>
          <w:sz w:val="24"/>
          <w:szCs w:val="24"/>
        </w:rPr>
        <w:t>Policy</w:t>
      </w:r>
      <w:r w:rsidR="00A56B91" w:rsidRPr="00A56B91">
        <w:rPr>
          <w:rFonts w:ascii="Times New Roman" w:hAnsi="Times New Roman" w:cs="Times New Roman"/>
          <w:b/>
          <w:bCs/>
          <w:sz w:val="24"/>
          <w:szCs w:val="24"/>
        </w:rPr>
        <w:t xml:space="preserve"> Implications</w:t>
      </w:r>
    </w:p>
    <w:p w14:paraId="653B6F3C" w14:textId="77777777" w:rsidR="00F524DD" w:rsidRPr="00F524DD" w:rsidRDefault="00F524DD" w:rsidP="00476ACE">
      <w:pPr>
        <w:jc w:val="both"/>
        <w:rPr>
          <w:rFonts w:ascii="Times New Roman" w:hAnsi="Times New Roman" w:cs="Times New Roman"/>
          <w:sz w:val="24"/>
          <w:szCs w:val="24"/>
        </w:rPr>
      </w:pPr>
      <w:r w:rsidRPr="00F524DD">
        <w:rPr>
          <w:rFonts w:ascii="Times New Roman" w:hAnsi="Times New Roman" w:cs="Times New Roman"/>
          <w:sz w:val="24"/>
          <w:szCs w:val="24"/>
        </w:rPr>
        <w:t>This study's results have significant policy implications for Tanzania's Blue Economy agenda and comparable coastal economies in developing nations. First, community engagement should be made a key part of Blue Economy programming, not just an add-on or soft part. Policies and projects should encourage people to take part in local decision-making, make community-based groups stronger, and make it easier for Blue entrepreneurs to share information with each other. Second, the strong effects on performance that community savings and credit associations have suggest that expanding VICOBA-style financial systems in Blue Economy projects could greatly improve the survival and growth of businesses. Policymakers and development partners ought to amalgamate community finance models with technical training</w:t>
      </w:r>
      <w:r>
        <w:rPr>
          <w:rFonts w:ascii="Times New Roman" w:hAnsi="Times New Roman" w:cs="Times New Roman"/>
          <w:sz w:val="24"/>
          <w:szCs w:val="24"/>
        </w:rPr>
        <w:t xml:space="preserve"> and market access initiatives.</w:t>
      </w:r>
    </w:p>
    <w:p w14:paraId="3427422A" w14:textId="77777777" w:rsidR="00A607FB" w:rsidRPr="00C62884" w:rsidRDefault="00F524DD" w:rsidP="00476ACE">
      <w:pPr>
        <w:jc w:val="both"/>
        <w:rPr>
          <w:rFonts w:ascii="Times New Roman" w:hAnsi="Times New Roman" w:cs="Times New Roman"/>
          <w:sz w:val="24"/>
          <w:szCs w:val="24"/>
        </w:rPr>
      </w:pPr>
      <w:r w:rsidRPr="00F524DD">
        <w:rPr>
          <w:rFonts w:ascii="Times New Roman" w:hAnsi="Times New Roman" w:cs="Times New Roman"/>
          <w:sz w:val="24"/>
          <w:szCs w:val="24"/>
        </w:rPr>
        <w:t>Third, the positive link between community involvement and sustainable practices shows how important it is to connect participatory governance with environmental regulation. Improving compliance and economic performance at the same time is possible by strengthening co-management agreements and getting business owners involved in setting and enforcing rules. Fourth, the differences seen at the district level show that policies need to be different in different areas. In semi-rural areas, improving community institutions could lead to big gains. On the other hand, in urban coastal areas, combining community involvement with formal market and regula</w:t>
      </w:r>
      <w:r>
        <w:rPr>
          <w:rFonts w:ascii="Times New Roman" w:hAnsi="Times New Roman" w:cs="Times New Roman"/>
          <w:sz w:val="24"/>
          <w:szCs w:val="24"/>
        </w:rPr>
        <w:t>tory systems might work better.</w:t>
      </w:r>
    </w:p>
    <w:p w14:paraId="61221847" w14:textId="77777777" w:rsidR="00242C4F" w:rsidRPr="00242C4F" w:rsidRDefault="00242C4F" w:rsidP="00981D71">
      <w:pPr>
        <w:spacing w:line="240" w:lineRule="auto"/>
        <w:jc w:val="both"/>
        <w:rPr>
          <w:rFonts w:ascii="Times New Roman" w:hAnsi="Times New Roman" w:cs="Times New Roman"/>
          <w:b/>
          <w:bCs/>
          <w:sz w:val="24"/>
          <w:szCs w:val="24"/>
        </w:rPr>
      </w:pPr>
      <w:r w:rsidRPr="00242C4F">
        <w:rPr>
          <w:rFonts w:ascii="Times New Roman" w:hAnsi="Times New Roman" w:cs="Times New Roman"/>
          <w:b/>
          <w:bCs/>
          <w:sz w:val="24"/>
          <w:szCs w:val="24"/>
        </w:rPr>
        <w:t>References</w:t>
      </w:r>
    </w:p>
    <w:p w14:paraId="740A3F85"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Adler, P. S., &amp; Kwon, S. W. (2002). Social capital: Prospects for a new concept. </w:t>
      </w:r>
      <w:r w:rsidRPr="00F524DD">
        <w:rPr>
          <w:rFonts w:ascii="Times New Roman" w:hAnsi="Times New Roman" w:cs="Times New Roman"/>
          <w:i/>
          <w:iCs/>
          <w:sz w:val="24"/>
          <w:szCs w:val="24"/>
        </w:rPr>
        <w:t>Academy of Management Review, 27</w:t>
      </w:r>
      <w:r w:rsidRPr="00F524DD">
        <w:rPr>
          <w:rFonts w:ascii="Times New Roman" w:hAnsi="Times New Roman" w:cs="Times New Roman"/>
          <w:sz w:val="24"/>
          <w:szCs w:val="24"/>
        </w:rPr>
        <w:t xml:space="preserve">(1), 17–40. </w:t>
      </w:r>
      <w:hyperlink r:id="rId7" w:history="1">
        <w:r w:rsidRPr="00F524DD">
          <w:rPr>
            <w:rStyle w:val="Hyperlink"/>
            <w:rFonts w:ascii="Times New Roman" w:hAnsi="Times New Roman" w:cs="Times New Roman"/>
            <w:sz w:val="24"/>
            <w:szCs w:val="24"/>
          </w:rPr>
          <w:t>https://doi.org/10.5465/amr.2002.5922314</w:t>
        </w:r>
      </w:hyperlink>
    </w:p>
    <w:p w14:paraId="4833C874"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Allison, E. H., Perry, A. L., </w:t>
      </w:r>
      <w:proofErr w:type="spellStart"/>
      <w:r w:rsidRPr="00F524DD">
        <w:rPr>
          <w:rFonts w:ascii="Times New Roman" w:hAnsi="Times New Roman" w:cs="Times New Roman"/>
          <w:sz w:val="24"/>
          <w:szCs w:val="24"/>
        </w:rPr>
        <w:t>Badjeck</w:t>
      </w:r>
      <w:proofErr w:type="spellEnd"/>
      <w:r w:rsidRPr="00F524DD">
        <w:rPr>
          <w:rFonts w:ascii="Times New Roman" w:hAnsi="Times New Roman" w:cs="Times New Roman"/>
          <w:sz w:val="24"/>
          <w:szCs w:val="24"/>
        </w:rPr>
        <w:t xml:space="preserve">, M. C., Adger, W. N., Brown, K., Conway, D., Halls, A. S., Pilling, G. M., Reynolds, J. D., Andrew, N. L., &amp; </w:t>
      </w:r>
      <w:proofErr w:type="spellStart"/>
      <w:r w:rsidRPr="00F524DD">
        <w:rPr>
          <w:rFonts w:ascii="Times New Roman" w:hAnsi="Times New Roman" w:cs="Times New Roman"/>
          <w:sz w:val="24"/>
          <w:szCs w:val="24"/>
        </w:rPr>
        <w:t>Dulvy</w:t>
      </w:r>
      <w:proofErr w:type="spellEnd"/>
      <w:r w:rsidRPr="00F524DD">
        <w:rPr>
          <w:rFonts w:ascii="Times New Roman" w:hAnsi="Times New Roman" w:cs="Times New Roman"/>
          <w:sz w:val="24"/>
          <w:szCs w:val="24"/>
        </w:rPr>
        <w:t xml:space="preserve">, N. K. (2012). Vulnerability of national economies to the impacts of climate change on fisheries. </w:t>
      </w:r>
      <w:r w:rsidRPr="00F524DD">
        <w:rPr>
          <w:rFonts w:ascii="Times New Roman" w:hAnsi="Times New Roman" w:cs="Times New Roman"/>
          <w:i/>
          <w:iCs/>
          <w:sz w:val="24"/>
          <w:szCs w:val="24"/>
        </w:rPr>
        <w:t>Fish and Fisheries, 10</w:t>
      </w:r>
      <w:r w:rsidRPr="00F524DD">
        <w:rPr>
          <w:rFonts w:ascii="Times New Roman" w:hAnsi="Times New Roman" w:cs="Times New Roman"/>
          <w:sz w:val="24"/>
          <w:szCs w:val="24"/>
        </w:rPr>
        <w:t xml:space="preserve">(2), 173–196. </w:t>
      </w:r>
      <w:hyperlink r:id="rId8" w:history="1">
        <w:r w:rsidRPr="00F524DD">
          <w:rPr>
            <w:rStyle w:val="Hyperlink"/>
            <w:rFonts w:ascii="Times New Roman" w:hAnsi="Times New Roman" w:cs="Times New Roman"/>
            <w:sz w:val="24"/>
            <w:szCs w:val="24"/>
          </w:rPr>
          <w:t>https://doi.org/10.1111/j.1467-2979.2008.00310.x</w:t>
        </w:r>
      </w:hyperlink>
    </w:p>
    <w:p w14:paraId="059DDCCA"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Arnstein, S. R. (1969). A ladder of citizen participation. </w:t>
      </w:r>
      <w:r w:rsidRPr="00F524DD">
        <w:rPr>
          <w:rFonts w:ascii="Times New Roman" w:hAnsi="Times New Roman" w:cs="Times New Roman"/>
          <w:i/>
          <w:iCs/>
          <w:sz w:val="24"/>
          <w:szCs w:val="24"/>
        </w:rPr>
        <w:t>Journal of the American Institute of Planners, 35</w:t>
      </w:r>
      <w:r w:rsidRPr="00F524DD">
        <w:rPr>
          <w:rFonts w:ascii="Times New Roman" w:hAnsi="Times New Roman" w:cs="Times New Roman"/>
          <w:sz w:val="24"/>
          <w:szCs w:val="24"/>
        </w:rPr>
        <w:t xml:space="preserve">(4), 216–224. </w:t>
      </w:r>
      <w:hyperlink r:id="rId9" w:history="1">
        <w:r w:rsidRPr="00F524DD">
          <w:rPr>
            <w:rStyle w:val="Hyperlink"/>
            <w:rFonts w:ascii="Times New Roman" w:hAnsi="Times New Roman" w:cs="Times New Roman"/>
            <w:sz w:val="24"/>
            <w:szCs w:val="24"/>
          </w:rPr>
          <w:t>https://doi.org/10.1080/01944366908977225</w:t>
        </w:r>
      </w:hyperlink>
    </w:p>
    <w:p w14:paraId="142BF246" w14:textId="77777777" w:rsidR="00242C4F" w:rsidRPr="00F524DD" w:rsidRDefault="00242C4F" w:rsidP="00F524DD">
      <w:pPr>
        <w:spacing w:line="240" w:lineRule="auto"/>
        <w:jc w:val="both"/>
        <w:rPr>
          <w:rFonts w:ascii="Times New Roman" w:hAnsi="Times New Roman" w:cs="Times New Roman"/>
          <w:sz w:val="24"/>
          <w:szCs w:val="24"/>
        </w:rPr>
      </w:pPr>
      <w:proofErr w:type="spellStart"/>
      <w:r w:rsidRPr="00F524DD">
        <w:rPr>
          <w:rFonts w:ascii="Times New Roman" w:hAnsi="Times New Roman" w:cs="Times New Roman"/>
          <w:sz w:val="24"/>
          <w:szCs w:val="24"/>
        </w:rPr>
        <w:lastRenderedPageBreak/>
        <w:t>Béné</w:t>
      </w:r>
      <w:proofErr w:type="spellEnd"/>
      <w:r w:rsidRPr="00F524DD">
        <w:rPr>
          <w:rFonts w:ascii="Times New Roman" w:hAnsi="Times New Roman" w:cs="Times New Roman"/>
          <w:sz w:val="24"/>
          <w:szCs w:val="24"/>
        </w:rPr>
        <w:t xml:space="preserve">, C., Arthur, R., Norbury, H., Allison, E. H., Beveridge, M., Bush, S., Campling, L., </w:t>
      </w:r>
      <w:proofErr w:type="spellStart"/>
      <w:r w:rsidRPr="00F524DD">
        <w:rPr>
          <w:rFonts w:ascii="Times New Roman" w:hAnsi="Times New Roman" w:cs="Times New Roman"/>
          <w:sz w:val="24"/>
          <w:szCs w:val="24"/>
        </w:rPr>
        <w:t>Leschen</w:t>
      </w:r>
      <w:proofErr w:type="spellEnd"/>
      <w:r w:rsidRPr="00F524DD">
        <w:rPr>
          <w:rFonts w:ascii="Times New Roman" w:hAnsi="Times New Roman" w:cs="Times New Roman"/>
          <w:sz w:val="24"/>
          <w:szCs w:val="24"/>
        </w:rPr>
        <w:t xml:space="preserve">, W., Little, D., Squires, D., Thilsted, S. H., Troell, M., &amp; Williams, M. (2016). Contribution of fisheries and aquaculture to food security and poverty reduction: Assessing the current evidence. </w:t>
      </w:r>
      <w:r w:rsidRPr="00F524DD">
        <w:rPr>
          <w:rFonts w:ascii="Times New Roman" w:hAnsi="Times New Roman" w:cs="Times New Roman"/>
          <w:i/>
          <w:iCs/>
          <w:sz w:val="24"/>
          <w:szCs w:val="24"/>
        </w:rPr>
        <w:t>World Development, 79</w:t>
      </w:r>
      <w:r w:rsidRPr="00F524DD">
        <w:rPr>
          <w:rFonts w:ascii="Times New Roman" w:hAnsi="Times New Roman" w:cs="Times New Roman"/>
          <w:sz w:val="24"/>
          <w:szCs w:val="24"/>
        </w:rPr>
        <w:t xml:space="preserve">, 177–196. </w:t>
      </w:r>
      <w:hyperlink r:id="rId10" w:history="1">
        <w:r w:rsidRPr="00F524DD">
          <w:rPr>
            <w:rStyle w:val="Hyperlink"/>
            <w:rFonts w:ascii="Times New Roman" w:hAnsi="Times New Roman" w:cs="Times New Roman"/>
            <w:sz w:val="24"/>
            <w:szCs w:val="24"/>
          </w:rPr>
          <w:t>https://doi.org/10.1016/j.worlddev.2015.11.007</w:t>
        </w:r>
      </w:hyperlink>
    </w:p>
    <w:p w14:paraId="74FA2671"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Bennett, N. J., Cisneros-Montemayor, A. M., Blythe, J., Silver, J. J., Singh, G., Andrews, N., </w:t>
      </w:r>
      <w:proofErr w:type="spellStart"/>
      <w:r w:rsidRPr="00F524DD">
        <w:rPr>
          <w:rFonts w:ascii="Times New Roman" w:hAnsi="Times New Roman" w:cs="Times New Roman"/>
          <w:sz w:val="24"/>
          <w:szCs w:val="24"/>
        </w:rPr>
        <w:t>Calò</w:t>
      </w:r>
      <w:proofErr w:type="spellEnd"/>
      <w:r w:rsidRPr="00F524DD">
        <w:rPr>
          <w:rFonts w:ascii="Times New Roman" w:hAnsi="Times New Roman" w:cs="Times New Roman"/>
          <w:sz w:val="24"/>
          <w:szCs w:val="24"/>
        </w:rPr>
        <w:t xml:space="preserve">, A., Christie, P., Di Franco, A., Finkbeiner, E. M., Gelcich, S., Guidetti, P., Harper, S., Hotte, N., Kittinger, J. N., Koehn, J. Z., McKinley, E., Moore, M. L., Murray, G., … Sumaila, U. R. (2019). Towards a sustainable and equitable blue economy. </w:t>
      </w:r>
      <w:r w:rsidRPr="00F524DD">
        <w:rPr>
          <w:rFonts w:ascii="Times New Roman" w:hAnsi="Times New Roman" w:cs="Times New Roman"/>
          <w:i/>
          <w:iCs/>
          <w:sz w:val="24"/>
          <w:szCs w:val="24"/>
        </w:rPr>
        <w:t>Nature Sustainability, 2</w:t>
      </w:r>
      <w:r w:rsidRPr="00F524DD">
        <w:rPr>
          <w:rFonts w:ascii="Times New Roman" w:hAnsi="Times New Roman" w:cs="Times New Roman"/>
          <w:sz w:val="24"/>
          <w:szCs w:val="24"/>
        </w:rPr>
        <w:t xml:space="preserve">, 991–993. </w:t>
      </w:r>
      <w:hyperlink r:id="rId11" w:history="1">
        <w:r w:rsidRPr="00F524DD">
          <w:rPr>
            <w:rStyle w:val="Hyperlink"/>
            <w:rFonts w:ascii="Times New Roman" w:hAnsi="Times New Roman" w:cs="Times New Roman"/>
            <w:sz w:val="24"/>
            <w:szCs w:val="24"/>
          </w:rPr>
          <w:t>https://doi.org/10.1038/s41893-019-0404-1</w:t>
        </w:r>
      </w:hyperlink>
    </w:p>
    <w:p w14:paraId="3BA1B40A"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Cornwall, A. (2008). Unpacking “participation”: Models, meanings and practices. </w:t>
      </w:r>
      <w:r w:rsidRPr="00F524DD">
        <w:rPr>
          <w:rFonts w:ascii="Times New Roman" w:hAnsi="Times New Roman" w:cs="Times New Roman"/>
          <w:i/>
          <w:iCs/>
          <w:sz w:val="24"/>
          <w:szCs w:val="24"/>
        </w:rPr>
        <w:t>Community Development Journal, 43</w:t>
      </w:r>
      <w:r w:rsidRPr="00F524DD">
        <w:rPr>
          <w:rFonts w:ascii="Times New Roman" w:hAnsi="Times New Roman" w:cs="Times New Roman"/>
          <w:sz w:val="24"/>
          <w:szCs w:val="24"/>
        </w:rPr>
        <w:t xml:space="preserve">(3), 269–283. </w:t>
      </w:r>
      <w:hyperlink r:id="rId12" w:history="1">
        <w:r w:rsidRPr="00F524DD">
          <w:rPr>
            <w:rStyle w:val="Hyperlink"/>
            <w:rFonts w:ascii="Times New Roman" w:hAnsi="Times New Roman" w:cs="Times New Roman"/>
            <w:sz w:val="24"/>
            <w:szCs w:val="24"/>
          </w:rPr>
          <w:t>https://doi.org/10.1093/cdj/bsn010</w:t>
        </w:r>
      </w:hyperlink>
    </w:p>
    <w:p w14:paraId="4584A831"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Food and Agriculture Organization of the United Nations. (2018). </w:t>
      </w:r>
      <w:r w:rsidRPr="00F524DD">
        <w:rPr>
          <w:rFonts w:ascii="Times New Roman" w:hAnsi="Times New Roman" w:cs="Times New Roman"/>
          <w:i/>
          <w:iCs/>
          <w:sz w:val="24"/>
          <w:szCs w:val="24"/>
        </w:rPr>
        <w:t>The state of world fisheries and aquaculture 2018</w:t>
      </w:r>
      <w:r w:rsidRPr="00F524DD">
        <w:rPr>
          <w:rFonts w:ascii="Times New Roman" w:hAnsi="Times New Roman" w:cs="Times New Roman"/>
          <w:sz w:val="24"/>
          <w:szCs w:val="24"/>
        </w:rPr>
        <w:t>. FAO.</w:t>
      </w:r>
    </w:p>
    <w:p w14:paraId="0D35415C"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Food and Agriculture Organization of the United Nations. (2020). </w:t>
      </w:r>
      <w:r w:rsidRPr="00F524DD">
        <w:rPr>
          <w:rFonts w:ascii="Times New Roman" w:hAnsi="Times New Roman" w:cs="Times New Roman"/>
          <w:i/>
          <w:iCs/>
          <w:sz w:val="24"/>
          <w:szCs w:val="24"/>
        </w:rPr>
        <w:t>Blue growth initiative: Supporting sustainable fisheries and aquaculture</w:t>
      </w:r>
      <w:r w:rsidRPr="00F524DD">
        <w:rPr>
          <w:rFonts w:ascii="Times New Roman" w:hAnsi="Times New Roman" w:cs="Times New Roman"/>
          <w:sz w:val="24"/>
          <w:szCs w:val="24"/>
        </w:rPr>
        <w:t>. FAO.</w:t>
      </w:r>
    </w:p>
    <w:p w14:paraId="4F192CEE"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International Union for Conservation of Nature. (2023). </w:t>
      </w:r>
      <w:r w:rsidRPr="00F524DD">
        <w:rPr>
          <w:rFonts w:ascii="Times New Roman" w:hAnsi="Times New Roman" w:cs="Times New Roman"/>
          <w:i/>
          <w:iCs/>
          <w:sz w:val="24"/>
          <w:szCs w:val="24"/>
        </w:rPr>
        <w:t>Community-led approaches for sustainable blue economy development in East Africa</w:t>
      </w:r>
      <w:r w:rsidRPr="00F524DD">
        <w:rPr>
          <w:rFonts w:ascii="Times New Roman" w:hAnsi="Times New Roman" w:cs="Times New Roman"/>
          <w:sz w:val="24"/>
          <w:szCs w:val="24"/>
        </w:rPr>
        <w:t>. IUCN.</w:t>
      </w:r>
    </w:p>
    <w:p w14:paraId="13DD7D61"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Karlan, D., Ratan, A. L., &amp; Zinman, J. (2014). Savings by and for the poor: A research review and agenda. </w:t>
      </w:r>
      <w:r w:rsidRPr="00F524DD">
        <w:rPr>
          <w:rFonts w:ascii="Times New Roman" w:hAnsi="Times New Roman" w:cs="Times New Roman"/>
          <w:i/>
          <w:iCs/>
          <w:sz w:val="24"/>
          <w:szCs w:val="24"/>
        </w:rPr>
        <w:t>Review of Income and Wealth, 60</w:t>
      </w:r>
      <w:r w:rsidRPr="00F524DD">
        <w:rPr>
          <w:rFonts w:ascii="Times New Roman" w:hAnsi="Times New Roman" w:cs="Times New Roman"/>
          <w:sz w:val="24"/>
          <w:szCs w:val="24"/>
        </w:rPr>
        <w:t xml:space="preserve">(1), 36–78. </w:t>
      </w:r>
      <w:hyperlink r:id="rId13" w:history="1">
        <w:r w:rsidRPr="00F524DD">
          <w:rPr>
            <w:rStyle w:val="Hyperlink"/>
            <w:rFonts w:ascii="Times New Roman" w:hAnsi="Times New Roman" w:cs="Times New Roman"/>
            <w:sz w:val="24"/>
            <w:szCs w:val="24"/>
          </w:rPr>
          <w:t>https://doi.org/10.1111/roiw.12101</w:t>
        </w:r>
      </w:hyperlink>
    </w:p>
    <w:p w14:paraId="331FC0B0"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Mansuri, G., &amp; Rao, V. (2013). </w:t>
      </w:r>
      <w:r w:rsidRPr="00F524DD">
        <w:rPr>
          <w:rFonts w:ascii="Times New Roman" w:hAnsi="Times New Roman" w:cs="Times New Roman"/>
          <w:i/>
          <w:iCs/>
          <w:sz w:val="24"/>
          <w:szCs w:val="24"/>
        </w:rPr>
        <w:t>Localizing development: Does participation work?</w:t>
      </w:r>
      <w:r w:rsidRPr="00F524DD">
        <w:rPr>
          <w:rFonts w:ascii="Times New Roman" w:hAnsi="Times New Roman" w:cs="Times New Roman"/>
          <w:sz w:val="24"/>
          <w:szCs w:val="24"/>
        </w:rPr>
        <w:t xml:space="preserve"> World Bank. </w:t>
      </w:r>
      <w:hyperlink r:id="rId14" w:history="1">
        <w:r w:rsidRPr="00F524DD">
          <w:rPr>
            <w:rStyle w:val="Hyperlink"/>
            <w:rFonts w:ascii="Times New Roman" w:hAnsi="Times New Roman" w:cs="Times New Roman"/>
            <w:sz w:val="24"/>
            <w:szCs w:val="24"/>
          </w:rPr>
          <w:t>https://doi.org/10.1596/978-0-8213-8256-1</w:t>
        </w:r>
      </w:hyperlink>
    </w:p>
    <w:p w14:paraId="64300098" w14:textId="77777777" w:rsidR="00242C4F" w:rsidRPr="00F524DD" w:rsidRDefault="00242C4F" w:rsidP="00F524DD">
      <w:pPr>
        <w:spacing w:line="240" w:lineRule="auto"/>
        <w:jc w:val="both"/>
        <w:rPr>
          <w:rFonts w:ascii="Times New Roman" w:hAnsi="Times New Roman" w:cs="Times New Roman"/>
          <w:sz w:val="24"/>
          <w:szCs w:val="24"/>
        </w:rPr>
      </w:pPr>
      <w:proofErr w:type="spellStart"/>
      <w:r w:rsidRPr="00F524DD">
        <w:rPr>
          <w:rFonts w:ascii="Times New Roman" w:hAnsi="Times New Roman" w:cs="Times New Roman"/>
          <w:sz w:val="24"/>
          <w:szCs w:val="24"/>
        </w:rPr>
        <w:t>Nahapiet</w:t>
      </w:r>
      <w:proofErr w:type="spellEnd"/>
      <w:r w:rsidRPr="00F524DD">
        <w:rPr>
          <w:rFonts w:ascii="Times New Roman" w:hAnsi="Times New Roman" w:cs="Times New Roman"/>
          <w:sz w:val="24"/>
          <w:szCs w:val="24"/>
        </w:rPr>
        <w:t xml:space="preserve">, J., &amp; Ghoshal, S. (1998). Social capital, intellectual capital, and the organizational advantage. </w:t>
      </w:r>
      <w:r w:rsidRPr="00F524DD">
        <w:rPr>
          <w:rFonts w:ascii="Times New Roman" w:hAnsi="Times New Roman" w:cs="Times New Roman"/>
          <w:i/>
          <w:iCs/>
          <w:sz w:val="24"/>
          <w:szCs w:val="24"/>
        </w:rPr>
        <w:t>Academy of Management Review, 23</w:t>
      </w:r>
      <w:r w:rsidRPr="00F524DD">
        <w:rPr>
          <w:rFonts w:ascii="Times New Roman" w:hAnsi="Times New Roman" w:cs="Times New Roman"/>
          <w:sz w:val="24"/>
          <w:szCs w:val="24"/>
        </w:rPr>
        <w:t xml:space="preserve">(2), 242–266. </w:t>
      </w:r>
      <w:hyperlink r:id="rId15" w:history="1">
        <w:r w:rsidRPr="00F524DD">
          <w:rPr>
            <w:rStyle w:val="Hyperlink"/>
            <w:rFonts w:ascii="Times New Roman" w:hAnsi="Times New Roman" w:cs="Times New Roman"/>
            <w:sz w:val="24"/>
            <w:szCs w:val="24"/>
          </w:rPr>
          <w:t>https://doi.org/10.5465/amr.1998.533225</w:t>
        </w:r>
      </w:hyperlink>
    </w:p>
    <w:p w14:paraId="2093AD33"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National Environment Management Council. (2024). </w:t>
      </w:r>
      <w:r w:rsidRPr="00F524DD">
        <w:rPr>
          <w:rFonts w:ascii="Times New Roman" w:hAnsi="Times New Roman" w:cs="Times New Roman"/>
          <w:i/>
          <w:iCs/>
          <w:sz w:val="24"/>
          <w:szCs w:val="24"/>
        </w:rPr>
        <w:t>State of the coast report for mainland Tanzania</w:t>
      </w:r>
      <w:r w:rsidRPr="00F524DD">
        <w:rPr>
          <w:rFonts w:ascii="Times New Roman" w:hAnsi="Times New Roman" w:cs="Times New Roman"/>
          <w:sz w:val="24"/>
          <w:szCs w:val="24"/>
        </w:rPr>
        <w:t>. Government of Tanzania.</w:t>
      </w:r>
    </w:p>
    <w:p w14:paraId="5C68392B" w14:textId="77777777" w:rsidR="00242C4F" w:rsidRPr="00F524DD" w:rsidRDefault="00242C4F" w:rsidP="00F524DD">
      <w:pPr>
        <w:spacing w:line="240" w:lineRule="auto"/>
        <w:jc w:val="both"/>
        <w:rPr>
          <w:rFonts w:ascii="Times New Roman" w:hAnsi="Times New Roman" w:cs="Times New Roman"/>
          <w:sz w:val="24"/>
          <w:szCs w:val="24"/>
        </w:rPr>
      </w:pPr>
      <w:proofErr w:type="spellStart"/>
      <w:r w:rsidRPr="00F524DD">
        <w:rPr>
          <w:rFonts w:ascii="Times New Roman" w:hAnsi="Times New Roman" w:cs="Times New Roman"/>
          <w:sz w:val="24"/>
          <w:szCs w:val="24"/>
        </w:rPr>
        <w:t>Organisation</w:t>
      </w:r>
      <w:proofErr w:type="spellEnd"/>
      <w:r w:rsidRPr="00F524DD">
        <w:rPr>
          <w:rFonts w:ascii="Times New Roman" w:hAnsi="Times New Roman" w:cs="Times New Roman"/>
          <w:sz w:val="24"/>
          <w:szCs w:val="24"/>
        </w:rPr>
        <w:t xml:space="preserve"> for Economic Co-operation and Development. (2016). </w:t>
      </w:r>
      <w:r w:rsidRPr="00F524DD">
        <w:rPr>
          <w:rFonts w:ascii="Times New Roman" w:hAnsi="Times New Roman" w:cs="Times New Roman"/>
          <w:i/>
          <w:iCs/>
          <w:sz w:val="24"/>
          <w:szCs w:val="24"/>
        </w:rPr>
        <w:t>The ocean economy in 2030</w:t>
      </w:r>
      <w:r w:rsidRPr="00F524DD">
        <w:rPr>
          <w:rFonts w:ascii="Times New Roman" w:hAnsi="Times New Roman" w:cs="Times New Roman"/>
          <w:sz w:val="24"/>
          <w:szCs w:val="24"/>
        </w:rPr>
        <w:t xml:space="preserve">. OECD Publishing. </w:t>
      </w:r>
      <w:hyperlink r:id="rId16" w:history="1">
        <w:r w:rsidRPr="00F524DD">
          <w:rPr>
            <w:rStyle w:val="Hyperlink"/>
            <w:rFonts w:ascii="Times New Roman" w:hAnsi="Times New Roman" w:cs="Times New Roman"/>
            <w:sz w:val="24"/>
            <w:szCs w:val="24"/>
          </w:rPr>
          <w:t>https://doi.org/10.1787/9789264251724-en</w:t>
        </w:r>
      </w:hyperlink>
    </w:p>
    <w:p w14:paraId="256616F1"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Ostrom, E. (1990). </w:t>
      </w:r>
      <w:r w:rsidRPr="00F524DD">
        <w:rPr>
          <w:rFonts w:ascii="Times New Roman" w:hAnsi="Times New Roman" w:cs="Times New Roman"/>
          <w:i/>
          <w:iCs/>
          <w:sz w:val="24"/>
          <w:szCs w:val="24"/>
        </w:rPr>
        <w:t>Governing the commons: The evolution of institutions for collective action</w:t>
      </w:r>
      <w:r w:rsidRPr="00F524DD">
        <w:rPr>
          <w:rFonts w:ascii="Times New Roman" w:hAnsi="Times New Roman" w:cs="Times New Roman"/>
          <w:sz w:val="24"/>
          <w:szCs w:val="24"/>
        </w:rPr>
        <w:t>. Cambridge University Press.</w:t>
      </w:r>
    </w:p>
    <w:p w14:paraId="588AD9BD"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Pretty, J. (2003). Social capital and the collective management of resources. </w:t>
      </w:r>
      <w:r w:rsidRPr="00F524DD">
        <w:rPr>
          <w:rFonts w:ascii="Times New Roman" w:hAnsi="Times New Roman" w:cs="Times New Roman"/>
          <w:i/>
          <w:iCs/>
          <w:sz w:val="24"/>
          <w:szCs w:val="24"/>
        </w:rPr>
        <w:t>Science, 302</w:t>
      </w:r>
      <w:r w:rsidRPr="00F524DD">
        <w:rPr>
          <w:rFonts w:ascii="Times New Roman" w:hAnsi="Times New Roman" w:cs="Times New Roman"/>
          <w:sz w:val="24"/>
          <w:szCs w:val="24"/>
        </w:rPr>
        <w:t xml:space="preserve">(5652), 1912–1914. </w:t>
      </w:r>
      <w:hyperlink r:id="rId17" w:history="1">
        <w:r w:rsidRPr="00F524DD">
          <w:rPr>
            <w:rStyle w:val="Hyperlink"/>
            <w:rFonts w:ascii="Times New Roman" w:hAnsi="Times New Roman" w:cs="Times New Roman"/>
            <w:sz w:val="24"/>
            <w:szCs w:val="24"/>
          </w:rPr>
          <w:t>https://doi.org/10.1126/science.1090847</w:t>
        </w:r>
      </w:hyperlink>
    </w:p>
    <w:p w14:paraId="61D01EB8"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Putnam, R. D. (1993). </w:t>
      </w:r>
      <w:r w:rsidRPr="00F524DD">
        <w:rPr>
          <w:rFonts w:ascii="Times New Roman" w:hAnsi="Times New Roman" w:cs="Times New Roman"/>
          <w:i/>
          <w:iCs/>
          <w:sz w:val="24"/>
          <w:szCs w:val="24"/>
        </w:rPr>
        <w:t>Making democracy work: Civic traditions in modern Italy</w:t>
      </w:r>
      <w:r w:rsidRPr="00F524DD">
        <w:rPr>
          <w:rFonts w:ascii="Times New Roman" w:hAnsi="Times New Roman" w:cs="Times New Roman"/>
          <w:sz w:val="24"/>
          <w:szCs w:val="24"/>
        </w:rPr>
        <w:t>. Princeton University Press.</w:t>
      </w:r>
    </w:p>
    <w:p w14:paraId="08376ABD"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lastRenderedPageBreak/>
        <w:t xml:space="preserve">Silver, J. J., Gray, N. J., Campbell, L. M., Fairbanks, L. W., &amp; Gruby, R. L. (2015). Blue economy and competing discourses in international oceans governance. </w:t>
      </w:r>
      <w:r w:rsidRPr="00F524DD">
        <w:rPr>
          <w:rFonts w:ascii="Times New Roman" w:hAnsi="Times New Roman" w:cs="Times New Roman"/>
          <w:i/>
          <w:iCs/>
          <w:sz w:val="24"/>
          <w:szCs w:val="24"/>
        </w:rPr>
        <w:t>Journal of Environment &amp; Development, 24</w:t>
      </w:r>
      <w:r w:rsidRPr="00F524DD">
        <w:rPr>
          <w:rFonts w:ascii="Times New Roman" w:hAnsi="Times New Roman" w:cs="Times New Roman"/>
          <w:sz w:val="24"/>
          <w:szCs w:val="24"/>
        </w:rPr>
        <w:t xml:space="preserve">(2), 135–160. </w:t>
      </w:r>
      <w:hyperlink r:id="rId18" w:history="1">
        <w:r w:rsidRPr="00F524DD">
          <w:rPr>
            <w:rStyle w:val="Hyperlink"/>
            <w:rFonts w:ascii="Times New Roman" w:hAnsi="Times New Roman" w:cs="Times New Roman"/>
            <w:sz w:val="24"/>
            <w:szCs w:val="24"/>
          </w:rPr>
          <w:t>https://doi.org/10.1177/1070496515580797</w:t>
        </w:r>
      </w:hyperlink>
    </w:p>
    <w:p w14:paraId="51068BBB"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Stam, E., </w:t>
      </w:r>
      <w:proofErr w:type="spellStart"/>
      <w:r w:rsidRPr="00F524DD">
        <w:rPr>
          <w:rFonts w:ascii="Times New Roman" w:hAnsi="Times New Roman" w:cs="Times New Roman"/>
          <w:sz w:val="24"/>
          <w:szCs w:val="24"/>
        </w:rPr>
        <w:t>Arzlanian</w:t>
      </w:r>
      <w:proofErr w:type="spellEnd"/>
      <w:r w:rsidRPr="00F524DD">
        <w:rPr>
          <w:rFonts w:ascii="Times New Roman" w:hAnsi="Times New Roman" w:cs="Times New Roman"/>
          <w:sz w:val="24"/>
          <w:szCs w:val="24"/>
        </w:rPr>
        <w:t xml:space="preserve">, S., &amp; Elfring, T. (2014). Social capital of entrepreneurs and small firm performance. </w:t>
      </w:r>
      <w:r w:rsidRPr="00F524DD">
        <w:rPr>
          <w:rFonts w:ascii="Times New Roman" w:hAnsi="Times New Roman" w:cs="Times New Roman"/>
          <w:i/>
          <w:iCs/>
          <w:sz w:val="24"/>
          <w:szCs w:val="24"/>
        </w:rPr>
        <w:t>Journal of Business Venturing, 29</w:t>
      </w:r>
      <w:r w:rsidRPr="00F524DD">
        <w:rPr>
          <w:rFonts w:ascii="Times New Roman" w:hAnsi="Times New Roman" w:cs="Times New Roman"/>
          <w:sz w:val="24"/>
          <w:szCs w:val="24"/>
        </w:rPr>
        <w:t xml:space="preserve">(1), 152–173. </w:t>
      </w:r>
      <w:hyperlink r:id="rId19" w:history="1">
        <w:r w:rsidRPr="00F524DD">
          <w:rPr>
            <w:rStyle w:val="Hyperlink"/>
            <w:rFonts w:ascii="Times New Roman" w:hAnsi="Times New Roman" w:cs="Times New Roman"/>
            <w:sz w:val="24"/>
            <w:szCs w:val="24"/>
          </w:rPr>
          <w:t>https://doi.org/10.1016/j.jbusvent.2013.01.003</w:t>
        </w:r>
      </w:hyperlink>
    </w:p>
    <w:p w14:paraId="032B722F"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United Nations Development </w:t>
      </w:r>
      <w:proofErr w:type="spellStart"/>
      <w:r w:rsidRPr="00F524DD">
        <w:rPr>
          <w:rFonts w:ascii="Times New Roman" w:hAnsi="Times New Roman" w:cs="Times New Roman"/>
          <w:sz w:val="24"/>
          <w:szCs w:val="24"/>
        </w:rPr>
        <w:t>Programme</w:t>
      </w:r>
      <w:proofErr w:type="spellEnd"/>
      <w:r w:rsidRPr="00F524DD">
        <w:rPr>
          <w:rFonts w:ascii="Times New Roman" w:hAnsi="Times New Roman" w:cs="Times New Roman"/>
          <w:sz w:val="24"/>
          <w:szCs w:val="24"/>
        </w:rPr>
        <w:t xml:space="preserve">. (2024). </w:t>
      </w:r>
      <w:r w:rsidRPr="00F524DD">
        <w:rPr>
          <w:rFonts w:ascii="Times New Roman" w:hAnsi="Times New Roman" w:cs="Times New Roman"/>
          <w:i/>
          <w:iCs/>
          <w:sz w:val="24"/>
          <w:szCs w:val="24"/>
        </w:rPr>
        <w:t>Inclusive blue economy initiatives for coastal communities in Tanzania</w:t>
      </w:r>
      <w:r w:rsidRPr="00F524DD">
        <w:rPr>
          <w:rFonts w:ascii="Times New Roman" w:hAnsi="Times New Roman" w:cs="Times New Roman"/>
          <w:sz w:val="24"/>
          <w:szCs w:val="24"/>
        </w:rPr>
        <w:t>. UNDP Tanzania.</w:t>
      </w:r>
    </w:p>
    <w:p w14:paraId="34C8221B"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United Republic of Tanzania. (2021). </w:t>
      </w:r>
      <w:r w:rsidRPr="00F524DD">
        <w:rPr>
          <w:rFonts w:ascii="Times New Roman" w:hAnsi="Times New Roman" w:cs="Times New Roman"/>
          <w:i/>
          <w:iCs/>
          <w:sz w:val="24"/>
          <w:szCs w:val="24"/>
        </w:rPr>
        <w:t>Blue economy policy framework</w:t>
      </w:r>
      <w:r w:rsidRPr="00F524DD">
        <w:rPr>
          <w:rFonts w:ascii="Times New Roman" w:hAnsi="Times New Roman" w:cs="Times New Roman"/>
          <w:sz w:val="24"/>
          <w:szCs w:val="24"/>
        </w:rPr>
        <w:t>. Government of Tanzania.</w:t>
      </w:r>
    </w:p>
    <w:p w14:paraId="7CD14604"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Venkatraman, N., &amp; Ramanujam, V. (1986). Measurement of business performance in strategy research. </w:t>
      </w:r>
      <w:r w:rsidRPr="00F524DD">
        <w:rPr>
          <w:rFonts w:ascii="Times New Roman" w:hAnsi="Times New Roman" w:cs="Times New Roman"/>
          <w:i/>
          <w:iCs/>
          <w:sz w:val="24"/>
          <w:szCs w:val="24"/>
        </w:rPr>
        <w:t>Academy of Management Review, 11</w:t>
      </w:r>
      <w:r w:rsidRPr="00F524DD">
        <w:rPr>
          <w:rFonts w:ascii="Times New Roman" w:hAnsi="Times New Roman" w:cs="Times New Roman"/>
          <w:sz w:val="24"/>
          <w:szCs w:val="24"/>
        </w:rPr>
        <w:t xml:space="preserve">(4), 801–814. </w:t>
      </w:r>
      <w:hyperlink r:id="rId20" w:history="1">
        <w:r w:rsidRPr="00F524DD">
          <w:rPr>
            <w:rStyle w:val="Hyperlink"/>
            <w:rFonts w:ascii="Times New Roman" w:hAnsi="Times New Roman" w:cs="Times New Roman"/>
            <w:sz w:val="24"/>
            <w:szCs w:val="24"/>
          </w:rPr>
          <w:t>https://doi.org/10.5465/amr.1986.4283976</w:t>
        </w:r>
      </w:hyperlink>
    </w:p>
    <w:p w14:paraId="037800FE"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Wiklund, J., &amp; Shepherd, D. (2005). Entrepreneurial orientation and small business performance. </w:t>
      </w:r>
      <w:r w:rsidRPr="00F524DD">
        <w:rPr>
          <w:rFonts w:ascii="Times New Roman" w:hAnsi="Times New Roman" w:cs="Times New Roman"/>
          <w:i/>
          <w:iCs/>
          <w:sz w:val="24"/>
          <w:szCs w:val="24"/>
        </w:rPr>
        <w:t>Journal of Business Venturing, 20</w:t>
      </w:r>
      <w:r w:rsidRPr="00F524DD">
        <w:rPr>
          <w:rFonts w:ascii="Times New Roman" w:hAnsi="Times New Roman" w:cs="Times New Roman"/>
          <w:sz w:val="24"/>
          <w:szCs w:val="24"/>
        </w:rPr>
        <w:t xml:space="preserve">(1), 71–91. </w:t>
      </w:r>
      <w:hyperlink r:id="rId21" w:history="1">
        <w:r w:rsidRPr="00F524DD">
          <w:rPr>
            <w:rStyle w:val="Hyperlink"/>
            <w:rFonts w:ascii="Times New Roman" w:hAnsi="Times New Roman" w:cs="Times New Roman"/>
            <w:sz w:val="24"/>
            <w:szCs w:val="24"/>
          </w:rPr>
          <w:t>https://doi.org/10.1016/j.jbusvent.2004.01.001</w:t>
        </w:r>
      </w:hyperlink>
    </w:p>
    <w:p w14:paraId="2DCAB55D"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Woolcock, M., &amp; Narayan, D. (2000). Social capital: Implications for development theory, research, and policy. </w:t>
      </w:r>
      <w:r w:rsidRPr="00F524DD">
        <w:rPr>
          <w:rFonts w:ascii="Times New Roman" w:hAnsi="Times New Roman" w:cs="Times New Roman"/>
          <w:i/>
          <w:iCs/>
          <w:sz w:val="24"/>
          <w:szCs w:val="24"/>
        </w:rPr>
        <w:t>World Bank Research Observer, 15</w:t>
      </w:r>
      <w:r w:rsidRPr="00F524DD">
        <w:rPr>
          <w:rFonts w:ascii="Times New Roman" w:hAnsi="Times New Roman" w:cs="Times New Roman"/>
          <w:sz w:val="24"/>
          <w:szCs w:val="24"/>
        </w:rPr>
        <w:t xml:space="preserve">(2), 225–249. </w:t>
      </w:r>
      <w:hyperlink r:id="rId22" w:history="1">
        <w:r w:rsidRPr="00F524DD">
          <w:rPr>
            <w:rStyle w:val="Hyperlink"/>
            <w:rFonts w:ascii="Times New Roman" w:hAnsi="Times New Roman" w:cs="Times New Roman"/>
            <w:sz w:val="24"/>
            <w:szCs w:val="24"/>
          </w:rPr>
          <w:t>https://doi.org/10.1093/wbro/15.2.225</w:t>
        </w:r>
      </w:hyperlink>
    </w:p>
    <w:p w14:paraId="549C8740"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World Bank. (2017). </w:t>
      </w:r>
      <w:r w:rsidRPr="00F524DD">
        <w:rPr>
          <w:rFonts w:ascii="Times New Roman" w:hAnsi="Times New Roman" w:cs="Times New Roman"/>
          <w:i/>
          <w:iCs/>
          <w:sz w:val="24"/>
          <w:szCs w:val="24"/>
        </w:rPr>
        <w:t>The potential of the blue economy: Increasing long-term benefits of the sustainable use of marine resources for small island developing states and coastal least developed countries</w:t>
      </w:r>
      <w:r w:rsidRPr="00F524DD">
        <w:rPr>
          <w:rFonts w:ascii="Times New Roman" w:hAnsi="Times New Roman" w:cs="Times New Roman"/>
          <w:sz w:val="24"/>
          <w:szCs w:val="24"/>
        </w:rPr>
        <w:t>. World Bank.</w:t>
      </w:r>
    </w:p>
    <w:p w14:paraId="13FD939F" w14:textId="77777777" w:rsidR="00242C4F" w:rsidRPr="00F524DD" w:rsidRDefault="00242C4F" w:rsidP="00F524DD">
      <w:pPr>
        <w:spacing w:line="240" w:lineRule="auto"/>
        <w:jc w:val="both"/>
        <w:rPr>
          <w:rFonts w:ascii="Times New Roman" w:hAnsi="Times New Roman" w:cs="Times New Roman"/>
          <w:sz w:val="24"/>
          <w:szCs w:val="24"/>
        </w:rPr>
      </w:pPr>
      <w:r w:rsidRPr="00F524DD">
        <w:rPr>
          <w:rFonts w:ascii="Times New Roman" w:hAnsi="Times New Roman" w:cs="Times New Roman"/>
          <w:sz w:val="24"/>
          <w:szCs w:val="24"/>
        </w:rPr>
        <w:t xml:space="preserve">World Bank. (2023). </w:t>
      </w:r>
      <w:r w:rsidRPr="00F524DD">
        <w:rPr>
          <w:rFonts w:ascii="Times New Roman" w:hAnsi="Times New Roman" w:cs="Times New Roman"/>
          <w:i/>
          <w:iCs/>
          <w:sz w:val="24"/>
          <w:szCs w:val="24"/>
        </w:rPr>
        <w:t>Transforming Tanzania’s coastal and marine economy: Policy and investment priorities</w:t>
      </w:r>
      <w:r w:rsidRPr="00F524DD">
        <w:rPr>
          <w:rFonts w:ascii="Times New Roman" w:hAnsi="Times New Roman" w:cs="Times New Roman"/>
          <w:sz w:val="24"/>
          <w:szCs w:val="24"/>
        </w:rPr>
        <w:t>. World Bank Group.</w:t>
      </w:r>
    </w:p>
    <w:p w14:paraId="0214E76C" w14:textId="77777777" w:rsidR="00242C4F" w:rsidRPr="00F524DD" w:rsidRDefault="00242C4F" w:rsidP="00F524DD">
      <w:pPr>
        <w:spacing w:line="240" w:lineRule="auto"/>
        <w:jc w:val="both"/>
        <w:rPr>
          <w:rFonts w:ascii="Times New Roman" w:hAnsi="Times New Roman" w:cs="Times New Roman"/>
          <w:sz w:val="24"/>
          <w:szCs w:val="24"/>
        </w:rPr>
      </w:pPr>
    </w:p>
    <w:p w14:paraId="76FED799" w14:textId="77777777" w:rsidR="00D50185" w:rsidRPr="00935690" w:rsidRDefault="00CC1E26" w:rsidP="00981D71">
      <w:pPr>
        <w:spacing w:line="240" w:lineRule="auto"/>
        <w:jc w:val="both"/>
        <w:rPr>
          <w:rFonts w:ascii="Times New Roman" w:hAnsi="Times New Roman" w:cs="Times New Roman"/>
          <w:sz w:val="24"/>
          <w:szCs w:val="24"/>
        </w:rPr>
      </w:pPr>
      <w:r>
        <w:br/>
      </w:r>
    </w:p>
    <w:sectPr w:rsidR="00D50185" w:rsidRPr="00935690">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CD9F4" w14:textId="77777777" w:rsidR="0050658A" w:rsidRDefault="0050658A" w:rsidP="00B82C1F">
      <w:pPr>
        <w:spacing w:after="0" w:line="240" w:lineRule="auto"/>
      </w:pPr>
      <w:r>
        <w:separator/>
      </w:r>
    </w:p>
  </w:endnote>
  <w:endnote w:type="continuationSeparator" w:id="0">
    <w:p w14:paraId="1048EA49" w14:textId="77777777" w:rsidR="0050658A" w:rsidRDefault="0050658A" w:rsidP="00B8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ED083" w14:textId="77777777" w:rsidR="00E731ED" w:rsidRDefault="00E73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803101"/>
      <w:docPartObj>
        <w:docPartGallery w:val="Page Numbers (Bottom of Page)"/>
        <w:docPartUnique/>
      </w:docPartObj>
    </w:sdtPr>
    <w:sdtEndPr>
      <w:rPr>
        <w:noProof/>
      </w:rPr>
    </w:sdtEndPr>
    <w:sdtContent>
      <w:p w14:paraId="50041B4E" w14:textId="77777777" w:rsidR="00B82C1F" w:rsidRDefault="00B82C1F">
        <w:pPr>
          <w:pStyle w:val="Footer"/>
          <w:jc w:val="center"/>
        </w:pPr>
        <w:r>
          <w:fldChar w:fldCharType="begin"/>
        </w:r>
        <w:r>
          <w:instrText xml:space="preserve"> PAGE   \* MERGEFORMAT </w:instrText>
        </w:r>
        <w:r>
          <w:fldChar w:fldCharType="separate"/>
        </w:r>
        <w:r w:rsidR="00BD7697">
          <w:rPr>
            <w:noProof/>
          </w:rPr>
          <w:t>17</w:t>
        </w:r>
        <w:r>
          <w:rPr>
            <w:noProof/>
          </w:rPr>
          <w:fldChar w:fldCharType="end"/>
        </w:r>
      </w:p>
    </w:sdtContent>
  </w:sdt>
  <w:p w14:paraId="48985847" w14:textId="77777777" w:rsidR="00B82C1F" w:rsidRDefault="00B82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A9D69" w14:textId="77777777" w:rsidR="00E731ED" w:rsidRDefault="00E73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5729" w14:textId="77777777" w:rsidR="0050658A" w:rsidRDefault="0050658A" w:rsidP="00B82C1F">
      <w:pPr>
        <w:spacing w:after="0" w:line="240" w:lineRule="auto"/>
      </w:pPr>
      <w:r>
        <w:separator/>
      </w:r>
    </w:p>
  </w:footnote>
  <w:footnote w:type="continuationSeparator" w:id="0">
    <w:p w14:paraId="6F524016" w14:textId="77777777" w:rsidR="0050658A" w:rsidRDefault="0050658A" w:rsidP="00B82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119E2" w14:textId="0EC234F7" w:rsidR="00E731ED" w:rsidRDefault="00E731ED">
    <w:pPr>
      <w:pStyle w:val="Header"/>
    </w:pPr>
    <w:r>
      <w:rPr>
        <w:noProof/>
      </w:rPr>
      <w:pict w14:anchorId="6F78F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8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7AF08" w14:textId="7FB9B9F2" w:rsidR="00E731ED" w:rsidRDefault="00E731ED">
    <w:pPr>
      <w:pStyle w:val="Header"/>
    </w:pPr>
    <w:r>
      <w:rPr>
        <w:noProof/>
      </w:rPr>
      <w:pict w14:anchorId="5A4E0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8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FA5B9" w14:textId="0319B119" w:rsidR="00E731ED" w:rsidRDefault="00E731ED">
    <w:pPr>
      <w:pStyle w:val="Header"/>
    </w:pPr>
    <w:r>
      <w:rPr>
        <w:noProof/>
      </w:rPr>
      <w:pict w14:anchorId="5AFBA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8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37109"/>
    <w:multiLevelType w:val="multilevel"/>
    <w:tmpl w:val="5C267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1024C"/>
    <w:multiLevelType w:val="multilevel"/>
    <w:tmpl w:val="92F6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24B7D"/>
    <w:multiLevelType w:val="multilevel"/>
    <w:tmpl w:val="85C8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873130"/>
    <w:multiLevelType w:val="multilevel"/>
    <w:tmpl w:val="573E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BE4DBD"/>
    <w:multiLevelType w:val="multilevel"/>
    <w:tmpl w:val="FECA2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461072"/>
    <w:multiLevelType w:val="multilevel"/>
    <w:tmpl w:val="302A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A23E80"/>
    <w:multiLevelType w:val="multilevel"/>
    <w:tmpl w:val="DC6EF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6F4A5C"/>
    <w:multiLevelType w:val="multilevel"/>
    <w:tmpl w:val="F7C4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C05FC"/>
    <w:multiLevelType w:val="multilevel"/>
    <w:tmpl w:val="AE209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BD5303"/>
    <w:multiLevelType w:val="multilevel"/>
    <w:tmpl w:val="D0F4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8E2201"/>
    <w:multiLevelType w:val="multilevel"/>
    <w:tmpl w:val="798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F829E4"/>
    <w:multiLevelType w:val="hybridMultilevel"/>
    <w:tmpl w:val="70FE5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1"/>
  </w:num>
  <w:num w:numId="5">
    <w:abstractNumId w:val="5"/>
  </w:num>
  <w:num w:numId="6">
    <w:abstractNumId w:val="2"/>
  </w:num>
  <w:num w:numId="7">
    <w:abstractNumId w:val="9"/>
  </w:num>
  <w:num w:numId="8">
    <w:abstractNumId w:val="10"/>
  </w:num>
  <w:num w:numId="9">
    <w:abstractNumId w:val="3"/>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2CAF"/>
    <w:rsid w:val="0005148C"/>
    <w:rsid w:val="00180D58"/>
    <w:rsid w:val="001F15B5"/>
    <w:rsid w:val="00242C4F"/>
    <w:rsid w:val="00253BA8"/>
    <w:rsid w:val="00270567"/>
    <w:rsid w:val="00282AE1"/>
    <w:rsid w:val="002B478D"/>
    <w:rsid w:val="002E48EF"/>
    <w:rsid w:val="00321828"/>
    <w:rsid w:val="003B2D17"/>
    <w:rsid w:val="003E30DD"/>
    <w:rsid w:val="00412872"/>
    <w:rsid w:val="004264B3"/>
    <w:rsid w:val="004354E7"/>
    <w:rsid w:val="00444C3B"/>
    <w:rsid w:val="00450AE7"/>
    <w:rsid w:val="00476ACE"/>
    <w:rsid w:val="004A4172"/>
    <w:rsid w:val="004C15AA"/>
    <w:rsid w:val="0050658A"/>
    <w:rsid w:val="00526C52"/>
    <w:rsid w:val="00567AF9"/>
    <w:rsid w:val="00782DFF"/>
    <w:rsid w:val="007C4D6E"/>
    <w:rsid w:val="008431F0"/>
    <w:rsid w:val="008436A1"/>
    <w:rsid w:val="00862C5F"/>
    <w:rsid w:val="00931449"/>
    <w:rsid w:val="00931E3D"/>
    <w:rsid w:val="00934A1B"/>
    <w:rsid w:val="00935690"/>
    <w:rsid w:val="00962CAF"/>
    <w:rsid w:val="00981D71"/>
    <w:rsid w:val="009F4E09"/>
    <w:rsid w:val="00A11354"/>
    <w:rsid w:val="00A556BF"/>
    <w:rsid w:val="00A56B91"/>
    <w:rsid w:val="00A607FB"/>
    <w:rsid w:val="00AD6F79"/>
    <w:rsid w:val="00B03BC3"/>
    <w:rsid w:val="00B45140"/>
    <w:rsid w:val="00B54EC3"/>
    <w:rsid w:val="00B82C1F"/>
    <w:rsid w:val="00B854F3"/>
    <w:rsid w:val="00BC155E"/>
    <w:rsid w:val="00BD3E1F"/>
    <w:rsid w:val="00BD7697"/>
    <w:rsid w:val="00C62884"/>
    <w:rsid w:val="00CA64C8"/>
    <w:rsid w:val="00CC1E26"/>
    <w:rsid w:val="00CD6F20"/>
    <w:rsid w:val="00CF267A"/>
    <w:rsid w:val="00CF2FB3"/>
    <w:rsid w:val="00D24365"/>
    <w:rsid w:val="00D47034"/>
    <w:rsid w:val="00D50185"/>
    <w:rsid w:val="00D65749"/>
    <w:rsid w:val="00DD50C7"/>
    <w:rsid w:val="00E04C2D"/>
    <w:rsid w:val="00E20FFD"/>
    <w:rsid w:val="00E731ED"/>
    <w:rsid w:val="00EF58C3"/>
    <w:rsid w:val="00F524DD"/>
    <w:rsid w:val="00FD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2C1F02"/>
  <w15:docId w15:val="{4C93B2DF-FACA-4AF0-AE20-E8B9B49F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436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2C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2CAF"/>
    <w:rPr>
      <w:b/>
      <w:bCs/>
    </w:rPr>
  </w:style>
  <w:style w:type="character" w:styleId="Hyperlink">
    <w:name w:val="Hyperlink"/>
    <w:basedOn w:val="DefaultParagraphFont"/>
    <w:uiPriority w:val="99"/>
    <w:unhideWhenUsed/>
    <w:rsid w:val="00CF2FB3"/>
    <w:rPr>
      <w:color w:val="0000FF" w:themeColor="hyperlink"/>
      <w:u w:val="single"/>
    </w:rPr>
  </w:style>
  <w:style w:type="character" w:customStyle="1" w:styleId="Heading2Char">
    <w:name w:val="Heading 2 Char"/>
    <w:basedOn w:val="DefaultParagraphFont"/>
    <w:link w:val="Heading2"/>
    <w:uiPriority w:val="9"/>
    <w:semiHidden/>
    <w:rsid w:val="008436A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436A1"/>
    <w:pPr>
      <w:ind w:left="720"/>
      <w:contextualSpacing/>
    </w:pPr>
  </w:style>
  <w:style w:type="paragraph" w:styleId="Header">
    <w:name w:val="header"/>
    <w:basedOn w:val="Normal"/>
    <w:link w:val="HeaderChar"/>
    <w:uiPriority w:val="99"/>
    <w:unhideWhenUsed/>
    <w:rsid w:val="00B82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C1F"/>
  </w:style>
  <w:style w:type="paragraph" w:styleId="Footer">
    <w:name w:val="footer"/>
    <w:basedOn w:val="Normal"/>
    <w:link w:val="FooterChar"/>
    <w:uiPriority w:val="99"/>
    <w:unhideWhenUsed/>
    <w:rsid w:val="00B82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C1F"/>
  </w:style>
  <w:style w:type="character" w:styleId="UnresolvedMention">
    <w:name w:val="Unresolved Mention"/>
    <w:basedOn w:val="DefaultParagraphFont"/>
    <w:uiPriority w:val="99"/>
    <w:semiHidden/>
    <w:unhideWhenUsed/>
    <w:rsid w:val="00CA6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49495">
      <w:bodyDiv w:val="1"/>
      <w:marLeft w:val="0"/>
      <w:marRight w:val="0"/>
      <w:marTop w:val="0"/>
      <w:marBottom w:val="0"/>
      <w:divBdr>
        <w:top w:val="none" w:sz="0" w:space="0" w:color="auto"/>
        <w:left w:val="none" w:sz="0" w:space="0" w:color="auto"/>
        <w:bottom w:val="none" w:sz="0" w:space="0" w:color="auto"/>
        <w:right w:val="none" w:sz="0" w:space="0" w:color="auto"/>
      </w:divBdr>
    </w:div>
    <w:div w:id="386615011">
      <w:bodyDiv w:val="1"/>
      <w:marLeft w:val="0"/>
      <w:marRight w:val="0"/>
      <w:marTop w:val="0"/>
      <w:marBottom w:val="0"/>
      <w:divBdr>
        <w:top w:val="none" w:sz="0" w:space="0" w:color="auto"/>
        <w:left w:val="none" w:sz="0" w:space="0" w:color="auto"/>
        <w:bottom w:val="none" w:sz="0" w:space="0" w:color="auto"/>
        <w:right w:val="none" w:sz="0" w:space="0" w:color="auto"/>
      </w:divBdr>
    </w:div>
    <w:div w:id="612634105">
      <w:bodyDiv w:val="1"/>
      <w:marLeft w:val="0"/>
      <w:marRight w:val="0"/>
      <w:marTop w:val="0"/>
      <w:marBottom w:val="0"/>
      <w:divBdr>
        <w:top w:val="none" w:sz="0" w:space="0" w:color="auto"/>
        <w:left w:val="none" w:sz="0" w:space="0" w:color="auto"/>
        <w:bottom w:val="none" w:sz="0" w:space="0" w:color="auto"/>
        <w:right w:val="none" w:sz="0" w:space="0" w:color="auto"/>
      </w:divBdr>
    </w:div>
    <w:div w:id="634409557">
      <w:bodyDiv w:val="1"/>
      <w:marLeft w:val="0"/>
      <w:marRight w:val="0"/>
      <w:marTop w:val="0"/>
      <w:marBottom w:val="0"/>
      <w:divBdr>
        <w:top w:val="none" w:sz="0" w:space="0" w:color="auto"/>
        <w:left w:val="none" w:sz="0" w:space="0" w:color="auto"/>
        <w:bottom w:val="none" w:sz="0" w:space="0" w:color="auto"/>
        <w:right w:val="none" w:sz="0" w:space="0" w:color="auto"/>
      </w:divBdr>
    </w:div>
    <w:div w:id="644896540">
      <w:bodyDiv w:val="1"/>
      <w:marLeft w:val="0"/>
      <w:marRight w:val="0"/>
      <w:marTop w:val="0"/>
      <w:marBottom w:val="0"/>
      <w:divBdr>
        <w:top w:val="none" w:sz="0" w:space="0" w:color="auto"/>
        <w:left w:val="none" w:sz="0" w:space="0" w:color="auto"/>
        <w:bottom w:val="none" w:sz="0" w:space="0" w:color="auto"/>
        <w:right w:val="none" w:sz="0" w:space="0" w:color="auto"/>
      </w:divBdr>
    </w:div>
    <w:div w:id="674918236">
      <w:bodyDiv w:val="1"/>
      <w:marLeft w:val="0"/>
      <w:marRight w:val="0"/>
      <w:marTop w:val="0"/>
      <w:marBottom w:val="0"/>
      <w:divBdr>
        <w:top w:val="none" w:sz="0" w:space="0" w:color="auto"/>
        <w:left w:val="none" w:sz="0" w:space="0" w:color="auto"/>
        <w:bottom w:val="none" w:sz="0" w:space="0" w:color="auto"/>
        <w:right w:val="none" w:sz="0" w:space="0" w:color="auto"/>
      </w:divBdr>
    </w:div>
    <w:div w:id="680623538">
      <w:bodyDiv w:val="1"/>
      <w:marLeft w:val="0"/>
      <w:marRight w:val="0"/>
      <w:marTop w:val="0"/>
      <w:marBottom w:val="0"/>
      <w:divBdr>
        <w:top w:val="none" w:sz="0" w:space="0" w:color="auto"/>
        <w:left w:val="none" w:sz="0" w:space="0" w:color="auto"/>
        <w:bottom w:val="none" w:sz="0" w:space="0" w:color="auto"/>
        <w:right w:val="none" w:sz="0" w:space="0" w:color="auto"/>
      </w:divBdr>
    </w:div>
    <w:div w:id="767963024">
      <w:bodyDiv w:val="1"/>
      <w:marLeft w:val="0"/>
      <w:marRight w:val="0"/>
      <w:marTop w:val="0"/>
      <w:marBottom w:val="0"/>
      <w:divBdr>
        <w:top w:val="none" w:sz="0" w:space="0" w:color="auto"/>
        <w:left w:val="none" w:sz="0" w:space="0" w:color="auto"/>
        <w:bottom w:val="none" w:sz="0" w:space="0" w:color="auto"/>
        <w:right w:val="none" w:sz="0" w:space="0" w:color="auto"/>
      </w:divBdr>
    </w:div>
    <w:div w:id="799302928">
      <w:bodyDiv w:val="1"/>
      <w:marLeft w:val="0"/>
      <w:marRight w:val="0"/>
      <w:marTop w:val="0"/>
      <w:marBottom w:val="0"/>
      <w:divBdr>
        <w:top w:val="none" w:sz="0" w:space="0" w:color="auto"/>
        <w:left w:val="none" w:sz="0" w:space="0" w:color="auto"/>
        <w:bottom w:val="none" w:sz="0" w:space="0" w:color="auto"/>
        <w:right w:val="none" w:sz="0" w:space="0" w:color="auto"/>
      </w:divBdr>
    </w:div>
    <w:div w:id="823622392">
      <w:bodyDiv w:val="1"/>
      <w:marLeft w:val="0"/>
      <w:marRight w:val="0"/>
      <w:marTop w:val="0"/>
      <w:marBottom w:val="0"/>
      <w:divBdr>
        <w:top w:val="none" w:sz="0" w:space="0" w:color="auto"/>
        <w:left w:val="none" w:sz="0" w:space="0" w:color="auto"/>
        <w:bottom w:val="none" w:sz="0" w:space="0" w:color="auto"/>
        <w:right w:val="none" w:sz="0" w:space="0" w:color="auto"/>
      </w:divBdr>
    </w:div>
    <w:div w:id="929892993">
      <w:bodyDiv w:val="1"/>
      <w:marLeft w:val="0"/>
      <w:marRight w:val="0"/>
      <w:marTop w:val="0"/>
      <w:marBottom w:val="0"/>
      <w:divBdr>
        <w:top w:val="none" w:sz="0" w:space="0" w:color="auto"/>
        <w:left w:val="none" w:sz="0" w:space="0" w:color="auto"/>
        <w:bottom w:val="none" w:sz="0" w:space="0" w:color="auto"/>
        <w:right w:val="none" w:sz="0" w:space="0" w:color="auto"/>
      </w:divBdr>
    </w:div>
    <w:div w:id="1020202381">
      <w:bodyDiv w:val="1"/>
      <w:marLeft w:val="0"/>
      <w:marRight w:val="0"/>
      <w:marTop w:val="0"/>
      <w:marBottom w:val="0"/>
      <w:divBdr>
        <w:top w:val="none" w:sz="0" w:space="0" w:color="auto"/>
        <w:left w:val="none" w:sz="0" w:space="0" w:color="auto"/>
        <w:bottom w:val="none" w:sz="0" w:space="0" w:color="auto"/>
        <w:right w:val="none" w:sz="0" w:space="0" w:color="auto"/>
      </w:divBdr>
    </w:div>
    <w:div w:id="1035039326">
      <w:bodyDiv w:val="1"/>
      <w:marLeft w:val="0"/>
      <w:marRight w:val="0"/>
      <w:marTop w:val="0"/>
      <w:marBottom w:val="0"/>
      <w:divBdr>
        <w:top w:val="none" w:sz="0" w:space="0" w:color="auto"/>
        <w:left w:val="none" w:sz="0" w:space="0" w:color="auto"/>
        <w:bottom w:val="none" w:sz="0" w:space="0" w:color="auto"/>
        <w:right w:val="none" w:sz="0" w:space="0" w:color="auto"/>
      </w:divBdr>
    </w:div>
    <w:div w:id="1110315811">
      <w:bodyDiv w:val="1"/>
      <w:marLeft w:val="0"/>
      <w:marRight w:val="0"/>
      <w:marTop w:val="0"/>
      <w:marBottom w:val="0"/>
      <w:divBdr>
        <w:top w:val="none" w:sz="0" w:space="0" w:color="auto"/>
        <w:left w:val="none" w:sz="0" w:space="0" w:color="auto"/>
        <w:bottom w:val="none" w:sz="0" w:space="0" w:color="auto"/>
        <w:right w:val="none" w:sz="0" w:space="0" w:color="auto"/>
      </w:divBdr>
      <w:divsChild>
        <w:div w:id="1362626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799697">
      <w:bodyDiv w:val="1"/>
      <w:marLeft w:val="0"/>
      <w:marRight w:val="0"/>
      <w:marTop w:val="0"/>
      <w:marBottom w:val="0"/>
      <w:divBdr>
        <w:top w:val="none" w:sz="0" w:space="0" w:color="auto"/>
        <w:left w:val="none" w:sz="0" w:space="0" w:color="auto"/>
        <w:bottom w:val="none" w:sz="0" w:space="0" w:color="auto"/>
        <w:right w:val="none" w:sz="0" w:space="0" w:color="auto"/>
      </w:divBdr>
    </w:div>
    <w:div w:id="1158108012">
      <w:bodyDiv w:val="1"/>
      <w:marLeft w:val="0"/>
      <w:marRight w:val="0"/>
      <w:marTop w:val="0"/>
      <w:marBottom w:val="0"/>
      <w:divBdr>
        <w:top w:val="none" w:sz="0" w:space="0" w:color="auto"/>
        <w:left w:val="none" w:sz="0" w:space="0" w:color="auto"/>
        <w:bottom w:val="none" w:sz="0" w:space="0" w:color="auto"/>
        <w:right w:val="none" w:sz="0" w:space="0" w:color="auto"/>
      </w:divBdr>
    </w:div>
    <w:div w:id="1199660563">
      <w:bodyDiv w:val="1"/>
      <w:marLeft w:val="0"/>
      <w:marRight w:val="0"/>
      <w:marTop w:val="0"/>
      <w:marBottom w:val="0"/>
      <w:divBdr>
        <w:top w:val="none" w:sz="0" w:space="0" w:color="auto"/>
        <w:left w:val="none" w:sz="0" w:space="0" w:color="auto"/>
        <w:bottom w:val="none" w:sz="0" w:space="0" w:color="auto"/>
        <w:right w:val="none" w:sz="0" w:space="0" w:color="auto"/>
      </w:divBdr>
    </w:div>
    <w:div w:id="1257985091">
      <w:bodyDiv w:val="1"/>
      <w:marLeft w:val="0"/>
      <w:marRight w:val="0"/>
      <w:marTop w:val="0"/>
      <w:marBottom w:val="0"/>
      <w:divBdr>
        <w:top w:val="none" w:sz="0" w:space="0" w:color="auto"/>
        <w:left w:val="none" w:sz="0" w:space="0" w:color="auto"/>
        <w:bottom w:val="none" w:sz="0" w:space="0" w:color="auto"/>
        <w:right w:val="none" w:sz="0" w:space="0" w:color="auto"/>
      </w:divBdr>
    </w:div>
    <w:div w:id="1311251577">
      <w:bodyDiv w:val="1"/>
      <w:marLeft w:val="0"/>
      <w:marRight w:val="0"/>
      <w:marTop w:val="0"/>
      <w:marBottom w:val="0"/>
      <w:divBdr>
        <w:top w:val="none" w:sz="0" w:space="0" w:color="auto"/>
        <w:left w:val="none" w:sz="0" w:space="0" w:color="auto"/>
        <w:bottom w:val="none" w:sz="0" w:space="0" w:color="auto"/>
        <w:right w:val="none" w:sz="0" w:space="0" w:color="auto"/>
      </w:divBdr>
    </w:div>
    <w:div w:id="1313631458">
      <w:bodyDiv w:val="1"/>
      <w:marLeft w:val="0"/>
      <w:marRight w:val="0"/>
      <w:marTop w:val="0"/>
      <w:marBottom w:val="0"/>
      <w:divBdr>
        <w:top w:val="none" w:sz="0" w:space="0" w:color="auto"/>
        <w:left w:val="none" w:sz="0" w:space="0" w:color="auto"/>
        <w:bottom w:val="none" w:sz="0" w:space="0" w:color="auto"/>
        <w:right w:val="none" w:sz="0" w:space="0" w:color="auto"/>
      </w:divBdr>
    </w:div>
    <w:div w:id="1443646468">
      <w:bodyDiv w:val="1"/>
      <w:marLeft w:val="0"/>
      <w:marRight w:val="0"/>
      <w:marTop w:val="0"/>
      <w:marBottom w:val="0"/>
      <w:divBdr>
        <w:top w:val="none" w:sz="0" w:space="0" w:color="auto"/>
        <w:left w:val="none" w:sz="0" w:space="0" w:color="auto"/>
        <w:bottom w:val="none" w:sz="0" w:space="0" w:color="auto"/>
        <w:right w:val="none" w:sz="0" w:space="0" w:color="auto"/>
      </w:divBdr>
    </w:div>
    <w:div w:id="1460100853">
      <w:bodyDiv w:val="1"/>
      <w:marLeft w:val="0"/>
      <w:marRight w:val="0"/>
      <w:marTop w:val="0"/>
      <w:marBottom w:val="0"/>
      <w:divBdr>
        <w:top w:val="none" w:sz="0" w:space="0" w:color="auto"/>
        <w:left w:val="none" w:sz="0" w:space="0" w:color="auto"/>
        <w:bottom w:val="none" w:sz="0" w:space="0" w:color="auto"/>
        <w:right w:val="none" w:sz="0" w:space="0" w:color="auto"/>
      </w:divBdr>
    </w:div>
    <w:div w:id="1481655178">
      <w:bodyDiv w:val="1"/>
      <w:marLeft w:val="0"/>
      <w:marRight w:val="0"/>
      <w:marTop w:val="0"/>
      <w:marBottom w:val="0"/>
      <w:divBdr>
        <w:top w:val="none" w:sz="0" w:space="0" w:color="auto"/>
        <w:left w:val="none" w:sz="0" w:space="0" w:color="auto"/>
        <w:bottom w:val="none" w:sz="0" w:space="0" w:color="auto"/>
        <w:right w:val="none" w:sz="0" w:space="0" w:color="auto"/>
      </w:divBdr>
    </w:div>
    <w:div w:id="1529642241">
      <w:bodyDiv w:val="1"/>
      <w:marLeft w:val="0"/>
      <w:marRight w:val="0"/>
      <w:marTop w:val="0"/>
      <w:marBottom w:val="0"/>
      <w:divBdr>
        <w:top w:val="none" w:sz="0" w:space="0" w:color="auto"/>
        <w:left w:val="none" w:sz="0" w:space="0" w:color="auto"/>
        <w:bottom w:val="none" w:sz="0" w:space="0" w:color="auto"/>
        <w:right w:val="none" w:sz="0" w:space="0" w:color="auto"/>
      </w:divBdr>
    </w:div>
    <w:div w:id="1612739192">
      <w:bodyDiv w:val="1"/>
      <w:marLeft w:val="0"/>
      <w:marRight w:val="0"/>
      <w:marTop w:val="0"/>
      <w:marBottom w:val="0"/>
      <w:divBdr>
        <w:top w:val="none" w:sz="0" w:space="0" w:color="auto"/>
        <w:left w:val="none" w:sz="0" w:space="0" w:color="auto"/>
        <w:bottom w:val="none" w:sz="0" w:space="0" w:color="auto"/>
        <w:right w:val="none" w:sz="0" w:space="0" w:color="auto"/>
      </w:divBdr>
    </w:div>
    <w:div w:id="1718624078">
      <w:bodyDiv w:val="1"/>
      <w:marLeft w:val="0"/>
      <w:marRight w:val="0"/>
      <w:marTop w:val="0"/>
      <w:marBottom w:val="0"/>
      <w:divBdr>
        <w:top w:val="none" w:sz="0" w:space="0" w:color="auto"/>
        <w:left w:val="none" w:sz="0" w:space="0" w:color="auto"/>
        <w:bottom w:val="none" w:sz="0" w:space="0" w:color="auto"/>
        <w:right w:val="none" w:sz="0" w:space="0" w:color="auto"/>
      </w:divBdr>
    </w:div>
    <w:div w:id="1733776032">
      <w:bodyDiv w:val="1"/>
      <w:marLeft w:val="0"/>
      <w:marRight w:val="0"/>
      <w:marTop w:val="0"/>
      <w:marBottom w:val="0"/>
      <w:divBdr>
        <w:top w:val="none" w:sz="0" w:space="0" w:color="auto"/>
        <w:left w:val="none" w:sz="0" w:space="0" w:color="auto"/>
        <w:bottom w:val="none" w:sz="0" w:space="0" w:color="auto"/>
        <w:right w:val="none" w:sz="0" w:space="0" w:color="auto"/>
      </w:divBdr>
    </w:div>
    <w:div w:id="1785466242">
      <w:bodyDiv w:val="1"/>
      <w:marLeft w:val="0"/>
      <w:marRight w:val="0"/>
      <w:marTop w:val="0"/>
      <w:marBottom w:val="0"/>
      <w:divBdr>
        <w:top w:val="none" w:sz="0" w:space="0" w:color="auto"/>
        <w:left w:val="none" w:sz="0" w:space="0" w:color="auto"/>
        <w:bottom w:val="none" w:sz="0" w:space="0" w:color="auto"/>
        <w:right w:val="none" w:sz="0" w:space="0" w:color="auto"/>
      </w:divBdr>
    </w:div>
    <w:div w:id="1786921599">
      <w:bodyDiv w:val="1"/>
      <w:marLeft w:val="0"/>
      <w:marRight w:val="0"/>
      <w:marTop w:val="0"/>
      <w:marBottom w:val="0"/>
      <w:divBdr>
        <w:top w:val="none" w:sz="0" w:space="0" w:color="auto"/>
        <w:left w:val="none" w:sz="0" w:space="0" w:color="auto"/>
        <w:bottom w:val="none" w:sz="0" w:space="0" w:color="auto"/>
        <w:right w:val="none" w:sz="0" w:space="0" w:color="auto"/>
      </w:divBdr>
    </w:div>
    <w:div w:id="1839492694">
      <w:bodyDiv w:val="1"/>
      <w:marLeft w:val="0"/>
      <w:marRight w:val="0"/>
      <w:marTop w:val="0"/>
      <w:marBottom w:val="0"/>
      <w:divBdr>
        <w:top w:val="none" w:sz="0" w:space="0" w:color="auto"/>
        <w:left w:val="none" w:sz="0" w:space="0" w:color="auto"/>
        <w:bottom w:val="none" w:sz="0" w:space="0" w:color="auto"/>
        <w:right w:val="none" w:sz="0" w:space="0" w:color="auto"/>
      </w:divBdr>
    </w:div>
    <w:div w:id="1850409435">
      <w:bodyDiv w:val="1"/>
      <w:marLeft w:val="0"/>
      <w:marRight w:val="0"/>
      <w:marTop w:val="0"/>
      <w:marBottom w:val="0"/>
      <w:divBdr>
        <w:top w:val="none" w:sz="0" w:space="0" w:color="auto"/>
        <w:left w:val="none" w:sz="0" w:space="0" w:color="auto"/>
        <w:bottom w:val="none" w:sz="0" w:space="0" w:color="auto"/>
        <w:right w:val="none" w:sz="0" w:space="0" w:color="auto"/>
      </w:divBdr>
    </w:div>
    <w:div w:id="1883512642">
      <w:bodyDiv w:val="1"/>
      <w:marLeft w:val="0"/>
      <w:marRight w:val="0"/>
      <w:marTop w:val="0"/>
      <w:marBottom w:val="0"/>
      <w:divBdr>
        <w:top w:val="none" w:sz="0" w:space="0" w:color="auto"/>
        <w:left w:val="none" w:sz="0" w:space="0" w:color="auto"/>
        <w:bottom w:val="none" w:sz="0" w:space="0" w:color="auto"/>
        <w:right w:val="none" w:sz="0" w:space="0" w:color="auto"/>
      </w:divBdr>
    </w:div>
    <w:div w:id="1945382673">
      <w:bodyDiv w:val="1"/>
      <w:marLeft w:val="0"/>
      <w:marRight w:val="0"/>
      <w:marTop w:val="0"/>
      <w:marBottom w:val="0"/>
      <w:divBdr>
        <w:top w:val="none" w:sz="0" w:space="0" w:color="auto"/>
        <w:left w:val="none" w:sz="0" w:space="0" w:color="auto"/>
        <w:bottom w:val="none" w:sz="0" w:space="0" w:color="auto"/>
        <w:right w:val="none" w:sz="0" w:space="0" w:color="auto"/>
      </w:divBdr>
    </w:div>
    <w:div w:id="205831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7-2979.2008.00310.x" TargetMode="External"/><Relationship Id="rId13" Type="http://schemas.openxmlformats.org/officeDocument/2006/relationships/hyperlink" Target="https://doi.org/10.1111/roiw.12101" TargetMode="External"/><Relationship Id="rId18" Type="http://schemas.openxmlformats.org/officeDocument/2006/relationships/hyperlink" Target="https://doi.org/10.1177/107049651558079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16/j.jbusvent.2004.01.001" TargetMode="External"/><Relationship Id="rId7" Type="http://schemas.openxmlformats.org/officeDocument/2006/relationships/hyperlink" Target="https://doi.org/10.5465/amr.2002.5922314" TargetMode="External"/><Relationship Id="rId12" Type="http://schemas.openxmlformats.org/officeDocument/2006/relationships/hyperlink" Target="https://doi.org/10.1093/cdj/bsn010" TargetMode="External"/><Relationship Id="rId17" Type="http://schemas.openxmlformats.org/officeDocument/2006/relationships/hyperlink" Target="https://doi.org/10.1126/science.1090847"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787/9789264251724-en" TargetMode="External"/><Relationship Id="rId20" Type="http://schemas.openxmlformats.org/officeDocument/2006/relationships/hyperlink" Target="https://doi.org/10.5465/amr.1986.428397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893-019-0404-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5465/amr.1998.53322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16/j.worlddev.2015.11.007" TargetMode="External"/><Relationship Id="rId19" Type="http://schemas.openxmlformats.org/officeDocument/2006/relationships/hyperlink" Target="https://doi.org/10.1016/j.jbusvent.2013.01.003" TargetMode="External"/><Relationship Id="rId4" Type="http://schemas.openxmlformats.org/officeDocument/2006/relationships/webSettings" Target="webSettings.xml"/><Relationship Id="rId9" Type="http://schemas.openxmlformats.org/officeDocument/2006/relationships/hyperlink" Target="https://doi.org/10.1080/01944366908977225" TargetMode="External"/><Relationship Id="rId14" Type="http://schemas.openxmlformats.org/officeDocument/2006/relationships/hyperlink" Target="https://doi.org/10.1596/978-0-8213-8256-1" TargetMode="External"/><Relationship Id="rId22" Type="http://schemas.openxmlformats.org/officeDocument/2006/relationships/hyperlink" Target="https://doi.org/10.1093/wbro/15.2.225"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17</Pages>
  <Words>6575</Words>
  <Characters>37480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1170</cp:lastModifiedBy>
  <cp:revision>23</cp:revision>
  <dcterms:created xsi:type="dcterms:W3CDTF">2026-02-17T12:18:00Z</dcterms:created>
  <dcterms:modified xsi:type="dcterms:W3CDTF">2026-03-09T09:03:00Z</dcterms:modified>
</cp:coreProperties>
</file>