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8966D" w14:textId="3030511C" w:rsidR="0039143E" w:rsidRDefault="0039143E">
      <w:pPr>
        <w:spacing w:after="0" w:line="259" w:lineRule="auto"/>
        <w:ind w:left="15" w:right="0" w:firstLine="0"/>
        <w:jc w:val="left"/>
      </w:pPr>
    </w:p>
    <w:p w14:paraId="3C5FBE4C" w14:textId="77777777" w:rsidR="0039143E" w:rsidRDefault="000C10DD">
      <w:pPr>
        <w:spacing w:after="247" w:line="259" w:lineRule="auto"/>
        <w:ind w:left="0" w:right="45" w:firstLine="0"/>
        <w:jc w:val="right"/>
      </w:pPr>
      <w:r>
        <w:rPr>
          <w:b/>
        </w:rPr>
        <w:t xml:space="preserve"> </w:t>
      </w:r>
    </w:p>
    <w:p w14:paraId="5CED9C69" w14:textId="534C4FC8" w:rsidR="0039143E" w:rsidRDefault="009A10D0">
      <w:pPr>
        <w:spacing w:after="0" w:line="259" w:lineRule="auto"/>
        <w:ind w:left="0" w:right="0" w:firstLine="0"/>
        <w:jc w:val="right"/>
        <w:rPr>
          <w:b/>
          <w:sz w:val="36"/>
        </w:rPr>
      </w:pPr>
      <w:r w:rsidRPr="009A10D0">
        <w:rPr>
          <w:b/>
          <w:sz w:val="48"/>
        </w:rPr>
        <w:t xml:space="preserve">Effectiveness </w:t>
      </w:r>
      <w:proofErr w:type="gramStart"/>
      <w:r w:rsidRPr="009A10D0">
        <w:rPr>
          <w:b/>
          <w:sz w:val="48"/>
        </w:rPr>
        <w:t>Of</w:t>
      </w:r>
      <w:proofErr w:type="gramEnd"/>
      <w:r w:rsidRPr="009A10D0">
        <w:rPr>
          <w:b/>
          <w:sz w:val="48"/>
        </w:rPr>
        <w:t xml:space="preserve"> Financial Report Preparation Training In Improving Accountant Competence And Its Impact On Transparency And Accuracy Of Financial Reports </w:t>
      </w:r>
      <w:r>
        <w:rPr>
          <w:b/>
          <w:sz w:val="36"/>
        </w:rPr>
        <w:t xml:space="preserve"> </w:t>
      </w:r>
    </w:p>
    <w:p w14:paraId="319D8798" w14:textId="77777777" w:rsidR="009A10D0" w:rsidRDefault="009A10D0">
      <w:pPr>
        <w:spacing w:after="0" w:line="259" w:lineRule="auto"/>
        <w:ind w:left="0" w:right="0" w:firstLine="0"/>
        <w:jc w:val="right"/>
      </w:pPr>
    </w:p>
    <w:p w14:paraId="5B61056C" w14:textId="5182337A" w:rsidR="0039143E" w:rsidRDefault="0039143E">
      <w:pPr>
        <w:spacing w:after="0" w:line="259" w:lineRule="auto"/>
        <w:ind w:left="0" w:right="39" w:firstLine="0"/>
        <w:jc w:val="right"/>
      </w:pPr>
      <w:bookmarkStart w:id="0" w:name="_GoBack"/>
      <w:bookmarkEnd w:id="0"/>
    </w:p>
    <w:p w14:paraId="3419EAEF" w14:textId="77777777" w:rsidR="0039143E" w:rsidRDefault="000C10DD">
      <w:pPr>
        <w:spacing w:after="0" w:line="259" w:lineRule="auto"/>
        <w:ind w:left="0" w:right="39" w:firstLine="0"/>
        <w:jc w:val="right"/>
      </w:pPr>
      <w:r>
        <w:rPr>
          <w:b/>
          <w:sz w:val="22"/>
        </w:rPr>
        <w:t xml:space="preserve"> </w:t>
      </w:r>
    </w:p>
    <w:p w14:paraId="60A4A6ED" w14:textId="77777777" w:rsidR="0039143E" w:rsidRDefault="000C10DD">
      <w:pPr>
        <w:spacing w:after="0" w:line="259" w:lineRule="auto"/>
        <w:ind w:left="0" w:right="17" w:firstLine="0"/>
        <w:jc w:val="right"/>
      </w:pPr>
      <w:r>
        <w:rPr>
          <w:rFonts w:ascii="Calibri" w:eastAsia="Calibri" w:hAnsi="Calibri" w:cs="Calibri"/>
          <w:noProof/>
          <w:sz w:val="22"/>
        </w:rPr>
        <mc:AlternateContent>
          <mc:Choice Requires="wpg">
            <w:drawing>
              <wp:inline distT="0" distB="0" distL="0" distR="0" wp14:anchorId="4CCC4245" wp14:editId="53173133">
                <wp:extent cx="5723890" cy="19050"/>
                <wp:effectExtent l="0" t="0" r="0" b="0"/>
                <wp:docPr id="16835" name="Group 1683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6835" style="width:450.7pt;height:1.5pt;mso-position-horizontal-relative:char;mso-position-vertical-relative:line" coordsize="57238,190">
                <v:shape id="Shape 176" style="position:absolute;width:57238;height:0;left:0;top:0;" coordsize="5723890,0" path="m0,0l5723890,0">
                  <v:stroke weight="1.5pt" endcap="flat" joinstyle="round" on="true" color="#000000"/>
                  <v:fill on="false" color="#000000" opacity="0"/>
                </v:shape>
              </v:group>
            </w:pict>
          </mc:Fallback>
        </mc:AlternateContent>
      </w:r>
      <w:r>
        <w:rPr>
          <w:b/>
          <w:sz w:val="24"/>
        </w:rPr>
        <w:t xml:space="preserve"> </w:t>
      </w:r>
    </w:p>
    <w:p w14:paraId="27A4C989" w14:textId="77777777" w:rsidR="0039143E" w:rsidRDefault="000C10DD">
      <w:pPr>
        <w:spacing w:after="2" w:line="259" w:lineRule="auto"/>
        <w:ind w:left="0" w:right="0" w:firstLine="0"/>
        <w:jc w:val="left"/>
      </w:pPr>
      <w:r>
        <w:rPr>
          <w:b/>
        </w:rPr>
        <w:t xml:space="preserve"> </w:t>
      </w:r>
    </w:p>
    <w:p w14:paraId="77D454C6" w14:textId="77777777" w:rsidR="0039143E" w:rsidRDefault="000C10DD">
      <w:pPr>
        <w:pStyle w:val="Heading1"/>
        <w:numPr>
          <w:ilvl w:val="0"/>
          <w:numId w:val="0"/>
        </w:numPr>
        <w:ind w:left="-5"/>
      </w:pPr>
      <w:r>
        <w:t xml:space="preserve">ABSTRACT </w:t>
      </w:r>
    </w:p>
    <w:p w14:paraId="27C51F20" w14:textId="77777777" w:rsidR="0039143E" w:rsidRDefault="000C10DD">
      <w:pPr>
        <w:spacing w:after="0" w:line="259" w:lineRule="auto"/>
        <w:ind w:left="0" w:right="0" w:firstLine="0"/>
        <w:jc w:val="left"/>
      </w:pPr>
      <w:r>
        <w:rPr>
          <w:b/>
        </w:rPr>
        <w:t xml:space="preserve"> </w:t>
      </w:r>
    </w:p>
    <w:p w14:paraId="6B19CB2A" w14:textId="5793F388" w:rsidR="00E179EE" w:rsidRDefault="00937C3D" w:rsidP="003376C0">
      <w:pPr>
        <w:pStyle w:val="Style3"/>
      </w:pPr>
      <w:r w:rsidRPr="00937C3D">
        <w:rPr>
          <w:b/>
          <w:bCs/>
        </w:rPr>
        <w:t>Objective:</w:t>
      </w:r>
      <w:r>
        <w:t xml:space="preserve"> </w:t>
      </w:r>
      <w:r w:rsidR="00E179EE">
        <w:t>T</w:t>
      </w:r>
      <w:r w:rsidR="00E179EE" w:rsidRPr="00E179EE">
        <w:t>his study investigates the effect of financial report preparation training on MSME competency and its implications for financial report quality in MSMEs guided by the West Java Chamber of Commerce and Industry (KADIN) in Bandung.</w:t>
      </w:r>
    </w:p>
    <w:p w14:paraId="54675E54" w14:textId="77777777" w:rsidR="00E179EE" w:rsidRDefault="00937C3D" w:rsidP="003376C0">
      <w:pPr>
        <w:pStyle w:val="Style3"/>
      </w:pPr>
      <w:r w:rsidRPr="00937C3D">
        <w:rPr>
          <w:b/>
          <w:bCs/>
        </w:rPr>
        <w:t xml:space="preserve">Research </w:t>
      </w:r>
      <w:proofErr w:type="gramStart"/>
      <w:r w:rsidRPr="00937C3D">
        <w:rPr>
          <w:b/>
          <w:bCs/>
        </w:rPr>
        <w:t>Design :</w:t>
      </w:r>
      <w:proofErr w:type="gramEnd"/>
      <w:r>
        <w:t xml:space="preserve"> </w:t>
      </w:r>
      <w:r w:rsidR="00E179EE" w:rsidRPr="00E179EE">
        <w:t>he study employs a quantitative approach using a descriptive-analytical case study design with a causal framework. The relationships among variables are examined through hypothesis testing and path analysis</w:t>
      </w:r>
    </w:p>
    <w:p w14:paraId="4D569D91" w14:textId="77777777" w:rsidR="00E179EE" w:rsidRDefault="00937C3D" w:rsidP="003376C0">
      <w:pPr>
        <w:pStyle w:val="Style3"/>
      </w:pPr>
      <w:r w:rsidRPr="00937C3D">
        <w:rPr>
          <w:b/>
          <w:bCs/>
        </w:rPr>
        <w:t xml:space="preserve">Location and Duration </w:t>
      </w:r>
      <w:proofErr w:type="gramStart"/>
      <w:r w:rsidRPr="00937C3D">
        <w:rPr>
          <w:b/>
          <w:bCs/>
        </w:rPr>
        <w:t>Study :</w:t>
      </w:r>
      <w:proofErr w:type="gramEnd"/>
      <w:r>
        <w:t xml:space="preserve"> </w:t>
      </w:r>
      <w:r w:rsidR="00E179EE" w:rsidRPr="00E179EE">
        <w:t>The research was conducted on MSMEs guided by West Java KADIN in Bandung during the COVID-19 pandemic.</w:t>
      </w:r>
    </w:p>
    <w:p w14:paraId="64F879D9" w14:textId="4933463E" w:rsidR="00937C3D" w:rsidRDefault="00937C3D" w:rsidP="003376C0">
      <w:pPr>
        <w:pStyle w:val="Style3"/>
      </w:pPr>
      <w:proofErr w:type="gramStart"/>
      <w:r w:rsidRPr="00937C3D">
        <w:rPr>
          <w:b/>
          <w:bCs/>
        </w:rPr>
        <w:t>Methodology :</w:t>
      </w:r>
      <w:proofErr w:type="gramEnd"/>
      <w:r w:rsidRPr="00937C3D">
        <w:rPr>
          <w:b/>
          <w:bCs/>
        </w:rPr>
        <w:t xml:space="preserve"> </w:t>
      </w:r>
      <w:r w:rsidR="00E179EE" w:rsidRPr="00E179EE">
        <w:t>Primary data were collected using a structured questionnaire with a five-point Likert scale. The sample consisted of 39 respondents selected through purposive sampling from the guided MSME group. The instrument included 12 items measuring financial report preparation training, 13 items measuring competency, and 14 items measuring financial report quality. Data were analyzed using descriptive statistics and inferential analysis in SPSS. Hypotheses were tested using the t test, and the proposed causal relationships were assessed using path analysis.</w:t>
      </w:r>
    </w:p>
    <w:p w14:paraId="4B7DDBA6" w14:textId="77777777" w:rsidR="00E179EE" w:rsidRDefault="00937C3D" w:rsidP="003376C0">
      <w:pPr>
        <w:pStyle w:val="Style3"/>
      </w:pPr>
      <w:r w:rsidRPr="00937C3D">
        <w:rPr>
          <w:b/>
          <w:bCs/>
        </w:rPr>
        <w:t>Results:</w:t>
      </w:r>
      <w:r>
        <w:t xml:space="preserve"> </w:t>
      </w:r>
      <w:r w:rsidR="00E179EE" w:rsidRPr="00E179EE">
        <w:t>The findings show that financial report preparation training has a positive and significant effect on competency (Sig. = 0.024; B = 0.312). Competency has a positive and significant effect on financial report quality (Sig. = 0.001). Financial report preparation training also has a positive and significant direct effect on financial report quality (Sig. = 0.018). These results indicate that training improves financial report quality both directly and indirectly through increased competency.</w:t>
      </w:r>
    </w:p>
    <w:p w14:paraId="0D7DA792" w14:textId="38A54DBF" w:rsidR="00937C3D" w:rsidRDefault="00937C3D" w:rsidP="003376C0">
      <w:pPr>
        <w:pStyle w:val="Style3"/>
      </w:pPr>
      <w:r w:rsidRPr="00937C3D">
        <w:rPr>
          <w:b/>
          <w:bCs/>
        </w:rPr>
        <w:t>Conclusion:</w:t>
      </w:r>
      <w:r>
        <w:t xml:space="preserve"> </w:t>
      </w:r>
      <w:r w:rsidR="00C854B2" w:rsidRPr="00C854B2">
        <w:t>Financial report preparation training strengthens MSME competency and improves the quality of financial reports. The study recommends future research using larger and more diverse samples and longer study coverage to enhance generalizability and to capture broader MSME conditions related to SAK-EMKM implementation and financing access.</w:t>
      </w:r>
    </w:p>
    <w:p w14:paraId="24B40898" w14:textId="77777777" w:rsidR="0039143E" w:rsidRDefault="000C10DD">
      <w:pPr>
        <w:spacing w:after="0" w:line="259" w:lineRule="auto"/>
        <w:ind w:left="0" w:right="0" w:firstLine="0"/>
        <w:jc w:val="left"/>
      </w:pPr>
      <w:r>
        <w:rPr>
          <w:sz w:val="16"/>
        </w:rPr>
        <w:t xml:space="preserve">_____________________________________________________________________________________________________ </w:t>
      </w:r>
    </w:p>
    <w:p w14:paraId="29BA7966" w14:textId="77777777" w:rsidR="0039143E" w:rsidRDefault="000C10DD">
      <w:pPr>
        <w:spacing w:after="0" w:line="259" w:lineRule="auto"/>
        <w:ind w:left="0" w:right="0" w:firstLine="0"/>
        <w:jc w:val="left"/>
      </w:pPr>
      <w:r>
        <w:rPr>
          <w:i/>
          <w:sz w:val="16"/>
        </w:rPr>
        <w:t xml:space="preserve"> </w:t>
      </w:r>
    </w:p>
    <w:p w14:paraId="562EC980" w14:textId="5034DBCE" w:rsidR="0039143E" w:rsidRDefault="0039143E">
      <w:pPr>
        <w:spacing w:after="12" w:line="259" w:lineRule="auto"/>
        <w:ind w:left="0" w:right="0" w:firstLine="0"/>
        <w:jc w:val="left"/>
      </w:pPr>
    </w:p>
    <w:p w14:paraId="1E28E64E" w14:textId="5FF7D6CF" w:rsidR="0039143E" w:rsidRDefault="0039143E" w:rsidP="00937C3D">
      <w:pPr>
        <w:spacing w:after="0" w:line="259" w:lineRule="auto"/>
        <w:ind w:left="0" w:right="0" w:firstLine="0"/>
        <w:jc w:val="left"/>
      </w:pPr>
    </w:p>
    <w:p w14:paraId="0EE344DD" w14:textId="5F233ED1" w:rsidR="0039143E" w:rsidRDefault="000C10DD" w:rsidP="00E179EE">
      <w:pPr>
        <w:spacing w:after="4" w:line="249" w:lineRule="auto"/>
        <w:ind w:left="1080" w:right="0" w:hanging="1080"/>
        <w:sectPr w:rsidR="0039143E" w:rsidSect="009C23D4">
          <w:headerReference w:type="even" r:id="rId8"/>
          <w:headerReference w:type="default" r:id="rId9"/>
          <w:footerReference w:type="even" r:id="rId10"/>
          <w:footerReference w:type="default" r:id="rId11"/>
          <w:headerReference w:type="first" r:id="rId12"/>
          <w:footerReference w:type="first" r:id="rId13"/>
          <w:pgSz w:w="11909" w:h="16834"/>
          <w:pgMar w:top="1020" w:right="1338" w:bottom="863" w:left="1440" w:header="720" w:footer="720" w:gutter="0"/>
          <w:pgNumType w:start="200"/>
          <w:cols w:space="720"/>
          <w:titlePg/>
        </w:sectPr>
      </w:pPr>
      <w:r>
        <w:rPr>
          <w:i/>
        </w:rPr>
        <w:t xml:space="preserve">Keywords: </w:t>
      </w:r>
      <w:r w:rsidR="00E179EE" w:rsidRPr="00E179EE">
        <w:rPr>
          <w:i/>
        </w:rPr>
        <w:t>Training in preparing financial reports; competency; quality of financial reports</w:t>
      </w:r>
    </w:p>
    <w:p w14:paraId="3FD58397" w14:textId="77777777" w:rsidR="0039143E" w:rsidRDefault="000C10DD">
      <w:pPr>
        <w:spacing w:after="0" w:line="259" w:lineRule="auto"/>
        <w:ind w:left="0" w:right="0" w:firstLine="0"/>
        <w:jc w:val="left"/>
      </w:pPr>
      <w:r>
        <w:rPr>
          <w:b/>
          <w:sz w:val="22"/>
        </w:rPr>
        <w:t xml:space="preserve"> </w:t>
      </w:r>
    </w:p>
    <w:p w14:paraId="481F9232" w14:textId="4A0A66E4" w:rsidR="0039143E" w:rsidRDefault="0039143E">
      <w:pPr>
        <w:spacing w:after="40" w:line="259" w:lineRule="auto"/>
        <w:ind w:left="0" w:right="0" w:firstLine="0"/>
        <w:jc w:val="left"/>
      </w:pPr>
    </w:p>
    <w:p w14:paraId="7E386A3E" w14:textId="77777777" w:rsidR="0039143E" w:rsidRDefault="000C10DD">
      <w:pPr>
        <w:pStyle w:val="Heading1"/>
        <w:ind w:left="230" w:hanging="245"/>
      </w:pPr>
      <w:r>
        <w:t>INTRODUCTION</w:t>
      </w:r>
    </w:p>
    <w:p w14:paraId="5550C3CF" w14:textId="77777777" w:rsidR="0039143E" w:rsidRDefault="000C10DD">
      <w:pPr>
        <w:spacing w:after="19" w:line="259" w:lineRule="auto"/>
        <w:ind w:left="0" w:right="0" w:firstLine="0"/>
        <w:jc w:val="left"/>
      </w:pPr>
      <w:r>
        <w:rPr>
          <w:b/>
          <w:sz w:val="16"/>
        </w:rPr>
        <w:t xml:space="preserve"> </w:t>
      </w:r>
    </w:p>
    <w:p w14:paraId="43CD0634" w14:textId="7E8627BE"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Micro, Small, and Medium Enterprises (MSMEs) have a crucial role in driving a country's economic growth. Currently, the number of MSMEs in Indonesia has reached 65.64 million and is expected to continue to increase every year. The increase in the number of MSMEs has a positive impact, one of which is the creation of significant jobs (</w:t>
      </w:r>
      <w:proofErr w:type="spellStart"/>
      <w:r w:rsidR="00F13B2C" w:rsidRPr="00F13B2C">
        <w:rPr>
          <w:rFonts w:ascii="Segoe UI" w:hAnsi="Segoe UI" w:cs="Segoe UI"/>
          <w:sz w:val="21"/>
          <w:szCs w:val="21"/>
          <w:shd w:val="clear" w:color="auto" w:fill="FFFFFF"/>
        </w:rPr>
        <w:t>Khumairo</w:t>
      </w:r>
      <w:proofErr w:type="spellEnd"/>
      <w:r w:rsidR="00F13B2C">
        <w:rPr>
          <w:rFonts w:ascii="Segoe UI" w:hAnsi="Segoe UI" w:cs="Segoe UI"/>
          <w:sz w:val="21"/>
          <w:szCs w:val="21"/>
          <w:shd w:val="clear" w:color="auto" w:fill="FFFFFF"/>
        </w:rPr>
        <w:t xml:space="preserve"> et al., 2025)</w:t>
      </w:r>
      <w:r w:rsidRPr="009A10D0">
        <w:rPr>
          <w:rFonts w:ascii="Arial" w:hAnsi="Arial" w:cs="Arial"/>
          <w:sz w:val="20"/>
          <w:szCs w:val="20"/>
        </w:rPr>
        <w:t>. Thus, MSMEs contribute directly to reducing unemployment rates and helping to reduce poverty rates</w:t>
      </w:r>
      <w:r w:rsidR="00F13B2C">
        <w:rPr>
          <w:rFonts w:ascii="Arial" w:hAnsi="Arial" w:cs="Arial"/>
          <w:sz w:val="20"/>
          <w:szCs w:val="20"/>
        </w:rPr>
        <w:t xml:space="preserve">. Ahmed et al., </w:t>
      </w:r>
      <w:r w:rsidRPr="009A10D0">
        <w:rPr>
          <w:rFonts w:ascii="Arial" w:hAnsi="Arial" w:cs="Arial"/>
          <w:sz w:val="20"/>
          <w:szCs w:val="20"/>
        </w:rPr>
        <w:t>(202</w:t>
      </w:r>
      <w:r w:rsidR="00F13B2C">
        <w:rPr>
          <w:rFonts w:ascii="Arial" w:hAnsi="Arial" w:cs="Arial"/>
          <w:sz w:val="20"/>
          <w:szCs w:val="20"/>
        </w:rPr>
        <w:t>4</w:t>
      </w:r>
      <w:r w:rsidRPr="009A10D0">
        <w:rPr>
          <w:rFonts w:ascii="Arial" w:hAnsi="Arial" w:cs="Arial"/>
          <w:sz w:val="20"/>
          <w:szCs w:val="20"/>
        </w:rPr>
        <w:t xml:space="preserve">) explains that </w:t>
      </w:r>
      <w:r w:rsidRPr="009A10D0">
        <w:rPr>
          <w:rFonts w:ascii="Arial" w:hAnsi="Arial" w:cs="Arial"/>
          <w:sz w:val="20"/>
          <w:szCs w:val="20"/>
        </w:rPr>
        <w:lastRenderedPageBreak/>
        <w:t>MSMEs play a role in absorbing labor, increasing market demand, strengthening people's purchasing power, and encouraging investment, which provides benefits both in terms of macro and microeconomics.</w:t>
      </w:r>
    </w:p>
    <w:p w14:paraId="2B73DE0C" w14:textId="53A53877"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However, in their operations, MSMEs face various challenges, including tight business competition, economic instability due to the pandemic, and financial problems. One of the main obstacles in the financial aspect is that many MSMEs do not implement systematic accounting records. Lack of understanding in accounting hinders effective business management, making it difficult for them to make strategic decisions. Many small entrepreneurs do not understand the importance of bookkeeping, which has an impact on the difficulty in separating business capital and personal capital. This causes ambiguity in determining profit or loss and measuring the development of business capital (</w:t>
      </w:r>
      <w:r w:rsidR="00F13B2C">
        <w:rPr>
          <w:rFonts w:ascii="Arial" w:hAnsi="Arial" w:cs="Arial"/>
          <w:sz w:val="20"/>
          <w:szCs w:val="20"/>
        </w:rPr>
        <w:t>Astuti &amp; Rahmawati</w:t>
      </w:r>
      <w:r w:rsidRPr="009A10D0">
        <w:rPr>
          <w:rFonts w:ascii="Arial" w:hAnsi="Arial" w:cs="Arial"/>
          <w:sz w:val="20"/>
          <w:szCs w:val="20"/>
        </w:rPr>
        <w:t>, 202</w:t>
      </w:r>
      <w:r w:rsidR="00F13B2C">
        <w:rPr>
          <w:rFonts w:ascii="Arial" w:hAnsi="Arial" w:cs="Arial"/>
          <w:sz w:val="20"/>
          <w:szCs w:val="20"/>
        </w:rPr>
        <w:t>0</w:t>
      </w:r>
      <w:r w:rsidRPr="009A10D0">
        <w:rPr>
          <w:rFonts w:ascii="Arial" w:hAnsi="Arial" w:cs="Arial"/>
          <w:sz w:val="20"/>
          <w:szCs w:val="20"/>
        </w:rPr>
        <w:t>).</w:t>
      </w:r>
    </w:p>
    <w:p w14:paraId="171A2E14" w14:textId="410CF72C"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Unlike large companies that generally have a mature financial management system, many MSMEs start their businesses from scratch without having adequate knowledge of business financial management. If accounting information is available and implemented properly, MSME financial management will be more effective, especially in understanding cash flow, profits, and business losses. Accounting information also plays an important role in making business decisions, determining selling prices, analyzing market developments, and evaluating business performance over time (</w:t>
      </w:r>
      <w:r w:rsidR="00F13B2C">
        <w:rPr>
          <w:rFonts w:ascii="Arial" w:hAnsi="Arial" w:cs="Arial"/>
          <w:sz w:val="20"/>
          <w:szCs w:val="20"/>
        </w:rPr>
        <w:t>Hidayat &amp; Sari,</w:t>
      </w:r>
      <w:r w:rsidRPr="009A10D0">
        <w:rPr>
          <w:rFonts w:ascii="Arial" w:hAnsi="Arial" w:cs="Arial"/>
          <w:sz w:val="20"/>
          <w:szCs w:val="20"/>
        </w:rPr>
        <w:t xml:space="preserve"> 202</w:t>
      </w:r>
      <w:r w:rsidR="00F13B2C">
        <w:rPr>
          <w:rFonts w:ascii="Arial" w:hAnsi="Arial" w:cs="Arial"/>
          <w:sz w:val="20"/>
          <w:szCs w:val="20"/>
        </w:rPr>
        <w:t>2</w:t>
      </w:r>
      <w:r w:rsidRPr="009A10D0">
        <w:rPr>
          <w:rFonts w:ascii="Arial" w:hAnsi="Arial" w:cs="Arial"/>
          <w:sz w:val="20"/>
          <w:szCs w:val="20"/>
        </w:rPr>
        <w:t>).</w:t>
      </w:r>
    </w:p>
    <w:p w14:paraId="62668630" w14:textId="6B644819"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Financial reports have a vital role in business because they provide relevant and accurate information to support strategic decision making. The preparation of good financial reports allows business owners to have a clear picture of the company's financial condition. However, in practice, many MSMEs face various challenges in preparing financial reports, especially due to the lack of understanding and skills in implementing applicable accounting standards. Difficulty in understanding the benefits of accounting information is also a major obstacle to managing a business efficiently</w:t>
      </w:r>
      <w:r w:rsidR="00F13B2C">
        <w:rPr>
          <w:rFonts w:ascii="Arial" w:hAnsi="Arial" w:cs="Arial"/>
          <w:sz w:val="20"/>
          <w:szCs w:val="20"/>
        </w:rPr>
        <w:t xml:space="preserve"> (</w:t>
      </w:r>
      <w:r w:rsidR="00F13B2C" w:rsidRPr="00F13B2C">
        <w:rPr>
          <w:rFonts w:ascii="Arial" w:hAnsi="Arial" w:cs="Arial"/>
          <w:sz w:val="20"/>
          <w:szCs w:val="20"/>
        </w:rPr>
        <w:t xml:space="preserve">Nur </w:t>
      </w:r>
      <w:proofErr w:type="spellStart"/>
      <w:r w:rsidR="00F13B2C" w:rsidRPr="00F13B2C">
        <w:rPr>
          <w:rFonts w:ascii="Arial" w:hAnsi="Arial" w:cs="Arial"/>
          <w:sz w:val="20"/>
          <w:szCs w:val="20"/>
        </w:rPr>
        <w:t>Janah</w:t>
      </w:r>
      <w:proofErr w:type="spellEnd"/>
      <w:r w:rsidR="00F13B2C">
        <w:rPr>
          <w:rFonts w:ascii="Arial" w:hAnsi="Arial" w:cs="Arial"/>
          <w:sz w:val="20"/>
          <w:szCs w:val="20"/>
        </w:rPr>
        <w:t xml:space="preserve"> </w:t>
      </w:r>
      <w:r w:rsidR="00F13B2C" w:rsidRPr="00F13B2C">
        <w:rPr>
          <w:rFonts w:ascii="Arial" w:hAnsi="Arial" w:cs="Arial"/>
          <w:sz w:val="20"/>
          <w:szCs w:val="20"/>
        </w:rPr>
        <w:t xml:space="preserve">&amp; </w:t>
      </w:r>
      <w:proofErr w:type="spellStart"/>
      <w:r w:rsidR="00F13B2C" w:rsidRPr="00F13B2C">
        <w:rPr>
          <w:rFonts w:ascii="Arial" w:hAnsi="Arial" w:cs="Arial"/>
          <w:sz w:val="20"/>
          <w:szCs w:val="20"/>
        </w:rPr>
        <w:t>Qurochman</w:t>
      </w:r>
      <w:proofErr w:type="spellEnd"/>
      <w:r w:rsidR="00F13B2C">
        <w:rPr>
          <w:rFonts w:ascii="Arial" w:hAnsi="Arial" w:cs="Arial"/>
          <w:sz w:val="20"/>
          <w:szCs w:val="20"/>
        </w:rPr>
        <w:t>, 2023)</w:t>
      </w:r>
      <w:r w:rsidRPr="009A10D0">
        <w:rPr>
          <w:rFonts w:ascii="Arial" w:hAnsi="Arial" w:cs="Arial"/>
          <w:sz w:val="20"/>
          <w:szCs w:val="20"/>
        </w:rPr>
        <w:t>.</w:t>
      </w:r>
    </w:p>
    <w:p w14:paraId="1236BFE0" w14:textId="77777777"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To overcome these challenges, financial accounting training can be an effective solution in improving the understanding of MSME actors regarding correct accounting principles. With training, they can understand the importance of financial recording, preparing reports systematically, and implementing appropriate accounting standards. Research on the implementation of accounting in the MSME sector can provide broader insights into the best way to prepare and utilize financial reports to comply with applicable standards. Thus, the implementation of good accounting in MSMEs can improve business efficiency, strengthen competitiveness, and encourage more sustainable economic growth.</w:t>
      </w:r>
    </w:p>
    <w:p w14:paraId="596B9F15" w14:textId="77777777" w:rsidR="009A10D0" w:rsidRPr="009A10D0" w:rsidRDefault="009A10D0" w:rsidP="009A10D0">
      <w:pPr>
        <w:pStyle w:val="NormalWeb"/>
        <w:shd w:val="clear" w:color="auto" w:fill="FFFFFF"/>
        <w:jc w:val="both"/>
        <w:rPr>
          <w:rFonts w:ascii="Arial" w:hAnsi="Arial" w:cs="Arial"/>
          <w:b/>
          <w:sz w:val="20"/>
          <w:szCs w:val="20"/>
          <w:shd w:val="clear" w:color="auto" w:fill="FFFFFF"/>
        </w:rPr>
      </w:pPr>
      <w:r w:rsidRPr="009A10D0">
        <w:rPr>
          <w:rFonts w:ascii="Arial" w:hAnsi="Arial" w:cs="Arial"/>
          <w:sz w:val="20"/>
          <w:szCs w:val="20"/>
        </w:rPr>
        <w:t>Currently, the number of MSMEs in West Java is 1.4 million (Data from the Ministry of Cooperatives &amp; MSMEs, 2024) while according to West Java BPS it is 4.4 million (22 February 2024, jabarprov.go.id), and data recorded according to West Java BPS is the number of MSMEs in West Java in 2020 there were 625,943, in 2021 there were 622,225, and in 2022 there were 667,795 (jabar.bps.go.id/), with micro-scale MSMEs in 2020 at 2.55%, in 2021 at 3.42% , and in 2022 it will be 4.79%, with the growth of MSMEs from 2017 to 2022 recorded in 2017 growing 99.04%, in 2018 growing 99.04%, in 2019 growing 99.06%, in 2020 growing 99, 06%, in 2021 it will grow 99.11%, and in 2022 it will grow 99.15%.</w:t>
      </w:r>
      <w:r w:rsidRPr="009A10D0">
        <w:rPr>
          <w:rFonts w:ascii="Arial" w:hAnsi="Arial" w:cs="Arial"/>
          <w:b/>
          <w:sz w:val="20"/>
          <w:szCs w:val="20"/>
          <w:shd w:val="clear" w:color="auto" w:fill="FFFFFF"/>
        </w:rPr>
        <w:t xml:space="preserve">                                                                    </w:t>
      </w:r>
    </w:p>
    <w:p w14:paraId="10C2D700" w14:textId="77777777" w:rsidR="009A10D0" w:rsidRPr="009A10D0" w:rsidRDefault="009A10D0" w:rsidP="009A10D0">
      <w:pPr>
        <w:pStyle w:val="NormalWeb"/>
        <w:shd w:val="clear" w:color="auto" w:fill="FFFFFF"/>
        <w:ind w:firstLine="720"/>
        <w:jc w:val="both"/>
        <w:rPr>
          <w:rFonts w:ascii="Arial" w:hAnsi="Arial" w:cs="Arial"/>
          <w:b/>
          <w:sz w:val="20"/>
          <w:szCs w:val="20"/>
          <w:shd w:val="clear" w:color="auto" w:fill="FFFFFF"/>
        </w:rPr>
      </w:pPr>
      <w:r w:rsidRPr="009A10D0">
        <w:rPr>
          <w:rFonts w:ascii="Arial" w:hAnsi="Arial" w:cs="Arial"/>
          <w:b/>
          <w:sz w:val="20"/>
          <w:szCs w:val="20"/>
          <w:shd w:val="clear" w:color="auto" w:fill="FFFFFF"/>
        </w:rPr>
        <w:t xml:space="preserve">                                                                 Table 1</w:t>
      </w:r>
    </w:p>
    <w:p w14:paraId="1DBEE3D5" w14:textId="77777777" w:rsidR="009A10D0" w:rsidRPr="009A10D0" w:rsidRDefault="009A10D0" w:rsidP="009A10D0">
      <w:pPr>
        <w:pStyle w:val="NormalWeb"/>
        <w:shd w:val="clear" w:color="auto" w:fill="FFFFFF"/>
        <w:jc w:val="center"/>
        <w:rPr>
          <w:rFonts w:ascii="Arial" w:hAnsi="Arial" w:cs="Arial"/>
          <w:b/>
          <w:sz w:val="20"/>
          <w:szCs w:val="20"/>
          <w:shd w:val="clear" w:color="auto" w:fill="FFFFFF"/>
        </w:rPr>
      </w:pPr>
      <w:r w:rsidRPr="009A10D0">
        <w:rPr>
          <w:rFonts w:ascii="Arial" w:hAnsi="Arial" w:cs="Arial"/>
          <w:b/>
          <w:sz w:val="20"/>
          <w:szCs w:val="20"/>
          <w:shd w:val="clear" w:color="auto" w:fill="FFFFFF"/>
        </w:rPr>
        <w:t>Data on Total MSMEs, Micro MSMEs and Their Growth</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1675"/>
        <w:gridCol w:w="1729"/>
        <w:gridCol w:w="1732"/>
      </w:tblGrid>
      <w:tr w:rsidR="009A10D0" w:rsidRPr="009A10D0" w14:paraId="0B7DBA77" w14:textId="77777777" w:rsidTr="009A10D0">
        <w:trPr>
          <w:trHeight w:val="529"/>
          <w:jc w:val="center"/>
        </w:trPr>
        <w:tc>
          <w:tcPr>
            <w:tcW w:w="3514" w:type="dxa"/>
            <w:tcBorders>
              <w:top w:val="single" w:sz="4" w:space="0" w:color="auto"/>
              <w:left w:val="single" w:sz="4" w:space="0" w:color="auto"/>
              <w:bottom w:val="single" w:sz="4" w:space="0" w:color="auto"/>
              <w:right w:val="single" w:sz="4" w:space="0" w:color="auto"/>
            </w:tcBorders>
            <w:hideMark/>
          </w:tcPr>
          <w:p w14:paraId="3F372B22" w14:textId="77777777" w:rsidR="009A10D0" w:rsidRPr="009A10D0" w:rsidRDefault="009A10D0" w:rsidP="009A10D0">
            <w:pPr>
              <w:pStyle w:val="NormalWeb"/>
              <w:jc w:val="both"/>
              <w:rPr>
                <w:rFonts w:ascii="Arial" w:hAnsi="Arial" w:cs="Arial"/>
                <w:sz w:val="20"/>
                <w:szCs w:val="20"/>
                <w:shd w:val="clear" w:color="auto" w:fill="FFFFFF"/>
              </w:rPr>
            </w:pPr>
            <w:r w:rsidRPr="009A10D0">
              <w:rPr>
                <w:rFonts w:ascii="Arial" w:hAnsi="Arial" w:cs="Arial"/>
                <w:sz w:val="20"/>
                <w:szCs w:val="20"/>
                <w:shd w:val="clear" w:color="auto" w:fill="FFFFFF"/>
              </w:rPr>
              <w:t>Number of West Java MSMEs</w:t>
            </w:r>
          </w:p>
          <w:p w14:paraId="427E9F81" w14:textId="77777777" w:rsidR="009A10D0" w:rsidRPr="009A10D0" w:rsidRDefault="009A10D0" w:rsidP="009A10D0">
            <w:pPr>
              <w:pStyle w:val="NormalWeb"/>
              <w:jc w:val="both"/>
              <w:rPr>
                <w:rFonts w:ascii="Arial" w:hAnsi="Arial" w:cs="Arial"/>
                <w:sz w:val="20"/>
                <w:szCs w:val="20"/>
                <w:shd w:val="clear" w:color="auto" w:fill="FFFFFF"/>
              </w:rPr>
            </w:pPr>
            <w:r w:rsidRPr="009A10D0">
              <w:rPr>
                <w:rFonts w:ascii="Arial" w:hAnsi="Arial" w:cs="Arial"/>
                <w:sz w:val="20"/>
                <w:szCs w:val="20"/>
                <w:shd w:val="clear" w:color="auto" w:fill="FFFFFF"/>
              </w:rPr>
              <w:t>(2024, Data from the West Java Ministry of Cooperatives &amp; MSMEs),</w:t>
            </w:r>
          </w:p>
        </w:tc>
        <w:tc>
          <w:tcPr>
            <w:tcW w:w="5136" w:type="dxa"/>
            <w:gridSpan w:val="3"/>
            <w:tcBorders>
              <w:top w:val="single" w:sz="4" w:space="0" w:color="auto"/>
              <w:left w:val="single" w:sz="4" w:space="0" w:color="auto"/>
              <w:bottom w:val="single" w:sz="4" w:space="0" w:color="auto"/>
              <w:right w:val="single" w:sz="4" w:space="0" w:color="auto"/>
            </w:tcBorders>
            <w:hideMark/>
          </w:tcPr>
          <w:p w14:paraId="0EB9DDC6" w14:textId="77777777" w:rsidR="009A10D0" w:rsidRPr="009A10D0" w:rsidRDefault="009A10D0" w:rsidP="009A10D0">
            <w:pPr>
              <w:pStyle w:val="NormalWeb"/>
              <w:ind w:left="360"/>
              <w:jc w:val="center"/>
              <w:rPr>
                <w:rFonts w:ascii="Arial" w:hAnsi="Arial" w:cs="Arial"/>
                <w:sz w:val="20"/>
                <w:szCs w:val="20"/>
                <w:shd w:val="clear" w:color="auto" w:fill="FFFFFF"/>
              </w:rPr>
            </w:pPr>
            <w:r w:rsidRPr="009A10D0">
              <w:rPr>
                <w:rFonts w:ascii="Arial" w:hAnsi="Arial" w:cs="Arial"/>
                <w:sz w:val="20"/>
                <w:szCs w:val="20"/>
                <w:shd w:val="clear" w:color="auto" w:fill="FFFFFF"/>
              </w:rPr>
              <w:t>1.4 million</w:t>
            </w:r>
          </w:p>
        </w:tc>
      </w:tr>
      <w:tr w:rsidR="009A10D0" w:rsidRPr="009A10D0" w14:paraId="4F1D2346" w14:textId="77777777" w:rsidTr="009A10D0">
        <w:trPr>
          <w:trHeight w:val="348"/>
          <w:jc w:val="center"/>
        </w:trPr>
        <w:tc>
          <w:tcPr>
            <w:tcW w:w="3514" w:type="dxa"/>
            <w:tcBorders>
              <w:top w:val="single" w:sz="4" w:space="0" w:color="auto"/>
              <w:left w:val="single" w:sz="4" w:space="0" w:color="auto"/>
              <w:bottom w:val="single" w:sz="4" w:space="0" w:color="auto"/>
              <w:right w:val="single" w:sz="4" w:space="0" w:color="auto"/>
            </w:tcBorders>
            <w:hideMark/>
          </w:tcPr>
          <w:p w14:paraId="71673048" w14:textId="77777777" w:rsidR="009A10D0" w:rsidRPr="009A10D0" w:rsidRDefault="009A10D0" w:rsidP="009A10D0">
            <w:pPr>
              <w:pStyle w:val="NormalWeb"/>
              <w:jc w:val="both"/>
              <w:rPr>
                <w:rFonts w:ascii="Arial" w:hAnsi="Arial" w:cs="Arial"/>
                <w:sz w:val="20"/>
                <w:szCs w:val="20"/>
                <w:shd w:val="clear" w:color="auto" w:fill="FFFFFF"/>
              </w:rPr>
            </w:pPr>
            <w:r w:rsidRPr="009A10D0">
              <w:rPr>
                <w:rFonts w:ascii="Arial" w:hAnsi="Arial" w:cs="Arial"/>
                <w:sz w:val="20"/>
                <w:szCs w:val="20"/>
                <w:shd w:val="clear" w:color="auto" w:fill="FFFFFF"/>
              </w:rPr>
              <w:t>Number of West Java MSMEs</w:t>
            </w:r>
          </w:p>
          <w:p w14:paraId="1EB43E2F" w14:textId="77777777" w:rsidR="009A10D0" w:rsidRPr="009A10D0" w:rsidRDefault="009A10D0" w:rsidP="009A10D0">
            <w:pPr>
              <w:pStyle w:val="NormalWeb"/>
              <w:jc w:val="both"/>
              <w:rPr>
                <w:rFonts w:ascii="Arial" w:hAnsi="Arial" w:cs="Arial"/>
                <w:sz w:val="20"/>
                <w:szCs w:val="20"/>
                <w:shd w:val="clear" w:color="auto" w:fill="FFFFFF"/>
              </w:rPr>
            </w:pPr>
            <w:r w:rsidRPr="009A10D0">
              <w:rPr>
                <w:rFonts w:ascii="Arial" w:hAnsi="Arial" w:cs="Arial"/>
                <w:sz w:val="20"/>
                <w:szCs w:val="20"/>
                <w:shd w:val="clear" w:color="auto" w:fill="FFFFFF"/>
              </w:rPr>
              <w:t xml:space="preserve">(22 </w:t>
            </w:r>
            <w:proofErr w:type="spellStart"/>
            <w:r w:rsidRPr="009A10D0">
              <w:rPr>
                <w:rFonts w:ascii="Arial" w:hAnsi="Arial" w:cs="Arial"/>
                <w:sz w:val="20"/>
                <w:szCs w:val="20"/>
                <w:shd w:val="clear" w:color="auto" w:fill="FFFFFF"/>
              </w:rPr>
              <w:t>feb</w:t>
            </w:r>
            <w:proofErr w:type="spellEnd"/>
            <w:r w:rsidRPr="009A10D0">
              <w:rPr>
                <w:rFonts w:ascii="Arial" w:hAnsi="Arial" w:cs="Arial"/>
                <w:sz w:val="20"/>
                <w:szCs w:val="20"/>
                <w:shd w:val="clear" w:color="auto" w:fill="FFFFFF"/>
              </w:rPr>
              <w:t xml:space="preserve"> 2024,</w:t>
            </w:r>
            <w:hyperlink r:id="rId14" w:history="1">
              <w:r w:rsidRPr="009A10D0">
                <w:rPr>
                  <w:rStyle w:val="Hyperlink"/>
                  <w:rFonts w:ascii="Arial" w:eastAsia="Arial" w:hAnsi="Arial" w:cs="Arial"/>
                  <w:sz w:val="20"/>
                  <w:szCs w:val="20"/>
                </w:rPr>
                <w:t>jabarprov.go.id</w:t>
              </w:r>
            </w:hyperlink>
            <w:r w:rsidRPr="009A10D0">
              <w:rPr>
                <w:rFonts w:ascii="Arial" w:hAnsi="Arial" w:cs="Arial"/>
                <w:sz w:val="20"/>
                <w:szCs w:val="20"/>
              </w:rPr>
              <w:t>),</w:t>
            </w:r>
          </w:p>
        </w:tc>
        <w:tc>
          <w:tcPr>
            <w:tcW w:w="5136" w:type="dxa"/>
            <w:gridSpan w:val="3"/>
            <w:tcBorders>
              <w:top w:val="single" w:sz="4" w:space="0" w:color="auto"/>
              <w:left w:val="single" w:sz="4" w:space="0" w:color="auto"/>
              <w:bottom w:val="single" w:sz="4" w:space="0" w:color="auto"/>
              <w:right w:val="single" w:sz="4" w:space="0" w:color="auto"/>
            </w:tcBorders>
            <w:hideMark/>
          </w:tcPr>
          <w:p w14:paraId="03C246A7" w14:textId="77777777" w:rsidR="009A10D0" w:rsidRPr="009A10D0" w:rsidRDefault="009A10D0" w:rsidP="009A10D0">
            <w:pPr>
              <w:pStyle w:val="NormalWeb"/>
              <w:ind w:left="360"/>
              <w:jc w:val="center"/>
              <w:rPr>
                <w:rFonts w:ascii="Arial" w:hAnsi="Arial" w:cs="Arial"/>
                <w:sz w:val="20"/>
                <w:szCs w:val="20"/>
                <w:shd w:val="clear" w:color="auto" w:fill="FFFFFF"/>
              </w:rPr>
            </w:pPr>
            <w:r w:rsidRPr="009A10D0">
              <w:rPr>
                <w:rFonts w:ascii="Arial" w:hAnsi="Arial" w:cs="Arial"/>
                <w:sz w:val="20"/>
                <w:szCs w:val="20"/>
                <w:shd w:val="clear" w:color="auto" w:fill="FFFFFF"/>
              </w:rPr>
              <w:t>4,4 million</w:t>
            </w:r>
          </w:p>
        </w:tc>
      </w:tr>
      <w:tr w:rsidR="009A10D0" w:rsidRPr="009A10D0" w14:paraId="2D3E39D2" w14:textId="77777777" w:rsidTr="009A10D0">
        <w:trPr>
          <w:trHeight w:val="167"/>
          <w:jc w:val="center"/>
        </w:trPr>
        <w:tc>
          <w:tcPr>
            <w:tcW w:w="3514" w:type="dxa"/>
            <w:vMerge w:val="restart"/>
            <w:tcBorders>
              <w:top w:val="single" w:sz="4" w:space="0" w:color="auto"/>
              <w:left w:val="single" w:sz="4" w:space="0" w:color="auto"/>
              <w:bottom w:val="single" w:sz="4" w:space="0" w:color="auto"/>
              <w:right w:val="single" w:sz="4" w:space="0" w:color="auto"/>
            </w:tcBorders>
            <w:hideMark/>
          </w:tcPr>
          <w:p w14:paraId="2BDF0D85" w14:textId="77777777" w:rsidR="009A10D0" w:rsidRPr="009A10D0" w:rsidRDefault="009A10D0" w:rsidP="009A10D0">
            <w:pPr>
              <w:pStyle w:val="NormalWeb"/>
              <w:jc w:val="both"/>
              <w:rPr>
                <w:rFonts w:ascii="Arial" w:hAnsi="Arial" w:cs="Arial"/>
                <w:sz w:val="20"/>
                <w:szCs w:val="20"/>
                <w:shd w:val="clear" w:color="auto" w:fill="FFFFFF"/>
              </w:rPr>
            </w:pPr>
            <w:r w:rsidRPr="009A10D0">
              <w:rPr>
                <w:rFonts w:ascii="Arial" w:hAnsi="Arial" w:cs="Arial"/>
                <w:sz w:val="20"/>
                <w:szCs w:val="20"/>
                <w:shd w:val="clear" w:color="auto" w:fill="FFFFFF"/>
              </w:rPr>
              <w:t xml:space="preserve">Number of West Java MSMEs </w:t>
            </w:r>
          </w:p>
          <w:p w14:paraId="27168009" w14:textId="77777777" w:rsidR="009A10D0" w:rsidRPr="009A10D0" w:rsidRDefault="009A10D0" w:rsidP="009A10D0">
            <w:pPr>
              <w:pStyle w:val="NormalWeb"/>
              <w:jc w:val="both"/>
              <w:rPr>
                <w:rFonts w:ascii="Arial" w:hAnsi="Arial" w:cs="Arial"/>
                <w:sz w:val="20"/>
                <w:szCs w:val="20"/>
                <w:shd w:val="clear" w:color="auto" w:fill="FFFFFF"/>
              </w:rPr>
            </w:pPr>
            <w:r w:rsidRPr="009A10D0">
              <w:rPr>
                <w:rFonts w:ascii="Arial" w:hAnsi="Arial" w:cs="Arial"/>
                <w:sz w:val="20"/>
                <w:szCs w:val="20"/>
              </w:rPr>
              <w:t>(</w:t>
            </w:r>
            <w:hyperlink r:id="rId15" w:history="1">
              <w:r w:rsidRPr="009A10D0">
                <w:rPr>
                  <w:rStyle w:val="Hyperlink"/>
                  <w:rFonts w:ascii="Arial" w:eastAsia="Arial" w:hAnsi="Arial" w:cs="Arial"/>
                  <w:sz w:val="20"/>
                  <w:szCs w:val="20"/>
                </w:rPr>
                <w:t>jabar.bps.go.id</w:t>
              </w:r>
            </w:hyperlink>
            <w:r w:rsidRPr="009A10D0">
              <w:rPr>
                <w:rFonts w:ascii="Arial" w:hAnsi="Arial" w:cs="Arial"/>
                <w:sz w:val="20"/>
                <w:szCs w:val="20"/>
              </w:rPr>
              <w:t>),</w:t>
            </w:r>
          </w:p>
        </w:tc>
        <w:tc>
          <w:tcPr>
            <w:tcW w:w="1675" w:type="dxa"/>
            <w:tcBorders>
              <w:top w:val="single" w:sz="4" w:space="0" w:color="auto"/>
              <w:left w:val="single" w:sz="4" w:space="0" w:color="auto"/>
              <w:bottom w:val="single" w:sz="4" w:space="0" w:color="auto"/>
              <w:right w:val="single" w:sz="4" w:space="0" w:color="auto"/>
            </w:tcBorders>
            <w:hideMark/>
          </w:tcPr>
          <w:p w14:paraId="253A8F25"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shd w:val="clear" w:color="auto" w:fill="FFFFFF"/>
              </w:rPr>
              <w:t>2020</w:t>
            </w:r>
          </w:p>
        </w:tc>
        <w:tc>
          <w:tcPr>
            <w:tcW w:w="1729" w:type="dxa"/>
            <w:tcBorders>
              <w:top w:val="single" w:sz="4" w:space="0" w:color="auto"/>
              <w:left w:val="single" w:sz="4" w:space="0" w:color="auto"/>
              <w:bottom w:val="single" w:sz="4" w:space="0" w:color="auto"/>
              <w:right w:val="single" w:sz="4" w:space="0" w:color="auto"/>
            </w:tcBorders>
            <w:hideMark/>
          </w:tcPr>
          <w:p w14:paraId="529248EB"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 xml:space="preserve">2021 </w:t>
            </w:r>
          </w:p>
        </w:tc>
        <w:tc>
          <w:tcPr>
            <w:tcW w:w="1730" w:type="dxa"/>
            <w:tcBorders>
              <w:top w:val="single" w:sz="4" w:space="0" w:color="auto"/>
              <w:left w:val="single" w:sz="4" w:space="0" w:color="auto"/>
              <w:bottom w:val="single" w:sz="4" w:space="0" w:color="auto"/>
              <w:right w:val="single" w:sz="4" w:space="0" w:color="auto"/>
            </w:tcBorders>
            <w:hideMark/>
          </w:tcPr>
          <w:p w14:paraId="51044E57"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 xml:space="preserve">2022 </w:t>
            </w:r>
          </w:p>
        </w:tc>
      </w:tr>
      <w:tr w:rsidR="009A10D0" w:rsidRPr="009A10D0" w14:paraId="59A22A13" w14:textId="77777777" w:rsidTr="009A10D0">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CFB70" w14:textId="77777777" w:rsidR="009A10D0" w:rsidRPr="009A10D0" w:rsidRDefault="009A10D0" w:rsidP="009A10D0">
            <w:pPr>
              <w:ind w:left="0" w:firstLine="0"/>
              <w:rPr>
                <w:szCs w:val="20"/>
                <w:shd w:val="clear" w:color="auto" w:fill="FFFFFF"/>
              </w:rPr>
            </w:pPr>
          </w:p>
        </w:tc>
        <w:tc>
          <w:tcPr>
            <w:tcW w:w="1675" w:type="dxa"/>
            <w:tcBorders>
              <w:top w:val="single" w:sz="4" w:space="0" w:color="auto"/>
              <w:left w:val="single" w:sz="4" w:space="0" w:color="auto"/>
              <w:bottom w:val="single" w:sz="4" w:space="0" w:color="auto"/>
              <w:right w:val="single" w:sz="4" w:space="0" w:color="auto"/>
            </w:tcBorders>
            <w:hideMark/>
          </w:tcPr>
          <w:p w14:paraId="0986E2D7"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625.943</w:t>
            </w:r>
          </w:p>
        </w:tc>
        <w:tc>
          <w:tcPr>
            <w:tcW w:w="1729" w:type="dxa"/>
            <w:tcBorders>
              <w:top w:val="single" w:sz="4" w:space="0" w:color="auto"/>
              <w:left w:val="single" w:sz="4" w:space="0" w:color="auto"/>
              <w:bottom w:val="single" w:sz="4" w:space="0" w:color="auto"/>
              <w:right w:val="single" w:sz="4" w:space="0" w:color="auto"/>
            </w:tcBorders>
            <w:hideMark/>
          </w:tcPr>
          <w:p w14:paraId="16B8FBD8"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622.225</w:t>
            </w:r>
          </w:p>
        </w:tc>
        <w:tc>
          <w:tcPr>
            <w:tcW w:w="1730" w:type="dxa"/>
            <w:tcBorders>
              <w:top w:val="single" w:sz="4" w:space="0" w:color="auto"/>
              <w:left w:val="single" w:sz="4" w:space="0" w:color="auto"/>
              <w:bottom w:val="single" w:sz="4" w:space="0" w:color="auto"/>
              <w:right w:val="single" w:sz="4" w:space="0" w:color="auto"/>
            </w:tcBorders>
            <w:hideMark/>
          </w:tcPr>
          <w:p w14:paraId="51A2479D"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667.795</w:t>
            </w:r>
          </w:p>
        </w:tc>
      </w:tr>
      <w:tr w:rsidR="009A10D0" w:rsidRPr="009A10D0" w14:paraId="5960CDA0" w14:textId="77777777" w:rsidTr="009A10D0">
        <w:trPr>
          <w:trHeight w:val="167"/>
          <w:jc w:val="center"/>
        </w:trPr>
        <w:tc>
          <w:tcPr>
            <w:tcW w:w="3514" w:type="dxa"/>
            <w:tcBorders>
              <w:top w:val="single" w:sz="4" w:space="0" w:color="auto"/>
              <w:left w:val="single" w:sz="4" w:space="0" w:color="auto"/>
              <w:bottom w:val="single" w:sz="4" w:space="0" w:color="auto"/>
              <w:right w:val="single" w:sz="4" w:space="0" w:color="auto"/>
            </w:tcBorders>
            <w:hideMark/>
          </w:tcPr>
          <w:p w14:paraId="3D350527" w14:textId="77777777" w:rsidR="009A10D0" w:rsidRPr="009A10D0" w:rsidRDefault="009A10D0" w:rsidP="009A10D0">
            <w:pPr>
              <w:pStyle w:val="NormalWeb"/>
              <w:jc w:val="both"/>
              <w:rPr>
                <w:rFonts w:ascii="Arial" w:hAnsi="Arial" w:cs="Arial"/>
                <w:sz w:val="20"/>
                <w:szCs w:val="20"/>
                <w:shd w:val="clear" w:color="auto" w:fill="FFFFFF"/>
              </w:rPr>
            </w:pPr>
            <w:r w:rsidRPr="009A10D0">
              <w:rPr>
                <w:rFonts w:ascii="Arial" w:hAnsi="Arial" w:cs="Arial"/>
                <w:sz w:val="20"/>
                <w:szCs w:val="20"/>
                <w:shd w:val="clear" w:color="auto" w:fill="FFFFFF"/>
              </w:rPr>
              <w:t xml:space="preserve">Micro Category </w:t>
            </w:r>
          </w:p>
        </w:tc>
        <w:tc>
          <w:tcPr>
            <w:tcW w:w="1675" w:type="dxa"/>
            <w:tcBorders>
              <w:top w:val="single" w:sz="4" w:space="0" w:color="auto"/>
              <w:left w:val="single" w:sz="4" w:space="0" w:color="auto"/>
              <w:bottom w:val="single" w:sz="4" w:space="0" w:color="auto"/>
              <w:right w:val="single" w:sz="4" w:space="0" w:color="auto"/>
            </w:tcBorders>
            <w:hideMark/>
          </w:tcPr>
          <w:p w14:paraId="36137260"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2,55%,</w:t>
            </w:r>
          </w:p>
        </w:tc>
        <w:tc>
          <w:tcPr>
            <w:tcW w:w="1729" w:type="dxa"/>
            <w:tcBorders>
              <w:top w:val="single" w:sz="4" w:space="0" w:color="auto"/>
              <w:left w:val="single" w:sz="4" w:space="0" w:color="auto"/>
              <w:bottom w:val="single" w:sz="4" w:space="0" w:color="auto"/>
              <w:right w:val="single" w:sz="4" w:space="0" w:color="auto"/>
            </w:tcBorders>
            <w:hideMark/>
          </w:tcPr>
          <w:p w14:paraId="2317921C"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3,42%,</w:t>
            </w:r>
          </w:p>
        </w:tc>
        <w:tc>
          <w:tcPr>
            <w:tcW w:w="1730" w:type="dxa"/>
            <w:tcBorders>
              <w:top w:val="single" w:sz="4" w:space="0" w:color="auto"/>
              <w:left w:val="single" w:sz="4" w:space="0" w:color="auto"/>
              <w:bottom w:val="single" w:sz="4" w:space="0" w:color="auto"/>
              <w:right w:val="single" w:sz="4" w:space="0" w:color="auto"/>
            </w:tcBorders>
            <w:hideMark/>
          </w:tcPr>
          <w:p w14:paraId="5A4D0FB7"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4,79%,</w:t>
            </w:r>
          </w:p>
        </w:tc>
      </w:tr>
      <w:tr w:rsidR="009A10D0" w:rsidRPr="009A10D0" w14:paraId="0FFC9191" w14:textId="77777777" w:rsidTr="009A10D0">
        <w:trPr>
          <w:trHeight w:val="167"/>
          <w:jc w:val="center"/>
        </w:trPr>
        <w:tc>
          <w:tcPr>
            <w:tcW w:w="3514" w:type="dxa"/>
            <w:tcBorders>
              <w:top w:val="single" w:sz="4" w:space="0" w:color="auto"/>
              <w:left w:val="single" w:sz="4" w:space="0" w:color="auto"/>
              <w:bottom w:val="single" w:sz="4" w:space="0" w:color="auto"/>
              <w:right w:val="single" w:sz="4" w:space="0" w:color="auto"/>
            </w:tcBorders>
            <w:hideMark/>
          </w:tcPr>
          <w:p w14:paraId="71BD4D69" w14:textId="77777777" w:rsidR="009A10D0" w:rsidRPr="009A10D0" w:rsidRDefault="009A10D0" w:rsidP="009A10D0">
            <w:pPr>
              <w:pStyle w:val="NormalWeb"/>
              <w:jc w:val="both"/>
              <w:rPr>
                <w:rFonts w:ascii="Arial" w:hAnsi="Arial" w:cs="Arial"/>
                <w:sz w:val="20"/>
                <w:szCs w:val="20"/>
                <w:shd w:val="clear" w:color="auto" w:fill="FFFFFF"/>
              </w:rPr>
            </w:pPr>
            <w:r w:rsidRPr="009A10D0">
              <w:rPr>
                <w:rFonts w:ascii="Arial" w:hAnsi="Arial" w:cs="Arial"/>
                <w:sz w:val="20"/>
                <w:szCs w:val="20"/>
                <w:shd w:val="clear" w:color="auto" w:fill="FFFFFF"/>
              </w:rPr>
              <w:t>Growth rate</w:t>
            </w:r>
          </w:p>
        </w:tc>
        <w:tc>
          <w:tcPr>
            <w:tcW w:w="1675" w:type="dxa"/>
            <w:tcBorders>
              <w:top w:val="single" w:sz="4" w:space="0" w:color="auto"/>
              <w:left w:val="single" w:sz="4" w:space="0" w:color="auto"/>
              <w:bottom w:val="single" w:sz="4" w:space="0" w:color="auto"/>
              <w:right w:val="single" w:sz="4" w:space="0" w:color="auto"/>
            </w:tcBorders>
            <w:hideMark/>
          </w:tcPr>
          <w:p w14:paraId="064FB0A1"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+ 99,06%,</w:t>
            </w:r>
          </w:p>
        </w:tc>
        <w:tc>
          <w:tcPr>
            <w:tcW w:w="1729" w:type="dxa"/>
            <w:tcBorders>
              <w:top w:val="single" w:sz="4" w:space="0" w:color="auto"/>
              <w:left w:val="single" w:sz="4" w:space="0" w:color="auto"/>
              <w:bottom w:val="single" w:sz="4" w:space="0" w:color="auto"/>
              <w:right w:val="single" w:sz="4" w:space="0" w:color="auto"/>
            </w:tcBorders>
            <w:hideMark/>
          </w:tcPr>
          <w:p w14:paraId="3A37D127"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+ 99,11%,</w:t>
            </w:r>
          </w:p>
        </w:tc>
        <w:tc>
          <w:tcPr>
            <w:tcW w:w="1730" w:type="dxa"/>
            <w:tcBorders>
              <w:top w:val="single" w:sz="4" w:space="0" w:color="auto"/>
              <w:left w:val="single" w:sz="4" w:space="0" w:color="auto"/>
              <w:bottom w:val="single" w:sz="4" w:space="0" w:color="auto"/>
              <w:right w:val="single" w:sz="4" w:space="0" w:color="auto"/>
            </w:tcBorders>
            <w:hideMark/>
          </w:tcPr>
          <w:p w14:paraId="0A5F95A5" w14:textId="77777777" w:rsidR="009A10D0" w:rsidRPr="009A10D0" w:rsidRDefault="009A10D0" w:rsidP="009A10D0">
            <w:pPr>
              <w:pStyle w:val="NormalWeb"/>
              <w:ind w:left="360"/>
              <w:jc w:val="both"/>
              <w:rPr>
                <w:rFonts w:ascii="Arial" w:hAnsi="Arial" w:cs="Arial"/>
                <w:sz w:val="20"/>
                <w:szCs w:val="20"/>
                <w:shd w:val="clear" w:color="auto" w:fill="FFFFFF"/>
              </w:rPr>
            </w:pPr>
            <w:r w:rsidRPr="009A10D0">
              <w:rPr>
                <w:rFonts w:ascii="Arial" w:hAnsi="Arial" w:cs="Arial"/>
                <w:sz w:val="20"/>
                <w:szCs w:val="20"/>
              </w:rPr>
              <w:t>+ 99,15%.</w:t>
            </w:r>
          </w:p>
        </w:tc>
      </w:tr>
    </w:tbl>
    <w:p w14:paraId="67692B1C" w14:textId="77777777" w:rsidR="009A10D0" w:rsidRPr="009A10D0" w:rsidRDefault="009A10D0" w:rsidP="009A10D0">
      <w:pPr>
        <w:pStyle w:val="NormalWeb"/>
        <w:shd w:val="clear" w:color="auto" w:fill="FFFFFF"/>
        <w:jc w:val="both"/>
        <w:rPr>
          <w:rFonts w:ascii="Arial" w:hAnsi="Arial" w:cs="Arial"/>
          <w:b/>
          <w:i/>
          <w:sz w:val="20"/>
          <w:szCs w:val="20"/>
          <w:shd w:val="clear" w:color="auto" w:fill="FFFFFF"/>
        </w:rPr>
      </w:pPr>
      <w:r w:rsidRPr="009A10D0">
        <w:rPr>
          <w:rFonts w:ascii="Arial" w:hAnsi="Arial" w:cs="Arial"/>
          <w:b/>
          <w:i/>
          <w:sz w:val="20"/>
          <w:szCs w:val="20"/>
        </w:rPr>
        <w:t>(</w:t>
      </w:r>
      <w:hyperlink r:id="rId16" w:history="1">
        <w:r w:rsidRPr="009A10D0">
          <w:rPr>
            <w:rStyle w:val="Hyperlink"/>
            <w:rFonts w:ascii="Arial" w:eastAsia="Arial" w:hAnsi="Arial" w:cs="Arial"/>
            <w:b/>
            <w:i/>
            <w:sz w:val="20"/>
            <w:szCs w:val="20"/>
          </w:rPr>
          <w:t>jabarprov.go.id</w:t>
        </w:r>
      </w:hyperlink>
      <w:r w:rsidRPr="009A10D0">
        <w:rPr>
          <w:rFonts w:ascii="Arial" w:hAnsi="Arial" w:cs="Arial"/>
          <w:b/>
          <w:i/>
          <w:sz w:val="20"/>
          <w:szCs w:val="20"/>
        </w:rPr>
        <w:t>) (</w:t>
      </w:r>
      <w:hyperlink r:id="rId17" w:history="1">
        <w:r w:rsidRPr="009A10D0">
          <w:rPr>
            <w:rStyle w:val="Hyperlink"/>
            <w:rFonts w:ascii="Arial" w:eastAsia="Arial" w:hAnsi="Arial" w:cs="Arial"/>
            <w:b/>
            <w:i/>
            <w:sz w:val="20"/>
            <w:szCs w:val="20"/>
          </w:rPr>
          <w:t>jabar.bps.go.id</w:t>
        </w:r>
      </w:hyperlink>
      <w:r w:rsidRPr="009A10D0">
        <w:rPr>
          <w:rFonts w:ascii="Arial" w:hAnsi="Arial" w:cs="Arial"/>
          <w:b/>
          <w:i/>
          <w:sz w:val="20"/>
          <w:szCs w:val="20"/>
        </w:rPr>
        <w:t>)</w:t>
      </w:r>
    </w:p>
    <w:p w14:paraId="48A7BD4B" w14:textId="77777777" w:rsidR="009A10D0" w:rsidRPr="009A10D0" w:rsidRDefault="009A10D0" w:rsidP="009A10D0">
      <w:pPr>
        <w:pStyle w:val="NormalWeb"/>
        <w:shd w:val="clear" w:color="auto" w:fill="FFFFFF"/>
        <w:ind w:firstLine="720"/>
        <w:jc w:val="both"/>
        <w:rPr>
          <w:rFonts w:ascii="Arial" w:hAnsi="Arial" w:cs="Arial"/>
          <w:sz w:val="20"/>
          <w:szCs w:val="20"/>
          <w:shd w:val="clear" w:color="auto" w:fill="FFFFFF"/>
        </w:rPr>
      </w:pPr>
    </w:p>
    <w:p w14:paraId="6615C434" w14:textId="77777777"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shd w:val="clear" w:color="auto" w:fill="FFFFFF"/>
        </w:rPr>
        <w:t xml:space="preserve">Of all MSMEs in West Java, 77.5% of MSMEs do not have financial reports and the remainder, only 22.5%, have financial reports, details of the types of financial reports that MSMEs have, amounting to 23.2% preparing balance sheets, amounting to 34 .3% for profit and loss, cash flow for 34.4%, and inventory for 30.9%. However, there are still many MSMEs that do not use accounting to support their business activities. The reasons why MSMEs do not use accounting include that accounting is </w:t>
      </w:r>
      <w:r w:rsidRPr="009A10D0">
        <w:rPr>
          <w:rFonts w:ascii="Arial" w:hAnsi="Arial" w:cs="Arial"/>
          <w:sz w:val="20"/>
          <w:szCs w:val="20"/>
          <w:shd w:val="clear" w:color="auto" w:fill="FFFFFF"/>
        </w:rPr>
        <w:lastRenderedPageBreak/>
        <w:t>considered difficult and unimportant. If MSME businesses do not have financial reports, then they will have difficulty managing their finances. effectively and efficiently, without financial reports MSME entrepreneurs will not have a clear picture of the company's financial condition, such as assets, debts, income and costs.</w:t>
      </w:r>
    </w:p>
    <w:p w14:paraId="6C14F68C" w14:textId="77777777" w:rsidR="009A10D0" w:rsidRPr="009A10D0" w:rsidRDefault="009A10D0" w:rsidP="009A10D0">
      <w:pPr>
        <w:pStyle w:val="NormalWeb"/>
        <w:shd w:val="clear" w:color="auto" w:fill="FFFFFF"/>
        <w:ind w:firstLine="720"/>
        <w:jc w:val="both"/>
        <w:rPr>
          <w:rFonts w:ascii="Arial" w:hAnsi="Arial" w:cs="Arial"/>
          <w:b/>
          <w:sz w:val="20"/>
          <w:szCs w:val="20"/>
        </w:rPr>
      </w:pPr>
      <w:r w:rsidRPr="009A10D0">
        <w:rPr>
          <w:rFonts w:ascii="Arial" w:hAnsi="Arial" w:cs="Arial"/>
          <w:b/>
          <w:sz w:val="20"/>
          <w:szCs w:val="20"/>
        </w:rPr>
        <w:t xml:space="preserve">                                                             </w:t>
      </w:r>
    </w:p>
    <w:p w14:paraId="7B435C21" w14:textId="77777777" w:rsidR="009A10D0" w:rsidRPr="009A10D0" w:rsidRDefault="009A10D0" w:rsidP="009A10D0">
      <w:pPr>
        <w:pStyle w:val="NormalWeb"/>
        <w:shd w:val="clear" w:color="auto" w:fill="FFFFFF"/>
        <w:ind w:firstLine="720"/>
        <w:jc w:val="both"/>
        <w:rPr>
          <w:rFonts w:ascii="Arial" w:hAnsi="Arial" w:cs="Arial"/>
          <w:b/>
          <w:sz w:val="20"/>
          <w:szCs w:val="20"/>
        </w:rPr>
      </w:pPr>
    </w:p>
    <w:p w14:paraId="6232672E" w14:textId="77777777" w:rsidR="009A10D0" w:rsidRPr="009A10D0" w:rsidRDefault="009A10D0" w:rsidP="009A10D0">
      <w:pPr>
        <w:pStyle w:val="NormalWeb"/>
        <w:shd w:val="clear" w:color="auto" w:fill="FFFFFF"/>
        <w:ind w:firstLine="720"/>
        <w:jc w:val="both"/>
        <w:rPr>
          <w:rFonts w:ascii="Arial" w:hAnsi="Arial" w:cs="Arial"/>
          <w:b/>
          <w:sz w:val="20"/>
          <w:szCs w:val="20"/>
        </w:rPr>
      </w:pPr>
      <w:r w:rsidRPr="009A10D0">
        <w:rPr>
          <w:rFonts w:ascii="Arial" w:hAnsi="Arial" w:cs="Arial"/>
          <w:b/>
          <w:sz w:val="20"/>
          <w:szCs w:val="20"/>
        </w:rPr>
        <w:t xml:space="preserve">                                                               Table 2</w:t>
      </w:r>
    </w:p>
    <w:p w14:paraId="42AD4007" w14:textId="77777777" w:rsidR="009A10D0" w:rsidRPr="009A10D0" w:rsidRDefault="009A10D0" w:rsidP="009A10D0">
      <w:pPr>
        <w:pStyle w:val="NormalWeb"/>
        <w:shd w:val="clear" w:color="auto" w:fill="FFFFFF"/>
        <w:ind w:firstLine="720"/>
        <w:jc w:val="both"/>
        <w:rPr>
          <w:rFonts w:ascii="Arial" w:hAnsi="Arial" w:cs="Arial"/>
          <w:sz w:val="20"/>
          <w:szCs w:val="20"/>
        </w:rPr>
      </w:pPr>
      <w:r w:rsidRPr="009A10D0">
        <w:rPr>
          <w:rFonts w:ascii="Arial" w:hAnsi="Arial" w:cs="Arial"/>
          <w:b/>
          <w:sz w:val="20"/>
          <w:szCs w:val="20"/>
        </w:rPr>
        <w:t xml:space="preserve">                                        West Java MSME Training Map</w:t>
      </w:r>
    </w:p>
    <w:tbl>
      <w:tblPr>
        <w:tblW w:w="4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43"/>
        <w:gridCol w:w="1530"/>
        <w:gridCol w:w="1694"/>
        <w:gridCol w:w="1611"/>
      </w:tblGrid>
      <w:tr w:rsidR="009A10D0" w:rsidRPr="009A10D0" w14:paraId="12834DA7" w14:textId="77777777" w:rsidTr="009A10D0">
        <w:trPr>
          <w:jc w:val="center"/>
        </w:trPr>
        <w:tc>
          <w:tcPr>
            <w:tcW w:w="1154" w:type="pct"/>
            <w:tcBorders>
              <w:top w:val="single" w:sz="4" w:space="0" w:color="auto"/>
              <w:left w:val="single" w:sz="4" w:space="0" w:color="auto"/>
              <w:bottom w:val="single" w:sz="4" w:space="0" w:color="auto"/>
              <w:right w:val="single" w:sz="4" w:space="0" w:color="auto"/>
            </w:tcBorders>
            <w:hideMark/>
          </w:tcPr>
          <w:p w14:paraId="0B7E311A" w14:textId="77777777" w:rsidR="009A10D0" w:rsidRPr="009A10D0" w:rsidRDefault="009A10D0">
            <w:pPr>
              <w:pStyle w:val="NormalWeb"/>
              <w:jc w:val="both"/>
              <w:rPr>
                <w:rFonts w:ascii="Arial" w:hAnsi="Arial" w:cs="Arial"/>
                <w:sz w:val="20"/>
                <w:szCs w:val="20"/>
              </w:rPr>
            </w:pPr>
            <w:r w:rsidRPr="009A10D0">
              <w:rPr>
                <w:rFonts w:ascii="Arial" w:hAnsi="Arial" w:cs="Arial"/>
                <w:sz w:val="20"/>
                <w:szCs w:val="20"/>
              </w:rPr>
              <w:t>Overview of West Java MSME Financial Reports</w:t>
            </w:r>
          </w:p>
        </w:tc>
        <w:tc>
          <w:tcPr>
            <w:tcW w:w="884" w:type="pct"/>
            <w:tcBorders>
              <w:top w:val="single" w:sz="4" w:space="0" w:color="auto"/>
              <w:left w:val="single" w:sz="4" w:space="0" w:color="auto"/>
              <w:bottom w:val="single" w:sz="4" w:space="0" w:color="auto"/>
              <w:right w:val="single" w:sz="4" w:space="0" w:color="auto"/>
            </w:tcBorders>
            <w:hideMark/>
          </w:tcPr>
          <w:p w14:paraId="032E5CC9"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rPr>
              <w:t>Does not have Financial Reports</w:t>
            </w:r>
          </w:p>
        </w:tc>
        <w:tc>
          <w:tcPr>
            <w:tcW w:w="937" w:type="pct"/>
            <w:tcBorders>
              <w:top w:val="single" w:sz="4" w:space="0" w:color="auto"/>
              <w:left w:val="single" w:sz="4" w:space="0" w:color="auto"/>
              <w:bottom w:val="single" w:sz="4" w:space="0" w:color="auto"/>
              <w:right w:val="single" w:sz="4" w:space="0" w:color="auto"/>
            </w:tcBorders>
            <w:hideMark/>
          </w:tcPr>
          <w:p w14:paraId="24AA3030"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rPr>
              <w:t>Have Financial Reports</w:t>
            </w:r>
          </w:p>
        </w:tc>
        <w:tc>
          <w:tcPr>
            <w:tcW w:w="1038" w:type="pct"/>
            <w:tcBorders>
              <w:top w:val="single" w:sz="4" w:space="0" w:color="auto"/>
              <w:left w:val="single" w:sz="4" w:space="0" w:color="auto"/>
              <w:bottom w:val="single" w:sz="4" w:space="0" w:color="auto"/>
              <w:right w:val="single" w:sz="4" w:space="0" w:color="auto"/>
            </w:tcBorders>
            <w:hideMark/>
          </w:tcPr>
          <w:p w14:paraId="30075883"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rPr>
              <w:t>Have Financial Reports</w:t>
            </w:r>
          </w:p>
        </w:tc>
        <w:tc>
          <w:tcPr>
            <w:tcW w:w="987" w:type="pct"/>
            <w:tcBorders>
              <w:top w:val="single" w:sz="4" w:space="0" w:color="auto"/>
              <w:left w:val="single" w:sz="4" w:space="0" w:color="auto"/>
              <w:bottom w:val="single" w:sz="4" w:space="0" w:color="auto"/>
              <w:right w:val="single" w:sz="4" w:space="0" w:color="auto"/>
            </w:tcBorders>
            <w:hideMark/>
          </w:tcPr>
          <w:p w14:paraId="24DB777A"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rPr>
              <w:t>Description</w:t>
            </w:r>
          </w:p>
        </w:tc>
      </w:tr>
      <w:tr w:rsidR="009A10D0" w:rsidRPr="009A10D0" w14:paraId="31247B2B" w14:textId="77777777" w:rsidTr="009A10D0">
        <w:trPr>
          <w:jc w:val="center"/>
        </w:trPr>
        <w:tc>
          <w:tcPr>
            <w:tcW w:w="1154" w:type="pct"/>
            <w:tcBorders>
              <w:top w:val="single" w:sz="4" w:space="0" w:color="auto"/>
              <w:left w:val="single" w:sz="4" w:space="0" w:color="auto"/>
              <w:bottom w:val="single" w:sz="4" w:space="0" w:color="auto"/>
              <w:right w:val="single" w:sz="4" w:space="0" w:color="auto"/>
            </w:tcBorders>
            <w:hideMark/>
          </w:tcPr>
          <w:p w14:paraId="5246BA56" w14:textId="77777777" w:rsidR="009A10D0" w:rsidRPr="009A10D0" w:rsidRDefault="009A10D0">
            <w:pPr>
              <w:pStyle w:val="NormalWeb"/>
              <w:jc w:val="both"/>
              <w:rPr>
                <w:rFonts w:ascii="Arial" w:hAnsi="Arial" w:cs="Arial"/>
                <w:sz w:val="20"/>
                <w:szCs w:val="20"/>
              </w:rPr>
            </w:pPr>
            <w:r w:rsidRPr="009A10D0">
              <w:rPr>
                <w:rFonts w:ascii="Arial" w:hAnsi="Arial" w:cs="Arial"/>
                <w:sz w:val="20"/>
                <w:szCs w:val="20"/>
              </w:rPr>
              <w:t>Amount</w:t>
            </w:r>
          </w:p>
        </w:tc>
        <w:tc>
          <w:tcPr>
            <w:tcW w:w="884" w:type="pct"/>
            <w:tcBorders>
              <w:top w:val="single" w:sz="4" w:space="0" w:color="auto"/>
              <w:left w:val="single" w:sz="4" w:space="0" w:color="auto"/>
              <w:bottom w:val="single" w:sz="4" w:space="0" w:color="auto"/>
              <w:right w:val="single" w:sz="4" w:space="0" w:color="auto"/>
            </w:tcBorders>
            <w:hideMark/>
          </w:tcPr>
          <w:p w14:paraId="7E6757B2"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rPr>
              <w:t>77,5%</w:t>
            </w:r>
          </w:p>
        </w:tc>
        <w:tc>
          <w:tcPr>
            <w:tcW w:w="937" w:type="pct"/>
            <w:tcBorders>
              <w:top w:val="single" w:sz="4" w:space="0" w:color="auto"/>
              <w:left w:val="single" w:sz="4" w:space="0" w:color="auto"/>
              <w:bottom w:val="single" w:sz="4" w:space="0" w:color="auto"/>
              <w:right w:val="single" w:sz="4" w:space="0" w:color="auto"/>
            </w:tcBorders>
            <w:hideMark/>
          </w:tcPr>
          <w:p w14:paraId="5D9C3B6D"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rPr>
              <w:t>22,5%</w:t>
            </w:r>
          </w:p>
        </w:tc>
        <w:tc>
          <w:tcPr>
            <w:tcW w:w="1038" w:type="pct"/>
            <w:tcBorders>
              <w:top w:val="single" w:sz="4" w:space="0" w:color="auto"/>
              <w:left w:val="single" w:sz="4" w:space="0" w:color="auto"/>
              <w:bottom w:val="single" w:sz="4" w:space="0" w:color="auto"/>
              <w:right w:val="single" w:sz="4" w:space="0" w:color="auto"/>
            </w:tcBorders>
            <w:hideMark/>
          </w:tcPr>
          <w:p w14:paraId="4DA0B6DD"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rPr>
              <w:t>22,5%</w:t>
            </w:r>
          </w:p>
        </w:tc>
        <w:tc>
          <w:tcPr>
            <w:tcW w:w="987" w:type="pct"/>
            <w:tcBorders>
              <w:top w:val="single" w:sz="4" w:space="0" w:color="auto"/>
              <w:left w:val="single" w:sz="4" w:space="0" w:color="auto"/>
              <w:bottom w:val="single" w:sz="4" w:space="0" w:color="auto"/>
              <w:right w:val="single" w:sz="4" w:space="0" w:color="auto"/>
            </w:tcBorders>
          </w:tcPr>
          <w:p w14:paraId="29941633" w14:textId="77777777" w:rsidR="009A10D0" w:rsidRPr="009A10D0" w:rsidRDefault="009A10D0">
            <w:pPr>
              <w:pStyle w:val="NormalWeb"/>
              <w:jc w:val="center"/>
              <w:rPr>
                <w:rFonts w:ascii="Arial" w:hAnsi="Arial" w:cs="Arial"/>
                <w:sz w:val="20"/>
                <w:szCs w:val="20"/>
              </w:rPr>
            </w:pPr>
          </w:p>
        </w:tc>
      </w:tr>
      <w:tr w:rsidR="009A10D0" w:rsidRPr="009A10D0" w14:paraId="70F9A1F4" w14:textId="77777777" w:rsidTr="009A10D0">
        <w:trPr>
          <w:jc w:val="center"/>
        </w:trPr>
        <w:tc>
          <w:tcPr>
            <w:tcW w:w="1154" w:type="pct"/>
            <w:tcBorders>
              <w:top w:val="single" w:sz="4" w:space="0" w:color="auto"/>
              <w:left w:val="single" w:sz="4" w:space="0" w:color="auto"/>
              <w:bottom w:val="single" w:sz="4" w:space="0" w:color="auto"/>
              <w:right w:val="single" w:sz="4" w:space="0" w:color="auto"/>
            </w:tcBorders>
            <w:hideMark/>
          </w:tcPr>
          <w:p w14:paraId="5F95F5E3" w14:textId="77777777" w:rsidR="009A10D0" w:rsidRPr="009A10D0" w:rsidRDefault="009A10D0">
            <w:pPr>
              <w:pStyle w:val="NormalWeb"/>
              <w:jc w:val="both"/>
              <w:rPr>
                <w:rFonts w:ascii="Arial" w:hAnsi="Arial" w:cs="Arial"/>
                <w:sz w:val="20"/>
                <w:szCs w:val="20"/>
              </w:rPr>
            </w:pPr>
            <w:r w:rsidRPr="009A10D0">
              <w:rPr>
                <w:rFonts w:ascii="Arial" w:hAnsi="Arial" w:cs="Arial"/>
                <w:sz w:val="20"/>
                <w:szCs w:val="20"/>
              </w:rPr>
              <w:t>Overview of West Java MSME Financial Report Types</w:t>
            </w:r>
          </w:p>
        </w:tc>
        <w:tc>
          <w:tcPr>
            <w:tcW w:w="884" w:type="pct"/>
            <w:tcBorders>
              <w:top w:val="single" w:sz="4" w:space="0" w:color="auto"/>
              <w:left w:val="single" w:sz="4" w:space="0" w:color="auto"/>
              <w:bottom w:val="single" w:sz="4" w:space="0" w:color="auto"/>
              <w:right w:val="single" w:sz="4" w:space="0" w:color="auto"/>
            </w:tcBorders>
            <w:hideMark/>
          </w:tcPr>
          <w:p w14:paraId="1706FA6E"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shd w:val="clear" w:color="auto" w:fill="FFFFFF"/>
              </w:rPr>
              <w:t>Prepare a Balance Sheet of 23,2%</w:t>
            </w:r>
          </w:p>
        </w:tc>
        <w:tc>
          <w:tcPr>
            <w:tcW w:w="937" w:type="pct"/>
            <w:tcBorders>
              <w:top w:val="single" w:sz="4" w:space="0" w:color="auto"/>
              <w:left w:val="single" w:sz="4" w:space="0" w:color="auto"/>
              <w:bottom w:val="single" w:sz="4" w:space="0" w:color="auto"/>
              <w:right w:val="single" w:sz="4" w:space="0" w:color="auto"/>
            </w:tcBorders>
            <w:hideMark/>
          </w:tcPr>
          <w:p w14:paraId="01C21632"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shd w:val="clear" w:color="auto" w:fill="FFFFFF"/>
              </w:rPr>
              <w:t>Prepare an Income Statement to 34,3%</w:t>
            </w:r>
          </w:p>
        </w:tc>
        <w:tc>
          <w:tcPr>
            <w:tcW w:w="1038" w:type="pct"/>
            <w:tcBorders>
              <w:top w:val="single" w:sz="4" w:space="0" w:color="auto"/>
              <w:left w:val="single" w:sz="4" w:space="0" w:color="auto"/>
              <w:bottom w:val="single" w:sz="4" w:space="0" w:color="auto"/>
              <w:right w:val="single" w:sz="4" w:space="0" w:color="auto"/>
            </w:tcBorders>
            <w:hideMark/>
          </w:tcPr>
          <w:p w14:paraId="0DDA338A"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shd w:val="clear" w:color="auto" w:fill="FFFFFF"/>
              </w:rPr>
              <w:t>Prepare a Cashflow Statement to 34,4%,</w:t>
            </w:r>
          </w:p>
        </w:tc>
        <w:tc>
          <w:tcPr>
            <w:tcW w:w="987" w:type="pct"/>
            <w:tcBorders>
              <w:top w:val="single" w:sz="4" w:space="0" w:color="auto"/>
              <w:left w:val="single" w:sz="4" w:space="0" w:color="auto"/>
              <w:bottom w:val="single" w:sz="4" w:space="0" w:color="auto"/>
              <w:right w:val="single" w:sz="4" w:space="0" w:color="auto"/>
            </w:tcBorders>
            <w:hideMark/>
          </w:tcPr>
          <w:p w14:paraId="06F7F188" w14:textId="77777777" w:rsidR="009A10D0" w:rsidRPr="009A10D0" w:rsidRDefault="009A10D0">
            <w:pPr>
              <w:pStyle w:val="NormalWeb"/>
              <w:jc w:val="center"/>
              <w:rPr>
                <w:rFonts w:ascii="Arial" w:hAnsi="Arial" w:cs="Arial"/>
                <w:sz w:val="20"/>
                <w:szCs w:val="20"/>
              </w:rPr>
            </w:pPr>
            <w:r w:rsidRPr="009A10D0">
              <w:rPr>
                <w:rFonts w:ascii="Arial" w:hAnsi="Arial" w:cs="Arial"/>
                <w:sz w:val="20"/>
                <w:szCs w:val="20"/>
                <w:shd w:val="clear" w:color="auto" w:fill="FFFFFF"/>
              </w:rPr>
              <w:t>Prepare an Inventory to 30,9%.</w:t>
            </w:r>
          </w:p>
        </w:tc>
      </w:tr>
    </w:tbl>
    <w:p w14:paraId="33C70CA5" w14:textId="77777777" w:rsidR="009A10D0" w:rsidRPr="009A10D0" w:rsidRDefault="008625E5" w:rsidP="009A10D0">
      <w:pPr>
        <w:pStyle w:val="NormalWeb"/>
        <w:shd w:val="clear" w:color="auto" w:fill="FFFFFF"/>
        <w:jc w:val="both"/>
        <w:rPr>
          <w:rFonts w:ascii="Arial" w:hAnsi="Arial" w:cs="Arial"/>
          <w:i/>
          <w:sz w:val="20"/>
          <w:szCs w:val="20"/>
        </w:rPr>
      </w:pPr>
      <w:hyperlink r:id="rId18" w:history="1">
        <w:r w:rsidR="009A10D0" w:rsidRPr="009A10D0">
          <w:rPr>
            <w:rStyle w:val="Hyperlink"/>
            <w:rFonts w:ascii="Arial" w:eastAsia="Arial" w:hAnsi="Arial" w:cs="Arial"/>
            <w:b/>
            <w:i/>
            <w:sz w:val="20"/>
            <w:szCs w:val="20"/>
          </w:rPr>
          <w:t>https://accounting.binus.ac.id</w:t>
        </w:r>
        <w:r w:rsidR="009A10D0" w:rsidRPr="009A10D0">
          <w:rPr>
            <w:rStyle w:val="Hyperlink"/>
            <w:rFonts w:ascii="Arial" w:eastAsia="Arial" w:hAnsi="Arial" w:cs="Arial"/>
            <w:i/>
            <w:sz w:val="20"/>
            <w:szCs w:val="20"/>
          </w:rPr>
          <w:t>/</w:t>
        </w:r>
        <w:r w:rsidR="009A10D0" w:rsidRPr="009A10D0">
          <w:rPr>
            <w:rStyle w:val="Hyperlink"/>
            <w:rFonts w:ascii="Arial" w:eastAsia="Arial" w:hAnsi="Arial" w:cs="Arial"/>
            <w:b/>
            <w:i/>
            <w:sz w:val="20"/>
            <w:szCs w:val="20"/>
          </w:rPr>
          <w:t>2023/10/19</w:t>
        </w:r>
        <w:r w:rsidR="009A10D0" w:rsidRPr="009A10D0">
          <w:rPr>
            <w:rStyle w:val="Hyperlink"/>
            <w:rFonts w:ascii="Arial" w:eastAsia="Arial" w:hAnsi="Arial" w:cs="Arial"/>
            <w:i/>
            <w:sz w:val="20"/>
            <w:szCs w:val="20"/>
          </w:rPr>
          <w:t>/</w:t>
        </w:r>
      </w:hyperlink>
    </w:p>
    <w:p w14:paraId="67DA7A5B" w14:textId="77777777" w:rsidR="009A10D0" w:rsidRDefault="009A10D0" w:rsidP="009A10D0">
      <w:pPr>
        <w:pStyle w:val="NormalWeb"/>
        <w:shd w:val="clear" w:color="auto" w:fill="FFFFFF"/>
        <w:jc w:val="both"/>
        <w:rPr>
          <w:rFonts w:ascii="Arial" w:hAnsi="Arial" w:cs="Arial"/>
          <w:sz w:val="20"/>
          <w:szCs w:val="20"/>
        </w:rPr>
      </w:pPr>
    </w:p>
    <w:p w14:paraId="1A1B2517" w14:textId="4394E8BF"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 xml:space="preserve">The obstacle that hinders MSMEs in implementing the preparation of financial reports is their educational background, many MSMEs have never attended training in preparing financial reports using accounting and there is no need for its implementation. In fact, MSMEs can evaluate their performance periodically if correct accounting records are carried out, p. This will help MSMEs know the profits and losses resulting from their business. If MSMEs know their performance, then MSMEs can make the right decisions to improve their performance in the future. If MSMEs have competence in preparing financial reports, they can be used to fulfill the requirements for applying for </w:t>
      </w:r>
      <w:proofErr w:type="spellStart"/>
      <w:proofErr w:type="gramStart"/>
      <w:r w:rsidRPr="009A10D0">
        <w:rPr>
          <w:rFonts w:ascii="Arial" w:hAnsi="Arial" w:cs="Arial"/>
          <w:sz w:val="20"/>
          <w:szCs w:val="20"/>
        </w:rPr>
        <w:t>credit,because</w:t>
      </w:r>
      <w:proofErr w:type="spellEnd"/>
      <w:proofErr w:type="gramEnd"/>
      <w:r w:rsidRPr="009A10D0">
        <w:rPr>
          <w:rFonts w:ascii="Arial" w:hAnsi="Arial" w:cs="Arial"/>
          <w:sz w:val="20"/>
          <w:szCs w:val="20"/>
        </w:rPr>
        <w:t xml:space="preserve"> having accurate and regular financial reports will help MSMEs get credit from banks or other financial institutions. (</w:t>
      </w:r>
      <w:hyperlink r:id="rId19" w:history="1">
        <w:r w:rsidRPr="009A10D0">
          <w:rPr>
            <w:rStyle w:val="Hyperlink"/>
            <w:rFonts w:ascii="Arial" w:eastAsia="Arial" w:hAnsi="Arial" w:cs="Arial"/>
            <w:sz w:val="20"/>
            <w:szCs w:val="20"/>
          </w:rPr>
          <w:t>https://accounting.binus.ac.id/</w:t>
        </w:r>
        <w:r w:rsidRPr="009A10D0">
          <w:rPr>
            <w:rStyle w:val="Hyperlink"/>
            <w:rFonts w:ascii="Arial" w:eastAsia="Arial" w:hAnsi="Arial" w:cs="Arial"/>
            <w:b/>
            <w:sz w:val="20"/>
            <w:szCs w:val="20"/>
          </w:rPr>
          <w:t>2023/10/19</w:t>
        </w:r>
        <w:r w:rsidRPr="009A10D0">
          <w:rPr>
            <w:rStyle w:val="Hyperlink"/>
            <w:rFonts w:ascii="Arial" w:eastAsia="Arial" w:hAnsi="Arial" w:cs="Arial"/>
            <w:sz w:val="20"/>
            <w:szCs w:val="20"/>
          </w:rPr>
          <w:t>/</w:t>
        </w:r>
      </w:hyperlink>
      <w:r w:rsidRPr="009A10D0">
        <w:rPr>
          <w:rFonts w:ascii="Arial" w:hAnsi="Arial" w:cs="Arial"/>
          <w:sz w:val="20"/>
          <w:szCs w:val="20"/>
        </w:rPr>
        <w:t>).</w:t>
      </w:r>
    </w:p>
    <w:p w14:paraId="1E6AA79E" w14:textId="77777777"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Government support for MSMEs by providing training facilities is still very limited, in 2020 only 1.06% of all MSMEs received training facilities, in 2021 it rose to 1.87%, and in 2022 it rose again to 2.04 %. Apart from receiving training facilities, MSMEs are also given assistance through mentoring institutions in 2020 as much as 0.51%, in 2021 as much as 2.32%, and in 2022 as much as 2.57%, while the number of MSMEs recorded in the Online Data System in 2020 it will be 0.00%, in 2021 it will be 0.71%, and in 2022 it will be 1.44%.</w:t>
      </w:r>
    </w:p>
    <w:p w14:paraId="7CAD1E14" w14:textId="77777777"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Of course, MSMEs need to be given education, literacy, socialization and persuasion so that MSMEs take training in preparing financial reports until they are competent, so that they are able to prepare financial reports to SAK-EMKM standards, which will open access to banking, in order to obtain investment financing. The problem that arises in the field is that the performance of MSMEs sampled by 39 MSME companies assisted by the West Java Chamber of Commerce and Industry in Bandung is on average sloping as a result of the small amount of capital owned by MSMEs, due to lack of open access to banking, as a result of the lack of administrative requirements for MSMEs to banks, including the absence of quality financial reports. In the responses of 39 MSME respondents under the guidance of the West Java Chamber of Commerce and Industry, the perception of understanding of financial reports during the period studied showed that the respondents' opinions were not good, this is because MSMEs do not yet have the competence in preparing financial reports to the SAK-EMKM standard, and based on data from West Java BPS, it turns out that this is still low support for training facilities provided to MSMEs, including training in preparing financial reports.</w:t>
      </w:r>
    </w:p>
    <w:p w14:paraId="1867E2A0" w14:textId="77777777" w:rsidR="009A10D0" w:rsidRPr="009A10D0" w:rsidRDefault="009A10D0" w:rsidP="009A10D0">
      <w:pPr>
        <w:pStyle w:val="NormalWeb"/>
        <w:shd w:val="clear" w:color="auto" w:fill="FFFFFF"/>
        <w:jc w:val="both"/>
        <w:rPr>
          <w:rFonts w:ascii="Arial" w:hAnsi="Arial" w:cs="Arial"/>
          <w:sz w:val="20"/>
          <w:szCs w:val="20"/>
        </w:rPr>
      </w:pPr>
      <w:r w:rsidRPr="009A10D0">
        <w:rPr>
          <w:rFonts w:ascii="Arial" w:hAnsi="Arial" w:cs="Arial"/>
          <w:sz w:val="20"/>
          <w:szCs w:val="20"/>
        </w:rPr>
        <w:t xml:space="preserve">In order for MSMEs to recover by strengthening their capital, structured, systematic and massive efforts need to be made in providing support for training facilities, by various stakeholders including higher education institutions. In this way, it is hoped that MSMEs will find the opportunity and opportunity to take part in training in preparing financial reports until they are competent, so that they are able to prepare quality financial reports, this is important in generating MSMEs to have financing </w:t>
      </w:r>
      <w:proofErr w:type="spellStart"/>
      <w:r w:rsidRPr="009A10D0">
        <w:rPr>
          <w:rFonts w:ascii="Arial" w:hAnsi="Arial" w:cs="Arial"/>
          <w:sz w:val="20"/>
          <w:szCs w:val="20"/>
        </w:rPr>
        <w:t>capitalb</w:t>
      </w:r>
      <w:proofErr w:type="spellEnd"/>
      <w:r w:rsidRPr="009A10D0">
        <w:rPr>
          <w:rFonts w:ascii="Arial" w:hAnsi="Arial" w:cs="Arial"/>
          <w:sz w:val="20"/>
          <w:szCs w:val="20"/>
        </w:rPr>
        <w:t xml:space="preserve"> through banking access. In turn, strengthening the performance of MSMEs will have an impact on lecturer talent management and the quality of higher education towards competitiveness.</w:t>
      </w:r>
    </w:p>
    <w:p w14:paraId="4B97486C" w14:textId="77777777" w:rsidR="0039143E" w:rsidRDefault="000C10DD">
      <w:pPr>
        <w:spacing w:after="2" w:line="259" w:lineRule="auto"/>
        <w:ind w:left="0" w:right="0" w:firstLine="0"/>
        <w:jc w:val="left"/>
      </w:pPr>
      <w:r>
        <w:t xml:space="preserve"> </w:t>
      </w:r>
    </w:p>
    <w:p w14:paraId="05C233C6" w14:textId="77777777" w:rsidR="0039143E" w:rsidRDefault="000C10DD">
      <w:pPr>
        <w:pStyle w:val="Heading1"/>
        <w:ind w:left="230" w:hanging="245"/>
      </w:pPr>
      <w:r>
        <w:lastRenderedPageBreak/>
        <w:t>MATERIALS AND METHODS</w:t>
      </w:r>
    </w:p>
    <w:p w14:paraId="0648F2EC" w14:textId="121821A0" w:rsidR="0039143E" w:rsidRDefault="0039143E">
      <w:pPr>
        <w:spacing w:after="0" w:line="259" w:lineRule="auto"/>
        <w:ind w:left="0" w:right="0" w:firstLine="0"/>
        <w:jc w:val="left"/>
      </w:pPr>
    </w:p>
    <w:p w14:paraId="18F9F793" w14:textId="4C2171BC" w:rsidR="009A10D0" w:rsidRDefault="008976D0" w:rsidP="008976D0">
      <w:pPr>
        <w:autoSpaceDE w:val="0"/>
        <w:autoSpaceDN w:val="0"/>
        <w:adjustRightInd w:val="0"/>
        <w:spacing w:after="0" w:line="240" w:lineRule="auto"/>
        <w:ind w:firstLine="0"/>
        <w:rPr>
          <w:szCs w:val="20"/>
        </w:rPr>
      </w:pPr>
      <w:r w:rsidRPr="008976D0">
        <w:rPr>
          <w:szCs w:val="20"/>
        </w:rPr>
        <w:t>Financial statements, as defined in PSAK No. 1 (2015), are a structured presentation of an entity’s financial position and financial performance. They represent the final output of the accounting process because all transactions are recorded, classified, summarized, and then compiled into information that describes a company’s financial condition within a specific period, both for the current condition and for future periods (</w:t>
      </w:r>
      <w:r>
        <w:rPr>
          <w:szCs w:val="20"/>
        </w:rPr>
        <w:t xml:space="preserve">Susanto &amp; </w:t>
      </w:r>
      <w:proofErr w:type="spellStart"/>
      <w:r>
        <w:rPr>
          <w:szCs w:val="20"/>
        </w:rPr>
        <w:t>Widyastuti</w:t>
      </w:r>
      <w:proofErr w:type="spellEnd"/>
      <w:r>
        <w:rPr>
          <w:szCs w:val="20"/>
        </w:rPr>
        <w:t>, 2021</w:t>
      </w:r>
      <w:r w:rsidRPr="008976D0">
        <w:rPr>
          <w:szCs w:val="20"/>
        </w:rPr>
        <w:t>). The substance of financial statements includes the statement of financial position, income statement, statement of changes in equity, cash flow statement, and notes to the financial statements, while under SAK-EMKM the main components consist of the statement of financial position, income statement, and statement of changes in equity</w:t>
      </w:r>
      <w:r>
        <w:rPr>
          <w:szCs w:val="20"/>
        </w:rPr>
        <w:t xml:space="preserve">. </w:t>
      </w:r>
      <w:r w:rsidRPr="008976D0">
        <w:rPr>
          <w:szCs w:val="20"/>
        </w:rPr>
        <w:t>Financial report quality is assessed through qualitative characteristics, namely understandability, relevance, reliability, and comparability. Achieving these qualities requires competence from those who prepare the reports so that the information produced is useful for users and aligns with the conceptual framework and basic accounting principles, and it is also associated with the ability of reports to reflect profit performance as an indicator for future periods (</w:t>
      </w:r>
      <w:r>
        <w:rPr>
          <w:szCs w:val="20"/>
        </w:rPr>
        <w:t>Yuliana &amp; Lestari, 2023</w:t>
      </w:r>
      <w:r w:rsidRPr="008976D0">
        <w:rPr>
          <w:szCs w:val="20"/>
        </w:rPr>
        <w:t>). Competency refers to the knowledge and expertise required of human resources to complete tasks, with indicators that include knowledge, behavior, and skills that support organizational success (</w:t>
      </w:r>
      <w:r>
        <w:rPr>
          <w:szCs w:val="20"/>
        </w:rPr>
        <w:t>Vian, 2020</w:t>
      </w:r>
      <w:r w:rsidRPr="008976D0">
        <w:rPr>
          <w:szCs w:val="20"/>
        </w:rPr>
        <w:t>). Training functions as a systematic process that changes behavior, knowledge, and motivation to meet job requirements and to bridge gaps in knowledge, skills, and work attitudes through clear targets, competent instructors, and in-depth, applicable materials that improve performance and support organizational effectiveness and efficiency (</w:t>
      </w:r>
      <w:proofErr w:type="spellStart"/>
      <w:r>
        <w:rPr>
          <w:szCs w:val="20"/>
        </w:rPr>
        <w:t>Khairani</w:t>
      </w:r>
      <w:proofErr w:type="spellEnd"/>
      <w:r>
        <w:rPr>
          <w:szCs w:val="20"/>
        </w:rPr>
        <w:t xml:space="preserve"> &amp; </w:t>
      </w:r>
      <w:proofErr w:type="spellStart"/>
      <w:r>
        <w:rPr>
          <w:szCs w:val="20"/>
        </w:rPr>
        <w:t>Lubis</w:t>
      </w:r>
      <w:proofErr w:type="spellEnd"/>
      <w:r>
        <w:rPr>
          <w:szCs w:val="20"/>
        </w:rPr>
        <w:t>, 2025</w:t>
      </w:r>
      <w:r w:rsidRPr="008976D0">
        <w:rPr>
          <w:szCs w:val="20"/>
        </w:rPr>
        <w:t>).</w:t>
      </w:r>
    </w:p>
    <w:p w14:paraId="437C4963" w14:textId="77777777" w:rsidR="008976D0" w:rsidRPr="009A10D0" w:rsidRDefault="008976D0" w:rsidP="009A10D0">
      <w:pPr>
        <w:autoSpaceDE w:val="0"/>
        <w:autoSpaceDN w:val="0"/>
        <w:adjustRightInd w:val="0"/>
        <w:spacing w:after="0" w:line="240" w:lineRule="auto"/>
        <w:ind w:firstLine="634"/>
        <w:rPr>
          <w:szCs w:val="20"/>
        </w:rPr>
      </w:pPr>
    </w:p>
    <w:p w14:paraId="489B864A" w14:textId="41CB44D0" w:rsidR="009A10D0" w:rsidRDefault="009A10D0" w:rsidP="008976D0">
      <w:pPr>
        <w:autoSpaceDE w:val="0"/>
        <w:autoSpaceDN w:val="0"/>
        <w:adjustRightInd w:val="0"/>
        <w:spacing w:after="0" w:line="240" w:lineRule="auto"/>
        <w:rPr>
          <w:bCs/>
          <w:szCs w:val="20"/>
          <w:lang w:val="en-ID"/>
        </w:rPr>
      </w:pPr>
      <w:r w:rsidRPr="009A10D0">
        <w:rPr>
          <w:szCs w:val="20"/>
        </w:rPr>
        <w:t>The following is a picture of the framework for thinking in this research</w:t>
      </w:r>
      <w:r w:rsidRPr="009A10D0">
        <w:rPr>
          <w:bCs/>
          <w:szCs w:val="20"/>
          <w:lang w:val="en-ID"/>
        </w:rPr>
        <w:t>:</w:t>
      </w:r>
    </w:p>
    <w:p w14:paraId="2E1BA758" w14:textId="75EFB541" w:rsidR="008976D0" w:rsidRDefault="008976D0" w:rsidP="008976D0">
      <w:pPr>
        <w:autoSpaceDE w:val="0"/>
        <w:autoSpaceDN w:val="0"/>
        <w:adjustRightInd w:val="0"/>
        <w:spacing w:after="0" w:line="240" w:lineRule="auto"/>
        <w:rPr>
          <w:bCs/>
          <w:szCs w:val="20"/>
          <w:lang w:val="en-ID"/>
        </w:rPr>
      </w:pPr>
    </w:p>
    <w:p w14:paraId="08097A19" w14:textId="6E9DD1BE" w:rsidR="008976D0" w:rsidRDefault="008976D0" w:rsidP="008976D0">
      <w:pPr>
        <w:autoSpaceDE w:val="0"/>
        <w:autoSpaceDN w:val="0"/>
        <w:adjustRightInd w:val="0"/>
        <w:spacing w:after="0" w:line="240" w:lineRule="auto"/>
        <w:rPr>
          <w:bCs/>
          <w:szCs w:val="20"/>
          <w:lang w:val="en-ID"/>
        </w:rPr>
      </w:pPr>
    </w:p>
    <w:p w14:paraId="37845CDC" w14:textId="6BEB410E" w:rsidR="008976D0" w:rsidRDefault="008976D0" w:rsidP="008976D0">
      <w:pPr>
        <w:autoSpaceDE w:val="0"/>
        <w:autoSpaceDN w:val="0"/>
        <w:adjustRightInd w:val="0"/>
        <w:spacing w:after="0" w:line="240" w:lineRule="auto"/>
        <w:rPr>
          <w:bCs/>
          <w:szCs w:val="20"/>
          <w:lang w:val="en-ID"/>
        </w:rPr>
      </w:pPr>
    </w:p>
    <w:p w14:paraId="3B2BADD2" w14:textId="15B83552" w:rsidR="008976D0" w:rsidRDefault="008976D0" w:rsidP="008976D0">
      <w:pPr>
        <w:autoSpaceDE w:val="0"/>
        <w:autoSpaceDN w:val="0"/>
        <w:adjustRightInd w:val="0"/>
        <w:spacing w:after="0" w:line="240" w:lineRule="auto"/>
        <w:rPr>
          <w:bCs/>
          <w:szCs w:val="20"/>
          <w:lang w:val="en-ID"/>
        </w:rPr>
      </w:pPr>
    </w:p>
    <w:p w14:paraId="56E25112" w14:textId="434D07EA" w:rsidR="008976D0" w:rsidRDefault="008976D0" w:rsidP="008976D0">
      <w:pPr>
        <w:autoSpaceDE w:val="0"/>
        <w:autoSpaceDN w:val="0"/>
        <w:adjustRightInd w:val="0"/>
        <w:spacing w:after="0" w:line="240" w:lineRule="auto"/>
        <w:rPr>
          <w:bCs/>
          <w:szCs w:val="20"/>
          <w:lang w:val="en-ID"/>
        </w:rPr>
      </w:pPr>
    </w:p>
    <w:p w14:paraId="7D3576D1" w14:textId="071C35D4" w:rsidR="008976D0" w:rsidRDefault="008976D0" w:rsidP="008976D0">
      <w:pPr>
        <w:autoSpaceDE w:val="0"/>
        <w:autoSpaceDN w:val="0"/>
        <w:adjustRightInd w:val="0"/>
        <w:spacing w:after="0" w:line="240" w:lineRule="auto"/>
        <w:rPr>
          <w:bCs/>
          <w:szCs w:val="20"/>
          <w:lang w:val="en-ID"/>
        </w:rPr>
      </w:pPr>
    </w:p>
    <w:p w14:paraId="6049A9E8" w14:textId="05080359" w:rsidR="008976D0" w:rsidRDefault="008976D0" w:rsidP="008976D0">
      <w:pPr>
        <w:autoSpaceDE w:val="0"/>
        <w:autoSpaceDN w:val="0"/>
        <w:adjustRightInd w:val="0"/>
        <w:spacing w:after="0" w:line="240" w:lineRule="auto"/>
        <w:rPr>
          <w:bCs/>
          <w:szCs w:val="20"/>
          <w:lang w:val="en-ID"/>
        </w:rPr>
      </w:pPr>
    </w:p>
    <w:p w14:paraId="1F752D8C" w14:textId="6D6120E2" w:rsidR="008976D0" w:rsidRDefault="008976D0" w:rsidP="008976D0">
      <w:pPr>
        <w:autoSpaceDE w:val="0"/>
        <w:autoSpaceDN w:val="0"/>
        <w:adjustRightInd w:val="0"/>
        <w:spacing w:after="0" w:line="240" w:lineRule="auto"/>
        <w:rPr>
          <w:bCs/>
          <w:szCs w:val="20"/>
          <w:lang w:val="en-ID"/>
        </w:rPr>
      </w:pPr>
    </w:p>
    <w:p w14:paraId="423773D0" w14:textId="77777777" w:rsidR="008976D0" w:rsidRPr="009A10D0" w:rsidRDefault="008976D0" w:rsidP="008976D0">
      <w:pPr>
        <w:autoSpaceDE w:val="0"/>
        <w:autoSpaceDN w:val="0"/>
        <w:adjustRightInd w:val="0"/>
        <w:spacing w:after="0" w:line="240" w:lineRule="auto"/>
        <w:rPr>
          <w:b/>
          <w:szCs w:val="20"/>
        </w:rPr>
      </w:pPr>
    </w:p>
    <w:p w14:paraId="117B8E17" w14:textId="77777777" w:rsidR="009A10D0" w:rsidRPr="009A10D0" w:rsidRDefault="009A10D0" w:rsidP="009A10D0">
      <w:pPr>
        <w:spacing w:after="0" w:line="240" w:lineRule="auto"/>
        <w:rPr>
          <w:b/>
          <w:sz w:val="22"/>
        </w:rPr>
      </w:pPr>
    </w:p>
    <w:p w14:paraId="4C06CD97" w14:textId="77777777" w:rsidR="009A10D0" w:rsidRPr="009A10D0" w:rsidRDefault="009A10D0" w:rsidP="009A10D0">
      <w:pPr>
        <w:spacing w:after="0" w:line="240" w:lineRule="auto"/>
        <w:rPr>
          <w:b/>
          <w:szCs w:val="20"/>
        </w:rPr>
      </w:pPr>
      <w:r w:rsidRPr="009A10D0">
        <w:rPr>
          <w:b/>
        </w:rPr>
        <w:t xml:space="preserve">                                                              </w:t>
      </w:r>
      <w:r w:rsidRPr="009A10D0">
        <w:rPr>
          <w:b/>
          <w:szCs w:val="20"/>
        </w:rPr>
        <w:t>Figure 1.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1"/>
      </w:tblGrid>
      <w:tr w:rsidR="009A10D0" w:rsidRPr="009A10D0" w14:paraId="6F428ED0" w14:textId="77777777" w:rsidTr="009A10D0">
        <w:trPr>
          <w:trHeight w:val="791"/>
        </w:trPr>
        <w:tc>
          <w:tcPr>
            <w:tcW w:w="8891" w:type="dxa"/>
            <w:tcBorders>
              <w:top w:val="single" w:sz="4" w:space="0" w:color="auto"/>
              <w:left w:val="single" w:sz="4" w:space="0" w:color="auto"/>
              <w:bottom w:val="single" w:sz="4" w:space="0" w:color="auto"/>
              <w:right w:val="single" w:sz="4" w:space="0" w:color="auto"/>
            </w:tcBorders>
            <w:vAlign w:val="center"/>
            <w:hideMark/>
          </w:tcPr>
          <w:p w14:paraId="3C09ED67" w14:textId="77777777" w:rsidR="009A10D0" w:rsidRPr="009A10D0" w:rsidRDefault="009A10D0">
            <w:pPr>
              <w:spacing w:after="0" w:line="240" w:lineRule="auto"/>
              <w:jc w:val="center"/>
              <w:rPr>
                <w:szCs w:val="20"/>
              </w:rPr>
            </w:pPr>
            <w:r w:rsidRPr="009A10D0">
              <w:rPr>
                <w:szCs w:val="20"/>
              </w:rPr>
              <w:t>MSMEs assisted by the West Java Chamber of Commerce and Industry in Bandung</w:t>
            </w:r>
          </w:p>
          <w:p w14:paraId="63E55033" w14:textId="77777777" w:rsidR="009A10D0" w:rsidRPr="009A10D0" w:rsidRDefault="009A10D0">
            <w:pPr>
              <w:spacing w:after="0" w:line="240" w:lineRule="auto"/>
              <w:jc w:val="center"/>
              <w:rPr>
                <w:szCs w:val="20"/>
              </w:rPr>
            </w:pPr>
            <w:r w:rsidRPr="009A10D0">
              <w:rPr>
                <w:szCs w:val="20"/>
              </w:rPr>
              <w:t>during the COVID-19 pandemic</w:t>
            </w:r>
          </w:p>
        </w:tc>
      </w:tr>
    </w:tbl>
    <w:p w14:paraId="676DBD0B" w14:textId="03A85851" w:rsidR="009A10D0" w:rsidRPr="009A10D0" w:rsidRDefault="009A10D0" w:rsidP="009A10D0">
      <w:pPr>
        <w:spacing w:after="0" w:line="480" w:lineRule="auto"/>
        <w:jc w:val="center"/>
        <w:rPr>
          <w:sz w:val="24"/>
          <w:szCs w:val="24"/>
        </w:rPr>
      </w:pPr>
      <w:r w:rsidRPr="009A10D0">
        <w:rPr>
          <w:noProof/>
          <w:sz w:val="22"/>
        </w:rPr>
        <mc:AlternateContent>
          <mc:Choice Requires="wps">
            <w:drawing>
              <wp:anchor distT="0" distB="0" distL="114300" distR="114300" simplePos="0" relativeHeight="251658752" behindDoc="0" locked="0" layoutInCell="1" allowOverlap="1" wp14:anchorId="1B93FD3B" wp14:editId="28BA06EC">
                <wp:simplePos x="0" y="0"/>
                <wp:positionH relativeFrom="column">
                  <wp:posOffset>1412875</wp:posOffset>
                </wp:positionH>
                <wp:positionV relativeFrom="paragraph">
                  <wp:posOffset>836930</wp:posOffset>
                </wp:positionV>
                <wp:extent cx="2622550" cy="451485"/>
                <wp:effectExtent l="12700" t="8255" r="1270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0" cy="451485"/>
                        </a:xfrm>
                        <a:prstGeom prst="rect">
                          <a:avLst/>
                        </a:prstGeom>
                        <a:solidFill>
                          <a:srgbClr val="FFFFFF"/>
                        </a:solidFill>
                        <a:ln w="9525">
                          <a:solidFill>
                            <a:srgbClr val="000000"/>
                          </a:solidFill>
                          <a:miter lim="800000"/>
                          <a:headEnd/>
                          <a:tailEnd/>
                        </a:ln>
                      </wps:spPr>
                      <wps:txbx>
                        <w:txbxContent>
                          <w:p w14:paraId="6233155C"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Competency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3FD3B" id="Rectangle 5" o:spid="_x0000_s1026" style="position:absolute;left:0;text-align:left;margin-left:111.25pt;margin-top:65.9pt;width:206.5pt;height:3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">
                <v:textbox>
                  <w:txbxContent>
                    <w:p w14:paraId="6233155C"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Competency</w:t>
                      </w:r>
                    </w:p>
                  </w:txbxContent>
                </v:textbox>
              </v:rect>
            </w:pict>
          </mc:Fallback>
        </mc:AlternateContent>
      </w:r>
      <w:r w:rsidRPr="009A10D0">
        <w:rPr>
          <w:noProof/>
          <w:sz w:val="22"/>
        </w:rPr>
        <mc:AlternateContent>
          <mc:Choice Requires="wps">
            <w:drawing>
              <wp:anchor distT="0" distB="0" distL="114300" distR="114300" simplePos="0" relativeHeight="251657728" behindDoc="0" locked="0" layoutInCell="1" allowOverlap="1" wp14:anchorId="1766843F" wp14:editId="3FEA093E">
                <wp:simplePos x="0" y="0"/>
                <wp:positionH relativeFrom="column">
                  <wp:posOffset>2223770</wp:posOffset>
                </wp:positionH>
                <wp:positionV relativeFrom="paragraph">
                  <wp:posOffset>1409700</wp:posOffset>
                </wp:positionV>
                <wp:extent cx="1087120" cy="784860"/>
                <wp:effectExtent l="13970" t="9525" r="13335" b="571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784860"/>
                        </a:xfrm>
                        <a:prstGeom prst="ellipse">
                          <a:avLst/>
                        </a:prstGeom>
                        <a:solidFill>
                          <a:srgbClr val="FFFFFF"/>
                        </a:solidFill>
                        <a:ln w="9525">
                          <a:solidFill>
                            <a:srgbClr val="000000"/>
                          </a:solidFill>
                          <a:round/>
                          <a:headEnd/>
                          <a:tailEnd/>
                        </a:ln>
                      </wps:spPr>
                      <wps:txbx>
                        <w:txbxContent>
                          <w:p w14:paraId="66BA4BAB"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Quality of Financial Statement</w:t>
                            </w:r>
                          </w:p>
                          <w:p w14:paraId="13F5D7C2" w14:textId="77777777" w:rsidR="009A10D0" w:rsidRDefault="009A10D0" w:rsidP="009A10D0">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66843F" id="Oval 4" o:spid="_x0000_s1027" style="position:absolute;left:0;text-align:left;margin-left:175.1pt;margin-top:111pt;width:85.6pt;height:6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">
                <v:textbox>
                  <w:txbxContent>
                    <w:p w14:paraId="66BA4BAB"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Quality of Financial Statement</w:t>
                      </w:r>
                    </w:p>
                    <w:p w14:paraId="13F5D7C2" w14:textId="77777777" w:rsidR="009A10D0" w:rsidRDefault="009A10D0" w:rsidP="009A10D0">
                      <w:pPr>
                        <w:rPr>
                          <w:rFonts w:ascii="Calibri" w:hAnsi="Calibri"/>
                          <w:sz w:val="22"/>
                        </w:rPr>
                      </w:pPr>
                    </w:p>
                  </w:txbxContent>
                </v:textbox>
              </v:oval>
            </w:pict>
          </mc:Fallback>
        </mc:AlternateContent>
      </w:r>
      <w:r w:rsidRPr="009A10D0">
        <w:rPr>
          <w:noProof/>
          <w:sz w:val="22"/>
        </w:rPr>
        <mc:AlternateContent>
          <mc:Choice Requires="wps">
            <w:drawing>
              <wp:anchor distT="0" distB="0" distL="114300" distR="114300" simplePos="0" relativeHeight="251656704" behindDoc="0" locked="0" layoutInCell="1" allowOverlap="1" wp14:anchorId="52EC271F" wp14:editId="3D1BEB10">
                <wp:simplePos x="0" y="0"/>
                <wp:positionH relativeFrom="column">
                  <wp:posOffset>2733040</wp:posOffset>
                </wp:positionH>
                <wp:positionV relativeFrom="paragraph">
                  <wp:posOffset>690880</wp:posOffset>
                </wp:positionV>
                <wp:extent cx="635" cy="134620"/>
                <wp:effectExtent l="56515" t="5080" r="5715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7A6BCF" id="_x0000_t32" coordsize="21600,21600" o:spt="32" o:oned="t" path="m,l21600,21600e" filled="f">
                <v:path arrowok="t" fillok="f" o:connecttype="none"/>
                <o:lock v:ext="edit" shapetype="t"/>
              </v:shapetype>
              <v:shape id="Straight Arrow Connector 3" o:spid="_x0000_s1026" type="#_x0000_t32" style="position:absolute;margin-left:215.2pt;margin-top:54.4pt;width:.05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">
                <v:stroke endarrow="block"/>
              </v:shape>
            </w:pict>
          </mc:Fallback>
        </mc:AlternateContent>
      </w:r>
      <w:r w:rsidRPr="009A10D0">
        <w:rPr>
          <w:noProof/>
          <w:sz w:val="22"/>
        </w:rPr>
        <mc:AlternateContent>
          <mc:Choice Requires="wps">
            <w:drawing>
              <wp:anchor distT="0" distB="0" distL="114300" distR="114300" simplePos="0" relativeHeight="251655680" behindDoc="0" locked="0" layoutInCell="1" allowOverlap="1" wp14:anchorId="48A5BFFB" wp14:editId="134DD944">
                <wp:simplePos x="0" y="0"/>
                <wp:positionH relativeFrom="column">
                  <wp:posOffset>2733675</wp:posOffset>
                </wp:positionH>
                <wp:positionV relativeFrom="paragraph">
                  <wp:posOffset>1275080</wp:posOffset>
                </wp:positionV>
                <wp:extent cx="635" cy="134620"/>
                <wp:effectExtent l="57150" t="8255" r="565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099349" id="Straight Arrow Connector 2" o:spid="_x0000_s1026" type="#_x0000_t32" style="position:absolute;margin-left:215.25pt;margin-top:100.4pt;width:.05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">
                <v:stroke endarrow="block"/>
              </v:shape>
            </w:pict>
          </mc:Fallback>
        </mc:AlternateContent>
      </w:r>
      <w:r w:rsidRPr="009A10D0">
        <w:rPr>
          <w:noProof/>
          <w:sz w:val="22"/>
        </w:rPr>
        <mc:AlternateContent>
          <mc:Choice Requires="wps">
            <w:drawing>
              <wp:anchor distT="0" distB="0" distL="114300" distR="114300" simplePos="0" relativeHeight="251654656" behindDoc="0" locked="0" layoutInCell="1" allowOverlap="1" wp14:anchorId="19C2D35B" wp14:editId="41D4E3EE">
                <wp:simplePos x="0" y="0"/>
                <wp:positionH relativeFrom="column">
                  <wp:posOffset>1412875</wp:posOffset>
                </wp:positionH>
                <wp:positionV relativeFrom="paragraph">
                  <wp:posOffset>158750</wp:posOffset>
                </wp:positionV>
                <wp:extent cx="2622550" cy="520700"/>
                <wp:effectExtent l="12700" t="6350" r="1270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0" cy="520700"/>
                        </a:xfrm>
                        <a:prstGeom prst="rect">
                          <a:avLst/>
                        </a:prstGeom>
                        <a:solidFill>
                          <a:srgbClr val="FFFFFF"/>
                        </a:solidFill>
                        <a:ln w="9525">
                          <a:solidFill>
                            <a:srgbClr val="000000"/>
                          </a:solidFill>
                          <a:miter lim="800000"/>
                          <a:headEnd/>
                          <a:tailEnd/>
                        </a:ln>
                      </wps:spPr>
                      <wps:txbx>
                        <w:txbxContent>
                          <w:p w14:paraId="43E66516"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Training</w:t>
                            </w:r>
                          </w:p>
                          <w:p w14:paraId="78C0CBBD" w14:textId="77777777" w:rsidR="009A10D0" w:rsidRDefault="009A10D0" w:rsidP="009A10D0">
                            <w:pPr>
                              <w:spacing w:after="0" w:line="240" w:lineRule="auto"/>
                              <w:jc w:val="center"/>
                              <w:rPr>
                                <w:rFonts w:ascii="Calibri" w:hAnsi="Calibri"/>
                                <w:sz w:val="22"/>
                                <w:szCs w:val="20"/>
                              </w:rPr>
                            </w:pPr>
                            <w:r>
                              <w:rPr>
                                <w:rFonts w:ascii="Times New Roman" w:hAnsi="Times New Roman"/>
                                <w:szCs w:val="20"/>
                              </w:rPr>
                              <w:t>Preparation of Financial Reports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2D35B" id="Rectangle 1" o:spid="_x0000_s1028" style="position:absolute;left:0;text-align:left;margin-left:111.25pt;margin-top:12.5pt;width:206.5pt;height: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">
                <v:textbox>
                  <w:txbxContent>
                    <w:p w14:paraId="43E66516"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Training</w:t>
                      </w:r>
                    </w:p>
                    <w:p w14:paraId="78C0CBBD" w14:textId="77777777" w:rsidR="009A10D0" w:rsidRDefault="009A10D0" w:rsidP="009A10D0">
                      <w:pPr>
                        <w:spacing w:after="0" w:line="240" w:lineRule="auto"/>
                        <w:jc w:val="center"/>
                        <w:rPr>
                          <w:rFonts w:ascii="Calibri" w:hAnsi="Calibri"/>
                          <w:sz w:val="22"/>
                          <w:szCs w:val="20"/>
                        </w:rPr>
                      </w:pPr>
                      <w:r>
                        <w:rPr>
                          <w:rFonts w:ascii="Times New Roman" w:hAnsi="Times New Roman"/>
                          <w:szCs w:val="20"/>
                        </w:rPr>
                        <w:t>Preparation of Financial Reports</w:t>
                      </w:r>
                    </w:p>
                  </w:txbxContent>
                </v:textbox>
              </v:rect>
            </w:pict>
          </mc:Fallback>
        </mc:AlternateContent>
      </w:r>
    </w:p>
    <w:p w14:paraId="77FA3605" w14:textId="77777777" w:rsidR="009A10D0" w:rsidRPr="009A10D0" w:rsidRDefault="009A10D0" w:rsidP="009A10D0">
      <w:pPr>
        <w:spacing w:after="0" w:line="480" w:lineRule="auto"/>
        <w:jc w:val="center"/>
        <w:rPr>
          <w:sz w:val="24"/>
          <w:szCs w:val="24"/>
        </w:rPr>
      </w:pPr>
    </w:p>
    <w:p w14:paraId="54F754A7" w14:textId="77777777" w:rsidR="009A10D0" w:rsidRPr="009A10D0" w:rsidRDefault="009A10D0" w:rsidP="009A10D0">
      <w:pPr>
        <w:spacing w:after="0" w:line="480" w:lineRule="auto"/>
        <w:jc w:val="center"/>
        <w:rPr>
          <w:sz w:val="24"/>
          <w:szCs w:val="24"/>
        </w:rPr>
      </w:pPr>
    </w:p>
    <w:p w14:paraId="2F7767CE" w14:textId="77777777" w:rsidR="009A10D0" w:rsidRPr="009A10D0" w:rsidRDefault="009A10D0" w:rsidP="009A10D0">
      <w:pPr>
        <w:spacing w:after="0" w:line="480" w:lineRule="auto"/>
        <w:jc w:val="center"/>
        <w:rPr>
          <w:sz w:val="24"/>
          <w:szCs w:val="24"/>
        </w:rPr>
      </w:pPr>
    </w:p>
    <w:p w14:paraId="12D61B36" w14:textId="77777777" w:rsidR="009A10D0" w:rsidRPr="009A10D0" w:rsidRDefault="009A10D0" w:rsidP="009A10D0">
      <w:pPr>
        <w:widowControl w:val="0"/>
        <w:autoSpaceDE w:val="0"/>
        <w:autoSpaceDN w:val="0"/>
        <w:adjustRightInd w:val="0"/>
        <w:spacing w:after="0" w:line="240" w:lineRule="auto"/>
        <w:ind w:left="102"/>
        <w:rPr>
          <w:spacing w:val="-2"/>
          <w:sz w:val="24"/>
          <w:szCs w:val="24"/>
        </w:rPr>
      </w:pPr>
    </w:p>
    <w:p w14:paraId="3ADEA422" w14:textId="77777777" w:rsidR="009A10D0" w:rsidRPr="009A10D0" w:rsidRDefault="009A10D0" w:rsidP="009A10D0">
      <w:pPr>
        <w:widowControl w:val="0"/>
        <w:autoSpaceDE w:val="0"/>
        <w:autoSpaceDN w:val="0"/>
        <w:adjustRightInd w:val="0"/>
        <w:spacing w:after="0" w:line="240" w:lineRule="auto"/>
        <w:ind w:left="102"/>
        <w:rPr>
          <w:spacing w:val="-2"/>
          <w:sz w:val="24"/>
          <w:szCs w:val="24"/>
        </w:rPr>
      </w:pPr>
    </w:p>
    <w:p w14:paraId="0A4B8B11" w14:textId="77777777" w:rsidR="009A10D0" w:rsidRPr="009A10D0" w:rsidRDefault="009A10D0" w:rsidP="009A10D0">
      <w:pPr>
        <w:widowControl w:val="0"/>
        <w:autoSpaceDE w:val="0"/>
        <w:autoSpaceDN w:val="0"/>
        <w:adjustRightInd w:val="0"/>
        <w:spacing w:after="0" w:line="240" w:lineRule="auto"/>
        <w:ind w:left="102"/>
        <w:rPr>
          <w:spacing w:val="-2"/>
          <w:sz w:val="24"/>
          <w:szCs w:val="24"/>
        </w:rPr>
      </w:pPr>
    </w:p>
    <w:p w14:paraId="0F22AF12" w14:textId="77777777" w:rsidR="009A10D0" w:rsidRPr="009A10D0" w:rsidRDefault="009A10D0" w:rsidP="009A10D0">
      <w:pPr>
        <w:autoSpaceDE w:val="0"/>
        <w:autoSpaceDN w:val="0"/>
        <w:adjustRightInd w:val="0"/>
        <w:spacing w:after="0" w:line="240" w:lineRule="auto"/>
        <w:ind w:firstLine="634"/>
        <w:rPr>
          <w:szCs w:val="20"/>
        </w:rPr>
      </w:pPr>
    </w:p>
    <w:p w14:paraId="40A2F93D" w14:textId="77777777" w:rsidR="009A10D0" w:rsidRPr="009A10D0" w:rsidRDefault="009A10D0" w:rsidP="009A10D0">
      <w:pPr>
        <w:autoSpaceDE w:val="0"/>
        <w:autoSpaceDN w:val="0"/>
        <w:adjustRightInd w:val="0"/>
        <w:spacing w:after="0" w:line="240" w:lineRule="auto"/>
        <w:ind w:firstLine="634"/>
        <w:rPr>
          <w:szCs w:val="20"/>
        </w:rPr>
      </w:pPr>
    </w:p>
    <w:p w14:paraId="47407FBD" w14:textId="77777777" w:rsidR="009A10D0" w:rsidRPr="009A10D0" w:rsidRDefault="009A10D0" w:rsidP="009A10D0">
      <w:pPr>
        <w:tabs>
          <w:tab w:val="left" w:pos="0"/>
        </w:tabs>
        <w:spacing w:after="0" w:line="240" w:lineRule="auto"/>
        <w:ind w:right="29"/>
        <w:outlineLvl w:val="0"/>
        <w:rPr>
          <w:szCs w:val="20"/>
        </w:rPr>
      </w:pPr>
    </w:p>
    <w:p w14:paraId="107142B1" w14:textId="77777777" w:rsidR="009A10D0" w:rsidRPr="009A10D0" w:rsidRDefault="009A10D0" w:rsidP="009A10D0">
      <w:pPr>
        <w:tabs>
          <w:tab w:val="left" w:pos="0"/>
        </w:tabs>
        <w:spacing w:after="0" w:line="240" w:lineRule="auto"/>
        <w:ind w:right="29"/>
        <w:outlineLvl w:val="0"/>
        <w:rPr>
          <w:b/>
          <w:szCs w:val="20"/>
        </w:rPr>
      </w:pPr>
      <w:r w:rsidRPr="009A10D0">
        <w:rPr>
          <w:b/>
          <w:szCs w:val="20"/>
        </w:rPr>
        <w:t>RESEARCH METHODS</w:t>
      </w:r>
    </w:p>
    <w:p w14:paraId="64182949" w14:textId="77777777" w:rsidR="009A10D0" w:rsidRPr="009A10D0" w:rsidRDefault="009A10D0" w:rsidP="009A10D0">
      <w:pPr>
        <w:tabs>
          <w:tab w:val="left" w:pos="0"/>
        </w:tabs>
        <w:spacing w:after="0" w:line="240" w:lineRule="auto"/>
        <w:ind w:right="29"/>
        <w:outlineLvl w:val="0"/>
        <w:rPr>
          <w:szCs w:val="20"/>
        </w:rPr>
      </w:pPr>
    </w:p>
    <w:p w14:paraId="0DF4BD13" w14:textId="77777777" w:rsidR="009A10D0" w:rsidRPr="009A10D0" w:rsidRDefault="009A10D0" w:rsidP="009A10D0">
      <w:pPr>
        <w:tabs>
          <w:tab w:val="left" w:pos="0"/>
        </w:tabs>
        <w:spacing w:after="0" w:line="240" w:lineRule="auto"/>
        <w:ind w:right="29"/>
        <w:outlineLvl w:val="0"/>
        <w:rPr>
          <w:szCs w:val="20"/>
        </w:rPr>
      </w:pPr>
      <w:r w:rsidRPr="009A10D0">
        <w:rPr>
          <w:szCs w:val="20"/>
        </w:rPr>
        <w:lastRenderedPageBreak/>
        <w:t>The sample taken was from the UMKM community under the guidance of the West Java Chamber of Commerce and Industry in Bandung, consisting of 39 respondents using a purposive sampling technique. The quantitative approach in this research was taken through a survey method, with a Lickert scale questionnaire with primary data, then the respondents' answers were tabulated. The independent variable is used as a description, namely P. Training in Preparing Financial Reports, as the independent variable and the dependent variable is Competence, then competency as the independent variable with the dependent variable being the Quality of Financial Reports variable. According to Sekaran and Bougie (2017; 79), states that the independent variable will influence the dependent variable, both positively and negatively. Meanwhile, the independent variable and dependent variable will certainly appear from each addition or subtraction of the independent variable. Sekaran and Bougie (2017; 77) also say that the dependent variable will be under the influence of other variables. Operationalization of research variables will operationalize the main variables, concepts, dimensions, indicators and measurement scales. Data was obtained through library research and field research, which was processed using a Lickert scale with response levels of strongly agree (5), agree (4), doubtful (3), disagree (2), strongly disagree (1).</w:t>
      </w:r>
    </w:p>
    <w:p w14:paraId="0106366E" w14:textId="77777777" w:rsidR="009A10D0" w:rsidRPr="009A10D0" w:rsidRDefault="009A10D0" w:rsidP="009A10D0">
      <w:pPr>
        <w:tabs>
          <w:tab w:val="left" w:pos="0"/>
        </w:tabs>
        <w:spacing w:after="0" w:line="240" w:lineRule="auto"/>
        <w:ind w:right="29"/>
        <w:outlineLvl w:val="0"/>
        <w:rPr>
          <w:szCs w:val="20"/>
        </w:rPr>
      </w:pPr>
    </w:p>
    <w:p w14:paraId="6662DA19" w14:textId="77777777" w:rsidR="009A10D0" w:rsidRPr="009A10D0" w:rsidRDefault="009A10D0" w:rsidP="009A10D0">
      <w:pPr>
        <w:tabs>
          <w:tab w:val="left" w:pos="0"/>
        </w:tabs>
        <w:spacing w:after="0" w:line="240" w:lineRule="auto"/>
        <w:ind w:right="29"/>
        <w:outlineLvl w:val="0"/>
        <w:rPr>
          <w:szCs w:val="20"/>
        </w:rPr>
      </w:pPr>
      <w:r w:rsidRPr="009A10D0">
        <w:rPr>
          <w:szCs w:val="20"/>
        </w:rPr>
        <w:t>To obtain responses through a survey by distributing questionnaires to obtain perceptions of West Java Chamber of Commerce's fostered businesses, a Descriptive Analysis Test was used using the variables Financial Report Preparation Training, Competency and Financial Report Quality. Two types of data analysis techniques are used, namely: (1) descriptive analysis with qualitative variables and (2) quantitative analysis via path coefficients, with the determination of measuring the influence of independent variables on dependent variables, while path analysis is used as a combination of analysis techniques and verification methods for generalizations were obtained which were integrated through the variables Financial Report Preparation Training, Competence, Financial Report Quality. Distribution of questionnaires based on respondents' responses in this research, the author created 12 items stating Training in Financial Report Preparation, 13 items stating Competency, and 14 items stating Quality of Financial Reports</w:t>
      </w:r>
    </w:p>
    <w:p w14:paraId="7CBB427B" w14:textId="28C159DC" w:rsidR="0039143E" w:rsidRDefault="000C10DD">
      <w:pPr>
        <w:spacing w:after="40" w:line="259" w:lineRule="auto"/>
        <w:ind w:left="0" w:right="0" w:firstLine="0"/>
        <w:jc w:val="left"/>
      </w:pPr>
      <w:r>
        <w:rPr>
          <w:sz w:val="16"/>
        </w:rPr>
        <w:t xml:space="preserve"> </w:t>
      </w:r>
    </w:p>
    <w:p w14:paraId="36F2515C" w14:textId="77777777" w:rsidR="0039143E" w:rsidRDefault="000C10DD">
      <w:pPr>
        <w:pStyle w:val="Heading1"/>
        <w:ind w:left="232" w:hanging="247"/>
      </w:pPr>
      <w:r>
        <w:t>RESULTS AND DISCUSSION</w:t>
      </w:r>
    </w:p>
    <w:p w14:paraId="092806D3" w14:textId="77777777" w:rsidR="0039143E" w:rsidRDefault="000C10DD">
      <w:pPr>
        <w:spacing w:after="40" w:line="259" w:lineRule="auto"/>
        <w:ind w:left="0" w:right="0" w:firstLine="0"/>
        <w:jc w:val="left"/>
      </w:pPr>
      <w:r>
        <w:rPr>
          <w:sz w:val="16"/>
        </w:rPr>
        <w:t xml:space="preserve"> </w:t>
      </w:r>
    </w:p>
    <w:p w14:paraId="5F9A7C4E" w14:textId="77777777" w:rsidR="0039143E" w:rsidRDefault="000C10DD">
      <w:pPr>
        <w:pStyle w:val="Heading2"/>
        <w:ind w:left="354" w:hanging="369"/>
      </w:pPr>
      <w:r>
        <w:t>Results</w:t>
      </w:r>
    </w:p>
    <w:p w14:paraId="49183D0E" w14:textId="43C39A1F" w:rsidR="00D03F90" w:rsidRPr="00D96F6A" w:rsidRDefault="00D03F90" w:rsidP="00683F82">
      <w:pPr>
        <w:spacing w:after="21" w:line="259" w:lineRule="auto"/>
        <w:ind w:left="0" w:right="0" w:firstLine="0"/>
        <w:jc w:val="left"/>
      </w:pPr>
    </w:p>
    <w:p w14:paraId="41EB310E" w14:textId="77777777" w:rsidR="00D03F90" w:rsidRPr="00D96F6A" w:rsidRDefault="00D03F90" w:rsidP="00D03F90">
      <w:pPr>
        <w:rPr>
          <w:b/>
          <w:bCs/>
        </w:rPr>
      </w:pPr>
      <w:r w:rsidRPr="00D96F6A">
        <w:rPr>
          <w:b/>
          <w:bCs/>
        </w:rPr>
        <w:t>Hypothesis Testing</w:t>
      </w:r>
    </w:p>
    <w:p w14:paraId="76C5C04C" w14:textId="77777777" w:rsidR="00D03F90" w:rsidRDefault="00D03F90" w:rsidP="00D03F90">
      <w:pPr>
        <w:ind w:left="1440"/>
        <w:rPr>
          <w:b/>
          <w:bCs/>
        </w:rPr>
      </w:pPr>
    </w:p>
    <w:p w14:paraId="1B6F1820" w14:textId="77777777" w:rsidR="00D03F90" w:rsidRPr="00D96F6A" w:rsidRDefault="00D03F90" w:rsidP="00683F82">
      <w:pPr>
        <w:rPr>
          <w:b/>
          <w:bCs/>
        </w:rPr>
      </w:pPr>
      <w:r w:rsidRPr="00D96F6A">
        <w:rPr>
          <w:b/>
          <w:bCs/>
        </w:rPr>
        <w:t>Hypothesis Testing In a way Partial (T-Test)</w:t>
      </w:r>
    </w:p>
    <w:p w14:paraId="1BB99349" w14:textId="77777777" w:rsidR="00683F82" w:rsidRDefault="00683F82" w:rsidP="00683F82">
      <w:pPr>
        <w:widowControl w:val="0"/>
        <w:autoSpaceDE w:val="0"/>
        <w:autoSpaceDN w:val="0"/>
        <w:spacing w:after="0" w:line="240" w:lineRule="auto"/>
        <w:ind w:right="0"/>
        <w:rPr>
          <w:b/>
          <w:bCs/>
        </w:rPr>
      </w:pPr>
    </w:p>
    <w:p w14:paraId="78397958" w14:textId="77777777" w:rsidR="009A10D0" w:rsidRPr="009A10D0" w:rsidRDefault="009A10D0" w:rsidP="009A10D0">
      <w:pPr>
        <w:widowControl w:val="0"/>
        <w:autoSpaceDE w:val="0"/>
        <w:autoSpaceDN w:val="0"/>
        <w:adjustRightInd w:val="0"/>
        <w:spacing w:after="0" w:line="240" w:lineRule="auto"/>
        <w:jc w:val="center"/>
        <w:rPr>
          <w:rFonts w:eastAsia="Calibri"/>
          <w:b/>
          <w:bCs/>
          <w:szCs w:val="20"/>
        </w:rPr>
      </w:pPr>
      <w:r w:rsidRPr="009A10D0">
        <w:rPr>
          <w:b/>
          <w:bCs/>
          <w:szCs w:val="20"/>
        </w:rPr>
        <w:t xml:space="preserve">Table </w:t>
      </w:r>
      <w:proofErr w:type="gramStart"/>
      <w:r w:rsidRPr="009A10D0">
        <w:rPr>
          <w:b/>
          <w:bCs/>
          <w:szCs w:val="20"/>
        </w:rPr>
        <w:t>3  t</w:t>
      </w:r>
      <w:proofErr w:type="gramEnd"/>
      <w:r w:rsidRPr="009A10D0">
        <w:rPr>
          <w:b/>
          <w:bCs/>
          <w:szCs w:val="20"/>
        </w:rPr>
        <w:t xml:space="preserve"> Test X to Y</w:t>
      </w:r>
    </w:p>
    <w:p w14:paraId="4FF1137D" w14:textId="77777777" w:rsidR="009A10D0" w:rsidRPr="009A10D0" w:rsidRDefault="009A10D0" w:rsidP="009A10D0">
      <w:pPr>
        <w:widowControl w:val="0"/>
        <w:autoSpaceDE w:val="0"/>
        <w:autoSpaceDN w:val="0"/>
        <w:adjustRightInd w:val="0"/>
        <w:spacing w:after="0" w:line="240" w:lineRule="auto"/>
        <w:rPr>
          <w:szCs w:val="20"/>
        </w:rPr>
      </w:pPr>
    </w:p>
    <w:tbl>
      <w:tblPr>
        <w:tblW w:w="8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183"/>
        <w:gridCol w:w="1338"/>
        <w:gridCol w:w="1338"/>
        <w:gridCol w:w="1476"/>
        <w:gridCol w:w="1030"/>
        <w:gridCol w:w="1030"/>
      </w:tblGrid>
      <w:tr w:rsidR="009A10D0" w:rsidRPr="009A10D0" w14:paraId="11897A19" w14:textId="77777777" w:rsidTr="009A10D0">
        <w:trPr>
          <w:cantSplit/>
          <w:jc w:val="center"/>
        </w:trPr>
        <w:tc>
          <w:tcPr>
            <w:tcW w:w="8132" w:type="dxa"/>
            <w:gridSpan w:val="7"/>
            <w:tcBorders>
              <w:top w:val="nil"/>
              <w:left w:val="nil"/>
              <w:bottom w:val="nil"/>
              <w:right w:val="nil"/>
            </w:tcBorders>
            <w:shd w:val="clear" w:color="auto" w:fill="FFFFFF"/>
            <w:vAlign w:val="center"/>
            <w:hideMark/>
          </w:tcPr>
          <w:p w14:paraId="6E857940" w14:textId="77777777" w:rsidR="009A10D0" w:rsidRPr="009A10D0" w:rsidRDefault="009A10D0">
            <w:pPr>
              <w:autoSpaceDE w:val="0"/>
              <w:autoSpaceDN w:val="0"/>
              <w:adjustRightInd w:val="0"/>
              <w:spacing w:after="0" w:line="240" w:lineRule="auto"/>
              <w:ind w:left="60" w:right="60"/>
              <w:jc w:val="center"/>
              <w:rPr>
                <w:szCs w:val="20"/>
              </w:rPr>
            </w:pPr>
            <w:proofErr w:type="spellStart"/>
            <w:r w:rsidRPr="009A10D0">
              <w:rPr>
                <w:b/>
                <w:bCs/>
                <w:szCs w:val="20"/>
              </w:rPr>
              <w:t>Coefficients</w:t>
            </w:r>
            <w:r w:rsidRPr="009A10D0">
              <w:rPr>
                <w:b/>
                <w:bCs/>
                <w:szCs w:val="20"/>
                <w:vertAlign w:val="superscript"/>
              </w:rPr>
              <w:t>a</w:t>
            </w:r>
            <w:proofErr w:type="spellEnd"/>
          </w:p>
        </w:tc>
      </w:tr>
      <w:tr w:rsidR="009A10D0" w:rsidRPr="009A10D0" w14:paraId="52949F8B" w14:textId="77777777" w:rsidTr="009A10D0">
        <w:trPr>
          <w:cantSplit/>
          <w:jc w:val="center"/>
        </w:trPr>
        <w:tc>
          <w:tcPr>
            <w:tcW w:w="1920" w:type="dxa"/>
            <w:gridSpan w:val="2"/>
            <w:vMerge w:val="restart"/>
            <w:tcBorders>
              <w:top w:val="single" w:sz="18" w:space="0" w:color="000000"/>
              <w:left w:val="single" w:sz="18" w:space="0" w:color="000000"/>
              <w:bottom w:val="nil"/>
              <w:right w:val="nil"/>
            </w:tcBorders>
            <w:shd w:val="clear" w:color="auto" w:fill="FFFFFF"/>
            <w:vAlign w:val="bottom"/>
            <w:hideMark/>
          </w:tcPr>
          <w:p w14:paraId="621DCFA5" w14:textId="77777777" w:rsidR="009A10D0" w:rsidRPr="009A10D0" w:rsidRDefault="009A10D0">
            <w:pPr>
              <w:autoSpaceDE w:val="0"/>
              <w:autoSpaceDN w:val="0"/>
              <w:adjustRightInd w:val="0"/>
              <w:spacing w:after="0" w:line="240" w:lineRule="auto"/>
              <w:ind w:left="60" w:right="60"/>
              <w:rPr>
                <w:szCs w:val="20"/>
              </w:rPr>
            </w:pPr>
            <w:r w:rsidRPr="009A10D0">
              <w:rPr>
                <w:szCs w:val="20"/>
              </w:rPr>
              <w:t>Model</w:t>
            </w:r>
          </w:p>
        </w:tc>
        <w:tc>
          <w:tcPr>
            <w:tcW w:w="2676"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2CB3E07B"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Unstandardized Coefficients</w:t>
            </w:r>
          </w:p>
        </w:tc>
        <w:tc>
          <w:tcPr>
            <w:tcW w:w="1476"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0BB7ABF9"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Standardized Coefficients</w:t>
            </w:r>
          </w:p>
        </w:tc>
        <w:tc>
          <w:tcPr>
            <w:tcW w:w="103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204D2868"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t</w:t>
            </w:r>
          </w:p>
        </w:tc>
        <w:tc>
          <w:tcPr>
            <w:tcW w:w="103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4B13D30E"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Sig.</w:t>
            </w:r>
          </w:p>
        </w:tc>
      </w:tr>
      <w:tr w:rsidR="009A10D0" w:rsidRPr="009A10D0" w14:paraId="41456E03" w14:textId="77777777" w:rsidTr="009A10D0">
        <w:trPr>
          <w:cantSplit/>
          <w:jc w:val="center"/>
        </w:trPr>
        <w:tc>
          <w:tcPr>
            <w:tcW w:w="9316" w:type="dxa"/>
            <w:gridSpan w:val="2"/>
            <w:vMerge/>
            <w:tcBorders>
              <w:top w:val="single" w:sz="18" w:space="0" w:color="000000"/>
              <w:left w:val="single" w:sz="18" w:space="0" w:color="000000"/>
              <w:bottom w:val="nil"/>
              <w:right w:val="nil"/>
            </w:tcBorders>
            <w:vAlign w:val="center"/>
            <w:hideMark/>
          </w:tcPr>
          <w:p w14:paraId="2AB98112" w14:textId="77777777" w:rsidR="009A10D0" w:rsidRPr="009A10D0" w:rsidRDefault="009A10D0">
            <w:pPr>
              <w:spacing w:after="0" w:line="240" w:lineRule="auto"/>
              <w:rPr>
                <w:szCs w:val="20"/>
              </w:rPr>
            </w:pPr>
          </w:p>
        </w:tc>
        <w:tc>
          <w:tcPr>
            <w:tcW w:w="1338"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99966C2"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B</w:t>
            </w:r>
          </w:p>
        </w:tc>
        <w:tc>
          <w:tcPr>
            <w:tcW w:w="133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D07E46F"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Std. Error</w:t>
            </w:r>
          </w:p>
        </w:tc>
        <w:tc>
          <w:tcPr>
            <w:tcW w:w="1476"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32D36CDD"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Beta</w:t>
            </w:r>
          </w:p>
        </w:tc>
        <w:tc>
          <w:tcPr>
            <w:tcW w:w="1030" w:type="dxa"/>
            <w:vMerge/>
            <w:tcBorders>
              <w:top w:val="single" w:sz="18" w:space="0" w:color="000000"/>
              <w:left w:val="single" w:sz="8" w:space="0" w:color="000000"/>
              <w:bottom w:val="single" w:sz="8" w:space="0" w:color="000000"/>
              <w:right w:val="single" w:sz="8" w:space="0" w:color="000000"/>
            </w:tcBorders>
            <w:vAlign w:val="center"/>
            <w:hideMark/>
          </w:tcPr>
          <w:p w14:paraId="74041B8B" w14:textId="77777777" w:rsidR="009A10D0" w:rsidRPr="009A10D0" w:rsidRDefault="009A10D0">
            <w:pPr>
              <w:spacing w:after="0" w:line="240" w:lineRule="auto"/>
              <w:rPr>
                <w:szCs w:val="20"/>
              </w:rPr>
            </w:pPr>
          </w:p>
        </w:tc>
        <w:tc>
          <w:tcPr>
            <w:tcW w:w="1030" w:type="dxa"/>
            <w:vMerge/>
            <w:tcBorders>
              <w:top w:val="single" w:sz="18" w:space="0" w:color="000000"/>
              <w:left w:val="single" w:sz="8" w:space="0" w:color="000000"/>
              <w:bottom w:val="single" w:sz="8" w:space="0" w:color="000000"/>
              <w:right w:val="single" w:sz="18" w:space="0" w:color="000000"/>
            </w:tcBorders>
            <w:vAlign w:val="center"/>
            <w:hideMark/>
          </w:tcPr>
          <w:p w14:paraId="5CA1ABB7" w14:textId="77777777" w:rsidR="009A10D0" w:rsidRPr="009A10D0" w:rsidRDefault="009A10D0">
            <w:pPr>
              <w:spacing w:after="0" w:line="240" w:lineRule="auto"/>
              <w:rPr>
                <w:szCs w:val="20"/>
              </w:rPr>
            </w:pPr>
          </w:p>
        </w:tc>
      </w:tr>
      <w:tr w:rsidR="009A10D0" w:rsidRPr="009A10D0" w14:paraId="39C6CD8B" w14:textId="77777777" w:rsidTr="009A10D0">
        <w:trPr>
          <w:cantSplit/>
          <w:jc w:val="center"/>
        </w:trPr>
        <w:tc>
          <w:tcPr>
            <w:tcW w:w="736" w:type="dxa"/>
            <w:vMerge w:val="restart"/>
            <w:tcBorders>
              <w:top w:val="single" w:sz="18" w:space="0" w:color="000000"/>
              <w:left w:val="single" w:sz="18" w:space="0" w:color="000000"/>
              <w:bottom w:val="single" w:sz="18" w:space="0" w:color="000000"/>
              <w:right w:val="nil"/>
            </w:tcBorders>
            <w:shd w:val="clear" w:color="auto" w:fill="FFFFFF"/>
            <w:hideMark/>
          </w:tcPr>
          <w:p w14:paraId="1F9A3D76" w14:textId="77777777" w:rsidR="009A10D0" w:rsidRPr="009A10D0" w:rsidRDefault="009A10D0">
            <w:pPr>
              <w:autoSpaceDE w:val="0"/>
              <w:autoSpaceDN w:val="0"/>
              <w:adjustRightInd w:val="0"/>
              <w:spacing w:after="0" w:line="240" w:lineRule="auto"/>
              <w:ind w:left="60" w:right="60"/>
              <w:rPr>
                <w:szCs w:val="20"/>
              </w:rPr>
            </w:pPr>
            <w:r w:rsidRPr="009A10D0">
              <w:rPr>
                <w:szCs w:val="20"/>
              </w:rPr>
              <w:t>1</w:t>
            </w:r>
          </w:p>
        </w:tc>
        <w:tc>
          <w:tcPr>
            <w:tcW w:w="1184" w:type="dxa"/>
            <w:tcBorders>
              <w:top w:val="single" w:sz="18" w:space="0" w:color="000000"/>
              <w:left w:val="nil"/>
              <w:bottom w:val="nil"/>
              <w:right w:val="single" w:sz="18" w:space="0" w:color="000000"/>
            </w:tcBorders>
            <w:shd w:val="clear" w:color="auto" w:fill="FFFFFF"/>
            <w:hideMark/>
          </w:tcPr>
          <w:p w14:paraId="7B349F92" w14:textId="77777777" w:rsidR="009A10D0" w:rsidRPr="009A10D0" w:rsidRDefault="009A10D0">
            <w:pPr>
              <w:autoSpaceDE w:val="0"/>
              <w:autoSpaceDN w:val="0"/>
              <w:adjustRightInd w:val="0"/>
              <w:spacing w:after="0" w:line="240" w:lineRule="auto"/>
              <w:ind w:left="60" w:right="60"/>
              <w:rPr>
                <w:szCs w:val="20"/>
              </w:rPr>
            </w:pPr>
            <w:r w:rsidRPr="009A10D0">
              <w:rPr>
                <w:szCs w:val="20"/>
              </w:rPr>
              <w:t>(Constant)</w:t>
            </w:r>
          </w:p>
        </w:tc>
        <w:tc>
          <w:tcPr>
            <w:tcW w:w="1338" w:type="dxa"/>
            <w:tcBorders>
              <w:top w:val="single" w:sz="18" w:space="0" w:color="000000"/>
              <w:left w:val="single" w:sz="18" w:space="0" w:color="000000"/>
              <w:bottom w:val="nil"/>
              <w:right w:val="single" w:sz="8" w:space="0" w:color="000000"/>
            </w:tcBorders>
            <w:shd w:val="clear" w:color="auto" w:fill="FFFFFF"/>
            <w:vAlign w:val="center"/>
            <w:hideMark/>
          </w:tcPr>
          <w:p w14:paraId="2CDA9DB9"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33,562</w:t>
            </w:r>
          </w:p>
        </w:tc>
        <w:tc>
          <w:tcPr>
            <w:tcW w:w="1338" w:type="dxa"/>
            <w:tcBorders>
              <w:top w:val="single" w:sz="18" w:space="0" w:color="000000"/>
              <w:left w:val="single" w:sz="8" w:space="0" w:color="000000"/>
              <w:bottom w:val="nil"/>
              <w:right w:val="single" w:sz="8" w:space="0" w:color="000000"/>
            </w:tcBorders>
            <w:shd w:val="clear" w:color="auto" w:fill="FFFFFF"/>
            <w:vAlign w:val="center"/>
            <w:hideMark/>
          </w:tcPr>
          <w:p w14:paraId="59E19B72"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6,507</w:t>
            </w:r>
          </w:p>
        </w:tc>
        <w:tc>
          <w:tcPr>
            <w:tcW w:w="1476" w:type="dxa"/>
            <w:tcBorders>
              <w:top w:val="single" w:sz="18" w:space="0" w:color="000000"/>
              <w:left w:val="single" w:sz="8" w:space="0" w:color="000000"/>
              <w:bottom w:val="nil"/>
              <w:right w:val="single" w:sz="8" w:space="0" w:color="000000"/>
            </w:tcBorders>
            <w:shd w:val="clear" w:color="auto" w:fill="FFFFFF"/>
            <w:vAlign w:val="center"/>
          </w:tcPr>
          <w:p w14:paraId="3F154B11" w14:textId="77777777" w:rsidR="009A10D0" w:rsidRPr="009A10D0" w:rsidRDefault="009A10D0">
            <w:pPr>
              <w:autoSpaceDE w:val="0"/>
              <w:autoSpaceDN w:val="0"/>
              <w:adjustRightInd w:val="0"/>
              <w:spacing w:after="0" w:line="240" w:lineRule="auto"/>
              <w:rPr>
                <w:color w:val="auto"/>
                <w:szCs w:val="20"/>
              </w:rPr>
            </w:pPr>
          </w:p>
        </w:tc>
        <w:tc>
          <w:tcPr>
            <w:tcW w:w="1030" w:type="dxa"/>
            <w:tcBorders>
              <w:top w:val="single" w:sz="18" w:space="0" w:color="000000"/>
              <w:left w:val="single" w:sz="8" w:space="0" w:color="000000"/>
              <w:bottom w:val="nil"/>
              <w:right w:val="single" w:sz="8" w:space="0" w:color="000000"/>
            </w:tcBorders>
            <w:shd w:val="clear" w:color="auto" w:fill="FFFFFF"/>
            <w:vAlign w:val="center"/>
            <w:hideMark/>
          </w:tcPr>
          <w:p w14:paraId="2EED9F2C"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5,158</w:t>
            </w:r>
          </w:p>
        </w:tc>
        <w:tc>
          <w:tcPr>
            <w:tcW w:w="1030" w:type="dxa"/>
            <w:tcBorders>
              <w:top w:val="single" w:sz="18" w:space="0" w:color="000000"/>
              <w:left w:val="single" w:sz="8" w:space="0" w:color="000000"/>
              <w:bottom w:val="nil"/>
              <w:right w:val="single" w:sz="18" w:space="0" w:color="000000"/>
            </w:tcBorders>
            <w:shd w:val="clear" w:color="auto" w:fill="FFFFFF"/>
            <w:vAlign w:val="center"/>
            <w:hideMark/>
          </w:tcPr>
          <w:p w14:paraId="6D002636"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,000</w:t>
            </w:r>
          </w:p>
        </w:tc>
      </w:tr>
      <w:tr w:rsidR="009A10D0" w:rsidRPr="009A10D0" w14:paraId="5F8953EB" w14:textId="77777777" w:rsidTr="009A10D0">
        <w:trPr>
          <w:cantSplit/>
          <w:jc w:val="center"/>
        </w:trPr>
        <w:tc>
          <w:tcPr>
            <w:tcW w:w="8132" w:type="dxa"/>
            <w:vMerge/>
            <w:tcBorders>
              <w:top w:val="single" w:sz="18" w:space="0" w:color="000000"/>
              <w:left w:val="single" w:sz="18" w:space="0" w:color="000000"/>
              <w:bottom w:val="single" w:sz="18" w:space="0" w:color="000000"/>
              <w:right w:val="nil"/>
            </w:tcBorders>
            <w:vAlign w:val="center"/>
            <w:hideMark/>
          </w:tcPr>
          <w:p w14:paraId="1AC824F1" w14:textId="77777777" w:rsidR="009A10D0" w:rsidRPr="009A10D0" w:rsidRDefault="009A10D0">
            <w:pPr>
              <w:spacing w:after="0" w:line="240" w:lineRule="auto"/>
              <w:rPr>
                <w:szCs w:val="20"/>
              </w:rPr>
            </w:pPr>
          </w:p>
        </w:tc>
        <w:tc>
          <w:tcPr>
            <w:tcW w:w="1184" w:type="dxa"/>
            <w:tcBorders>
              <w:top w:val="nil"/>
              <w:left w:val="nil"/>
              <w:bottom w:val="single" w:sz="18" w:space="0" w:color="000000"/>
              <w:right w:val="single" w:sz="18" w:space="0" w:color="000000"/>
            </w:tcBorders>
            <w:shd w:val="clear" w:color="auto" w:fill="FFFFFF"/>
            <w:hideMark/>
          </w:tcPr>
          <w:p w14:paraId="0B3DE40E" w14:textId="77777777" w:rsidR="009A10D0" w:rsidRPr="009A10D0" w:rsidRDefault="009A10D0">
            <w:pPr>
              <w:autoSpaceDE w:val="0"/>
              <w:autoSpaceDN w:val="0"/>
              <w:adjustRightInd w:val="0"/>
              <w:spacing w:after="0" w:line="240" w:lineRule="auto"/>
              <w:ind w:left="60" w:right="60"/>
              <w:rPr>
                <w:szCs w:val="20"/>
              </w:rPr>
            </w:pPr>
            <w:r w:rsidRPr="009A10D0">
              <w:rPr>
                <w:szCs w:val="20"/>
              </w:rPr>
              <w:t>X</w:t>
            </w:r>
          </w:p>
        </w:tc>
        <w:tc>
          <w:tcPr>
            <w:tcW w:w="1338" w:type="dxa"/>
            <w:tcBorders>
              <w:top w:val="nil"/>
              <w:left w:val="single" w:sz="18" w:space="0" w:color="000000"/>
              <w:bottom w:val="single" w:sz="18" w:space="0" w:color="000000"/>
              <w:right w:val="single" w:sz="8" w:space="0" w:color="000000"/>
            </w:tcBorders>
            <w:shd w:val="clear" w:color="auto" w:fill="FFFFFF"/>
            <w:vAlign w:val="center"/>
            <w:hideMark/>
          </w:tcPr>
          <w:p w14:paraId="6062B0E5"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,312</w:t>
            </w:r>
          </w:p>
        </w:tc>
        <w:tc>
          <w:tcPr>
            <w:tcW w:w="1338" w:type="dxa"/>
            <w:tcBorders>
              <w:top w:val="nil"/>
              <w:left w:val="single" w:sz="8" w:space="0" w:color="000000"/>
              <w:bottom w:val="single" w:sz="18" w:space="0" w:color="000000"/>
              <w:right w:val="single" w:sz="8" w:space="0" w:color="000000"/>
            </w:tcBorders>
            <w:shd w:val="clear" w:color="auto" w:fill="FFFFFF"/>
            <w:vAlign w:val="center"/>
            <w:hideMark/>
          </w:tcPr>
          <w:p w14:paraId="452929CB"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,133</w:t>
            </w:r>
          </w:p>
        </w:tc>
        <w:tc>
          <w:tcPr>
            <w:tcW w:w="1476" w:type="dxa"/>
            <w:tcBorders>
              <w:top w:val="nil"/>
              <w:left w:val="single" w:sz="8" w:space="0" w:color="000000"/>
              <w:bottom w:val="single" w:sz="18" w:space="0" w:color="000000"/>
              <w:right w:val="single" w:sz="8" w:space="0" w:color="000000"/>
            </w:tcBorders>
            <w:shd w:val="clear" w:color="auto" w:fill="FFFFFF"/>
            <w:vAlign w:val="center"/>
            <w:hideMark/>
          </w:tcPr>
          <w:p w14:paraId="57351A1A"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,360</w:t>
            </w:r>
          </w:p>
        </w:tc>
        <w:tc>
          <w:tcPr>
            <w:tcW w:w="1030" w:type="dxa"/>
            <w:tcBorders>
              <w:top w:val="nil"/>
              <w:left w:val="single" w:sz="8" w:space="0" w:color="000000"/>
              <w:bottom w:val="single" w:sz="18" w:space="0" w:color="000000"/>
              <w:right w:val="single" w:sz="8" w:space="0" w:color="000000"/>
            </w:tcBorders>
            <w:shd w:val="clear" w:color="auto" w:fill="FFFFFF"/>
            <w:vAlign w:val="center"/>
            <w:hideMark/>
          </w:tcPr>
          <w:p w14:paraId="2B372A9E"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2,347</w:t>
            </w:r>
          </w:p>
        </w:tc>
        <w:tc>
          <w:tcPr>
            <w:tcW w:w="1030" w:type="dxa"/>
            <w:tcBorders>
              <w:top w:val="nil"/>
              <w:left w:val="single" w:sz="8" w:space="0" w:color="000000"/>
              <w:bottom w:val="single" w:sz="18" w:space="0" w:color="000000"/>
              <w:right w:val="single" w:sz="18" w:space="0" w:color="000000"/>
            </w:tcBorders>
            <w:shd w:val="clear" w:color="auto" w:fill="FFFFFF"/>
            <w:vAlign w:val="center"/>
            <w:hideMark/>
          </w:tcPr>
          <w:p w14:paraId="7E6ABAB3"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,024</w:t>
            </w:r>
          </w:p>
        </w:tc>
      </w:tr>
      <w:tr w:rsidR="009A10D0" w:rsidRPr="009A10D0" w14:paraId="74ED0A74" w14:textId="77777777" w:rsidTr="009A10D0">
        <w:trPr>
          <w:cantSplit/>
          <w:jc w:val="center"/>
        </w:trPr>
        <w:tc>
          <w:tcPr>
            <w:tcW w:w="8132" w:type="dxa"/>
            <w:gridSpan w:val="7"/>
            <w:tcBorders>
              <w:top w:val="nil"/>
              <w:left w:val="nil"/>
              <w:bottom w:val="nil"/>
              <w:right w:val="nil"/>
            </w:tcBorders>
            <w:shd w:val="clear" w:color="auto" w:fill="FFFFFF"/>
            <w:hideMark/>
          </w:tcPr>
          <w:p w14:paraId="326557FB" w14:textId="77777777" w:rsidR="009A10D0" w:rsidRPr="009A10D0" w:rsidRDefault="009A10D0">
            <w:pPr>
              <w:autoSpaceDE w:val="0"/>
              <w:autoSpaceDN w:val="0"/>
              <w:adjustRightInd w:val="0"/>
              <w:spacing w:after="0" w:line="240" w:lineRule="auto"/>
              <w:ind w:left="58" w:right="58"/>
              <w:rPr>
                <w:i/>
                <w:szCs w:val="20"/>
              </w:rPr>
            </w:pPr>
            <w:r w:rsidRPr="009A10D0">
              <w:rPr>
                <w:i/>
                <w:szCs w:val="20"/>
              </w:rPr>
              <w:t>a. Dependent Variable: Y</w:t>
            </w:r>
          </w:p>
        </w:tc>
      </w:tr>
    </w:tbl>
    <w:p w14:paraId="44B6EEEA" w14:textId="77777777" w:rsidR="009A10D0" w:rsidRPr="009A10D0" w:rsidRDefault="009A10D0" w:rsidP="009A10D0">
      <w:pPr>
        <w:autoSpaceDE w:val="0"/>
        <w:autoSpaceDN w:val="0"/>
        <w:adjustRightInd w:val="0"/>
        <w:spacing w:after="0" w:line="240" w:lineRule="auto"/>
        <w:ind w:firstLine="720"/>
        <w:rPr>
          <w:color w:val="auto"/>
          <w:szCs w:val="20"/>
        </w:rPr>
      </w:pPr>
    </w:p>
    <w:p w14:paraId="38F85AB4" w14:textId="675D987D" w:rsidR="009A10D0" w:rsidRPr="009A10D0" w:rsidRDefault="009A10D0" w:rsidP="009F4279">
      <w:pPr>
        <w:widowControl w:val="0"/>
        <w:autoSpaceDE w:val="0"/>
        <w:autoSpaceDN w:val="0"/>
        <w:adjustRightInd w:val="0"/>
        <w:spacing w:after="0" w:line="240" w:lineRule="auto"/>
        <w:ind w:firstLine="0"/>
        <w:rPr>
          <w:szCs w:val="20"/>
        </w:rPr>
      </w:pPr>
      <w:r w:rsidRPr="009A10D0">
        <w:rPr>
          <w:szCs w:val="20"/>
        </w:rPr>
        <w:t xml:space="preserve">Based on the results of the t test output for variable This means that X </w:t>
      </w:r>
      <w:r w:rsidR="00E73CB8">
        <w:rPr>
          <w:szCs w:val="20"/>
        </w:rPr>
        <w:t>(</w:t>
      </w:r>
      <w:r w:rsidR="00E73CB8" w:rsidRPr="00E73CB8">
        <w:rPr>
          <w:szCs w:val="20"/>
        </w:rPr>
        <w:t>Financial Reporting Training</w:t>
      </w:r>
      <w:r w:rsidR="00E73CB8">
        <w:rPr>
          <w:szCs w:val="20"/>
        </w:rPr>
        <w:t xml:space="preserve">) </w:t>
      </w:r>
      <w:r w:rsidRPr="009A10D0">
        <w:rPr>
          <w:szCs w:val="20"/>
        </w:rPr>
        <w:t xml:space="preserve">has a significant effect on Y. Financial reporting training has a significant impact on improving individual competency, especially in the field of accounting and finance. </w:t>
      </w:r>
    </w:p>
    <w:p w14:paraId="2ABC811C" w14:textId="77777777" w:rsidR="009A10D0" w:rsidRPr="009A10D0" w:rsidRDefault="009A10D0" w:rsidP="009A10D0">
      <w:pPr>
        <w:widowControl w:val="0"/>
        <w:autoSpaceDE w:val="0"/>
        <w:autoSpaceDN w:val="0"/>
        <w:adjustRightInd w:val="0"/>
        <w:spacing w:after="0" w:line="240" w:lineRule="auto"/>
        <w:rPr>
          <w:b/>
          <w:bCs/>
          <w:szCs w:val="20"/>
        </w:rPr>
      </w:pPr>
    </w:p>
    <w:p w14:paraId="1CB1E139" w14:textId="77777777" w:rsidR="009A10D0" w:rsidRPr="009A10D0" w:rsidRDefault="009A10D0" w:rsidP="009A10D0">
      <w:pPr>
        <w:widowControl w:val="0"/>
        <w:autoSpaceDE w:val="0"/>
        <w:autoSpaceDN w:val="0"/>
        <w:adjustRightInd w:val="0"/>
        <w:spacing w:after="0" w:line="240" w:lineRule="auto"/>
        <w:jc w:val="center"/>
        <w:rPr>
          <w:b/>
          <w:bCs/>
          <w:szCs w:val="20"/>
        </w:rPr>
      </w:pPr>
      <w:proofErr w:type="gramStart"/>
      <w:r w:rsidRPr="009A10D0">
        <w:rPr>
          <w:b/>
          <w:bCs/>
          <w:szCs w:val="20"/>
        </w:rPr>
        <w:t>Table  4</w:t>
      </w:r>
      <w:proofErr w:type="gramEnd"/>
      <w:r w:rsidRPr="009A10D0">
        <w:rPr>
          <w:b/>
          <w:bCs/>
          <w:szCs w:val="20"/>
        </w:rPr>
        <w:t xml:space="preserve"> t Test Y to Z</w:t>
      </w:r>
    </w:p>
    <w:p w14:paraId="6F19F736" w14:textId="5314EAA0" w:rsidR="009A10D0" w:rsidRPr="009A10D0" w:rsidRDefault="009A10D0" w:rsidP="009A10D0">
      <w:pPr>
        <w:widowControl w:val="0"/>
        <w:autoSpaceDE w:val="0"/>
        <w:autoSpaceDN w:val="0"/>
        <w:adjustRightInd w:val="0"/>
        <w:spacing w:after="0" w:line="240" w:lineRule="auto"/>
        <w:jc w:val="center"/>
        <w:rPr>
          <w:szCs w:val="20"/>
        </w:rPr>
      </w:pPr>
      <w:r w:rsidRPr="009A10D0">
        <w:rPr>
          <w:noProof/>
          <w:color w:val="auto"/>
          <w:szCs w:val="20"/>
        </w:rPr>
        <w:lastRenderedPageBreak/>
        <mc:AlternateContent>
          <mc:Choice Requires="wps">
            <w:drawing>
              <wp:anchor distT="0" distB="0" distL="114300" distR="114300" simplePos="0" relativeHeight="251659776" behindDoc="0" locked="0" layoutInCell="1" allowOverlap="1" wp14:anchorId="1DF921F1" wp14:editId="5C064DD3">
                <wp:simplePos x="0" y="0"/>
                <wp:positionH relativeFrom="column">
                  <wp:posOffset>562182</wp:posOffset>
                </wp:positionH>
                <wp:positionV relativeFrom="paragraph">
                  <wp:posOffset>884555</wp:posOffset>
                </wp:positionV>
                <wp:extent cx="668020" cy="214630"/>
                <wp:effectExtent l="0" t="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 cy="21463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E1DB8" w14:textId="77777777" w:rsidR="009A10D0" w:rsidRDefault="009A10D0" w:rsidP="009A10D0">
                            <w:pPr>
                              <w:rPr>
                                <w:sz w:val="14"/>
                                <w:szCs w:val="14"/>
                              </w:rPr>
                            </w:pPr>
                            <w:r>
                              <w:rPr>
                                <w:sz w:val="14"/>
                                <w:szCs w:val="14"/>
                              </w:rPr>
                              <w:t>Competence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921F1" id="Rectangle 9" o:spid="_x0000_s1029" style="position:absolute;left:0;text-align:left;margin-left:44.25pt;margin-top:69.65pt;width:52.6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" fillcolor="#d8d8d8" stroked="f">
                <v:textbox>
                  <w:txbxContent>
                    <w:p w14:paraId="427E1DB8" w14:textId="77777777" w:rsidR="009A10D0" w:rsidRDefault="009A10D0" w:rsidP="009A10D0">
                      <w:pPr>
                        <w:rPr>
                          <w:sz w:val="14"/>
                          <w:szCs w:val="14"/>
                        </w:rPr>
                      </w:pPr>
                      <w:r>
                        <w:rPr>
                          <w:sz w:val="14"/>
                          <w:szCs w:val="14"/>
                        </w:rPr>
                        <w:t>Competence</w:t>
                      </w:r>
                    </w:p>
                  </w:txbxContent>
                </v:textbox>
              </v:rect>
            </w:pict>
          </mc:Fallback>
        </mc:AlternateContent>
      </w:r>
      <w:r w:rsidRPr="009A10D0">
        <w:rPr>
          <w:noProof/>
          <w:spacing w:val="-2"/>
          <w:szCs w:val="20"/>
        </w:rPr>
        <w:drawing>
          <wp:inline distT="0" distB="0" distL="0" distR="0" wp14:anchorId="52AA72FA" wp14:editId="1FB5D616">
            <wp:extent cx="5358765" cy="12757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8765" cy="1275715"/>
                    </a:xfrm>
                    <a:prstGeom prst="rect">
                      <a:avLst/>
                    </a:prstGeom>
                    <a:noFill/>
                    <a:ln>
                      <a:noFill/>
                    </a:ln>
                  </pic:spPr>
                </pic:pic>
              </a:graphicData>
            </a:graphic>
          </wp:inline>
        </w:drawing>
      </w:r>
    </w:p>
    <w:p w14:paraId="61B0465F" w14:textId="77777777" w:rsidR="009F4279" w:rsidRDefault="009F4279" w:rsidP="009F4279">
      <w:pPr>
        <w:pStyle w:val="ListParagraph"/>
        <w:ind w:left="0"/>
        <w:jc w:val="both"/>
        <w:rPr>
          <w:rFonts w:ascii="Arial" w:hAnsi="Arial" w:cs="Arial"/>
          <w:bCs/>
          <w:sz w:val="20"/>
          <w:szCs w:val="20"/>
        </w:rPr>
      </w:pPr>
    </w:p>
    <w:p w14:paraId="3E298BA5" w14:textId="0F2FE57A" w:rsidR="009A10D0" w:rsidRDefault="009A10D0" w:rsidP="00E73CB8">
      <w:pPr>
        <w:pStyle w:val="ListParagraph"/>
        <w:ind w:left="0"/>
        <w:jc w:val="both"/>
        <w:rPr>
          <w:rFonts w:ascii="Arial" w:hAnsi="Arial" w:cs="Arial"/>
          <w:color w:val="000000"/>
          <w:sz w:val="20"/>
          <w:szCs w:val="20"/>
        </w:rPr>
      </w:pPr>
      <w:r w:rsidRPr="009A10D0">
        <w:rPr>
          <w:rFonts w:ascii="Arial" w:hAnsi="Arial" w:cs="Arial"/>
          <w:bCs/>
          <w:sz w:val="20"/>
          <w:szCs w:val="20"/>
        </w:rPr>
        <w:t>Based on the SPSS "Coefficients" output table above, it is known that the Significance (Sig) value of the Financial Report Quality Variable is 0.001. Because the Sig value is 0.001 &lt; 0.05, it can be concluded that Competency (Y) influences the Quality of Financial Reports (Z).</w:t>
      </w:r>
      <w:r w:rsidRPr="009A10D0">
        <w:rPr>
          <w:rFonts w:ascii="Arial" w:hAnsi="Arial" w:cs="Arial"/>
          <w:b/>
          <w:bCs/>
          <w:color w:val="000000"/>
          <w:sz w:val="20"/>
          <w:szCs w:val="20"/>
        </w:rPr>
        <w:t xml:space="preserve"> </w:t>
      </w:r>
    </w:p>
    <w:p w14:paraId="3B832381" w14:textId="30F5EFD2" w:rsidR="00E73CB8" w:rsidRDefault="00E73CB8" w:rsidP="00E73CB8">
      <w:pPr>
        <w:pStyle w:val="ListParagraph"/>
        <w:ind w:left="0"/>
        <w:jc w:val="both"/>
        <w:rPr>
          <w:rFonts w:ascii="Arial" w:hAnsi="Arial" w:cs="Arial"/>
          <w:color w:val="000000"/>
          <w:sz w:val="20"/>
          <w:szCs w:val="20"/>
        </w:rPr>
      </w:pPr>
    </w:p>
    <w:p w14:paraId="65FE0A9A" w14:textId="5DE9A271" w:rsidR="00E73CB8" w:rsidRDefault="00E73CB8" w:rsidP="00E73CB8">
      <w:pPr>
        <w:pStyle w:val="ListParagraph"/>
        <w:ind w:left="0"/>
        <w:jc w:val="both"/>
        <w:rPr>
          <w:rFonts w:ascii="Arial" w:hAnsi="Arial" w:cs="Arial"/>
          <w:color w:val="000000"/>
          <w:sz w:val="20"/>
          <w:szCs w:val="20"/>
        </w:rPr>
      </w:pPr>
    </w:p>
    <w:p w14:paraId="6709A37D" w14:textId="77D1D576" w:rsidR="00E73CB8" w:rsidRDefault="00E73CB8" w:rsidP="00E73CB8">
      <w:pPr>
        <w:pStyle w:val="ListParagraph"/>
        <w:ind w:left="0"/>
        <w:jc w:val="both"/>
        <w:rPr>
          <w:rFonts w:ascii="Arial" w:hAnsi="Arial" w:cs="Arial"/>
          <w:color w:val="000000"/>
          <w:sz w:val="20"/>
          <w:szCs w:val="20"/>
        </w:rPr>
      </w:pPr>
    </w:p>
    <w:p w14:paraId="47F71504" w14:textId="6CEE0BBF" w:rsidR="00E73CB8" w:rsidRDefault="00E73CB8" w:rsidP="00E73CB8">
      <w:pPr>
        <w:pStyle w:val="ListParagraph"/>
        <w:ind w:left="0"/>
        <w:jc w:val="both"/>
        <w:rPr>
          <w:rFonts w:ascii="Arial" w:hAnsi="Arial" w:cs="Arial"/>
          <w:color w:val="000000"/>
          <w:sz w:val="20"/>
          <w:szCs w:val="20"/>
        </w:rPr>
      </w:pPr>
    </w:p>
    <w:p w14:paraId="0345A1AA" w14:textId="2157B33A" w:rsidR="00E73CB8" w:rsidRDefault="00E73CB8" w:rsidP="00E73CB8">
      <w:pPr>
        <w:pStyle w:val="ListParagraph"/>
        <w:ind w:left="0"/>
        <w:jc w:val="both"/>
        <w:rPr>
          <w:rFonts w:ascii="Arial" w:hAnsi="Arial" w:cs="Arial"/>
          <w:color w:val="000000"/>
          <w:sz w:val="20"/>
          <w:szCs w:val="20"/>
        </w:rPr>
      </w:pPr>
    </w:p>
    <w:p w14:paraId="3C8381F4" w14:textId="1C1D3BDE" w:rsidR="00E73CB8" w:rsidRDefault="00E73CB8" w:rsidP="00E73CB8">
      <w:pPr>
        <w:pStyle w:val="ListParagraph"/>
        <w:ind w:left="0"/>
        <w:jc w:val="both"/>
        <w:rPr>
          <w:rFonts w:ascii="Arial" w:hAnsi="Arial" w:cs="Arial"/>
          <w:color w:val="000000"/>
          <w:sz w:val="20"/>
          <w:szCs w:val="20"/>
        </w:rPr>
      </w:pPr>
    </w:p>
    <w:p w14:paraId="288E7F67" w14:textId="38A46590" w:rsidR="00E73CB8" w:rsidRDefault="00E73CB8" w:rsidP="00E73CB8">
      <w:pPr>
        <w:pStyle w:val="ListParagraph"/>
        <w:ind w:left="0"/>
        <w:jc w:val="both"/>
        <w:rPr>
          <w:rFonts w:ascii="Arial" w:hAnsi="Arial" w:cs="Arial"/>
          <w:b/>
          <w:bCs/>
          <w:color w:val="000000"/>
          <w:sz w:val="20"/>
          <w:szCs w:val="20"/>
        </w:rPr>
      </w:pPr>
    </w:p>
    <w:p w14:paraId="15D9229A" w14:textId="461126E4" w:rsidR="00C854B2" w:rsidRDefault="00C854B2" w:rsidP="00E73CB8">
      <w:pPr>
        <w:pStyle w:val="ListParagraph"/>
        <w:ind w:left="0"/>
        <w:jc w:val="both"/>
        <w:rPr>
          <w:rFonts w:ascii="Arial" w:hAnsi="Arial" w:cs="Arial"/>
          <w:b/>
          <w:bCs/>
          <w:color w:val="000000"/>
          <w:sz w:val="20"/>
          <w:szCs w:val="20"/>
        </w:rPr>
      </w:pPr>
    </w:p>
    <w:p w14:paraId="1B0DD478" w14:textId="7C9CB8B0" w:rsidR="00C854B2" w:rsidRDefault="00C854B2" w:rsidP="00E73CB8">
      <w:pPr>
        <w:pStyle w:val="ListParagraph"/>
        <w:ind w:left="0"/>
        <w:jc w:val="both"/>
        <w:rPr>
          <w:rFonts w:ascii="Arial" w:hAnsi="Arial" w:cs="Arial"/>
          <w:b/>
          <w:bCs/>
          <w:color w:val="000000"/>
          <w:sz w:val="20"/>
          <w:szCs w:val="20"/>
        </w:rPr>
      </w:pPr>
    </w:p>
    <w:p w14:paraId="23662183" w14:textId="202075E2" w:rsidR="00C854B2" w:rsidRDefault="00C854B2" w:rsidP="00E73CB8">
      <w:pPr>
        <w:pStyle w:val="ListParagraph"/>
        <w:ind w:left="0"/>
        <w:jc w:val="both"/>
        <w:rPr>
          <w:rFonts w:ascii="Arial" w:hAnsi="Arial" w:cs="Arial"/>
          <w:b/>
          <w:bCs/>
          <w:color w:val="000000"/>
          <w:sz w:val="20"/>
          <w:szCs w:val="20"/>
        </w:rPr>
      </w:pPr>
    </w:p>
    <w:p w14:paraId="18572A08" w14:textId="62F440F5" w:rsidR="00C854B2" w:rsidRDefault="00C854B2" w:rsidP="00E73CB8">
      <w:pPr>
        <w:pStyle w:val="ListParagraph"/>
        <w:ind w:left="0"/>
        <w:jc w:val="both"/>
        <w:rPr>
          <w:rFonts w:ascii="Arial" w:hAnsi="Arial" w:cs="Arial"/>
          <w:b/>
          <w:bCs/>
          <w:color w:val="000000"/>
          <w:sz w:val="20"/>
          <w:szCs w:val="20"/>
        </w:rPr>
      </w:pPr>
    </w:p>
    <w:p w14:paraId="4F6CDEDB" w14:textId="1EAE47F6" w:rsidR="00C854B2" w:rsidRDefault="00C854B2" w:rsidP="00E73CB8">
      <w:pPr>
        <w:pStyle w:val="ListParagraph"/>
        <w:ind w:left="0"/>
        <w:jc w:val="both"/>
        <w:rPr>
          <w:rFonts w:ascii="Arial" w:hAnsi="Arial" w:cs="Arial"/>
          <w:b/>
          <w:bCs/>
          <w:color w:val="000000"/>
          <w:sz w:val="20"/>
          <w:szCs w:val="20"/>
        </w:rPr>
      </w:pPr>
    </w:p>
    <w:p w14:paraId="1F0B5806" w14:textId="77777777" w:rsidR="00C854B2" w:rsidRPr="009A10D0" w:rsidRDefault="00C854B2" w:rsidP="00E73CB8">
      <w:pPr>
        <w:pStyle w:val="ListParagraph"/>
        <w:ind w:left="0"/>
        <w:jc w:val="both"/>
        <w:rPr>
          <w:rFonts w:ascii="Arial" w:hAnsi="Arial" w:cs="Arial"/>
          <w:b/>
          <w:bCs/>
          <w:color w:val="000000"/>
          <w:sz w:val="20"/>
          <w:szCs w:val="20"/>
        </w:rPr>
      </w:pPr>
    </w:p>
    <w:p w14:paraId="5ADF20A4" w14:textId="77777777" w:rsidR="009A10D0" w:rsidRPr="009A10D0" w:rsidRDefault="009A10D0" w:rsidP="009A10D0">
      <w:pPr>
        <w:pStyle w:val="ListParagraph"/>
        <w:ind w:left="0" w:firstLine="720"/>
        <w:jc w:val="center"/>
        <w:rPr>
          <w:rFonts w:ascii="Arial" w:hAnsi="Arial" w:cs="Arial"/>
          <w:b/>
          <w:bCs/>
          <w:color w:val="000000"/>
          <w:sz w:val="20"/>
          <w:szCs w:val="20"/>
        </w:rPr>
      </w:pPr>
      <w:proofErr w:type="gramStart"/>
      <w:r w:rsidRPr="009A10D0">
        <w:rPr>
          <w:rFonts w:ascii="Arial" w:hAnsi="Arial" w:cs="Arial"/>
          <w:b/>
          <w:bCs/>
          <w:color w:val="000000"/>
          <w:sz w:val="20"/>
          <w:szCs w:val="20"/>
        </w:rPr>
        <w:t>Table  5</w:t>
      </w:r>
      <w:proofErr w:type="gramEnd"/>
      <w:r w:rsidRPr="009A10D0">
        <w:rPr>
          <w:rFonts w:ascii="Arial" w:hAnsi="Arial" w:cs="Arial"/>
          <w:b/>
          <w:bCs/>
          <w:color w:val="000000"/>
          <w:sz w:val="20"/>
          <w:szCs w:val="20"/>
        </w:rPr>
        <w:t xml:space="preserve">  t Test X to Z</w:t>
      </w:r>
    </w:p>
    <w:p w14:paraId="3CF41C67" w14:textId="313C6526" w:rsidR="009A10D0" w:rsidRPr="009A10D0" w:rsidRDefault="009A10D0" w:rsidP="009A10D0">
      <w:pPr>
        <w:autoSpaceDE w:val="0"/>
        <w:autoSpaceDN w:val="0"/>
        <w:adjustRightInd w:val="0"/>
        <w:spacing w:after="0" w:line="240" w:lineRule="auto"/>
        <w:jc w:val="center"/>
        <w:rPr>
          <w:noProof/>
          <w:color w:val="auto"/>
          <w:szCs w:val="20"/>
        </w:rPr>
      </w:pPr>
      <w:r w:rsidRPr="009A10D0">
        <w:rPr>
          <w:noProof/>
          <w:color w:val="auto"/>
          <w:szCs w:val="20"/>
        </w:rPr>
        <mc:AlternateContent>
          <mc:Choice Requires="wps">
            <w:drawing>
              <wp:anchor distT="0" distB="0" distL="114300" distR="114300" simplePos="0" relativeHeight="251660800" behindDoc="0" locked="0" layoutInCell="1" allowOverlap="1" wp14:anchorId="7997E148" wp14:editId="7D204CA7">
                <wp:simplePos x="0" y="0"/>
                <wp:positionH relativeFrom="column">
                  <wp:posOffset>776664</wp:posOffset>
                </wp:positionH>
                <wp:positionV relativeFrom="paragraph">
                  <wp:posOffset>784225</wp:posOffset>
                </wp:positionV>
                <wp:extent cx="524510" cy="191135"/>
                <wp:effectExtent l="3810" t="3175"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911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01062" w14:textId="77777777" w:rsidR="009A10D0" w:rsidRDefault="009A10D0" w:rsidP="009A10D0">
                            <w:pPr>
                              <w:rPr>
                                <w:sz w:val="14"/>
                                <w:szCs w:val="14"/>
                              </w:rPr>
                            </w:pPr>
                            <w:r>
                              <w:rPr>
                                <w:sz w:val="14"/>
                                <w:szCs w:val="14"/>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7E148" id="Rectangle 8" o:spid="_x0000_s1030" style="position:absolute;left:0;text-align:left;margin-left:61.15pt;margin-top:61.75pt;width:41.3pt;height:1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" fillcolor="#d8d8d8" stroked="f">
                <v:textbox>
                  <w:txbxContent>
                    <w:p w14:paraId="6BF01062" w14:textId="77777777" w:rsidR="009A10D0" w:rsidRDefault="009A10D0" w:rsidP="009A10D0">
                      <w:pPr>
                        <w:rPr>
                          <w:sz w:val="14"/>
                          <w:szCs w:val="14"/>
                        </w:rPr>
                      </w:pPr>
                      <w:r>
                        <w:rPr>
                          <w:sz w:val="14"/>
                          <w:szCs w:val="14"/>
                        </w:rPr>
                        <w:t>training</w:t>
                      </w:r>
                    </w:p>
                  </w:txbxContent>
                </v:textbox>
              </v:rect>
            </w:pict>
          </mc:Fallback>
        </mc:AlternateContent>
      </w:r>
      <w:r w:rsidRPr="009A10D0">
        <w:rPr>
          <w:noProof/>
          <w:szCs w:val="20"/>
        </w:rPr>
        <w:drawing>
          <wp:inline distT="0" distB="0" distL="0" distR="0" wp14:anchorId="7009C958" wp14:editId="2D793C2D">
            <wp:extent cx="4816475" cy="1158875"/>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16475" cy="1158875"/>
                    </a:xfrm>
                    <a:prstGeom prst="rect">
                      <a:avLst/>
                    </a:prstGeom>
                    <a:noFill/>
                    <a:ln>
                      <a:noFill/>
                    </a:ln>
                  </pic:spPr>
                </pic:pic>
              </a:graphicData>
            </a:graphic>
          </wp:inline>
        </w:drawing>
      </w:r>
    </w:p>
    <w:p w14:paraId="7BF279AD" w14:textId="71C42992" w:rsidR="009A10D0" w:rsidRPr="009A10D0" w:rsidRDefault="009A10D0" w:rsidP="009F4279">
      <w:pPr>
        <w:pStyle w:val="ListParagraph"/>
        <w:ind w:left="0"/>
        <w:jc w:val="both"/>
        <w:rPr>
          <w:rFonts w:ascii="Arial" w:hAnsi="Arial" w:cs="Arial"/>
          <w:bCs/>
          <w:sz w:val="20"/>
          <w:szCs w:val="20"/>
        </w:rPr>
      </w:pPr>
      <w:r w:rsidRPr="009A10D0">
        <w:rPr>
          <w:rFonts w:ascii="Arial" w:hAnsi="Arial" w:cs="Arial"/>
          <w:bCs/>
          <w:sz w:val="20"/>
          <w:szCs w:val="20"/>
        </w:rPr>
        <w:t xml:space="preserve">Based on the SPSS "Coefficients" output table above, it is known that the Significance (Sig) value of the Financial Report Preparation Training Variable is 0.018. Because the Sig value is 0.018 &lt; 0.05, it can be concluded that there is an influence of Financial Report Preparation (X) on the Quality of Financial Reports (Z). </w:t>
      </w:r>
    </w:p>
    <w:p w14:paraId="1A48697E" w14:textId="4288918A" w:rsidR="0039143E" w:rsidRPr="009F4279" w:rsidRDefault="009A10D0" w:rsidP="009F4279">
      <w:pPr>
        <w:pStyle w:val="ListParagraph"/>
        <w:ind w:left="0" w:firstLine="720"/>
        <w:jc w:val="both"/>
        <w:rPr>
          <w:color w:val="000000"/>
          <w:spacing w:val="-2"/>
          <w:sz w:val="20"/>
          <w:szCs w:val="20"/>
        </w:rPr>
      </w:pPr>
      <w:r>
        <w:rPr>
          <w:bCs/>
          <w:sz w:val="20"/>
          <w:szCs w:val="20"/>
        </w:rPr>
        <w:t xml:space="preserve"> </w:t>
      </w:r>
      <w:r w:rsidR="000C10DD">
        <w:rPr>
          <w:sz w:val="16"/>
        </w:rPr>
        <w:t xml:space="preserve"> </w:t>
      </w:r>
    </w:p>
    <w:p w14:paraId="6703C08B" w14:textId="77777777" w:rsidR="0039143E" w:rsidRDefault="000C10DD">
      <w:pPr>
        <w:pStyle w:val="Heading2"/>
        <w:ind w:left="354" w:hanging="369"/>
      </w:pPr>
      <w:r>
        <w:t xml:space="preserve">Discussion  </w:t>
      </w:r>
    </w:p>
    <w:p w14:paraId="15FE7010" w14:textId="77777777" w:rsidR="0039143E" w:rsidRDefault="000C10DD">
      <w:pPr>
        <w:spacing w:after="21" w:line="259" w:lineRule="auto"/>
        <w:ind w:left="0" w:right="0" w:firstLine="0"/>
        <w:jc w:val="left"/>
      </w:pPr>
      <w:r>
        <w:rPr>
          <w:sz w:val="16"/>
        </w:rPr>
        <w:t xml:space="preserve"> </w:t>
      </w:r>
    </w:p>
    <w:p w14:paraId="7BE4EFC8" w14:textId="77777777" w:rsidR="00E73CB8" w:rsidRPr="00E73CB8" w:rsidRDefault="00E73CB8" w:rsidP="00E73CB8">
      <w:pPr>
        <w:pStyle w:val="Heading4"/>
        <w:jc w:val="both"/>
        <w:rPr>
          <w:rFonts w:ascii="Arial" w:eastAsia="Times New Roman" w:hAnsi="Arial" w:cs="Arial"/>
          <w:i w:val="0"/>
          <w:iCs w:val="0"/>
          <w:color w:val="auto"/>
          <w:sz w:val="20"/>
          <w:szCs w:val="20"/>
        </w:rPr>
      </w:pPr>
      <w:r w:rsidRPr="00E73CB8">
        <w:rPr>
          <w:rFonts w:ascii="Arial" w:hAnsi="Arial" w:cs="Arial"/>
          <w:i w:val="0"/>
          <w:iCs w:val="0"/>
          <w:color w:val="auto"/>
          <w:sz w:val="20"/>
          <w:szCs w:val="20"/>
        </w:rPr>
        <w:t>The Effect of Financial Reporting Training (X) on Competency (Y)</w:t>
      </w:r>
    </w:p>
    <w:p w14:paraId="18CFB5D5" w14:textId="77777777"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 t test results show that financial reporting training significantly improves competency. The positive coefficient indicates a direct relationship. Training strengthens knowledge and practical skills. Participants learn applicable accounting standards, including recognition, measurement, presentation, and disclosure principles. They also gain better control over transaction recording procedures.</w:t>
      </w:r>
    </w:p>
    <w:p w14:paraId="737F6EB0" w14:textId="646AF100"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Competency is not limited to conceptual understanding. It includes accuracy, consistency, and the ability to use accounting tools. Training accelerates proficiency in accounting software and efficient reporting methods. This supports timely reporting and reduces errors</w:t>
      </w:r>
      <w:r w:rsidR="008976D0">
        <w:rPr>
          <w:rFonts w:ascii="Arial" w:hAnsi="Arial" w:cs="Arial"/>
          <w:sz w:val="20"/>
          <w:szCs w:val="20"/>
        </w:rPr>
        <w:t xml:space="preserve"> (Rizal, 2022)</w:t>
      </w:r>
      <w:r w:rsidRPr="00E73CB8">
        <w:rPr>
          <w:rFonts w:ascii="Arial" w:hAnsi="Arial" w:cs="Arial"/>
          <w:sz w:val="20"/>
          <w:szCs w:val="20"/>
        </w:rPr>
        <w:t>.</w:t>
      </w:r>
    </w:p>
    <w:p w14:paraId="7AC64C9F" w14:textId="131C2011"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These findings align with the human capital approach</w:t>
      </w:r>
      <w:r w:rsidR="001D6B54">
        <w:rPr>
          <w:rFonts w:ascii="Arial" w:hAnsi="Arial" w:cs="Arial"/>
          <w:sz w:val="20"/>
          <w:szCs w:val="20"/>
        </w:rPr>
        <w:t xml:space="preserve"> (</w:t>
      </w:r>
      <w:proofErr w:type="spellStart"/>
      <w:r w:rsidR="001D6B54">
        <w:rPr>
          <w:rFonts w:ascii="Arial" w:hAnsi="Arial" w:cs="Arial"/>
          <w:sz w:val="20"/>
          <w:szCs w:val="20"/>
        </w:rPr>
        <w:t>Raspati</w:t>
      </w:r>
      <w:proofErr w:type="spellEnd"/>
      <w:r w:rsidR="001D6B54">
        <w:rPr>
          <w:rFonts w:ascii="Arial" w:hAnsi="Arial" w:cs="Arial"/>
          <w:sz w:val="20"/>
          <w:szCs w:val="20"/>
        </w:rPr>
        <w:t xml:space="preserve"> &amp; </w:t>
      </w:r>
      <w:proofErr w:type="spellStart"/>
      <w:proofErr w:type="gramStart"/>
      <w:r w:rsidR="001D6B54">
        <w:rPr>
          <w:rFonts w:ascii="Arial" w:hAnsi="Arial" w:cs="Arial"/>
          <w:sz w:val="20"/>
          <w:szCs w:val="20"/>
        </w:rPr>
        <w:t>Simanjuntak</w:t>
      </w:r>
      <w:proofErr w:type="spellEnd"/>
      <w:r w:rsidR="001D6B54">
        <w:rPr>
          <w:rFonts w:ascii="Arial" w:hAnsi="Arial" w:cs="Arial"/>
          <w:sz w:val="20"/>
          <w:szCs w:val="20"/>
        </w:rPr>
        <w:t>,,</w:t>
      </w:r>
      <w:proofErr w:type="gramEnd"/>
      <w:r w:rsidR="001D6B54">
        <w:rPr>
          <w:rFonts w:ascii="Arial" w:hAnsi="Arial" w:cs="Arial"/>
          <w:sz w:val="20"/>
          <w:szCs w:val="20"/>
        </w:rPr>
        <w:t xml:space="preserve"> 2024)</w:t>
      </w:r>
      <w:r w:rsidRPr="00E73CB8">
        <w:rPr>
          <w:rFonts w:ascii="Arial" w:hAnsi="Arial" w:cs="Arial"/>
          <w:sz w:val="20"/>
          <w:szCs w:val="20"/>
        </w:rPr>
        <w:t>. Investment in training improves the quality of human resources. That improvement appears as higher competency. The results also match the logic of capacity building. Training provides structure, examples, and feedback. These elements reinforce technical capability and professional judgment</w:t>
      </w:r>
      <w:r w:rsidR="001D6B54">
        <w:rPr>
          <w:rFonts w:ascii="Arial" w:hAnsi="Arial" w:cs="Arial"/>
          <w:sz w:val="20"/>
          <w:szCs w:val="20"/>
        </w:rPr>
        <w:t xml:space="preserve"> (Putri et al., 2024)</w:t>
      </w:r>
      <w:r w:rsidRPr="00E73CB8">
        <w:rPr>
          <w:rFonts w:ascii="Arial" w:hAnsi="Arial" w:cs="Arial"/>
          <w:sz w:val="20"/>
          <w:szCs w:val="20"/>
        </w:rPr>
        <w:t>.</w:t>
      </w:r>
    </w:p>
    <w:p w14:paraId="3551234C" w14:textId="77777777" w:rsidR="00E73CB8" w:rsidRPr="00E73CB8" w:rsidRDefault="00E73CB8" w:rsidP="00E73CB8">
      <w:pPr>
        <w:pStyle w:val="Heading4"/>
        <w:jc w:val="both"/>
        <w:rPr>
          <w:rFonts w:ascii="Arial" w:hAnsi="Arial" w:cs="Arial"/>
          <w:i w:val="0"/>
          <w:iCs w:val="0"/>
          <w:color w:val="auto"/>
          <w:sz w:val="20"/>
          <w:szCs w:val="20"/>
        </w:rPr>
      </w:pPr>
    </w:p>
    <w:p w14:paraId="2476652D" w14:textId="7D8D6B0F" w:rsidR="00E73CB8" w:rsidRPr="00E73CB8" w:rsidRDefault="00E73CB8" w:rsidP="00E73CB8">
      <w:pPr>
        <w:pStyle w:val="Heading4"/>
        <w:jc w:val="both"/>
        <w:rPr>
          <w:rFonts w:ascii="Arial" w:hAnsi="Arial" w:cs="Arial"/>
          <w:i w:val="0"/>
          <w:iCs w:val="0"/>
          <w:color w:val="auto"/>
          <w:sz w:val="20"/>
          <w:szCs w:val="20"/>
        </w:rPr>
      </w:pPr>
      <w:r w:rsidRPr="00E73CB8">
        <w:rPr>
          <w:rFonts w:ascii="Arial" w:hAnsi="Arial" w:cs="Arial"/>
          <w:i w:val="0"/>
          <w:iCs w:val="0"/>
          <w:color w:val="auto"/>
          <w:sz w:val="20"/>
          <w:szCs w:val="20"/>
        </w:rPr>
        <w:t>The Effect of Competency (Y) on Financial Report Quality (Z)</w:t>
      </w:r>
    </w:p>
    <w:p w14:paraId="6D143B19" w14:textId="77777777"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 t test results confirm that competency has a significant effect on financial report quality. The very low Sig. value indicates strong statistical support. Competency improves quality through process accuracy. Competent individuals record transactions according to standards. They classify accounts correctly, apply adjustments, and assess the reasonableness of figures.</w:t>
      </w:r>
    </w:p>
    <w:p w14:paraId="3C2C206C" w14:textId="1B350CDA"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Financial report quality is reflected in accuracy, relevance, and compliance with accounting principles. Strong competency supports all three. Accurate recording increases reliability. Relevant presentation improves decision usefulness for management and external users. Compliance reduces audit findings and regulatory risk</w:t>
      </w:r>
      <w:r w:rsidR="001D6B54">
        <w:rPr>
          <w:rFonts w:ascii="Arial" w:hAnsi="Arial" w:cs="Arial"/>
          <w:sz w:val="20"/>
          <w:szCs w:val="20"/>
        </w:rPr>
        <w:t xml:space="preserve"> (</w:t>
      </w:r>
      <w:proofErr w:type="spellStart"/>
      <w:r w:rsidR="001D6B54">
        <w:rPr>
          <w:rFonts w:ascii="Arial" w:hAnsi="Arial" w:cs="Arial"/>
          <w:sz w:val="20"/>
          <w:szCs w:val="20"/>
        </w:rPr>
        <w:t>Saraswari</w:t>
      </w:r>
      <w:proofErr w:type="spellEnd"/>
      <w:r w:rsidR="001D6B54">
        <w:rPr>
          <w:rFonts w:ascii="Arial" w:hAnsi="Arial" w:cs="Arial"/>
          <w:sz w:val="20"/>
          <w:szCs w:val="20"/>
        </w:rPr>
        <w:t xml:space="preserve"> &amp;</w:t>
      </w:r>
      <w:proofErr w:type="spellStart"/>
      <w:r w:rsidR="001D6B54">
        <w:rPr>
          <w:rFonts w:ascii="Arial" w:hAnsi="Arial" w:cs="Arial"/>
          <w:sz w:val="20"/>
          <w:szCs w:val="20"/>
        </w:rPr>
        <w:t>Yuliarti</w:t>
      </w:r>
      <w:proofErr w:type="spellEnd"/>
      <w:r w:rsidR="001D6B54">
        <w:rPr>
          <w:rFonts w:ascii="Arial" w:hAnsi="Arial" w:cs="Arial"/>
          <w:sz w:val="20"/>
          <w:szCs w:val="20"/>
        </w:rPr>
        <w:t>, 2023)</w:t>
      </w:r>
      <w:r w:rsidRPr="00E73CB8">
        <w:rPr>
          <w:rFonts w:ascii="Arial" w:hAnsi="Arial" w:cs="Arial"/>
          <w:sz w:val="20"/>
          <w:szCs w:val="20"/>
        </w:rPr>
        <w:t>.</w:t>
      </w:r>
    </w:p>
    <w:p w14:paraId="03E4B045" w14:textId="0DD0D5EB"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 practical implications are clear. Competency strengthens transparency and accountability. It also improves the ability to detect errors and potential fraud. Internal control becomes more effective because staff understand key risk points in the accounting cycle</w:t>
      </w:r>
      <w:r w:rsidR="001D6B54">
        <w:rPr>
          <w:rFonts w:ascii="Arial" w:hAnsi="Arial" w:cs="Arial"/>
          <w:sz w:val="20"/>
          <w:szCs w:val="20"/>
        </w:rPr>
        <w:t xml:space="preserve"> (</w:t>
      </w:r>
      <w:proofErr w:type="spellStart"/>
      <w:r w:rsidR="001D6B54">
        <w:rPr>
          <w:rFonts w:ascii="Arial" w:hAnsi="Arial" w:cs="Arial"/>
          <w:sz w:val="20"/>
          <w:szCs w:val="20"/>
        </w:rPr>
        <w:t>Hutabarat</w:t>
      </w:r>
      <w:proofErr w:type="spellEnd"/>
      <w:r w:rsidR="001D6B54">
        <w:rPr>
          <w:rFonts w:ascii="Arial" w:hAnsi="Arial" w:cs="Arial"/>
          <w:sz w:val="20"/>
          <w:szCs w:val="20"/>
        </w:rPr>
        <w:t xml:space="preserve"> et al., 2022)</w:t>
      </w:r>
      <w:r w:rsidRPr="00E73CB8">
        <w:rPr>
          <w:rFonts w:ascii="Arial" w:hAnsi="Arial" w:cs="Arial"/>
          <w:sz w:val="20"/>
          <w:szCs w:val="20"/>
        </w:rPr>
        <w:t>.</w:t>
      </w:r>
    </w:p>
    <w:p w14:paraId="774B0328" w14:textId="1E66E631"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From a theoretical perspective, the results are consistent with the concept of accounting information quality. Information quality depends on recording and reporting processes. These processes depend on the capability of the individuals responsible. Therefore, competency is a logical and measurable determinant</w:t>
      </w:r>
      <w:r w:rsidR="001D6B54">
        <w:rPr>
          <w:rFonts w:ascii="Arial" w:hAnsi="Arial" w:cs="Arial"/>
          <w:sz w:val="20"/>
          <w:szCs w:val="20"/>
        </w:rPr>
        <w:t xml:space="preserve"> (</w:t>
      </w:r>
      <w:proofErr w:type="spellStart"/>
      <w:r w:rsidR="001D6B54">
        <w:rPr>
          <w:rFonts w:ascii="Arial" w:hAnsi="Arial" w:cs="Arial"/>
          <w:sz w:val="20"/>
          <w:szCs w:val="20"/>
        </w:rPr>
        <w:t>Haija</w:t>
      </w:r>
      <w:proofErr w:type="spellEnd"/>
      <w:r w:rsidR="001D6B54">
        <w:rPr>
          <w:rFonts w:ascii="Arial" w:hAnsi="Arial" w:cs="Arial"/>
          <w:sz w:val="20"/>
          <w:szCs w:val="20"/>
        </w:rPr>
        <w:t xml:space="preserve"> et al., 2025)</w:t>
      </w:r>
      <w:r w:rsidRPr="00E73CB8">
        <w:rPr>
          <w:rFonts w:ascii="Arial" w:hAnsi="Arial" w:cs="Arial"/>
          <w:sz w:val="20"/>
          <w:szCs w:val="20"/>
        </w:rPr>
        <w:t>.</w:t>
      </w:r>
    </w:p>
    <w:p w14:paraId="056F1BEE" w14:textId="77777777" w:rsidR="00E73CB8" w:rsidRPr="00E73CB8" w:rsidRDefault="00E73CB8" w:rsidP="00E73CB8">
      <w:pPr>
        <w:pStyle w:val="Heading4"/>
        <w:jc w:val="both"/>
        <w:rPr>
          <w:rFonts w:ascii="Arial" w:hAnsi="Arial" w:cs="Arial"/>
          <w:i w:val="0"/>
          <w:iCs w:val="0"/>
          <w:color w:val="auto"/>
          <w:sz w:val="20"/>
          <w:szCs w:val="20"/>
        </w:rPr>
      </w:pPr>
    </w:p>
    <w:p w14:paraId="13C5094C" w14:textId="58B3D13E" w:rsidR="00E73CB8" w:rsidRPr="00E73CB8" w:rsidRDefault="00E73CB8" w:rsidP="00E73CB8">
      <w:pPr>
        <w:pStyle w:val="Heading4"/>
        <w:jc w:val="both"/>
        <w:rPr>
          <w:rFonts w:ascii="Arial" w:hAnsi="Arial" w:cs="Arial"/>
          <w:i w:val="0"/>
          <w:iCs w:val="0"/>
          <w:color w:val="auto"/>
          <w:sz w:val="20"/>
          <w:szCs w:val="20"/>
        </w:rPr>
      </w:pPr>
      <w:r w:rsidRPr="00E73CB8">
        <w:rPr>
          <w:rFonts w:ascii="Arial" w:hAnsi="Arial" w:cs="Arial"/>
          <w:i w:val="0"/>
          <w:iCs w:val="0"/>
          <w:color w:val="auto"/>
          <w:sz w:val="20"/>
          <w:szCs w:val="20"/>
        </w:rPr>
        <w:t>The Effect of Financial Reporting Training (X) on Financial Report Quality (Z)</w:t>
      </w:r>
    </w:p>
    <w:p w14:paraId="09027484" w14:textId="77777777"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 t test results also show that training has a significant effect on financial report quality. This means training not only increases competency but also improves report quality directly. Training provides technical guidance that can be applied immediately. Participants can improve report structure, presentation order, and disclosure completeness.</w:t>
      </w:r>
    </w:p>
    <w:p w14:paraId="3E3C9F81" w14:textId="170953C5"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This finding is highly relevant for MSMEs. Many MSMEs face weak and unsystematic bookkeeping practices. Training introduces simple working standards and practical steps. The impact is often visible quickly. Reports become more structured, consistent, and traceable</w:t>
      </w:r>
      <w:r w:rsidR="001D6B54">
        <w:rPr>
          <w:rFonts w:ascii="Arial" w:hAnsi="Arial" w:cs="Arial"/>
          <w:sz w:val="20"/>
          <w:szCs w:val="20"/>
        </w:rPr>
        <w:t xml:space="preserve"> (Atmaja et al., 2021)</w:t>
      </w:r>
      <w:r w:rsidRPr="00E73CB8">
        <w:rPr>
          <w:rFonts w:ascii="Arial" w:hAnsi="Arial" w:cs="Arial"/>
          <w:sz w:val="20"/>
          <w:szCs w:val="20"/>
        </w:rPr>
        <w:t>.</w:t>
      </w:r>
    </w:p>
    <w:p w14:paraId="36BFF081" w14:textId="3D126151"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Improved report quality creates wider benefits. MSMEs can monitor cash flow, margins, and financial position more effectively. They also become more prepared to meet external requirements. Access to financing becomes easier because credible reports increase trust from banks and investors</w:t>
      </w:r>
      <w:r w:rsidR="001D6B54">
        <w:rPr>
          <w:rFonts w:ascii="Arial" w:hAnsi="Arial" w:cs="Arial"/>
          <w:sz w:val="20"/>
          <w:szCs w:val="20"/>
        </w:rPr>
        <w:t>.</w:t>
      </w:r>
    </w:p>
    <w:p w14:paraId="7C7A5A21" w14:textId="37B886D3" w:rsidR="00E73CB8" w:rsidRDefault="00E73CB8" w:rsidP="00E73CB8">
      <w:pPr>
        <w:pStyle w:val="NormalWeb"/>
        <w:jc w:val="both"/>
        <w:rPr>
          <w:rFonts w:ascii="Arial" w:hAnsi="Arial" w:cs="Arial"/>
          <w:sz w:val="20"/>
          <w:szCs w:val="20"/>
        </w:rPr>
      </w:pPr>
      <w:r w:rsidRPr="00E73CB8">
        <w:rPr>
          <w:rFonts w:ascii="Arial" w:hAnsi="Arial" w:cs="Arial"/>
          <w:sz w:val="20"/>
          <w:szCs w:val="20"/>
        </w:rPr>
        <w:t>At the organizational level, training improves administrative discipline. It promotes consistent transaction documentation. This reduces the risk of missing data and strengthens the audit trail</w:t>
      </w:r>
      <w:r w:rsidR="001D6B54">
        <w:rPr>
          <w:rFonts w:ascii="Arial" w:hAnsi="Arial" w:cs="Arial"/>
          <w:sz w:val="20"/>
          <w:szCs w:val="20"/>
        </w:rPr>
        <w:t xml:space="preserve"> (</w:t>
      </w:r>
      <w:proofErr w:type="spellStart"/>
      <w:r w:rsidR="001D6B54">
        <w:rPr>
          <w:rFonts w:ascii="Arial" w:hAnsi="Arial" w:cs="Arial"/>
          <w:sz w:val="20"/>
          <w:szCs w:val="20"/>
        </w:rPr>
        <w:t>Prasetyo</w:t>
      </w:r>
      <w:proofErr w:type="spellEnd"/>
      <w:r w:rsidR="001D6B54">
        <w:rPr>
          <w:rFonts w:ascii="Arial" w:hAnsi="Arial" w:cs="Arial"/>
          <w:sz w:val="20"/>
          <w:szCs w:val="20"/>
        </w:rPr>
        <w:t xml:space="preserve"> &amp; </w:t>
      </w:r>
      <w:proofErr w:type="spellStart"/>
      <w:r w:rsidR="001D6B54">
        <w:rPr>
          <w:rFonts w:ascii="Arial" w:hAnsi="Arial" w:cs="Arial"/>
          <w:sz w:val="20"/>
          <w:szCs w:val="20"/>
        </w:rPr>
        <w:t>Ambarwati</w:t>
      </w:r>
      <w:proofErr w:type="spellEnd"/>
      <w:r w:rsidR="001D6B54">
        <w:rPr>
          <w:rFonts w:ascii="Arial" w:hAnsi="Arial" w:cs="Arial"/>
          <w:sz w:val="20"/>
          <w:szCs w:val="20"/>
        </w:rPr>
        <w:t>, 2022).</w:t>
      </w:r>
    </w:p>
    <w:p w14:paraId="3F59454B" w14:textId="5EC430A0" w:rsidR="008976D0" w:rsidRDefault="008976D0" w:rsidP="00E73CB8">
      <w:pPr>
        <w:pStyle w:val="NormalWeb"/>
        <w:jc w:val="both"/>
        <w:rPr>
          <w:rFonts w:ascii="Arial" w:hAnsi="Arial" w:cs="Arial"/>
          <w:sz w:val="20"/>
          <w:szCs w:val="20"/>
        </w:rPr>
      </w:pPr>
    </w:p>
    <w:p w14:paraId="278A56EC" w14:textId="01356BB0" w:rsidR="008976D0" w:rsidRDefault="008976D0" w:rsidP="00E73CB8">
      <w:pPr>
        <w:pStyle w:val="NormalWeb"/>
        <w:jc w:val="both"/>
        <w:rPr>
          <w:rFonts w:ascii="Arial" w:hAnsi="Arial" w:cs="Arial"/>
          <w:sz w:val="20"/>
          <w:szCs w:val="20"/>
        </w:rPr>
      </w:pPr>
    </w:p>
    <w:p w14:paraId="7970EB24" w14:textId="7BF9CAB9" w:rsidR="008976D0" w:rsidRDefault="008976D0" w:rsidP="00E73CB8">
      <w:pPr>
        <w:pStyle w:val="NormalWeb"/>
        <w:jc w:val="both"/>
        <w:rPr>
          <w:rFonts w:ascii="Arial" w:hAnsi="Arial" w:cs="Arial"/>
          <w:sz w:val="20"/>
          <w:szCs w:val="20"/>
        </w:rPr>
      </w:pPr>
    </w:p>
    <w:p w14:paraId="38E31052" w14:textId="79F5F007" w:rsidR="008976D0" w:rsidRDefault="008976D0" w:rsidP="00E73CB8">
      <w:pPr>
        <w:pStyle w:val="NormalWeb"/>
        <w:jc w:val="both"/>
        <w:rPr>
          <w:rFonts w:ascii="Arial" w:hAnsi="Arial" w:cs="Arial"/>
          <w:sz w:val="20"/>
          <w:szCs w:val="20"/>
        </w:rPr>
      </w:pPr>
    </w:p>
    <w:p w14:paraId="6B063F5E" w14:textId="69B9D8AE" w:rsidR="008976D0" w:rsidRDefault="008976D0" w:rsidP="00E73CB8">
      <w:pPr>
        <w:pStyle w:val="NormalWeb"/>
        <w:jc w:val="both"/>
        <w:rPr>
          <w:rFonts w:ascii="Arial" w:hAnsi="Arial" w:cs="Arial"/>
          <w:sz w:val="20"/>
          <w:szCs w:val="20"/>
        </w:rPr>
      </w:pPr>
    </w:p>
    <w:p w14:paraId="19BA7BD5" w14:textId="77777777" w:rsidR="008976D0" w:rsidRDefault="008976D0" w:rsidP="00E73CB8">
      <w:pPr>
        <w:pStyle w:val="NormalWeb"/>
        <w:jc w:val="both"/>
        <w:rPr>
          <w:rFonts w:ascii="Arial" w:hAnsi="Arial" w:cs="Arial"/>
          <w:sz w:val="20"/>
          <w:szCs w:val="20"/>
        </w:rPr>
      </w:pPr>
    </w:p>
    <w:p w14:paraId="6CD06E16" w14:textId="77777777" w:rsidR="00E73CB8" w:rsidRPr="00E73CB8" w:rsidRDefault="00E73CB8" w:rsidP="00E73CB8">
      <w:pPr>
        <w:pStyle w:val="NormalWeb"/>
        <w:jc w:val="both"/>
        <w:rPr>
          <w:rFonts w:ascii="Arial" w:hAnsi="Arial" w:cs="Arial"/>
          <w:sz w:val="20"/>
          <w:szCs w:val="20"/>
        </w:rPr>
      </w:pPr>
    </w:p>
    <w:p w14:paraId="16CA6FC3" w14:textId="77777777" w:rsidR="0039143E" w:rsidRDefault="000C10DD">
      <w:pPr>
        <w:pStyle w:val="Heading1"/>
        <w:ind w:left="232" w:hanging="247"/>
      </w:pPr>
      <w:r>
        <w:t xml:space="preserve">CONCLUSION </w:t>
      </w:r>
    </w:p>
    <w:p w14:paraId="6F2E5B69" w14:textId="77777777" w:rsidR="0039143E" w:rsidRDefault="000C10DD">
      <w:pPr>
        <w:spacing w:after="0" w:line="259" w:lineRule="auto"/>
        <w:ind w:left="0" w:right="0" w:firstLine="0"/>
        <w:jc w:val="left"/>
      </w:pPr>
      <w:r>
        <w:rPr>
          <w:b/>
        </w:rPr>
        <w:t xml:space="preserve"> </w:t>
      </w:r>
    </w:p>
    <w:p w14:paraId="648AB343" w14:textId="36535AE1" w:rsidR="00E179EE" w:rsidRDefault="00E179EE" w:rsidP="00E179EE">
      <w:pPr>
        <w:pStyle w:val="Heading1"/>
        <w:numPr>
          <w:ilvl w:val="0"/>
          <w:numId w:val="0"/>
        </w:numPr>
        <w:ind w:left="-5"/>
        <w:jc w:val="both"/>
        <w:rPr>
          <w:b w:val="0"/>
          <w:sz w:val="20"/>
        </w:rPr>
      </w:pPr>
      <w:r w:rsidRPr="00E179EE">
        <w:rPr>
          <w:b w:val="0"/>
          <w:sz w:val="20"/>
        </w:rPr>
        <w:lastRenderedPageBreak/>
        <w:t>This study confirms that financial report preparation training shows the widest data spread, reflected in the highest range and standard deviation. Competency records the highest total score and mean value, indicating stronger central tendency among respondents. The hypothesis testing also supports all structural relationships. Financial report preparation training positively and significantly increases competency. Competency positively and significantly improves financial report quality. Financial report preparation training also positively and significantly improves financial report quality.</w:t>
      </w:r>
      <w:r>
        <w:rPr>
          <w:b w:val="0"/>
          <w:sz w:val="20"/>
        </w:rPr>
        <w:t xml:space="preserve"> </w:t>
      </w:r>
      <w:r w:rsidRPr="00E179EE">
        <w:rPr>
          <w:b w:val="0"/>
          <w:sz w:val="20"/>
        </w:rPr>
        <w:t>Stakeholders should scale structured and systematic training for MSMEs through higher education institutions and related agencies. Focus on practical modules, literacy, and continuous socialization so MSMEs can achieve SAK-EMKM compliant reporting. Institutions should also provide mentoring to open access to bank financing. This support can strengthen MSME independence and competitiveness at local and global levels. A formal road map is needed to integrate lecturer talent management with long-term MSME assistance, so the program builds nationally and internationally competitive institutions.</w:t>
      </w:r>
    </w:p>
    <w:p w14:paraId="3C89528A" w14:textId="77777777" w:rsidR="00E179EE" w:rsidRDefault="00E179EE">
      <w:pPr>
        <w:pStyle w:val="Heading1"/>
        <w:numPr>
          <w:ilvl w:val="0"/>
          <w:numId w:val="0"/>
        </w:numPr>
        <w:ind w:left="-5"/>
        <w:rPr>
          <w:b w:val="0"/>
          <w:sz w:val="20"/>
        </w:rPr>
      </w:pPr>
    </w:p>
    <w:p w14:paraId="741B1C16" w14:textId="380BECD4" w:rsidR="0039143E" w:rsidRDefault="000C10DD">
      <w:pPr>
        <w:pStyle w:val="Heading1"/>
        <w:numPr>
          <w:ilvl w:val="0"/>
          <w:numId w:val="0"/>
        </w:numPr>
        <w:ind w:left="-5"/>
      </w:pPr>
      <w:r>
        <w:t>CONSENT</w:t>
      </w:r>
      <w:r>
        <w:rPr>
          <w:sz w:val="24"/>
        </w:rPr>
        <w:t xml:space="preserve">  </w:t>
      </w:r>
    </w:p>
    <w:p w14:paraId="4F117C17" w14:textId="77777777" w:rsidR="0039143E" w:rsidRDefault="000C10DD">
      <w:pPr>
        <w:spacing w:after="43" w:line="259" w:lineRule="auto"/>
        <w:ind w:left="0" w:right="0" w:firstLine="0"/>
        <w:jc w:val="left"/>
      </w:pPr>
      <w:r>
        <w:rPr>
          <w:b/>
          <w:sz w:val="14"/>
        </w:rPr>
        <w:t xml:space="preserve"> </w:t>
      </w:r>
    </w:p>
    <w:p w14:paraId="6CD2612F" w14:textId="77777777" w:rsidR="0039143E" w:rsidRDefault="000C10DD">
      <w:pPr>
        <w:ind w:right="0"/>
      </w:pPr>
      <w:r>
        <w:t xml:space="preserve">All authors state that 'written consent was obtained from the patient (or other approved party) for the publication of this case report and accompanying images. A copy of the written consent is available for review by the editorial office/editor-in-chief/editorial board members of this journal.  </w:t>
      </w:r>
    </w:p>
    <w:p w14:paraId="32CD589D" w14:textId="7880414D" w:rsidR="0039143E" w:rsidRDefault="000C10DD" w:rsidP="009C23D4">
      <w:pPr>
        <w:spacing w:after="62" w:line="259" w:lineRule="auto"/>
        <w:ind w:left="0" w:right="0" w:firstLine="0"/>
        <w:jc w:val="left"/>
      </w:pPr>
      <w:r>
        <w:rPr>
          <w:sz w:val="14"/>
        </w:rPr>
        <w:t xml:space="preserve"> </w:t>
      </w:r>
    </w:p>
    <w:p w14:paraId="709ADC6F" w14:textId="6B560C6C" w:rsidR="0039143E" w:rsidRDefault="0039143E">
      <w:pPr>
        <w:spacing w:after="0" w:line="259" w:lineRule="auto"/>
        <w:ind w:left="0" w:right="0" w:firstLine="0"/>
        <w:jc w:val="left"/>
      </w:pPr>
    </w:p>
    <w:p w14:paraId="0007870A" w14:textId="77777777" w:rsidR="0039143E" w:rsidRDefault="000C10DD">
      <w:pPr>
        <w:pStyle w:val="Heading1"/>
        <w:numPr>
          <w:ilvl w:val="0"/>
          <w:numId w:val="0"/>
        </w:numPr>
        <w:ind w:left="-5"/>
      </w:pPr>
      <w:r>
        <w:t xml:space="preserve">REFERENCES </w:t>
      </w:r>
    </w:p>
    <w:p w14:paraId="3BD42FB9" w14:textId="77777777" w:rsidR="0039143E" w:rsidRDefault="000C10DD">
      <w:pPr>
        <w:spacing w:after="0" w:line="259" w:lineRule="auto"/>
        <w:ind w:left="0" w:right="0" w:firstLine="0"/>
        <w:jc w:val="left"/>
      </w:pPr>
      <w:r>
        <w:rPr>
          <w:sz w:val="22"/>
        </w:rPr>
        <w:t xml:space="preserve"> </w:t>
      </w:r>
    </w:p>
    <w:p w14:paraId="2F87BE46" w14:textId="77777777" w:rsidR="001D6B54" w:rsidRDefault="001D6B54" w:rsidP="001D6B54">
      <w:pPr>
        <w:pStyle w:val="Style2"/>
      </w:pPr>
    </w:p>
    <w:p w14:paraId="0667EBC6" w14:textId="77777777" w:rsidR="008F27E1" w:rsidRDefault="008F27E1" w:rsidP="008F27E1">
      <w:pPr>
        <w:ind w:left="0" w:firstLine="0"/>
      </w:pPr>
      <w:r>
        <w:t xml:space="preserve">Ahmed, F., Rahman, M. U., Rehman, H. M., Imran, M., Dunay, A., &amp; Hossain, M. B. (2024). Corporate capital structure effects on corporate performance pursuing a strategy of innovation in manufacturing companies. </w:t>
      </w:r>
      <w:proofErr w:type="spellStart"/>
      <w:r>
        <w:t>Heliyon</w:t>
      </w:r>
      <w:proofErr w:type="spellEnd"/>
      <w:r>
        <w:t>, 10(3).</w:t>
      </w:r>
    </w:p>
    <w:p w14:paraId="5BCCC453" w14:textId="77777777" w:rsidR="008F27E1" w:rsidRDefault="008F27E1" w:rsidP="008F27E1">
      <w:pPr>
        <w:ind w:left="0" w:firstLine="0"/>
      </w:pPr>
      <w:r>
        <w:t xml:space="preserve">Atmaja, H., </w:t>
      </w:r>
      <w:proofErr w:type="spellStart"/>
      <w:r>
        <w:t>Jalunggono</w:t>
      </w:r>
      <w:proofErr w:type="spellEnd"/>
      <w:r>
        <w:t>, G., &amp; Verawati, D. (2021). Financial reporting training to improve MSME performance. Journal of Community Service for Economics and Business, 1(1), 1-5. https://doi.org/10.31294/abdiekbis.v1i1.209</w:t>
      </w:r>
    </w:p>
    <w:p w14:paraId="5994833C" w14:textId="77777777" w:rsidR="008F27E1" w:rsidRDefault="008F27E1" w:rsidP="008F27E1">
      <w:pPr>
        <w:ind w:left="0" w:firstLine="0"/>
      </w:pPr>
      <w:r>
        <w:t>Astuti, R., &amp; Rahmawati, S. (2020). Improving the Ability to Prepare Financial Reports Based on SAK EMKM for MSMEs. Journal of Community Service for Accounting, 3(1), 12–20.</w:t>
      </w:r>
    </w:p>
    <w:p w14:paraId="317B81E5" w14:textId="77777777" w:rsidR="008F27E1" w:rsidRDefault="008F27E1" w:rsidP="008F27E1">
      <w:pPr>
        <w:ind w:left="0" w:firstLine="0"/>
      </w:pPr>
      <w:proofErr w:type="spellStart"/>
      <w:r>
        <w:t>Haija</w:t>
      </w:r>
      <w:proofErr w:type="spellEnd"/>
      <w:r>
        <w:t xml:space="preserve">, A., Al-Daoud, K., </w:t>
      </w:r>
      <w:proofErr w:type="spellStart"/>
      <w:r>
        <w:t>Oraini</w:t>
      </w:r>
      <w:proofErr w:type="spellEnd"/>
      <w:r>
        <w:t>, B., Vasudevan, A., AL-</w:t>
      </w:r>
      <w:proofErr w:type="spellStart"/>
      <w:r>
        <w:t>Habashneh</w:t>
      </w:r>
      <w:proofErr w:type="spellEnd"/>
      <w:r>
        <w:t>, A., Luo, P., … &amp; Mohammad, A. (2025). The impact of blockchain technology on financial transparency: a study of small businesses in emerging economies. Uncertain Supply Chain Management, 13(3), 537–542. https://doi.org/10.5267/j.uscm.2024.8.014.</w:t>
      </w:r>
    </w:p>
    <w:p w14:paraId="6A32F3A6" w14:textId="77777777" w:rsidR="008F27E1" w:rsidRDefault="008F27E1" w:rsidP="008F27E1">
      <w:pPr>
        <w:ind w:left="0" w:firstLine="0"/>
      </w:pPr>
      <w:r>
        <w:t>Hidayat, R., &amp; Sari, P. D. (2022). The Role of Accounting Training in Improving the Quality of MSME Financial Reports. Journal of Economics and Entrepreneurship, 10(2), 45–54.</w:t>
      </w:r>
    </w:p>
    <w:p w14:paraId="3FBA0FC1" w14:textId="77777777" w:rsidR="008F27E1" w:rsidRDefault="008F27E1" w:rsidP="008F27E1">
      <w:pPr>
        <w:ind w:left="0" w:firstLine="0"/>
      </w:pPr>
      <w:proofErr w:type="spellStart"/>
      <w:r>
        <w:t>Hutabarat</w:t>
      </w:r>
      <w:proofErr w:type="spellEnd"/>
      <w:r>
        <w:t xml:space="preserve">, M., Yunita, N., Putri, R., &amp; Indrayani, I. (2022). The influence of business capital, use of accounting information, and e-commerce sales systems on the financial performance of micro, small, and medium enterprises (a study of micro, small, and medium enterprises in Lhokseumawe City). J. </w:t>
      </w:r>
      <w:proofErr w:type="spellStart"/>
      <w:r>
        <w:t>Malikussaleh</w:t>
      </w:r>
      <w:proofErr w:type="spellEnd"/>
      <w:r>
        <w:t xml:space="preserve"> Accounting, 1(1), 1. https://doi.org/10.29103/jam.v1i1.6852</w:t>
      </w:r>
    </w:p>
    <w:p w14:paraId="5FFB40E5" w14:textId="77777777" w:rsidR="008F27E1" w:rsidRDefault="008F27E1" w:rsidP="008F27E1">
      <w:pPr>
        <w:ind w:left="0" w:firstLine="0"/>
      </w:pPr>
      <w:proofErr w:type="spellStart"/>
      <w:r>
        <w:t>Khairani</w:t>
      </w:r>
      <w:proofErr w:type="spellEnd"/>
      <w:r>
        <w:t xml:space="preserve">, A. </w:t>
      </w:r>
      <w:proofErr w:type="spellStart"/>
      <w:r>
        <w:t>Matondang</w:t>
      </w:r>
      <w:proofErr w:type="spellEnd"/>
      <w:r>
        <w:t xml:space="preserve">, &amp; </w:t>
      </w:r>
      <w:proofErr w:type="spellStart"/>
      <w:r>
        <w:t>Lubis</w:t>
      </w:r>
      <w:proofErr w:type="spellEnd"/>
      <w:r>
        <w:t>, Z. H. (2025). The role of internal control systems in improving financial transparency and accountability in Medan City. JLEB Journal, April 2025.</w:t>
      </w:r>
    </w:p>
    <w:p w14:paraId="44F56C9B" w14:textId="77777777" w:rsidR="008F27E1" w:rsidRDefault="008F27E1" w:rsidP="008F27E1">
      <w:pPr>
        <w:ind w:left="0" w:firstLine="0"/>
      </w:pPr>
      <w:proofErr w:type="spellStart"/>
      <w:r>
        <w:t>Khumairo</w:t>
      </w:r>
      <w:proofErr w:type="spellEnd"/>
      <w:r>
        <w:t xml:space="preserve">, H., </w:t>
      </w:r>
      <w:proofErr w:type="spellStart"/>
      <w:r>
        <w:t>Hersiyah</w:t>
      </w:r>
      <w:proofErr w:type="spellEnd"/>
      <w:r>
        <w:t xml:space="preserve">, &amp; </w:t>
      </w:r>
      <w:proofErr w:type="spellStart"/>
      <w:r>
        <w:t>Mashudi</w:t>
      </w:r>
      <w:proofErr w:type="spellEnd"/>
      <w:r>
        <w:t xml:space="preserve">. (2025). The Role of MSMEs in Driving Economic Growth and Income Equality in Indonesia: The Role of MSMEs in Driving Economic Growth and Income Equality in Indonesia. </w:t>
      </w:r>
      <w:proofErr w:type="spellStart"/>
      <w:r>
        <w:t>Ekonomipedia</w:t>
      </w:r>
      <w:proofErr w:type="spellEnd"/>
      <w:r>
        <w:t>: Journal of Economics, Management, and Business, 3(1), 22–32. https://doi.org/10.55043/ekonomipedia.v3i1.274</w:t>
      </w:r>
    </w:p>
    <w:p w14:paraId="165440DD" w14:textId="77777777" w:rsidR="008F27E1" w:rsidRDefault="008F27E1" w:rsidP="008F27E1">
      <w:pPr>
        <w:ind w:left="0" w:firstLine="0"/>
      </w:pPr>
      <w:r>
        <w:t xml:space="preserve">Nur Janah, A., &amp; </w:t>
      </w:r>
      <w:proofErr w:type="spellStart"/>
      <w:r>
        <w:t>Qurochman</w:t>
      </w:r>
      <w:proofErr w:type="spellEnd"/>
      <w:r>
        <w:t xml:space="preserve">, A. N. (2023). Presentation of Financial Reports Based on SAK EMKM at PT Solomon Indo Global. </w:t>
      </w:r>
      <w:proofErr w:type="spellStart"/>
      <w:r>
        <w:t>Jurnal</w:t>
      </w:r>
      <w:proofErr w:type="spellEnd"/>
      <w:r>
        <w:t xml:space="preserve"> </w:t>
      </w:r>
      <w:proofErr w:type="spellStart"/>
      <w:r>
        <w:t>Ekonomi</w:t>
      </w:r>
      <w:proofErr w:type="spellEnd"/>
      <w:r>
        <w:t>, 12(3), 1685–1690. Retrieved from https://ejournal.seaninstitute.or.id/index.php/Ekonomi/article/view/2651</w:t>
      </w:r>
    </w:p>
    <w:p w14:paraId="39492DDC" w14:textId="77777777" w:rsidR="008F27E1" w:rsidRDefault="008F27E1" w:rsidP="008F27E1">
      <w:pPr>
        <w:ind w:left="0" w:firstLine="0"/>
      </w:pPr>
      <w:proofErr w:type="spellStart"/>
      <w:r>
        <w:t>Prasetyo</w:t>
      </w:r>
      <w:proofErr w:type="spellEnd"/>
      <w:r>
        <w:t xml:space="preserve">, A. and </w:t>
      </w:r>
      <w:proofErr w:type="spellStart"/>
      <w:r>
        <w:t>Ambarwati</w:t>
      </w:r>
      <w:proofErr w:type="spellEnd"/>
      <w:r>
        <w:t>, L. (2021). The Influence of Accounting Information Systems on the Performance of MSMEs in the Special Region of Yogyakarta. Indonesian Journal of Accounting and Business Research, 1(1), 73–84. https://doi.org/10.32477/jrabi.v1i1.320</w:t>
      </w:r>
    </w:p>
    <w:p w14:paraId="47712704" w14:textId="77777777" w:rsidR="008F27E1" w:rsidRDefault="008F27E1" w:rsidP="008F27E1">
      <w:pPr>
        <w:ind w:left="0" w:firstLine="0"/>
      </w:pPr>
      <w:r>
        <w:lastRenderedPageBreak/>
        <w:t xml:space="preserve">Putri, N., </w:t>
      </w:r>
      <w:proofErr w:type="spellStart"/>
      <w:r>
        <w:t>Widyastuti</w:t>
      </w:r>
      <w:proofErr w:type="spellEnd"/>
      <w:r>
        <w:t xml:space="preserve">, T., </w:t>
      </w:r>
      <w:proofErr w:type="spellStart"/>
      <w:r>
        <w:t>Maidani</w:t>
      </w:r>
      <w:proofErr w:type="spellEnd"/>
      <w:r>
        <w:t xml:space="preserve">, M., &amp; </w:t>
      </w:r>
      <w:proofErr w:type="spellStart"/>
      <w:r>
        <w:t>Nilasari</w:t>
      </w:r>
      <w:proofErr w:type="spellEnd"/>
      <w:r>
        <w:t xml:space="preserve">, P. (2024). The Effect of Accounting Information System Implementation and Information Technology Utilization on MSME Performance in South </w:t>
      </w:r>
      <w:proofErr w:type="spellStart"/>
      <w:r>
        <w:t>Tambun</w:t>
      </w:r>
      <w:proofErr w:type="spellEnd"/>
      <w:r>
        <w:t xml:space="preserve"> District. </w:t>
      </w:r>
      <w:proofErr w:type="spellStart"/>
      <w:r>
        <w:t>Sentri</w:t>
      </w:r>
      <w:proofErr w:type="spellEnd"/>
      <w:r>
        <w:t xml:space="preserve"> Scientific Research Journal, 3(2), 720-739. https://doi.org/10.55681/sentri.v3i2.2323</w:t>
      </w:r>
    </w:p>
    <w:p w14:paraId="5AF292FA" w14:textId="77777777" w:rsidR="008F27E1" w:rsidRDefault="008F27E1" w:rsidP="008F27E1">
      <w:pPr>
        <w:ind w:left="0" w:firstLine="0"/>
      </w:pPr>
      <w:proofErr w:type="spellStart"/>
      <w:r>
        <w:t>Raspati</w:t>
      </w:r>
      <w:proofErr w:type="spellEnd"/>
      <w:r>
        <w:t xml:space="preserve">, G. and Simanjuntak, B. (2024). Analysis of the Impact of Accountability and Transparency on the Quality of Financial Reports with Internal Control System as a Moderating Variable. </w:t>
      </w:r>
      <w:proofErr w:type="spellStart"/>
      <w:r>
        <w:t>Mfc</w:t>
      </w:r>
      <w:proofErr w:type="spellEnd"/>
      <w:r>
        <w:t>, 2(1), 83-92. https://doi.org/10.61397/mfc.v2i1.196</w:t>
      </w:r>
    </w:p>
    <w:p w14:paraId="26FD6873" w14:textId="77777777" w:rsidR="008F27E1" w:rsidRDefault="008F27E1" w:rsidP="008F27E1">
      <w:pPr>
        <w:ind w:left="0" w:firstLine="0"/>
      </w:pPr>
      <w:r>
        <w:t>Rizal, M. (2022). The Effect of Accounting Information System Effectiveness on Transparency and Accuracy of Financial Reports. Journal of Accounting Finance Research, 10(1), 115–130. https://doi.org/10.33168/jafr.2022.115</w:t>
      </w:r>
    </w:p>
    <w:p w14:paraId="629CBF45" w14:textId="77777777" w:rsidR="008F27E1" w:rsidRDefault="008F27E1" w:rsidP="008F27E1">
      <w:pPr>
        <w:ind w:left="0" w:firstLine="0"/>
      </w:pPr>
      <w:r>
        <w:t xml:space="preserve">Saraswati, E., </w:t>
      </w:r>
      <w:proofErr w:type="spellStart"/>
      <w:r>
        <w:t>Kristianto</w:t>
      </w:r>
      <w:proofErr w:type="spellEnd"/>
      <w:r>
        <w:t>, G., &amp; Yuliarti, L. (2023). Accounting information systems are a crucial element in improving MSME performance. Journal of Community Service Economics and Business, 3(1), 1–8. https://doi.org/10.31294/abdiekbis.v3i1.1667</w:t>
      </w:r>
    </w:p>
    <w:p w14:paraId="32629C73" w14:textId="77777777" w:rsidR="008F27E1" w:rsidRDefault="008F27E1" w:rsidP="008F27E1">
      <w:pPr>
        <w:ind w:left="0" w:firstLine="0"/>
      </w:pPr>
      <w:r>
        <w:t xml:space="preserve">Susanto, E., &amp; </w:t>
      </w:r>
      <w:proofErr w:type="spellStart"/>
      <w:r>
        <w:t>Widyastuti</w:t>
      </w:r>
      <w:proofErr w:type="spellEnd"/>
      <w:r>
        <w:t>, A. (2021). The Effectiveness of Accounting Training on MSME Financial Management Competence. Journal of Accounting and Education, 9(1), 33–42.</w:t>
      </w:r>
    </w:p>
    <w:p w14:paraId="0C18AE37" w14:textId="77777777" w:rsidR="008F27E1" w:rsidRDefault="008F27E1" w:rsidP="008F27E1">
      <w:pPr>
        <w:ind w:left="0" w:firstLine="0"/>
      </w:pPr>
      <w:r>
        <w:t>Vian, T. (2020). Anti-corruption, transparency, and accountability in health: concepts, frameworks, and approaches. Global Health Action, 13(sup1), 1694744.</w:t>
      </w:r>
    </w:p>
    <w:p w14:paraId="440C0F48" w14:textId="29E01D91" w:rsidR="0039143E" w:rsidRDefault="008F27E1" w:rsidP="008F27E1">
      <w:pPr>
        <w:ind w:left="0" w:firstLine="0"/>
        <w:sectPr w:rsidR="0039143E" w:rsidSect="009C23D4">
          <w:type w:val="continuous"/>
          <w:pgSz w:w="11909" w:h="16834"/>
          <w:pgMar w:top="2026" w:right="1436" w:bottom="1638" w:left="1440" w:header="720" w:footer="720" w:gutter="0"/>
          <w:cols w:space="232"/>
        </w:sectPr>
      </w:pPr>
      <w:r>
        <w:t xml:space="preserve">Yuliana, D., </w:t>
      </w:r>
      <w:proofErr w:type="spellStart"/>
      <w:r>
        <w:t>Sitorus</w:t>
      </w:r>
      <w:proofErr w:type="spellEnd"/>
      <w:r>
        <w:t>, A., &amp; Lestari, N. (2023). Implementation of SAK EMKM in Improving Transparency and Accountability of MSME Financial Reports. Indonesian Journal of Accounting and Business, 8(2), 101–115.</w:t>
      </w:r>
    </w:p>
    <w:p w14:paraId="4601AB77" w14:textId="03B95861" w:rsidR="0039143E" w:rsidRDefault="0039143E">
      <w:pPr>
        <w:spacing w:after="0" w:line="259" w:lineRule="auto"/>
        <w:ind w:left="540" w:right="0" w:firstLine="0"/>
        <w:jc w:val="left"/>
      </w:pPr>
    </w:p>
    <w:sectPr w:rsidR="0039143E" w:rsidSect="009C23D4">
      <w:type w:val="continuous"/>
      <w:pgSz w:w="11909" w:h="16834"/>
      <w:pgMar w:top="2025" w:right="1366" w:bottom="16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7A913" w14:textId="77777777" w:rsidR="008625E5" w:rsidRDefault="008625E5">
      <w:pPr>
        <w:spacing w:after="0" w:line="240" w:lineRule="auto"/>
      </w:pPr>
      <w:r>
        <w:separator/>
      </w:r>
    </w:p>
  </w:endnote>
  <w:endnote w:type="continuationSeparator" w:id="0">
    <w:p w14:paraId="060F88AC" w14:textId="77777777" w:rsidR="008625E5" w:rsidRDefault="0086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CD94" w14:textId="77777777" w:rsidR="0039143E" w:rsidRDefault="000C10DD">
    <w:pPr>
      <w:spacing w:after="0" w:line="259" w:lineRule="auto"/>
      <w:ind w:left="0" w:right="22" w:firstLine="0"/>
      <w:jc w:val="center"/>
    </w:pPr>
    <w:r>
      <w:rPr>
        <w:sz w:val="28"/>
      </w:rPr>
      <w:t xml:space="preserve"> </w:t>
    </w:r>
  </w:p>
  <w:p w14:paraId="18DD5FB7" w14:textId="77777777" w:rsidR="0039143E" w:rsidRDefault="000C10DD">
    <w:pPr>
      <w:spacing w:after="0" w:line="259" w:lineRule="auto"/>
      <w:ind w:left="0" w:right="105" w:firstLine="0"/>
      <w:jc w:val="center"/>
    </w:pPr>
    <w:r>
      <w:fldChar w:fldCharType="begin"/>
    </w:r>
    <w:r>
      <w:instrText xml:space="preserve"> PAGE   \* MERGEFORMAT </w:instrText>
    </w:r>
    <w:r>
      <w:fldChar w:fldCharType="separate"/>
    </w:r>
    <w:r>
      <w:t>202</w:t>
    </w:r>
    <w:r>
      <w:fldChar w:fldCharType="end"/>
    </w:r>
    <w:r>
      <w:t xml:space="preserve"> </w:t>
    </w:r>
  </w:p>
  <w:p w14:paraId="7FADA4C0" w14:textId="77777777" w:rsidR="0039143E" w:rsidRDefault="000C10DD">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F082" w14:textId="519FB306" w:rsidR="0039143E" w:rsidRDefault="0039143E">
    <w:pPr>
      <w:spacing w:after="0" w:line="259" w:lineRule="auto"/>
      <w:ind w:left="0" w:right="5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B2B3" w14:textId="77777777" w:rsidR="0039143E" w:rsidRDefault="0039143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AD732" w14:textId="77777777" w:rsidR="008625E5" w:rsidRDefault="008625E5">
      <w:pPr>
        <w:spacing w:after="0" w:line="240" w:lineRule="auto"/>
      </w:pPr>
      <w:r>
        <w:separator/>
      </w:r>
    </w:p>
  </w:footnote>
  <w:footnote w:type="continuationSeparator" w:id="0">
    <w:p w14:paraId="5EEA4912" w14:textId="77777777" w:rsidR="008625E5" w:rsidRDefault="0086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1FE4" w14:textId="23E16783" w:rsidR="0039143E" w:rsidRDefault="002660E8">
    <w:pPr>
      <w:spacing w:after="0" w:line="259" w:lineRule="auto"/>
      <w:ind w:left="0" w:right="55" w:firstLine="0"/>
      <w:jc w:val="right"/>
    </w:pPr>
    <w:r>
      <w:rPr>
        <w:noProof/>
      </w:rPr>
      <w:pict w14:anchorId="5BE2B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38736" o:spid="_x0000_s2050" type="#_x0000_t136" style="position:absolute;left:0;text-align:left;margin-left:0;margin-top:0;width:578.35pt;height:65.2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r w:rsidR="000C10DD">
      <w:rPr>
        <w:i/>
        <w:sz w:val="16"/>
      </w:rPr>
      <w:t xml:space="preserve"> </w:t>
    </w:r>
  </w:p>
  <w:p w14:paraId="1D775083" w14:textId="77777777" w:rsidR="0039143E" w:rsidRDefault="000C10DD">
    <w:pPr>
      <w:spacing w:after="0" w:line="259" w:lineRule="auto"/>
      <w:ind w:left="0" w:right="55" w:firstLine="0"/>
      <w:jc w:val="right"/>
    </w:pPr>
    <w:r>
      <w:rPr>
        <w:i/>
        <w:sz w:val="16"/>
      </w:rPr>
      <w:t xml:space="preserve"> </w:t>
    </w:r>
  </w:p>
  <w:p w14:paraId="05586D9C" w14:textId="77777777" w:rsidR="0039143E" w:rsidRDefault="000C10DD">
    <w:pPr>
      <w:spacing w:after="0" w:line="259" w:lineRule="auto"/>
      <w:ind w:left="0" w:right="55" w:firstLine="0"/>
      <w:jc w:val="right"/>
    </w:pPr>
    <w:r>
      <w:rPr>
        <w:i/>
        <w:sz w:val="16"/>
      </w:rPr>
      <w:t xml:space="preserve"> </w:t>
    </w:r>
  </w:p>
  <w:p w14:paraId="2C71C01B" w14:textId="77777777" w:rsidR="0039143E" w:rsidRDefault="000C10DD">
    <w:pPr>
      <w:spacing w:after="0" w:line="259" w:lineRule="auto"/>
      <w:ind w:left="0" w:right="55" w:firstLine="0"/>
      <w:jc w:val="right"/>
    </w:pPr>
    <w:r>
      <w:rPr>
        <w:i/>
        <w:sz w:val="16"/>
      </w:rPr>
      <w:t xml:space="preserve"> </w:t>
    </w:r>
  </w:p>
  <w:p w14:paraId="22E39BC2" w14:textId="77777777" w:rsidR="0039143E" w:rsidRDefault="000C10DD">
    <w:pPr>
      <w:spacing w:after="0" w:line="259" w:lineRule="auto"/>
      <w:ind w:left="0" w:right="99" w:firstLine="0"/>
      <w:jc w:val="right"/>
    </w:pPr>
    <w:r>
      <w:rPr>
        <w:i/>
        <w:sz w:val="16"/>
      </w:rPr>
      <w:t xml:space="preserve">Fauzan; Asia J. Econ. </w:t>
    </w:r>
    <w:proofErr w:type="gramStart"/>
    <w:r>
      <w:rPr>
        <w:i/>
        <w:sz w:val="16"/>
      </w:rPr>
      <w:t>Smoke .</w:t>
    </w:r>
    <w:proofErr w:type="gramEnd"/>
    <w:r>
      <w:rPr>
        <w:i/>
        <w:sz w:val="16"/>
      </w:rPr>
      <w:t xml:space="preserve"> Acc., vol. 25, no. 2, pp. 200–208, 2025; Item no. AJEBA.130441</w:t>
    </w:r>
  </w:p>
  <w:p w14:paraId="10DB340D" w14:textId="77777777" w:rsidR="0039143E" w:rsidRDefault="000C10DD">
    <w:pPr>
      <w:spacing w:after="0" w:line="259" w:lineRule="auto"/>
      <w:ind w:left="0" w:right="55" w:firstLine="0"/>
      <w:jc w:val="right"/>
    </w:pPr>
    <w:r>
      <w:rPr>
        <w:i/>
        <w:sz w:val="16"/>
      </w:rPr>
      <w:t xml:space="preserve"> </w:t>
    </w:r>
  </w:p>
  <w:p w14:paraId="446890A4" w14:textId="77777777" w:rsidR="0039143E" w:rsidRDefault="000C10DD">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95E9" w14:textId="0179AFA8" w:rsidR="0039143E" w:rsidRDefault="002660E8">
    <w:pPr>
      <w:spacing w:after="0" w:line="259" w:lineRule="auto"/>
      <w:ind w:left="0" w:right="64" w:firstLine="0"/>
      <w:jc w:val="right"/>
    </w:pPr>
    <w:r>
      <w:rPr>
        <w:noProof/>
      </w:rPr>
      <w:pict w14:anchorId="0C10F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38737" o:spid="_x0000_s2051" type="#_x0000_t136" style="position:absolute;left:0;text-align:left;margin-left:0;margin-top:0;width:578.35pt;height:65.2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8867" w14:textId="08804E50" w:rsidR="0039143E" w:rsidRDefault="002660E8">
    <w:pPr>
      <w:spacing w:after="160" w:line="259" w:lineRule="auto"/>
      <w:ind w:left="0" w:right="0" w:firstLine="0"/>
      <w:jc w:val="left"/>
    </w:pPr>
    <w:r>
      <w:rPr>
        <w:noProof/>
      </w:rPr>
      <w:pict w14:anchorId="7AE6E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38735" o:spid="_x0000_s2049" type="#_x0000_t136" style="position:absolute;margin-left:0;margin-top:0;width:578.35pt;height:65.2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A8C"/>
    <w:multiLevelType w:val="hybridMultilevel"/>
    <w:tmpl w:val="A0B6F17E"/>
    <w:lvl w:ilvl="0" w:tplc="146A6F02">
      <w:start w:val="1"/>
      <w:numFmt w:val="lowerLetter"/>
      <w:lvlText w:val="%1."/>
      <w:lvlJc w:val="left"/>
      <w:pPr>
        <w:ind w:left="873"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tplc="08C60366">
      <w:start w:val="1"/>
      <w:numFmt w:val="lowerLetter"/>
      <w:lvlText w:val="%2."/>
      <w:lvlJc w:val="left"/>
      <w:pPr>
        <w:ind w:left="1432"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CE4CC558">
      <w:start w:val="1"/>
      <w:numFmt w:val="lowerLetter"/>
      <w:lvlText w:val="%3."/>
      <w:lvlJc w:val="left"/>
      <w:pPr>
        <w:ind w:left="2029"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3" w:tplc="4852E0AC">
      <w:numFmt w:val="bullet"/>
      <w:lvlText w:val="•"/>
      <w:lvlJc w:val="left"/>
      <w:pPr>
        <w:ind w:left="2972" w:hanging="190"/>
      </w:pPr>
      <w:rPr>
        <w:rFonts w:hint="default"/>
        <w:lang w:val="en-US" w:eastAsia="en-US" w:bidi="ar-SA"/>
      </w:rPr>
    </w:lvl>
    <w:lvl w:ilvl="4" w:tplc="E19E109A">
      <w:numFmt w:val="bullet"/>
      <w:lvlText w:val="•"/>
      <w:lvlJc w:val="left"/>
      <w:pPr>
        <w:ind w:left="3924" w:hanging="190"/>
      </w:pPr>
      <w:rPr>
        <w:rFonts w:hint="default"/>
        <w:lang w:val="en-US" w:eastAsia="en-US" w:bidi="ar-SA"/>
      </w:rPr>
    </w:lvl>
    <w:lvl w:ilvl="5" w:tplc="345E670A">
      <w:numFmt w:val="bullet"/>
      <w:lvlText w:val="•"/>
      <w:lvlJc w:val="left"/>
      <w:pPr>
        <w:ind w:left="4877" w:hanging="190"/>
      </w:pPr>
      <w:rPr>
        <w:rFonts w:hint="default"/>
        <w:lang w:val="en-US" w:eastAsia="en-US" w:bidi="ar-SA"/>
      </w:rPr>
    </w:lvl>
    <w:lvl w:ilvl="6" w:tplc="6D9C5E0E">
      <w:numFmt w:val="bullet"/>
      <w:lvlText w:val="•"/>
      <w:lvlJc w:val="left"/>
      <w:pPr>
        <w:ind w:left="5829" w:hanging="190"/>
      </w:pPr>
      <w:rPr>
        <w:rFonts w:hint="default"/>
        <w:lang w:val="en-US" w:eastAsia="en-US" w:bidi="ar-SA"/>
      </w:rPr>
    </w:lvl>
    <w:lvl w:ilvl="7" w:tplc="C408E36C">
      <w:numFmt w:val="bullet"/>
      <w:lvlText w:val="•"/>
      <w:lvlJc w:val="left"/>
      <w:pPr>
        <w:ind w:left="6782" w:hanging="190"/>
      </w:pPr>
      <w:rPr>
        <w:rFonts w:hint="default"/>
        <w:lang w:val="en-US" w:eastAsia="en-US" w:bidi="ar-SA"/>
      </w:rPr>
    </w:lvl>
    <w:lvl w:ilvl="8" w:tplc="3ED84A98">
      <w:numFmt w:val="bullet"/>
      <w:lvlText w:val="•"/>
      <w:lvlJc w:val="left"/>
      <w:pPr>
        <w:ind w:left="7734" w:hanging="190"/>
      </w:pPr>
      <w:rPr>
        <w:rFonts w:hint="default"/>
        <w:lang w:val="en-US" w:eastAsia="en-US" w:bidi="ar-SA"/>
      </w:rPr>
    </w:lvl>
  </w:abstractNum>
  <w:abstractNum w:abstractNumId="1" w15:restartNumberingAfterBreak="0">
    <w:nsid w:val="0EB85CF1"/>
    <w:multiLevelType w:val="hybridMultilevel"/>
    <w:tmpl w:val="9DC05B74"/>
    <w:lvl w:ilvl="0" w:tplc="F93291A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8B3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6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F8098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2420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C14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2203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37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E460F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F37D31"/>
    <w:multiLevelType w:val="hybridMultilevel"/>
    <w:tmpl w:val="19983C40"/>
    <w:lvl w:ilvl="0" w:tplc="C55E601C">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6EE69A">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FCAA4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ACA12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EED6D6">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AC03E7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02901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04B3A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0A82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81546D"/>
    <w:multiLevelType w:val="hybridMultilevel"/>
    <w:tmpl w:val="24E6ED6E"/>
    <w:lvl w:ilvl="0" w:tplc="2220676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6D27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6D7C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F76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64F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A2576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6F87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886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0E43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DC56C3"/>
    <w:multiLevelType w:val="multilevel"/>
    <w:tmpl w:val="D04EB6A8"/>
    <w:lvl w:ilvl="0">
      <w:start w:val="1"/>
      <w:numFmt w:val="upperRoman"/>
      <w:lvlText w:val="BAB %1"/>
      <w:lvlJc w:val="left"/>
      <w:pPr>
        <w:tabs>
          <w:tab w:val="num" w:pos="964"/>
        </w:tabs>
        <w:ind w:left="0" w:firstLine="0"/>
      </w:pPr>
      <w:rPr>
        <w:rFonts w:ascii="Times New Roman" w:hAnsi="Times New Roman" w:hint="default"/>
        <w:b/>
        <w:i w:val="0"/>
        <w:sz w:val="28"/>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A47B0F"/>
    <w:multiLevelType w:val="hybridMultilevel"/>
    <w:tmpl w:val="7BB8AAAE"/>
    <w:lvl w:ilvl="0" w:tplc="69B60AC2">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62C9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E405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70A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885A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C47C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458A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DE3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0EE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1C4EE2"/>
    <w:multiLevelType w:val="hybridMultilevel"/>
    <w:tmpl w:val="FAFC182C"/>
    <w:lvl w:ilvl="0" w:tplc="AF0CD42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8206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21AA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2767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821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AF9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812D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2EE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729A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234D94"/>
    <w:multiLevelType w:val="multilevel"/>
    <w:tmpl w:val="DCB839CA"/>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4A29B1"/>
    <w:multiLevelType w:val="hybridMultilevel"/>
    <w:tmpl w:val="37A8982C"/>
    <w:lvl w:ilvl="0" w:tplc="72405E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C976E">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3A273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E68BD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3A1E8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44E436">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5E427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7DC745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A62A2C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0B7382"/>
    <w:multiLevelType w:val="hybridMultilevel"/>
    <w:tmpl w:val="3EDC0F82"/>
    <w:lvl w:ilvl="0" w:tplc="2A0A375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A9D9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641B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335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EC4B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084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25A8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48E12">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0A7FC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6F63D1"/>
    <w:multiLevelType w:val="hybridMultilevel"/>
    <w:tmpl w:val="2CBCB7B4"/>
    <w:lvl w:ilvl="0" w:tplc="1512B8A6">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A45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C1A6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2E96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CDF7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38287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D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86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78F13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390328"/>
    <w:multiLevelType w:val="hybridMultilevel"/>
    <w:tmpl w:val="A65214EE"/>
    <w:lvl w:ilvl="0" w:tplc="2E7A6E48">
      <w:start w:val="1"/>
      <w:numFmt w:val="lowerLetter"/>
      <w:lvlText w:val="%1."/>
      <w:lvlJc w:val="left"/>
      <w:pPr>
        <w:ind w:left="12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44C0E972">
      <w:numFmt w:val="bullet"/>
      <w:lvlText w:val="•"/>
      <w:lvlJc w:val="left"/>
      <w:pPr>
        <w:ind w:left="2061" w:hanging="190"/>
      </w:pPr>
      <w:rPr>
        <w:rFonts w:hint="default"/>
        <w:lang w:val="en-US" w:eastAsia="en-US" w:bidi="ar-SA"/>
      </w:rPr>
    </w:lvl>
    <w:lvl w:ilvl="2" w:tplc="3CA4A7EC">
      <w:numFmt w:val="bullet"/>
      <w:lvlText w:val="•"/>
      <w:lvlJc w:val="left"/>
      <w:pPr>
        <w:ind w:left="2903" w:hanging="190"/>
      </w:pPr>
      <w:rPr>
        <w:rFonts w:hint="default"/>
        <w:lang w:val="en-US" w:eastAsia="en-US" w:bidi="ar-SA"/>
      </w:rPr>
    </w:lvl>
    <w:lvl w:ilvl="3" w:tplc="B9E8AD98">
      <w:numFmt w:val="bullet"/>
      <w:lvlText w:val="•"/>
      <w:lvlJc w:val="left"/>
      <w:pPr>
        <w:ind w:left="3745" w:hanging="190"/>
      </w:pPr>
      <w:rPr>
        <w:rFonts w:hint="default"/>
        <w:lang w:val="en-US" w:eastAsia="en-US" w:bidi="ar-SA"/>
      </w:rPr>
    </w:lvl>
    <w:lvl w:ilvl="4" w:tplc="1344770A">
      <w:numFmt w:val="bullet"/>
      <w:lvlText w:val="•"/>
      <w:lvlJc w:val="left"/>
      <w:pPr>
        <w:ind w:left="4587" w:hanging="190"/>
      </w:pPr>
      <w:rPr>
        <w:rFonts w:hint="default"/>
        <w:lang w:val="en-US" w:eastAsia="en-US" w:bidi="ar-SA"/>
      </w:rPr>
    </w:lvl>
    <w:lvl w:ilvl="5" w:tplc="1C868FAC">
      <w:numFmt w:val="bullet"/>
      <w:lvlText w:val="•"/>
      <w:lvlJc w:val="left"/>
      <w:pPr>
        <w:ind w:left="5429" w:hanging="190"/>
      </w:pPr>
      <w:rPr>
        <w:rFonts w:hint="default"/>
        <w:lang w:val="en-US" w:eastAsia="en-US" w:bidi="ar-SA"/>
      </w:rPr>
    </w:lvl>
    <w:lvl w:ilvl="6" w:tplc="3A509E34">
      <w:numFmt w:val="bullet"/>
      <w:lvlText w:val="•"/>
      <w:lvlJc w:val="left"/>
      <w:pPr>
        <w:ind w:left="6271" w:hanging="190"/>
      </w:pPr>
      <w:rPr>
        <w:rFonts w:hint="default"/>
        <w:lang w:val="en-US" w:eastAsia="en-US" w:bidi="ar-SA"/>
      </w:rPr>
    </w:lvl>
    <w:lvl w:ilvl="7" w:tplc="CDC21874">
      <w:numFmt w:val="bullet"/>
      <w:lvlText w:val="•"/>
      <w:lvlJc w:val="left"/>
      <w:pPr>
        <w:ind w:left="7113" w:hanging="190"/>
      </w:pPr>
      <w:rPr>
        <w:rFonts w:hint="default"/>
        <w:lang w:val="en-US" w:eastAsia="en-US" w:bidi="ar-SA"/>
      </w:rPr>
    </w:lvl>
    <w:lvl w:ilvl="8" w:tplc="79C05946">
      <w:numFmt w:val="bullet"/>
      <w:lvlText w:val="•"/>
      <w:lvlJc w:val="left"/>
      <w:pPr>
        <w:ind w:left="7955" w:hanging="190"/>
      </w:pPr>
      <w:rPr>
        <w:rFonts w:hint="default"/>
        <w:lang w:val="en-US" w:eastAsia="en-US" w:bidi="ar-SA"/>
      </w:rPr>
    </w:lvl>
  </w:abstractNum>
  <w:abstractNum w:abstractNumId="12" w15:restartNumberingAfterBreak="0">
    <w:nsid w:val="2ECA2BFD"/>
    <w:multiLevelType w:val="hybridMultilevel"/>
    <w:tmpl w:val="75AE1A32"/>
    <w:lvl w:ilvl="0" w:tplc="62945A3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2223E">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E8C24">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2F0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032BC">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A9624">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A9E0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0A91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8950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F80991"/>
    <w:multiLevelType w:val="hybridMultilevel"/>
    <w:tmpl w:val="3F2CC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A63C8"/>
    <w:multiLevelType w:val="hybridMultilevel"/>
    <w:tmpl w:val="97F4E92E"/>
    <w:lvl w:ilvl="0" w:tplc="1434721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CB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43AC">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0605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EEA6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CD3F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FA513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E9D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8C08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A87DE3"/>
    <w:multiLevelType w:val="hybridMultilevel"/>
    <w:tmpl w:val="8F32E2A0"/>
    <w:lvl w:ilvl="0" w:tplc="A4B40D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24FDA0">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2B807F4">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A0BE84">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96A16A">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22D3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B80B4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7E91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38E292">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B56962"/>
    <w:multiLevelType w:val="hybridMultilevel"/>
    <w:tmpl w:val="589016D8"/>
    <w:lvl w:ilvl="0" w:tplc="9F3EA33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C1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05C6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AF4D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372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62F7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106C1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226E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22B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BA531A"/>
    <w:multiLevelType w:val="hybridMultilevel"/>
    <w:tmpl w:val="A60CB5D8"/>
    <w:lvl w:ilvl="0" w:tplc="BA8C341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201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8989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7EF6B8">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CFDF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B2215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6C1E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4ADB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401CC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B96038"/>
    <w:multiLevelType w:val="hybridMultilevel"/>
    <w:tmpl w:val="163A24F0"/>
    <w:lvl w:ilvl="0" w:tplc="5B483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C4A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C1D5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66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266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AFA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8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66E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F41E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D06C88"/>
    <w:multiLevelType w:val="hybridMultilevel"/>
    <w:tmpl w:val="DE784D4C"/>
    <w:lvl w:ilvl="0" w:tplc="C92C44A8">
      <w:start w:val="1"/>
      <w:numFmt w:val="lowerLetter"/>
      <w:lvlText w:val="%1."/>
      <w:lvlJc w:val="left"/>
      <w:pPr>
        <w:ind w:left="1158"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6EF293F4">
      <w:numFmt w:val="bullet"/>
      <w:lvlText w:val="•"/>
      <w:lvlJc w:val="left"/>
      <w:pPr>
        <w:ind w:left="2007" w:hanging="190"/>
      </w:pPr>
      <w:rPr>
        <w:rFonts w:hint="default"/>
        <w:lang w:val="en-US" w:eastAsia="en-US" w:bidi="ar-SA"/>
      </w:rPr>
    </w:lvl>
    <w:lvl w:ilvl="2" w:tplc="969C6558">
      <w:numFmt w:val="bullet"/>
      <w:lvlText w:val="•"/>
      <w:lvlJc w:val="left"/>
      <w:pPr>
        <w:ind w:left="2855" w:hanging="190"/>
      </w:pPr>
      <w:rPr>
        <w:rFonts w:hint="default"/>
        <w:lang w:val="en-US" w:eastAsia="en-US" w:bidi="ar-SA"/>
      </w:rPr>
    </w:lvl>
    <w:lvl w:ilvl="3" w:tplc="7820026E">
      <w:numFmt w:val="bullet"/>
      <w:lvlText w:val="•"/>
      <w:lvlJc w:val="left"/>
      <w:pPr>
        <w:ind w:left="3703" w:hanging="190"/>
      </w:pPr>
      <w:rPr>
        <w:rFonts w:hint="default"/>
        <w:lang w:val="en-US" w:eastAsia="en-US" w:bidi="ar-SA"/>
      </w:rPr>
    </w:lvl>
    <w:lvl w:ilvl="4" w:tplc="8FF064AE">
      <w:numFmt w:val="bullet"/>
      <w:lvlText w:val="•"/>
      <w:lvlJc w:val="left"/>
      <w:pPr>
        <w:ind w:left="4551" w:hanging="190"/>
      </w:pPr>
      <w:rPr>
        <w:rFonts w:hint="default"/>
        <w:lang w:val="en-US" w:eastAsia="en-US" w:bidi="ar-SA"/>
      </w:rPr>
    </w:lvl>
    <w:lvl w:ilvl="5" w:tplc="0156A9B4">
      <w:numFmt w:val="bullet"/>
      <w:lvlText w:val="•"/>
      <w:lvlJc w:val="left"/>
      <w:pPr>
        <w:ind w:left="5399" w:hanging="190"/>
      </w:pPr>
      <w:rPr>
        <w:rFonts w:hint="default"/>
        <w:lang w:val="en-US" w:eastAsia="en-US" w:bidi="ar-SA"/>
      </w:rPr>
    </w:lvl>
    <w:lvl w:ilvl="6" w:tplc="EDD0FA06">
      <w:numFmt w:val="bullet"/>
      <w:lvlText w:val="•"/>
      <w:lvlJc w:val="left"/>
      <w:pPr>
        <w:ind w:left="6247" w:hanging="190"/>
      </w:pPr>
      <w:rPr>
        <w:rFonts w:hint="default"/>
        <w:lang w:val="en-US" w:eastAsia="en-US" w:bidi="ar-SA"/>
      </w:rPr>
    </w:lvl>
    <w:lvl w:ilvl="7" w:tplc="7D36E482">
      <w:numFmt w:val="bullet"/>
      <w:lvlText w:val="•"/>
      <w:lvlJc w:val="left"/>
      <w:pPr>
        <w:ind w:left="7095" w:hanging="190"/>
      </w:pPr>
      <w:rPr>
        <w:rFonts w:hint="default"/>
        <w:lang w:val="en-US" w:eastAsia="en-US" w:bidi="ar-SA"/>
      </w:rPr>
    </w:lvl>
    <w:lvl w:ilvl="8" w:tplc="D1F2A6BE">
      <w:numFmt w:val="bullet"/>
      <w:lvlText w:val="•"/>
      <w:lvlJc w:val="left"/>
      <w:pPr>
        <w:ind w:left="7943" w:hanging="190"/>
      </w:pPr>
      <w:rPr>
        <w:rFonts w:hint="default"/>
        <w:lang w:val="en-US" w:eastAsia="en-US" w:bidi="ar-SA"/>
      </w:rPr>
    </w:lvl>
  </w:abstractNum>
  <w:abstractNum w:abstractNumId="20" w15:restartNumberingAfterBreak="0">
    <w:nsid w:val="44D14F96"/>
    <w:multiLevelType w:val="hybridMultilevel"/>
    <w:tmpl w:val="E04430B6"/>
    <w:lvl w:ilvl="0" w:tplc="13F2ADD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698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4CF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2690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0F0D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BA937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6C052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ECE1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68A4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E277205"/>
    <w:multiLevelType w:val="hybridMultilevel"/>
    <w:tmpl w:val="F0269778"/>
    <w:lvl w:ilvl="0" w:tplc="66868246">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21AB27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64E5A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DC7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EA6A5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20D5A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4A1E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4ADE4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F45E2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4A39E3"/>
    <w:multiLevelType w:val="hybridMultilevel"/>
    <w:tmpl w:val="15F26B30"/>
    <w:lvl w:ilvl="0" w:tplc="734E1C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EC40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470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8DE3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80FD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68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A69C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E462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AE5AA">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7CF6692"/>
    <w:multiLevelType w:val="hybridMultilevel"/>
    <w:tmpl w:val="80B4F342"/>
    <w:lvl w:ilvl="0" w:tplc="F3C8FE4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AAA63E">
      <w:start w:val="1"/>
      <w:numFmt w:val="lowerLetter"/>
      <w:lvlText w:val="%2."/>
      <w:lvlJc w:val="left"/>
      <w:pPr>
        <w:ind w:left="1127"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1BD88E0C">
      <w:numFmt w:val="bullet"/>
      <w:lvlText w:val="•"/>
      <w:lvlJc w:val="left"/>
      <w:pPr>
        <w:ind w:left="1529" w:hanging="190"/>
      </w:pPr>
      <w:rPr>
        <w:rFonts w:hint="default"/>
        <w:lang w:val="en-US" w:eastAsia="en-US" w:bidi="ar-SA"/>
      </w:rPr>
    </w:lvl>
    <w:lvl w:ilvl="3" w:tplc="E8968482">
      <w:numFmt w:val="bullet"/>
      <w:lvlText w:val="•"/>
      <w:lvlJc w:val="left"/>
      <w:pPr>
        <w:ind w:left="1938" w:hanging="190"/>
      </w:pPr>
      <w:rPr>
        <w:rFonts w:hint="default"/>
        <w:lang w:val="en-US" w:eastAsia="en-US" w:bidi="ar-SA"/>
      </w:rPr>
    </w:lvl>
    <w:lvl w:ilvl="4" w:tplc="CE2CE4D8">
      <w:numFmt w:val="bullet"/>
      <w:lvlText w:val="•"/>
      <w:lvlJc w:val="left"/>
      <w:pPr>
        <w:ind w:left="2348" w:hanging="190"/>
      </w:pPr>
      <w:rPr>
        <w:rFonts w:hint="default"/>
        <w:lang w:val="en-US" w:eastAsia="en-US" w:bidi="ar-SA"/>
      </w:rPr>
    </w:lvl>
    <w:lvl w:ilvl="5" w:tplc="C0FC045A">
      <w:numFmt w:val="bullet"/>
      <w:lvlText w:val="•"/>
      <w:lvlJc w:val="left"/>
      <w:pPr>
        <w:ind w:left="2757" w:hanging="190"/>
      </w:pPr>
      <w:rPr>
        <w:rFonts w:hint="default"/>
        <w:lang w:val="en-US" w:eastAsia="en-US" w:bidi="ar-SA"/>
      </w:rPr>
    </w:lvl>
    <w:lvl w:ilvl="6" w:tplc="2DFC6498">
      <w:numFmt w:val="bullet"/>
      <w:lvlText w:val="•"/>
      <w:lvlJc w:val="left"/>
      <w:pPr>
        <w:ind w:left="3167" w:hanging="190"/>
      </w:pPr>
      <w:rPr>
        <w:rFonts w:hint="default"/>
        <w:lang w:val="en-US" w:eastAsia="en-US" w:bidi="ar-SA"/>
      </w:rPr>
    </w:lvl>
    <w:lvl w:ilvl="7" w:tplc="84985FA2">
      <w:numFmt w:val="bullet"/>
      <w:lvlText w:val="•"/>
      <w:lvlJc w:val="left"/>
      <w:pPr>
        <w:ind w:left="3576" w:hanging="190"/>
      </w:pPr>
      <w:rPr>
        <w:rFonts w:hint="default"/>
        <w:lang w:val="en-US" w:eastAsia="en-US" w:bidi="ar-SA"/>
      </w:rPr>
    </w:lvl>
    <w:lvl w:ilvl="8" w:tplc="5A04C734">
      <w:numFmt w:val="bullet"/>
      <w:lvlText w:val="•"/>
      <w:lvlJc w:val="left"/>
      <w:pPr>
        <w:ind w:left="3986" w:hanging="190"/>
      </w:pPr>
      <w:rPr>
        <w:rFonts w:hint="default"/>
        <w:lang w:val="en-US" w:eastAsia="en-US" w:bidi="ar-SA"/>
      </w:rPr>
    </w:lvl>
  </w:abstractNum>
  <w:abstractNum w:abstractNumId="24" w15:restartNumberingAfterBreak="0">
    <w:nsid w:val="5BFA4D5B"/>
    <w:multiLevelType w:val="hybridMultilevel"/>
    <w:tmpl w:val="B800733E"/>
    <w:lvl w:ilvl="0" w:tplc="7A7AF5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E8B47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02188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F28C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EDCF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78164C">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E8A122">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B48AD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4471A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58565CE"/>
    <w:multiLevelType w:val="hybridMultilevel"/>
    <w:tmpl w:val="BA2A760E"/>
    <w:lvl w:ilvl="0" w:tplc="7832A6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6237C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A3E3D2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1B0BD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704EE20">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CA21F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60EBB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CA681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8E06C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74B7DE5"/>
    <w:multiLevelType w:val="hybridMultilevel"/>
    <w:tmpl w:val="2ADCC20C"/>
    <w:lvl w:ilvl="0" w:tplc="BCC2032C">
      <w:start w:val="1"/>
      <w:numFmt w:val="lowerLetter"/>
      <w:lvlText w:val="%1."/>
      <w:lvlJc w:val="left"/>
      <w:pPr>
        <w:ind w:left="1295"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FCC0DF5C">
      <w:numFmt w:val="bullet"/>
      <w:lvlText w:val="•"/>
      <w:lvlJc w:val="left"/>
      <w:pPr>
        <w:ind w:left="2133" w:hanging="190"/>
      </w:pPr>
      <w:rPr>
        <w:rFonts w:hint="default"/>
        <w:lang w:val="en-US" w:eastAsia="en-US" w:bidi="ar-SA"/>
      </w:rPr>
    </w:lvl>
    <w:lvl w:ilvl="2" w:tplc="74045208">
      <w:numFmt w:val="bullet"/>
      <w:lvlText w:val="•"/>
      <w:lvlJc w:val="left"/>
      <w:pPr>
        <w:ind w:left="2967" w:hanging="190"/>
      </w:pPr>
      <w:rPr>
        <w:rFonts w:hint="default"/>
        <w:lang w:val="en-US" w:eastAsia="en-US" w:bidi="ar-SA"/>
      </w:rPr>
    </w:lvl>
    <w:lvl w:ilvl="3" w:tplc="8F5C31BC">
      <w:numFmt w:val="bullet"/>
      <w:lvlText w:val="•"/>
      <w:lvlJc w:val="left"/>
      <w:pPr>
        <w:ind w:left="3801" w:hanging="190"/>
      </w:pPr>
      <w:rPr>
        <w:rFonts w:hint="default"/>
        <w:lang w:val="en-US" w:eastAsia="en-US" w:bidi="ar-SA"/>
      </w:rPr>
    </w:lvl>
    <w:lvl w:ilvl="4" w:tplc="5B86AD8E">
      <w:numFmt w:val="bullet"/>
      <w:lvlText w:val="•"/>
      <w:lvlJc w:val="left"/>
      <w:pPr>
        <w:ind w:left="4635" w:hanging="190"/>
      </w:pPr>
      <w:rPr>
        <w:rFonts w:hint="default"/>
        <w:lang w:val="en-US" w:eastAsia="en-US" w:bidi="ar-SA"/>
      </w:rPr>
    </w:lvl>
    <w:lvl w:ilvl="5" w:tplc="C484A888">
      <w:numFmt w:val="bullet"/>
      <w:lvlText w:val="•"/>
      <w:lvlJc w:val="left"/>
      <w:pPr>
        <w:ind w:left="5469" w:hanging="190"/>
      </w:pPr>
      <w:rPr>
        <w:rFonts w:hint="default"/>
        <w:lang w:val="en-US" w:eastAsia="en-US" w:bidi="ar-SA"/>
      </w:rPr>
    </w:lvl>
    <w:lvl w:ilvl="6" w:tplc="DB609EA8">
      <w:numFmt w:val="bullet"/>
      <w:lvlText w:val="•"/>
      <w:lvlJc w:val="left"/>
      <w:pPr>
        <w:ind w:left="6303" w:hanging="190"/>
      </w:pPr>
      <w:rPr>
        <w:rFonts w:hint="default"/>
        <w:lang w:val="en-US" w:eastAsia="en-US" w:bidi="ar-SA"/>
      </w:rPr>
    </w:lvl>
    <w:lvl w:ilvl="7" w:tplc="2A403C1E">
      <w:numFmt w:val="bullet"/>
      <w:lvlText w:val="•"/>
      <w:lvlJc w:val="left"/>
      <w:pPr>
        <w:ind w:left="7137" w:hanging="190"/>
      </w:pPr>
      <w:rPr>
        <w:rFonts w:hint="default"/>
        <w:lang w:val="en-US" w:eastAsia="en-US" w:bidi="ar-SA"/>
      </w:rPr>
    </w:lvl>
    <w:lvl w:ilvl="8" w:tplc="CE52DF9C">
      <w:numFmt w:val="bullet"/>
      <w:lvlText w:val="•"/>
      <w:lvlJc w:val="left"/>
      <w:pPr>
        <w:ind w:left="7971" w:hanging="190"/>
      </w:pPr>
      <w:rPr>
        <w:rFonts w:hint="default"/>
        <w:lang w:val="en-US" w:eastAsia="en-US" w:bidi="ar-SA"/>
      </w:rPr>
    </w:lvl>
  </w:abstractNum>
  <w:abstractNum w:abstractNumId="27" w15:restartNumberingAfterBreak="0">
    <w:nsid w:val="705E04D2"/>
    <w:multiLevelType w:val="hybridMultilevel"/>
    <w:tmpl w:val="C22E1750"/>
    <w:lvl w:ilvl="0" w:tplc="7B027FDC">
      <w:start w:val="1"/>
      <w:numFmt w:val="decimal"/>
      <w:lvlText w:val="%1."/>
      <w:lvlJc w:val="left"/>
      <w:pPr>
        <w:ind w:left="1012" w:hanging="360"/>
      </w:pPr>
      <w:rPr>
        <w:rFonts w:hint="default"/>
      </w:rPr>
    </w:lvl>
    <w:lvl w:ilvl="1" w:tplc="04210019" w:tentative="1">
      <w:start w:val="1"/>
      <w:numFmt w:val="lowerLetter"/>
      <w:lvlText w:val="%2."/>
      <w:lvlJc w:val="left"/>
      <w:pPr>
        <w:ind w:left="1732" w:hanging="360"/>
      </w:pPr>
    </w:lvl>
    <w:lvl w:ilvl="2" w:tplc="0421001B" w:tentative="1">
      <w:start w:val="1"/>
      <w:numFmt w:val="lowerRoman"/>
      <w:lvlText w:val="%3."/>
      <w:lvlJc w:val="right"/>
      <w:pPr>
        <w:ind w:left="2452" w:hanging="180"/>
      </w:pPr>
    </w:lvl>
    <w:lvl w:ilvl="3" w:tplc="0421000F" w:tentative="1">
      <w:start w:val="1"/>
      <w:numFmt w:val="decimal"/>
      <w:lvlText w:val="%4."/>
      <w:lvlJc w:val="left"/>
      <w:pPr>
        <w:ind w:left="3172" w:hanging="360"/>
      </w:pPr>
    </w:lvl>
    <w:lvl w:ilvl="4" w:tplc="04210019" w:tentative="1">
      <w:start w:val="1"/>
      <w:numFmt w:val="lowerLetter"/>
      <w:lvlText w:val="%5."/>
      <w:lvlJc w:val="left"/>
      <w:pPr>
        <w:ind w:left="3892" w:hanging="360"/>
      </w:pPr>
    </w:lvl>
    <w:lvl w:ilvl="5" w:tplc="0421001B" w:tentative="1">
      <w:start w:val="1"/>
      <w:numFmt w:val="lowerRoman"/>
      <w:lvlText w:val="%6."/>
      <w:lvlJc w:val="right"/>
      <w:pPr>
        <w:ind w:left="4612" w:hanging="180"/>
      </w:pPr>
    </w:lvl>
    <w:lvl w:ilvl="6" w:tplc="0421000F" w:tentative="1">
      <w:start w:val="1"/>
      <w:numFmt w:val="decimal"/>
      <w:lvlText w:val="%7."/>
      <w:lvlJc w:val="left"/>
      <w:pPr>
        <w:ind w:left="5332" w:hanging="360"/>
      </w:pPr>
    </w:lvl>
    <w:lvl w:ilvl="7" w:tplc="04210019" w:tentative="1">
      <w:start w:val="1"/>
      <w:numFmt w:val="lowerLetter"/>
      <w:lvlText w:val="%8."/>
      <w:lvlJc w:val="left"/>
      <w:pPr>
        <w:ind w:left="6052" w:hanging="360"/>
      </w:pPr>
    </w:lvl>
    <w:lvl w:ilvl="8" w:tplc="0421001B" w:tentative="1">
      <w:start w:val="1"/>
      <w:numFmt w:val="lowerRoman"/>
      <w:lvlText w:val="%9."/>
      <w:lvlJc w:val="right"/>
      <w:pPr>
        <w:ind w:left="6772" w:hanging="180"/>
      </w:pPr>
    </w:lvl>
  </w:abstractNum>
  <w:abstractNum w:abstractNumId="28" w15:restartNumberingAfterBreak="0">
    <w:nsid w:val="713671AE"/>
    <w:multiLevelType w:val="hybridMultilevel"/>
    <w:tmpl w:val="F65E2C32"/>
    <w:lvl w:ilvl="0" w:tplc="D6D0A72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5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B2C87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E6D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7A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90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EFE7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A8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0FF9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B25544"/>
    <w:multiLevelType w:val="hybridMultilevel"/>
    <w:tmpl w:val="96E457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15:restartNumberingAfterBreak="0">
    <w:nsid w:val="76A4330A"/>
    <w:multiLevelType w:val="hybridMultilevel"/>
    <w:tmpl w:val="8976D606"/>
    <w:lvl w:ilvl="0" w:tplc="5FE6849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E2251C">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5232A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82F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9C1FB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6AACC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932F16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4F0260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F2D84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C8C47D4"/>
    <w:multiLevelType w:val="hybridMultilevel"/>
    <w:tmpl w:val="AE8A7186"/>
    <w:lvl w:ilvl="0" w:tplc="80EA151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CA901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66071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78E480">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127B1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6A645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6E188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8CBAE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AC4FC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D1D0695"/>
    <w:multiLevelType w:val="multilevel"/>
    <w:tmpl w:val="84F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1F6161"/>
    <w:multiLevelType w:val="hybridMultilevel"/>
    <w:tmpl w:val="42FAF4B4"/>
    <w:lvl w:ilvl="0" w:tplc="2A30BEE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E458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4BF9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E79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AB6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0EE71E">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01C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23DD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0773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8"/>
  </w:num>
  <w:num w:numId="2">
    <w:abstractNumId w:val="33"/>
  </w:num>
  <w:num w:numId="3">
    <w:abstractNumId w:val="17"/>
  </w:num>
  <w:num w:numId="4">
    <w:abstractNumId w:val="10"/>
  </w:num>
  <w:num w:numId="5">
    <w:abstractNumId w:val="12"/>
  </w:num>
  <w:num w:numId="6">
    <w:abstractNumId w:val="18"/>
  </w:num>
  <w:num w:numId="7">
    <w:abstractNumId w:val="3"/>
  </w:num>
  <w:num w:numId="8">
    <w:abstractNumId w:val="6"/>
  </w:num>
  <w:num w:numId="9">
    <w:abstractNumId w:val="20"/>
  </w:num>
  <w:num w:numId="10">
    <w:abstractNumId w:val="9"/>
  </w:num>
  <w:num w:numId="11">
    <w:abstractNumId w:val="14"/>
  </w:num>
  <w:num w:numId="12">
    <w:abstractNumId w:val="16"/>
  </w:num>
  <w:num w:numId="13">
    <w:abstractNumId w:val="1"/>
  </w:num>
  <w:num w:numId="14">
    <w:abstractNumId w:val="5"/>
  </w:num>
  <w:num w:numId="15">
    <w:abstractNumId w:val="25"/>
  </w:num>
  <w:num w:numId="16">
    <w:abstractNumId w:val="8"/>
  </w:num>
  <w:num w:numId="17">
    <w:abstractNumId w:val="31"/>
  </w:num>
  <w:num w:numId="18">
    <w:abstractNumId w:val="30"/>
  </w:num>
  <w:num w:numId="19">
    <w:abstractNumId w:val="2"/>
  </w:num>
  <w:num w:numId="20">
    <w:abstractNumId w:val="15"/>
  </w:num>
  <w:num w:numId="21">
    <w:abstractNumId w:val="24"/>
  </w:num>
  <w:num w:numId="22">
    <w:abstractNumId w:val="21"/>
  </w:num>
  <w:num w:numId="23">
    <w:abstractNumId w:val="22"/>
  </w:num>
  <w:num w:numId="24">
    <w:abstractNumId w:val="7"/>
  </w:num>
  <w:num w:numId="25">
    <w:abstractNumId w:val="4"/>
  </w:num>
  <w:num w:numId="26">
    <w:abstractNumId w:val="11"/>
  </w:num>
  <w:num w:numId="27">
    <w:abstractNumId w:val="0"/>
  </w:num>
  <w:num w:numId="28">
    <w:abstractNumId w:val="19"/>
  </w:num>
  <w:num w:numId="29">
    <w:abstractNumId w:val="26"/>
  </w:num>
  <w:num w:numId="30">
    <w:abstractNumId w:val="23"/>
  </w:num>
  <w:num w:numId="31">
    <w:abstractNumId w:val="3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3E"/>
    <w:rsid w:val="000B731F"/>
    <w:rsid w:val="000C10DD"/>
    <w:rsid w:val="00101106"/>
    <w:rsid w:val="00150CC6"/>
    <w:rsid w:val="001D6B54"/>
    <w:rsid w:val="00214169"/>
    <w:rsid w:val="00224222"/>
    <w:rsid w:val="002510F8"/>
    <w:rsid w:val="002660E8"/>
    <w:rsid w:val="00320729"/>
    <w:rsid w:val="003376C0"/>
    <w:rsid w:val="0035330D"/>
    <w:rsid w:val="0039143E"/>
    <w:rsid w:val="005B7537"/>
    <w:rsid w:val="005C126D"/>
    <w:rsid w:val="005D2D90"/>
    <w:rsid w:val="00647383"/>
    <w:rsid w:val="0068308C"/>
    <w:rsid w:val="00683F82"/>
    <w:rsid w:val="006B50CB"/>
    <w:rsid w:val="006C43A7"/>
    <w:rsid w:val="0072208D"/>
    <w:rsid w:val="00762902"/>
    <w:rsid w:val="007A2A9B"/>
    <w:rsid w:val="00841029"/>
    <w:rsid w:val="008625E5"/>
    <w:rsid w:val="008976D0"/>
    <w:rsid w:val="008B41DB"/>
    <w:rsid w:val="008E3D9C"/>
    <w:rsid w:val="008F27E1"/>
    <w:rsid w:val="009265AD"/>
    <w:rsid w:val="00937C3D"/>
    <w:rsid w:val="009A10D0"/>
    <w:rsid w:val="009C23D4"/>
    <w:rsid w:val="009F4279"/>
    <w:rsid w:val="00B1502F"/>
    <w:rsid w:val="00B50171"/>
    <w:rsid w:val="00B870A8"/>
    <w:rsid w:val="00B901A2"/>
    <w:rsid w:val="00C854B2"/>
    <w:rsid w:val="00CE22AC"/>
    <w:rsid w:val="00D03F90"/>
    <w:rsid w:val="00DA590C"/>
    <w:rsid w:val="00E179EE"/>
    <w:rsid w:val="00E73CB8"/>
    <w:rsid w:val="00ED1B46"/>
    <w:rsid w:val="00F13B2C"/>
    <w:rsid w:val="00F318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3EB14"/>
  <w15:docId w15:val="{C394A89C-50CC-4AB0-9B55-CA8570AC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7" w:hanging="10"/>
      <w:jc w:val="both"/>
    </w:pPr>
    <w:rPr>
      <w:rFonts w:ascii="Arial" w:eastAsia="Arial" w:hAnsi="Arial" w:cs="Arial"/>
      <w:color w:val="000000"/>
      <w:sz w:val="20"/>
    </w:rPr>
  </w:style>
  <w:style w:type="paragraph" w:styleId="Heading1">
    <w:name w:val="heading 1"/>
    <w:aliases w:val="JUDUL 1"/>
    <w:next w:val="Normal"/>
    <w:link w:val="Heading1Char"/>
    <w:uiPriority w:val="9"/>
    <w:qFormat/>
    <w:pPr>
      <w:keepNext/>
      <w:keepLines/>
      <w:numPr>
        <w:numId w:val="24"/>
      </w:numPr>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4"/>
      </w:numPr>
      <w:spacing w:after="0"/>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unhideWhenUsed/>
    <w:qFormat/>
    <w:rsid w:val="00D03F90"/>
    <w:pPr>
      <w:keepNext/>
      <w:keepLines/>
      <w:widowControl w:val="0"/>
      <w:autoSpaceDE w:val="0"/>
      <w:autoSpaceDN w:val="0"/>
      <w:spacing w:after="240" w:line="240" w:lineRule="auto"/>
      <w:ind w:left="0" w:right="0" w:firstLine="0"/>
      <w:jc w:val="left"/>
      <w:outlineLvl w:val="2"/>
    </w:pPr>
    <w:rPr>
      <w:rFonts w:ascii="Times New Roman" w:eastAsiaTheme="majorEastAsia" w:hAnsi="Times New Roman" w:cstheme="majorBidi"/>
      <w:b/>
      <w:color w:val="auto"/>
      <w:sz w:val="22"/>
      <w:szCs w:val="35"/>
      <w:lang w:eastAsia="en-US"/>
    </w:rPr>
  </w:style>
  <w:style w:type="paragraph" w:styleId="Heading4">
    <w:name w:val="heading 4"/>
    <w:basedOn w:val="Normal"/>
    <w:next w:val="Normal"/>
    <w:link w:val="Heading4Char"/>
    <w:uiPriority w:val="9"/>
    <w:semiHidden/>
    <w:unhideWhenUsed/>
    <w:qFormat/>
    <w:rsid w:val="00D03F90"/>
    <w:pPr>
      <w:keepNext/>
      <w:keepLines/>
      <w:widowControl w:val="0"/>
      <w:autoSpaceDE w:val="0"/>
      <w:autoSpaceDN w:val="0"/>
      <w:spacing w:before="80" w:after="40" w:line="240" w:lineRule="auto"/>
      <w:ind w:left="0" w:right="0" w:firstLine="0"/>
      <w:jc w:val="left"/>
      <w:outlineLvl w:val="3"/>
    </w:pPr>
    <w:rPr>
      <w:rFonts w:asciiTheme="minorHAnsi" w:eastAsiaTheme="majorEastAsia" w:hAnsiTheme="minorHAnsi" w:cs="Angsana New"/>
      <w:i/>
      <w:iCs/>
      <w:color w:val="2F5496" w:themeColor="accent1" w:themeShade="BF"/>
      <w:sz w:val="22"/>
      <w:szCs w:val="30"/>
      <w:lang w:eastAsia="en-US"/>
    </w:rPr>
  </w:style>
  <w:style w:type="paragraph" w:styleId="Heading5">
    <w:name w:val="heading 5"/>
    <w:basedOn w:val="Normal"/>
    <w:next w:val="Normal"/>
    <w:link w:val="Heading5Char"/>
    <w:uiPriority w:val="9"/>
    <w:semiHidden/>
    <w:unhideWhenUsed/>
    <w:qFormat/>
    <w:rsid w:val="00D03F90"/>
    <w:pPr>
      <w:keepNext/>
      <w:keepLines/>
      <w:widowControl w:val="0"/>
      <w:autoSpaceDE w:val="0"/>
      <w:autoSpaceDN w:val="0"/>
      <w:spacing w:before="80" w:after="40" w:line="240" w:lineRule="auto"/>
      <w:ind w:left="0" w:right="0" w:firstLine="0"/>
      <w:jc w:val="left"/>
      <w:outlineLvl w:val="4"/>
    </w:pPr>
    <w:rPr>
      <w:rFonts w:asciiTheme="minorHAnsi" w:eastAsiaTheme="majorEastAsia" w:hAnsiTheme="minorHAnsi" w:cs="Angsana New"/>
      <w:color w:val="2F5496" w:themeColor="accent1" w:themeShade="BF"/>
      <w:sz w:val="22"/>
      <w:szCs w:val="30"/>
      <w:lang w:eastAsia="en-US"/>
    </w:rPr>
  </w:style>
  <w:style w:type="paragraph" w:styleId="Heading6">
    <w:name w:val="heading 6"/>
    <w:basedOn w:val="Normal"/>
    <w:next w:val="Normal"/>
    <w:link w:val="Heading6Char"/>
    <w:uiPriority w:val="9"/>
    <w:semiHidden/>
    <w:unhideWhenUsed/>
    <w:qFormat/>
    <w:rsid w:val="00D03F90"/>
    <w:pPr>
      <w:keepNext/>
      <w:keepLines/>
      <w:widowControl w:val="0"/>
      <w:autoSpaceDE w:val="0"/>
      <w:autoSpaceDN w:val="0"/>
      <w:spacing w:before="40" w:after="0" w:line="240" w:lineRule="auto"/>
      <w:ind w:left="0" w:right="0" w:firstLine="0"/>
      <w:jc w:val="left"/>
      <w:outlineLvl w:val="5"/>
    </w:pPr>
    <w:rPr>
      <w:rFonts w:asciiTheme="minorHAnsi" w:eastAsiaTheme="majorEastAsia" w:hAnsiTheme="minorHAnsi" w:cs="Angsana New"/>
      <w:i/>
      <w:iCs/>
      <w:color w:val="595959" w:themeColor="text1" w:themeTint="A6"/>
      <w:sz w:val="22"/>
      <w:szCs w:val="30"/>
      <w:lang w:eastAsia="en-US"/>
    </w:rPr>
  </w:style>
  <w:style w:type="paragraph" w:styleId="Heading7">
    <w:name w:val="heading 7"/>
    <w:basedOn w:val="Normal"/>
    <w:next w:val="Normal"/>
    <w:link w:val="Heading7Char"/>
    <w:uiPriority w:val="9"/>
    <w:semiHidden/>
    <w:unhideWhenUsed/>
    <w:qFormat/>
    <w:rsid w:val="00D03F90"/>
    <w:pPr>
      <w:keepNext/>
      <w:keepLines/>
      <w:widowControl w:val="0"/>
      <w:autoSpaceDE w:val="0"/>
      <w:autoSpaceDN w:val="0"/>
      <w:spacing w:before="40" w:after="0" w:line="240" w:lineRule="auto"/>
      <w:ind w:left="0" w:right="0" w:firstLine="0"/>
      <w:jc w:val="left"/>
      <w:outlineLvl w:val="6"/>
    </w:pPr>
    <w:rPr>
      <w:rFonts w:asciiTheme="minorHAnsi" w:eastAsiaTheme="majorEastAsia" w:hAnsiTheme="minorHAnsi" w:cs="Angsana New"/>
      <w:color w:val="595959" w:themeColor="text1" w:themeTint="A6"/>
      <w:sz w:val="22"/>
      <w:szCs w:val="30"/>
      <w:lang w:eastAsia="en-US"/>
    </w:rPr>
  </w:style>
  <w:style w:type="paragraph" w:styleId="Heading8">
    <w:name w:val="heading 8"/>
    <w:basedOn w:val="Normal"/>
    <w:next w:val="Normal"/>
    <w:link w:val="Heading8Char"/>
    <w:uiPriority w:val="9"/>
    <w:semiHidden/>
    <w:unhideWhenUsed/>
    <w:qFormat/>
    <w:rsid w:val="00D03F90"/>
    <w:pPr>
      <w:keepNext/>
      <w:keepLines/>
      <w:widowControl w:val="0"/>
      <w:autoSpaceDE w:val="0"/>
      <w:autoSpaceDN w:val="0"/>
      <w:spacing w:after="0" w:line="240" w:lineRule="auto"/>
      <w:ind w:left="0" w:right="0" w:firstLine="0"/>
      <w:jc w:val="left"/>
      <w:outlineLvl w:val="7"/>
    </w:pPr>
    <w:rPr>
      <w:rFonts w:asciiTheme="minorHAnsi" w:eastAsiaTheme="majorEastAsia" w:hAnsiTheme="minorHAnsi" w:cs="Angsana New"/>
      <w:i/>
      <w:iCs/>
      <w:color w:val="272727" w:themeColor="text1" w:themeTint="D8"/>
      <w:sz w:val="22"/>
      <w:szCs w:val="30"/>
      <w:lang w:eastAsia="en-US"/>
    </w:rPr>
  </w:style>
  <w:style w:type="paragraph" w:styleId="Heading9">
    <w:name w:val="heading 9"/>
    <w:basedOn w:val="Normal"/>
    <w:next w:val="Normal"/>
    <w:link w:val="Heading9Char"/>
    <w:uiPriority w:val="9"/>
    <w:semiHidden/>
    <w:unhideWhenUsed/>
    <w:qFormat/>
    <w:rsid w:val="00D03F90"/>
    <w:pPr>
      <w:keepNext/>
      <w:keepLines/>
      <w:widowControl w:val="0"/>
      <w:autoSpaceDE w:val="0"/>
      <w:autoSpaceDN w:val="0"/>
      <w:spacing w:after="0" w:line="240" w:lineRule="auto"/>
      <w:ind w:left="0" w:right="0" w:firstLine="0"/>
      <w:jc w:val="left"/>
      <w:outlineLvl w:val="8"/>
    </w:pPr>
    <w:rPr>
      <w:rFonts w:asciiTheme="minorHAnsi" w:eastAsiaTheme="majorEastAsia" w:hAnsiTheme="minorHAnsi" w:cs="Angsana New"/>
      <w:color w:val="272727" w:themeColor="text1" w:themeTint="D8"/>
      <w:sz w:val="22"/>
      <w:szCs w:val="3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1 Char"/>
    <w:link w:val="Heading1"/>
    <w:uiPriority w:val="9"/>
    <w:rPr>
      <w:rFonts w:ascii="Arial" w:eastAsia="Arial" w:hAnsi="Arial" w:cs="Arial"/>
      <w:b/>
      <w:color w:val="000000"/>
      <w:sz w:val="22"/>
    </w:rPr>
  </w:style>
  <w:style w:type="character" w:customStyle="1" w:styleId="Heading2Char">
    <w:name w:val="Heading 2 Char"/>
    <w:link w:val="Heading2"/>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yle1">
    <w:name w:val="Style1"/>
    <w:basedOn w:val="Normal"/>
    <w:link w:val="Style1Char"/>
    <w:qFormat/>
    <w:rsid w:val="008B41DB"/>
    <w:pPr>
      <w:ind w:right="0"/>
    </w:pPr>
  </w:style>
  <w:style w:type="paragraph" w:customStyle="1" w:styleId="font-claude-response-body">
    <w:name w:val="font-claude-response-body"/>
    <w:basedOn w:val="Normal"/>
    <w:rsid w:val="008B41D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Style1Char">
    <w:name w:val="Style1 Char"/>
    <w:basedOn w:val="DefaultParagraphFont"/>
    <w:link w:val="Style1"/>
    <w:rsid w:val="008B41DB"/>
    <w:rPr>
      <w:rFonts w:ascii="Arial" w:eastAsia="Arial" w:hAnsi="Arial" w:cs="Arial"/>
      <w:color w:val="000000"/>
      <w:sz w:val="20"/>
    </w:rPr>
  </w:style>
  <w:style w:type="paragraph" w:customStyle="1" w:styleId="Style2">
    <w:name w:val="Style2"/>
    <w:basedOn w:val="Normal"/>
    <w:link w:val="Style2Char"/>
    <w:qFormat/>
    <w:rsid w:val="0035330D"/>
    <w:pPr>
      <w:ind w:right="0"/>
    </w:pPr>
  </w:style>
  <w:style w:type="character" w:styleId="Emphasis">
    <w:name w:val="Emphasis"/>
    <w:basedOn w:val="DefaultParagraphFont"/>
    <w:uiPriority w:val="20"/>
    <w:qFormat/>
    <w:rsid w:val="0035330D"/>
    <w:rPr>
      <w:i/>
      <w:iCs/>
    </w:rPr>
  </w:style>
  <w:style w:type="character" w:customStyle="1" w:styleId="Style2Char">
    <w:name w:val="Style2 Char"/>
    <w:basedOn w:val="DefaultParagraphFont"/>
    <w:link w:val="Style2"/>
    <w:rsid w:val="0035330D"/>
    <w:rPr>
      <w:rFonts w:ascii="Arial" w:eastAsia="Arial" w:hAnsi="Arial" w:cs="Arial"/>
      <w:color w:val="000000"/>
      <w:sz w:val="20"/>
    </w:rPr>
  </w:style>
  <w:style w:type="paragraph" w:styleId="BodyText">
    <w:name w:val="Body Text"/>
    <w:basedOn w:val="Normal"/>
    <w:link w:val="BodyTextChar"/>
    <w:uiPriority w:val="1"/>
    <w:qFormat/>
    <w:rsid w:val="00ED1B46"/>
    <w:pPr>
      <w:widowControl w:val="0"/>
      <w:autoSpaceDE w:val="0"/>
      <w:autoSpaceDN w:val="0"/>
      <w:spacing w:after="0" w:line="240" w:lineRule="auto"/>
      <w:ind w:left="165"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ED1B46"/>
    <w:rPr>
      <w:rFonts w:ascii="Times New Roman" w:eastAsia="Times New Roman" w:hAnsi="Times New Roman" w:cs="Times New Roman"/>
      <w:sz w:val="24"/>
      <w:szCs w:val="24"/>
      <w:lang w:val="en" w:eastAsia="en-US"/>
    </w:rPr>
  </w:style>
  <w:style w:type="character" w:customStyle="1" w:styleId="Heading3Char">
    <w:name w:val="Heading 3 Char"/>
    <w:basedOn w:val="DefaultParagraphFont"/>
    <w:link w:val="Heading3"/>
    <w:uiPriority w:val="9"/>
    <w:rsid w:val="00D03F90"/>
    <w:rPr>
      <w:rFonts w:ascii="Times New Roman" w:eastAsiaTheme="majorEastAsia" w:hAnsi="Times New Roman" w:cstheme="majorBidi"/>
      <w:b/>
      <w:szCs w:val="35"/>
      <w:lang w:val="en" w:eastAsia="en-US"/>
    </w:rPr>
  </w:style>
  <w:style w:type="character" w:customStyle="1" w:styleId="Heading4Char">
    <w:name w:val="Heading 4 Char"/>
    <w:basedOn w:val="DefaultParagraphFont"/>
    <w:link w:val="Heading4"/>
    <w:uiPriority w:val="9"/>
    <w:semiHidden/>
    <w:rsid w:val="00D03F90"/>
    <w:rPr>
      <w:rFonts w:eastAsiaTheme="majorEastAsia" w:cs="Angsana New"/>
      <w:i/>
      <w:iCs/>
      <w:color w:val="2F5496" w:themeColor="accent1" w:themeShade="BF"/>
      <w:szCs w:val="30"/>
      <w:lang w:val="en" w:eastAsia="en-US"/>
    </w:rPr>
  </w:style>
  <w:style w:type="character" w:customStyle="1" w:styleId="Heading5Char">
    <w:name w:val="Heading 5 Char"/>
    <w:basedOn w:val="DefaultParagraphFont"/>
    <w:link w:val="Heading5"/>
    <w:uiPriority w:val="9"/>
    <w:semiHidden/>
    <w:rsid w:val="00D03F90"/>
    <w:rPr>
      <w:rFonts w:eastAsiaTheme="majorEastAsia" w:cs="Angsana New"/>
      <w:color w:val="2F5496" w:themeColor="accent1" w:themeShade="BF"/>
      <w:szCs w:val="30"/>
      <w:lang w:val="en" w:eastAsia="en-US"/>
    </w:rPr>
  </w:style>
  <w:style w:type="character" w:customStyle="1" w:styleId="Heading6Char">
    <w:name w:val="Heading 6 Char"/>
    <w:basedOn w:val="DefaultParagraphFont"/>
    <w:link w:val="Heading6"/>
    <w:uiPriority w:val="9"/>
    <w:semiHidden/>
    <w:rsid w:val="00D03F90"/>
    <w:rPr>
      <w:rFonts w:eastAsiaTheme="majorEastAsia" w:cs="Angsana New"/>
      <w:i/>
      <w:iCs/>
      <w:color w:val="595959" w:themeColor="text1" w:themeTint="A6"/>
      <w:szCs w:val="30"/>
      <w:lang w:val="en" w:eastAsia="en-US"/>
    </w:rPr>
  </w:style>
  <w:style w:type="character" w:customStyle="1" w:styleId="Heading7Char">
    <w:name w:val="Heading 7 Char"/>
    <w:basedOn w:val="DefaultParagraphFont"/>
    <w:link w:val="Heading7"/>
    <w:uiPriority w:val="9"/>
    <w:semiHidden/>
    <w:rsid w:val="00D03F90"/>
    <w:rPr>
      <w:rFonts w:eastAsiaTheme="majorEastAsia" w:cs="Angsana New"/>
      <w:color w:val="595959" w:themeColor="text1" w:themeTint="A6"/>
      <w:szCs w:val="30"/>
      <w:lang w:val="en" w:eastAsia="en-US"/>
    </w:rPr>
  </w:style>
  <w:style w:type="character" w:customStyle="1" w:styleId="Heading8Char">
    <w:name w:val="Heading 8 Char"/>
    <w:basedOn w:val="DefaultParagraphFont"/>
    <w:link w:val="Heading8"/>
    <w:uiPriority w:val="9"/>
    <w:semiHidden/>
    <w:rsid w:val="00D03F90"/>
    <w:rPr>
      <w:rFonts w:eastAsiaTheme="majorEastAsia" w:cs="Angsana New"/>
      <w:i/>
      <w:iCs/>
      <w:color w:val="272727" w:themeColor="text1" w:themeTint="D8"/>
      <w:szCs w:val="30"/>
      <w:lang w:val="en" w:eastAsia="en-US"/>
    </w:rPr>
  </w:style>
  <w:style w:type="character" w:customStyle="1" w:styleId="Heading9Char">
    <w:name w:val="Heading 9 Char"/>
    <w:basedOn w:val="DefaultParagraphFont"/>
    <w:link w:val="Heading9"/>
    <w:uiPriority w:val="9"/>
    <w:semiHidden/>
    <w:rsid w:val="00D03F90"/>
    <w:rPr>
      <w:rFonts w:eastAsiaTheme="majorEastAsia" w:cs="Angsana New"/>
      <w:color w:val="272727" w:themeColor="text1" w:themeTint="D8"/>
      <w:szCs w:val="30"/>
      <w:lang w:val="en" w:eastAsia="en-US"/>
    </w:rPr>
  </w:style>
  <w:style w:type="paragraph" w:styleId="Title">
    <w:name w:val="Title"/>
    <w:basedOn w:val="Normal"/>
    <w:next w:val="Normal"/>
    <w:link w:val="TitleChar"/>
    <w:autoRedefine/>
    <w:uiPriority w:val="10"/>
    <w:qFormat/>
    <w:rsid w:val="00D03F90"/>
    <w:pPr>
      <w:widowControl w:val="0"/>
      <w:autoSpaceDE w:val="0"/>
      <w:autoSpaceDN w:val="0"/>
      <w:spacing w:after="0" w:line="240" w:lineRule="auto"/>
      <w:ind w:left="0" w:right="0" w:firstLine="0"/>
      <w:contextualSpacing/>
      <w:jc w:val="center"/>
    </w:pPr>
    <w:rPr>
      <w:rFonts w:ascii="Times New Roman" w:eastAsiaTheme="majorEastAsia" w:hAnsi="Times New Roman" w:cstheme="majorBidi"/>
      <w:b/>
      <w:color w:val="auto"/>
      <w:spacing w:val="-10"/>
      <w:kern w:val="28"/>
      <w:sz w:val="28"/>
      <w:szCs w:val="56"/>
      <w:lang w:eastAsia="en-US"/>
    </w:rPr>
  </w:style>
  <w:style w:type="character" w:customStyle="1" w:styleId="TitleChar">
    <w:name w:val="Title Char"/>
    <w:basedOn w:val="DefaultParagraphFont"/>
    <w:link w:val="Title"/>
    <w:uiPriority w:val="10"/>
    <w:rsid w:val="00D03F90"/>
    <w:rPr>
      <w:rFonts w:ascii="Times New Roman" w:eastAsiaTheme="majorEastAsia" w:hAnsi="Times New Roman" w:cstheme="majorBidi"/>
      <w:b/>
      <w:spacing w:val="-10"/>
      <w:kern w:val="28"/>
      <w:sz w:val="28"/>
      <w:szCs w:val="56"/>
      <w:lang w:val="en" w:eastAsia="en-US"/>
    </w:rPr>
  </w:style>
  <w:style w:type="paragraph" w:styleId="NoSpacing">
    <w:name w:val="No Spacing"/>
    <w:next w:val="Normal"/>
    <w:uiPriority w:val="1"/>
    <w:qFormat/>
    <w:rsid w:val="00D03F90"/>
    <w:pPr>
      <w:spacing w:after="0" w:line="240" w:lineRule="auto"/>
      <w:jc w:val="center"/>
    </w:pPr>
    <w:rPr>
      <w:rFonts w:ascii="Times New Roman" w:eastAsiaTheme="minorHAnsi" w:hAnsi="Times New Roman"/>
      <w:b/>
      <w:kern w:val="2"/>
      <w:sz w:val="28"/>
      <w:szCs w:val="30"/>
      <w:lang w:eastAsia="en-US" w:bidi="th-TH"/>
      <w14:ligatures w14:val="standardContextual"/>
    </w:rPr>
  </w:style>
  <w:style w:type="paragraph" w:styleId="Subtitle">
    <w:name w:val="Subtitle"/>
    <w:basedOn w:val="Normal"/>
    <w:next w:val="Normal"/>
    <w:link w:val="SubtitleChar"/>
    <w:uiPriority w:val="11"/>
    <w:qFormat/>
    <w:rsid w:val="00D03F90"/>
    <w:pPr>
      <w:widowControl w:val="0"/>
      <w:numPr>
        <w:ilvl w:val="1"/>
      </w:numPr>
      <w:autoSpaceDE w:val="0"/>
      <w:autoSpaceDN w:val="0"/>
      <w:spacing w:after="160" w:line="240" w:lineRule="auto"/>
      <w:ind w:left="-113" w:right="0" w:firstLine="720"/>
      <w:jc w:val="left"/>
    </w:pPr>
    <w:rPr>
      <w:rFonts w:asciiTheme="minorHAnsi" w:eastAsiaTheme="majorEastAsia" w:hAnsiTheme="minorHAnsi" w:cs="Angsana New"/>
      <w:color w:val="595959" w:themeColor="text1" w:themeTint="A6"/>
      <w:spacing w:val="15"/>
      <w:sz w:val="28"/>
      <w:szCs w:val="35"/>
      <w:lang w:eastAsia="en-US"/>
    </w:rPr>
  </w:style>
  <w:style w:type="character" w:customStyle="1" w:styleId="SubtitleChar">
    <w:name w:val="Subtitle Char"/>
    <w:basedOn w:val="DefaultParagraphFont"/>
    <w:link w:val="Subtitle"/>
    <w:uiPriority w:val="11"/>
    <w:rsid w:val="00D03F90"/>
    <w:rPr>
      <w:rFonts w:eastAsiaTheme="majorEastAsia" w:cs="Angsana New"/>
      <w:color w:val="595959" w:themeColor="text1" w:themeTint="A6"/>
      <w:spacing w:val="15"/>
      <w:sz w:val="28"/>
      <w:szCs w:val="35"/>
      <w:lang w:val="en" w:eastAsia="en-US"/>
    </w:rPr>
  </w:style>
  <w:style w:type="paragraph" w:styleId="Quote">
    <w:name w:val="Quote"/>
    <w:basedOn w:val="Normal"/>
    <w:next w:val="Normal"/>
    <w:link w:val="QuoteChar"/>
    <w:uiPriority w:val="29"/>
    <w:qFormat/>
    <w:rsid w:val="00D03F90"/>
    <w:pPr>
      <w:widowControl w:val="0"/>
      <w:autoSpaceDE w:val="0"/>
      <w:autoSpaceDN w:val="0"/>
      <w:spacing w:before="160" w:after="160" w:line="240" w:lineRule="auto"/>
      <w:ind w:left="0" w:right="0" w:firstLine="0"/>
      <w:jc w:val="center"/>
    </w:pPr>
    <w:rPr>
      <w:rFonts w:ascii="Times New Roman" w:eastAsia="Times New Roman" w:hAnsi="Times New Roman" w:cs="Angsana New"/>
      <w:i/>
      <w:iCs/>
      <w:color w:val="404040" w:themeColor="text1" w:themeTint="BF"/>
      <w:sz w:val="22"/>
      <w:szCs w:val="30"/>
      <w:lang w:eastAsia="en-US"/>
    </w:rPr>
  </w:style>
  <w:style w:type="character" w:customStyle="1" w:styleId="QuoteChar">
    <w:name w:val="Quote Char"/>
    <w:basedOn w:val="DefaultParagraphFont"/>
    <w:link w:val="Quote"/>
    <w:uiPriority w:val="29"/>
    <w:rsid w:val="00D03F90"/>
    <w:rPr>
      <w:rFonts w:ascii="Times New Roman" w:eastAsia="Times New Roman" w:hAnsi="Times New Roman" w:cs="Angsana New"/>
      <w:i/>
      <w:iCs/>
      <w:color w:val="404040" w:themeColor="text1" w:themeTint="BF"/>
      <w:szCs w:val="30"/>
      <w:lang w:val="en" w:eastAsia="en-US"/>
    </w:rPr>
  </w:style>
  <w:style w:type="paragraph" w:styleId="ListParagraph">
    <w:name w:val="List Paragraph"/>
    <w:aliases w:val="spasi 2 taiiii,Colorful List - Accent 11,Body Text Char1,Char Char2,List Paragraph2,List Paragraph1,Body of text"/>
    <w:basedOn w:val="Normal"/>
    <w:link w:val="ListParagraphChar"/>
    <w:uiPriority w:val="34"/>
    <w:qFormat/>
    <w:rsid w:val="00D03F90"/>
    <w:pPr>
      <w:widowControl w:val="0"/>
      <w:autoSpaceDE w:val="0"/>
      <w:autoSpaceDN w:val="0"/>
      <w:spacing w:after="0" w:line="240" w:lineRule="auto"/>
      <w:ind w:left="720" w:right="0" w:firstLine="0"/>
      <w:contextualSpacing/>
      <w:jc w:val="left"/>
    </w:pPr>
    <w:rPr>
      <w:rFonts w:ascii="Times New Roman" w:eastAsia="Times New Roman" w:hAnsi="Times New Roman" w:cs="Angsana New"/>
      <w:color w:val="auto"/>
      <w:sz w:val="22"/>
      <w:szCs w:val="30"/>
      <w:lang w:eastAsia="en-US"/>
    </w:rPr>
  </w:style>
  <w:style w:type="character" w:styleId="IntenseEmphasis">
    <w:name w:val="Intense Emphasis"/>
    <w:basedOn w:val="DefaultParagraphFont"/>
    <w:uiPriority w:val="21"/>
    <w:qFormat/>
    <w:rsid w:val="00D03F90"/>
    <w:rPr>
      <w:i/>
      <w:iCs/>
      <w:color w:val="2F5496" w:themeColor="accent1" w:themeShade="BF"/>
    </w:rPr>
  </w:style>
  <w:style w:type="paragraph" w:styleId="IntenseQuote">
    <w:name w:val="Intense Quote"/>
    <w:basedOn w:val="Normal"/>
    <w:next w:val="Normal"/>
    <w:link w:val="IntenseQuoteChar"/>
    <w:uiPriority w:val="30"/>
    <w:qFormat/>
    <w:rsid w:val="00D03F90"/>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firstLine="0"/>
      <w:jc w:val="center"/>
    </w:pPr>
    <w:rPr>
      <w:rFonts w:ascii="Times New Roman" w:eastAsia="Times New Roman" w:hAnsi="Times New Roman" w:cs="Angsana New"/>
      <w:i/>
      <w:iCs/>
      <w:color w:val="2F5496" w:themeColor="accent1" w:themeShade="BF"/>
      <w:sz w:val="22"/>
      <w:szCs w:val="30"/>
      <w:lang w:eastAsia="en-US"/>
    </w:rPr>
  </w:style>
  <w:style w:type="character" w:customStyle="1" w:styleId="IntenseQuoteChar">
    <w:name w:val="Intense Quote Char"/>
    <w:basedOn w:val="DefaultParagraphFont"/>
    <w:link w:val="IntenseQuote"/>
    <w:uiPriority w:val="30"/>
    <w:rsid w:val="00D03F90"/>
    <w:rPr>
      <w:rFonts w:ascii="Times New Roman" w:eastAsia="Times New Roman" w:hAnsi="Times New Roman" w:cs="Angsana New"/>
      <w:i/>
      <w:iCs/>
      <w:color w:val="2F5496" w:themeColor="accent1" w:themeShade="BF"/>
      <w:szCs w:val="30"/>
      <w:lang w:val="en" w:eastAsia="en-US"/>
    </w:rPr>
  </w:style>
  <w:style w:type="character" w:styleId="IntenseReference">
    <w:name w:val="Intense Reference"/>
    <w:basedOn w:val="DefaultParagraphFont"/>
    <w:uiPriority w:val="32"/>
    <w:qFormat/>
    <w:rsid w:val="00D03F90"/>
    <w:rPr>
      <w:b/>
      <w:bCs/>
      <w:smallCaps/>
      <w:color w:val="2F5496" w:themeColor="accent1" w:themeShade="BF"/>
      <w:spacing w:val="5"/>
    </w:rPr>
  </w:style>
  <w:style w:type="character" w:styleId="Hyperlink">
    <w:name w:val="Hyperlink"/>
    <w:basedOn w:val="DefaultParagraphFont"/>
    <w:uiPriority w:val="99"/>
    <w:unhideWhenUsed/>
    <w:rsid w:val="00D03F90"/>
    <w:rPr>
      <w:color w:val="0563C1" w:themeColor="hyperlink"/>
      <w:u w:val="single"/>
    </w:rPr>
  </w:style>
  <w:style w:type="table" w:customStyle="1" w:styleId="TableNormal1">
    <w:name w:val="Table Normal1"/>
    <w:uiPriority w:val="2"/>
    <w:semiHidden/>
    <w:unhideWhenUsed/>
    <w:qFormat/>
    <w:rsid w:val="00D03F90"/>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3F90"/>
    <w:pPr>
      <w:widowControl w:val="0"/>
      <w:autoSpaceDE w:val="0"/>
      <w:autoSpaceDN w:val="0"/>
      <w:spacing w:after="0" w:line="210" w:lineRule="exact"/>
      <w:ind w:left="0" w:right="0" w:firstLine="0"/>
      <w:jc w:val="left"/>
    </w:pPr>
    <w:rPr>
      <w:rFonts w:ascii="Times New Roman" w:eastAsia="Times New Roman" w:hAnsi="Times New Roman" w:cs="Times New Roman"/>
      <w:color w:val="auto"/>
      <w:sz w:val="22"/>
      <w:lang w:eastAsia="en-US"/>
    </w:rPr>
  </w:style>
  <w:style w:type="character" w:styleId="UnresolvedMention">
    <w:name w:val="Unresolved Mention"/>
    <w:basedOn w:val="DefaultParagraphFont"/>
    <w:uiPriority w:val="99"/>
    <w:semiHidden/>
    <w:unhideWhenUsed/>
    <w:rsid w:val="00D03F90"/>
    <w:rPr>
      <w:color w:val="605E5C"/>
      <w:shd w:val="clear" w:color="auto" w:fill="E1DFDD"/>
    </w:rPr>
  </w:style>
  <w:style w:type="paragraph" w:styleId="NormalWeb">
    <w:name w:val="Normal (Web)"/>
    <w:basedOn w:val="Normal"/>
    <w:uiPriority w:val="99"/>
    <w:semiHidden/>
    <w:unhideWhenUsed/>
    <w:rsid w:val="00D03F90"/>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D03F90"/>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HeaderChar">
    <w:name w:val="Header Char"/>
    <w:basedOn w:val="DefaultParagraphFont"/>
    <w:link w:val="Header"/>
    <w:uiPriority w:val="99"/>
    <w:rsid w:val="00D03F90"/>
    <w:rPr>
      <w:rFonts w:ascii="Times New Roman" w:eastAsia="Times New Roman" w:hAnsi="Times New Roman" w:cs="Times New Roman"/>
      <w:lang w:val="en" w:eastAsia="en-US"/>
    </w:rPr>
  </w:style>
  <w:style w:type="paragraph" w:styleId="Footer">
    <w:name w:val="footer"/>
    <w:basedOn w:val="Normal"/>
    <w:link w:val="FooterChar"/>
    <w:uiPriority w:val="99"/>
    <w:unhideWhenUsed/>
    <w:rsid w:val="00D03F90"/>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FooterChar">
    <w:name w:val="Footer Char"/>
    <w:basedOn w:val="DefaultParagraphFont"/>
    <w:link w:val="Footer"/>
    <w:uiPriority w:val="99"/>
    <w:rsid w:val="00D03F90"/>
    <w:rPr>
      <w:rFonts w:ascii="Times New Roman" w:eastAsia="Times New Roman" w:hAnsi="Times New Roman" w:cs="Times New Roman"/>
      <w:lang w:val="en" w:eastAsia="en-US"/>
    </w:rPr>
  </w:style>
  <w:style w:type="paragraph" w:customStyle="1" w:styleId="Style3">
    <w:name w:val="Style3"/>
    <w:basedOn w:val="Normal"/>
    <w:link w:val="Style3Char"/>
    <w:qFormat/>
    <w:rsid w:val="00937C3D"/>
    <w:pPr>
      <w:pBdr>
        <w:top w:val="single" w:sz="4" w:space="0" w:color="000000"/>
        <w:left w:val="single" w:sz="4" w:space="0" w:color="000000"/>
        <w:bottom w:val="single" w:sz="4" w:space="0" w:color="000000"/>
        <w:right w:val="single" w:sz="4" w:space="0" w:color="000000"/>
      </w:pBdr>
      <w:spacing w:after="4"/>
      <w:ind w:left="96" w:right="196"/>
    </w:pPr>
  </w:style>
  <w:style w:type="character" w:customStyle="1" w:styleId="Style3Char">
    <w:name w:val="Style3 Char"/>
    <w:basedOn w:val="DefaultParagraphFont"/>
    <w:link w:val="Style3"/>
    <w:rsid w:val="00937C3D"/>
    <w:rPr>
      <w:rFonts w:ascii="Arial" w:eastAsia="Arial" w:hAnsi="Arial" w:cs="Arial"/>
      <w:color w:val="000000"/>
      <w:sz w:val="20"/>
    </w:rPr>
  </w:style>
  <w:style w:type="character" w:customStyle="1" w:styleId="ListParagraphChar">
    <w:name w:val="List Paragraph Char"/>
    <w:aliases w:val="spasi 2 taiiii Char,Colorful List - Accent 11 Char,Body Text Char1 Char,Char Char2 Char,List Paragraph2 Char,List Paragraph1 Char,Body of text Char"/>
    <w:link w:val="ListParagraph"/>
    <w:uiPriority w:val="34"/>
    <w:qFormat/>
    <w:locked/>
    <w:rsid w:val="009A10D0"/>
    <w:rPr>
      <w:rFonts w:ascii="Times New Roman" w:eastAsia="Times New Roman" w:hAnsi="Times New Roman" w:cs="Angsana New"/>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2396">
      <w:bodyDiv w:val="1"/>
      <w:marLeft w:val="0"/>
      <w:marRight w:val="0"/>
      <w:marTop w:val="0"/>
      <w:marBottom w:val="0"/>
      <w:divBdr>
        <w:top w:val="none" w:sz="0" w:space="0" w:color="auto"/>
        <w:left w:val="none" w:sz="0" w:space="0" w:color="auto"/>
        <w:bottom w:val="none" w:sz="0" w:space="0" w:color="auto"/>
        <w:right w:val="none" w:sz="0" w:space="0" w:color="auto"/>
      </w:divBdr>
    </w:div>
    <w:div w:id="407381640">
      <w:bodyDiv w:val="1"/>
      <w:marLeft w:val="0"/>
      <w:marRight w:val="0"/>
      <w:marTop w:val="0"/>
      <w:marBottom w:val="0"/>
      <w:divBdr>
        <w:top w:val="none" w:sz="0" w:space="0" w:color="auto"/>
        <w:left w:val="none" w:sz="0" w:space="0" w:color="auto"/>
        <w:bottom w:val="none" w:sz="0" w:space="0" w:color="auto"/>
        <w:right w:val="none" w:sz="0" w:space="0" w:color="auto"/>
      </w:divBdr>
    </w:div>
    <w:div w:id="786701730">
      <w:bodyDiv w:val="1"/>
      <w:marLeft w:val="0"/>
      <w:marRight w:val="0"/>
      <w:marTop w:val="0"/>
      <w:marBottom w:val="0"/>
      <w:divBdr>
        <w:top w:val="none" w:sz="0" w:space="0" w:color="auto"/>
        <w:left w:val="none" w:sz="0" w:space="0" w:color="auto"/>
        <w:bottom w:val="none" w:sz="0" w:space="0" w:color="auto"/>
        <w:right w:val="none" w:sz="0" w:space="0" w:color="auto"/>
      </w:divBdr>
    </w:div>
    <w:div w:id="926839518">
      <w:bodyDiv w:val="1"/>
      <w:marLeft w:val="0"/>
      <w:marRight w:val="0"/>
      <w:marTop w:val="0"/>
      <w:marBottom w:val="0"/>
      <w:divBdr>
        <w:top w:val="none" w:sz="0" w:space="0" w:color="auto"/>
        <w:left w:val="none" w:sz="0" w:space="0" w:color="auto"/>
        <w:bottom w:val="none" w:sz="0" w:space="0" w:color="auto"/>
        <w:right w:val="none" w:sz="0" w:space="0" w:color="auto"/>
      </w:divBdr>
    </w:div>
    <w:div w:id="1306280805">
      <w:bodyDiv w:val="1"/>
      <w:marLeft w:val="0"/>
      <w:marRight w:val="0"/>
      <w:marTop w:val="0"/>
      <w:marBottom w:val="0"/>
      <w:divBdr>
        <w:top w:val="none" w:sz="0" w:space="0" w:color="auto"/>
        <w:left w:val="none" w:sz="0" w:space="0" w:color="auto"/>
        <w:bottom w:val="none" w:sz="0" w:space="0" w:color="auto"/>
        <w:right w:val="none" w:sz="0" w:space="0" w:color="auto"/>
      </w:divBdr>
    </w:div>
    <w:div w:id="1366979562">
      <w:bodyDiv w:val="1"/>
      <w:marLeft w:val="0"/>
      <w:marRight w:val="0"/>
      <w:marTop w:val="0"/>
      <w:marBottom w:val="0"/>
      <w:divBdr>
        <w:top w:val="none" w:sz="0" w:space="0" w:color="auto"/>
        <w:left w:val="none" w:sz="0" w:space="0" w:color="auto"/>
        <w:bottom w:val="none" w:sz="0" w:space="0" w:color="auto"/>
        <w:right w:val="none" w:sz="0" w:space="0" w:color="auto"/>
      </w:divBdr>
    </w:div>
    <w:div w:id="1675648597">
      <w:bodyDiv w:val="1"/>
      <w:marLeft w:val="0"/>
      <w:marRight w:val="0"/>
      <w:marTop w:val="0"/>
      <w:marBottom w:val="0"/>
      <w:divBdr>
        <w:top w:val="none" w:sz="0" w:space="0" w:color="auto"/>
        <w:left w:val="none" w:sz="0" w:space="0" w:color="auto"/>
        <w:bottom w:val="none" w:sz="0" w:space="0" w:color="auto"/>
        <w:right w:val="none" w:sz="0" w:space="0" w:color="auto"/>
      </w:divBdr>
    </w:div>
    <w:div w:id="1682928501">
      <w:bodyDiv w:val="1"/>
      <w:marLeft w:val="0"/>
      <w:marRight w:val="0"/>
      <w:marTop w:val="0"/>
      <w:marBottom w:val="0"/>
      <w:divBdr>
        <w:top w:val="none" w:sz="0" w:space="0" w:color="auto"/>
        <w:left w:val="none" w:sz="0" w:space="0" w:color="auto"/>
        <w:bottom w:val="none" w:sz="0" w:space="0" w:color="auto"/>
        <w:right w:val="none" w:sz="0" w:space="0" w:color="auto"/>
      </w:divBdr>
    </w:div>
    <w:div w:id="1688404572">
      <w:bodyDiv w:val="1"/>
      <w:marLeft w:val="0"/>
      <w:marRight w:val="0"/>
      <w:marTop w:val="0"/>
      <w:marBottom w:val="0"/>
      <w:divBdr>
        <w:top w:val="none" w:sz="0" w:space="0" w:color="auto"/>
        <w:left w:val="none" w:sz="0" w:space="0" w:color="auto"/>
        <w:bottom w:val="none" w:sz="0" w:space="0" w:color="auto"/>
        <w:right w:val="none" w:sz="0" w:space="0" w:color="auto"/>
      </w:divBdr>
    </w:div>
    <w:div w:id="1746565904">
      <w:bodyDiv w:val="1"/>
      <w:marLeft w:val="0"/>
      <w:marRight w:val="0"/>
      <w:marTop w:val="0"/>
      <w:marBottom w:val="0"/>
      <w:divBdr>
        <w:top w:val="none" w:sz="0" w:space="0" w:color="auto"/>
        <w:left w:val="none" w:sz="0" w:space="0" w:color="auto"/>
        <w:bottom w:val="none" w:sz="0" w:space="0" w:color="auto"/>
        <w:right w:val="none" w:sz="0" w:space="0" w:color="auto"/>
      </w:divBdr>
    </w:div>
    <w:div w:id="1848136478">
      <w:bodyDiv w:val="1"/>
      <w:marLeft w:val="0"/>
      <w:marRight w:val="0"/>
      <w:marTop w:val="0"/>
      <w:marBottom w:val="0"/>
      <w:divBdr>
        <w:top w:val="none" w:sz="0" w:space="0" w:color="auto"/>
        <w:left w:val="none" w:sz="0" w:space="0" w:color="auto"/>
        <w:bottom w:val="none" w:sz="0" w:space="0" w:color="auto"/>
        <w:right w:val="none" w:sz="0" w:space="0" w:color="auto"/>
      </w:divBdr>
    </w:div>
    <w:div w:id="205265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ccounting.binus.ac.id/2023/10/19/"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barprov.go.id" TargetMode="External"/><Relationship Id="rId2" Type="http://schemas.openxmlformats.org/officeDocument/2006/relationships/numbering" Target="numbering.xml"/><Relationship Id="rId16" Type="http://schemas.openxmlformats.org/officeDocument/2006/relationships/hyperlink" Target="https://jbarprov.go.id"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barprov.go.id"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accounting.binus.ac.id/2023/10/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barprov.go.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3DF78-D363-42B0-9F04-629E0FE4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Pages>
  <Words>4085</Words>
  <Characters>23287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SDI 1084</cp:lastModifiedBy>
  <cp:revision>10</cp:revision>
  <dcterms:created xsi:type="dcterms:W3CDTF">2026-03-04T02:10:00Z</dcterms:created>
  <dcterms:modified xsi:type="dcterms:W3CDTF">2026-03-06T10:00:00Z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1ad9e832-b648-337d-9e7d-316e1efc0e70</vt:lpwstr>
  </property>
  <property fmtid="{D5CDD505-2E9C-101B-9397-08002B2CF9AE}" pid="4" name="Mendeley Citation Style_1">
    <vt:lpwstr>http://www.zotero.org/styles/apa</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http://www.zotero.org/styles/sage-vancouver</vt:lpwstr>
  </property>
  <property fmtid="{D5CDD505-2E9C-101B-9397-08002B2CF9AE}" pid="18" name="Mendeley Recent Style Name 6_1">
    <vt:lpwstr>SAGE - Vancouver</vt:lpwstr>
  </property>
  <property fmtid="{D5CDD505-2E9C-101B-9397-08002B2CF9AE}" pid="19" name="Mendeley Recent Style Id 7_1">
    <vt:lpwstr>http://www.zotero.org/styles/harvard-the-university-of-melbourne</vt:lpwstr>
  </property>
  <property fmtid="{D5CDD505-2E9C-101B-9397-08002B2CF9AE}" pid="20" name="Mendeley Recent Style Name 7_1">
    <vt:lpwstr>The University of Melbourne - Harvard</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