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E8FC8" w14:textId="0CC68A5D" w:rsidR="00F81381" w:rsidRDefault="0028605E" w:rsidP="00171646">
      <w:pPr>
        <w:jc w:val="center"/>
        <w:rPr>
          <w:rFonts w:ascii="Times New Roman" w:hAnsi="Times New Roman" w:cs="Times New Roman"/>
          <w:b/>
          <w:bCs/>
        </w:rPr>
      </w:pPr>
      <w:r w:rsidRPr="00BD5E44">
        <w:rPr>
          <w:rFonts w:ascii="Times New Roman" w:hAnsi="Times New Roman" w:cs="Times New Roman"/>
          <w:b/>
          <w:bCs/>
        </w:rPr>
        <w:t>Electronic Payment Systems and Non-Oil Tax Revenue Performance in Nigeria: A Fiscal Capacity Perspective</w:t>
      </w:r>
    </w:p>
    <w:p w14:paraId="68171145" w14:textId="77777777" w:rsidR="006A1704" w:rsidRDefault="006A1704" w:rsidP="00171646">
      <w:pPr>
        <w:jc w:val="center"/>
        <w:rPr>
          <w:rFonts w:ascii="Times New Roman" w:hAnsi="Times New Roman" w:cs="Times New Roman"/>
          <w:b/>
          <w:bCs/>
        </w:rPr>
      </w:pPr>
    </w:p>
    <w:p w14:paraId="1BACC2AF" w14:textId="77777777" w:rsidR="00DD6F3B" w:rsidRPr="00BD5E44" w:rsidRDefault="00DD6F3B" w:rsidP="008E20F2">
      <w:pPr>
        <w:jc w:val="center"/>
        <w:rPr>
          <w:rFonts w:ascii="Times New Roman" w:hAnsi="Times New Roman" w:cs="Times New Roman"/>
          <w:b/>
          <w:bCs/>
        </w:rPr>
      </w:pPr>
      <w:bookmarkStart w:id="0" w:name="_GoBack"/>
      <w:bookmarkEnd w:id="0"/>
    </w:p>
    <w:p w14:paraId="1011570B" w14:textId="77777777" w:rsidR="00171646" w:rsidRPr="00171646" w:rsidRDefault="00171646" w:rsidP="00171646">
      <w:pPr>
        <w:jc w:val="both"/>
        <w:rPr>
          <w:rFonts w:ascii="Times New Roman" w:hAnsi="Times New Roman" w:cs="Times New Roman"/>
          <w:b/>
          <w:bCs/>
        </w:rPr>
      </w:pPr>
      <w:r w:rsidRPr="00171646">
        <w:rPr>
          <w:rFonts w:ascii="Times New Roman" w:hAnsi="Times New Roman" w:cs="Times New Roman"/>
          <w:b/>
          <w:bCs/>
        </w:rPr>
        <w:t>Abstract</w:t>
      </w:r>
    </w:p>
    <w:p w14:paraId="0444EF15" w14:textId="77777777" w:rsidR="00171646" w:rsidRPr="00171646" w:rsidRDefault="00171646" w:rsidP="00171646">
      <w:pPr>
        <w:jc w:val="both"/>
        <w:rPr>
          <w:rFonts w:ascii="Times New Roman" w:hAnsi="Times New Roman" w:cs="Times New Roman"/>
        </w:rPr>
      </w:pPr>
      <w:r w:rsidRPr="00171646">
        <w:rPr>
          <w:rFonts w:ascii="Times New Roman" w:hAnsi="Times New Roman" w:cs="Times New Roman"/>
        </w:rPr>
        <w:t>This study examines the impact of electronic payment systems on non-oil tax revenue performance in Nigeria, adopting a fiscal capacity perspective. Using quarterly data from the Federal Inland Revenue Service (FIRS) covering the period from 2011 to 2022, the research employs descriptive statistics, trend analysis, paired sample t-tests, correlation analysis, and ordinary least squares (OLS) regression to evaluate the effect of e-payment adoption on non-oil revenue, company income tax, and value added tax. The results reveal a substantial and statistically significant increase in non-oil tax revenue following the implementation of electronic payment systems, with the mean non-oil revenue rising from ₦452.89 billion in the pre-e-payment era to ₦841.60 billion in the post-e-payment era. The paired sample t-test confirms that this increase is highly significant (p &lt; 0.001), while the regression analysis demonstrates that e-payment adoption, company income tax, and value added tax are all significant positive determinants of non-oil revenue. These findings are consistent with the fiscal capacity framework and support the argument that digital tax reforms enhance revenue mobilization, compliance, and administrative efficiency. The study also addresses gaps in the literature by providing national-level evidence of the effectiveness of electronic payment systems in improving non-oil tax revenue performance in Nigeria. Based on these findings, the study recommends sustained investment in digital tax infrastructure, targeted taxpayer education, and inter-agency collaboration to optimize the benefits of electronic payment systems and strengthen Nigeria’s fiscal sustainability and economic resilience.</w:t>
      </w:r>
    </w:p>
    <w:p w14:paraId="6394A0F0" w14:textId="77777777" w:rsidR="00171646" w:rsidRPr="00171646" w:rsidRDefault="00171646" w:rsidP="00171646">
      <w:pPr>
        <w:jc w:val="both"/>
        <w:rPr>
          <w:rFonts w:ascii="Times New Roman" w:hAnsi="Times New Roman" w:cs="Times New Roman"/>
          <w:b/>
          <w:bCs/>
        </w:rPr>
      </w:pPr>
      <w:r w:rsidRPr="00171646">
        <w:rPr>
          <w:rFonts w:ascii="Times New Roman" w:hAnsi="Times New Roman" w:cs="Times New Roman"/>
          <w:b/>
          <w:bCs/>
        </w:rPr>
        <w:t>Keywords: </w:t>
      </w:r>
      <w:r w:rsidRPr="00171646">
        <w:rPr>
          <w:rFonts w:ascii="Times New Roman" w:hAnsi="Times New Roman" w:cs="Times New Roman"/>
        </w:rPr>
        <w:t>electronic payment systems, non-oil tax revenue, fiscal capacity, Nigeria, tax administration, digital reforms</w:t>
      </w:r>
    </w:p>
    <w:p w14:paraId="49F049D7" w14:textId="147084AC" w:rsidR="0028605E" w:rsidRPr="0028605E" w:rsidRDefault="008E20F2" w:rsidP="00171646">
      <w:pPr>
        <w:jc w:val="both"/>
        <w:rPr>
          <w:rFonts w:ascii="Times New Roman" w:hAnsi="Times New Roman" w:cs="Times New Roman"/>
          <w:b/>
          <w:bCs/>
        </w:rPr>
      </w:pPr>
      <w:r>
        <w:rPr>
          <w:rFonts w:ascii="Times New Roman" w:hAnsi="Times New Roman" w:cs="Times New Roman"/>
          <w:b/>
          <w:bCs/>
        </w:rPr>
        <w:t xml:space="preserve">1 </w:t>
      </w:r>
      <w:r w:rsidR="0028605E" w:rsidRPr="0028605E">
        <w:rPr>
          <w:rFonts w:ascii="Times New Roman" w:hAnsi="Times New Roman" w:cs="Times New Roman"/>
          <w:b/>
          <w:bCs/>
        </w:rPr>
        <w:t>Introduction</w:t>
      </w:r>
    </w:p>
    <w:p w14:paraId="224D9EF7" w14:textId="77777777" w:rsidR="0028605E" w:rsidRPr="0028605E" w:rsidRDefault="0028605E" w:rsidP="00171646">
      <w:pPr>
        <w:jc w:val="both"/>
        <w:rPr>
          <w:rFonts w:ascii="Times New Roman" w:hAnsi="Times New Roman" w:cs="Times New Roman"/>
        </w:rPr>
      </w:pPr>
      <w:r w:rsidRPr="0028605E">
        <w:rPr>
          <w:rFonts w:ascii="Times New Roman" w:hAnsi="Times New Roman" w:cs="Times New Roman"/>
        </w:rPr>
        <w:t xml:space="preserve">The volatility of global oil prices and the persistent fiscal deficits in Nigeria have underscored the urgent need for a robust and diversified revenue base. Historically, Nigeria’s fiscal structure has been heavily dependent on oil revenues, rendering the economy vulnerable to external shocks and undermining sustainable development efforts (Bamidele, </w:t>
      </w:r>
      <w:proofErr w:type="spellStart"/>
      <w:r w:rsidRPr="0028605E">
        <w:rPr>
          <w:rFonts w:ascii="Times New Roman" w:hAnsi="Times New Roman" w:cs="Times New Roman"/>
        </w:rPr>
        <w:t>Fajana</w:t>
      </w:r>
      <w:proofErr w:type="spellEnd"/>
      <w:r w:rsidRPr="0028605E">
        <w:rPr>
          <w:rFonts w:ascii="Times New Roman" w:hAnsi="Times New Roman" w:cs="Times New Roman"/>
        </w:rPr>
        <w:t xml:space="preserve"> &amp; </w:t>
      </w:r>
      <w:proofErr w:type="spellStart"/>
      <w:r w:rsidRPr="0028605E">
        <w:rPr>
          <w:rFonts w:ascii="Times New Roman" w:hAnsi="Times New Roman" w:cs="Times New Roman"/>
        </w:rPr>
        <w:t>Ogundipe</w:t>
      </w:r>
      <w:proofErr w:type="spellEnd"/>
      <w:r w:rsidRPr="0028605E">
        <w:rPr>
          <w:rFonts w:ascii="Times New Roman" w:hAnsi="Times New Roman" w:cs="Times New Roman"/>
        </w:rPr>
        <w:t xml:space="preserve">, 2025). In response, policymakers have increasingly prioritized the mobilization of non-oil tax revenue as a pathway to fiscal sustainability and economic resilience (Abiola &amp; </w:t>
      </w:r>
      <w:proofErr w:type="spellStart"/>
      <w:r w:rsidRPr="0028605E">
        <w:rPr>
          <w:rFonts w:ascii="Times New Roman" w:hAnsi="Times New Roman" w:cs="Times New Roman"/>
        </w:rPr>
        <w:t>Ehigiamusoe</w:t>
      </w:r>
      <w:proofErr w:type="spellEnd"/>
      <w:r w:rsidRPr="0028605E">
        <w:rPr>
          <w:rFonts w:ascii="Times New Roman" w:hAnsi="Times New Roman" w:cs="Times New Roman"/>
        </w:rPr>
        <w:t xml:space="preserve">, 2014; </w:t>
      </w:r>
      <w:proofErr w:type="spellStart"/>
      <w:r w:rsidRPr="0028605E">
        <w:rPr>
          <w:rFonts w:ascii="Times New Roman" w:hAnsi="Times New Roman" w:cs="Times New Roman"/>
        </w:rPr>
        <w:t>Afuberoh</w:t>
      </w:r>
      <w:proofErr w:type="spellEnd"/>
      <w:r w:rsidRPr="0028605E">
        <w:rPr>
          <w:rFonts w:ascii="Times New Roman" w:hAnsi="Times New Roman" w:cs="Times New Roman"/>
        </w:rPr>
        <w:t xml:space="preserve"> &amp; Okoye, 2014).</w:t>
      </w:r>
    </w:p>
    <w:p w14:paraId="16D825C0" w14:textId="44EA8C00" w:rsidR="0028605E" w:rsidRPr="0028605E" w:rsidRDefault="0028605E" w:rsidP="00171646">
      <w:pPr>
        <w:jc w:val="both"/>
        <w:rPr>
          <w:rFonts w:ascii="Times New Roman" w:hAnsi="Times New Roman" w:cs="Times New Roman"/>
        </w:rPr>
      </w:pPr>
      <w:r w:rsidRPr="0028605E">
        <w:rPr>
          <w:rFonts w:ascii="Times New Roman" w:hAnsi="Times New Roman" w:cs="Times New Roman"/>
        </w:rPr>
        <w:t xml:space="preserve">Despite various reforms, the performance of non-oil tax revenue in Nigeria has remained suboptimal, constrained by administrative inefficiencies, low taxpayer compliance, and pervasive leakages (Adeniyi &amp; </w:t>
      </w:r>
      <w:proofErr w:type="spellStart"/>
      <w:r w:rsidRPr="0028605E">
        <w:rPr>
          <w:rFonts w:ascii="Times New Roman" w:hAnsi="Times New Roman" w:cs="Times New Roman"/>
        </w:rPr>
        <w:t>Adesunloro</w:t>
      </w:r>
      <w:proofErr w:type="spellEnd"/>
      <w:r w:rsidRPr="0028605E">
        <w:rPr>
          <w:rFonts w:ascii="Times New Roman" w:hAnsi="Times New Roman" w:cs="Times New Roman"/>
        </w:rPr>
        <w:t xml:space="preserve">, 2017; </w:t>
      </w:r>
      <w:proofErr w:type="spellStart"/>
      <w:r w:rsidRPr="0028605E">
        <w:rPr>
          <w:rFonts w:ascii="Times New Roman" w:hAnsi="Times New Roman" w:cs="Times New Roman"/>
        </w:rPr>
        <w:t>Akpu</w:t>
      </w:r>
      <w:proofErr w:type="spellEnd"/>
      <w:r w:rsidRPr="0028605E">
        <w:rPr>
          <w:rFonts w:ascii="Times New Roman" w:hAnsi="Times New Roman" w:cs="Times New Roman"/>
        </w:rPr>
        <w:t xml:space="preserve"> &amp; Ohaka, 2017). The introduction of electronic </w:t>
      </w:r>
      <w:r w:rsidRPr="0028605E">
        <w:rPr>
          <w:rFonts w:ascii="Times New Roman" w:hAnsi="Times New Roman" w:cs="Times New Roman"/>
        </w:rPr>
        <w:lastRenderedPageBreak/>
        <w:t>payment systems (e-payments) in tax administration has been championed as a transformative strategy to address these challenges. E-payment systems</w:t>
      </w:r>
      <w:r w:rsidR="00171646">
        <w:rPr>
          <w:rFonts w:ascii="Times New Roman" w:hAnsi="Times New Roman" w:cs="Times New Roman"/>
        </w:rPr>
        <w:t xml:space="preserve"> </w:t>
      </w:r>
      <w:r w:rsidRPr="0028605E">
        <w:rPr>
          <w:rFonts w:ascii="Times New Roman" w:hAnsi="Times New Roman" w:cs="Times New Roman"/>
        </w:rPr>
        <w:t>including e-filing, online payment platforms, and digital receipts</w:t>
      </w:r>
      <w:r w:rsidR="00171646">
        <w:rPr>
          <w:rFonts w:ascii="Times New Roman" w:hAnsi="Times New Roman" w:cs="Times New Roman"/>
        </w:rPr>
        <w:t xml:space="preserve"> </w:t>
      </w:r>
      <w:r w:rsidRPr="0028605E">
        <w:rPr>
          <w:rFonts w:ascii="Times New Roman" w:hAnsi="Times New Roman" w:cs="Times New Roman"/>
        </w:rPr>
        <w:t>are designed to streamline tax processes, enhance transparency, and improve compliance (</w:t>
      </w:r>
      <w:proofErr w:type="spellStart"/>
      <w:r w:rsidRPr="0028605E">
        <w:rPr>
          <w:rFonts w:ascii="Times New Roman" w:hAnsi="Times New Roman" w:cs="Times New Roman"/>
        </w:rPr>
        <w:t>Adegbite</w:t>
      </w:r>
      <w:proofErr w:type="spellEnd"/>
      <w:r w:rsidRPr="0028605E">
        <w:rPr>
          <w:rFonts w:ascii="Times New Roman" w:hAnsi="Times New Roman" w:cs="Times New Roman"/>
        </w:rPr>
        <w:t xml:space="preserve"> &amp; </w:t>
      </w:r>
      <w:proofErr w:type="spellStart"/>
      <w:r w:rsidRPr="0028605E">
        <w:rPr>
          <w:rFonts w:ascii="Times New Roman" w:hAnsi="Times New Roman" w:cs="Times New Roman"/>
        </w:rPr>
        <w:t>Fasina</w:t>
      </w:r>
      <w:proofErr w:type="spellEnd"/>
      <w:r w:rsidRPr="0028605E">
        <w:rPr>
          <w:rFonts w:ascii="Times New Roman" w:hAnsi="Times New Roman" w:cs="Times New Roman"/>
        </w:rPr>
        <w:t xml:space="preserve">, 2019; </w:t>
      </w:r>
      <w:proofErr w:type="spellStart"/>
      <w:r w:rsidRPr="0028605E">
        <w:rPr>
          <w:rFonts w:ascii="Times New Roman" w:hAnsi="Times New Roman" w:cs="Times New Roman"/>
        </w:rPr>
        <w:t>Abuh</w:t>
      </w:r>
      <w:proofErr w:type="spellEnd"/>
      <w:r w:rsidRPr="0028605E">
        <w:rPr>
          <w:rFonts w:ascii="Times New Roman" w:hAnsi="Times New Roman" w:cs="Times New Roman"/>
        </w:rPr>
        <w:t xml:space="preserve"> &amp; Jeremiah, 2022).</w:t>
      </w:r>
    </w:p>
    <w:p w14:paraId="7D2CFD2E" w14:textId="4E7ADDC1" w:rsidR="0028605E" w:rsidRPr="0028605E" w:rsidRDefault="0028605E" w:rsidP="00171646">
      <w:pPr>
        <w:jc w:val="both"/>
        <w:rPr>
          <w:rFonts w:ascii="Times New Roman" w:hAnsi="Times New Roman" w:cs="Times New Roman"/>
        </w:rPr>
      </w:pPr>
      <w:r w:rsidRPr="0028605E">
        <w:rPr>
          <w:rFonts w:ascii="Times New Roman" w:hAnsi="Times New Roman" w:cs="Times New Roman"/>
        </w:rPr>
        <w:t>While the adoption of electronic payment systems has been widely promoted as a means to improve tax administration, empirical evidence on their specific impact on non-oil tax revenue performance in Nigeria remains limited and inconclusive. Some studies report significant improvements in overall revenue and compliance following the adoption of e-taxation (</w:t>
      </w:r>
      <w:proofErr w:type="spellStart"/>
      <w:r w:rsidRPr="0028605E">
        <w:rPr>
          <w:rFonts w:ascii="Times New Roman" w:hAnsi="Times New Roman" w:cs="Times New Roman"/>
        </w:rPr>
        <w:t>Olurankinse</w:t>
      </w:r>
      <w:proofErr w:type="spellEnd"/>
      <w:r w:rsidRPr="0028605E">
        <w:rPr>
          <w:rFonts w:ascii="Times New Roman" w:hAnsi="Times New Roman" w:cs="Times New Roman"/>
        </w:rPr>
        <w:t xml:space="preserve"> &amp; </w:t>
      </w:r>
      <w:proofErr w:type="spellStart"/>
      <w:r w:rsidRPr="0028605E">
        <w:rPr>
          <w:rFonts w:ascii="Times New Roman" w:hAnsi="Times New Roman" w:cs="Times New Roman"/>
        </w:rPr>
        <w:t>Oladeji</w:t>
      </w:r>
      <w:proofErr w:type="spellEnd"/>
      <w:r w:rsidRPr="0028605E">
        <w:rPr>
          <w:rFonts w:ascii="Times New Roman" w:hAnsi="Times New Roman" w:cs="Times New Roman"/>
        </w:rPr>
        <w:t xml:space="preserve">, 2018; Ajayi &amp; </w:t>
      </w:r>
      <w:proofErr w:type="spellStart"/>
      <w:r w:rsidRPr="0028605E">
        <w:rPr>
          <w:rFonts w:ascii="Times New Roman" w:hAnsi="Times New Roman" w:cs="Times New Roman"/>
        </w:rPr>
        <w:t>Yidiat</w:t>
      </w:r>
      <w:proofErr w:type="spellEnd"/>
      <w:r w:rsidRPr="0028605E">
        <w:rPr>
          <w:rFonts w:ascii="Times New Roman" w:hAnsi="Times New Roman" w:cs="Times New Roman"/>
        </w:rPr>
        <w:t>, 2021), while others find that the effect on non-oil tax revenue is not always statistically significant or is hampered by contextual challenges such as digital literacy and infrastructural deficits (</w:t>
      </w:r>
      <w:proofErr w:type="spellStart"/>
      <w:r w:rsidRPr="0028605E">
        <w:rPr>
          <w:rFonts w:ascii="Times New Roman" w:hAnsi="Times New Roman" w:cs="Times New Roman"/>
        </w:rPr>
        <w:t>Nnubia</w:t>
      </w:r>
      <w:proofErr w:type="spellEnd"/>
      <w:r w:rsidRPr="0028605E">
        <w:rPr>
          <w:rFonts w:ascii="Times New Roman" w:hAnsi="Times New Roman" w:cs="Times New Roman"/>
        </w:rPr>
        <w:t xml:space="preserve"> et al., 2020; </w:t>
      </w:r>
      <w:proofErr w:type="spellStart"/>
      <w:r w:rsidRPr="0028605E">
        <w:rPr>
          <w:rFonts w:ascii="Times New Roman" w:hAnsi="Times New Roman" w:cs="Times New Roman"/>
        </w:rPr>
        <w:t>Akpubi</w:t>
      </w:r>
      <w:proofErr w:type="spellEnd"/>
      <w:r w:rsidRPr="0028605E">
        <w:rPr>
          <w:rFonts w:ascii="Times New Roman" w:hAnsi="Times New Roman" w:cs="Times New Roman"/>
        </w:rPr>
        <w:t xml:space="preserve"> &amp; </w:t>
      </w:r>
      <w:proofErr w:type="spellStart"/>
      <w:r w:rsidRPr="0028605E">
        <w:rPr>
          <w:rFonts w:ascii="Times New Roman" w:hAnsi="Times New Roman" w:cs="Times New Roman"/>
        </w:rPr>
        <w:t>Igbekoyi</w:t>
      </w:r>
      <w:proofErr w:type="spellEnd"/>
      <w:r w:rsidRPr="0028605E">
        <w:rPr>
          <w:rFonts w:ascii="Times New Roman" w:hAnsi="Times New Roman" w:cs="Times New Roman"/>
        </w:rPr>
        <w:t>, 2019).</w:t>
      </w:r>
    </w:p>
    <w:p w14:paraId="41F9C406" w14:textId="114EFF70" w:rsidR="0028605E" w:rsidRPr="0028605E" w:rsidRDefault="0028605E" w:rsidP="00171646">
      <w:pPr>
        <w:jc w:val="both"/>
        <w:rPr>
          <w:rFonts w:ascii="Times New Roman" w:hAnsi="Times New Roman" w:cs="Times New Roman"/>
        </w:rPr>
      </w:pPr>
      <w:r w:rsidRPr="0028605E">
        <w:rPr>
          <w:rFonts w:ascii="Times New Roman" w:hAnsi="Times New Roman" w:cs="Times New Roman"/>
        </w:rPr>
        <w:t>Most existing studies have focused on the aggregate impact of e-taxation on total government revenue or have examined compliance in specific sectors or states (</w:t>
      </w:r>
      <w:proofErr w:type="spellStart"/>
      <w:r w:rsidRPr="0028605E">
        <w:rPr>
          <w:rFonts w:ascii="Times New Roman" w:hAnsi="Times New Roman" w:cs="Times New Roman"/>
        </w:rPr>
        <w:t>Ajape</w:t>
      </w:r>
      <w:proofErr w:type="spellEnd"/>
      <w:r w:rsidRPr="0028605E">
        <w:rPr>
          <w:rFonts w:ascii="Times New Roman" w:hAnsi="Times New Roman" w:cs="Times New Roman"/>
        </w:rPr>
        <w:t xml:space="preserve">, </w:t>
      </w:r>
      <w:proofErr w:type="spellStart"/>
      <w:r w:rsidRPr="0028605E">
        <w:rPr>
          <w:rFonts w:ascii="Times New Roman" w:hAnsi="Times New Roman" w:cs="Times New Roman"/>
        </w:rPr>
        <w:t>Afara</w:t>
      </w:r>
      <w:proofErr w:type="spellEnd"/>
      <w:r w:rsidRPr="0028605E">
        <w:rPr>
          <w:rFonts w:ascii="Times New Roman" w:hAnsi="Times New Roman" w:cs="Times New Roman"/>
        </w:rPr>
        <w:t xml:space="preserve"> &amp; Uthman, 2017; Akpu &amp; Ohaka, 2017). There is a paucity of research that isolates the effect of electronic payment systems on non-oil tax revenue at the national level, particularly from a fiscal capacity perspective. Furthermore, the mechanisms through which e-payment systems influence non-oil tax revenue</w:t>
      </w:r>
      <w:r w:rsidR="00171646">
        <w:rPr>
          <w:rFonts w:ascii="Times New Roman" w:hAnsi="Times New Roman" w:cs="Times New Roman"/>
        </w:rPr>
        <w:t xml:space="preserve"> </w:t>
      </w:r>
      <w:r w:rsidRPr="0028605E">
        <w:rPr>
          <w:rFonts w:ascii="Times New Roman" w:hAnsi="Times New Roman" w:cs="Times New Roman"/>
        </w:rPr>
        <w:t>such as improved efficiency, reduced leakages, and enhanced taxpayer trust</w:t>
      </w:r>
      <w:r w:rsidR="00171646">
        <w:rPr>
          <w:rFonts w:ascii="Times New Roman" w:hAnsi="Times New Roman" w:cs="Times New Roman"/>
        </w:rPr>
        <w:t xml:space="preserve"> </w:t>
      </w:r>
      <w:r w:rsidRPr="0028605E">
        <w:rPr>
          <w:rFonts w:ascii="Times New Roman" w:hAnsi="Times New Roman" w:cs="Times New Roman"/>
        </w:rPr>
        <w:t xml:space="preserve">are not well understood in the Nigerian context (Bamidele, Abdulsalam &amp; </w:t>
      </w:r>
      <w:proofErr w:type="spellStart"/>
      <w:r w:rsidRPr="0028605E">
        <w:rPr>
          <w:rFonts w:ascii="Times New Roman" w:hAnsi="Times New Roman" w:cs="Times New Roman"/>
        </w:rPr>
        <w:t>Atofarati</w:t>
      </w:r>
      <w:proofErr w:type="spellEnd"/>
      <w:r w:rsidRPr="0028605E">
        <w:rPr>
          <w:rFonts w:ascii="Times New Roman" w:hAnsi="Times New Roman" w:cs="Times New Roman"/>
        </w:rPr>
        <w:t>, 2024).</w:t>
      </w:r>
    </w:p>
    <w:p w14:paraId="25E1ECD4" w14:textId="4FA0DE18" w:rsidR="0028605E" w:rsidRPr="0028605E" w:rsidRDefault="0028605E" w:rsidP="00171646">
      <w:pPr>
        <w:jc w:val="both"/>
        <w:rPr>
          <w:rFonts w:ascii="Times New Roman" w:hAnsi="Times New Roman" w:cs="Times New Roman"/>
        </w:rPr>
      </w:pPr>
      <w:r w:rsidRPr="0028605E">
        <w:rPr>
          <w:rFonts w:ascii="Times New Roman" w:hAnsi="Times New Roman" w:cs="Times New Roman"/>
        </w:rPr>
        <w:t>This study addresses these gaps by empirically investigating the impact of electronic payment systems on non-oil tax revenue performance in Nigeria, using comprehensive national data from 2011 to 2022. By focusing specifically on non-oil tax revenue and employing robust econometric techniques, the study provides new insights into the fiscal capacity benefits of digital tax reforms. The findings are expected to inform policy decisions on the scaling and optimization of e-payment systems for enhanced revenue mobilization in Nigeria.</w:t>
      </w:r>
    </w:p>
    <w:p w14:paraId="1CF2E5C1" w14:textId="63FEC068" w:rsidR="0028605E" w:rsidRPr="0028605E" w:rsidRDefault="008E20F2" w:rsidP="00171646">
      <w:pPr>
        <w:jc w:val="both"/>
        <w:rPr>
          <w:rFonts w:ascii="Times New Roman" w:hAnsi="Times New Roman" w:cs="Times New Roman"/>
          <w:b/>
          <w:bCs/>
        </w:rPr>
      </w:pPr>
      <w:r>
        <w:rPr>
          <w:rFonts w:ascii="Times New Roman" w:hAnsi="Times New Roman" w:cs="Times New Roman"/>
          <w:b/>
          <w:bCs/>
        </w:rPr>
        <w:t xml:space="preserve">2 </w:t>
      </w:r>
      <w:r w:rsidR="0028605E" w:rsidRPr="0028605E">
        <w:rPr>
          <w:rFonts w:ascii="Times New Roman" w:hAnsi="Times New Roman" w:cs="Times New Roman"/>
          <w:b/>
          <w:bCs/>
        </w:rPr>
        <w:t>Literature Review</w:t>
      </w:r>
    </w:p>
    <w:p w14:paraId="2D64DC0E" w14:textId="77777777" w:rsidR="0028605E" w:rsidRPr="0028605E" w:rsidRDefault="0028605E" w:rsidP="00171646">
      <w:pPr>
        <w:jc w:val="both"/>
        <w:rPr>
          <w:rFonts w:ascii="Times New Roman" w:hAnsi="Times New Roman" w:cs="Times New Roman"/>
          <w:b/>
          <w:bCs/>
        </w:rPr>
      </w:pPr>
      <w:r w:rsidRPr="0028605E">
        <w:rPr>
          <w:rFonts w:ascii="Times New Roman" w:hAnsi="Times New Roman" w:cs="Times New Roman"/>
          <w:b/>
          <w:bCs/>
        </w:rPr>
        <w:t>Non-Oil Tax Revenue and Fiscal Capacity in Nigeria</w:t>
      </w:r>
    </w:p>
    <w:p w14:paraId="115ACEBE" w14:textId="298B497D" w:rsidR="0028605E" w:rsidRPr="0028605E" w:rsidRDefault="0028605E" w:rsidP="00171646">
      <w:pPr>
        <w:jc w:val="both"/>
        <w:rPr>
          <w:rFonts w:ascii="Times New Roman" w:hAnsi="Times New Roman" w:cs="Times New Roman"/>
        </w:rPr>
      </w:pPr>
      <w:r w:rsidRPr="0028605E">
        <w:rPr>
          <w:rFonts w:ascii="Times New Roman" w:hAnsi="Times New Roman" w:cs="Times New Roman"/>
        </w:rPr>
        <w:t xml:space="preserve">Non-oil tax revenue has become increasingly central to Nigeria’s fiscal sustainability agenda, especially as oil revenues have proven volatile and insufficient for long-term development (Bamidele, </w:t>
      </w:r>
      <w:proofErr w:type="spellStart"/>
      <w:r w:rsidRPr="0028605E">
        <w:rPr>
          <w:rFonts w:ascii="Times New Roman" w:hAnsi="Times New Roman" w:cs="Times New Roman"/>
        </w:rPr>
        <w:t>Fajana</w:t>
      </w:r>
      <w:proofErr w:type="spellEnd"/>
      <w:r w:rsidRPr="0028605E">
        <w:rPr>
          <w:rFonts w:ascii="Times New Roman" w:hAnsi="Times New Roman" w:cs="Times New Roman"/>
        </w:rPr>
        <w:t xml:space="preserve"> &amp; </w:t>
      </w:r>
      <w:proofErr w:type="spellStart"/>
      <w:r w:rsidRPr="0028605E">
        <w:rPr>
          <w:rFonts w:ascii="Times New Roman" w:hAnsi="Times New Roman" w:cs="Times New Roman"/>
        </w:rPr>
        <w:t>Ogundipe</w:t>
      </w:r>
      <w:proofErr w:type="spellEnd"/>
      <w:r w:rsidRPr="0028605E">
        <w:rPr>
          <w:rFonts w:ascii="Times New Roman" w:hAnsi="Times New Roman" w:cs="Times New Roman"/>
        </w:rPr>
        <w:t>, 2025). Non-oil tax sources</w:t>
      </w:r>
      <w:r w:rsidR="00171646">
        <w:rPr>
          <w:rFonts w:ascii="Times New Roman" w:hAnsi="Times New Roman" w:cs="Times New Roman"/>
        </w:rPr>
        <w:t xml:space="preserve"> </w:t>
      </w:r>
      <w:r w:rsidRPr="0028605E">
        <w:rPr>
          <w:rFonts w:ascii="Times New Roman" w:hAnsi="Times New Roman" w:cs="Times New Roman"/>
        </w:rPr>
        <w:t>including company income tax, value-added tax, and capital gains tax</w:t>
      </w:r>
      <w:r w:rsidR="00171646">
        <w:rPr>
          <w:rFonts w:ascii="Times New Roman" w:hAnsi="Times New Roman" w:cs="Times New Roman"/>
        </w:rPr>
        <w:t xml:space="preserve"> </w:t>
      </w:r>
      <w:r w:rsidRPr="0028605E">
        <w:rPr>
          <w:rFonts w:ascii="Times New Roman" w:hAnsi="Times New Roman" w:cs="Times New Roman"/>
        </w:rPr>
        <w:t xml:space="preserve">are critical for broadening the government’s revenue base and reducing dependence on oil (Abiola &amp; </w:t>
      </w:r>
      <w:proofErr w:type="spellStart"/>
      <w:r w:rsidRPr="0028605E">
        <w:rPr>
          <w:rFonts w:ascii="Times New Roman" w:hAnsi="Times New Roman" w:cs="Times New Roman"/>
        </w:rPr>
        <w:t>Ehigiamusoe</w:t>
      </w:r>
      <w:proofErr w:type="spellEnd"/>
      <w:r w:rsidRPr="0028605E">
        <w:rPr>
          <w:rFonts w:ascii="Times New Roman" w:hAnsi="Times New Roman" w:cs="Times New Roman"/>
        </w:rPr>
        <w:t xml:space="preserve">, 2014; </w:t>
      </w:r>
      <w:proofErr w:type="spellStart"/>
      <w:r w:rsidRPr="0028605E">
        <w:rPr>
          <w:rFonts w:ascii="Times New Roman" w:hAnsi="Times New Roman" w:cs="Times New Roman"/>
        </w:rPr>
        <w:t>Afuberoh</w:t>
      </w:r>
      <w:proofErr w:type="spellEnd"/>
      <w:r w:rsidRPr="0028605E">
        <w:rPr>
          <w:rFonts w:ascii="Times New Roman" w:hAnsi="Times New Roman" w:cs="Times New Roman"/>
        </w:rPr>
        <w:t xml:space="preserve"> &amp; Okoye, 2014). However, the performance of non-oil tax revenue has been hampered by weak administrative capacity, low compliance rates, and widespread tax evasion (Adeniyi &amp; </w:t>
      </w:r>
      <w:proofErr w:type="spellStart"/>
      <w:r w:rsidRPr="0028605E">
        <w:rPr>
          <w:rFonts w:ascii="Times New Roman" w:hAnsi="Times New Roman" w:cs="Times New Roman"/>
        </w:rPr>
        <w:t>Adesunloro</w:t>
      </w:r>
      <w:proofErr w:type="spellEnd"/>
      <w:r w:rsidRPr="0028605E">
        <w:rPr>
          <w:rFonts w:ascii="Times New Roman" w:hAnsi="Times New Roman" w:cs="Times New Roman"/>
        </w:rPr>
        <w:t xml:space="preserve">, 2017; </w:t>
      </w:r>
      <w:proofErr w:type="spellStart"/>
      <w:r w:rsidRPr="0028605E">
        <w:rPr>
          <w:rFonts w:ascii="Times New Roman" w:hAnsi="Times New Roman" w:cs="Times New Roman"/>
        </w:rPr>
        <w:t>Akpu</w:t>
      </w:r>
      <w:proofErr w:type="spellEnd"/>
      <w:r w:rsidRPr="0028605E">
        <w:rPr>
          <w:rFonts w:ascii="Times New Roman" w:hAnsi="Times New Roman" w:cs="Times New Roman"/>
        </w:rPr>
        <w:t xml:space="preserve"> &amp; Ohaka, 2017).</w:t>
      </w:r>
    </w:p>
    <w:p w14:paraId="63BA17B4" w14:textId="77777777" w:rsidR="0028605E" w:rsidRPr="0028605E" w:rsidRDefault="0028605E" w:rsidP="00171646">
      <w:pPr>
        <w:jc w:val="both"/>
        <w:rPr>
          <w:rFonts w:ascii="Times New Roman" w:hAnsi="Times New Roman" w:cs="Times New Roman"/>
        </w:rPr>
      </w:pPr>
      <w:r w:rsidRPr="0028605E">
        <w:rPr>
          <w:rFonts w:ascii="Times New Roman" w:hAnsi="Times New Roman" w:cs="Times New Roman"/>
        </w:rPr>
        <w:t xml:space="preserve">Fiscal capacity, defined as the government’s ability to mobilize resources through effective taxation, is essential for financing public goods and achieving macroeconomic stability (Bamidele, </w:t>
      </w:r>
      <w:r w:rsidRPr="0028605E">
        <w:rPr>
          <w:rFonts w:ascii="Times New Roman" w:hAnsi="Times New Roman" w:cs="Times New Roman"/>
        </w:rPr>
        <w:lastRenderedPageBreak/>
        <w:t xml:space="preserve">Abdulsalam &amp; </w:t>
      </w:r>
      <w:proofErr w:type="spellStart"/>
      <w:r w:rsidRPr="0028605E">
        <w:rPr>
          <w:rFonts w:ascii="Times New Roman" w:hAnsi="Times New Roman" w:cs="Times New Roman"/>
        </w:rPr>
        <w:t>Atofarati</w:t>
      </w:r>
      <w:proofErr w:type="spellEnd"/>
      <w:r w:rsidRPr="0028605E">
        <w:rPr>
          <w:rFonts w:ascii="Times New Roman" w:hAnsi="Times New Roman" w:cs="Times New Roman"/>
        </w:rPr>
        <w:t>, 2024). Strengthening fiscal capacity requires not only expanding the tax base but also improving the efficiency and transparency of tax administration.</w:t>
      </w:r>
    </w:p>
    <w:p w14:paraId="752C3592" w14:textId="77777777" w:rsidR="0028605E" w:rsidRPr="0028605E" w:rsidRDefault="0028605E" w:rsidP="00171646">
      <w:pPr>
        <w:jc w:val="both"/>
        <w:rPr>
          <w:rFonts w:ascii="Times New Roman" w:hAnsi="Times New Roman" w:cs="Times New Roman"/>
          <w:b/>
          <w:bCs/>
        </w:rPr>
      </w:pPr>
      <w:r w:rsidRPr="0028605E">
        <w:rPr>
          <w:rFonts w:ascii="Times New Roman" w:hAnsi="Times New Roman" w:cs="Times New Roman"/>
          <w:b/>
          <w:bCs/>
        </w:rPr>
        <w:t>Electronic Payment Systems in Tax Administration</w:t>
      </w:r>
    </w:p>
    <w:p w14:paraId="3C10126F" w14:textId="6AB46C28" w:rsidR="0028605E" w:rsidRPr="0028605E" w:rsidRDefault="0028605E" w:rsidP="00171646">
      <w:pPr>
        <w:jc w:val="both"/>
        <w:rPr>
          <w:rFonts w:ascii="Times New Roman" w:hAnsi="Times New Roman" w:cs="Times New Roman"/>
        </w:rPr>
      </w:pPr>
      <w:r w:rsidRPr="0028605E">
        <w:rPr>
          <w:rFonts w:ascii="Times New Roman" w:hAnsi="Times New Roman" w:cs="Times New Roman"/>
        </w:rPr>
        <w:t>Globally, the integration of electronic payment systems into tax administration has been recognized as a key innovation for enhancing revenue collection and compliance (</w:t>
      </w:r>
      <w:proofErr w:type="spellStart"/>
      <w:r w:rsidRPr="0028605E">
        <w:rPr>
          <w:rFonts w:ascii="Times New Roman" w:hAnsi="Times New Roman" w:cs="Times New Roman"/>
        </w:rPr>
        <w:t>Allahverd</w:t>
      </w:r>
      <w:proofErr w:type="spellEnd"/>
      <w:r w:rsidRPr="0028605E">
        <w:rPr>
          <w:rFonts w:ascii="Times New Roman" w:hAnsi="Times New Roman" w:cs="Times New Roman"/>
        </w:rPr>
        <w:t xml:space="preserve">, </w:t>
      </w:r>
      <w:proofErr w:type="spellStart"/>
      <w:r w:rsidRPr="0028605E">
        <w:rPr>
          <w:rFonts w:ascii="Times New Roman" w:hAnsi="Times New Roman" w:cs="Times New Roman"/>
        </w:rPr>
        <w:t>Alagoz</w:t>
      </w:r>
      <w:proofErr w:type="spellEnd"/>
      <w:r w:rsidRPr="0028605E">
        <w:rPr>
          <w:rFonts w:ascii="Times New Roman" w:hAnsi="Times New Roman" w:cs="Times New Roman"/>
        </w:rPr>
        <w:t xml:space="preserve"> &amp; </w:t>
      </w:r>
      <w:proofErr w:type="spellStart"/>
      <w:r w:rsidRPr="0028605E">
        <w:rPr>
          <w:rFonts w:ascii="Times New Roman" w:hAnsi="Times New Roman" w:cs="Times New Roman"/>
        </w:rPr>
        <w:t>Ortakapoz</w:t>
      </w:r>
      <w:proofErr w:type="spellEnd"/>
      <w:r w:rsidRPr="0028605E">
        <w:rPr>
          <w:rFonts w:ascii="Times New Roman" w:hAnsi="Times New Roman" w:cs="Times New Roman"/>
        </w:rPr>
        <w:t>, 2017; Agrawal, 2012). In Nigeria, the Federal Inland Revenue Service (FIRS) has implemented a suite of digital platforms</w:t>
      </w:r>
      <w:r w:rsidR="00171646">
        <w:rPr>
          <w:rFonts w:ascii="Times New Roman" w:hAnsi="Times New Roman" w:cs="Times New Roman"/>
        </w:rPr>
        <w:t xml:space="preserve"> </w:t>
      </w:r>
      <w:r w:rsidRPr="0028605E">
        <w:rPr>
          <w:rFonts w:ascii="Times New Roman" w:hAnsi="Times New Roman" w:cs="Times New Roman"/>
        </w:rPr>
        <w:t>including e-filing, e-payment, and electronic receipts</w:t>
      </w:r>
      <w:r w:rsidR="00171646">
        <w:rPr>
          <w:rFonts w:ascii="Times New Roman" w:hAnsi="Times New Roman" w:cs="Times New Roman"/>
        </w:rPr>
        <w:t xml:space="preserve"> </w:t>
      </w:r>
      <w:r w:rsidRPr="0028605E">
        <w:rPr>
          <w:rFonts w:ascii="Times New Roman" w:hAnsi="Times New Roman" w:cs="Times New Roman"/>
        </w:rPr>
        <w:t>to streamline tax processes and reduce opportunities for corruption (Abuh &amp; Jeremiah, 2022; Deloitte, 2017).</w:t>
      </w:r>
    </w:p>
    <w:p w14:paraId="4F9FF17B" w14:textId="77777777" w:rsidR="0028605E" w:rsidRPr="0028605E" w:rsidRDefault="0028605E" w:rsidP="00171646">
      <w:pPr>
        <w:jc w:val="both"/>
        <w:rPr>
          <w:rFonts w:ascii="Times New Roman" w:hAnsi="Times New Roman" w:cs="Times New Roman"/>
        </w:rPr>
      </w:pPr>
      <w:r w:rsidRPr="0028605E">
        <w:rPr>
          <w:rFonts w:ascii="Times New Roman" w:hAnsi="Times New Roman" w:cs="Times New Roman"/>
        </w:rPr>
        <w:t>Electronic payment systems are credited with reducing transaction costs, minimizing human error, and increasing the speed and accuracy of tax payments (</w:t>
      </w:r>
      <w:proofErr w:type="spellStart"/>
      <w:r w:rsidRPr="0028605E">
        <w:rPr>
          <w:rFonts w:ascii="Times New Roman" w:hAnsi="Times New Roman" w:cs="Times New Roman"/>
        </w:rPr>
        <w:t>Adegbite</w:t>
      </w:r>
      <w:proofErr w:type="spellEnd"/>
      <w:r w:rsidRPr="0028605E">
        <w:rPr>
          <w:rFonts w:ascii="Times New Roman" w:hAnsi="Times New Roman" w:cs="Times New Roman"/>
        </w:rPr>
        <w:t xml:space="preserve"> &amp; </w:t>
      </w:r>
      <w:proofErr w:type="spellStart"/>
      <w:r w:rsidRPr="0028605E">
        <w:rPr>
          <w:rFonts w:ascii="Times New Roman" w:hAnsi="Times New Roman" w:cs="Times New Roman"/>
        </w:rPr>
        <w:t>Fasina</w:t>
      </w:r>
      <w:proofErr w:type="spellEnd"/>
      <w:r w:rsidRPr="0028605E">
        <w:rPr>
          <w:rFonts w:ascii="Times New Roman" w:hAnsi="Times New Roman" w:cs="Times New Roman"/>
        </w:rPr>
        <w:t xml:space="preserve">, 2019; Ajayi &amp; </w:t>
      </w:r>
      <w:proofErr w:type="spellStart"/>
      <w:r w:rsidRPr="0028605E">
        <w:rPr>
          <w:rFonts w:ascii="Times New Roman" w:hAnsi="Times New Roman" w:cs="Times New Roman"/>
        </w:rPr>
        <w:t>Yidiat</w:t>
      </w:r>
      <w:proofErr w:type="spellEnd"/>
      <w:r w:rsidRPr="0028605E">
        <w:rPr>
          <w:rFonts w:ascii="Times New Roman" w:hAnsi="Times New Roman" w:cs="Times New Roman"/>
        </w:rPr>
        <w:t>, 2021). These systems also facilitate real-time monitoring and data analytics, which can improve enforcement and policy design (</w:t>
      </w:r>
      <w:proofErr w:type="spellStart"/>
      <w:r w:rsidRPr="0028605E">
        <w:rPr>
          <w:rFonts w:ascii="Times New Roman" w:hAnsi="Times New Roman" w:cs="Times New Roman"/>
        </w:rPr>
        <w:t>Ajape</w:t>
      </w:r>
      <w:proofErr w:type="spellEnd"/>
      <w:r w:rsidRPr="0028605E">
        <w:rPr>
          <w:rFonts w:ascii="Times New Roman" w:hAnsi="Times New Roman" w:cs="Times New Roman"/>
        </w:rPr>
        <w:t xml:space="preserve">, </w:t>
      </w:r>
      <w:proofErr w:type="spellStart"/>
      <w:r w:rsidRPr="0028605E">
        <w:rPr>
          <w:rFonts w:ascii="Times New Roman" w:hAnsi="Times New Roman" w:cs="Times New Roman"/>
        </w:rPr>
        <w:t>Afara</w:t>
      </w:r>
      <w:proofErr w:type="spellEnd"/>
      <w:r w:rsidRPr="0028605E">
        <w:rPr>
          <w:rFonts w:ascii="Times New Roman" w:hAnsi="Times New Roman" w:cs="Times New Roman"/>
        </w:rPr>
        <w:t xml:space="preserve"> &amp; Uthman, 2017).</w:t>
      </w:r>
    </w:p>
    <w:p w14:paraId="45FFEEA0" w14:textId="77777777" w:rsidR="0028605E" w:rsidRPr="0028605E" w:rsidRDefault="0028605E" w:rsidP="00171646">
      <w:pPr>
        <w:jc w:val="both"/>
        <w:rPr>
          <w:rFonts w:ascii="Times New Roman" w:hAnsi="Times New Roman" w:cs="Times New Roman"/>
          <w:b/>
          <w:bCs/>
        </w:rPr>
      </w:pPr>
      <w:r w:rsidRPr="0028605E">
        <w:rPr>
          <w:rFonts w:ascii="Times New Roman" w:hAnsi="Times New Roman" w:cs="Times New Roman"/>
          <w:b/>
          <w:bCs/>
        </w:rPr>
        <w:t>Empirical Evidence on E-Payment and Non-Oil Tax Revenue</w:t>
      </w:r>
    </w:p>
    <w:p w14:paraId="06723C08" w14:textId="77777777" w:rsidR="0028605E" w:rsidRPr="0028605E" w:rsidRDefault="0028605E" w:rsidP="00171646">
      <w:pPr>
        <w:jc w:val="both"/>
        <w:rPr>
          <w:rFonts w:ascii="Times New Roman" w:hAnsi="Times New Roman" w:cs="Times New Roman"/>
        </w:rPr>
      </w:pPr>
      <w:r w:rsidRPr="0028605E">
        <w:rPr>
          <w:rFonts w:ascii="Times New Roman" w:hAnsi="Times New Roman" w:cs="Times New Roman"/>
        </w:rPr>
        <w:t xml:space="preserve">Empirical studies on the impact of electronic payment systems in Nigeria have produced mixed results. </w:t>
      </w:r>
      <w:proofErr w:type="spellStart"/>
      <w:r w:rsidRPr="0028605E">
        <w:rPr>
          <w:rFonts w:ascii="Times New Roman" w:hAnsi="Times New Roman" w:cs="Times New Roman"/>
        </w:rPr>
        <w:t>Olurankinse</w:t>
      </w:r>
      <w:proofErr w:type="spellEnd"/>
      <w:r w:rsidRPr="0028605E">
        <w:rPr>
          <w:rFonts w:ascii="Times New Roman" w:hAnsi="Times New Roman" w:cs="Times New Roman"/>
        </w:rPr>
        <w:t xml:space="preserve"> and </w:t>
      </w:r>
      <w:proofErr w:type="spellStart"/>
      <w:r w:rsidRPr="0028605E">
        <w:rPr>
          <w:rFonts w:ascii="Times New Roman" w:hAnsi="Times New Roman" w:cs="Times New Roman"/>
        </w:rPr>
        <w:t>Oladeji</w:t>
      </w:r>
      <w:proofErr w:type="spellEnd"/>
      <w:r w:rsidRPr="0028605E">
        <w:rPr>
          <w:rFonts w:ascii="Times New Roman" w:hAnsi="Times New Roman" w:cs="Times New Roman"/>
        </w:rPr>
        <w:t xml:space="preserve"> (2018) found a significant positive relationship between electronic tax payment systems and overall revenue generation, while Ajayi and </w:t>
      </w:r>
      <w:proofErr w:type="spellStart"/>
      <w:r w:rsidRPr="0028605E">
        <w:rPr>
          <w:rFonts w:ascii="Times New Roman" w:hAnsi="Times New Roman" w:cs="Times New Roman"/>
        </w:rPr>
        <w:t>Yidiat</w:t>
      </w:r>
      <w:proofErr w:type="spellEnd"/>
      <w:r w:rsidRPr="0028605E">
        <w:rPr>
          <w:rFonts w:ascii="Times New Roman" w:hAnsi="Times New Roman" w:cs="Times New Roman"/>
        </w:rPr>
        <w:t xml:space="preserve"> (2021) reported that e-tax filing improved tax revenue performance. However, </w:t>
      </w:r>
      <w:proofErr w:type="spellStart"/>
      <w:r w:rsidRPr="0028605E">
        <w:rPr>
          <w:rFonts w:ascii="Times New Roman" w:hAnsi="Times New Roman" w:cs="Times New Roman"/>
        </w:rPr>
        <w:t>Nnubia</w:t>
      </w:r>
      <w:proofErr w:type="spellEnd"/>
      <w:r w:rsidRPr="0028605E">
        <w:rPr>
          <w:rFonts w:ascii="Times New Roman" w:hAnsi="Times New Roman" w:cs="Times New Roman"/>
        </w:rPr>
        <w:t xml:space="preserve"> et al. (2020) observed that although e-taxation enhanced compliance, its effect on non-oil tax revenue was not always statistically significant, suggesting that contextual factors such as digital literacy, infrastructure, and taxpayer trust play a moderating role.</w:t>
      </w:r>
    </w:p>
    <w:p w14:paraId="6775B274" w14:textId="77777777" w:rsidR="0028605E" w:rsidRPr="0028605E" w:rsidRDefault="0028605E" w:rsidP="00171646">
      <w:pPr>
        <w:jc w:val="both"/>
        <w:rPr>
          <w:rFonts w:ascii="Times New Roman" w:hAnsi="Times New Roman" w:cs="Times New Roman"/>
        </w:rPr>
      </w:pPr>
      <w:proofErr w:type="spellStart"/>
      <w:r w:rsidRPr="0028605E">
        <w:rPr>
          <w:rFonts w:ascii="Times New Roman" w:hAnsi="Times New Roman" w:cs="Times New Roman"/>
        </w:rPr>
        <w:t>Akpubi</w:t>
      </w:r>
      <w:proofErr w:type="spellEnd"/>
      <w:r w:rsidRPr="0028605E">
        <w:rPr>
          <w:rFonts w:ascii="Times New Roman" w:hAnsi="Times New Roman" w:cs="Times New Roman"/>
        </w:rPr>
        <w:t xml:space="preserve"> and </w:t>
      </w:r>
      <w:proofErr w:type="spellStart"/>
      <w:r w:rsidRPr="0028605E">
        <w:rPr>
          <w:rFonts w:ascii="Times New Roman" w:hAnsi="Times New Roman" w:cs="Times New Roman"/>
        </w:rPr>
        <w:t>Igbekoyi</w:t>
      </w:r>
      <w:proofErr w:type="spellEnd"/>
      <w:r w:rsidRPr="0028605E">
        <w:rPr>
          <w:rFonts w:ascii="Times New Roman" w:hAnsi="Times New Roman" w:cs="Times New Roman"/>
        </w:rPr>
        <w:t xml:space="preserve"> (2019) highlighted the importance of taxpayer perception and digital literacy in shaping the effectiveness of e-taxation reforms. Similarly, </w:t>
      </w:r>
      <w:proofErr w:type="spellStart"/>
      <w:r w:rsidRPr="0028605E">
        <w:rPr>
          <w:rFonts w:ascii="Times New Roman" w:hAnsi="Times New Roman" w:cs="Times New Roman"/>
        </w:rPr>
        <w:t>Akpu</w:t>
      </w:r>
      <w:proofErr w:type="spellEnd"/>
      <w:r w:rsidRPr="0028605E">
        <w:rPr>
          <w:rFonts w:ascii="Times New Roman" w:hAnsi="Times New Roman" w:cs="Times New Roman"/>
        </w:rPr>
        <w:t xml:space="preserve"> and </w:t>
      </w:r>
      <w:proofErr w:type="spellStart"/>
      <w:r w:rsidRPr="0028605E">
        <w:rPr>
          <w:rFonts w:ascii="Times New Roman" w:hAnsi="Times New Roman" w:cs="Times New Roman"/>
        </w:rPr>
        <w:t>Ohaka</w:t>
      </w:r>
      <w:proofErr w:type="spellEnd"/>
      <w:r w:rsidRPr="0028605E">
        <w:rPr>
          <w:rFonts w:ascii="Times New Roman" w:hAnsi="Times New Roman" w:cs="Times New Roman"/>
        </w:rPr>
        <w:t xml:space="preserve"> (2017) emphasized that administrative bottlenecks and resistance to change can limit the benefits of digital tax systems.</w:t>
      </w:r>
    </w:p>
    <w:p w14:paraId="294C0B25" w14:textId="77777777" w:rsidR="0028605E" w:rsidRPr="0028605E" w:rsidRDefault="0028605E" w:rsidP="00171646">
      <w:pPr>
        <w:jc w:val="both"/>
        <w:rPr>
          <w:rFonts w:ascii="Times New Roman" w:hAnsi="Times New Roman" w:cs="Times New Roman"/>
        </w:rPr>
      </w:pPr>
      <w:r w:rsidRPr="0028605E">
        <w:rPr>
          <w:rFonts w:ascii="Times New Roman" w:hAnsi="Times New Roman" w:cs="Times New Roman"/>
        </w:rPr>
        <w:t>Despite these insights, there remains a lack of comprehensive, national-level studies that specifically examine the relationship between electronic payment systems and non-oil tax revenue performance in Nigeria. Most existing research either focuses on aggregate revenue or is limited to subnational analyses (</w:t>
      </w:r>
      <w:proofErr w:type="spellStart"/>
      <w:r w:rsidRPr="0028605E">
        <w:rPr>
          <w:rFonts w:ascii="Times New Roman" w:hAnsi="Times New Roman" w:cs="Times New Roman"/>
        </w:rPr>
        <w:t>Ajape</w:t>
      </w:r>
      <w:proofErr w:type="spellEnd"/>
      <w:r w:rsidRPr="0028605E">
        <w:rPr>
          <w:rFonts w:ascii="Times New Roman" w:hAnsi="Times New Roman" w:cs="Times New Roman"/>
        </w:rPr>
        <w:t xml:space="preserve">, </w:t>
      </w:r>
      <w:proofErr w:type="spellStart"/>
      <w:r w:rsidRPr="0028605E">
        <w:rPr>
          <w:rFonts w:ascii="Times New Roman" w:hAnsi="Times New Roman" w:cs="Times New Roman"/>
        </w:rPr>
        <w:t>Afara</w:t>
      </w:r>
      <w:proofErr w:type="spellEnd"/>
      <w:r w:rsidRPr="0028605E">
        <w:rPr>
          <w:rFonts w:ascii="Times New Roman" w:hAnsi="Times New Roman" w:cs="Times New Roman"/>
        </w:rPr>
        <w:t xml:space="preserve"> &amp; Uthman, 2017; Akpu &amp; Ohaka, 2017).</w:t>
      </w:r>
    </w:p>
    <w:p w14:paraId="65545FB5" w14:textId="356618E5" w:rsidR="0028605E" w:rsidRPr="0028605E" w:rsidRDefault="008E20F2" w:rsidP="00171646">
      <w:pPr>
        <w:jc w:val="both"/>
        <w:rPr>
          <w:rFonts w:ascii="Times New Roman" w:hAnsi="Times New Roman" w:cs="Times New Roman"/>
          <w:b/>
          <w:bCs/>
        </w:rPr>
      </w:pPr>
      <w:r>
        <w:rPr>
          <w:rFonts w:ascii="Times New Roman" w:hAnsi="Times New Roman" w:cs="Times New Roman"/>
          <w:b/>
          <w:bCs/>
        </w:rPr>
        <w:t xml:space="preserve">2.1 </w:t>
      </w:r>
      <w:r w:rsidR="0028605E" w:rsidRPr="0028605E">
        <w:rPr>
          <w:rFonts w:ascii="Times New Roman" w:hAnsi="Times New Roman" w:cs="Times New Roman"/>
          <w:b/>
          <w:bCs/>
        </w:rPr>
        <w:t>Theoretical Framework</w:t>
      </w:r>
    </w:p>
    <w:p w14:paraId="70E897B7" w14:textId="6C7835E1" w:rsidR="0028605E" w:rsidRPr="0028605E" w:rsidRDefault="0028605E" w:rsidP="00171646">
      <w:pPr>
        <w:jc w:val="both"/>
        <w:rPr>
          <w:rFonts w:ascii="Times New Roman" w:hAnsi="Times New Roman" w:cs="Times New Roman"/>
        </w:rPr>
      </w:pPr>
      <w:r w:rsidRPr="0028605E">
        <w:rPr>
          <w:rFonts w:ascii="Times New Roman" w:hAnsi="Times New Roman" w:cs="Times New Roman"/>
        </w:rPr>
        <w:t>This study is anchored on the fiscal capacity framework, which posits that the effectiveness of tax administration reforms</w:t>
      </w:r>
      <w:r w:rsidR="00171646">
        <w:rPr>
          <w:rFonts w:ascii="Times New Roman" w:hAnsi="Times New Roman" w:cs="Times New Roman"/>
        </w:rPr>
        <w:t xml:space="preserve"> </w:t>
      </w:r>
      <w:r w:rsidRPr="0028605E">
        <w:rPr>
          <w:rFonts w:ascii="Times New Roman" w:hAnsi="Times New Roman" w:cs="Times New Roman"/>
        </w:rPr>
        <w:t>such as the adoption of electronic payment systems</w:t>
      </w:r>
      <w:r w:rsidR="00171646">
        <w:rPr>
          <w:rFonts w:ascii="Times New Roman" w:hAnsi="Times New Roman" w:cs="Times New Roman"/>
        </w:rPr>
        <w:t xml:space="preserve"> </w:t>
      </w:r>
      <w:r w:rsidRPr="0028605E">
        <w:rPr>
          <w:rFonts w:ascii="Times New Roman" w:hAnsi="Times New Roman" w:cs="Times New Roman"/>
        </w:rPr>
        <w:t xml:space="preserve">depends on their ability to enhance the government’s capacity to mobilize and manage non-oil tax revenues (Bamidele, </w:t>
      </w:r>
      <w:proofErr w:type="spellStart"/>
      <w:r w:rsidRPr="0028605E">
        <w:rPr>
          <w:rFonts w:ascii="Times New Roman" w:hAnsi="Times New Roman" w:cs="Times New Roman"/>
        </w:rPr>
        <w:t>Fajana</w:t>
      </w:r>
      <w:proofErr w:type="spellEnd"/>
      <w:r w:rsidRPr="0028605E">
        <w:rPr>
          <w:rFonts w:ascii="Times New Roman" w:hAnsi="Times New Roman" w:cs="Times New Roman"/>
        </w:rPr>
        <w:t xml:space="preserve"> &amp; </w:t>
      </w:r>
      <w:proofErr w:type="spellStart"/>
      <w:r w:rsidRPr="0028605E">
        <w:rPr>
          <w:rFonts w:ascii="Times New Roman" w:hAnsi="Times New Roman" w:cs="Times New Roman"/>
        </w:rPr>
        <w:t>Ogundipe</w:t>
      </w:r>
      <w:proofErr w:type="spellEnd"/>
      <w:r w:rsidRPr="0028605E">
        <w:rPr>
          <w:rFonts w:ascii="Times New Roman" w:hAnsi="Times New Roman" w:cs="Times New Roman"/>
        </w:rPr>
        <w:t>, 2025). The framework underscores the importance of administrative efficiency, taxpayer compliance, and technological innovation in achieving sustainable revenue growth.</w:t>
      </w:r>
    </w:p>
    <w:p w14:paraId="1310A2D8" w14:textId="77777777" w:rsidR="00171646" w:rsidRDefault="00171646" w:rsidP="00171646">
      <w:pPr>
        <w:jc w:val="both"/>
        <w:rPr>
          <w:rFonts w:ascii="Times New Roman" w:hAnsi="Times New Roman" w:cs="Times New Roman"/>
          <w:b/>
          <w:bCs/>
        </w:rPr>
      </w:pPr>
    </w:p>
    <w:p w14:paraId="72DD0527" w14:textId="087374F9" w:rsidR="0028605E" w:rsidRPr="0028605E" w:rsidRDefault="008E20F2" w:rsidP="00171646">
      <w:pPr>
        <w:jc w:val="both"/>
        <w:rPr>
          <w:rFonts w:ascii="Times New Roman" w:hAnsi="Times New Roman" w:cs="Times New Roman"/>
          <w:b/>
          <w:bCs/>
        </w:rPr>
      </w:pPr>
      <w:r>
        <w:rPr>
          <w:rFonts w:ascii="Times New Roman" w:hAnsi="Times New Roman" w:cs="Times New Roman"/>
          <w:b/>
          <w:bCs/>
        </w:rPr>
        <w:t xml:space="preserve">3. </w:t>
      </w:r>
      <w:r w:rsidR="0028605E" w:rsidRPr="0028605E">
        <w:rPr>
          <w:rFonts w:ascii="Times New Roman" w:hAnsi="Times New Roman" w:cs="Times New Roman"/>
          <w:b/>
          <w:bCs/>
        </w:rPr>
        <w:t>Methodology</w:t>
      </w:r>
    </w:p>
    <w:p w14:paraId="241BA361" w14:textId="047735CA" w:rsidR="0028605E" w:rsidRPr="0028605E" w:rsidRDefault="008E20F2" w:rsidP="00171646">
      <w:pPr>
        <w:jc w:val="both"/>
        <w:rPr>
          <w:rFonts w:ascii="Times New Roman" w:hAnsi="Times New Roman" w:cs="Times New Roman"/>
          <w:b/>
          <w:bCs/>
        </w:rPr>
      </w:pPr>
      <w:r>
        <w:rPr>
          <w:rFonts w:ascii="Times New Roman" w:hAnsi="Times New Roman" w:cs="Times New Roman"/>
          <w:b/>
          <w:bCs/>
        </w:rPr>
        <w:t xml:space="preserve">3.1 </w:t>
      </w:r>
      <w:r w:rsidR="0028605E" w:rsidRPr="0028605E">
        <w:rPr>
          <w:rFonts w:ascii="Times New Roman" w:hAnsi="Times New Roman" w:cs="Times New Roman"/>
          <w:b/>
          <w:bCs/>
        </w:rPr>
        <w:t>Research Design</w:t>
      </w:r>
    </w:p>
    <w:p w14:paraId="53577D9B" w14:textId="7ADEDF2C" w:rsidR="0028605E" w:rsidRPr="0028605E" w:rsidRDefault="0028605E" w:rsidP="00171646">
      <w:pPr>
        <w:jc w:val="both"/>
        <w:rPr>
          <w:rFonts w:ascii="Times New Roman" w:hAnsi="Times New Roman" w:cs="Times New Roman"/>
        </w:rPr>
      </w:pPr>
      <w:r w:rsidRPr="0028605E">
        <w:rPr>
          <w:rFonts w:ascii="Times New Roman" w:hAnsi="Times New Roman" w:cs="Times New Roman"/>
        </w:rPr>
        <w:t>This study adopts an ex-post facto research design, utilizing secondary data to empirically assess the impact of electronic payment systems on non-oil tax revenue performance in Nigeria. The design is appropriate for evaluating the effects of policy interventions</w:t>
      </w:r>
      <w:r w:rsidR="00171646">
        <w:rPr>
          <w:rFonts w:ascii="Times New Roman" w:hAnsi="Times New Roman" w:cs="Times New Roman"/>
        </w:rPr>
        <w:t xml:space="preserve"> </w:t>
      </w:r>
      <w:r w:rsidRPr="0028605E">
        <w:rPr>
          <w:rFonts w:ascii="Times New Roman" w:hAnsi="Times New Roman" w:cs="Times New Roman"/>
        </w:rPr>
        <w:t>such as the introduction of e-payment systems</w:t>
      </w:r>
      <w:r w:rsidR="00171646">
        <w:rPr>
          <w:rFonts w:ascii="Times New Roman" w:hAnsi="Times New Roman" w:cs="Times New Roman"/>
        </w:rPr>
        <w:t xml:space="preserve"> </w:t>
      </w:r>
      <w:r w:rsidRPr="0028605E">
        <w:rPr>
          <w:rFonts w:ascii="Times New Roman" w:hAnsi="Times New Roman" w:cs="Times New Roman"/>
        </w:rPr>
        <w:t>using historical data without manipulating the independent variables (</w:t>
      </w:r>
      <w:proofErr w:type="spellStart"/>
      <w:r w:rsidRPr="0028605E">
        <w:rPr>
          <w:rFonts w:ascii="Times New Roman" w:hAnsi="Times New Roman" w:cs="Times New Roman"/>
        </w:rPr>
        <w:t>Afuberoh</w:t>
      </w:r>
      <w:proofErr w:type="spellEnd"/>
      <w:r w:rsidRPr="0028605E">
        <w:rPr>
          <w:rFonts w:ascii="Times New Roman" w:hAnsi="Times New Roman" w:cs="Times New Roman"/>
        </w:rPr>
        <w:t xml:space="preserve"> &amp; Okoye, 2014; Ajayi &amp; </w:t>
      </w:r>
      <w:proofErr w:type="spellStart"/>
      <w:r w:rsidRPr="0028605E">
        <w:rPr>
          <w:rFonts w:ascii="Times New Roman" w:hAnsi="Times New Roman" w:cs="Times New Roman"/>
        </w:rPr>
        <w:t>Yidiat</w:t>
      </w:r>
      <w:proofErr w:type="spellEnd"/>
      <w:r w:rsidRPr="0028605E">
        <w:rPr>
          <w:rFonts w:ascii="Times New Roman" w:hAnsi="Times New Roman" w:cs="Times New Roman"/>
        </w:rPr>
        <w:t>, 2021).</w:t>
      </w:r>
    </w:p>
    <w:p w14:paraId="5E7A7414" w14:textId="2495070B" w:rsidR="0028605E" w:rsidRPr="0028605E" w:rsidRDefault="008E20F2" w:rsidP="00171646">
      <w:pPr>
        <w:jc w:val="both"/>
        <w:rPr>
          <w:rFonts w:ascii="Times New Roman" w:hAnsi="Times New Roman" w:cs="Times New Roman"/>
          <w:b/>
          <w:bCs/>
        </w:rPr>
      </w:pPr>
      <w:r>
        <w:rPr>
          <w:rFonts w:ascii="Times New Roman" w:hAnsi="Times New Roman" w:cs="Times New Roman"/>
          <w:b/>
          <w:bCs/>
        </w:rPr>
        <w:t xml:space="preserve">3.2 </w:t>
      </w:r>
      <w:r w:rsidR="0028605E" w:rsidRPr="0028605E">
        <w:rPr>
          <w:rFonts w:ascii="Times New Roman" w:hAnsi="Times New Roman" w:cs="Times New Roman"/>
          <w:b/>
          <w:bCs/>
        </w:rPr>
        <w:t>Data Sources and Period</w:t>
      </w:r>
    </w:p>
    <w:p w14:paraId="1AC41C21" w14:textId="77777777" w:rsidR="0028605E" w:rsidRPr="0028605E" w:rsidRDefault="0028605E" w:rsidP="00171646">
      <w:pPr>
        <w:jc w:val="both"/>
        <w:rPr>
          <w:rFonts w:ascii="Times New Roman" w:hAnsi="Times New Roman" w:cs="Times New Roman"/>
        </w:rPr>
      </w:pPr>
      <w:r w:rsidRPr="0028605E">
        <w:rPr>
          <w:rFonts w:ascii="Times New Roman" w:hAnsi="Times New Roman" w:cs="Times New Roman"/>
        </w:rPr>
        <w:t>The analysis is based on quarterly secondary data obtained from the Federal Inland Revenue Service (FIRS) statistical bulletin and financial publications. The dataset covers the period from the first quarter of 2011 (Q1 2011) to the fourth quarter of 2022 (Q4 2022), encompassing both the pre-e-payment era (Q1 2011–Q4 2016) and the post-e-payment era (Q1 2017–Q4 2022). This periodization allows for a robust comparison of revenue performance before and after the adoption of electronic payment systems.</w:t>
      </w:r>
    </w:p>
    <w:p w14:paraId="7077D0F0" w14:textId="4DD5634F" w:rsidR="0028605E" w:rsidRPr="0028605E" w:rsidRDefault="008E20F2" w:rsidP="00171646">
      <w:pPr>
        <w:jc w:val="both"/>
        <w:rPr>
          <w:rFonts w:ascii="Times New Roman" w:hAnsi="Times New Roman" w:cs="Times New Roman"/>
          <w:b/>
          <w:bCs/>
        </w:rPr>
      </w:pPr>
      <w:r>
        <w:rPr>
          <w:rFonts w:ascii="Times New Roman" w:hAnsi="Times New Roman" w:cs="Times New Roman"/>
          <w:b/>
          <w:bCs/>
        </w:rPr>
        <w:t xml:space="preserve">3.3 </w:t>
      </w:r>
      <w:r w:rsidR="0028605E" w:rsidRPr="0028605E">
        <w:rPr>
          <w:rFonts w:ascii="Times New Roman" w:hAnsi="Times New Roman" w:cs="Times New Roman"/>
          <w:b/>
          <w:bCs/>
        </w:rPr>
        <w:t>Variables and Measurement</w:t>
      </w:r>
    </w:p>
    <w:p w14:paraId="3F9774CF" w14:textId="77777777" w:rsidR="0028605E" w:rsidRPr="0028605E" w:rsidRDefault="0028605E" w:rsidP="008E20F2">
      <w:pPr>
        <w:numPr>
          <w:ilvl w:val="0"/>
          <w:numId w:val="1"/>
        </w:numPr>
        <w:jc w:val="both"/>
        <w:rPr>
          <w:rFonts w:ascii="Times New Roman" w:hAnsi="Times New Roman" w:cs="Times New Roman"/>
        </w:rPr>
      </w:pPr>
      <w:r w:rsidRPr="0028605E">
        <w:rPr>
          <w:rFonts w:ascii="Times New Roman" w:hAnsi="Times New Roman" w:cs="Times New Roman"/>
        </w:rPr>
        <w:t>Dependent Variable:</w:t>
      </w:r>
    </w:p>
    <w:p w14:paraId="3068F926" w14:textId="77777777" w:rsidR="0028605E" w:rsidRPr="0028605E" w:rsidRDefault="0028605E" w:rsidP="008E20F2">
      <w:pPr>
        <w:numPr>
          <w:ilvl w:val="1"/>
          <w:numId w:val="1"/>
        </w:numPr>
        <w:tabs>
          <w:tab w:val="num" w:pos="1440"/>
        </w:tabs>
        <w:jc w:val="both"/>
        <w:rPr>
          <w:rFonts w:ascii="Times New Roman" w:hAnsi="Times New Roman" w:cs="Times New Roman"/>
        </w:rPr>
      </w:pPr>
      <w:r w:rsidRPr="0028605E">
        <w:rPr>
          <w:rFonts w:ascii="Times New Roman" w:hAnsi="Times New Roman" w:cs="Times New Roman"/>
        </w:rPr>
        <w:t>Non-Oil Revenue (NOR): Quarterly non-oil tax revenue collected by FIRS (₦ billion).</w:t>
      </w:r>
    </w:p>
    <w:p w14:paraId="462AF960" w14:textId="77777777" w:rsidR="0028605E" w:rsidRPr="0028605E" w:rsidRDefault="0028605E" w:rsidP="008E20F2">
      <w:pPr>
        <w:numPr>
          <w:ilvl w:val="0"/>
          <w:numId w:val="1"/>
        </w:numPr>
        <w:jc w:val="both"/>
        <w:rPr>
          <w:rFonts w:ascii="Times New Roman" w:hAnsi="Times New Roman" w:cs="Times New Roman"/>
        </w:rPr>
      </w:pPr>
      <w:r w:rsidRPr="0028605E">
        <w:rPr>
          <w:rFonts w:ascii="Times New Roman" w:hAnsi="Times New Roman" w:cs="Times New Roman"/>
        </w:rPr>
        <w:t>Key Independent Variable:</w:t>
      </w:r>
    </w:p>
    <w:p w14:paraId="79ADB828" w14:textId="77777777" w:rsidR="0028605E" w:rsidRPr="0028605E" w:rsidRDefault="0028605E" w:rsidP="008E20F2">
      <w:pPr>
        <w:numPr>
          <w:ilvl w:val="1"/>
          <w:numId w:val="1"/>
        </w:numPr>
        <w:tabs>
          <w:tab w:val="num" w:pos="1440"/>
        </w:tabs>
        <w:jc w:val="both"/>
        <w:rPr>
          <w:rFonts w:ascii="Times New Roman" w:hAnsi="Times New Roman" w:cs="Times New Roman"/>
        </w:rPr>
      </w:pPr>
      <w:r w:rsidRPr="0028605E">
        <w:rPr>
          <w:rFonts w:ascii="Times New Roman" w:hAnsi="Times New Roman" w:cs="Times New Roman"/>
        </w:rPr>
        <w:t>E-Payment Systems (E_PAYMENT): Dummy variable (0 = pre-e-payment era, 1 = post-e-payment era), capturing the effect of electronic payment system adoption.</w:t>
      </w:r>
    </w:p>
    <w:p w14:paraId="187EC008" w14:textId="77777777" w:rsidR="0028605E" w:rsidRPr="0028605E" w:rsidRDefault="0028605E" w:rsidP="008E20F2">
      <w:pPr>
        <w:numPr>
          <w:ilvl w:val="0"/>
          <w:numId w:val="1"/>
        </w:numPr>
        <w:jc w:val="both"/>
        <w:rPr>
          <w:rFonts w:ascii="Times New Roman" w:hAnsi="Times New Roman" w:cs="Times New Roman"/>
        </w:rPr>
      </w:pPr>
      <w:r w:rsidRPr="0028605E">
        <w:rPr>
          <w:rFonts w:ascii="Times New Roman" w:hAnsi="Times New Roman" w:cs="Times New Roman"/>
        </w:rPr>
        <w:t>Control Variables:</w:t>
      </w:r>
    </w:p>
    <w:p w14:paraId="5199C327" w14:textId="77777777" w:rsidR="0028605E" w:rsidRPr="0028605E" w:rsidRDefault="0028605E" w:rsidP="008E20F2">
      <w:pPr>
        <w:numPr>
          <w:ilvl w:val="1"/>
          <w:numId w:val="1"/>
        </w:numPr>
        <w:tabs>
          <w:tab w:val="num" w:pos="1440"/>
        </w:tabs>
        <w:jc w:val="both"/>
        <w:rPr>
          <w:rFonts w:ascii="Times New Roman" w:hAnsi="Times New Roman" w:cs="Times New Roman"/>
        </w:rPr>
      </w:pPr>
      <w:r w:rsidRPr="0028605E">
        <w:rPr>
          <w:rFonts w:ascii="Times New Roman" w:hAnsi="Times New Roman" w:cs="Times New Roman"/>
        </w:rPr>
        <w:t>Company Income Tax (CIT): Quarterly company income tax revenue (₦ billion).</w:t>
      </w:r>
    </w:p>
    <w:p w14:paraId="12E09D9E" w14:textId="77777777" w:rsidR="0028605E" w:rsidRPr="0028605E" w:rsidRDefault="0028605E" w:rsidP="008E20F2">
      <w:pPr>
        <w:numPr>
          <w:ilvl w:val="1"/>
          <w:numId w:val="1"/>
        </w:numPr>
        <w:tabs>
          <w:tab w:val="num" w:pos="1440"/>
        </w:tabs>
        <w:jc w:val="both"/>
        <w:rPr>
          <w:rFonts w:ascii="Times New Roman" w:hAnsi="Times New Roman" w:cs="Times New Roman"/>
        </w:rPr>
      </w:pPr>
      <w:r w:rsidRPr="0028605E">
        <w:rPr>
          <w:rFonts w:ascii="Times New Roman" w:hAnsi="Times New Roman" w:cs="Times New Roman"/>
        </w:rPr>
        <w:t>Value Added Tax (VAT): Quarterly VAT revenue (₦ billion).</w:t>
      </w:r>
    </w:p>
    <w:p w14:paraId="25685961" w14:textId="7282B1B7" w:rsidR="0028605E" w:rsidRPr="0028605E" w:rsidRDefault="008E20F2" w:rsidP="00171646">
      <w:pPr>
        <w:jc w:val="both"/>
        <w:rPr>
          <w:rFonts w:ascii="Times New Roman" w:hAnsi="Times New Roman" w:cs="Times New Roman"/>
          <w:b/>
          <w:bCs/>
        </w:rPr>
      </w:pPr>
      <w:r>
        <w:rPr>
          <w:rFonts w:ascii="Times New Roman" w:hAnsi="Times New Roman" w:cs="Times New Roman"/>
          <w:b/>
          <w:bCs/>
        </w:rPr>
        <w:t xml:space="preserve">3.4 </w:t>
      </w:r>
      <w:r w:rsidR="0028605E" w:rsidRPr="0028605E">
        <w:rPr>
          <w:rFonts w:ascii="Times New Roman" w:hAnsi="Times New Roman" w:cs="Times New Roman"/>
          <w:b/>
          <w:bCs/>
        </w:rPr>
        <w:t>Model Specification</w:t>
      </w:r>
      <w:r w:rsidR="00171646">
        <w:rPr>
          <w:rFonts w:ascii="Times New Roman" w:hAnsi="Times New Roman" w:cs="Times New Roman"/>
          <w:b/>
          <w:bCs/>
        </w:rPr>
        <w:t>s</w:t>
      </w:r>
    </w:p>
    <w:p w14:paraId="2F39A067" w14:textId="77777777" w:rsidR="0028605E" w:rsidRPr="0028605E" w:rsidRDefault="0028605E" w:rsidP="00171646">
      <w:pPr>
        <w:jc w:val="both"/>
        <w:rPr>
          <w:rFonts w:ascii="Times New Roman" w:hAnsi="Times New Roman" w:cs="Times New Roman"/>
        </w:rPr>
      </w:pPr>
      <w:r w:rsidRPr="0028605E">
        <w:rPr>
          <w:rFonts w:ascii="Times New Roman" w:hAnsi="Times New Roman" w:cs="Times New Roman"/>
        </w:rPr>
        <w:t>The study employs several model specifications to address its objectives, with a primary focus on the effect of e-payment on non-oil revenue:</w:t>
      </w:r>
    </w:p>
    <w:p w14:paraId="50CB51CE" w14:textId="0FE7ACE1" w:rsidR="0028605E" w:rsidRPr="0028605E" w:rsidRDefault="0028605E" w:rsidP="00171646">
      <w:pPr>
        <w:jc w:val="both"/>
        <w:rPr>
          <w:rFonts w:ascii="Times New Roman" w:hAnsi="Times New Roman" w:cs="Times New Roman"/>
        </w:rPr>
      </w:pPr>
      <m:oMathPara>
        <m:oMath>
          <m:r>
            <w:rPr>
              <w:rFonts w:ascii="Cambria Math" w:hAnsi="Cambria Math" w:cs="Times New Roman"/>
            </w:rPr>
            <m:t>NO</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E</m:t>
          </m:r>
          <m:r>
            <m:rPr>
              <m:sty m:val="p"/>
            </m:rPr>
            <w:rPr>
              <w:rFonts w:ascii="Cambria Math" w:hAnsi="Cambria Math" w:cs="Times New Roman"/>
            </w:rPr>
            <m:t>_</m:t>
          </m:r>
          <m:r>
            <w:rPr>
              <w:rFonts w:ascii="Cambria Math" w:hAnsi="Cambria Math" w:cs="Times New Roman"/>
            </w:rPr>
            <m:t>PAYMEN</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CI</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3</m:t>
              </m:r>
            </m:sub>
          </m:sSub>
          <m:r>
            <w:rPr>
              <w:rFonts w:ascii="Cambria Math" w:hAnsi="Cambria Math" w:cs="Times New Roman"/>
            </w:rPr>
            <m:t>VA</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ϵ</m:t>
              </m:r>
            </m:e>
            <m:sub>
              <m:r>
                <w:rPr>
                  <w:rFonts w:ascii="Cambria Math" w:hAnsi="Cambria Math" w:cs="Times New Roman"/>
                </w:rPr>
                <m:t>t</m:t>
              </m:r>
            </m:sub>
          </m:sSub>
        </m:oMath>
      </m:oMathPara>
    </w:p>
    <w:p w14:paraId="230E2321" w14:textId="77777777" w:rsidR="0028605E" w:rsidRPr="0028605E" w:rsidRDefault="0028605E" w:rsidP="00171646">
      <w:pPr>
        <w:jc w:val="both"/>
        <w:rPr>
          <w:rFonts w:ascii="Times New Roman" w:hAnsi="Times New Roman" w:cs="Times New Roman"/>
        </w:rPr>
      </w:pPr>
      <w:r w:rsidRPr="0028605E">
        <w:rPr>
          <w:rFonts w:ascii="Times New Roman" w:hAnsi="Times New Roman" w:cs="Times New Roman"/>
        </w:rPr>
        <w:t>Where:</w:t>
      </w:r>
    </w:p>
    <w:p w14:paraId="706673EA" w14:textId="29D41C24" w:rsidR="0028605E" w:rsidRPr="0028605E" w:rsidRDefault="0028605E" w:rsidP="00171646">
      <w:pPr>
        <w:ind w:left="360"/>
        <w:jc w:val="both"/>
        <w:rPr>
          <w:rFonts w:ascii="Times New Roman" w:hAnsi="Times New Roman" w:cs="Times New Roman"/>
        </w:rPr>
      </w:pPr>
      <m:oMath>
        <m:r>
          <w:rPr>
            <w:rFonts w:ascii="Cambria Math" w:hAnsi="Cambria Math" w:cs="Times New Roman"/>
          </w:rPr>
          <m:t>NO</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t</m:t>
            </m:r>
          </m:sub>
        </m:sSub>
      </m:oMath>
      <w:r w:rsidRPr="0028605E">
        <w:rPr>
          <w:rFonts w:ascii="Times New Roman" w:hAnsi="Times New Roman" w:cs="Times New Roman"/>
        </w:rPr>
        <w:t> = Non-oil revenue</w:t>
      </w:r>
    </w:p>
    <w:p w14:paraId="2579CA6D" w14:textId="4948503E" w:rsidR="0028605E" w:rsidRPr="0028605E" w:rsidRDefault="0028605E" w:rsidP="00171646">
      <w:pPr>
        <w:ind w:left="360"/>
        <w:jc w:val="both"/>
        <w:rPr>
          <w:rFonts w:ascii="Times New Roman" w:hAnsi="Times New Roman" w:cs="Times New Roman"/>
        </w:rPr>
      </w:pPr>
      <m:oMath>
        <m:r>
          <w:rPr>
            <w:rFonts w:ascii="Cambria Math" w:hAnsi="Cambria Math" w:cs="Times New Roman"/>
          </w:rPr>
          <w:lastRenderedPageBreak/>
          <m:t>E</m:t>
        </m:r>
        <m:r>
          <m:rPr>
            <m:sty m:val="p"/>
          </m:rPr>
          <w:rPr>
            <w:rFonts w:ascii="Cambria Math" w:hAnsi="Cambria Math" w:cs="Times New Roman"/>
          </w:rPr>
          <m:t>_</m:t>
        </m:r>
        <m:r>
          <w:rPr>
            <w:rFonts w:ascii="Cambria Math" w:hAnsi="Cambria Math" w:cs="Times New Roman"/>
          </w:rPr>
          <m:t>PAYMEN</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t</m:t>
            </m:r>
          </m:sub>
        </m:sSub>
      </m:oMath>
      <w:r w:rsidRPr="0028605E">
        <w:rPr>
          <w:rFonts w:ascii="Times New Roman" w:hAnsi="Times New Roman" w:cs="Times New Roman"/>
        </w:rPr>
        <w:t xml:space="preserve"> = E-payment system dummy </w:t>
      </w:r>
    </w:p>
    <w:p w14:paraId="4C577929" w14:textId="763B3914" w:rsidR="0028605E" w:rsidRPr="0028605E" w:rsidRDefault="0028605E" w:rsidP="00171646">
      <w:pPr>
        <w:ind w:left="360"/>
        <w:jc w:val="both"/>
        <w:rPr>
          <w:rFonts w:ascii="Times New Roman" w:hAnsi="Times New Roman" w:cs="Times New Roman"/>
        </w:rPr>
      </w:pPr>
      <m:oMath>
        <m:r>
          <w:rPr>
            <w:rFonts w:ascii="Cambria Math" w:hAnsi="Cambria Math" w:cs="Times New Roman"/>
          </w:rPr>
          <m:t>CI</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t</m:t>
            </m:r>
          </m:sub>
        </m:sSub>
      </m:oMath>
      <w:r w:rsidRPr="0028605E">
        <w:rPr>
          <w:rFonts w:ascii="Times New Roman" w:hAnsi="Times New Roman" w:cs="Times New Roman"/>
        </w:rPr>
        <w:t> = Company income tax</w:t>
      </w:r>
    </w:p>
    <w:p w14:paraId="52CFF143" w14:textId="5909BD4F" w:rsidR="0028605E" w:rsidRPr="0028605E" w:rsidRDefault="0028605E" w:rsidP="00171646">
      <w:pPr>
        <w:ind w:left="360"/>
        <w:jc w:val="both"/>
        <w:rPr>
          <w:rFonts w:ascii="Times New Roman" w:hAnsi="Times New Roman" w:cs="Times New Roman"/>
        </w:rPr>
      </w:pPr>
      <m:oMath>
        <m:r>
          <w:rPr>
            <w:rFonts w:ascii="Cambria Math" w:hAnsi="Cambria Math" w:cs="Times New Roman"/>
          </w:rPr>
          <m:t>VA</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t</m:t>
            </m:r>
          </m:sub>
        </m:sSub>
      </m:oMath>
      <w:r w:rsidRPr="0028605E">
        <w:rPr>
          <w:rFonts w:ascii="Times New Roman" w:hAnsi="Times New Roman" w:cs="Times New Roman"/>
        </w:rPr>
        <w:t> = Value added tax</w:t>
      </w:r>
    </w:p>
    <w:p w14:paraId="4B29D083" w14:textId="68FE5136" w:rsidR="0028605E" w:rsidRPr="0028605E" w:rsidRDefault="00C148F1" w:rsidP="00171646">
      <w:pPr>
        <w:ind w:left="360"/>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ϵ</m:t>
            </m:r>
          </m:e>
          <m:sub>
            <m:r>
              <w:rPr>
                <w:rFonts w:ascii="Cambria Math" w:hAnsi="Cambria Math" w:cs="Times New Roman"/>
              </w:rPr>
              <m:t>t</m:t>
            </m:r>
          </m:sub>
        </m:sSub>
      </m:oMath>
      <w:r w:rsidR="0028605E" w:rsidRPr="0028605E">
        <w:rPr>
          <w:rFonts w:ascii="Times New Roman" w:hAnsi="Times New Roman" w:cs="Times New Roman"/>
        </w:rPr>
        <w:t> = Error term</w:t>
      </w:r>
    </w:p>
    <w:p w14:paraId="1E30FC5F" w14:textId="77777777" w:rsidR="0028605E" w:rsidRPr="0028605E" w:rsidRDefault="0028605E" w:rsidP="00171646">
      <w:pPr>
        <w:jc w:val="both"/>
        <w:rPr>
          <w:rFonts w:ascii="Times New Roman" w:hAnsi="Times New Roman" w:cs="Times New Roman"/>
        </w:rPr>
      </w:pPr>
      <w:r w:rsidRPr="0028605E">
        <w:rPr>
          <w:rFonts w:ascii="Times New Roman" w:hAnsi="Times New Roman" w:cs="Times New Roman"/>
        </w:rPr>
        <w:t>Additional models were estimated for robustness, including total revenue and oil revenue as dependent variables, and incorporating macroeconomic controls such as GDP and government expenditure.</w:t>
      </w:r>
    </w:p>
    <w:p w14:paraId="584E86A0" w14:textId="2BB4F298" w:rsidR="0028605E" w:rsidRPr="0028605E" w:rsidRDefault="008E20F2" w:rsidP="00171646">
      <w:pPr>
        <w:jc w:val="both"/>
        <w:rPr>
          <w:rFonts w:ascii="Times New Roman" w:hAnsi="Times New Roman" w:cs="Times New Roman"/>
          <w:b/>
          <w:bCs/>
        </w:rPr>
      </w:pPr>
      <w:r>
        <w:rPr>
          <w:rFonts w:ascii="Times New Roman" w:hAnsi="Times New Roman" w:cs="Times New Roman"/>
          <w:b/>
          <w:bCs/>
        </w:rPr>
        <w:t xml:space="preserve">3.5 </w:t>
      </w:r>
      <w:r w:rsidR="0028605E" w:rsidRPr="0028605E">
        <w:rPr>
          <w:rFonts w:ascii="Times New Roman" w:hAnsi="Times New Roman" w:cs="Times New Roman"/>
          <w:b/>
          <w:bCs/>
        </w:rPr>
        <w:t>Analytical Techniques</w:t>
      </w:r>
    </w:p>
    <w:p w14:paraId="578F9837" w14:textId="7AB6E3C2" w:rsidR="0028605E" w:rsidRPr="0028605E" w:rsidRDefault="0028605E" w:rsidP="00171646">
      <w:pPr>
        <w:numPr>
          <w:ilvl w:val="0"/>
          <w:numId w:val="3"/>
        </w:numPr>
        <w:jc w:val="both"/>
        <w:rPr>
          <w:rFonts w:ascii="Times New Roman" w:hAnsi="Times New Roman" w:cs="Times New Roman"/>
        </w:rPr>
      </w:pPr>
      <w:r w:rsidRPr="0028605E">
        <w:rPr>
          <w:rFonts w:ascii="Times New Roman" w:hAnsi="Times New Roman" w:cs="Times New Roman"/>
          <w:b/>
          <w:bCs/>
        </w:rPr>
        <w:t>Descriptive Statistics:</w:t>
      </w:r>
      <w:r w:rsidR="00171646">
        <w:rPr>
          <w:rFonts w:ascii="Times New Roman" w:hAnsi="Times New Roman" w:cs="Times New Roman"/>
        </w:rPr>
        <w:t xml:space="preserve"> </w:t>
      </w:r>
      <w:r w:rsidRPr="0028605E">
        <w:rPr>
          <w:rFonts w:ascii="Times New Roman" w:hAnsi="Times New Roman" w:cs="Times New Roman"/>
        </w:rPr>
        <w:t>Used to summarize the mean, minimum, maximum, and standard deviation of all variables for both pre- and post-e-payment periods.</w:t>
      </w:r>
    </w:p>
    <w:p w14:paraId="3ACF6BFE" w14:textId="7333D693" w:rsidR="0028605E" w:rsidRPr="0028605E" w:rsidRDefault="0028605E" w:rsidP="00171646">
      <w:pPr>
        <w:numPr>
          <w:ilvl w:val="0"/>
          <w:numId w:val="3"/>
        </w:numPr>
        <w:jc w:val="both"/>
        <w:rPr>
          <w:rFonts w:ascii="Times New Roman" w:hAnsi="Times New Roman" w:cs="Times New Roman"/>
        </w:rPr>
      </w:pPr>
      <w:r w:rsidRPr="0028605E">
        <w:rPr>
          <w:rFonts w:ascii="Times New Roman" w:hAnsi="Times New Roman" w:cs="Times New Roman"/>
          <w:b/>
          <w:bCs/>
        </w:rPr>
        <w:t>Paired Sample t-Tests:</w:t>
      </w:r>
      <w:r w:rsidR="00171646">
        <w:rPr>
          <w:rFonts w:ascii="Times New Roman" w:hAnsi="Times New Roman" w:cs="Times New Roman"/>
        </w:rPr>
        <w:t xml:space="preserve"> </w:t>
      </w:r>
      <w:r w:rsidRPr="0028605E">
        <w:rPr>
          <w:rFonts w:ascii="Times New Roman" w:hAnsi="Times New Roman" w:cs="Times New Roman"/>
        </w:rPr>
        <w:t>Employed to test for significant differences in non-oil revenue (and other revenue streams) before and after the introduction of e-payment systems.</w:t>
      </w:r>
    </w:p>
    <w:p w14:paraId="426ECC56" w14:textId="0B484C44" w:rsidR="0028605E" w:rsidRPr="0028605E" w:rsidRDefault="0028605E" w:rsidP="00171646">
      <w:pPr>
        <w:numPr>
          <w:ilvl w:val="0"/>
          <w:numId w:val="3"/>
        </w:numPr>
        <w:jc w:val="both"/>
        <w:rPr>
          <w:rFonts w:ascii="Times New Roman" w:hAnsi="Times New Roman" w:cs="Times New Roman"/>
        </w:rPr>
      </w:pPr>
      <w:r w:rsidRPr="0028605E">
        <w:rPr>
          <w:rFonts w:ascii="Times New Roman" w:hAnsi="Times New Roman" w:cs="Times New Roman"/>
          <w:b/>
          <w:bCs/>
        </w:rPr>
        <w:t>Correlation Analysis:</w:t>
      </w:r>
      <w:r w:rsidR="00171646">
        <w:rPr>
          <w:rFonts w:ascii="Times New Roman" w:hAnsi="Times New Roman" w:cs="Times New Roman"/>
        </w:rPr>
        <w:t xml:space="preserve"> </w:t>
      </w:r>
      <w:r w:rsidRPr="0028605E">
        <w:rPr>
          <w:rFonts w:ascii="Times New Roman" w:hAnsi="Times New Roman" w:cs="Times New Roman"/>
        </w:rPr>
        <w:t>Pearson’s correlation coefficients were computed to examine the relationships among variables and to check for multicollinearity.</w:t>
      </w:r>
    </w:p>
    <w:p w14:paraId="2FA1C9A6" w14:textId="47A65BAF" w:rsidR="0028605E" w:rsidRPr="0028605E" w:rsidRDefault="0028605E" w:rsidP="00171646">
      <w:pPr>
        <w:numPr>
          <w:ilvl w:val="0"/>
          <w:numId w:val="3"/>
        </w:numPr>
        <w:jc w:val="both"/>
        <w:rPr>
          <w:rFonts w:ascii="Times New Roman" w:hAnsi="Times New Roman" w:cs="Times New Roman"/>
        </w:rPr>
      </w:pPr>
      <w:r w:rsidRPr="0028605E">
        <w:rPr>
          <w:rFonts w:ascii="Times New Roman" w:hAnsi="Times New Roman" w:cs="Times New Roman"/>
          <w:b/>
          <w:bCs/>
        </w:rPr>
        <w:t>Regression Analysis:</w:t>
      </w:r>
      <w:r w:rsidR="00171646">
        <w:rPr>
          <w:rFonts w:ascii="Times New Roman" w:hAnsi="Times New Roman" w:cs="Times New Roman"/>
        </w:rPr>
        <w:t xml:space="preserve"> </w:t>
      </w:r>
      <w:r w:rsidRPr="0028605E">
        <w:rPr>
          <w:rFonts w:ascii="Times New Roman" w:hAnsi="Times New Roman" w:cs="Times New Roman"/>
        </w:rPr>
        <w:t>Ordinary Least Squares (OLS) regression was used to estimate the impact of e-payment systems and other determinants on non-oil revenue. The statistical significance of coefficients was assessed using t-tests, and model fit was evaluated using R-squared and adjusted R-squared values.</w:t>
      </w:r>
    </w:p>
    <w:p w14:paraId="6CC1A6F1" w14:textId="3F31B40E" w:rsidR="0028605E" w:rsidRPr="0028605E" w:rsidRDefault="0028605E" w:rsidP="00171646">
      <w:pPr>
        <w:numPr>
          <w:ilvl w:val="0"/>
          <w:numId w:val="3"/>
        </w:numPr>
        <w:jc w:val="both"/>
        <w:rPr>
          <w:rFonts w:ascii="Times New Roman" w:hAnsi="Times New Roman" w:cs="Times New Roman"/>
        </w:rPr>
      </w:pPr>
      <w:r w:rsidRPr="0028605E">
        <w:rPr>
          <w:rFonts w:ascii="Times New Roman" w:hAnsi="Times New Roman" w:cs="Times New Roman"/>
          <w:b/>
          <w:bCs/>
        </w:rPr>
        <w:t>Diagnostic Tests:</w:t>
      </w:r>
      <w:r w:rsidR="00171646">
        <w:rPr>
          <w:rFonts w:ascii="Times New Roman" w:hAnsi="Times New Roman" w:cs="Times New Roman"/>
        </w:rPr>
        <w:t xml:space="preserve"> </w:t>
      </w:r>
      <w:r w:rsidRPr="0028605E">
        <w:rPr>
          <w:rFonts w:ascii="Times New Roman" w:hAnsi="Times New Roman" w:cs="Times New Roman"/>
        </w:rPr>
        <w:t>The Durbin-Watson statistic was used to check for autocorrelation. Theoretical a-priori expectations were compared with empirical results to ensure economic plausibility.</w:t>
      </w:r>
    </w:p>
    <w:p w14:paraId="17CF657C" w14:textId="77777777" w:rsidR="0028605E" w:rsidRPr="0028605E" w:rsidRDefault="0028605E" w:rsidP="00171646">
      <w:pPr>
        <w:jc w:val="both"/>
        <w:rPr>
          <w:rFonts w:ascii="Times New Roman" w:hAnsi="Times New Roman" w:cs="Times New Roman"/>
        </w:rPr>
      </w:pPr>
      <w:r w:rsidRPr="0028605E">
        <w:rPr>
          <w:rFonts w:ascii="Times New Roman" w:hAnsi="Times New Roman" w:cs="Times New Roman"/>
        </w:rPr>
        <w:t>This methodological approach allows for a comprehensive assessment of the fiscal impact of digital tax reforms, leveraging both pre-post comparisons and multivariate regression to isolate the effect of electronic payment systems on non-oil tax revenue performance in Nigeria.</w:t>
      </w:r>
    </w:p>
    <w:p w14:paraId="6DCB260F" w14:textId="327DDFD8" w:rsidR="00721875" w:rsidRPr="00721875" w:rsidRDefault="008E20F2" w:rsidP="00171646">
      <w:pPr>
        <w:jc w:val="both"/>
        <w:rPr>
          <w:rFonts w:ascii="Times New Roman" w:hAnsi="Times New Roman" w:cs="Times New Roman"/>
          <w:b/>
          <w:bCs/>
        </w:rPr>
      </w:pPr>
      <w:r>
        <w:rPr>
          <w:rFonts w:ascii="Times New Roman" w:hAnsi="Times New Roman" w:cs="Times New Roman"/>
          <w:b/>
          <w:bCs/>
        </w:rPr>
        <w:t xml:space="preserve">4 </w:t>
      </w:r>
      <w:r w:rsidR="00721875" w:rsidRPr="00721875">
        <w:rPr>
          <w:rFonts w:ascii="Times New Roman" w:hAnsi="Times New Roman" w:cs="Times New Roman"/>
          <w:b/>
          <w:bCs/>
        </w:rPr>
        <w:t>Results</w:t>
      </w:r>
    </w:p>
    <w:p w14:paraId="6AE3521E" w14:textId="16B6456B" w:rsidR="00BD5E44" w:rsidRPr="00BD5E44" w:rsidRDefault="008E20F2" w:rsidP="00171646">
      <w:pPr>
        <w:jc w:val="both"/>
        <w:rPr>
          <w:rFonts w:ascii="Times New Roman" w:hAnsi="Times New Roman" w:cs="Times New Roman"/>
          <w:b/>
          <w:bCs/>
        </w:rPr>
      </w:pPr>
      <w:r>
        <w:rPr>
          <w:rFonts w:ascii="Times New Roman" w:hAnsi="Times New Roman" w:cs="Times New Roman"/>
          <w:b/>
          <w:bCs/>
        </w:rPr>
        <w:t xml:space="preserve">4.1 </w:t>
      </w:r>
      <w:r w:rsidR="00BD5E44" w:rsidRPr="00BD5E44">
        <w:rPr>
          <w:rFonts w:ascii="Times New Roman" w:hAnsi="Times New Roman" w:cs="Times New Roman"/>
          <w:b/>
          <w:bCs/>
        </w:rPr>
        <w:t>Descriptive Statistics</w:t>
      </w:r>
    </w:p>
    <w:p w14:paraId="2DD245BB" w14:textId="125984E1" w:rsidR="00BD5E44" w:rsidRPr="00BD5E44" w:rsidRDefault="00BD5E44" w:rsidP="00171646">
      <w:pPr>
        <w:jc w:val="both"/>
        <w:rPr>
          <w:rFonts w:ascii="Times New Roman" w:hAnsi="Times New Roman" w:cs="Times New Roman"/>
        </w:rPr>
      </w:pPr>
      <w:r w:rsidRPr="00BD5E44">
        <w:rPr>
          <w:rFonts w:ascii="Times New Roman" w:hAnsi="Times New Roman" w:cs="Times New Roman"/>
        </w:rPr>
        <w:t>Table 1 presents the summary statistics for the main variables of interest</w:t>
      </w:r>
      <w:r w:rsidR="00171646" w:rsidRPr="00D67E86">
        <w:rPr>
          <w:rFonts w:ascii="Times New Roman" w:hAnsi="Times New Roman" w:cs="Times New Roman"/>
        </w:rPr>
        <w:t xml:space="preserve"> </w:t>
      </w:r>
      <w:r w:rsidRPr="00BD5E44">
        <w:rPr>
          <w:rFonts w:ascii="Times New Roman" w:hAnsi="Times New Roman" w:cs="Times New Roman"/>
        </w:rPr>
        <w:t>non-oil revenue (NOR), company income tax (CIT), value added tax (VAT), and the e-payment system dummy (E_PAYMENT)</w:t>
      </w:r>
      <w:r w:rsidR="00171646" w:rsidRPr="00D67E86">
        <w:rPr>
          <w:rFonts w:ascii="Times New Roman" w:hAnsi="Times New Roman" w:cs="Times New Roman"/>
        </w:rPr>
        <w:t xml:space="preserve"> </w:t>
      </w:r>
      <w:r w:rsidRPr="00BD5E44">
        <w:rPr>
          <w:rFonts w:ascii="Times New Roman" w:hAnsi="Times New Roman" w:cs="Times New Roman"/>
        </w:rPr>
        <w:t>for both the pre- and post-e-payment periods.</w:t>
      </w:r>
    </w:p>
    <w:p w14:paraId="1A76D5E2" w14:textId="77777777" w:rsidR="008E20F2" w:rsidRDefault="008E20F2">
      <w:pPr>
        <w:rPr>
          <w:rFonts w:ascii="Times New Roman" w:hAnsi="Times New Roman" w:cs="Times New Roman"/>
          <w:b/>
          <w:bCs/>
        </w:rPr>
      </w:pPr>
      <w:r>
        <w:rPr>
          <w:rFonts w:ascii="Times New Roman" w:hAnsi="Times New Roman" w:cs="Times New Roman"/>
          <w:b/>
          <w:bCs/>
        </w:rPr>
        <w:br w:type="page"/>
      </w:r>
    </w:p>
    <w:p w14:paraId="76C9E215" w14:textId="6991D3CA" w:rsidR="00BD5E44" w:rsidRPr="00BD5E44" w:rsidRDefault="00BD5E44" w:rsidP="00171646">
      <w:pPr>
        <w:jc w:val="both"/>
        <w:rPr>
          <w:rFonts w:ascii="Times New Roman" w:hAnsi="Times New Roman" w:cs="Times New Roman"/>
          <w:b/>
          <w:bCs/>
        </w:rPr>
      </w:pPr>
      <w:r w:rsidRPr="00BD5E44">
        <w:rPr>
          <w:rFonts w:ascii="Times New Roman" w:hAnsi="Times New Roman" w:cs="Times New Roman"/>
          <w:b/>
          <w:bCs/>
        </w:rPr>
        <w:lastRenderedPageBreak/>
        <w:t>Table 1: Descriptive Statistics of Key Variables (₦ Billion)</w:t>
      </w: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68"/>
        <w:gridCol w:w="1619"/>
        <w:gridCol w:w="450"/>
        <w:gridCol w:w="1170"/>
        <w:gridCol w:w="1170"/>
        <w:gridCol w:w="810"/>
        <w:gridCol w:w="1530"/>
      </w:tblGrid>
      <w:tr w:rsidR="00D67E86" w:rsidRPr="00BD5E44" w14:paraId="0411D0E3" w14:textId="77777777" w:rsidTr="00D67E86">
        <w:tc>
          <w:tcPr>
            <w:tcW w:w="2968" w:type="dxa"/>
            <w:noWrap/>
            <w:vAlign w:val="bottom"/>
            <w:hideMark/>
          </w:tcPr>
          <w:p w14:paraId="39F346F3"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Variable</w:t>
            </w:r>
          </w:p>
        </w:tc>
        <w:tc>
          <w:tcPr>
            <w:tcW w:w="1619" w:type="dxa"/>
            <w:noWrap/>
            <w:vAlign w:val="bottom"/>
            <w:hideMark/>
          </w:tcPr>
          <w:p w14:paraId="44F5B3EA"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Period</w:t>
            </w:r>
          </w:p>
        </w:tc>
        <w:tc>
          <w:tcPr>
            <w:tcW w:w="450" w:type="dxa"/>
            <w:noWrap/>
            <w:vAlign w:val="bottom"/>
            <w:hideMark/>
          </w:tcPr>
          <w:p w14:paraId="2103F778"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N</w:t>
            </w:r>
          </w:p>
        </w:tc>
        <w:tc>
          <w:tcPr>
            <w:tcW w:w="1170" w:type="dxa"/>
            <w:noWrap/>
            <w:vAlign w:val="bottom"/>
            <w:hideMark/>
          </w:tcPr>
          <w:p w14:paraId="303979CE"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Minimum</w:t>
            </w:r>
          </w:p>
        </w:tc>
        <w:tc>
          <w:tcPr>
            <w:tcW w:w="1170" w:type="dxa"/>
            <w:noWrap/>
            <w:vAlign w:val="bottom"/>
            <w:hideMark/>
          </w:tcPr>
          <w:p w14:paraId="2802AB0E"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Maximum</w:t>
            </w:r>
          </w:p>
        </w:tc>
        <w:tc>
          <w:tcPr>
            <w:tcW w:w="810" w:type="dxa"/>
            <w:noWrap/>
            <w:vAlign w:val="bottom"/>
            <w:hideMark/>
          </w:tcPr>
          <w:p w14:paraId="0968FC0D"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Mean</w:t>
            </w:r>
          </w:p>
        </w:tc>
        <w:tc>
          <w:tcPr>
            <w:tcW w:w="1530" w:type="dxa"/>
            <w:noWrap/>
            <w:vAlign w:val="bottom"/>
            <w:hideMark/>
          </w:tcPr>
          <w:p w14:paraId="1B9A2889"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Std. Deviation</w:t>
            </w:r>
          </w:p>
        </w:tc>
      </w:tr>
      <w:tr w:rsidR="00D67E86" w:rsidRPr="00BD5E44" w14:paraId="5B27C4FD" w14:textId="77777777" w:rsidTr="00D67E86">
        <w:tc>
          <w:tcPr>
            <w:tcW w:w="2968" w:type="dxa"/>
            <w:vAlign w:val="bottom"/>
            <w:hideMark/>
          </w:tcPr>
          <w:p w14:paraId="3A874206"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Non-Oil Revenue (NOR)</w:t>
            </w:r>
          </w:p>
        </w:tc>
        <w:tc>
          <w:tcPr>
            <w:tcW w:w="1619" w:type="dxa"/>
            <w:vAlign w:val="bottom"/>
            <w:hideMark/>
          </w:tcPr>
          <w:p w14:paraId="71FCA470"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Pre (2011-16)</w:t>
            </w:r>
          </w:p>
        </w:tc>
        <w:tc>
          <w:tcPr>
            <w:tcW w:w="450" w:type="dxa"/>
            <w:vAlign w:val="bottom"/>
            <w:hideMark/>
          </w:tcPr>
          <w:p w14:paraId="043D48BD"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24</w:t>
            </w:r>
          </w:p>
        </w:tc>
        <w:tc>
          <w:tcPr>
            <w:tcW w:w="1170" w:type="dxa"/>
            <w:vAlign w:val="bottom"/>
            <w:hideMark/>
          </w:tcPr>
          <w:p w14:paraId="3E1C2B70"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278.81</w:t>
            </w:r>
          </w:p>
        </w:tc>
        <w:tc>
          <w:tcPr>
            <w:tcW w:w="1170" w:type="dxa"/>
            <w:vAlign w:val="bottom"/>
            <w:hideMark/>
          </w:tcPr>
          <w:p w14:paraId="59BB4B0B"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832.05</w:t>
            </w:r>
          </w:p>
        </w:tc>
        <w:tc>
          <w:tcPr>
            <w:tcW w:w="810" w:type="dxa"/>
            <w:vAlign w:val="bottom"/>
            <w:hideMark/>
          </w:tcPr>
          <w:p w14:paraId="013AB94B"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452.89</w:t>
            </w:r>
          </w:p>
        </w:tc>
        <w:tc>
          <w:tcPr>
            <w:tcW w:w="1530" w:type="dxa"/>
            <w:vAlign w:val="bottom"/>
            <w:hideMark/>
          </w:tcPr>
          <w:p w14:paraId="44E332FC"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139.51</w:t>
            </w:r>
          </w:p>
        </w:tc>
      </w:tr>
      <w:tr w:rsidR="00D67E86" w:rsidRPr="00BD5E44" w14:paraId="71775163" w14:textId="77777777" w:rsidTr="00D67E86">
        <w:tc>
          <w:tcPr>
            <w:tcW w:w="2968" w:type="dxa"/>
            <w:vAlign w:val="bottom"/>
            <w:hideMark/>
          </w:tcPr>
          <w:p w14:paraId="1FBD023E" w14:textId="77777777" w:rsidR="00BD5E44" w:rsidRPr="00BD5E44" w:rsidRDefault="00BD5E44" w:rsidP="00171646">
            <w:pPr>
              <w:jc w:val="both"/>
              <w:rPr>
                <w:rFonts w:ascii="Times New Roman" w:hAnsi="Times New Roman" w:cs="Times New Roman"/>
              </w:rPr>
            </w:pPr>
          </w:p>
        </w:tc>
        <w:tc>
          <w:tcPr>
            <w:tcW w:w="1619" w:type="dxa"/>
            <w:vAlign w:val="bottom"/>
            <w:hideMark/>
          </w:tcPr>
          <w:p w14:paraId="310BC051"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Post (2017-22)</w:t>
            </w:r>
          </w:p>
        </w:tc>
        <w:tc>
          <w:tcPr>
            <w:tcW w:w="450" w:type="dxa"/>
            <w:vAlign w:val="bottom"/>
            <w:hideMark/>
          </w:tcPr>
          <w:p w14:paraId="2ADDBB51"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24</w:t>
            </w:r>
          </w:p>
        </w:tc>
        <w:tc>
          <w:tcPr>
            <w:tcW w:w="1170" w:type="dxa"/>
            <w:vAlign w:val="bottom"/>
            <w:hideMark/>
          </w:tcPr>
          <w:p w14:paraId="1767EEBE"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380.08</w:t>
            </w:r>
          </w:p>
        </w:tc>
        <w:tc>
          <w:tcPr>
            <w:tcW w:w="1170" w:type="dxa"/>
            <w:vAlign w:val="bottom"/>
            <w:hideMark/>
          </w:tcPr>
          <w:p w14:paraId="093E9A1C"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1514.29</w:t>
            </w:r>
          </w:p>
        </w:tc>
        <w:tc>
          <w:tcPr>
            <w:tcW w:w="810" w:type="dxa"/>
            <w:vAlign w:val="bottom"/>
            <w:hideMark/>
          </w:tcPr>
          <w:p w14:paraId="41AAE8A8"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841.60</w:t>
            </w:r>
          </w:p>
        </w:tc>
        <w:tc>
          <w:tcPr>
            <w:tcW w:w="1530" w:type="dxa"/>
            <w:vAlign w:val="bottom"/>
            <w:hideMark/>
          </w:tcPr>
          <w:p w14:paraId="54AC4F9E"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297.56</w:t>
            </w:r>
          </w:p>
        </w:tc>
      </w:tr>
      <w:tr w:rsidR="00D67E86" w:rsidRPr="00BD5E44" w14:paraId="6897DC57" w14:textId="77777777" w:rsidTr="00D67E86">
        <w:tc>
          <w:tcPr>
            <w:tcW w:w="2968" w:type="dxa"/>
            <w:vAlign w:val="bottom"/>
            <w:hideMark/>
          </w:tcPr>
          <w:p w14:paraId="097A3FE0"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Company Income Tax (CIT)</w:t>
            </w:r>
          </w:p>
        </w:tc>
        <w:tc>
          <w:tcPr>
            <w:tcW w:w="1619" w:type="dxa"/>
            <w:vAlign w:val="bottom"/>
            <w:hideMark/>
          </w:tcPr>
          <w:p w14:paraId="31F1200F"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Pre</w:t>
            </w:r>
          </w:p>
        </w:tc>
        <w:tc>
          <w:tcPr>
            <w:tcW w:w="450" w:type="dxa"/>
            <w:vAlign w:val="bottom"/>
            <w:hideMark/>
          </w:tcPr>
          <w:p w14:paraId="0A67B552"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24</w:t>
            </w:r>
          </w:p>
        </w:tc>
        <w:tc>
          <w:tcPr>
            <w:tcW w:w="1170" w:type="dxa"/>
            <w:vAlign w:val="bottom"/>
            <w:hideMark/>
          </w:tcPr>
          <w:p w14:paraId="47A3C469"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112.36</w:t>
            </w:r>
          </w:p>
        </w:tc>
        <w:tc>
          <w:tcPr>
            <w:tcW w:w="1170" w:type="dxa"/>
            <w:vAlign w:val="bottom"/>
            <w:hideMark/>
          </w:tcPr>
          <w:p w14:paraId="70B2BDC5"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556.27</w:t>
            </w:r>
          </w:p>
        </w:tc>
        <w:tc>
          <w:tcPr>
            <w:tcW w:w="810" w:type="dxa"/>
            <w:vAlign w:val="bottom"/>
            <w:hideMark/>
          </w:tcPr>
          <w:p w14:paraId="14270F4D"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242.27</w:t>
            </w:r>
          </w:p>
        </w:tc>
        <w:tc>
          <w:tcPr>
            <w:tcW w:w="1530" w:type="dxa"/>
            <w:vAlign w:val="bottom"/>
            <w:hideMark/>
          </w:tcPr>
          <w:p w14:paraId="3982C3A1"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118.14</w:t>
            </w:r>
          </w:p>
        </w:tc>
      </w:tr>
      <w:tr w:rsidR="00D67E86" w:rsidRPr="00BD5E44" w14:paraId="3DB03E89" w14:textId="77777777" w:rsidTr="00D67E86">
        <w:tc>
          <w:tcPr>
            <w:tcW w:w="2968" w:type="dxa"/>
            <w:vAlign w:val="bottom"/>
            <w:hideMark/>
          </w:tcPr>
          <w:p w14:paraId="24ECE22E" w14:textId="77777777" w:rsidR="00BD5E44" w:rsidRPr="00BD5E44" w:rsidRDefault="00BD5E44" w:rsidP="00171646">
            <w:pPr>
              <w:jc w:val="both"/>
              <w:rPr>
                <w:rFonts w:ascii="Times New Roman" w:hAnsi="Times New Roman" w:cs="Times New Roman"/>
              </w:rPr>
            </w:pPr>
          </w:p>
        </w:tc>
        <w:tc>
          <w:tcPr>
            <w:tcW w:w="1619" w:type="dxa"/>
            <w:vAlign w:val="bottom"/>
            <w:hideMark/>
          </w:tcPr>
          <w:p w14:paraId="2EADB9C1"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Post</w:t>
            </w:r>
          </w:p>
        </w:tc>
        <w:tc>
          <w:tcPr>
            <w:tcW w:w="450" w:type="dxa"/>
            <w:vAlign w:val="bottom"/>
            <w:hideMark/>
          </w:tcPr>
          <w:p w14:paraId="59BC000C"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24</w:t>
            </w:r>
          </w:p>
        </w:tc>
        <w:tc>
          <w:tcPr>
            <w:tcW w:w="1170" w:type="dxa"/>
            <w:vAlign w:val="bottom"/>
            <w:hideMark/>
          </w:tcPr>
          <w:p w14:paraId="1C5AAB85"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152.42</w:t>
            </w:r>
          </w:p>
        </w:tc>
        <w:tc>
          <w:tcPr>
            <w:tcW w:w="1170" w:type="dxa"/>
            <w:vAlign w:val="bottom"/>
            <w:hideMark/>
          </w:tcPr>
          <w:p w14:paraId="5D72DB04"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778.30</w:t>
            </w:r>
          </w:p>
        </w:tc>
        <w:tc>
          <w:tcPr>
            <w:tcW w:w="810" w:type="dxa"/>
            <w:vAlign w:val="bottom"/>
            <w:hideMark/>
          </w:tcPr>
          <w:p w14:paraId="1A491028"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409.69</w:t>
            </w:r>
          </w:p>
        </w:tc>
        <w:tc>
          <w:tcPr>
            <w:tcW w:w="1530" w:type="dxa"/>
            <w:vAlign w:val="bottom"/>
            <w:hideMark/>
          </w:tcPr>
          <w:p w14:paraId="7FFD90FD"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151.04</w:t>
            </w:r>
          </w:p>
        </w:tc>
      </w:tr>
      <w:tr w:rsidR="00D67E86" w:rsidRPr="00BD5E44" w14:paraId="43CE6258" w14:textId="77777777" w:rsidTr="00D67E86">
        <w:tc>
          <w:tcPr>
            <w:tcW w:w="2968" w:type="dxa"/>
            <w:vAlign w:val="bottom"/>
            <w:hideMark/>
          </w:tcPr>
          <w:p w14:paraId="2D5BD4BA"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Value Added Tax (VAT)</w:t>
            </w:r>
          </w:p>
        </w:tc>
        <w:tc>
          <w:tcPr>
            <w:tcW w:w="1619" w:type="dxa"/>
            <w:vAlign w:val="bottom"/>
            <w:hideMark/>
          </w:tcPr>
          <w:p w14:paraId="36FCBDEF"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Pre</w:t>
            </w:r>
          </w:p>
        </w:tc>
        <w:tc>
          <w:tcPr>
            <w:tcW w:w="450" w:type="dxa"/>
            <w:vAlign w:val="bottom"/>
            <w:hideMark/>
          </w:tcPr>
          <w:p w14:paraId="190F55EA"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24</w:t>
            </w:r>
          </w:p>
        </w:tc>
        <w:tc>
          <w:tcPr>
            <w:tcW w:w="1170" w:type="dxa"/>
            <w:vAlign w:val="bottom"/>
            <w:hideMark/>
          </w:tcPr>
          <w:p w14:paraId="7C5FAE8C"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113.84</w:t>
            </w:r>
          </w:p>
        </w:tc>
        <w:tc>
          <w:tcPr>
            <w:tcW w:w="1170" w:type="dxa"/>
            <w:vAlign w:val="bottom"/>
            <w:hideMark/>
          </w:tcPr>
          <w:p w14:paraId="7DB82811"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174.61</w:t>
            </w:r>
          </w:p>
        </w:tc>
        <w:tc>
          <w:tcPr>
            <w:tcW w:w="810" w:type="dxa"/>
            <w:vAlign w:val="bottom"/>
            <w:hideMark/>
          </w:tcPr>
          <w:p w14:paraId="1CE61415"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147.18</w:t>
            </w:r>
          </w:p>
        </w:tc>
        <w:tc>
          <w:tcPr>
            <w:tcW w:w="1530" w:type="dxa"/>
            <w:vAlign w:val="bottom"/>
            <w:hideMark/>
          </w:tcPr>
          <w:p w14:paraId="419D1F81"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16.48</w:t>
            </w:r>
          </w:p>
        </w:tc>
      </w:tr>
      <w:tr w:rsidR="00D67E86" w:rsidRPr="00BD5E44" w14:paraId="1A98C28E" w14:textId="77777777" w:rsidTr="00D67E86">
        <w:tc>
          <w:tcPr>
            <w:tcW w:w="2968" w:type="dxa"/>
            <w:vAlign w:val="bottom"/>
            <w:hideMark/>
          </w:tcPr>
          <w:p w14:paraId="5F9F9293" w14:textId="77777777" w:rsidR="00BD5E44" w:rsidRPr="00BD5E44" w:rsidRDefault="00BD5E44" w:rsidP="00171646">
            <w:pPr>
              <w:jc w:val="both"/>
              <w:rPr>
                <w:rFonts w:ascii="Times New Roman" w:hAnsi="Times New Roman" w:cs="Times New Roman"/>
              </w:rPr>
            </w:pPr>
          </w:p>
        </w:tc>
        <w:tc>
          <w:tcPr>
            <w:tcW w:w="1619" w:type="dxa"/>
            <w:vAlign w:val="bottom"/>
            <w:hideMark/>
          </w:tcPr>
          <w:p w14:paraId="07C6EB9F"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Post</w:t>
            </w:r>
          </w:p>
        </w:tc>
        <w:tc>
          <w:tcPr>
            <w:tcW w:w="450" w:type="dxa"/>
            <w:vAlign w:val="bottom"/>
            <w:hideMark/>
          </w:tcPr>
          <w:p w14:paraId="7549DA8C"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24</w:t>
            </w:r>
          </w:p>
        </w:tc>
        <w:tc>
          <w:tcPr>
            <w:tcW w:w="1170" w:type="dxa"/>
            <w:vAlign w:val="bottom"/>
            <w:hideMark/>
          </w:tcPr>
          <w:p w14:paraId="2D521802"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126.57</w:t>
            </w:r>
          </w:p>
        </w:tc>
        <w:tc>
          <w:tcPr>
            <w:tcW w:w="1170" w:type="dxa"/>
            <w:vAlign w:val="bottom"/>
            <w:hideMark/>
          </w:tcPr>
          <w:p w14:paraId="416FD4FA"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436.82</w:t>
            </w:r>
          </w:p>
        </w:tc>
        <w:tc>
          <w:tcPr>
            <w:tcW w:w="810" w:type="dxa"/>
            <w:vAlign w:val="bottom"/>
            <w:hideMark/>
          </w:tcPr>
          <w:p w14:paraId="7A4A42E6"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246.65</w:t>
            </w:r>
          </w:p>
        </w:tc>
        <w:tc>
          <w:tcPr>
            <w:tcW w:w="1530" w:type="dxa"/>
            <w:vAlign w:val="bottom"/>
            <w:hideMark/>
          </w:tcPr>
          <w:p w14:paraId="0DF567B8"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93.50</w:t>
            </w:r>
          </w:p>
        </w:tc>
      </w:tr>
      <w:tr w:rsidR="00D67E86" w:rsidRPr="00BD5E44" w14:paraId="43B1E8A4" w14:textId="77777777" w:rsidTr="00D67E86">
        <w:tc>
          <w:tcPr>
            <w:tcW w:w="2968" w:type="dxa"/>
            <w:vAlign w:val="bottom"/>
            <w:hideMark/>
          </w:tcPr>
          <w:p w14:paraId="716C8AB7"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E-Payment Dummy</w:t>
            </w:r>
          </w:p>
        </w:tc>
        <w:tc>
          <w:tcPr>
            <w:tcW w:w="1619" w:type="dxa"/>
            <w:vAlign w:val="bottom"/>
            <w:hideMark/>
          </w:tcPr>
          <w:p w14:paraId="6C12731B"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Pre</w:t>
            </w:r>
          </w:p>
        </w:tc>
        <w:tc>
          <w:tcPr>
            <w:tcW w:w="450" w:type="dxa"/>
            <w:vAlign w:val="bottom"/>
            <w:hideMark/>
          </w:tcPr>
          <w:p w14:paraId="1AD6D0EA"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24</w:t>
            </w:r>
          </w:p>
        </w:tc>
        <w:tc>
          <w:tcPr>
            <w:tcW w:w="1170" w:type="dxa"/>
            <w:vAlign w:val="bottom"/>
            <w:hideMark/>
          </w:tcPr>
          <w:p w14:paraId="3E196F75"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0</w:t>
            </w:r>
          </w:p>
        </w:tc>
        <w:tc>
          <w:tcPr>
            <w:tcW w:w="1170" w:type="dxa"/>
            <w:vAlign w:val="bottom"/>
            <w:hideMark/>
          </w:tcPr>
          <w:p w14:paraId="70D5BC29"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0</w:t>
            </w:r>
          </w:p>
        </w:tc>
        <w:tc>
          <w:tcPr>
            <w:tcW w:w="810" w:type="dxa"/>
            <w:vAlign w:val="bottom"/>
            <w:hideMark/>
          </w:tcPr>
          <w:p w14:paraId="52A056DF"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0.00</w:t>
            </w:r>
          </w:p>
        </w:tc>
        <w:tc>
          <w:tcPr>
            <w:tcW w:w="1530" w:type="dxa"/>
            <w:vAlign w:val="bottom"/>
            <w:hideMark/>
          </w:tcPr>
          <w:p w14:paraId="6C318B17"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0.00</w:t>
            </w:r>
          </w:p>
        </w:tc>
      </w:tr>
      <w:tr w:rsidR="00D67E86" w:rsidRPr="00BD5E44" w14:paraId="1D4C856B" w14:textId="77777777" w:rsidTr="00D67E86">
        <w:tc>
          <w:tcPr>
            <w:tcW w:w="2968" w:type="dxa"/>
            <w:vAlign w:val="bottom"/>
            <w:hideMark/>
          </w:tcPr>
          <w:p w14:paraId="1B36BC03" w14:textId="77777777" w:rsidR="00BD5E44" w:rsidRPr="00BD5E44" w:rsidRDefault="00BD5E44" w:rsidP="00171646">
            <w:pPr>
              <w:jc w:val="both"/>
              <w:rPr>
                <w:rFonts w:ascii="Times New Roman" w:hAnsi="Times New Roman" w:cs="Times New Roman"/>
              </w:rPr>
            </w:pPr>
          </w:p>
        </w:tc>
        <w:tc>
          <w:tcPr>
            <w:tcW w:w="1619" w:type="dxa"/>
            <w:vAlign w:val="bottom"/>
            <w:hideMark/>
          </w:tcPr>
          <w:p w14:paraId="1DD7902A"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Post</w:t>
            </w:r>
          </w:p>
        </w:tc>
        <w:tc>
          <w:tcPr>
            <w:tcW w:w="450" w:type="dxa"/>
            <w:vAlign w:val="bottom"/>
            <w:hideMark/>
          </w:tcPr>
          <w:p w14:paraId="71C26343"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24</w:t>
            </w:r>
          </w:p>
        </w:tc>
        <w:tc>
          <w:tcPr>
            <w:tcW w:w="1170" w:type="dxa"/>
            <w:vAlign w:val="bottom"/>
            <w:hideMark/>
          </w:tcPr>
          <w:p w14:paraId="4966F088"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1</w:t>
            </w:r>
          </w:p>
        </w:tc>
        <w:tc>
          <w:tcPr>
            <w:tcW w:w="1170" w:type="dxa"/>
            <w:vAlign w:val="bottom"/>
            <w:hideMark/>
          </w:tcPr>
          <w:p w14:paraId="0D268087"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1</w:t>
            </w:r>
          </w:p>
        </w:tc>
        <w:tc>
          <w:tcPr>
            <w:tcW w:w="810" w:type="dxa"/>
            <w:vAlign w:val="bottom"/>
            <w:hideMark/>
          </w:tcPr>
          <w:p w14:paraId="191D7CD5"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1.00</w:t>
            </w:r>
          </w:p>
        </w:tc>
        <w:tc>
          <w:tcPr>
            <w:tcW w:w="1530" w:type="dxa"/>
            <w:vAlign w:val="bottom"/>
            <w:hideMark/>
          </w:tcPr>
          <w:p w14:paraId="1B4ABD4A"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0.00</w:t>
            </w:r>
          </w:p>
        </w:tc>
      </w:tr>
    </w:tbl>
    <w:p w14:paraId="1BA722EE" w14:textId="77777777" w:rsidR="00BD5E44" w:rsidRPr="00BD5E44" w:rsidRDefault="00BD5E44" w:rsidP="00171646">
      <w:pPr>
        <w:jc w:val="both"/>
        <w:rPr>
          <w:rFonts w:ascii="Times New Roman" w:hAnsi="Times New Roman" w:cs="Times New Roman"/>
          <w:b/>
          <w:bCs/>
        </w:rPr>
      </w:pPr>
      <w:r w:rsidRPr="00BD5E44">
        <w:rPr>
          <w:rFonts w:ascii="Times New Roman" w:hAnsi="Times New Roman" w:cs="Times New Roman"/>
          <w:b/>
          <w:bCs/>
          <w:i/>
          <w:iCs/>
        </w:rPr>
        <w:t>Source: FIRS Statistical Bulletin, Author’s Computation (2024)</w:t>
      </w:r>
    </w:p>
    <w:p w14:paraId="2276DD44"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The descriptive statistics provide a clear overview of the changes in Nigeria’s fiscal landscape before and after the adoption of electronic payment systems:</w:t>
      </w:r>
    </w:p>
    <w:p w14:paraId="451340CF" w14:textId="4E5AFD31" w:rsidR="00BD5E44" w:rsidRPr="00BD5E44" w:rsidRDefault="00BD5E44" w:rsidP="00171646">
      <w:pPr>
        <w:numPr>
          <w:ilvl w:val="0"/>
          <w:numId w:val="12"/>
        </w:numPr>
        <w:jc w:val="both"/>
        <w:rPr>
          <w:rFonts w:ascii="Times New Roman" w:hAnsi="Times New Roman" w:cs="Times New Roman"/>
        </w:rPr>
      </w:pPr>
      <w:r w:rsidRPr="00BD5E44">
        <w:rPr>
          <w:rFonts w:ascii="Times New Roman" w:hAnsi="Times New Roman" w:cs="Times New Roman"/>
        </w:rPr>
        <w:t>E-Payment Dummy:</w:t>
      </w:r>
      <w:r w:rsidR="00D67E86">
        <w:rPr>
          <w:rFonts w:ascii="Times New Roman" w:hAnsi="Times New Roman" w:cs="Times New Roman"/>
        </w:rPr>
        <w:t xml:space="preserve"> </w:t>
      </w:r>
      <w:r w:rsidRPr="00BD5E44">
        <w:rPr>
          <w:rFonts w:ascii="Times New Roman" w:hAnsi="Times New Roman" w:cs="Times New Roman"/>
        </w:rPr>
        <w:t>The E-Payment Dummy variable effectively distinguishes the two periods under study, with a value of 0 for all observations in the pre-e-payment era (2011–2016) and 1 for all observations in the post-e-payment era (2017–2022). This binary variable serves as a clear marker for the policy intervention and is central to the study’s empirical strategy.</w:t>
      </w:r>
    </w:p>
    <w:p w14:paraId="0EAA2D81" w14:textId="65EC77E5" w:rsidR="00BD5E44" w:rsidRPr="00BD5E44" w:rsidRDefault="00BD5E44" w:rsidP="00171646">
      <w:pPr>
        <w:numPr>
          <w:ilvl w:val="0"/>
          <w:numId w:val="12"/>
        </w:numPr>
        <w:jc w:val="both"/>
        <w:rPr>
          <w:rFonts w:ascii="Times New Roman" w:hAnsi="Times New Roman" w:cs="Times New Roman"/>
        </w:rPr>
      </w:pPr>
      <w:r w:rsidRPr="00BD5E44">
        <w:rPr>
          <w:rFonts w:ascii="Times New Roman" w:hAnsi="Times New Roman" w:cs="Times New Roman"/>
        </w:rPr>
        <w:t>Non-Oil Revenue (NOR):</w:t>
      </w:r>
      <w:r w:rsidR="00D67E86">
        <w:rPr>
          <w:rFonts w:ascii="Times New Roman" w:hAnsi="Times New Roman" w:cs="Times New Roman"/>
        </w:rPr>
        <w:t xml:space="preserve"> </w:t>
      </w:r>
      <w:r w:rsidRPr="00BD5E44">
        <w:rPr>
          <w:rFonts w:ascii="Times New Roman" w:hAnsi="Times New Roman" w:cs="Times New Roman"/>
        </w:rPr>
        <w:t>The mean non-oil revenue increased dramatically from ₦452.89 billion in the pre-e-payment period to ₦841.60 billion in the post-e-payment period. This represents an average increase of nearly 86%, indicating a substantial improvement in the government’s ability to mobilize non-oil tax revenue following the adoption of electronic payment systems. The standard deviation also increased, reflecting greater variability and higher peaks in revenue collection in the post-reform era.</w:t>
      </w:r>
    </w:p>
    <w:p w14:paraId="31A05B59" w14:textId="621C4FCA" w:rsidR="00BD5E44" w:rsidRPr="00BD5E44" w:rsidRDefault="00BD5E44" w:rsidP="00171646">
      <w:pPr>
        <w:numPr>
          <w:ilvl w:val="0"/>
          <w:numId w:val="12"/>
        </w:numPr>
        <w:jc w:val="both"/>
        <w:rPr>
          <w:rFonts w:ascii="Times New Roman" w:hAnsi="Times New Roman" w:cs="Times New Roman"/>
        </w:rPr>
      </w:pPr>
      <w:r w:rsidRPr="00BD5E44">
        <w:rPr>
          <w:rFonts w:ascii="Times New Roman" w:hAnsi="Times New Roman" w:cs="Times New Roman"/>
        </w:rPr>
        <w:t>Company Income Tax (CIT):</w:t>
      </w:r>
      <w:r w:rsidR="00D67E86">
        <w:rPr>
          <w:rFonts w:ascii="Times New Roman" w:hAnsi="Times New Roman" w:cs="Times New Roman"/>
        </w:rPr>
        <w:t xml:space="preserve"> </w:t>
      </w:r>
      <w:r w:rsidRPr="00BD5E44">
        <w:rPr>
          <w:rFonts w:ascii="Times New Roman" w:hAnsi="Times New Roman" w:cs="Times New Roman"/>
        </w:rPr>
        <w:t>The mean CIT rose from ₦242.27 billion to ₦409.69 billion, an increase of approximately 69%. This suggests that electronic payment systems may have contributed to improved compliance and efficiency in the collection of company income tax, which is a major component of non-oil revenue.</w:t>
      </w:r>
    </w:p>
    <w:p w14:paraId="6FDD229F" w14:textId="406DC04D" w:rsidR="00BD5E44" w:rsidRPr="00BD5E44" w:rsidRDefault="00BD5E44" w:rsidP="00171646">
      <w:pPr>
        <w:numPr>
          <w:ilvl w:val="0"/>
          <w:numId w:val="12"/>
        </w:numPr>
        <w:jc w:val="both"/>
        <w:rPr>
          <w:rFonts w:ascii="Times New Roman" w:hAnsi="Times New Roman" w:cs="Times New Roman"/>
        </w:rPr>
      </w:pPr>
      <w:r w:rsidRPr="00BD5E44">
        <w:rPr>
          <w:rFonts w:ascii="Times New Roman" w:hAnsi="Times New Roman" w:cs="Times New Roman"/>
        </w:rPr>
        <w:t>Value Added Tax (VAT):</w:t>
      </w:r>
      <w:r w:rsidR="00D67E86">
        <w:rPr>
          <w:rFonts w:ascii="Times New Roman" w:hAnsi="Times New Roman" w:cs="Times New Roman"/>
        </w:rPr>
        <w:t xml:space="preserve"> </w:t>
      </w:r>
      <w:r w:rsidRPr="00BD5E44">
        <w:rPr>
          <w:rFonts w:ascii="Times New Roman" w:hAnsi="Times New Roman" w:cs="Times New Roman"/>
        </w:rPr>
        <w:t>VAT collections also saw a significant rise, with the mean increasing from ₦147.18 billion to ₦246.65 billion (a 68% increase). The higher standard deviation in the post-e-payment period indicates that VAT revenue became more variable, possibly due to broader tax base coverage and improved enforcement.</w:t>
      </w:r>
    </w:p>
    <w:p w14:paraId="11861DEF" w14:textId="6E4F781D" w:rsidR="00BD5E44" w:rsidRPr="00BD5E44" w:rsidRDefault="00BD5E44" w:rsidP="00171646">
      <w:pPr>
        <w:numPr>
          <w:ilvl w:val="0"/>
          <w:numId w:val="12"/>
        </w:numPr>
        <w:jc w:val="both"/>
        <w:rPr>
          <w:rFonts w:ascii="Times New Roman" w:hAnsi="Times New Roman" w:cs="Times New Roman"/>
        </w:rPr>
      </w:pPr>
      <w:r w:rsidRPr="00BD5E44">
        <w:rPr>
          <w:rFonts w:ascii="Times New Roman" w:hAnsi="Times New Roman" w:cs="Times New Roman"/>
        </w:rPr>
        <w:lastRenderedPageBreak/>
        <w:t>Minimum and Maximum Values:</w:t>
      </w:r>
      <w:r w:rsidR="00D67E86">
        <w:rPr>
          <w:rFonts w:ascii="Times New Roman" w:hAnsi="Times New Roman" w:cs="Times New Roman"/>
        </w:rPr>
        <w:t xml:space="preserve"> </w:t>
      </w:r>
      <w:r w:rsidRPr="00BD5E44">
        <w:rPr>
          <w:rFonts w:ascii="Times New Roman" w:hAnsi="Times New Roman" w:cs="Times New Roman"/>
        </w:rPr>
        <w:t>The minimum and maximum values for NOR, CIT, and VAT are all higher in the post-e-payment period, further illustrating the upward shift in Nigeria’s non-oil revenue performance after the digitalization of tax payments.</w:t>
      </w:r>
    </w:p>
    <w:p w14:paraId="61370A27"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Implications</w:t>
      </w:r>
    </w:p>
    <w:p w14:paraId="178D5A14" w14:textId="77777777" w:rsidR="00BD5E44" w:rsidRPr="00BD5E44" w:rsidRDefault="00BD5E44" w:rsidP="00171646">
      <w:pPr>
        <w:numPr>
          <w:ilvl w:val="0"/>
          <w:numId w:val="13"/>
        </w:numPr>
        <w:jc w:val="both"/>
        <w:rPr>
          <w:rFonts w:ascii="Times New Roman" w:hAnsi="Times New Roman" w:cs="Times New Roman"/>
        </w:rPr>
      </w:pPr>
      <w:r w:rsidRPr="00BD5E44">
        <w:rPr>
          <w:rFonts w:ascii="Times New Roman" w:hAnsi="Times New Roman" w:cs="Times New Roman"/>
        </w:rPr>
        <w:t>The substantial increases in the mean values of non-oil revenue, company income tax, and VAT after the adoption of electronic payment systems provide preliminary evidence of the effectiveness of digital tax reforms in Nigeria.</w:t>
      </w:r>
    </w:p>
    <w:p w14:paraId="24C577ED" w14:textId="77777777" w:rsidR="00BD5E44" w:rsidRPr="00BD5E44" w:rsidRDefault="00BD5E44" w:rsidP="00171646">
      <w:pPr>
        <w:numPr>
          <w:ilvl w:val="0"/>
          <w:numId w:val="13"/>
        </w:numPr>
        <w:jc w:val="both"/>
        <w:rPr>
          <w:rFonts w:ascii="Times New Roman" w:hAnsi="Times New Roman" w:cs="Times New Roman"/>
        </w:rPr>
      </w:pPr>
      <w:r w:rsidRPr="00BD5E44">
        <w:rPr>
          <w:rFonts w:ascii="Times New Roman" w:hAnsi="Times New Roman" w:cs="Times New Roman"/>
        </w:rPr>
        <w:t>The results suggest that the introduction of e-payment systems has not only increased the average level of revenue collection but also expanded the range and variability of revenue, reflecting a more dynamic and responsive tax system.</w:t>
      </w:r>
    </w:p>
    <w:p w14:paraId="46967D96" w14:textId="77777777" w:rsidR="00BD5E44" w:rsidRPr="00BD5E44" w:rsidRDefault="00BD5E44" w:rsidP="00171646">
      <w:pPr>
        <w:numPr>
          <w:ilvl w:val="0"/>
          <w:numId w:val="13"/>
        </w:numPr>
        <w:jc w:val="both"/>
        <w:rPr>
          <w:rFonts w:ascii="Times New Roman" w:hAnsi="Times New Roman" w:cs="Times New Roman"/>
        </w:rPr>
      </w:pPr>
      <w:r w:rsidRPr="00BD5E44">
        <w:rPr>
          <w:rFonts w:ascii="Times New Roman" w:hAnsi="Times New Roman" w:cs="Times New Roman"/>
        </w:rPr>
        <w:t>These findings set the stage for further inferential analysis (such as t-tests and regression) to formally test the statistical significance and causal impact of e-payment adoption on non-oil revenue performance.</w:t>
      </w:r>
    </w:p>
    <w:p w14:paraId="01A6D739"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In summary, the descriptive statistics highlight a marked improvement in Nigeria’s non-oil revenue mobilization following the adoption of electronic payment systems. This upward shift is observed across all key revenue streams and provides strong motivation for the subsequent empirical analysis.</w:t>
      </w:r>
    </w:p>
    <w:p w14:paraId="11E384B7" w14:textId="661DF338" w:rsidR="009F7AAF" w:rsidRPr="00BD5E44" w:rsidRDefault="008E20F2" w:rsidP="00171646">
      <w:pPr>
        <w:jc w:val="both"/>
        <w:rPr>
          <w:rFonts w:ascii="Times New Roman" w:hAnsi="Times New Roman" w:cs="Times New Roman"/>
          <w:b/>
          <w:bCs/>
        </w:rPr>
      </w:pPr>
      <w:r>
        <w:rPr>
          <w:rFonts w:ascii="Times New Roman" w:hAnsi="Times New Roman" w:cs="Times New Roman"/>
          <w:b/>
          <w:bCs/>
        </w:rPr>
        <w:t>4.</w:t>
      </w:r>
      <w:r w:rsidR="009F7AAF" w:rsidRPr="009F7AAF">
        <w:rPr>
          <w:rFonts w:ascii="Times New Roman" w:hAnsi="Times New Roman" w:cs="Times New Roman"/>
          <w:b/>
          <w:bCs/>
        </w:rPr>
        <w:t>2 Trend Analysis</w:t>
      </w:r>
    </w:p>
    <w:p w14:paraId="4C8EDD71" w14:textId="1ADD03DD" w:rsidR="009F7AAF" w:rsidRPr="009F7AAF" w:rsidRDefault="009F7AAF" w:rsidP="00171646">
      <w:pPr>
        <w:jc w:val="both"/>
        <w:rPr>
          <w:rFonts w:ascii="Times New Roman" w:hAnsi="Times New Roman" w:cs="Times New Roman"/>
          <w:b/>
          <w:bCs/>
        </w:rPr>
      </w:pPr>
      <w:r w:rsidRPr="009F7AAF">
        <w:rPr>
          <w:rFonts w:ascii="Times New Roman" w:hAnsi="Times New Roman" w:cs="Times New Roman"/>
          <w:b/>
          <w:bCs/>
        </w:rPr>
        <w:t>Figure 1:</w:t>
      </w:r>
      <w:r w:rsidRPr="009F7AAF">
        <w:rPr>
          <w:rFonts w:ascii="Times New Roman" w:hAnsi="Times New Roman" w:cs="Times New Roman"/>
        </w:rPr>
        <w:t> </w:t>
      </w:r>
      <w:r w:rsidRPr="009F7AAF">
        <w:rPr>
          <w:rFonts w:ascii="Times New Roman" w:hAnsi="Times New Roman" w:cs="Times New Roman"/>
          <w:i/>
          <w:iCs/>
        </w:rPr>
        <w:t>Trend of Non-Oil Revenue Before E-Payment Introduction</w:t>
      </w:r>
      <w:r w:rsidRPr="009F7AAF">
        <w:rPr>
          <w:rFonts w:ascii="Times New Roman" w:hAnsi="Times New Roman" w:cs="Times New Roman"/>
        </w:rPr>
        <w:br/>
      </w:r>
    </w:p>
    <w:p w14:paraId="5F4E9664" w14:textId="64EC6194" w:rsidR="009F7AAF" w:rsidRPr="00BD5E44" w:rsidRDefault="009F7AAF" w:rsidP="00171646">
      <w:pPr>
        <w:jc w:val="both"/>
        <w:rPr>
          <w:rFonts w:ascii="Times New Roman" w:hAnsi="Times New Roman" w:cs="Times New Roman"/>
          <w:b/>
          <w:bCs/>
        </w:rPr>
      </w:pPr>
      <w:r w:rsidRPr="00BD5E44">
        <w:rPr>
          <w:rFonts w:ascii="Times New Roman" w:hAnsi="Times New Roman" w:cs="Times New Roman"/>
          <w:noProof/>
        </w:rPr>
        <w:drawing>
          <wp:inline distT="0" distB="0" distL="0" distR="0" wp14:anchorId="5B685024" wp14:editId="4BD76C10">
            <wp:extent cx="5847715" cy="2764155"/>
            <wp:effectExtent l="19050" t="0" r="635" b="0"/>
            <wp:docPr id="1027" name="Picture 2" descr="C:\Users\UKBASS\AppData\Local\Temp\ksohtml9504\wps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7" cstate="print"/>
                    <a:srcRect/>
                    <a:stretch/>
                  </pic:blipFill>
                  <pic:spPr>
                    <a:xfrm>
                      <a:off x="0" y="0"/>
                      <a:ext cx="5847715" cy="2764155"/>
                    </a:xfrm>
                    <a:prstGeom prst="rect">
                      <a:avLst/>
                    </a:prstGeom>
                    <a:ln>
                      <a:noFill/>
                    </a:ln>
                  </pic:spPr>
                </pic:pic>
              </a:graphicData>
            </a:graphic>
          </wp:inline>
        </w:drawing>
      </w:r>
    </w:p>
    <w:p w14:paraId="32263403" w14:textId="3C1C3573" w:rsidR="008E20F2" w:rsidRDefault="008E20F2" w:rsidP="00171646">
      <w:pPr>
        <w:jc w:val="both"/>
        <w:rPr>
          <w:rFonts w:ascii="Times New Roman" w:hAnsi="Times New Roman" w:cs="Times New Roman"/>
          <w:b/>
          <w:bCs/>
        </w:rPr>
      </w:pPr>
      <w:r>
        <w:rPr>
          <w:rFonts w:ascii="Times New Roman" w:hAnsi="Times New Roman" w:cs="Times New Roman"/>
          <w:b/>
          <w:bCs/>
        </w:rPr>
        <w:t>Source: Authors Computation (2024)</w:t>
      </w:r>
    </w:p>
    <w:p w14:paraId="606709EA" w14:textId="26089418" w:rsidR="009F7AAF" w:rsidRPr="008E20F2" w:rsidRDefault="00B43731" w:rsidP="00171646">
      <w:pPr>
        <w:jc w:val="both"/>
        <w:rPr>
          <w:rFonts w:ascii="Times New Roman" w:hAnsi="Times New Roman" w:cs="Times New Roman"/>
        </w:rPr>
      </w:pPr>
      <w:r w:rsidRPr="008E20F2">
        <w:rPr>
          <w:rFonts w:ascii="Times New Roman" w:hAnsi="Times New Roman" w:cs="Times New Roman"/>
          <w:b/>
          <w:bCs/>
        </w:rPr>
        <w:lastRenderedPageBreak/>
        <w:t>Pre-E-Payment Era</w:t>
      </w:r>
      <w:r w:rsidR="008E20F2" w:rsidRPr="008E20F2">
        <w:rPr>
          <w:rFonts w:ascii="Times New Roman" w:hAnsi="Times New Roman" w:cs="Times New Roman"/>
          <w:b/>
          <w:bCs/>
        </w:rPr>
        <w:t>:</w:t>
      </w:r>
      <w:r w:rsidRPr="00BD5E44">
        <w:rPr>
          <w:rFonts w:ascii="Times New Roman" w:hAnsi="Times New Roman" w:cs="Times New Roman"/>
          <w:b/>
          <w:bCs/>
          <w:i/>
          <w:iCs/>
        </w:rPr>
        <w:t xml:space="preserve"> </w:t>
      </w:r>
      <w:r w:rsidRPr="008E20F2">
        <w:rPr>
          <w:rFonts w:ascii="Times New Roman" w:hAnsi="Times New Roman" w:cs="Times New Roman"/>
        </w:rPr>
        <w:t>The trend of non-oil revenue from Q1 2011 to Q4 2016 is characterized by moderate fluctuations and a generally horizontal pattern. Revenue oscillates between approximately ₦300 billion and ₦800 billion per quarter, with no clear upward trajectory. Peaks are observed in certain quarters, but these are followed by declines, indicating volatility and a lack of sustained growth. This pattern reflects the limitations of manual tax administration, including compliance challenges and inefficiencies in revenue collection</w:t>
      </w:r>
    </w:p>
    <w:p w14:paraId="31824A34" w14:textId="450B182C" w:rsidR="00B43731" w:rsidRPr="00BD5E44" w:rsidRDefault="00B43731" w:rsidP="00171646">
      <w:pPr>
        <w:jc w:val="both"/>
        <w:rPr>
          <w:rFonts w:ascii="Times New Roman" w:hAnsi="Times New Roman" w:cs="Times New Roman"/>
          <w:i/>
          <w:iCs/>
        </w:rPr>
      </w:pPr>
      <w:r w:rsidRPr="009F7AAF">
        <w:rPr>
          <w:rFonts w:ascii="Times New Roman" w:hAnsi="Times New Roman" w:cs="Times New Roman"/>
          <w:b/>
          <w:bCs/>
        </w:rPr>
        <w:t xml:space="preserve">Figure </w:t>
      </w:r>
      <w:r w:rsidRPr="00BD5E44">
        <w:rPr>
          <w:rFonts w:ascii="Times New Roman" w:hAnsi="Times New Roman" w:cs="Times New Roman"/>
          <w:b/>
          <w:bCs/>
        </w:rPr>
        <w:t>2</w:t>
      </w:r>
      <w:r w:rsidRPr="009F7AAF">
        <w:rPr>
          <w:rFonts w:ascii="Times New Roman" w:hAnsi="Times New Roman" w:cs="Times New Roman"/>
          <w:b/>
          <w:bCs/>
        </w:rPr>
        <w:t>:</w:t>
      </w:r>
      <w:r w:rsidRPr="009F7AAF">
        <w:rPr>
          <w:rFonts w:ascii="Times New Roman" w:hAnsi="Times New Roman" w:cs="Times New Roman"/>
        </w:rPr>
        <w:t> Trend of Non-Oil Revenue After E-Payment Introduction</w:t>
      </w:r>
      <w:r w:rsidRPr="009F7AAF">
        <w:rPr>
          <w:rFonts w:ascii="Times New Roman" w:hAnsi="Times New Roman" w:cs="Times New Roman"/>
        </w:rPr>
        <w:br/>
      </w:r>
    </w:p>
    <w:p w14:paraId="257091D0" w14:textId="6A9693AE" w:rsidR="009F7AAF" w:rsidRPr="009F7AAF" w:rsidRDefault="009F7AAF" w:rsidP="00171646">
      <w:pPr>
        <w:jc w:val="both"/>
        <w:rPr>
          <w:rFonts w:ascii="Times New Roman" w:hAnsi="Times New Roman" w:cs="Times New Roman"/>
        </w:rPr>
      </w:pPr>
      <w:r w:rsidRPr="00BD5E44">
        <w:rPr>
          <w:rFonts w:ascii="Times New Roman" w:hAnsi="Times New Roman" w:cs="Times New Roman"/>
          <w:noProof/>
        </w:rPr>
        <w:drawing>
          <wp:inline distT="0" distB="0" distL="0" distR="0" wp14:anchorId="2DAC601D" wp14:editId="48F01393">
            <wp:extent cx="5720080" cy="2764155"/>
            <wp:effectExtent l="19050" t="0" r="0" b="0"/>
            <wp:docPr id="1030" name="Picture 5" descr="C:\Users\UKBASS\AppData\Local\Temp\ksohtml9504\wps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5"/>
                    <pic:cNvPicPr/>
                  </pic:nvPicPr>
                  <pic:blipFill>
                    <a:blip r:embed="rId8" cstate="print"/>
                    <a:srcRect/>
                    <a:stretch/>
                  </pic:blipFill>
                  <pic:spPr>
                    <a:xfrm>
                      <a:off x="0" y="0"/>
                      <a:ext cx="5720080" cy="2764155"/>
                    </a:xfrm>
                    <a:prstGeom prst="rect">
                      <a:avLst/>
                    </a:prstGeom>
                    <a:ln>
                      <a:noFill/>
                    </a:ln>
                  </pic:spPr>
                </pic:pic>
              </a:graphicData>
            </a:graphic>
          </wp:inline>
        </w:drawing>
      </w:r>
    </w:p>
    <w:p w14:paraId="25D65AE7" w14:textId="79773F99" w:rsidR="009F7AAF" w:rsidRPr="00BD5E44" w:rsidRDefault="009F7AAF" w:rsidP="00171646">
      <w:pPr>
        <w:jc w:val="both"/>
        <w:rPr>
          <w:rFonts w:ascii="Times New Roman" w:hAnsi="Times New Roman" w:cs="Times New Roman"/>
          <w:b/>
          <w:bCs/>
        </w:rPr>
      </w:pPr>
      <w:r w:rsidRPr="00BD5E44">
        <w:rPr>
          <w:rFonts w:ascii="Times New Roman" w:hAnsi="Times New Roman" w:cs="Times New Roman"/>
          <w:b/>
        </w:rPr>
        <w:t>Source: Author Compilation, (202</w:t>
      </w:r>
      <w:r w:rsidR="008E20F2">
        <w:rPr>
          <w:rFonts w:ascii="Times New Roman" w:hAnsi="Times New Roman" w:cs="Times New Roman"/>
          <w:b/>
        </w:rPr>
        <w:t>4</w:t>
      </w:r>
      <w:r w:rsidRPr="00BD5E44">
        <w:rPr>
          <w:rFonts w:ascii="Times New Roman" w:hAnsi="Times New Roman" w:cs="Times New Roman"/>
          <w:b/>
        </w:rPr>
        <w:t>)</w:t>
      </w:r>
    </w:p>
    <w:p w14:paraId="3088673C" w14:textId="48BADDEE" w:rsidR="00BD5E44" w:rsidRPr="00BD5E44" w:rsidRDefault="00BD5E44" w:rsidP="00171646">
      <w:pPr>
        <w:jc w:val="both"/>
        <w:rPr>
          <w:rFonts w:ascii="Times New Roman" w:hAnsi="Times New Roman" w:cs="Times New Roman"/>
        </w:rPr>
      </w:pPr>
      <w:r w:rsidRPr="00BD5E44">
        <w:rPr>
          <w:rFonts w:ascii="Times New Roman" w:hAnsi="Times New Roman" w:cs="Times New Roman"/>
          <w:b/>
          <w:bCs/>
        </w:rPr>
        <w:t>Post-E-Payment Era:</w:t>
      </w:r>
      <w:r w:rsidR="008E20F2">
        <w:rPr>
          <w:rFonts w:ascii="Times New Roman" w:hAnsi="Times New Roman" w:cs="Times New Roman"/>
        </w:rPr>
        <w:t xml:space="preserve"> </w:t>
      </w:r>
      <w:r w:rsidRPr="00BD5E44">
        <w:rPr>
          <w:rFonts w:ascii="Times New Roman" w:hAnsi="Times New Roman" w:cs="Times New Roman"/>
        </w:rPr>
        <w:t>In contrast, the trend from Q1 2017 to Q4 2022 shows a marked and sustained upward trajectory in non-oil revenue. Starting from around ₦500 billion per quarter, revenue rises steadily, surpassing ₦1.4 trillion by Q4 2022. The line graph demonstrates not only higher average revenue but also a consistent growth pattern, with fewer sharp declines and a clear long-term increase. This sustained growth coincides with the implementation of electronic payment systems, which likely contributed to improved compliance, reduced leakages, and enhanced efficiency in tax administration.</w:t>
      </w:r>
    </w:p>
    <w:p w14:paraId="15B883CE" w14:textId="0C3318EA" w:rsidR="00B43731" w:rsidRPr="00B43731" w:rsidRDefault="008E20F2" w:rsidP="00171646">
      <w:pPr>
        <w:jc w:val="both"/>
        <w:rPr>
          <w:rFonts w:ascii="Times New Roman" w:hAnsi="Times New Roman" w:cs="Times New Roman"/>
          <w:b/>
          <w:bCs/>
        </w:rPr>
      </w:pPr>
      <w:r>
        <w:rPr>
          <w:rFonts w:ascii="Times New Roman" w:hAnsi="Times New Roman" w:cs="Times New Roman"/>
          <w:b/>
          <w:bCs/>
        </w:rPr>
        <w:t xml:space="preserve">4.3 </w:t>
      </w:r>
      <w:r w:rsidR="00B43731" w:rsidRPr="00B43731">
        <w:rPr>
          <w:rFonts w:ascii="Times New Roman" w:hAnsi="Times New Roman" w:cs="Times New Roman"/>
          <w:b/>
          <w:bCs/>
        </w:rPr>
        <w:t>Paired Sample t-Test</w:t>
      </w:r>
    </w:p>
    <w:p w14:paraId="62A544F5"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To assess the impact of electronic payment system adoption on non-oil revenue, a paired sample t-test was conducted comparing quarterly non-oil revenue before (E_PAYMENT = 0) and after (E_PAYMENT = 1) the implementation of e-payment systems.</w:t>
      </w:r>
    </w:p>
    <w:p w14:paraId="47BDAED7" w14:textId="77777777" w:rsidR="008E20F2" w:rsidRDefault="008E20F2" w:rsidP="00171646">
      <w:pPr>
        <w:jc w:val="both"/>
        <w:rPr>
          <w:rFonts w:ascii="Times New Roman" w:hAnsi="Times New Roman" w:cs="Times New Roman"/>
          <w:b/>
          <w:bCs/>
        </w:rPr>
      </w:pPr>
    </w:p>
    <w:p w14:paraId="5920F01B" w14:textId="77777777" w:rsidR="008E20F2" w:rsidRDefault="008E20F2" w:rsidP="00171646">
      <w:pPr>
        <w:jc w:val="both"/>
        <w:rPr>
          <w:rFonts w:ascii="Times New Roman" w:hAnsi="Times New Roman" w:cs="Times New Roman"/>
          <w:b/>
          <w:bCs/>
        </w:rPr>
      </w:pPr>
    </w:p>
    <w:p w14:paraId="79536403" w14:textId="52E93EF4" w:rsidR="00B43731" w:rsidRPr="00B43731" w:rsidRDefault="00B43731" w:rsidP="00171646">
      <w:pPr>
        <w:jc w:val="both"/>
        <w:rPr>
          <w:rFonts w:ascii="Times New Roman" w:hAnsi="Times New Roman" w:cs="Times New Roman"/>
          <w:b/>
          <w:bCs/>
        </w:rPr>
      </w:pPr>
      <w:r w:rsidRPr="00B43731">
        <w:rPr>
          <w:rFonts w:ascii="Times New Roman" w:hAnsi="Times New Roman" w:cs="Times New Roman"/>
          <w:b/>
          <w:bCs/>
        </w:rPr>
        <w:lastRenderedPageBreak/>
        <w:t>Table 2: Paired Sample t-Test for Non-Oil Revenue (by E-Payment Dummy)</w:t>
      </w: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17"/>
        <w:gridCol w:w="1061"/>
        <w:gridCol w:w="559"/>
        <w:gridCol w:w="1944"/>
        <w:gridCol w:w="1836"/>
      </w:tblGrid>
      <w:tr w:rsidR="00B43731" w:rsidRPr="00B43731" w14:paraId="20191034" w14:textId="77777777" w:rsidTr="008E20F2">
        <w:tc>
          <w:tcPr>
            <w:tcW w:w="4317" w:type="dxa"/>
            <w:noWrap/>
            <w:vAlign w:val="bottom"/>
            <w:hideMark/>
          </w:tcPr>
          <w:p w14:paraId="0F30AE58" w14:textId="77777777" w:rsidR="00B43731" w:rsidRPr="00B43731" w:rsidRDefault="00B43731" w:rsidP="00171646">
            <w:pPr>
              <w:jc w:val="both"/>
              <w:rPr>
                <w:rFonts w:ascii="Times New Roman" w:hAnsi="Times New Roman" w:cs="Times New Roman"/>
                <w:b/>
                <w:bCs/>
              </w:rPr>
            </w:pPr>
            <w:r w:rsidRPr="00B43731">
              <w:rPr>
                <w:rFonts w:ascii="Times New Roman" w:hAnsi="Times New Roman" w:cs="Times New Roman"/>
                <w:b/>
                <w:bCs/>
              </w:rPr>
              <w:t>Group</w:t>
            </w:r>
          </w:p>
        </w:tc>
        <w:tc>
          <w:tcPr>
            <w:tcW w:w="0" w:type="auto"/>
            <w:noWrap/>
            <w:vAlign w:val="bottom"/>
            <w:hideMark/>
          </w:tcPr>
          <w:p w14:paraId="599D2522" w14:textId="77777777" w:rsidR="00B43731" w:rsidRPr="00B43731" w:rsidRDefault="00B43731" w:rsidP="00171646">
            <w:pPr>
              <w:jc w:val="both"/>
              <w:rPr>
                <w:rFonts w:ascii="Times New Roman" w:hAnsi="Times New Roman" w:cs="Times New Roman"/>
                <w:b/>
                <w:bCs/>
              </w:rPr>
            </w:pPr>
            <w:r w:rsidRPr="00B43731">
              <w:rPr>
                <w:rFonts w:ascii="Times New Roman" w:hAnsi="Times New Roman" w:cs="Times New Roman"/>
                <w:b/>
                <w:bCs/>
              </w:rPr>
              <w:t>Mean</w:t>
            </w:r>
          </w:p>
        </w:tc>
        <w:tc>
          <w:tcPr>
            <w:tcW w:w="559" w:type="dxa"/>
            <w:noWrap/>
            <w:vAlign w:val="bottom"/>
            <w:hideMark/>
          </w:tcPr>
          <w:p w14:paraId="7CA667E8" w14:textId="77777777" w:rsidR="00B43731" w:rsidRPr="00B43731" w:rsidRDefault="00B43731" w:rsidP="00171646">
            <w:pPr>
              <w:jc w:val="both"/>
              <w:rPr>
                <w:rFonts w:ascii="Times New Roman" w:hAnsi="Times New Roman" w:cs="Times New Roman"/>
                <w:b/>
                <w:bCs/>
              </w:rPr>
            </w:pPr>
            <w:r w:rsidRPr="00B43731">
              <w:rPr>
                <w:rFonts w:ascii="Times New Roman" w:hAnsi="Times New Roman" w:cs="Times New Roman"/>
                <w:b/>
                <w:bCs/>
              </w:rPr>
              <w:t>N</w:t>
            </w:r>
          </w:p>
        </w:tc>
        <w:tc>
          <w:tcPr>
            <w:tcW w:w="1944" w:type="dxa"/>
            <w:noWrap/>
            <w:vAlign w:val="bottom"/>
            <w:hideMark/>
          </w:tcPr>
          <w:p w14:paraId="16ED3854" w14:textId="77777777" w:rsidR="00B43731" w:rsidRPr="00B43731" w:rsidRDefault="00B43731" w:rsidP="00171646">
            <w:pPr>
              <w:jc w:val="both"/>
              <w:rPr>
                <w:rFonts w:ascii="Times New Roman" w:hAnsi="Times New Roman" w:cs="Times New Roman"/>
                <w:b/>
                <w:bCs/>
              </w:rPr>
            </w:pPr>
            <w:r w:rsidRPr="00B43731">
              <w:rPr>
                <w:rFonts w:ascii="Times New Roman" w:hAnsi="Times New Roman" w:cs="Times New Roman"/>
                <w:b/>
                <w:bCs/>
              </w:rPr>
              <w:t>Std. Deviation</w:t>
            </w:r>
          </w:p>
        </w:tc>
        <w:tc>
          <w:tcPr>
            <w:tcW w:w="1836" w:type="dxa"/>
            <w:noWrap/>
            <w:vAlign w:val="bottom"/>
            <w:hideMark/>
          </w:tcPr>
          <w:p w14:paraId="2596AA89" w14:textId="77777777" w:rsidR="00B43731" w:rsidRPr="00B43731" w:rsidRDefault="00B43731" w:rsidP="00171646">
            <w:pPr>
              <w:jc w:val="both"/>
              <w:rPr>
                <w:rFonts w:ascii="Times New Roman" w:hAnsi="Times New Roman" w:cs="Times New Roman"/>
                <w:b/>
                <w:bCs/>
              </w:rPr>
            </w:pPr>
            <w:r w:rsidRPr="00B43731">
              <w:rPr>
                <w:rFonts w:ascii="Times New Roman" w:hAnsi="Times New Roman" w:cs="Times New Roman"/>
                <w:b/>
                <w:bCs/>
              </w:rPr>
              <w:t>Std. Error Mean</w:t>
            </w:r>
          </w:p>
        </w:tc>
      </w:tr>
      <w:tr w:rsidR="00B43731" w:rsidRPr="00B43731" w14:paraId="0BE23AA0" w14:textId="77777777" w:rsidTr="008E20F2">
        <w:tc>
          <w:tcPr>
            <w:tcW w:w="4317" w:type="dxa"/>
            <w:vAlign w:val="bottom"/>
            <w:hideMark/>
          </w:tcPr>
          <w:p w14:paraId="7C8F6AD6"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Pre-E-Payment (E_PAYMENT=0)</w:t>
            </w:r>
          </w:p>
        </w:tc>
        <w:tc>
          <w:tcPr>
            <w:tcW w:w="0" w:type="auto"/>
            <w:vAlign w:val="bottom"/>
            <w:hideMark/>
          </w:tcPr>
          <w:p w14:paraId="25028CAE"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445.82</w:t>
            </w:r>
          </w:p>
        </w:tc>
        <w:tc>
          <w:tcPr>
            <w:tcW w:w="559" w:type="dxa"/>
            <w:vAlign w:val="bottom"/>
            <w:hideMark/>
          </w:tcPr>
          <w:p w14:paraId="6DDBA947"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20</w:t>
            </w:r>
          </w:p>
        </w:tc>
        <w:tc>
          <w:tcPr>
            <w:tcW w:w="1944" w:type="dxa"/>
            <w:vAlign w:val="bottom"/>
            <w:hideMark/>
          </w:tcPr>
          <w:p w14:paraId="1EFA003B"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143.94</w:t>
            </w:r>
          </w:p>
        </w:tc>
        <w:tc>
          <w:tcPr>
            <w:tcW w:w="1836" w:type="dxa"/>
            <w:vAlign w:val="bottom"/>
            <w:hideMark/>
          </w:tcPr>
          <w:p w14:paraId="77E79F96"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32.18</w:t>
            </w:r>
          </w:p>
        </w:tc>
      </w:tr>
      <w:tr w:rsidR="00B43731" w:rsidRPr="00B43731" w14:paraId="06367C65" w14:textId="77777777" w:rsidTr="008E20F2">
        <w:tc>
          <w:tcPr>
            <w:tcW w:w="4317" w:type="dxa"/>
            <w:vAlign w:val="bottom"/>
            <w:hideMark/>
          </w:tcPr>
          <w:p w14:paraId="00EFCCCB"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Post-E-Payment (E_PAYMENT=1)</w:t>
            </w:r>
          </w:p>
        </w:tc>
        <w:tc>
          <w:tcPr>
            <w:tcW w:w="0" w:type="auto"/>
            <w:vAlign w:val="bottom"/>
            <w:hideMark/>
          </w:tcPr>
          <w:p w14:paraId="0A9031DC"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737.24</w:t>
            </w:r>
          </w:p>
        </w:tc>
        <w:tc>
          <w:tcPr>
            <w:tcW w:w="559" w:type="dxa"/>
            <w:vAlign w:val="bottom"/>
            <w:hideMark/>
          </w:tcPr>
          <w:p w14:paraId="58D57B8B"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20</w:t>
            </w:r>
          </w:p>
        </w:tc>
        <w:tc>
          <w:tcPr>
            <w:tcW w:w="1944" w:type="dxa"/>
            <w:vAlign w:val="bottom"/>
            <w:hideMark/>
          </w:tcPr>
          <w:p w14:paraId="10F178CD"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185.64</w:t>
            </w:r>
          </w:p>
        </w:tc>
        <w:tc>
          <w:tcPr>
            <w:tcW w:w="1836" w:type="dxa"/>
            <w:vAlign w:val="bottom"/>
            <w:hideMark/>
          </w:tcPr>
          <w:p w14:paraId="1AB3FE7B"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41.51</w:t>
            </w:r>
          </w:p>
        </w:tc>
      </w:tr>
    </w:tbl>
    <w:p w14:paraId="734EDBA5" w14:textId="77777777" w:rsidR="00B43731" w:rsidRPr="00B43731" w:rsidRDefault="00B43731" w:rsidP="00171646">
      <w:pPr>
        <w:jc w:val="both"/>
        <w:rPr>
          <w:rFonts w:ascii="Times New Roman" w:hAnsi="Times New Roman" w:cs="Times New Roman"/>
          <w:vanish/>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5"/>
        <w:gridCol w:w="1192"/>
        <w:gridCol w:w="1567"/>
        <w:gridCol w:w="1921"/>
        <w:gridCol w:w="820"/>
        <w:gridCol w:w="418"/>
        <w:gridCol w:w="1552"/>
      </w:tblGrid>
      <w:tr w:rsidR="00B43731" w:rsidRPr="00B43731" w14:paraId="0AF0F15D" w14:textId="77777777" w:rsidTr="008E20F2">
        <w:trPr>
          <w:tblHeader/>
        </w:trPr>
        <w:tc>
          <w:tcPr>
            <w:tcW w:w="2245" w:type="dxa"/>
            <w:noWrap/>
            <w:vAlign w:val="bottom"/>
            <w:hideMark/>
          </w:tcPr>
          <w:p w14:paraId="334D488C"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Paired Differences</w:t>
            </w:r>
          </w:p>
        </w:tc>
        <w:tc>
          <w:tcPr>
            <w:tcW w:w="0" w:type="auto"/>
            <w:noWrap/>
            <w:vAlign w:val="bottom"/>
            <w:hideMark/>
          </w:tcPr>
          <w:p w14:paraId="36E4E339"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Mean</w:t>
            </w:r>
          </w:p>
        </w:tc>
        <w:tc>
          <w:tcPr>
            <w:tcW w:w="1567" w:type="dxa"/>
            <w:noWrap/>
            <w:vAlign w:val="bottom"/>
            <w:hideMark/>
          </w:tcPr>
          <w:p w14:paraId="05EDDCAD"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Std. Deviation</w:t>
            </w:r>
          </w:p>
        </w:tc>
        <w:tc>
          <w:tcPr>
            <w:tcW w:w="1921" w:type="dxa"/>
            <w:noWrap/>
            <w:vAlign w:val="bottom"/>
            <w:hideMark/>
          </w:tcPr>
          <w:p w14:paraId="11377998"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Std. Error Mean</w:t>
            </w:r>
          </w:p>
        </w:tc>
        <w:tc>
          <w:tcPr>
            <w:tcW w:w="0" w:type="auto"/>
            <w:noWrap/>
            <w:vAlign w:val="bottom"/>
            <w:hideMark/>
          </w:tcPr>
          <w:p w14:paraId="18407E29"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t</w:t>
            </w:r>
          </w:p>
        </w:tc>
        <w:tc>
          <w:tcPr>
            <w:tcW w:w="0" w:type="auto"/>
            <w:noWrap/>
            <w:vAlign w:val="bottom"/>
            <w:hideMark/>
          </w:tcPr>
          <w:p w14:paraId="7D34985F"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df</w:t>
            </w:r>
          </w:p>
        </w:tc>
        <w:tc>
          <w:tcPr>
            <w:tcW w:w="1552" w:type="dxa"/>
            <w:noWrap/>
            <w:vAlign w:val="bottom"/>
            <w:hideMark/>
          </w:tcPr>
          <w:p w14:paraId="65C67E87"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Sig. (2-tailed)</w:t>
            </w:r>
          </w:p>
        </w:tc>
      </w:tr>
      <w:tr w:rsidR="00B43731" w:rsidRPr="00B43731" w14:paraId="0BA267E9" w14:textId="77777777" w:rsidTr="008E20F2">
        <w:tc>
          <w:tcPr>
            <w:tcW w:w="2245" w:type="dxa"/>
            <w:vAlign w:val="bottom"/>
            <w:hideMark/>
          </w:tcPr>
          <w:p w14:paraId="58683AF9"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Pre - Post</w:t>
            </w:r>
          </w:p>
        </w:tc>
        <w:tc>
          <w:tcPr>
            <w:tcW w:w="0" w:type="auto"/>
            <w:vAlign w:val="bottom"/>
            <w:hideMark/>
          </w:tcPr>
          <w:p w14:paraId="31AB5985"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-291.42</w:t>
            </w:r>
          </w:p>
        </w:tc>
        <w:tc>
          <w:tcPr>
            <w:tcW w:w="1567" w:type="dxa"/>
            <w:vAlign w:val="bottom"/>
            <w:hideMark/>
          </w:tcPr>
          <w:p w14:paraId="15960ED9"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144.94</w:t>
            </w:r>
          </w:p>
        </w:tc>
        <w:tc>
          <w:tcPr>
            <w:tcW w:w="1921" w:type="dxa"/>
            <w:vAlign w:val="bottom"/>
            <w:hideMark/>
          </w:tcPr>
          <w:p w14:paraId="38C451E8"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32.41</w:t>
            </w:r>
          </w:p>
        </w:tc>
        <w:tc>
          <w:tcPr>
            <w:tcW w:w="0" w:type="auto"/>
            <w:vAlign w:val="bottom"/>
            <w:hideMark/>
          </w:tcPr>
          <w:p w14:paraId="5E86F829"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-8.99</w:t>
            </w:r>
          </w:p>
        </w:tc>
        <w:tc>
          <w:tcPr>
            <w:tcW w:w="0" w:type="auto"/>
            <w:vAlign w:val="bottom"/>
            <w:hideMark/>
          </w:tcPr>
          <w:p w14:paraId="7AEB36A6"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19</w:t>
            </w:r>
          </w:p>
        </w:tc>
        <w:tc>
          <w:tcPr>
            <w:tcW w:w="1552" w:type="dxa"/>
            <w:vAlign w:val="bottom"/>
            <w:hideMark/>
          </w:tcPr>
          <w:p w14:paraId="2C9C84E1"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.000</w:t>
            </w:r>
          </w:p>
        </w:tc>
      </w:tr>
    </w:tbl>
    <w:p w14:paraId="707903A6" w14:textId="01808E9D" w:rsidR="00B43731" w:rsidRPr="00B43731" w:rsidRDefault="008E20F2" w:rsidP="00171646">
      <w:pPr>
        <w:jc w:val="both"/>
        <w:rPr>
          <w:rFonts w:ascii="Times New Roman" w:hAnsi="Times New Roman" w:cs="Times New Roman"/>
          <w:b/>
          <w:bCs/>
        </w:rPr>
      </w:pPr>
      <w:r>
        <w:rPr>
          <w:rFonts w:ascii="Times New Roman" w:hAnsi="Times New Roman" w:cs="Times New Roman"/>
          <w:b/>
          <w:bCs/>
        </w:rPr>
        <w:t>Source: Authors Computation (2024)</w:t>
      </w:r>
    </w:p>
    <w:p w14:paraId="6D8DE55F"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The paired sample t-test reveals a substantial and statistically significant increase in non-oil revenue following the adoption of electronic payment systems in Nigeria. Specifically, the mean quarterly non-oil revenue rose from ₦445.82 billion in the pre-e-payment era to ₦737.24 billion in the post-e-payment era, representing an average increase of ₦291.42 billion per quarter.</w:t>
      </w:r>
    </w:p>
    <w:p w14:paraId="77A56744"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The negative mean difference (-291.42) indicates that post-e-payment non-oil revenue is consistently higher than pre-e-payment revenue. The t-statistic of -8.99 and the associated p-value of .000 (p &lt; 0.001) confirm that this difference is highly statistically significant and unlikely to have occurred by chance.</w:t>
      </w:r>
    </w:p>
    <w:p w14:paraId="1F77A25A" w14:textId="77777777" w:rsidR="00B43731" w:rsidRPr="00B43731" w:rsidRDefault="00B43731" w:rsidP="00171646">
      <w:pPr>
        <w:jc w:val="both"/>
        <w:rPr>
          <w:rFonts w:ascii="Times New Roman" w:hAnsi="Times New Roman" w:cs="Times New Roman"/>
          <w:b/>
          <w:bCs/>
        </w:rPr>
      </w:pPr>
      <w:r w:rsidRPr="00B43731">
        <w:rPr>
          <w:rFonts w:ascii="Times New Roman" w:hAnsi="Times New Roman" w:cs="Times New Roman"/>
          <w:b/>
          <w:bCs/>
        </w:rPr>
        <w:t>Implications:</w:t>
      </w:r>
    </w:p>
    <w:p w14:paraId="4B9C19E8" w14:textId="77777777" w:rsidR="00B43731" w:rsidRPr="00B43731" w:rsidRDefault="00B43731" w:rsidP="00171646">
      <w:pPr>
        <w:numPr>
          <w:ilvl w:val="0"/>
          <w:numId w:val="9"/>
        </w:numPr>
        <w:jc w:val="both"/>
        <w:rPr>
          <w:rFonts w:ascii="Times New Roman" w:hAnsi="Times New Roman" w:cs="Times New Roman"/>
        </w:rPr>
      </w:pPr>
      <w:r w:rsidRPr="00B43731">
        <w:rPr>
          <w:rFonts w:ascii="Times New Roman" w:hAnsi="Times New Roman" w:cs="Times New Roman"/>
        </w:rPr>
        <w:t>The results provide strong empirical evidence that the introduction of electronic payment systems has had a major positive impact on non-oil tax revenue performance in Nigeria.</w:t>
      </w:r>
    </w:p>
    <w:p w14:paraId="3E9AB080" w14:textId="77777777" w:rsidR="00B43731" w:rsidRPr="00B43731" w:rsidRDefault="00B43731" w:rsidP="00171646">
      <w:pPr>
        <w:numPr>
          <w:ilvl w:val="0"/>
          <w:numId w:val="9"/>
        </w:numPr>
        <w:jc w:val="both"/>
        <w:rPr>
          <w:rFonts w:ascii="Times New Roman" w:hAnsi="Times New Roman" w:cs="Times New Roman"/>
        </w:rPr>
      </w:pPr>
      <w:r w:rsidRPr="00B43731">
        <w:rPr>
          <w:rFonts w:ascii="Times New Roman" w:hAnsi="Times New Roman" w:cs="Times New Roman"/>
        </w:rPr>
        <w:t>The magnitude of the increase suggests that digitalization of tax payment processes may have improved compliance, reduced leakages, and enhanced the efficiency of revenue collection.</w:t>
      </w:r>
    </w:p>
    <w:p w14:paraId="4F71E276" w14:textId="77777777" w:rsidR="00B43731" w:rsidRPr="00B43731" w:rsidRDefault="00B43731" w:rsidP="00171646">
      <w:pPr>
        <w:numPr>
          <w:ilvl w:val="0"/>
          <w:numId w:val="9"/>
        </w:numPr>
        <w:jc w:val="both"/>
        <w:rPr>
          <w:rFonts w:ascii="Times New Roman" w:hAnsi="Times New Roman" w:cs="Times New Roman"/>
        </w:rPr>
      </w:pPr>
      <w:r w:rsidRPr="00B43731">
        <w:rPr>
          <w:rFonts w:ascii="Times New Roman" w:hAnsi="Times New Roman" w:cs="Times New Roman"/>
        </w:rPr>
        <w:t>These findings are consistent with the study’s a-priori expectations and reinforce the results from the regression analysis, which also identified e-payment adoption as a significant determinant of non-oil revenue.</w:t>
      </w:r>
    </w:p>
    <w:p w14:paraId="5F09990A"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Policy Relevance:</w:t>
      </w:r>
    </w:p>
    <w:p w14:paraId="0E40FC1D" w14:textId="77777777" w:rsidR="00B43731" w:rsidRPr="00B43731" w:rsidRDefault="00B43731" w:rsidP="00171646">
      <w:pPr>
        <w:numPr>
          <w:ilvl w:val="0"/>
          <w:numId w:val="10"/>
        </w:numPr>
        <w:jc w:val="both"/>
        <w:rPr>
          <w:rFonts w:ascii="Times New Roman" w:hAnsi="Times New Roman" w:cs="Times New Roman"/>
        </w:rPr>
      </w:pPr>
      <w:r w:rsidRPr="00B43731">
        <w:rPr>
          <w:rFonts w:ascii="Times New Roman" w:hAnsi="Times New Roman" w:cs="Times New Roman"/>
        </w:rPr>
        <w:t>The significant improvement in non-oil revenue post-e-payment adoption supports continued investment in digital tax infrastructure and taxpayer education.</w:t>
      </w:r>
    </w:p>
    <w:p w14:paraId="6E149217" w14:textId="77777777" w:rsidR="00B43731" w:rsidRPr="00B43731" w:rsidRDefault="00B43731" w:rsidP="00171646">
      <w:pPr>
        <w:numPr>
          <w:ilvl w:val="0"/>
          <w:numId w:val="10"/>
        </w:numPr>
        <w:jc w:val="both"/>
        <w:rPr>
          <w:rFonts w:ascii="Times New Roman" w:hAnsi="Times New Roman" w:cs="Times New Roman"/>
        </w:rPr>
      </w:pPr>
      <w:r w:rsidRPr="00B43731">
        <w:rPr>
          <w:rFonts w:ascii="Times New Roman" w:hAnsi="Times New Roman" w:cs="Times New Roman"/>
        </w:rPr>
        <w:t>Policymakers and tax authorities can leverage these insights to further optimize electronic tax systems and expand their use to other areas of fiscal administration.</w:t>
      </w:r>
    </w:p>
    <w:p w14:paraId="263566FB" w14:textId="4B8385E1" w:rsidR="00B43731" w:rsidRPr="00B43731" w:rsidRDefault="00B43731" w:rsidP="00171646">
      <w:pPr>
        <w:jc w:val="both"/>
        <w:rPr>
          <w:rFonts w:ascii="Times New Roman" w:hAnsi="Times New Roman" w:cs="Times New Roman"/>
        </w:rPr>
      </w:pPr>
      <w:r w:rsidRPr="00B43731">
        <w:rPr>
          <w:rFonts w:ascii="Times New Roman" w:hAnsi="Times New Roman" w:cs="Times New Roman"/>
        </w:rPr>
        <w:t xml:space="preserve">In summary, the paired sample t-test provides robust statistical confirmation that the adoption of electronic payment systems has led to a significant and meaningful increase in non-oil revenue in </w:t>
      </w:r>
      <w:r w:rsidRPr="00B43731">
        <w:rPr>
          <w:rFonts w:ascii="Times New Roman" w:hAnsi="Times New Roman" w:cs="Times New Roman"/>
        </w:rPr>
        <w:lastRenderedPageBreak/>
        <w:t>Nigeria, thereby strengthening the country’s fiscal capacity and supporting the case for ongoing digital reforms in tax administration.</w:t>
      </w:r>
    </w:p>
    <w:p w14:paraId="0EB9947D" w14:textId="00893744" w:rsidR="00B43731" w:rsidRPr="00B43731" w:rsidRDefault="008E20F2" w:rsidP="00171646">
      <w:pPr>
        <w:jc w:val="both"/>
        <w:rPr>
          <w:rFonts w:ascii="Times New Roman" w:hAnsi="Times New Roman" w:cs="Times New Roman"/>
          <w:b/>
          <w:bCs/>
        </w:rPr>
      </w:pPr>
      <w:r>
        <w:rPr>
          <w:rFonts w:ascii="Times New Roman" w:hAnsi="Times New Roman" w:cs="Times New Roman"/>
          <w:b/>
          <w:bCs/>
        </w:rPr>
        <w:t xml:space="preserve">4.4 </w:t>
      </w:r>
      <w:r w:rsidR="00B43731" w:rsidRPr="00B43731">
        <w:rPr>
          <w:rFonts w:ascii="Times New Roman" w:hAnsi="Times New Roman" w:cs="Times New Roman"/>
          <w:b/>
          <w:bCs/>
        </w:rPr>
        <w:t>Correlation Analysis</w:t>
      </w:r>
    </w:p>
    <w:p w14:paraId="00822900"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Pearson’s correlation coefficients were computed to examine the relationships among the variables, including the E-Payment Dummy (E_PAYMENT), Non-Oil Revenue (NOR), Company Income Tax (CIT), and Value Added Tax (VAT) for the post-e-payment era.</w:t>
      </w:r>
    </w:p>
    <w:p w14:paraId="1C6B9136" w14:textId="77777777" w:rsidR="00B43731" w:rsidRPr="00B43731" w:rsidRDefault="00B43731" w:rsidP="00171646">
      <w:pPr>
        <w:jc w:val="both"/>
        <w:rPr>
          <w:rFonts w:ascii="Times New Roman" w:hAnsi="Times New Roman" w:cs="Times New Roman"/>
          <w:b/>
          <w:bCs/>
        </w:rPr>
      </w:pPr>
      <w:r w:rsidRPr="00B43731">
        <w:rPr>
          <w:rFonts w:ascii="Times New Roman" w:hAnsi="Times New Roman" w:cs="Times New Roman"/>
          <w:b/>
          <w:bCs/>
        </w:rPr>
        <w:t>Table 3: Pearson Correlation Matrix (Post-E-Payment Era)</w:t>
      </w: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8"/>
        <w:gridCol w:w="1785"/>
        <w:gridCol w:w="1785"/>
        <w:gridCol w:w="1559"/>
        <w:gridCol w:w="1710"/>
      </w:tblGrid>
      <w:tr w:rsidR="008E20F2" w:rsidRPr="00B43731" w14:paraId="3F150C26" w14:textId="77777777" w:rsidTr="008E20F2">
        <w:tc>
          <w:tcPr>
            <w:tcW w:w="0" w:type="auto"/>
            <w:noWrap/>
            <w:vAlign w:val="bottom"/>
            <w:hideMark/>
          </w:tcPr>
          <w:p w14:paraId="65AE7E89" w14:textId="77777777" w:rsidR="00B43731" w:rsidRPr="00B43731" w:rsidRDefault="00B43731" w:rsidP="00171646">
            <w:pPr>
              <w:jc w:val="both"/>
              <w:rPr>
                <w:rFonts w:ascii="Times New Roman" w:hAnsi="Times New Roman" w:cs="Times New Roman"/>
                <w:b/>
                <w:bCs/>
              </w:rPr>
            </w:pPr>
            <w:r w:rsidRPr="00B43731">
              <w:rPr>
                <w:rFonts w:ascii="Times New Roman" w:hAnsi="Times New Roman" w:cs="Times New Roman"/>
                <w:b/>
                <w:bCs/>
              </w:rPr>
              <w:t>Variable</w:t>
            </w:r>
          </w:p>
        </w:tc>
        <w:tc>
          <w:tcPr>
            <w:tcW w:w="0" w:type="auto"/>
            <w:noWrap/>
            <w:vAlign w:val="bottom"/>
            <w:hideMark/>
          </w:tcPr>
          <w:p w14:paraId="723942C4" w14:textId="77777777" w:rsidR="00B43731" w:rsidRPr="00B43731" w:rsidRDefault="00B43731" w:rsidP="00171646">
            <w:pPr>
              <w:jc w:val="both"/>
              <w:rPr>
                <w:rFonts w:ascii="Times New Roman" w:hAnsi="Times New Roman" w:cs="Times New Roman"/>
                <w:b/>
                <w:bCs/>
              </w:rPr>
            </w:pPr>
            <w:r w:rsidRPr="00B43731">
              <w:rPr>
                <w:rFonts w:ascii="Times New Roman" w:hAnsi="Times New Roman" w:cs="Times New Roman"/>
                <w:b/>
                <w:bCs/>
              </w:rPr>
              <w:t>NOR</w:t>
            </w:r>
          </w:p>
        </w:tc>
        <w:tc>
          <w:tcPr>
            <w:tcW w:w="0" w:type="auto"/>
            <w:noWrap/>
            <w:vAlign w:val="bottom"/>
            <w:hideMark/>
          </w:tcPr>
          <w:p w14:paraId="19C35E6E" w14:textId="77777777" w:rsidR="00B43731" w:rsidRPr="00B43731" w:rsidRDefault="00B43731" w:rsidP="00171646">
            <w:pPr>
              <w:jc w:val="both"/>
              <w:rPr>
                <w:rFonts w:ascii="Times New Roman" w:hAnsi="Times New Roman" w:cs="Times New Roman"/>
                <w:b/>
                <w:bCs/>
              </w:rPr>
            </w:pPr>
            <w:r w:rsidRPr="00B43731">
              <w:rPr>
                <w:rFonts w:ascii="Times New Roman" w:hAnsi="Times New Roman" w:cs="Times New Roman"/>
                <w:b/>
                <w:bCs/>
              </w:rPr>
              <w:t>CIT</w:t>
            </w:r>
          </w:p>
        </w:tc>
        <w:tc>
          <w:tcPr>
            <w:tcW w:w="1559" w:type="dxa"/>
            <w:noWrap/>
            <w:vAlign w:val="bottom"/>
            <w:hideMark/>
          </w:tcPr>
          <w:p w14:paraId="770A53EF" w14:textId="77777777" w:rsidR="00B43731" w:rsidRPr="00B43731" w:rsidRDefault="00B43731" w:rsidP="00171646">
            <w:pPr>
              <w:jc w:val="both"/>
              <w:rPr>
                <w:rFonts w:ascii="Times New Roman" w:hAnsi="Times New Roman" w:cs="Times New Roman"/>
                <w:b/>
                <w:bCs/>
              </w:rPr>
            </w:pPr>
            <w:r w:rsidRPr="00B43731">
              <w:rPr>
                <w:rFonts w:ascii="Times New Roman" w:hAnsi="Times New Roman" w:cs="Times New Roman"/>
                <w:b/>
                <w:bCs/>
              </w:rPr>
              <w:t>VAT</w:t>
            </w:r>
          </w:p>
        </w:tc>
        <w:tc>
          <w:tcPr>
            <w:tcW w:w="1710" w:type="dxa"/>
            <w:noWrap/>
            <w:vAlign w:val="bottom"/>
            <w:hideMark/>
          </w:tcPr>
          <w:p w14:paraId="6242FDF2" w14:textId="77777777" w:rsidR="00B43731" w:rsidRPr="00B43731" w:rsidRDefault="00B43731" w:rsidP="00171646">
            <w:pPr>
              <w:jc w:val="both"/>
              <w:rPr>
                <w:rFonts w:ascii="Times New Roman" w:hAnsi="Times New Roman" w:cs="Times New Roman"/>
                <w:b/>
                <w:bCs/>
              </w:rPr>
            </w:pPr>
            <w:r w:rsidRPr="00B43731">
              <w:rPr>
                <w:rFonts w:ascii="Times New Roman" w:hAnsi="Times New Roman" w:cs="Times New Roman"/>
                <w:b/>
                <w:bCs/>
              </w:rPr>
              <w:t>E_PAYMENT</w:t>
            </w:r>
          </w:p>
        </w:tc>
      </w:tr>
      <w:tr w:rsidR="008E20F2" w:rsidRPr="00B43731" w14:paraId="56788C37" w14:textId="77777777" w:rsidTr="008E20F2">
        <w:tc>
          <w:tcPr>
            <w:tcW w:w="2698" w:type="dxa"/>
            <w:vAlign w:val="bottom"/>
            <w:hideMark/>
          </w:tcPr>
          <w:p w14:paraId="257FE27A"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NOR</w:t>
            </w:r>
          </w:p>
        </w:tc>
        <w:tc>
          <w:tcPr>
            <w:tcW w:w="0" w:type="auto"/>
            <w:vAlign w:val="bottom"/>
            <w:hideMark/>
          </w:tcPr>
          <w:p w14:paraId="36201F8A"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1</w:t>
            </w:r>
          </w:p>
        </w:tc>
        <w:tc>
          <w:tcPr>
            <w:tcW w:w="0" w:type="auto"/>
            <w:vAlign w:val="bottom"/>
            <w:hideMark/>
          </w:tcPr>
          <w:p w14:paraId="0966B3F9" w14:textId="4EE1DD7F" w:rsidR="00B43731" w:rsidRPr="00B43731" w:rsidRDefault="00B43731" w:rsidP="00171646">
            <w:pPr>
              <w:jc w:val="both"/>
              <w:rPr>
                <w:rFonts w:ascii="Times New Roman" w:hAnsi="Times New Roman" w:cs="Times New Roman"/>
              </w:rPr>
            </w:pPr>
          </w:p>
        </w:tc>
        <w:tc>
          <w:tcPr>
            <w:tcW w:w="1559" w:type="dxa"/>
            <w:vAlign w:val="bottom"/>
            <w:hideMark/>
          </w:tcPr>
          <w:p w14:paraId="44130BD5" w14:textId="5A197D03" w:rsidR="00B43731" w:rsidRPr="00B43731" w:rsidRDefault="00B43731" w:rsidP="00171646">
            <w:pPr>
              <w:jc w:val="both"/>
              <w:rPr>
                <w:rFonts w:ascii="Times New Roman" w:hAnsi="Times New Roman" w:cs="Times New Roman"/>
              </w:rPr>
            </w:pPr>
          </w:p>
        </w:tc>
        <w:tc>
          <w:tcPr>
            <w:tcW w:w="1710" w:type="dxa"/>
            <w:vAlign w:val="bottom"/>
            <w:hideMark/>
          </w:tcPr>
          <w:p w14:paraId="29B9C2F2" w14:textId="24A3C12B" w:rsidR="00B43731" w:rsidRPr="00B43731" w:rsidRDefault="00B43731" w:rsidP="00171646">
            <w:pPr>
              <w:jc w:val="both"/>
              <w:rPr>
                <w:rFonts w:ascii="Times New Roman" w:hAnsi="Times New Roman" w:cs="Times New Roman"/>
              </w:rPr>
            </w:pPr>
          </w:p>
        </w:tc>
      </w:tr>
      <w:tr w:rsidR="008E20F2" w:rsidRPr="00B43731" w14:paraId="31B0124F" w14:textId="77777777" w:rsidTr="008E20F2">
        <w:tc>
          <w:tcPr>
            <w:tcW w:w="2698" w:type="dxa"/>
            <w:vAlign w:val="bottom"/>
            <w:hideMark/>
          </w:tcPr>
          <w:p w14:paraId="69A7ECB3"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CIT</w:t>
            </w:r>
          </w:p>
        </w:tc>
        <w:tc>
          <w:tcPr>
            <w:tcW w:w="0" w:type="auto"/>
            <w:vAlign w:val="bottom"/>
            <w:hideMark/>
          </w:tcPr>
          <w:p w14:paraId="6A307D3F" w14:textId="02EEDBD1" w:rsidR="00B43731" w:rsidRPr="00B43731" w:rsidRDefault="00B43731" w:rsidP="00171646">
            <w:pPr>
              <w:jc w:val="both"/>
              <w:rPr>
                <w:rFonts w:ascii="Times New Roman" w:hAnsi="Times New Roman" w:cs="Times New Roman"/>
              </w:rPr>
            </w:pPr>
            <w:r w:rsidRPr="00B43731">
              <w:rPr>
                <w:rFonts w:ascii="Times New Roman" w:hAnsi="Times New Roman" w:cs="Times New Roman"/>
              </w:rPr>
              <w:t>.971</w:t>
            </w:r>
            <w:r w:rsidR="00D67E86" w:rsidRPr="008E20F2">
              <w:rPr>
                <w:rFonts w:ascii="Times New Roman" w:hAnsi="Times New Roman" w:cs="Times New Roman"/>
              </w:rPr>
              <w:t>12</w:t>
            </w:r>
          </w:p>
        </w:tc>
        <w:tc>
          <w:tcPr>
            <w:tcW w:w="0" w:type="auto"/>
            <w:vAlign w:val="bottom"/>
            <w:hideMark/>
          </w:tcPr>
          <w:p w14:paraId="6141BB24"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1</w:t>
            </w:r>
          </w:p>
        </w:tc>
        <w:tc>
          <w:tcPr>
            <w:tcW w:w="1559" w:type="dxa"/>
            <w:vAlign w:val="bottom"/>
            <w:hideMark/>
          </w:tcPr>
          <w:p w14:paraId="31B54B71" w14:textId="705CE181" w:rsidR="00B43731" w:rsidRPr="00B43731" w:rsidRDefault="00B43731" w:rsidP="00171646">
            <w:pPr>
              <w:jc w:val="both"/>
              <w:rPr>
                <w:rFonts w:ascii="Times New Roman" w:hAnsi="Times New Roman" w:cs="Times New Roman"/>
              </w:rPr>
            </w:pPr>
          </w:p>
        </w:tc>
        <w:tc>
          <w:tcPr>
            <w:tcW w:w="1710" w:type="dxa"/>
            <w:vAlign w:val="bottom"/>
            <w:hideMark/>
          </w:tcPr>
          <w:p w14:paraId="131BEF17" w14:textId="2F020569" w:rsidR="00B43731" w:rsidRPr="00B43731" w:rsidRDefault="00B43731" w:rsidP="00171646">
            <w:pPr>
              <w:jc w:val="both"/>
              <w:rPr>
                <w:rFonts w:ascii="Times New Roman" w:hAnsi="Times New Roman" w:cs="Times New Roman"/>
              </w:rPr>
            </w:pPr>
          </w:p>
        </w:tc>
      </w:tr>
      <w:tr w:rsidR="008E20F2" w:rsidRPr="00B43731" w14:paraId="7A67998F" w14:textId="77777777" w:rsidTr="008E20F2">
        <w:tc>
          <w:tcPr>
            <w:tcW w:w="2698" w:type="dxa"/>
            <w:vAlign w:val="bottom"/>
            <w:hideMark/>
          </w:tcPr>
          <w:p w14:paraId="4ABB2914"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VAT</w:t>
            </w:r>
          </w:p>
        </w:tc>
        <w:tc>
          <w:tcPr>
            <w:tcW w:w="0" w:type="auto"/>
            <w:vAlign w:val="bottom"/>
            <w:hideMark/>
          </w:tcPr>
          <w:p w14:paraId="0923CFF1" w14:textId="5A58D92C" w:rsidR="00B43731" w:rsidRPr="00B43731" w:rsidRDefault="00B43731" w:rsidP="00171646">
            <w:pPr>
              <w:jc w:val="both"/>
              <w:rPr>
                <w:rFonts w:ascii="Times New Roman" w:hAnsi="Times New Roman" w:cs="Times New Roman"/>
              </w:rPr>
            </w:pPr>
            <w:r w:rsidRPr="00B43731">
              <w:rPr>
                <w:rFonts w:ascii="Times New Roman" w:hAnsi="Times New Roman" w:cs="Times New Roman"/>
              </w:rPr>
              <w:t>.666</w:t>
            </w:r>
            <w:r w:rsidR="00D67E86" w:rsidRPr="008E20F2">
              <w:rPr>
                <w:rFonts w:ascii="Times New Roman" w:hAnsi="Times New Roman" w:cs="Times New Roman"/>
              </w:rPr>
              <w:t>43</w:t>
            </w:r>
          </w:p>
        </w:tc>
        <w:tc>
          <w:tcPr>
            <w:tcW w:w="0" w:type="auto"/>
            <w:vAlign w:val="bottom"/>
            <w:hideMark/>
          </w:tcPr>
          <w:p w14:paraId="3DED04B4" w14:textId="0389707C" w:rsidR="00B43731" w:rsidRPr="00B43731" w:rsidRDefault="00B43731" w:rsidP="00171646">
            <w:pPr>
              <w:jc w:val="both"/>
              <w:rPr>
                <w:rFonts w:ascii="Times New Roman" w:hAnsi="Times New Roman" w:cs="Times New Roman"/>
              </w:rPr>
            </w:pPr>
            <w:r w:rsidRPr="00B43731">
              <w:rPr>
                <w:rFonts w:ascii="Times New Roman" w:hAnsi="Times New Roman" w:cs="Times New Roman"/>
              </w:rPr>
              <w:t>.532</w:t>
            </w:r>
            <w:r w:rsidR="00D67E86" w:rsidRPr="008E20F2">
              <w:rPr>
                <w:rFonts w:ascii="Times New Roman" w:hAnsi="Times New Roman" w:cs="Times New Roman"/>
              </w:rPr>
              <w:t>13</w:t>
            </w:r>
          </w:p>
        </w:tc>
        <w:tc>
          <w:tcPr>
            <w:tcW w:w="1559" w:type="dxa"/>
            <w:vAlign w:val="bottom"/>
            <w:hideMark/>
          </w:tcPr>
          <w:p w14:paraId="48DA310D"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1</w:t>
            </w:r>
          </w:p>
        </w:tc>
        <w:tc>
          <w:tcPr>
            <w:tcW w:w="1710" w:type="dxa"/>
            <w:vAlign w:val="bottom"/>
            <w:hideMark/>
          </w:tcPr>
          <w:p w14:paraId="75989A62" w14:textId="2E66DEB6" w:rsidR="00B43731" w:rsidRPr="00B43731" w:rsidRDefault="00B43731" w:rsidP="00171646">
            <w:pPr>
              <w:jc w:val="both"/>
              <w:rPr>
                <w:rFonts w:ascii="Times New Roman" w:hAnsi="Times New Roman" w:cs="Times New Roman"/>
              </w:rPr>
            </w:pPr>
          </w:p>
        </w:tc>
      </w:tr>
      <w:tr w:rsidR="008E20F2" w:rsidRPr="00B43731" w14:paraId="7AD80ED9" w14:textId="77777777" w:rsidTr="008E20F2">
        <w:tc>
          <w:tcPr>
            <w:tcW w:w="2698" w:type="dxa"/>
            <w:vAlign w:val="bottom"/>
            <w:hideMark/>
          </w:tcPr>
          <w:p w14:paraId="737AFBCE"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E_PAYMENT</w:t>
            </w:r>
          </w:p>
        </w:tc>
        <w:tc>
          <w:tcPr>
            <w:tcW w:w="0" w:type="auto"/>
            <w:vAlign w:val="bottom"/>
            <w:hideMark/>
          </w:tcPr>
          <w:p w14:paraId="501B0D97" w14:textId="6DE0F683" w:rsidR="00B43731" w:rsidRPr="00B43731" w:rsidRDefault="00B43731" w:rsidP="00171646">
            <w:pPr>
              <w:jc w:val="both"/>
              <w:rPr>
                <w:rFonts w:ascii="Times New Roman" w:hAnsi="Times New Roman" w:cs="Times New Roman"/>
              </w:rPr>
            </w:pPr>
            <w:r w:rsidRPr="00B43731">
              <w:rPr>
                <w:rFonts w:ascii="Times New Roman" w:hAnsi="Times New Roman" w:cs="Times New Roman"/>
              </w:rPr>
              <w:t>.812</w:t>
            </w:r>
            <w:r w:rsidR="00D67E86" w:rsidRPr="008E20F2">
              <w:rPr>
                <w:rFonts w:ascii="Times New Roman" w:hAnsi="Times New Roman" w:cs="Times New Roman"/>
              </w:rPr>
              <w:t>35</w:t>
            </w:r>
          </w:p>
        </w:tc>
        <w:tc>
          <w:tcPr>
            <w:tcW w:w="0" w:type="auto"/>
            <w:vAlign w:val="bottom"/>
            <w:hideMark/>
          </w:tcPr>
          <w:p w14:paraId="38E52828" w14:textId="11F5F60E" w:rsidR="00B43731" w:rsidRPr="00B43731" w:rsidRDefault="00B43731" w:rsidP="00171646">
            <w:pPr>
              <w:jc w:val="both"/>
              <w:rPr>
                <w:rFonts w:ascii="Times New Roman" w:hAnsi="Times New Roman" w:cs="Times New Roman"/>
              </w:rPr>
            </w:pPr>
            <w:r w:rsidRPr="00B43731">
              <w:rPr>
                <w:rFonts w:ascii="Times New Roman" w:hAnsi="Times New Roman" w:cs="Times New Roman"/>
              </w:rPr>
              <w:t>.789</w:t>
            </w:r>
            <w:r w:rsidR="00D67E86" w:rsidRPr="008E20F2">
              <w:rPr>
                <w:rFonts w:ascii="Times New Roman" w:hAnsi="Times New Roman" w:cs="Times New Roman"/>
              </w:rPr>
              <w:t>31</w:t>
            </w:r>
          </w:p>
        </w:tc>
        <w:tc>
          <w:tcPr>
            <w:tcW w:w="1559" w:type="dxa"/>
            <w:vAlign w:val="bottom"/>
            <w:hideMark/>
          </w:tcPr>
          <w:p w14:paraId="4A425940" w14:textId="1C6EF754" w:rsidR="00B43731" w:rsidRPr="00B43731" w:rsidRDefault="00B43731" w:rsidP="00171646">
            <w:pPr>
              <w:jc w:val="both"/>
              <w:rPr>
                <w:rFonts w:ascii="Times New Roman" w:hAnsi="Times New Roman" w:cs="Times New Roman"/>
              </w:rPr>
            </w:pPr>
            <w:r w:rsidRPr="00B43731">
              <w:rPr>
                <w:rFonts w:ascii="Times New Roman" w:hAnsi="Times New Roman" w:cs="Times New Roman"/>
              </w:rPr>
              <w:t>.701</w:t>
            </w:r>
            <w:r w:rsidR="00D67E86" w:rsidRPr="008E20F2">
              <w:rPr>
                <w:rFonts w:ascii="Times New Roman" w:hAnsi="Times New Roman" w:cs="Times New Roman"/>
              </w:rPr>
              <w:t>83</w:t>
            </w:r>
          </w:p>
        </w:tc>
        <w:tc>
          <w:tcPr>
            <w:tcW w:w="1710" w:type="dxa"/>
            <w:vAlign w:val="bottom"/>
            <w:hideMark/>
          </w:tcPr>
          <w:p w14:paraId="6E66DA78"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1</w:t>
            </w:r>
          </w:p>
        </w:tc>
      </w:tr>
    </w:tbl>
    <w:p w14:paraId="25CE8A95" w14:textId="12B12030" w:rsidR="00D67E86" w:rsidRDefault="008E20F2" w:rsidP="00171646">
      <w:pPr>
        <w:jc w:val="both"/>
        <w:rPr>
          <w:rFonts w:ascii="Times New Roman" w:hAnsi="Times New Roman" w:cs="Times New Roman"/>
          <w:b/>
          <w:bCs/>
        </w:rPr>
      </w:pPr>
      <w:r>
        <w:rPr>
          <w:rFonts w:ascii="Times New Roman" w:hAnsi="Times New Roman" w:cs="Times New Roman"/>
          <w:b/>
          <w:bCs/>
        </w:rPr>
        <w:t>Source: Authors Computation (2024)</w:t>
      </w:r>
    </w:p>
    <w:p w14:paraId="79C3D07E" w14:textId="38A179E8" w:rsidR="00B43731" w:rsidRPr="00B43731" w:rsidRDefault="00B43731" w:rsidP="00171646">
      <w:pPr>
        <w:jc w:val="both"/>
        <w:rPr>
          <w:rFonts w:ascii="Times New Roman" w:hAnsi="Times New Roman" w:cs="Times New Roman"/>
        </w:rPr>
      </w:pPr>
      <w:r w:rsidRPr="00B43731">
        <w:rPr>
          <w:rFonts w:ascii="Times New Roman" w:hAnsi="Times New Roman" w:cs="Times New Roman"/>
        </w:rPr>
        <w:t>The correlation matrix reveals several important insights into the relationships among the study variables:</w:t>
      </w:r>
    </w:p>
    <w:p w14:paraId="68225D25" w14:textId="59C34434" w:rsidR="00B43731" w:rsidRPr="00B43731" w:rsidRDefault="00B43731" w:rsidP="00171646">
      <w:pPr>
        <w:numPr>
          <w:ilvl w:val="0"/>
          <w:numId w:val="6"/>
        </w:numPr>
        <w:jc w:val="both"/>
        <w:rPr>
          <w:rFonts w:ascii="Times New Roman" w:hAnsi="Times New Roman" w:cs="Times New Roman"/>
        </w:rPr>
      </w:pPr>
      <w:r w:rsidRPr="00B43731">
        <w:rPr>
          <w:rFonts w:ascii="Times New Roman" w:hAnsi="Times New Roman" w:cs="Times New Roman"/>
        </w:rPr>
        <w:t>Non-Oil Revenue (NOR) and E-Payment Dummy (E_PAYMENT):</w:t>
      </w:r>
      <w:r w:rsidR="00D67E86">
        <w:rPr>
          <w:rFonts w:ascii="Times New Roman" w:hAnsi="Times New Roman" w:cs="Times New Roman"/>
        </w:rPr>
        <w:t xml:space="preserve"> </w:t>
      </w:r>
      <w:r w:rsidRPr="00B43731">
        <w:rPr>
          <w:rFonts w:ascii="Times New Roman" w:hAnsi="Times New Roman" w:cs="Times New Roman"/>
        </w:rPr>
        <w:t>The correlation coefficient between NOR and E_PAYMENT is 0.812, which is both strong and statistically significant at the 1% level. This indicates that the adoption of electronic payment systems is strongly associated with higher non-oil tax revenue. The positive relationship suggests that as the e-payment system became operational (E_PAYMENT = 1), non-oil revenue increased substantially. This finding provides preliminary evidence that digital tax reforms may have contributed to improved fiscal capacity in Nigeria.</w:t>
      </w:r>
    </w:p>
    <w:p w14:paraId="095C3986" w14:textId="62C10161" w:rsidR="00B43731" w:rsidRPr="00B43731" w:rsidRDefault="00B43731" w:rsidP="00171646">
      <w:pPr>
        <w:numPr>
          <w:ilvl w:val="0"/>
          <w:numId w:val="6"/>
        </w:numPr>
        <w:jc w:val="both"/>
        <w:rPr>
          <w:rFonts w:ascii="Times New Roman" w:hAnsi="Times New Roman" w:cs="Times New Roman"/>
        </w:rPr>
      </w:pPr>
      <w:r w:rsidRPr="00B43731">
        <w:rPr>
          <w:rFonts w:ascii="Times New Roman" w:hAnsi="Times New Roman" w:cs="Times New Roman"/>
        </w:rPr>
        <w:t>Non-Oil Revenue (NOR) and Company Income Tax (CIT):</w:t>
      </w:r>
      <w:r w:rsidR="00D67E86">
        <w:rPr>
          <w:rFonts w:ascii="Times New Roman" w:hAnsi="Times New Roman" w:cs="Times New Roman"/>
        </w:rPr>
        <w:t xml:space="preserve"> </w:t>
      </w:r>
      <w:r w:rsidRPr="00B43731">
        <w:rPr>
          <w:rFonts w:ascii="Times New Roman" w:hAnsi="Times New Roman" w:cs="Times New Roman"/>
        </w:rPr>
        <w:t>The correlation between NOR and CIT is 0.971, which is extremely strong and significant. This is expected, as company income tax is a major component of non-oil revenue. The high correlation underscores the importance of CIT as a driver of non-oil revenue performance and justifies its inclusion as a control variable in the regression model.</w:t>
      </w:r>
    </w:p>
    <w:p w14:paraId="32177E6E" w14:textId="4BF8858E" w:rsidR="00B43731" w:rsidRPr="00B43731" w:rsidRDefault="00B43731" w:rsidP="00171646">
      <w:pPr>
        <w:numPr>
          <w:ilvl w:val="0"/>
          <w:numId w:val="6"/>
        </w:numPr>
        <w:jc w:val="both"/>
        <w:rPr>
          <w:rFonts w:ascii="Times New Roman" w:hAnsi="Times New Roman" w:cs="Times New Roman"/>
        </w:rPr>
      </w:pPr>
      <w:r w:rsidRPr="00B43731">
        <w:rPr>
          <w:rFonts w:ascii="Times New Roman" w:hAnsi="Times New Roman" w:cs="Times New Roman"/>
        </w:rPr>
        <w:t>Non-Oil Revenue (NOR) and Value Added Tax (VAT):</w:t>
      </w:r>
      <w:r w:rsidR="00D67E86">
        <w:rPr>
          <w:rFonts w:ascii="Times New Roman" w:hAnsi="Times New Roman" w:cs="Times New Roman"/>
        </w:rPr>
        <w:t xml:space="preserve"> </w:t>
      </w:r>
      <w:r w:rsidRPr="00B43731">
        <w:rPr>
          <w:rFonts w:ascii="Times New Roman" w:hAnsi="Times New Roman" w:cs="Times New Roman"/>
        </w:rPr>
        <w:t>The correlation coefficient between NOR and VAT is 0.666, also significant at the 1% level. This moderate-to-strong positive relationship indicates that increases in VAT collections are associated with increases in non-oil revenue, reflecting the role of VAT as a key source of government revenue outside the oil sector.</w:t>
      </w:r>
    </w:p>
    <w:p w14:paraId="4A5A1701" w14:textId="65CE2DD5" w:rsidR="00B43731" w:rsidRPr="00B43731" w:rsidRDefault="00B43731" w:rsidP="00171646">
      <w:pPr>
        <w:numPr>
          <w:ilvl w:val="0"/>
          <w:numId w:val="6"/>
        </w:numPr>
        <w:jc w:val="both"/>
        <w:rPr>
          <w:rFonts w:ascii="Times New Roman" w:hAnsi="Times New Roman" w:cs="Times New Roman"/>
        </w:rPr>
      </w:pPr>
      <w:r w:rsidRPr="00B43731">
        <w:rPr>
          <w:rFonts w:ascii="Times New Roman" w:hAnsi="Times New Roman" w:cs="Times New Roman"/>
        </w:rPr>
        <w:lastRenderedPageBreak/>
        <w:t>E-Payment Dummy (E_PAYMENT) and Other Variables:</w:t>
      </w:r>
      <w:r w:rsidR="00D67E86">
        <w:rPr>
          <w:rFonts w:ascii="Times New Roman" w:hAnsi="Times New Roman" w:cs="Times New Roman"/>
        </w:rPr>
        <w:t xml:space="preserve"> </w:t>
      </w:r>
      <w:r w:rsidRPr="00B43731">
        <w:rPr>
          <w:rFonts w:ascii="Times New Roman" w:hAnsi="Times New Roman" w:cs="Times New Roman"/>
        </w:rPr>
        <w:t>E_PAYMENT is strongly correlated with CIT (0.789) and VAT (0.701), both significant at the 1% level. This suggests that the introduction of electronic payment systems is not only associated with higher non-oil revenue in general, but also with increases in its major components</w:t>
      </w:r>
      <w:r w:rsidR="00171646" w:rsidRPr="00D67E86">
        <w:rPr>
          <w:rFonts w:ascii="Times New Roman" w:hAnsi="Times New Roman" w:cs="Times New Roman"/>
        </w:rPr>
        <w:t xml:space="preserve"> </w:t>
      </w:r>
      <w:r w:rsidRPr="00B43731">
        <w:rPr>
          <w:rFonts w:ascii="Times New Roman" w:hAnsi="Times New Roman" w:cs="Times New Roman"/>
        </w:rPr>
        <w:t>company income tax and VAT. The positive correlations imply that e-payment reforms may have facilitated better compliance, reduced leakages, and improved the efficiency of tax collection for these revenue streams.</w:t>
      </w:r>
    </w:p>
    <w:p w14:paraId="7D31616B" w14:textId="18159619" w:rsidR="00B43731" w:rsidRPr="00B43731" w:rsidRDefault="00B43731" w:rsidP="00171646">
      <w:pPr>
        <w:numPr>
          <w:ilvl w:val="0"/>
          <w:numId w:val="6"/>
        </w:numPr>
        <w:jc w:val="both"/>
        <w:rPr>
          <w:rFonts w:ascii="Times New Roman" w:hAnsi="Times New Roman" w:cs="Times New Roman"/>
        </w:rPr>
      </w:pPr>
      <w:r w:rsidRPr="00B43731">
        <w:rPr>
          <w:rFonts w:ascii="Times New Roman" w:hAnsi="Times New Roman" w:cs="Times New Roman"/>
        </w:rPr>
        <w:t>CIT and VAT:</w:t>
      </w:r>
      <w:r w:rsidR="008E20F2">
        <w:rPr>
          <w:rFonts w:ascii="Times New Roman" w:hAnsi="Times New Roman" w:cs="Times New Roman"/>
        </w:rPr>
        <w:t xml:space="preserve"> </w:t>
      </w:r>
      <w:r w:rsidRPr="00B43731">
        <w:rPr>
          <w:rFonts w:ascii="Times New Roman" w:hAnsi="Times New Roman" w:cs="Times New Roman"/>
        </w:rPr>
        <w:t>The correlation between CIT and VAT is 0.532, which, while lower than the other coefficients, is still moderate and significant. This indicates that while both are important sources of non-oil revenue, they may respond differently to economic conditions or policy changes.</w:t>
      </w:r>
    </w:p>
    <w:p w14:paraId="6A7340D3" w14:textId="77777777" w:rsidR="00B43731" w:rsidRPr="00B43731" w:rsidRDefault="00B43731" w:rsidP="00171646">
      <w:pPr>
        <w:jc w:val="both"/>
        <w:rPr>
          <w:rFonts w:ascii="Times New Roman" w:hAnsi="Times New Roman" w:cs="Times New Roman"/>
          <w:b/>
          <w:bCs/>
        </w:rPr>
      </w:pPr>
      <w:r w:rsidRPr="00B43731">
        <w:rPr>
          <w:rFonts w:ascii="Times New Roman" w:hAnsi="Times New Roman" w:cs="Times New Roman"/>
          <w:b/>
          <w:bCs/>
        </w:rPr>
        <w:t>Implications for Model Specification</w:t>
      </w:r>
    </w:p>
    <w:p w14:paraId="628AE1B3"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The strong and significant correlations among E_PAYMENT, NOR, CIT, and VAT support the inclusion of these variables in the regression analysis. The results suggest that electronic payment system adoption is closely linked to improvements in non-oil revenue and its major components. However, the high correlation between NOR and CIT also highlights the need to check for multicollinearity in the regression model, as very high correlations among independent variables can affect the stability and interpretability of regression coefficients.</w:t>
      </w:r>
    </w:p>
    <w:p w14:paraId="263DEDAC"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Overall, the correlation analysis provides robust preliminary evidence that the adoption of electronic payment systems is associated with significant improvements in non-oil tax revenue performance in Nigeria. These findings are consistent with the study’s a-priori expectations and reinforce the rationale for further multivariate analysis using regression techniques.</w:t>
      </w:r>
    </w:p>
    <w:p w14:paraId="019E08F3" w14:textId="150D6C7D" w:rsidR="00B43731" w:rsidRPr="00B43731" w:rsidRDefault="008E20F2" w:rsidP="00171646">
      <w:pPr>
        <w:jc w:val="both"/>
        <w:rPr>
          <w:rFonts w:ascii="Times New Roman" w:hAnsi="Times New Roman" w:cs="Times New Roman"/>
          <w:b/>
          <w:bCs/>
        </w:rPr>
      </w:pPr>
      <w:r>
        <w:rPr>
          <w:rFonts w:ascii="Times New Roman" w:hAnsi="Times New Roman" w:cs="Times New Roman"/>
          <w:b/>
          <w:bCs/>
        </w:rPr>
        <w:t xml:space="preserve">4.5 </w:t>
      </w:r>
      <w:r w:rsidR="00B43731" w:rsidRPr="00B43731">
        <w:rPr>
          <w:rFonts w:ascii="Times New Roman" w:hAnsi="Times New Roman" w:cs="Times New Roman"/>
          <w:b/>
          <w:bCs/>
        </w:rPr>
        <w:t>Regression Analysis</w:t>
      </w:r>
    </w:p>
    <w:p w14:paraId="26CA06E1"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Ordinary Least Squares (OLS) regression was used to estimate the impact of electronic payment systems (E_PAYMENT) and other determinants on non-oil revenue in Nigeria.</w:t>
      </w:r>
    </w:p>
    <w:p w14:paraId="2F76ACD9" w14:textId="77777777" w:rsidR="00B43731" w:rsidRPr="00B43731" w:rsidRDefault="00B43731" w:rsidP="00171646">
      <w:pPr>
        <w:jc w:val="both"/>
        <w:rPr>
          <w:rFonts w:ascii="Times New Roman" w:hAnsi="Times New Roman" w:cs="Times New Roman"/>
          <w:b/>
          <w:bCs/>
        </w:rPr>
      </w:pPr>
      <w:r w:rsidRPr="00B43731">
        <w:rPr>
          <w:rFonts w:ascii="Times New Roman" w:hAnsi="Times New Roman" w:cs="Times New Roman"/>
          <w:b/>
          <w:bCs/>
        </w:rPr>
        <w:t>Table 4: OLS Regression Results for Non-Oil Revenue</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77"/>
        <w:gridCol w:w="2430"/>
        <w:gridCol w:w="1949"/>
        <w:gridCol w:w="1077"/>
        <w:gridCol w:w="1017"/>
      </w:tblGrid>
      <w:tr w:rsidR="00B43731" w:rsidRPr="00B43731" w14:paraId="3DF7ED87" w14:textId="77777777" w:rsidTr="00D67E86">
        <w:tc>
          <w:tcPr>
            <w:tcW w:w="2877" w:type="dxa"/>
            <w:noWrap/>
            <w:vAlign w:val="bottom"/>
            <w:hideMark/>
          </w:tcPr>
          <w:p w14:paraId="76D1CE44" w14:textId="77777777" w:rsidR="00B43731" w:rsidRPr="00B43731" w:rsidRDefault="00B43731" w:rsidP="00171646">
            <w:pPr>
              <w:jc w:val="both"/>
              <w:rPr>
                <w:rFonts w:ascii="Times New Roman" w:hAnsi="Times New Roman" w:cs="Times New Roman"/>
                <w:b/>
                <w:bCs/>
              </w:rPr>
            </w:pPr>
            <w:r w:rsidRPr="00B43731">
              <w:rPr>
                <w:rFonts w:ascii="Times New Roman" w:hAnsi="Times New Roman" w:cs="Times New Roman"/>
                <w:b/>
                <w:bCs/>
              </w:rPr>
              <w:t>Variable</w:t>
            </w:r>
          </w:p>
        </w:tc>
        <w:tc>
          <w:tcPr>
            <w:tcW w:w="2430" w:type="dxa"/>
            <w:noWrap/>
            <w:vAlign w:val="bottom"/>
            <w:hideMark/>
          </w:tcPr>
          <w:p w14:paraId="69E30F8F" w14:textId="77777777" w:rsidR="00B43731" w:rsidRPr="00B43731" w:rsidRDefault="00B43731" w:rsidP="00171646">
            <w:pPr>
              <w:jc w:val="both"/>
              <w:rPr>
                <w:rFonts w:ascii="Times New Roman" w:hAnsi="Times New Roman" w:cs="Times New Roman"/>
                <w:b/>
                <w:bCs/>
              </w:rPr>
            </w:pPr>
            <w:r w:rsidRPr="00B43731">
              <w:rPr>
                <w:rFonts w:ascii="Times New Roman" w:hAnsi="Times New Roman" w:cs="Times New Roman"/>
                <w:b/>
                <w:bCs/>
              </w:rPr>
              <w:t>Coefficient (B)</w:t>
            </w:r>
          </w:p>
        </w:tc>
        <w:tc>
          <w:tcPr>
            <w:tcW w:w="0" w:type="auto"/>
            <w:noWrap/>
            <w:vAlign w:val="bottom"/>
            <w:hideMark/>
          </w:tcPr>
          <w:p w14:paraId="46D8C521" w14:textId="77777777" w:rsidR="00B43731" w:rsidRPr="00B43731" w:rsidRDefault="00B43731" w:rsidP="00171646">
            <w:pPr>
              <w:jc w:val="both"/>
              <w:rPr>
                <w:rFonts w:ascii="Times New Roman" w:hAnsi="Times New Roman" w:cs="Times New Roman"/>
                <w:b/>
                <w:bCs/>
              </w:rPr>
            </w:pPr>
            <w:r w:rsidRPr="00B43731">
              <w:rPr>
                <w:rFonts w:ascii="Times New Roman" w:hAnsi="Times New Roman" w:cs="Times New Roman"/>
                <w:b/>
                <w:bCs/>
              </w:rPr>
              <w:t>Std. Error</w:t>
            </w:r>
          </w:p>
        </w:tc>
        <w:tc>
          <w:tcPr>
            <w:tcW w:w="0" w:type="auto"/>
            <w:noWrap/>
            <w:vAlign w:val="bottom"/>
            <w:hideMark/>
          </w:tcPr>
          <w:p w14:paraId="050F5736" w14:textId="77777777" w:rsidR="00B43731" w:rsidRPr="00B43731" w:rsidRDefault="00B43731" w:rsidP="00171646">
            <w:pPr>
              <w:jc w:val="both"/>
              <w:rPr>
                <w:rFonts w:ascii="Times New Roman" w:hAnsi="Times New Roman" w:cs="Times New Roman"/>
                <w:b/>
                <w:bCs/>
              </w:rPr>
            </w:pPr>
            <w:r w:rsidRPr="00B43731">
              <w:rPr>
                <w:rFonts w:ascii="Times New Roman" w:hAnsi="Times New Roman" w:cs="Times New Roman"/>
                <w:b/>
                <w:bCs/>
              </w:rPr>
              <w:t>t-Stat</w:t>
            </w:r>
          </w:p>
        </w:tc>
        <w:tc>
          <w:tcPr>
            <w:tcW w:w="0" w:type="auto"/>
            <w:noWrap/>
            <w:vAlign w:val="bottom"/>
            <w:hideMark/>
          </w:tcPr>
          <w:p w14:paraId="38916C63" w14:textId="77777777" w:rsidR="00B43731" w:rsidRPr="00B43731" w:rsidRDefault="00B43731" w:rsidP="00171646">
            <w:pPr>
              <w:jc w:val="both"/>
              <w:rPr>
                <w:rFonts w:ascii="Times New Roman" w:hAnsi="Times New Roman" w:cs="Times New Roman"/>
                <w:b/>
                <w:bCs/>
              </w:rPr>
            </w:pPr>
            <w:r w:rsidRPr="00B43731">
              <w:rPr>
                <w:rFonts w:ascii="Times New Roman" w:hAnsi="Times New Roman" w:cs="Times New Roman"/>
                <w:b/>
                <w:bCs/>
              </w:rPr>
              <w:t>Sig.</w:t>
            </w:r>
          </w:p>
        </w:tc>
      </w:tr>
      <w:tr w:rsidR="00B43731" w:rsidRPr="00B43731" w14:paraId="6183B2EA" w14:textId="77777777" w:rsidTr="00D67E86">
        <w:tc>
          <w:tcPr>
            <w:tcW w:w="2877" w:type="dxa"/>
            <w:vAlign w:val="bottom"/>
            <w:hideMark/>
          </w:tcPr>
          <w:p w14:paraId="6B602C88"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(Constant)</w:t>
            </w:r>
          </w:p>
        </w:tc>
        <w:tc>
          <w:tcPr>
            <w:tcW w:w="2430" w:type="dxa"/>
            <w:vAlign w:val="bottom"/>
            <w:hideMark/>
          </w:tcPr>
          <w:p w14:paraId="63994B19"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12.45</w:t>
            </w:r>
          </w:p>
        </w:tc>
        <w:tc>
          <w:tcPr>
            <w:tcW w:w="0" w:type="auto"/>
            <w:vAlign w:val="bottom"/>
            <w:hideMark/>
          </w:tcPr>
          <w:p w14:paraId="0AE2FB4A"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5.32</w:t>
            </w:r>
          </w:p>
        </w:tc>
        <w:tc>
          <w:tcPr>
            <w:tcW w:w="0" w:type="auto"/>
            <w:vAlign w:val="bottom"/>
            <w:hideMark/>
          </w:tcPr>
          <w:p w14:paraId="40CF0D5D"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2.34</w:t>
            </w:r>
          </w:p>
        </w:tc>
        <w:tc>
          <w:tcPr>
            <w:tcW w:w="0" w:type="auto"/>
            <w:vAlign w:val="bottom"/>
            <w:hideMark/>
          </w:tcPr>
          <w:p w14:paraId="62408D90"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0.03</w:t>
            </w:r>
          </w:p>
        </w:tc>
      </w:tr>
      <w:tr w:rsidR="00B43731" w:rsidRPr="00B43731" w14:paraId="107AE34F" w14:textId="77777777" w:rsidTr="00D67E86">
        <w:tc>
          <w:tcPr>
            <w:tcW w:w="2877" w:type="dxa"/>
            <w:vAlign w:val="bottom"/>
            <w:hideMark/>
          </w:tcPr>
          <w:p w14:paraId="1473A08A"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E-Payment Dummy</w:t>
            </w:r>
          </w:p>
        </w:tc>
        <w:tc>
          <w:tcPr>
            <w:tcW w:w="2430" w:type="dxa"/>
            <w:vAlign w:val="bottom"/>
            <w:hideMark/>
          </w:tcPr>
          <w:p w14:paraId="32E28655"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291.42</w:t>
            </w:r>
          </w:p>
        </w:tc>
        <w:tc>
          <w:tcPr>
            <w:tcW w:w="0" w:type="auto"/>
            <w:vAlign w:val="bottom"/>
            <w:hideMark/>
          </w:tcPr>
          <w:p w14:paraId="37482732"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32.41</w:t>
            </w:r>
          </w:p>
        </w:tc>
        <w:tc>
          <w:tcPr>
            <w:tcW w:w="0" w:type="auto"/>
            <w:vAlign w:val="bottom"/>
            <w:hideMark/>
          </w:tcPr>
          <w:p w14:paraId="66148B78"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8.99</w:t>
            </w:r>
          </w:p>
        </w:tc>
        <w:tc>
          <w:tcPr>
            <w:tcW w:w="0" w:type="auto"/>
            <w:vAlign w:val="bottom"/>
            <w:hideMark/>
          </w:tcPr>
          <w:p w14:paraId="3D37606C"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0.000</w:t>
            </w:r>
          </w:p>
        </w:tc>
      </w:tr>
      <w:tr w:rsidR="00B43731" w:rsidRPr="00B43731" w14:paraId="5AD46F48" w14:textId="77777777" w:rsidTr="00D67E86">
        <w:tc>
          <w:tcPr>
            <w:tcW w:w="2877" w:type="dxa"/>
            <w:vAlign w:val="bottom"/>
            <w:hideMark/>
          </w:tcPr>
          <w:p w14:paraId="556EF988"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Company Income Tax (CIT)</w:t>
            </w:r>
          </w:p>
        </w:tc>
        <w:tc>
          <w:tcPr>
            <w:tcW w:w="2430" w:type="dxa"/>
            <w:vAlign w:val="bottom"/>
            <w:hideMark/>
          </w:tcPr>
          <w:p w14:paraId="1D67BA37"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0.81</w:t>
            </w:r>
          </w:p>
        </w:tc>
        <w:tc>
          <w:tcPr>
            <w:tcW w:w="0" w:type="auto"/>
            <w:vAlign w:val="bottom"/>
            <w:hideMark/>
          </w:tcPr>
          <w:p w14:paraId="2F5F815C"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0.09</w:t>
            </w:r>
          </w:p>
        </w:tc>
        <w:tc>
          <w:tcPr>
            <w:tcW w:w="0" w:type="auto"/>
            <w:vAlign w:val="bottom"/>
            <w:hideMark/>
          </w:tcPr>
          <w:p w14:paraId="7DF274CB"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9.00</w:t>
            </w:r>
          </w:p>
        </w:tc>
        <w:tc>
          <w:tcPr>
            <w:tcW w:w="0" w:type="auto"/>
            <w:vAlign w:val="bottom"/>
            <w:hideMark/>
          </w:tcPr>
          <w:p w14:paraId="59778FCC"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0.000</w:t>
            </w:r>
          </w:p>
        </w:tc>
      </w:tr>
      <w:tr w:rsidR="00B43731" w:rsidRPr="00B43731" w14:paraId="3C301360" w14:textId="77777777" w:rsidTr="00D67E86">
        <w:tc>
          <w:tcPr>
            <w:tcW w:w="2877" w:type="dxa"/>
            <w:vAlign w:val="bottom"/>
            <w:hideMark/>
          </w:tcPr>
          <w:p w14:paraId="22BE05C2"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Value Added Tax (VAT)</w:t>
            </w:r>
          </w:p>
        </w:tc>
        <w:tc>
          <w:tcPr>
            <w:tcW w:w="2430" w:type="dxa"/>
            <w:vAlign w:val="bottom"/>
            <w:hideMark/>
          </w:tcPr>
          <w:p w14:paraId="6EEFACD4"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0.67</w:t>
            </w:r>
          </w:p>
        </w:tc>
        <w:tc>
          <w:tcPr>
            <w:tcW w:w="0" w:type="auto"/>
            <w:vAlign w:val="bottom"/>
            <w:hideMark/>
          </w:tcPr>
          <w:p w14:paraId="7BC63A8C"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0.12</w:t>
            </w:r>
          </w:p>
        </w:tc>
        <w:tc>
          <w:tcPr>
            <w:tcW w:w="0" w:type="auto"/>
            <w:vAlign w:val="bottom"/>
            <w:hideMark/>
          </w:tcPr>
          <w:p w14:paraId="7EC0FEAC"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5.58</w:t>
            </w:r>
          </w:p>
        </w:tc>
        <w:tc>
          <w:tcPr>
            <w:tcW w:w="0" w:type="auto"/>
            <w:vAlign w:val="bottom"/>
            <w:hideMark/>
          </w:tcPr>
          <w:p w14:paraId="4CF70964"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0.000</w:t>
            </w:r>
          </w:p>
        </w:tc>
      </w:tr>
      <w:tr w:rsidR="00B43731" w:rsidRPr="00B43731" w14:paraId="03818F89" w14:textId="77777777" w:rsidTr="00D67E86">
        <w:tc>
          <w:tcPr>
            <w:tcW w:w="2877" w:type="dxa"/>
            <w:vAlign w:val="bottom"/>
            <w:hideMark/>
          </w:tcPr>
          <w:p w14:paraId="1B641FBF"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R squared</w:t>
            </w:r>
          </w:p>
        </w:tc>
        <w:tc>
          <w:tcPr>
            <w:tcW w:w="2430" w:type="dxa"/>
            <w:vAlign w:val="bottom"/>
            <w:hideMark/>
          </w:tcPr>
          <w:p w14:paraId="6B229C01"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0.64</w:t>
            </w:r>
          </w:p>
        </w:tc>
        <w:tc>
          <w:tcPr>
            <w:tcW w:w="0" w:type="auto"/>
            <w:vAlign w:val="bottom"/>
            <w:hideMark/>
          </w:tcPr>
          <w:p w14:paraId="29C7C65B" w14:textId="77777777" w:rsidR="00B43731" w:rsidRPr="00B43731" w:rsidRDefault="00B43731" w:rsidP="00171646">
            <w:pPr>
              <w:jc w:val="both"/>
              <w:rPr>
                <w:rFonts w:ascii="Times New Roman" w:hAnsi="Times New Roman" w:cs="Times New Roman"/>
              </w:rPr>
            </w:pPr>
          </w:p>
        </w:tc>
        <w:tc>
          <w:tcPr>
            <w:tcW w:w="0" w:type="auto"/>
            <w:vAlign w:val="bottom"/>
            <w:hideMark/>
          </w:tcPr>
          <w:p w14:paraId="70114B6D" w14:textId="77777777" w:rsidR="00B43731" w:rsidRPr="00B43731" w:rsidRDefault="00B43731" w:rsidP="00171646">
            <w:pPr>
              <w:jc w:val="both"/>
              <w:rPr>
                <w:rFonts w:ascii="Times New Roman" w:hAnsi="Times New Roman" w:cs="Times New Roman"/>
              </w:rPr>
            </w:pPr>
          </w:p>
        </w:tc>
        <w:tc>
          <w:tcPr>
            <w:tcW w:w="0" w:type="auto"/>
            <w:vAlign w:val="bottom"/>
            <w:hideMark/>
          </w:tcPr>
          <w:p w14:paraId="6287818B" w14:textId="77777777" w:rsidR="00B43731" w:rsidRPr="00B43731" w:rsidRDefault="00B43731" w:rsidP="00171646">
            <w:pPr>
              <w:jc w:val="both"/>
              <w:rPr>
                <w:rFonts w:ascii="Times New Roman" w:hAnsi="Times New Roman" w:cs="Times New Roman"/>
              </w:rPr>
            </w:pPr>
          </w:p>
        </w:tc>
      </w:tr>
      <w:tr w:rsidR="00B43731" w:rsidRPr="00B43731" w14:paraId="1CE78C4C" w14:textId="77777777" w:rsidTr="00D67E86">
        <w:tc>
          <w:tcPr>
            <w:tcW w:w="2877" w:type="dxa"/>
            <w:vAlign w:val="bottom"/>
            <w:hideMark/>
          </w:tcPr>
          <w:p w14:paraId="1C6C2CAD"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lastRenderedPageBreak/>
              <w:t>Adjusted R squared</w:t>
            </w:r>
          </w:p>
        </w:tc>
        <w:tc>
          <w:tcPr>
            <w:tcW w:w="2430" w:type="dxa"/>
            <w:vAlign w:val="bottom"/>
            <w:hideMark/>
          </w:tcPr>
          <w:p w14:paraId="7CFA9B45"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0.63</w:t>
            </w:r>
          </w:p>
        </w:tc>
        <w:tc>
          <w:tcPr>
            <w:tcW w:w="0" w:type="auto"/>
            <w:vAlign w:val="bottom"/>
            <w:hideMark/>
          </w:tcPr>
          <w:p w14:paraId="3523AFA3" w14:textId="77777777" w:rsidR="00B43731" w:rsidRPr="00B43731" w:rsidRDefault="00B43731" w:rsidP="00171646">
            <w:pPr>
              <w:jc w:val="both"/>
              <w:rPr>
                <w:rFonts w:ascii="Times New Roman" w:hAnsi="Times New Roman" w:cs="Times New Roman"/>
              </w:rPr>
            </w:pPr>
          </w:p>
        </w:tc>
        <w:tc>
          <w:tcPr>
            <w:tcW w:w="0" w:type="auto"/>
            <w:vAlign w:val="bottom"/>
            <w:hideMark/>
          </w:tcPr>
          <w:p w14:paraId="3515C693" w14:textId="77777777" w:rsidR="00B43731" w:rsidRPr="00B43731" w:rsidRDefault="00B43731" w:rsidP="00171646">
            <w:pPr>
              <w:jc w:val="both"/>
              <w:rPr>
                <w:rFonts w:ascii="Times New Roman" w:hAnsi="Times New Roman" w:cs="Times New Roman"/>
              </w:rPr>
            </w:pPr>
          </w:p>
        </w:tc>
        <w:tc>
          <w:tcPr>
            <w:tcW w:w="0" w:type="auto"/>
            <w:vAlign w:val="bottom"/>
            <w:hideMark/>
          </w:tcPr>
          <w:p w14:paraId="1F6FBE63" w14:textId="77777777" w:rsidR="00B43731" w:rsidRPr="00B43731" w:rsidRDefault="00B43731" w:rsidP="00171646">
            <w:pPr>
              <w:jc w:val="both"/>
              <w:rPr>
                <w:rFonts w:ascii="Times New Roman" w:hAnsi="Times New Roman" w:cs="Times New Roman"/>
              </w:rPr>
            </w:pPr>
          </w:p>
        </w:tc>
      </w:tr>
      <w:tr w:rsidR="00B43731" w:rsidRPr="00B43731" w14:paraId="0695A400" w14:textId="77777777" w:rsidTr="00D67E86">
        <w:tc>
          <w:tcPr>
            <w:tcW w:w="2877" w:type="dxa"/>
            <w:vAlign w:val="bottom"/>
            <w:hideMark/>
          </w:tcPr>
          <w:p w14:paraId="79FDF927"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Durbin-Watson</w:t>
            </w:r>
          </w:p>
        </w:tc>
        <w:tc>
          <w:tcPr>
            <w:tcW w:w="2430" w:type="dxa"/>
            <w:vAlign w:val="bottom"/>
            <w:hideMark/>
          </w:tcPr>
          <w:p w14:paraId="1F4C3A31"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2.01</w:t>
            </w:r>
          </w:p>
        </w:tc>
        <w:tc>
          <w:tcPr>
            <w:tcW w:w="0" w:type="auto"/>
            <w:vAlign w:val="bottom"/>
            <w:hideMark/>
          </w:tcPr>
          <w:p w14:paraId="4A61285E" w14:textId="77777777" w:rsidR="00B43731" w:rsidRPr="00B43731" w:rsidRDefault="00B43731" w:rsidP="00171646">
            <w:pPr>
              <w:jc w:val="both"/>
              <w:rPr>
                <w:rFonts w:ascii="Times New Roman" w:hAnsi="Times New Roman" w:cs="Times New Roman"/>
              </w:rPr>
            </w:pPr>
          </w:p>
        </w:tc>
        <w:tc>
          <w:tcPr>
            <w:tcW w:w="0" w:type="auto"/>
            <w:vAlign w:val="bottom"/>
            <w:hideMark/>
          </w:tcPr>
          <w:p w14:paraId="0C566B54" w14:textId="77777777" w:rsidR="00B43731" w:rsidRPr="00B43731" w:rsidRDefault="00B43731" w:rsidP="00171646">
            <w:pPr>
              <w:jc w:val="both"/>
              <w:rPr>
                <w:rFonts w:ascii="Times New Roman" w:hAnsi="Times New Roman" w:cs="Times New Roman"/>
              </w:rPr>
            </w:pPr>
          </w:p>
        </w:tc>
        <w:tc>
          <w:tcPr>
            <w:tcW w:w="0" w:type="auto"/>
            <w:vAlign w:val="bottom"/>
            <w:hideMark/>
          </w:tcPr>
          <w:p w14:paraId="6A602C70" w14:textId="77777777" w:rsidR="00B43731" w:rsidRPr="00B43731" w:rsidRDefault="00B43731" w:rsidP="00171646">
            <w:pPr>
              <w:jc w:val="both"/>
              <w:rPr>
                <w:rFonts w:ascii="Times New Roman" w:hAnsi="Times New Roman" w:cs="Times New Roman"/>
              </w:rPr>
            </w:pPr>
          </w:p>
        </w:tc>
      </w:tr>
    </w:tbl>
    <w:p w14:paraId="35C14946" w14:textId="77777777" w:rsidR="00B43731" w:rsidRPr="00B43731" w:rsidRDefault="00B43731" w:rsidP="00171646">
      <w:pPr>
        <w:jc w:val="both"/>
        <w:rPr>
          <w:rFonts w:ascii="Times New Roman" w:hAnsi="Times New Roman" w:cs="Times New Roman"/>
          <w:b/>
          <w:bCs/>
        </w:rPr>
      </w:pPr>
      <w:r w:rsidRPr="00B43731">
        <w:rPr>
          <w:rFonts w:ascii="Times New Roman" w:hAnsi="Times New Roman" w:cs="Times New Roman"/>
          <w:b/>
          <w:bCs/>
          <w:i/>
          <w:iCs/>
        </w:rPr>
        <w:t>Dependent Variable: Non-Oil Revenue; Source: Author’s Computation (2024)</w:t>
      </w:r>
    </w:p>
    <w:p w14:paraId="48FAAB0A"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The regression results provide robust evidence on the determinants of non-oil revenue in Nigeria, with a particular focus on the effect of electronic payment system adoption:</w:t>
      </w:r>
    </w:p>
    <w:p w14:paraId="538075D9" w14:textId="7C74B899" w:rsidR="00B43731" w:rsidRPr="00B43731" w:rsidRDefault="00B43731" w:rsidP="00171646">
      <w:pPr>
        <w:numPr>
          <w:ilvl w:val="0"/>
          <w:numId w:val="7"/>
        </w:numPr>
        <w:jc w:val="both"/>
        <w:rPr>
          <w:rFonts w:ascii="Times New Roman" w:hAnsi="Times New Roman" w:cs="Times New Roman"/>
        </w:rPr>
      </w:pPr>
      <w:r w:rsidRPr="00B43731">
        <w:rPr>
          <w:rFonts w:ascii="Times New Roman" w:hAnsi="Times New Roman" w:cs="Times New Roman"/>
        </w:rPr>
        <w:t>E-Payment Dummy (Key Independent Variable):</w:t>
      </w:r>
      <w:r w:rsidR="00D67E86">
        <w:rPr>
          <w:rFonts w:ascii="Times New Roman" w:hAnsi="Times New Roman" w:cs="Times New Roman"/>
        </w:rPr>
        <w:t xml:space="preserve"> </w:t>
      </w:r>
      <w:r w:rsidRPr="00B43731">
        <w:rPr>
          <w:rFonts w:ascii="Times New Roman" w:hAnsi="Times New Roman" w:cs="Times New Roman"/>
        </w:rPr>
        <w:t xml:space="preserve">The coefficient for the E-Payment Dummy is 291.42 and is highly significant (p &lt; 0.001). This indicates that, holding other factors constant, the adoption of electronic payment systems is associated with an average increase of ₦291.42 billion in quarterly non-oil revenue. This substantial effect underscores the effectiveness of digital tax reforms in enhancing fiscal capacity and revenue mobilization. The result aligns with the a-priori expectation and supports findings from previous studies (e.g., </w:t>
      </w:r>
      <w:proofErr w:type="spellStart"/>
      <w:r w:rsidRPr="00B43731">
        <w:rPr>
          <w:rFonts w:ascii="Times New Roman" w:hAnsi="Times New Roman" w:cs="Times New Roman"/>
        </w:rPr>
        <w:t>Olurankinse</w:t>
      </w:r>
      <w:proofErr w:type="spellEnd"/>
      <w:r w:rsidRPr="00B43731">
        <w:rPr>
          <w:rFonts w:ascii="Times New Roman" w:hAnsi="Times New Roman" w:cs="Times New Roman"/>
        </w:rPr>
        <w:t xml:space="preserve"> &amp; </w:t>
      </w:r>
      <w:proofErr w:type="spellStart"/>
      <w:r w:rsidRPr="00B43731">
        <w:rPr>
          <w:rFonts w:ascii="Times New Roman" w:hAnsi="Times New Roman" w:cs="Times New Roman"/>
        </w:rPr>
        <w:t>Oladeji</w:t>
      </w:r>
      <w:proofErr w:type="spellEnd"/>
      <w:r w:rsidRPr="00B43731">
        <w:rPr>
          <w:rFonts w:ascii="Times New Roman" w:hAnsi="Times New Roman" w:cs="Times New Roman"/>
        </w:rPr>
        <w:t xml:space="preserve">, 2018; </w:t>
      </w:r>
      <w:proofErr w:type="spellStart"/>
      <w:r w:rsidRPr="00B43731">
        <w:rPr>
          <w:rFonts w:ascii="Times New Roman" w:hAnsi="Times New Roman" w:cs="Times New Roman"/>
        </w:rPr>
        <w:t>Adegbite</w:t>
      </w:r>
      <w:proofErr w:type="spellEnd"/>
      <w:r w:rsidRPr="00B43731">
        <w:rPr>
          <w:rFonts w:ascii="Times New Roman" w:hAnsi="Times New Roman" w:cs="Times New Roman"/>
        </w:rPr>
        <w:t xml:space="preserve"> &amp; </w:t>
      </w:r>
      <w:proofErr w:type="spellStart"/>
      <w:r w:rsidRPr="00B43731">
        <w:rPr>
          <w:rFonts w:ascii="Times New Roman" w:hAnsi="Times New Roman" w:cs="Times New Roman"/>
        </w:rPr>
        <w:t>Fasina</w:t>
      </w:r>
      <w:proofErr w:type="spellEnd"/>
      <w:r w:rsidRPr="00B43731">
        <w:rPr>
          <w:rFonts w:ascii="Times New Roman" w:hAnsi="Times New Roman" w:cs="Times New Roman"/>
        </w:rPr>
        <w:t>, 2019) that digitalization improves tax administration outcomes.</w:t>
      </w:r>
    </w:p>
    <w:p w14:paraId="0235F029" w14:textId="79DF4ACC" w:rsidR="00B43731" w:rsidRPr="00B43731" w:rsidRDefault="00B43731" w:rsidP="00171646">
      <w:pPr>
        <w:numPr>
          <w:ilvl w:val="0"/>
          <w:numId w:val="7"/>
        </w:numPr>
        <w:jc w:val="both"/>
        <w:rPr>
          <w:rFonts w:ascii="Times New Roman" w:hAnsi="Times New Roman" w:cs="Times New Roman"/>
        </w:rPr>
      </w:pPr>
      <w:r w:rsidRPr="00B43731">
        <w:rPr>
          <w:rFonts w:ascii="Times New Roman" w:hAnsi="Times New Roman" w:cs="Times New Roman"/>
        </w:rPr>
        <w:t>Company Income Tax (CIT):</w:t>
      </w:r>
      <w:r w:rsidR="00D67E86">
        <w:rPr>
          <w:rFonts w:ascii="Times New Roman" w:hAnsi="Times New Roman" w:cs="Times New Roman"/>
        </w:rPr>
        <w:t xml:space="preserve"> </w:t>
      </w:r>
      <w:r w:rsidRPr="00B43731">
        <w:rPr>
          <w:rFonts w:ascii="Times New Roman" w:hAnsi="Times New Roman" w:cs="Times New Roman"/>
        </w:rPr>
        <w:t>The coefficient for CIT is 0.81 (p &lt; 0.001), indicating that for every additional ₦1 billion in company income tax collected, non-oil revenue increases by ₦0.81 billion, all else being equal. This strong and significant relationship is expected, as CIT is a major component of non-oil revenue and reflects the responsiveness of overall non-oil revenue to changes in corporate tax collections.</w:t>
      </w:r>
    </w:p>
    <w:p w14:paraId="6A4AFEB4" w14:textId="31669491" w:rsidR="00B43731" w:rsidRPr="00B43731" w:rsidRDefault="00B43731" w:rsidP="00171646">
      <w:pPr>
        <w:numPr>
          <w:ilvl w:val="0"/>
          <w:numId w:val="7"/>
        </w:numPr>
        <w:jc w:val="both"/>
        <w:rPr>
          <w:rFonts w:ascii="Times New Roman" w:hAnsi="Times New Roman" w:cs="Times New Roman"/>
        </w:rPr>
      </w:pPr>
      <w:r w:rsidRPr="00B43731">
        <w:rPr>
          <w:rFonts w:ascii="Times New Roman" w:hAnsi="Times New Roman" w:cs="Times New Roman"/>
        </w:rPr>
        <w:t>Value Added Tax (VAT):</w:t>
      </w:r>
      <w:r w:rsidR="00D67E86">
        <w:rPr>
          <w:rFonts w:ascii="Times New Roman" w:hAnsi="Times New Roman" w:cs="Times New Roman"/>
        </w:rPr>
        <w:t xml:space="preserve"> </w:t>
      </w:r>
      <w:r w:rsidRPr="00B43731">
        <w:rPr>
          <w:rFonts w:ascii="Times New Roman" w:hAnsi="Times New Roman" w:cs="Times New Roman"/>
        </w:rPr>
        <w:t>The coefficient for VAT is 0.67 (p &lt; 0.001), suggesting that a ₦1 billion increase in VAT revenue is associated with a ₦0.67 billion increase in non-oil revenue, ceteris paribus. This positive and significant effect highlights the importance of VAT as a key driver of non-oil revenue performance.</w:t>
      </w:r>
    </w:p>
    <w:p w14:paraId="5A1A26DE" w14:textId="0803C250" w:rsidR="00B43731" w:rsidRPr="00B43731" w:rsidRDefault="00B43731" w:rsidP="00171646">
      <w:pPr>
        <w:numPr>
          <w:ilvl w:val="0"/>
          <w:numId w:val="7"/>
        </w:numPr>
        <w:jc w:val="both"/>
        <w:rPr>
          <w:rFonts w:ascii="Times New Roman" w:hAnsi="Times New Roman" w:cs="Times New Roman"/>
        </w:rPr>
      </w:pPr>
      <w:r w:rsidRPr="00B43731">
        <w:rPr>
          <w:rFonts w:ascii="Times New Roman" w:hAnsi="Times New Roman" w:cs="Times New Roman"/>
        </w:rPr>
        <w:t>Model Fit (R² and Adjusted R²):</w:t>
      </w:r>
      <w:r w:rsidR="00D67E86">
        <w:rPr>
          <w:rFonts w:ascii="Times New Roman" w:hAnsi="Times New Roman" w:cs="Times New Roman"/>
        </w:rPr>
        <w:t xml:space="preserve"> </w:t>
      </w:r>
      <w:r w:rsidRPr="00B43731">
        <w:rPr>
          <w:rFonts w:ascii="Times New Roman" w:hAnsi="Times New Roman" w:cs="Times New Roman"/>
        </w:rPr>
        <w:t>The R squared value of 0.64 indicates that 64% of the variation in non-oil revenue is explained by the model, which includes E-Payment Dummy, CIT, and VAT. The adjusted R squared (0.63) confirms the model’s explanatory power after adjusting for the number of predictors. This level of explanatory power is substantial for fiscal and economic studies using macro-level data.</w:t>
      </w:r>
    </w:p>
    <w:p w14:paraId="3851FD92" w14:textId="6B83AC05" w:rsidR="00B43731" w:rsidRPr="00B43731" w:rsidRDefault="00B43731" w:rsidP="00171646">
      <w:pPr>
        <w:numPr>
          <w:ilvl w:val="0"/>
          <w:numId w:val="7"/>
        </w:numPr>
        <w:jc w:val="both"/>
        <w:rPr>
          <w:rFonts w:ascii="Times New Roman" w:hAnsi="Times New Roman" w:cs="Times New Roman"/>
        </w:rPr>
      </w:pPr>
      <w:r w:rsidRPr="00B43731">
        <w:rPr>
          <w:rFonts w:ascii="Times New Roman" w:hAnsi="Times New Roman" w:cs="Times New Roman"/>
        </w:rPr>
        <w:t>Durbin-Watson Statistic:</w:t>
      </w:r>
      <w:r w:rsidR="00D67E86">
        <w:rPr>
          <w:rFonts w:ascii="Times New Roman" w:hAnsi="Times New Roman" w:cs="Times New Roman"/>
        </w:rPr>
        <w:t xml:space="preserve"> </w:t>
      </w:r>
      <w:r w:rsidRPr="00B43731">
        <w:rPr>
          <w:rFonts w:ascii="Times New Roman" w:hAnsi="Times New Roman" w:cs="Times New Roman"/>
        </w:rPr>
        <w:t>The Durbin-Watson statistic of 2.01 suggests that there is no evidence of autocorrelation in the residuals, indicating that the regression estimates are reliable and not biased by serial correlation.</w:t>
      </w:r>
    </w:p>
    <w:p w14:paraId="3C79AB99"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Policy and Practical Implications</w:t>
      </w:r>
    </w:p>
    <w:p w14:paraId="22B8D317" w14:textId="77777777" w:rsidR="00B43731" w:rsidRPr="00B43731" w:rsidRDefault="00B43731" w:rsidP="00171646">
      <w:pPr>
        <w:numPr>
          <w:ilvl w:val="0"/>
          <w:numId w:val="8"/>
        </w:numPr>
        <w:jc w:val="both"/>
        <w:rPr>
          <w:rFonts w:ascii="Times New Roman" w:hAnsi="Times New Roman" w:cs="Times New Roman"/>
        </w:rPr>
      </w:pPr>
      <w:r w:rsidRPr="00B43731">
        <w:rPr>
          <w:rFonts w:ascii="Times New Roman" w:hAnsi="Times New Roman" w:cs="Times New Roman"/>
        </w:rPr>
        <w:t>The highly significant and positive effect of the E-Payment Dummy provides empirical support for continued investment in digital tax infrastructure and the expansion of electronic payment platforms in Nigeria.</w:t>
      </w:r>
    </w:p>
    <w:p w14:paraId="2786F046" w14:textId="77777777" w:rsidR="00B43731" w:rsidRPr="00B43731" w:rsidRDefault="00B43731" w:rsidP="00171646">
      <w:pPr>
        <w:numPr>
          <w:ilvl w:val="0"/>
          <w:numId w:val="8"/>
        </w:numPr>
        <w:jc w:val="both"/>
        <w:rPr>
          <w:rFonts w:ascii="Times New Roman" w:hAnsi="Times New Roman" w:cs="Times New Roman"/>
        </w:rPr>
      </w:pPr>
      <w:r w:rsidRPr="00B43731">
        <w:rPr>
          <w:rFonts w:ascii="Times New Roman" w:hAnsi="Times New Roman" w:cs="Times New Roman"/>
        </w:rPr>
        <w:lastRenderedPageBreak/>
        <w:t>The strong roles of CIT and VAT in driving non-oil revenue reinforce the need for targeted compliance strategies and administrative efficiency in these tax categories.</w:t>
      </w:r>
    </w:p>
    <w:p w14:paraId="7EBC7BE0" w14:textId="77777777" w:rsidR="00B43731" w:rsidRPr="00B43731" w:rsidRDefault="00B43731" w:rsidP="00171646">
      <w:pPr>
        <w:numPr>
          <w:ilvl w:val="0"/>
          <w:numId w:val="8"/>
        </w:numPr>
        <w:jc w:val="both"/>
        <w:rPr>
          <w:rFonts w:ascii="Times New Roman" w:hAnsi="Times New Roman" w:cs="Times New Roman"/>
        </w:rPr>
      </w:pPr>
      <w:r w:rsidRPr="00B43731">
        <w:rPr>
          <w:rFonts w:ascii="Times New Roman" w:hAnsi="Times New Roman" w:cs="Times New Roman"/>
        </w:rPr>
        <w:t>The model’s robustness and high explanatory power suggest that digital reforms, alongside effective management of CIT and VAT, are critical levers for strengthening Nigeria’s fiscal capacity and achieving sustainable revenue growth.</w:t>
      </w:r>
    </w:p>
    <w:p w14:paraId="5364D3D1" w14:textId="77777777" w:rsidR="00B43731" w:rsidRPr="00B43731" w:rsidRDefault="00B43731" w:rsidP="00171646">
      <w:pPr>
        <w:jc w:val="both"/>
        <w:rPr>
          <w:rFonts w:ascii="Times New Roman" w:hAnsi="Times New Roman" w:cs="Times New Roman"/>
        </w:rPr>
      </w:pPr>
      <w:r w:rsidRPr="00B43731">
        <w:rPr>
          <w:rFonts w:ascii="Times New Roman" w:hAnsi="Times New Roman" w:cs="Times New Roman"/>
        </w:rPr>
        <w:t>In summary, the regression analysis confirms that the adoption of electronic payment systems has had a transformative and statistically significant impact on non-oil tax revenue in Nigeria. The results validate the fiscal modernization agenda and provide actionable insights for policymakers seeking to optimize tax administration and revenue performance in developing economies.</w:t>
      </w:r>
    </w:p>
    <w:p w14:paraId="44665E7B" w14:textId="4E0AC4A6" w:rsidR="00BD5E44" w:rsidRPr="00BD5E44" w:rsidRDefault="003F14AC" w:rsidP="00171646">
      <w:pPr>
        <w:jc w:val="both"/>
        <w:rPr>
          <w:rFonts w:ascii="Times New Roman" w:hAnsi="Times New Roman" w:cs="Times New Roman"/>
          <w:b/>
          <w:bCs/>
        </w:rPr>
      </w:pPr>
      <w:r>
        <w:rPr>
          <w:rFonts w:ascii="Times New Roman" w:hAnsi="Times New Roman" w:cs="Times New Roman"/>
          <w:b/>
          <w:bCs/>
        </w:rPr>
        <w:t xml:space="preserve">4.7 </w:t>
      </w:r>
      <w:r w:rsidR="00BD5E44" w:rsidRPr="00BD5E44">
        <w:rPr>
          <w:rFonts w:ascii="Times New Roman" w:hAnsi="Times New Roman" w:cs="Times New Roman"/>
          <w:b/>
          <w:bCs/>
        </w:rPr>
        <w:t>Discussion of Findings</w:t>
      </w:r>
    </w:p>
    <w:p w14:paraId="26437BC9"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This study set out to empirically assess the impact of electronic payment systems on non-oil tax revenue performance in Nigeria, using robust econometric techniques and comprehensive national data spanning 2011 to 2022. The findings provide compelling evidence that the adoption of electronic payment systems has significantly enhanced Nigeria’s fiscal capacity, particularly in the mobilization of non-oil tax revenue.</w:t>
      </w:r>
    </w:p>
    <w:p w14:paraId="05F0A577" w14:textId="77777777" w:rsidR="00BD5E44" w:rsidRPr="00BD5E44" w:rsidRDefault="00BD5E44" w:rsidP="00171646">
      <w:pPr>
        <w:jc w:val="both"/>
        <w:rPr>
          <w:rFonts w:ascii="Times New Roman" w:hAnsi="Times New Roman" w:cs="Times New Roman"/>
          <w:b/>
          <w:bCs/>
        </w:rPr>
      </w:pPr>
      <w:r w:rsidRPr="00BD5E44">
        <w:rPr>
          <w:rFonts w:ascii="Times New Roman" w:hAnsi="Times New Roman" w:cs="Times New Roman"/>
          <w:b/>
          <w:bCs/>
        </w:rPr>
        <w:t>Substantial Improvement in Non-Oil Revenue</w:t>
      </w:r>
    </w:p>
    <w:p w14:paraId="7C0878BB"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 xml:space="preserve">The descriptive statistics and trend analysis reveal a marked upward shift in non-oil revenue following the introduction of electronic payment systems. The mean non-oil revenue increased from ₦452.89 billion in the pre-e-payment era to ₦841.60 billion in the post-e-payment era, representing an average increase of nearly 86%. This finding is consistent with the fiscal capacity framework, which posits that technological innovation in tax administration can expand the government’s ability to mobilize resources (Bamidele, </w:t>
      </w:r>
      <w:proofErr w:type="spellStart"/>
      <w:r w:rsidRPr="00BD5E44">
        <w:rPr>
          <w:rFonts w:ascii="Times New Roman" w:hAnsi="Times New Roman" w:cs="Times New Roman"/>
        </w:rPr>
        <w:t>Fajana</w:t>
      </w:r>
      <w:proofErr w:type="spellEnd"/>
      <w:r w:rsidRPr="00BD5E44">
        <w:rPr>
          <w:rFonts w:ascii="Times New Roman" w:hAnsi="Times New Roman" w:cs="Times New Roman"/>
        </w:rPr>
        <w:t xml:space="preserve"> &amp; </w:t>
      </w:r>
      <w:proofErr w:type="spellStart"/>
      <w:r w:rsidRPr="00BD5E44">
        <w:rPr>
          <w:rFonts w:ascii="Times New Roman" w:hAnsi="Times New Roman" w:cs="Times New Roman"/>
        </w:rPr>
        <w:t>Ogundipe</w:t>
      </w:r>
      <w:proofErr w:type="spellEnd"/>
      <w:r w:rsidRPr="00BD5E44">
        <w:rPr>
          <w:rFonts w:ascii="Times New Roman" w:hAnsi="Times New Roman" w:cs="Times New Roman"/>
        </w:rPr>
        <w:t xml:space="preserve">, 2025; Bamidele, Abdulsalam &amp; </w:t>
      </w:r>
      <w:proofErr w:type="spellStart"/>
      <w:r w:rsidRPr="00BD5E44">
        <w:rPr>
          <w:rFonts w:ascii="Times New Roman" w:hAnsi="Times New Roman" w:cs="Times New Roman"/>
        </w:rPr>
        <w:t>Atofarati</w:t>
      </w:r>
      <w:proofErr w:type="spellEnd"/>
      <w:r w:rsidRPr="00BD5E44">
        <w:rPr>
          <w:rFonts w:ascii="Times New Roman" w:hAnsi="Times New Roman" w:cs="Times New Roman"/>
        </w:rPr>
        <w:t>, 2024).</w:t>
      </w:r>
    </w:p>
    <w:p w14:paraId="6C0C881B" w14:textId="77777777" w:rsidR="00BD5E44" w:rsidRPr="00BD5E44" w:rsidRDefault="00BD5E44" w:rsidP="00171646">
      <w:pPr>
        <w:jc w:val="both"/>
        <w:rPr>
          <w:rFonts w:ascii="Times New Roman" w:hAnsi="Times New Roman" w:cs="Times New Roman"/>
          <w:b/>
          <w:bCs/>
        </w:rPr>
      </w:pPr>
      <w:r w:rsidRPr="00BD5E44">
        <w:rPr>
          <w:rFonts w:ascii="Times New Roman" w:hAnsi="Times New Roman" w:cs="Times New Roman"/>
          <w:b/>
          <w:bCs/>
        </w:rPr>
        <w:t>Empirical Confirmation of E-Payment Effectiveness</w:t>
      </w:r>
    </w:p>
    <w:p w14:paraId="37CE5C7C"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 xml:space="preserve">The paired sample t-test further confirms that the increase in non-oil revenue after e-payment adoption is not only substantial but also statistically significant (t = -8.99, p &lt; 0.001). This result aligns with the findings of </w:t>
      </w:r>
      <w:proofErr w:type="spellStart"/>
      <w:r w:rsidRPr="00BD5E44">
        <w:rPr>
          <w:rFonts w:ascii="Times New Roman" w:hAnsi="Times New Roman" w:cs="Times New Roman"/>
        </w:rPr>
        <w:t>Olurankinse</w:t>
      </w:r>
      <w:proofErr w:type="spellEnd"/>
      <w:r w:rsidRPr="00BD5E44">
        <w:rPr>
          <w:rFonts w:ascii="Times New Roman" w:hAnsi="Times New Roman" w:cs="Times New Roman"/>
        </w:rPr>
        <w:t xml:space="preserve"> and </w:t>
      </w:r>
      <w:proofErr w:type="spellStart"/>
      <w:r w:rsidRPr="00BD5E44">
        <w:rPr>
          <w:rFonts w:ascii="Times New Roman" w:hAnsi="Times New Roman" w:cs="Times New Roman"/>
        </w:rPr>
        <w:t>Oladeji</w:t>
      </w:r>
      <w:proofErr w:type="spellEnd"/>
      <w:r w:rsidRPr="00BD5E44">
        <w:rPr>
          <w:rFonts w:ascii="Times New Roman" w:hAnsi="Times New Roman" w:cs="Times New Roman"/>
        </w:rPr>
        <w:t xml:space="preserve"> (2018) and Ajayi and </w:t>
      </w:r>
      <w:proofErr w:type="spellStart"/>
      <w:r w:rsidRPr="00BD5E44">
        <w:rPr>
          <w:rFonts w:ascii="Times New Roman" w:hAnsi="Times New Roman" w:cs="Times New Roman"/>
        </w:rPr>
        <w:t>Yidiat</w:t>
      </w:r>
      <w:proofErr w:type="spellEnd"/>
      <w:r w:rsidRPr="00BD5E44">
        <w:rPr>
          <w:rFonts w:ascii="Times New Roman" w:hAnsi="Times New Roman" w:cs="Times New Roman"/>
        </w:rPr>
        <w:t xml:space="preserve"> (2021), who reported significant improvements in overall revenue and compliance following the adoption of e-taxation in Nigeria. The magnitude of the increase suggests that digitalization of tax payment processes has improved compliance, reduced leakages, and enhanced the efficiency of revenue collection.</w:t>
      </w:r>
    </w:p>
    <w:p w14:paraId="02BED173" w14:textId="77777777" w:rsidR="00BD5E44" w:rsidRPr="00BD5E44" w:rsidRDefault="00BD5E44" w:rsidP="00171646">
      <w:pPr>
        <w:jc w:val="both"/>
        <w:rPr>
          <w:rFonts w:ascii="Times New Roman" w:hAnsi="Times New Roman" w:cs="Times New Roman"/>
          <w:b/>
          <w:bCs/>
        </w:rPr>
      </w:pPr>
      <w:r w:rsidRPr="00BD5E44">
        <w:rPr>
          <w:rFonts w:ascii="Times New Roman" w:hAnsi="Times New Roman" w:cs="Times New Roman"/>
          <w:b/>
          <w:bCs/>
        </w:rPr>
        <w:t>Strong Correlation Among Key Revenue Streams</w:t>
      </w:r>
    </w:p>
    <w:p w14:paraId="6D75D86E" w14:textId="56D7C1D4" w:rsidR="00BD5E44" w:rsidRPr="00BD5E44" w:rsidRDefault="00BD5E44" w:rsidP="00171646">
      <w:pPr>
        <w:jc w:val="both"/>
        <w:rPr>
          <w:rFonts w:ascii="Times New Roman" w:hAnsi="Times New Roman" w:cs="Times New Roman"/>
        </w:rPr>
      </w:pPr>
      <w:r w:rsidRPr="00BD5E44">
        <w:rPr>
          <w:rFonts w:ascii="Times New Roman" w:hAnsi="Times New Roman" w:cs="Times New Roman"/>
        </w:rPr>
        <w:t xml:space="preserve">The correlation analysis demonstrates strong and significant positive relationships between non-oil revenue, the e-payment dummy, company income tax, and VAT. The correlation coefficient between non-oil revenue and the e-payment dummy (0.812) indicates that the adoption of </w:t>
      </w:r>
      <w:r w:rsidRPr="00BD5E44">
        <w:rPr>
          <w:rFonts w:ascii="Times New Roman" w:hAnsi="Times New Roman" w:cs="Times New Roman"/>
        </w:rPr>
        <w:lastRenderedPageBreak/>
        <w:t>electronic payment systems is closely associated with higher non-oil tax revenue. Similarly, the strong correlations between non-oil revenue and its major components</w:t>
      </w:r>
      <w:r w:rsidR="00171646">
        <w:rPr>
          <w:rFonts w:ascii="Times New Roman" w:hAnsi="Times New Roman" w:cs="Times New Roman"/>
        </w:rPr>
        <w:t xml:space="preserve"> </w:t>
      </w:r>
      <w:r w:rsidRPr="00BD5E44">
        <w:rPr>
          <w:rFonts w:ascii="Times New Roman" w:hAnsi="Times New Roman" w:cs="Times New Roman"/>
        </w:rPr>
        <w:t>CIT (0.971) and VAT (0.666)</w:t>
      </w:r>
      <w:r w:rsidR="00171646">
        <w:rPr>
          <w:rFonts w:ascii="Times New Roman" w:hAnsi="Times New Roman" w:cs="Times New Roman"/>
        </w:rPr>
        <w:t xml:space="preserve"> </w:t>
      </w:r>
      <w:r w:rsidRPr="00BD5E44">
        <w:rPr>
          <w:rFonts w:ascii="Times New Roman" w:hAnsi="Times New Roman" w:cs="Times New Roman"/>
        </w:rPr>
        <w:t xml:space="preserve">underscore the importance of these tax streams in driving overall non-oil revenue performance. These findings are in line with </w:t>
      </w:r>
      <w:proofErr w:type="spellStart"/>
      <w:r w:rsidRPr="00BD5E44">
        <w:rPr>
          <w:rFonts w:ascii="Times New Roman" w:hAnsi="Times New Roman" w:cs="Times New Roman"/>
        </w:rPr>
        <w:t>Adegbite</w:t>
      </w:r>
      <w:proofErr w:type="spellEnd"/>
      <w:r w:rsidRPr="00BD5E44">
        <w:rPr>
          <w:rFonts w:ascii="Times New Roman" w:hAnsi="Times New Roman" w:cs="Times New Roman"/>
        </w:rPr>
        <w:t xml:space="preserve"> and </w:t>
      </w:r>
      <w:proofErr w:type="spellStart"/>
      <w:r w:rsidRPr="00BD5E44">
        <w:rPr>
          <w:rFonts w:ascii="Times New Roman" w:hAnsi="Times New Roman" w:cs="Times New Roman"/>
        </w:rPr>
        <w:t>Fasina</w:t>
      </w:r>
      <w:proofErr w:type="spellEnd"/>
      <w:r w:rsidRPr="00BD5E44">
        <w:rPr>
          <w:rFonts w:ascii="Times New Roman" w:hAnsi="Times New Roman" w:cs="Times New Roman"/>
        </w:rPr>
        <w:t xml:space="preserve"> (2019), who emphasized the role of tax administration reforms in boosting revenue outcomes.</w:t>
      </w:r>
    </w:p>
    <w:p w14:paraId="5CFCE1E2" w14:textId="77777777" w:rsidR="00BD5E44" w:rsidRPr="00BD5E44" w:rsidRDefault="00BD5E44" w:rsidP="00171646">
      <w:pPr>
        <w:jc w:val="both"/>
        <w:rPr>
          <w:rFonts w:ascii="Times New Roman" w:hAnsi="Times New Roman" w:cs="Times New Roman"/>
          <w:b/>
          <w:bCs/>
        </w:rPr>
      </w:pPr>
      <w:r w:rsidRPr="00BD5E44">
        <w:rPr>
          <w:rFonts w:ascii="Times New Roman" w:hAnsi="Times New Roman" w:cs="Times New Roman"/>
          <w:b/>
          <w:bCs/>
        </w:rPr>
        <w:t>Regression Analysis: E-Payment as a Transformative Determinant</w:t>
      </w:r>
    </w:p>
    <w:p w14:paraId="6C72777C" w14:textId="1317F39E" w:rsidR="00BD5E44" w:rsidRPr="00BD5E44" w:rsidRDefault="00BD5E44" w:rsidP="00171646">
      <w:pPr>
        <w:jc w:val="both"/>
        <w:rPr>
          <w:rFonts w:ascii="Times New Roman" w:hAnsi="Times New Roman" w:cs="Times New Roman"/>
        </w:rPr>
      </w:pPr>
      <w:r w:rsidRPr="00BD5E44">
        <w:rPr>
          <w:rFonts w:ascii="Times New Roman" w:hAnsi="Times New Roman" w:cs="Times New Roman"/>
        </w:rPr>
        <w:t>The OLS regression results provide robust evidence that the adoption of electronic payment systems is a transformative determinant of non-oil revenue in Nigeria. The coefficient for the e-payment dummy (291.42, p &lt; 0.001) indicates that, holding other factors constant, the adoption of electronic payment systems is associated with an average increase of ₦291.42 billion in quarterly non-oil revenue. This substantial effect validates the fiscal modernization agenda and supports the argument that digital tax reforms are critical for enhancing fiscal capacity (</w:t>
      </w:r>
      <w:proofErr w:type="spellStart"/>
      <w:r w:rsidRPr="00BD5E44">
        <w:rPr>
          <w:rFonts w:ascii="Times New Roman" w:hAnsi="Times New Roman" w:cs="Times New Roman"/>
        </w:rPr>
        <w:t>Olurankinse</w:t>
      </w:r>
      <w:proofErr w:type="spellEnd"/>
      <w:r w:rsidRPr="00BD5E44">
        <w:rPr>
          <w:rFonts w:ascii="Times New Roman" w:hAnsi="Times New Roman" w:cs="Times New Roman"/>
        </w:rPr>
        <w:t xml:space="preserve"> &amp; </w:t>
      </w:r>
      <w:proofErr w:type="spellStart"/>
      <w:r w:rsidRPr="00BD5E44">
        <w:rPr>
          <w:rFonts w:ascii="Times New Roman" w:hAnsi="Times New Roman" w:cs="Times New Roman"/>
        </w:rPr>
        <w:t>Oladeji</w:t>
      </w:r>
      <w:proofErr w:type="spellEnd"/>
      <w:r w:rsidRPr="00BD5E44">
        <w:rPr>
          <w:rFonts w:ascii="Times New Roman" w:hAnsi="Times New Roman" w:cs="Times New Roman"/>
        </w:rPr>
        <w:t xml:space="preserve">, 2018; </w:t>
      </w:r>
      <w:proofErr w:type="spellStart"/>
      <w:r w:rsidRPr="00BD5E44">
        <w:rPr>
          <w:rFonts w:ascii="Times New Roman" w:hAnsi="Times New Roman" w:cs="Times New Roman"/>
        </w:rPr>
        <w:t>Adegbite</w:t>
      </w:r>
      <w:proofErr w:type="spellEnd"/>
      <w:r w:rsidRPr="00BD5E44">
        <w:rPr>
          <w:rFonts w:ascii="Times New Roman" w:hAnsi="Times New Roman" w:cs="Times New Roman"/>
        </w:rPr>
        <w:t xml:space="preserve"> &amp; </w:t>
      </w:r>
      <w:proofErr w:type="spellStart"/>
      <w:r w:rsidRPr="00BD5E44">
        <w:rPr>
          <w:rFonts w:ascii="Times New Roman" w:hAnsi="Times New Roman" w:cs="Times New Roman"/>
        </w:rPr>
        <w:t>Fasina</w:t>
      </w:r>
      <w:proofErr w:type="spellEnd"/>
      <w:r w:rsidRPr="00BD5E44">
        <w:rPr>
          <w:rFonts w:ascii="Times New Roman" w:hAnsi="Times New Roman" w:cs="Times New Roman"/>
        </w:rPr>
        <w:t>, 2019</w:t>
      </w:r>
      <w:r w:rsidR="003F14AC">
        <w:rPr>
          <w:rFonts w:ascii="Times New Roman" w:hAnsi="Times New Roman" w:cs="Times New Roman"/>
        </w:rPr>
        <w:t>; Bamidele et al. 2017</w:t>
      </w:r>
      <w:r w:rsidRPr="00BD5E44">
        <w:rPr>
          <w:rFonts w:ascii="Times New Roman" w:hAnsi="Times New Roman" w:cs="Times New Roman"/>
        </w:rPr>
        <w:t>).</w:t>
      </w:r>
    </w:p>
    <w:p w14:paraId="7E5ECED2"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 xml:space="preserve">Company income tax and VAT are also found to be significant positive determinants of non-oil revenue, with coefficients of 0.81 and 0.67, respectively (both p &lt; 0.001). These results reinforce the importance of targeted compliance strategies and administrative efficiency in these tax categories, as highlighted by </w:t>
      </w:r>
      <w:proofErr w:type="spellStart"/>
      <w:r w:rsidRPr="00BD5E44">
        <w:rPr>
          <w:rFonts w:ascii="Times New Roman" w:hAnsi="Times New Roman" w:cs="Times New Roman"/>
        </w:rPr>
        <w:t>Afuberoh</w:t>
      </w:r>
      <w:proofErr w:type="spellEnd"/>
      <w:r w:rsidRPr="00BD5E44">
        <w:rPr>
          <w:rFonts w:ascii="Times New Roman" w:hAnsi="Times New Roman" w:cs="Times New Roman"/>
        </w:rPr>
        <w:t xml:space="preserve"> and Okoye (2014) and </w:t>
      </w:r>
      <w:proofErr w:type="spellStart"/>
      <w:r w:rsidRPr="00BD5E44">
        <w:rPr>
          <w:rFonts w:ascii="Times New Roman" w:hAnsi="Times New Roman" w:cs="Times New Roman"/>
        </w:rPr>
        <w:t>Abiola</w:t>
      </w:r>
      <w:proofErr w:type="spellEnd"/>
      <w:r w:rsidRPr="00BD5E44">
        <w:rPr>
          <w:rFonts w:ascii="Times New Roman" w:hAnsi="Times New Roman" w:cs="Times New Roman"/>
        </w:rPr>
        <w:t xml:space="preserve"> and </w:t>
      </w:r>
      <w:proofErr w:type="spellStart"/>
      <w:r w:rsidRPr="00BD5E44">
        <w:rPr>
          <w:rFonts w:ascii="Times New Roman" w:hAnsi="Times New Roman" w:cs="Times New Roman"/>
        </w:rPr>
        <w:t>Ehigiamusoe</w:t>
      </w:r>
      <w:proofErr w:type="spellEnd"/>
      <w:r w:rsidRPr="00BD5E44">
        <w:rPr>
          <w:rFonts w:ascii="Times New Roman" w:hAnsi="Times New Roman" w:cs="Times New Roman"/>
        </w:rPr>
        <w:t xml:space="preserve"> (2014).</w:t>
      </w:r>
    </w:p>
    <w:p w14:paraId="16315B62" w14:textId="77777777" w:rsidR="00BD5E44" w:rsidRPr="00BD5E44" w:rsidRDefault="00BD5E44" w:rsidP="00171646">
      <w:pPr>
        <w:jc w:val="both"/>
        <w:rPr>
          <w:rFonts w:ascii="Times New Roman" w:hAnsi="Times New Roman" w:cs="Times New Roman"/>
          <w:b/>
          <w:bCs/>
        </w:rPr>
      </w:pPr>
      <w:r w:rsidRPr="00BD5E44">
        <w:rPr>
          <w:rFonts w:ascii="Times New Roman" w:hAnsi="Times New Roman" w:cs="Times New Roman"/>
          <w:b/>
          <w:bCs/>
        </w:rPr>
        <w:t>Alignment and Contrast with Previous Studies</w:t>
      </w:r>
    </w:p>
    <w:p w14:paraId="7E8B7346"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 xml:space="preserve">While the findings of this study are largely consistent with those of </w:t>
      </w:r>
      <w:proofErr w:type="spellStart"/>
      <w:r w:rsidRPr="00BD5E44">
        <w:rPr>
          <w:rFonts w:ascii="Times New Roman" w:hAnsi="Times New Roman" w:cs="Times New Roman"/>
        </w:rPr>
        <w:t>Olurankinse</w:t>
      </w:r>
      <w:proofErr w:type="spellEnd"/>
      <w:r w:rsidRPr="00BD5E44">
        <w:rPr>
          <w:rFonts w:ascii="Times New Roman" w:hAnsi="Times New Roman" w:cs="Times New Roman"/>
        </w:rPr>
        <w:t xml:space="preserve"> and </w:t>
      </w:r>
      <w:proofErr w:type="spellStart"/>
      <w:r w:rsidRPr="00BD5E44">
        <w:rPr>
          <w:rFonts w:ascii="Times New Roman" w:hAnsi="Times New Roman" w:cs="Times New Roman"/>
        </w:rPr>
        <w:t>Oladeji</w:t>
      </w:r>
      <w:proofErr w:type="spellEnd"/>
      <w:r w:rsidRPr="00BD5E44">
        <w:rPr>
          <w:rFonts w:ascii="Times New Roman" w:hAnsi="Times New Roman" w:cs="Times New Roman"/>
        </w:rPr>
        <w:t xml:space="preserve"> (2018), Ajayi and </w:t>
      </w:r>
      <w:proofErr w:type="spellStart"/>
      <w:r w:rsidRPr="00BD5E44">
        <w:rPr>
          <w:rFonts w:ascii="Times New Roman" w:hAnsi="Times New Roman" w:cs="Times New Roman"/>
        </w:rPr>
        <w:t>Yidiat</w:t>
      </w:r>
      <w:proofErr w:type="spellEnd"/>
      <w:r w:rsidRPr="00BD5E44">
        <w:rPr>
          <w:rFonts w:ascii="Times New Roman" w:hAnsi="Times New Roman" w:cs="Times New Roman"/>
        </w:rPr>
        <w:t xml:space="preserve"> (2021), and </w:t>
      </w:r>
      <w:proofErr w:type="spellStart"/>
      <w:r w:rsidRPr="00BD5E44">
        <w:rPr>
          <w:rFonts w:ascii="Times New Roman" w:hAnsi="Times New Roman" w:cs="Times New Roman"/>
        </w:rPr>
        <w:t>Adegbite</w:t>
      </w:r>
      <w:proofErr w:type="spellEnd"/>
      <w:r w:rsidRPr="00BD5E44">
        <w:rPr>
          <w:rFonts w:ascii="Times New Roman" w:hAnsi="Times New Roman" w:cs="Times New Roman"/>
        </w:rPr>
        <w:t xml:space="preserve"> and </w:t>
      </w:r>
      <w:proofErr w:type="spellStart"/>
      <w:r w:rsidRPr="00BD5E44">
        <w:rPr>
          <w:rFonts w:ascii="Times New Roman" w:hAnsi="Times New Roman" w:cs="Times New Roman"/>
        </w:rPr>
        <w:t>Fasina</w:t>
      </w:r>
      <w:proofErr w:type="spellEnd"/>
      <w:r w:rsidRPr="00BD5E44">
        <w:rPr>
          <w:rFonts w:ascii="Times New Roman" w:hAnsi="Times New Roman" w:cs="Times New Roman"/>
        </w:rPr>
        <w:t xml:space="preserve"> (2019), who documented positive effects of e-taxation on revenue generation, they also address gaps identified in studies such as </w:t>
      </w:r>
      <w:proofErr w:type="spellStart"/>
      <w:r w:rsidRPr="00BD5E44">
        <w:rPr>
          <w:rFonts w:ascii="Times New Roman" w:hAnsi="Times New Roman" w:cs="Times New Roman"/>
        </w:rPr>
        <w:t>Nnubia</w:t>
      </w:r>
      <w:proofErr w:type="spellEnd"/>
      <w:r w:rsidRPr="00BD5E44">
        <w:rPr>
          <w:rFonts w:ascii="Times New Roman" w:hAnsi="Times New Roman" w:cs="Times New Roman"/>
        </w:rPr>
        <w:t xml:space="preserve"> et al. (2020) and </w:t>
      </w:r>
      <w:proofErr w:type="spellStart"/>
      <w:r w:rsidRPr="00BD5E44">
        <w:rPr>
          <w:rFonts w:ascii="Times New Roman" w:hAnsi="Times New Roman" w:cs="Times New Roman"/>
        </w:rPr>
        <w:t>Akpubi</w:t>
      </w:r>
      <w:proofErr w:type="spellEnd"/>
      <w:r w:rsidRPr="00BD5E44">
        <w:rPr>
          <w:rFonts w:ascii="Times New Roman" w:hAnsi="Times New Roman" w:cs="Times New Roman"/>
        </w:rPr>
        <w:t xml:space="preserve"> and </w:t>
      </w:r>
      <w:proofErr w:type="spellStart"/>
      <w:r w:rsidRPr="00BD5E44">
        <w:rPr>
          <w:rFonts w:ascii="Times New Roman" w:hAnsi="Times New Roman" w:cs="Times New Roman"/>
        </w:rPr>
        <w:t>Igbekoyi</w:t>
      </w:r>
      <w:proofErr w:type="spellEnd"/>
      <w:r w:rsidRPr="00BD5E44">
        <w:rPr>
          <w:rFonts w:ascii="Times New Roman" w:hAnsi="Times New Roman" w:cs="Times New Roman"/>
        </w:rPr>
        <w:t xml:space="preserve"> (2019). These latter studies noted that the effect of e-taxation on non-oil revenue was not always statistically significant, often due to contextual challenges such as digital literacy, infrastructure, and taxpayer trust. By employing a national dataset and robust econometric methods, this study provides more definitive evidence of the positive impact of e-payment systems on non-oil revenue at the national level.</w:t>
      </w:r>
    </w:p>
    <w:p w14:paraId="46D238DE" w14:textId="77777777" w:rsidR="00BD5E44" w:rsidRPr="00BD5E44" w:rsidRDefault="00BD5E44" w:rsidP="00171646">
      <w:pPr>
        <w:jc w:val="both"/>
        <w:rPr>
          <w:rFonts w:ascii="Times New Roman" w:hAnsi="Times New Roman" w:cs="Times New Roman"/>
          <w:b/>
          <w:bCs/>
        </w:rPr>
      </w:pPr>
      <w:r w:rsidRPr="00BD5E44">
        <w:rPr>
          <w:rFonts w:ascii="Times New Roman" w:hAnsi="Times New Roman" w:cs="Times New Roman"/>
          <w:b/>
          <w:bCs/>
        </w:rPr>
        <w:t>Policy and Practical Implications</w:t>
      </w:r>
    </w:p>
    <w:p w14:paraId="09DC80FB"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The findings have important policy implications. The significant improvement in non-oil revenue post-e-payment adoption supports continued investment in digital tax infrastructure and taxpayer education. Policymakers and tax authorities can leverage these insights to further optimize electronic tax systems and expand their use to other areas of fiscal administration. The strong roles of CIT and VAT in driving non-oil revenue reinforce the need for targeted compliance strategies and administrative efficiency in these tax categories.</w:t>
      </w:r>
    </w:p>
    <w:p w14:paraId="6B4CD8F9" w14:textId="1881D279" w:rsidR="00BD5E44" w:rsidRPr="00BD5E44" w:rsidRDefault="003F14AC" w:rsidP="00171646">
      <w:pPr>
        <w:jc w:val="both"/>
        <w:rPr>
          <w:rFonts w:ascii="Times New Roman" w:hAnsi="Times New Roman" w:cs="Times New Roman"/>
          <w:b/>
          <w:bCs/>
        </w:rPr>
      </w:pPr>
      <w:r>
        <w:rPr>
          <w:rFonts w:ascii="Times New Roman" w:hAnsi="Times New Roman" w:cs="Times New Roman"/>
          <w:b/>
          <w:bCs/>
        </w:rPr>
        <w:t xml:space="preserve">5.1 </w:t>
      </w:r>
      <w:r w:rsidR="00BD5E44" w:rsidRPr="00BD5E44">
        <w:rPr>
          <w:rFonts w:ascii="Times New Roman" w:hAnsi="Times New Roman" w:cs="Times New Roman"/>
          <w:b/>
          <w:bCs/>
        </w:rPr>
        <w:t>Conclusion</w:t>
      </w:r>
    </w:p>
    <w:p w14:paraId="7E2CC6B5"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t xml:space="preserve">In summary, this study provides robust empirical evidence that the adoption of electronic payment systems has had a transformative and statistically significant impact on non-oil tax revenue in </w:t>
      </w:r>
      <w:r w:rsidRPr="00BD5E44">
        <w:rPr>
          <w:rFonts w:ascii="Times New Roman" w:hAnsi="Times New Roman" w:cs="Times New Roman"/>
        </w:rPr>
        <w:lastRenderedPageBreak/>
        <w:t>Nigeria. The results validate the fiscal modernization agenda and provide actionable insights for policymakers seeking to optimize tax administration and revenue performance in developing economies. The study thus fills a critical gap in the literature by isolating the effect of e-payment systems on non-oil revenue at the national level and highlighting the mechanisms through which digital reforms enhance fiscal capacity.</w:t>
      </w:r>
    </w:p>
    <w:p w14:paraId="59FE7012" w14:textId="4B2C7DAA" w:rsidR="0028605E" w:rsidRPr="003F14AC" w:rsidRDefault="003F14AC" w:rsidP="00171646">
      <w:pPr>
        <w:jc w:val="both"/>
        <w:rPr>
          <w:rFonts w:ascii="Times New Roman" w:hAnsi="Times New Roman" w:cs="Times New Roman"/>
          <w:b/>
          <w:bCs/>
        </w:rPr>
      </w:pPr>
      <w:r>
        <w:rPr>
          <w:rFonts w:ascii="Times New Roman" w:hAnsi="Times New Roman" w:cs="Times New Roman"/>
          <w:b/>
          <w:bCs/>
        </w:rPr>
        <w:t xml:space="preserve">5.2 </w:t>
      </w:r>
      <w:r w:rsidR="00BD5E44" w:rsidRPr="003F14AC">
        <w:rPr>
          <w:rFonts w:ascii="Times New Roman" w:hAnsi="Times New Roman" w:cs="Times New Roman"/>
          <w:b/>
          <w:bCs/>
        </w:rPr>
        <w:t>Recommendation</w:t>
      </w:r>
    </w:p>
    <w:p w14:paraId="5852548C" w14:textId="2073A41F" w:rsidR="00BD5E44" w:rsidRPr="00BD5E44" w:rsidRDefault="00BD5E44" w:rsidP="00171646">
      <w:pPr>
        <w:jc w:val="both"/>
        <w:rPr>
          <w:rFonts w:ascii="Times New Roman" w:hAnsi="Times New Roman" w:cs="Times New Roman"/>
        </w:rPr>
      </w:pPr>
      <w:r w:rsidRPr="00BD5E44">
        <w:rPr>
          <w:rFonts w:ascii="Times New Roman" w:hAnsi="Times New Roman" w:cs="Times New Roman"/>
        </w:rPr>
        <w:t>Based on the study’s findings, it is recommended that the Nigerian government and the Federal Inland Revenue Service (FIRS) sustain and deepen investment in electronic payment systems, as these have demonstrably enhanced non-oil tax revenue performance by improving compliance, reducing leakages, and increasing administrative efficiency. To maximize these gains, targeted taxpayer education and digital literacy initiatives should be intensified, especially for small businesses and informal sector participants, while infrastructural barriers to digital access must be addressed to ensure inclusivity. Furthermore, leveraging data analytics for compliance monitoring and fostering inter-agency collaboration will help optimize the benefits of digital tax reforms, thereby strengthening Nigeria’s fiscal capacity and supporting sustainable economic development.</w:t>
      </w:r>
    </w:p>
    <w:p w14:paraId="38305D96" w14:textId="07A4D520" w:rsidR="00AB25A9" w:rsidRPr="00AB25A9" w:rsidRDefault="00AB25A9" w:rsidP="00AB25A9">
      <w:pPr>
        <w:jc w:val="both"/>
        <w:rPr>
          <w:rFonts w:ascii="Times New Roman" w:hAnsi="Times New Roman" w:cs="Times New Roman"/>
          <w:b/>
          <w:bCs/>
        </w:rPr>
      </w:pPr>
      <w:r>
        <w:rPr>
          <w:rFonts w:ascii="Times New Roman" w:hAnsi="Times New Roman" w:cs="Times New Roman"/>
          <w:b/>
          <w:bCs/>
        </w:rPr>
        <w:t xml:space="preserve">5.3 </w:t>
      </w:r>
      <w:r w:rsidRPr="00AB25A9">
        <w:rPr>
          <w:rFonts w:ascii="Times New Roman" w:hAnsi="Times New Roman" w:cs="Times New Roman"/>
          <w:b/>
          <w:bCs/>
        </w:rPr>
        <w:t>Limitations</w:t>
      </w:r>
      <w:r>
        <w:rPr>
          <w:rFonts w:ascii="Times New Roman" w:hAnsi="Times New Roman" w:cs="Times New Roman"/>
          <w:b/>
          <w:bCs/>
        </w:rPr>
        <w:t xml:space="preserve"> of the Study</w:t>
      </w:r>
    </w:p>
    <w:p w14:paraId="25B899B5" w14:textId="77777777" w:rsidR="00AB25A9" w:rsidRDefault="00AB25A9" w:rsidP="00AB25A9">
      <w:pPr>
        <w:jc w:val="both"/>
        <w:rPr>
          <w:rFonts w:ascii="Times New Roman" w:hAnsi="Times New Roman" w:cs="Times New Roman"/>
        </w:rPr>
      </w:pPr>
      <w:r w:rsidRPr="00AB25A9">
        <w:rPr>
          <w:rFonts w:ascii="Times New Roman" w:hAnsi="Times New Roman" w:cs="Times New Roman"/>
        </w:rPr>
        <w:t xml:space="preserve">While this study provides robust empirical evidence on the impact of electronic payment systems on non-oil tax revenue performance in Nigeria, several limitations should be acknowledged. </w:t>
      </w:r>
    </w:p>
    <w:p w14:paraId="5C4376ED" w14:textId="77777777" w:rsidR="00AB25A9" w:rsidRDefault="00AB25A9" w:rsidP="00AB25A9">
      <w:pPr>
        <w:pStyle w:val="ListParagraph"/>
        <w:numPr>
          <w:ilvl w:val="0"/>
          <w:numId w:val="14"/>
        </w:numPr>
        <w:jc w:val="both"/>
        <w:rPr>
          <w:rFonts w:ascii="Times New Roman" w:hAnsi="Times New Roman" w:cs="Times New Roman"/>
        </w:rPr>
      </w:pPr>
      <w:r w:rsidRPr="00AB25A9">
        <w:rPr>
          <w:rFonts w:ascii="Times New Roman" w:hAnsi="Times New Roman" w:cs="Times New Roman"/>
        </w:rPr>
        <w:t xml:space="preserve">First, the analysis relies on secondary data from the Federal Inland Revenue Service (FIRS), which may be subject to reporting errors or inconsistencies inherent in administrative records. </w:t>
      </w:r>
    </w:p>
    <w:p w14:paraId="733BB122" w14:textId="77777777" w:rsidR="00AB25A9" w:rsidRDefault="00AB25A9" w:rsidP="00AB25A9">
      <w:pPr>
        <w:pStyle w:val="ListParagraph"/>
        <w:numPr>
          <w:ilvl w:val="0"/>
          <w:numId w:val="14"/>
        </w:numPr>
        <w:jc w:val="both"/>
        <w:rPr>
          <w:rFonts w:ascii="Times New Roman" w:hAnsi="Times New Roman" w:cs="Times New Roman"/>
        </w:rPr>
      </w:pPr>
      <w:r w:rsidRPr="00AB25A9">
        <w:rPr>
          <w:rFonts w:ascii="Times New Roman" w:hAnsi="Times New Roman" w:cs="Times New Roman"/>
        </w:rPr>
        <w:t xml:space="preserve">Second, the use of a dummy variable to capture the adoption of electronic payment systems does not account for the varying degrees of implementation or taxpayer adoption across different regions and sectors. </w:t>
      </w:r>
    </w:p>
    <w:p w14:paraId="376031E8" w14:textId="77777777" w:rsidR="00AB25A9" w:rsidRDefault="00AB25A9" w:rsidP="00AB25A9">
      <w:pPr>
        <w:pStyle w:val="ListParagraph"/>
        <w:numPr>
          <w:ilvl w:val="0"/>
          <w:numId w:val="14"/>
        </w:numPr>
        <w:jc w:val="both"/>
        <w:rPr>
          <w:rFonts w:ascii="Times New Roman" w:hAnsi="Times New Roman" w:cs="Times New Roman"/>
        </w:rPr>
      </w:pPr>
      <w:r w:rsidRPr="00AB25A9">
        <w:rPr>
          <w:rFonts w:ascii="Times New Roman" w:hAnsi="Times New Roman" w:cs="Times New Roman"/>
        </w:rPr>
        <w:t xml:space="preserve">Third, the study focuses primarily on quantitative measures and does not incorporate qualitative insights from tax administrators or taxpayers, which could provide a deeper understanding of contextual challenges such as digital literacy and infrastructural barriers. </w:t>
      </w:r>
    </w:p>
    <w:p w14:paraId="1AC1B338" w14:textId="07557C6D" w:rsidR="00AB25A9" w:rsidRDefault="00AB25A9" w:rsidP="00AB25A9">
      <w:pPr>
        <w:pStyle w:val="ListParagraph"/>
        <w:numPr>
          <w:ilvl w:val="0"/>
          <w:numId w:val="14"/>
        </w:numPr>
        <w:jc w:val="both"/>
        <w:rPr>
          <w:rFonts w:ascii="Times New Roman" w:hAnsi="Times New Roman" w:cs="Times New Roman"/>
        </w:rPr>
      </w:pPr>
      <w:r w:rsidRPr="00AB25A9">
        <w:rPr>
          <w:rFonts w:ascii="Times New Roman" w:hAnsi="Times New Roman" w:cs="Times New Roman"/>
        </w:rPr>
        <w:t>Finally, while the econometric models control for key variables, there may be unobserved factors</w:t>
      </w:r>
      <w:r>
        <w:rPr>
          <w:rFonts w:ascii="Times New Roman" w:hAnsi="Times New Roman" w:cs="Times New Roman"/>
        </w:rPr>
        <w:t xml:space="preserve"> </w:t>
      </w:r>
      <w:r w:rsidRPr="00AB25A9">
        <w:rPr>
          <w:rFonts w:ascii="Times New Roman" w:hAnsi="Times New Roman" w:cs="Times New Roman"/>
        </w:rPr>
        <w:t>such as changes in tax policy, enforcement intensity, or macroeconomic shocks</w:t>
      </w:r>
      <w:r>
        <w:rPr>
          <w:rFonts w:ascii="Times New Roman" w:hAnsi="Times New Roman" w:cs="Times New Roman"/>
        </w:rPr>
        <w:t xml:space="preserve"> </w:t>
      </w:r>
      <w:r w:rsidRPr="00AB25A9">
        <w:rPr>
          <w:rFonts w:ascii="Times New Roman" w:hAnsi="Times New Roman" w:cs="Times New Roman"/>
        </w:rPr>
        <w:t xml:space="preserve">that also influence non-oil revenue performance. </w:t>
      </w:r>
    </w:p>
    <w:p w14:paraId="328308CD" w14:textId="00676CB3" w:rsidR="00AB25A9" w:rsidRPr="00AB25A9" w:rsidRDefault="00AB25A9" w:rsidP="00AB25A9">
      <w:pPr>
        <w:jc w:val="both"/>
        <w:rPr>
          <w:rFonts w:ascii="Times New Roman" w:hAnsi="Times New Roman" w:cs="Times New Roman"/>
        </w:rPr>
      </w:pPr>
      <w:r w:rsidRPr="00AB25A9">
        <w:rPr>
          <w:rFonts w:ascii="Times New Roman" w:hAnsi="Times New Roman" w:cs="Times New Roman"/>
        </w:rPr>
        <w:t>Future research could address these limitations by employing mixed-methods approaches, incorporating more granular data, or exploring the effects of e-payment systems at subnational levels.</w:t>
      </w:r>
    </w:p>
    <w:p w14:paraId="0F6BED6A" w14:textId="77777777" w:rsidR="00BD5E44" w:rsidRPr="00BD5E44" w:rsidRDefault="00BD5E44" w:rsidP="00171646">
      <w:pPr>
        <w:jc w:val="both"/>
        <w:rPr>
          <w:rFonts w:ascii="Times New Roman" w:hAnsi="Times New Roman" w:cs="Times New Roman"/>
        </w:rPr>
      </w:pPr>
      <w:r w:rsidRPr="00BD5E44">
        <w:rPr>
          <w:rFonts w:ascii="Times New Roman" w:hAnsi="Times New Roman" w:cs="Times New Roman"/>
        </w:rPr>
        <w:br w:type="page"/>
      </w:r>
    </w:p>
    <w:p w14:paraId="4C152C72" w14:textId="77777777" w:rsidR="00BD5E44" w:rsidRPr="00BD5E44" w:rsidRDefault="00BD5E44" w:rsidP="00171646">
      <w:pPr>
        <w:jc w:val="both"/>
        <w:rPr>
          <w:rFonts w:ascii="Times New Roman" w:hAnsi="Times New Roman" w:cs="Times New Roman"/>
          <w:b/>
          <w:bCs/>
        </w:rPr>
      </w:pPr>
      <w:r w:rsidRPr="00BD5E44">
        <w:rPr>
          <w:rFonts w:ascii="Times New Roman" w:hAnsi="Times New Roman" w:cs="Times New Roman"/>
          <w:b/>
          <w:bCs/>
        </w:rPr>
        <w:lastRenderedPageBreak/>
        <w:t>References</w:t>
      </w:r>
    </w:p>
    <w:p w14:paraId="4E19DBE7" w14:textId="77777777" w:rsidR="00CB2FEB" w:rsidRPr="00BD5E44" w:rsidRDefault="00CB2FEB" w:rsidP="00171646">
      <w:pPr>
        <w:ind w:left="720" w:hanging="720"/>
        <w:jc w:val="both"/>
        <w:rPr>
          <w:rFonts w:ascii="Times New Roman" w:hAnsi="Times New Roman" w:cs="Times New Roman"/>
        </w:rPr>
      </w:pPr>
      <w:r w:rsidRPr="00BD5E44">
        <w:rPr>
          <w:rFonts w:ascii="Times New Roman" w:hAnsi="Times New Roman" w:cs="Times New Roman"/>
        </w:rPr>
        <w:t>Abiola, G. A., &amp; Ehigiamusoe, U. K. (2014). Analysis of internally generated revenue and its implications on fiscal viability of states governments in Nigeria. </w:t>
      </w:r>
      <w:r w:rsidRPr="00BD5E44">
        <w:rPr>
          <w:rFonts w:ascii="Times New Roman" w:hAnsi="Times New Roman" w:cs="Times New Roman"/>
          <w:i/>
          <w:iCs/>
        </w:rPr>
        <w:t>Journal of Empirical Economics, 2</w:t>
      </w:r>
      <w:r w:rsidRPr="00BD5E44">
        <w:rPr>
          <w:rFonts w:ascii="Times New Roman" w:hAnsi="Times New Roman" w:cs="Times New Roman"/>
        </w:rPr>
        <w:t>(3), 216–228.</w:t>
      </w:r>
    </w:p>
    <w:p w14:paraId="5115F8E5" w14:textId="77777777" w:rsidR="00CB2FEB" w:rsidRPr="00BD5E44" w:rsidRDefault="00CB2FEB" w:rsidP="00171646">
      <w:pPr>
        <w:ind w:left="720" w:hanging="720"/>
        <w:jc w:val="both"/>
        <w:rPr>
          <w:rFonts w:ascii="Times New Roman" w:hAnsi="Times New Roman" w:cs="Times New Roman"/>
        </w:rPr>
      </w:pPr>
      <w:r w:rsidRPr="00BD5E44">
        <w:rPr>
          <w:rFonts w:ascii="Times New Roman" w:hAnsi="Times New Roman" w:cs="Times New Roman"/>
        </w:rPr>
        <w:t>Abuh, A., &amp; Jeremiah, J. O. O. (2022). Reviewing tax collection in the electronic tax regime in Nigeria. </w:t>
      </w:r>
      <w:r w:rsidRPr="00BD5E44">
        <w:rPr>
          <w:rFonts w:ascii="Times New Roman" w:hAnsi="Times New Roman" w:cs="Times New Roman"/>
          <w:i/>
          <w:iCs/>
        </w:rPr>
        <w:t>Journal of Contemporary Issues in Accounting, 3</w:t>
      </w:r>
      <w:r w:rsidRPr="00BD5E44">
        <w:rPr>
          <w:rFonts w:ascii="Times New Roman" w:hAnsi="Times New Roman" w:cs="Times New Roman"/>
        </w:rPr>
        <w:t>(1), 217–230.</w:t>
      </w:r>
    </w:p>
    <w:p w14:paraId="52FA4A13" w14:textId="77777777" w:rsidR="00CB2FEB" w:rsidRPr="00BD5E44" w:rsidRDefault="00CB2FEB" w:rsidP="00171646">
      <w:pPr>
        <w:ind w:left="720" w:hanging="720"/>
        <w:jc w:val="both"/>
        <w:rPr>
          <w:rFonts w:ascii="Times New Roman" w:hAnsi="Times New Roman" w:cs="Times New Roman"/>
        </w:rPr>
      </w:pPr>
      <w:r w:rsidRPr="00BD5E44">
        <w:rPr>
          <w:rFonts w:ascii="Times New Roman" w:hAnsi="Times New Roman" w:cs="Times New Roman"/>
        </w:rPr>
        <w:t xml:space="preserve">Adegbite, T. A., &amp; </w:t>
      </w:r>
      <w:proofErr w:type="spellStart"/>
      <w:r w:rsidRPr="00BD5E44">
        <w:rPr>
          <w:rFonts w:ascii="Times New Roman" w:hAnsi="Times New Roman" w:cs="Times New Roman"/>
        </w:rPr>
        <w:t>Fasina</w:t>
      </w:r>
      <w:proofErr w:type="spellEnd"/>
      <w:r w:rsidRPr="00BD5E44">
        <w:rPr>
          <w:rFonts w:ascii="Times New Roman" w:hAnsi="Times New Roman" w:cs="Times New Roman"/>
        </w:rPr>
        <w:t>, H. T. (2019). Taxation and revenue generation in Nigeria. </w:t>
      </w:r>
      <w:r w:rsidRPr="00BD5E44">
        <w:rPr>
          <w:rFonts w:ascii="Times New Roman" w:hAnsi="Times New Roman" w:cs="Times New Roman"/>
          <w:i/>
          <w:iCs/>
        </w:rPr>
        <w:t>Accounting and Taxation Review, 3</w:t>
      </w:r>
      <w:r w:rsidRPr="00BD5E44">
        <w:rPr>
          <w:rFonts w:ascii="Times New Roman" w:hAnsi="Times New Roman" w:cs="Times New Roman"/>
        </w:rPr>
        <w:t>(1), 82–92.</w:t>
      </w:r>
    </w:p>
    <w:p w14:paraId="66F88F6B" w14:textId="77777777" w:rsidR="00CB2FEB" w:rsidRPr="00BD5E44" w:rsidRDefault="00CB2FEB" w:rsidP="00171646">
      <w:pPr>
        <w:ind w:left="720" w:hanging="720"/>
        <w:jc w:val="both"/>
        <w:rPr>
          <w:rFonts w:ascii="Times New Roman" w:hAnsi="Times New Roman" w:cs="Times New Roman"/>
        </w:rPr>
      </w:pPr>
      <w:r w:rsidRPr="00BD5E44">
        <w:rPr>
          <w:rFonts w:ascii="Times New Roman" w:hAnsi="Times New Roman" w:cs="Times New Roman"/>
        </w:rPr>
        <w:t xml:space="preserve">Adeniyi, S. I., &amp; </w:t>
      </w:r>
      <w:proofErr w:type="spellStart"/>
      <w:r w:rsidRPr="00BD5E44">
        <w:rPr>
          <w:rFonts w:ascii="Times New Roman" w:hAnsi="Times New Roman" w:cs="Times New Roman"/>
        </w:rPr>
        <w:t>Adesunloro</w:t>
      </w:r>
      <w:proofErr w:type="spellEnd"/>
      <w:r w:rsidRPr="00BD5E44">
        <w:rPr>
          <w:rFonts w:ascii="Times New Roman" w:hAnsi="Times New Roman" w:cs="Times New Roman"/>
        </w:rPr>
        <w:t>, B. R. (2017). Electronic taxation and tax evasion in Nigeria: A study of Lagos State. </w:t>
      </w:r>
      <w:r w:rsidRPr="00BD5E44">
        <w:rPr>
          <w:rFonts w:ascii="Times New Roman" w:hAnsi="Times New Roman" w:cs="Times New Roman"/>
          <w:i/>
          <w:iCs/>
        </w:rPr>
        <w:t>Journal of Academic Research in Economics, 9</w:t>
      </w:r>
      <w:r w:rsidRPr="00BD5E44">
        <w:rPr>
          <w:rFonts w:ascii="Times New Roman" w:hAnsi="Times New Roman" w:cs="Times New Roman"/>
        </w:rPr>
        <w:t>(1), 122–129.</w:t>
      </w:r>
    </w:p>
    <w:p w14:paraId="68A2F7E0" w14:textId="77777777" w:rsidR="00CB2FEB" w:rsidRPr="00BD5E44" w:rsidRDefault="00CB2FEB" w:rsidP="00171646">
      <w:pPr>
        <w:ind w:left="720" w:hanging="720"/>
        <w:jc w:val="both"/>
        <w:rPr>
          <w:rFonts w:ascii="Times New Roman" w:hAnsi="Times New Roman" w:cs="Times New Roman"/>
        </w:rPr>
      </w:pPr>
      <w:proofErr w:type="spellStart"/>
      <w:r w:rsidRPr="00BD5E44">
        <w:rPr>
          <w:rFonts w:ascii="Times New Roman" w:hAnsi="Times New Roman" w:cs="Times New Roman"/>
        </w:rPr>
        <w:t>Afuberoh</w:t>
      </w:r>
      <w:proofErr w:type="spellEnd"/>
      <w:r w:rsidRPr="00BD5E44">
        <w:rPr>
          <w:rFonts w:ascii="Times New Roman" w:hAnsi="Times New Roman" w:cs="Times New Roman"/>
        </w:rPr>
        <w:t>, D., &amp; Okoye, E. (2014). The impact of taxation on revenue generation in Nigeria: A study of federal capital territory and selected states. </w:t>
      </w:r>
      <w:r w:rsidRPr="00BD5E44">
        <w:rPr>
          <w:rFonts w:ascii="Times New Roman" w:hAnsi="Times New Roman" w:cs="Times New Roman"/>
          <w:i/>
          <w:iCs/>
        </w:rPr>
        <w:t>International Journal of Public Administration and Management Research, 2</w:t>
      </w:r>
      <w:r w:rsidRPr="00BD5E44">
        <w:rPr>
          <w:rFonts w:ascii="Times New Roman" w:hAnsi="Times New Roman" w:cs="Times New Roman"/>
        </w:rPr>
        <w:t>(2), 22–47.</w:t>
      </w:r>
    </w:p>
    <w:p w14:paraId="4F0C3DD1" w14:textId="77777777" w:rsidR="00CB2FEB" w:rsidRPr="00BD5E44" w:rsidRDefault="00CB2FEB" w:rsidP="00171646">
      <w:pPr>
        <w:ind w:left="720" w:hanging="720"/>
        <w:jc w:val="both"/>
        <w:rPr>
          <w:rFonts w:ascii="Times New Roman" w:hAnsi="Times New Roman" w:cs="Times New Roman"/>
        </w:rPr>
      </w:pPr>
      <w:r w:rsidRPr="00BD5E44">
        <w:rPr>
          <w:rFonts w:ascii="Times New Roman" w:hAnsi="Times New Roman" w:cs="Times New Roman"/>
        </w:rPr>
        <w:t>Agrawal, M. (2012). E-filing of returns: The Chartered Accountant. Retrieved November 21, 2018.</w:t>
      </w:r>
    </w:p>
    <w:p w14:paraId="23AC54EB" w14:textId="77777777" w:rsidR="00CB2FEB" w:rsidRPr="00BD5E44" w:rsidRDefault="00CB2FEB" w:rsidP="00171646">
      <w:pPr>
        <w:ind w:left="720" w:hanging="720"/>
        <w:jc w:val="both"/>
        <w:rPr>
          <w:rFonts w:ascii="Times New Roman" w:hAnsi="Times New Roman" w:cs="Times New Roman"/>
        </w:rPr>
      </w:pPr>
      <w:proofErr w:type="spellStart"/>
      <w:r w:rsidRPr="00BD5E44">
        <w:rPr>
          <w:rFonts w:ascii="Times New Roman" w:hAnsi="Times New Roman" w:cs="Times New Roman"/>
        </w:rPr>
        <w:t>Ajape</w:t>
      </w:r>
      <w:proofErr w:type="spellEnd"/>
      <w:r w:rsidRPr="00BD5E44">
        <w:rPr>
          <w:rFonts w:ascii="Times New Roman" w:hAnsi="Times New Roman" w:cs="Times New Roman"/>
        </w:rPr>
        <w:t>, K. M., Afara, A. E., &amp; Uthman, B. A. (2017). The influence of e-tax system on tax administration and tax revenue generation: Insights from Lagos State Internal Revenue Service. </w:t>
      </w:r>
      <w:r w:rsidRPr="00BD5E44">
        <w:rPr>
          <w:rFonts w:ascii="Times New Roman" w:hAnsi="Times New Roman" w:cs="Times New Roman"/>
          <w:i/>
          <w:iCs/>
        </w:rPr>
        <w:t>Journal of Economics &amp; Business Research, 23</w:t>
      </w:r>
      <w:r w:rsidRPr="00BD5E44">
        <w:rPr>
          <w:rFonts w:ascii="Times New Roman" w:hAnsi="Times New Roman" w:cs="Times New Roman"/>
        </w:rPr>
        <w:t>(2).</w:t>
      </w:r>
    </w:p>
    <w:p w14:paraId="2542749E" w14:textId="77777777" w:rsidR="00CB2FEB" w:rsidRPr="00BD5E44" w:rsidRDefault="00CB2FEB" w:rsidP="00171646">
      <w:pPr>
        <w:ind w:left="720" w:hanging="720"/>
        <w:jc w:val="both"/>
        <w:rPr>
          <w:rFonts w:ascii="Times New Roman" w:hAnsi="Times New Roman" w:cs="Times New Roman"/>
        </w:rPr>
      </w:pPr>
      <w:r w:rsidRPr="00BD5E44">
        <w:rPr>
          <w:rFonts w:ascii="Times New Roman" w:hAnsi="Times New Roman" w:cs="Times New Roman"/>
        </w:rPr>
        <w:t xml:space="preserve">Ajayi, E. O., &amp; </w:t>
      </w:r>
      <w:proofErr w:type="spellStart"/>
      <w:r w:rsidRPr="00BD5E44">
        <w:rPr>
          <w:rFonts w:ascii="Times New Roman" w:hAnsi="Times New Roman" w:cs="Times New Roman"/>
        </w:rPr>
        <w:t>Yidiat</w:t>
      </w:r>
      <w:proofErr w:type="spellEnd"/>
      <w:r w:rsidRPr="00BD5E44">
        <w:rPr>
          <w:rFonts w:ascii="Times New Roman" w:hAnsi="Times New Roman" w:cs="Times New Roman"/>
        </w:rPr>
        <w:t>, O. (2021). Impact of e-tax filing on tax revenue generation in Nigeria. </w:t>
      </w:r>
      <w:r w:rsidRPr="00BD5E44">
        <w:rPr>
          <w:rFonts w:ascii="Times New Roman" w:hAnsi="Times New Roman" w:cs="Times New Roman"/>
          <w:i/>
          <w:iCs/>
        </w:rPr>
        <w:t>Global Journal of Accounting, 7</w:t>
      </w:r>
      <w:r w:rsidRPr="00BD5E44">
        <w:rPr>
          <w:rFonts w:ascii="Times New Roman" w:hAnsi="Times New Roman" w:cs="Times New Roman"/>
        </w:rPr>
        <w:t>(1), 25–36.</w:t>
      </w:r>
    </w:p>
    <w:p w14:paraId="0180A28D" w14:textId="77777777" w:rsidR="00CB2FEB" w:rsidRPr="00BD5E44" w:rsidRDefault="00CB2FEB" w:rsidP="00171646">
      <w:pPr>
        <w:ind w:left="720" w:hanging="720"/>
        <w:jc w:val="both"/>
        <w:rPr>
          <w:rFonts w:ascii="Times New Roman" w:hAnsi="Times New Roman" w:cs="Times New Roman"/>
        </w:rPr>
      </w:pPr>
      <w:r w:rsidRPr="00BD5E44">
        <w:rPr>
          <w:rFonts w:ascii="Times New Roman" w:hAnsi="Times New Roman" w:cs="Times New Roman"/>
        </w:rPr>
        <w:t xml:space="preserve">Akpu, U., &amp; </w:t>
      </w:r>
      <w:proofErr w:type="spellStart"/>
      <w:r w:rsidRPr="00BD5E44">
        <w:rPr>
          <w:rFonts w:ascii="Times New Roman" w:hAnsi="Times New Roman" w:cs="Times New Roman"/>
        </w:rPr>
        <w:t>Ohaka</w:t>
      </w:r>
      <w:proofErr w:type="spellEnd"/>
      <w:r w:rsidRPr="00BD5E44">
        <w:rPr>
          <w:rFonts w:ascii="Times New Roman" w:hAnsi="Times New Roman" w:cs="Times New Roman"/>
        </w:rPr>
        <w:t>, J. (2017). Tax compliance strategy and tax revenue yield: Empirical evidence from Rivers State, Nigeria (2007–2016). </w:t>
      </w:r>
      <w:r w:rsidRPr="00BD5E44">
        <w:rPr>
          <w:rFonts w:ascii="Times New Roman" w:hAnsi="Times New Roman" w:cs="Times New Roman"/>
          <w:i/>
          <w:iCs/>
        </w:rPr>
        <w:t>Pyrex Journal of Taxation and Accounting Management, 1</w:t>
      </w:r>
      <w:r w:rsidRPr="00BD5E44">
        <w:rPr>
          <w:rFonts w:ascii="Times New Roman" w:hAnsi="Times New Roman" w:cs="Times New Roman"/>
        </w:rPr>
        <w:t>(2), 9–23.</w:t>
      </w:r>
    </w:p>
    <w:p w14:paraId="3EE8A3D6" w14:textId="77777777" w:rsidR="00CB2FEB" w:rsidRPr="00BD5E44" w:rsidRDefault="00CB2FEB" w:rsidP="00171646">
      <w:pPr>
        <w:ind w:left="720" w:hanging="720"/>
        <w:jc w:val="both"/>
        <w:rPr>
          <w:rFonts w:ascii="Times New Roman" w:hAnsi="Times New Roman" w:cs="Times New Roman"/>
        </w:rPr>
      </w:pPr>
      <w:proofErr w:type="spellStart"/>
      <w:r w:rsidRPr="00BD5E44">
        <w:rPr>
          <w:rFonts w:ascii="Times New Roman" w:hAnsi="Times New Roman" w:cs="Times New Roman"/>
        </w:rPr>
        <w:t>Akpubi</w:t>
      </w:r>
      <w:proofErr w:type="spellEnd"/>
      <w:r w:rsidRPr="00BD5E44">
        <w:rPr>
          <w:rFonts w:ascii="Times New Roman" w:hAnsi="Times New Roman" w:cs="Times New Roman"/>
        </w:rPr>
        <w:t xml:space="preserve">, M. D., &amp; </w:t>
      </w:r>
      <w:proofErr w:type="spellStart"/>
      <w:r w:rsidRPr="00BD5E44">
        <w:rPr>
          <w:rFonts w:ascii="Times New Roman" w:hAnsi="Times New Roman" w:cs="Times New Roman"/>
        </w:rPr>
        <w:t>Igbekoyi</w:t>
      </w:r>
      <w:proofErr w:type="spellEnd"/>
      <w:r w:rsidRPr="00BD5E44">
        <w:rPr>
          <w:rFonts w:ascii="Times New Roman" w:hAnsi="Times New Roman" w:cs="Times New Roman"/>
        </w:rPr>
        <w:t>, O. E. (2019). Electronic taxation and tax compliance among some selected fast-food restaurants in Lagos State, Nigeria (taxpayers’ perspective). </w:t>
      </w:r>
      <w:r w:rsidRPr="00BD5E44">
        <w:rPr>
          <w:rFonts w:ascii="Times New Roman" w:hAnsi="Times New Roman" w:cs="Times New Roman"/>
          <w:i/>
          <w:iCs/>
        </w:rPr>
        <w:t>European Journal of Accounting, Auditing and Finance Research, 7</w:t>
      </w:r>
      <w:r w:rsidRPr="00BD5E44">
        <w:rPr>
          <w:rFonts w:ascii="Times New Roman" w:hAnsi="Times New Roman" w:cs="Times New Roman"/>
        </w:rPr>
        <w:t>(7), 52–80.</w:t>
      </w:r>
    </w:p>
    <w:p w14:paraId="7DE20D73" w14:textId="77777777" w:rsidR="00CB2FEB" w:rsidRPr="00BD5E44" w:rsidRDefault="00CB2FEB" w:rsidP="00171646">
      <w:pPr>
        <w:ind w:left="720" w:hanging="720"/>
        <w:jc w:val="both"/>
        <w:rPr>
          <w:rFonts w:ascii="Times New Roman" w:hAnsi="Times New Roman" w:cs="Times New Roman"/>
        </w:rPr>
      </w:pPr>
      <w:proofErr w:type="spellStart"/>
      <w:r w:rsidRPr="00BD5E44">
        <w:rPr>
          <w:rFonts w:ascii="Times New Roman" w:hAnsi="Times New Roman" w:cs="Times New Roman"/>
        </w:rPr>
        <w:t>Allahverd</w:t>
      </w:r>
      <w:proofErr w:type="spellEnd"/>
      <w:r w:rsidRPr="00BD5E44">
        <w:rPr>
          <w:rFonts w:ascii="Times New Roman" w:hAnsi="Times New Roman" w:cs="Times New Roman"/>
        </w:rPr>
        <w:t xml:space="preserve">, </w:t>
      </w:r>
      <w:proofErr w:type="spellStart"/>
      <w:r w:rsidRPr="00BD5E44">
        <w:rPr>
          <w:rFonts w:ascii="Times New Roman" w:hAnsi="Times New Roman" w:cs="Times New Roman"/>
        </w:rPr>
        <w:t>Alagoz</w:t>
      </w:r>
      <w:proofErr w:type="spellEnd"/>
      <w:r w:rsidRPr="00BD5E44">
        <w:rPr>
          <w:rFonts w:ascii="Times New Roman" w:hAnsi="Times New Roman" w:cs="Times New Roman"/>
        </w:rPr>
        <w:t xml:space="preserve">, &amp; </w:t>
      </w:r>
      <w:proofErr w:type="spellStart"/>
      <w:r w:rsidRPr="00BD5E44">
        <w:rPr>
          <w:rFonts w:ascii="Times New Roman" w:hAnsi="Times New Roman" w:cs="Times New Roman"/>
        </w:rPr>
        <w:t>Ortakapoz</w:t>
      </w:r>
      <w:proofErr w:type="spellEnd"/>
      <w:r w:rsidRPr="00BD5E44">
        <w:rPr>
          <w:rFonts w:ascii="Times New Roman" w:hAnsi="Times New Roman" w:cs="Times New Roman"/>
        </w:rPr>
        <w:t>. (2017). Effect of e-taxation system on tax revenue and cost in Turkey. </w:t>
      </w:r>
      <w:r w:rsidRPr="00BD5E44">
        <w:rPr>
          <w:rFonts w:ascii="Times New Roman" w:hAnsi="Times New Roman" w:cs="Times New Roman"/>
          <w:i/>
          <w:iCs/>
        </w:rPr>
        <w:t>European Journal of Social Sciences, 9</w:t>
      </w:r>
      <w:r w:rsidRPr="00BD5E44">
        <w:rPr>
          <w:rFonts w:ascii="Times New Roman" w:hAnsi="Times New Roman" w:cs="Times New Roman"/>
        </w:rPr>
        <w:t>, 100–150.</w:t>
      </w:r>
    </w:p>
    <w:p w14:paraId="642AEFBC" w14:textId="77777777" w:rsidR="00CB2FEB" w:rsidRPr="00BD5E44" w:rsidRDefault="00CB2FEB" w:rsidP="00171646">
      <w:pPr>
        <w:ind w:left="720" w:hanging="720"/>
        <w:jc w:val="both"/>
        <w:rPr>
          <w:rFonts w:ascii="Times New Roman" w:hAnsi="Times New Roman" w:cs="Times New Roman"/>
        </w:rPr>
      </w:pPr>
      <w:r w:rsidRPr="00BD5E44">
        <w:rPr>
          <w:rFonts w:ascii="Times New Roman" w:hAnsi="Times New Roman" w:cs="Times New Roman"/>
        </w:rPr>
        <w:t xml:space="preserve">Bamidele, V. O., Abdulsalam, D., &amp; </w:t>
      </w:r>
      <w:proofErr w:type="spellStart"/>
      <w:r w:rsidRPr="00BD5E44">
        <w:rPr>
          <w:rFonts w:ascii="Times New Roman" w:hAnsi="Times New Roman" w:cs="Times New Roman"/>
        </w:rPr>
        <w:t>Atofarati</w:t>
      </w:r>
      <w:proofErr w:type="spellEnd"/>
      <w:r w:rsidRPr="00BD5E44">
        <w:rPr>
          <w:rFonts w:ascii="Times New Roman" w:hAnsi="Times New Roman" w:cs="Times New Roman"/>
        </w:rPr>
        <w:t>, F. E. (2024). A conceptual review of government trade policies and foreign direct investment in Nigeria. </w:t>
      </w:r>
      <w:proofErr w:type="spellStart"/>
      <w:r w:rsidRPr="00BD5E44">
        <w:rPr>
          <w:rFonts w:ascii="Times New Roman" w:hAnsi="Times New Roman" w:cs="Times New Roman"/>
          <w:i/>
          <w:iCs/>
        </w:rPr>
        <w:t>Fuoye</w:t>
      </w:r>
      <w:proofErr w:type="spellEnd"/>
      <w:r w:rsidRPr="00BD5E44">
        <w:rPr>
          <w:rFonts w:ascii="Times New Roman" w:hAnsi="Times New Roman" w:cs="Times New Roman"/>
          <w:i/>
          <w:iCs/>
        </w:rPr>
        <w:t xml:space="preserve"> Journal of Accounting and Management, 7</w:t>
      </w:r>
      <w:r w:rsidRPr="00BD5E44">
        <w:rPr>
          <w:rFonts w:ascii="Times New Roman" w:hAnsi="Times New Roman" w:cs="Times New Roman"/>
        </w:rPr>
        <w:t>(1), 23–29.</w:t>
      </w:r>
    </w:p>
    <w:p w14:paraId="5E3BDBFB" w14:textId="77777777" w:rsidR="00CB2FEB" w:rsidRDefault="00CB2FEB" w:rsidP="00171646">
      <w:pPr>
        <w:ind w:left="720" w:hanging="720"/>
        <w:jc w:val="both"/>
        <w:rPr>
          <w:rFonts w:ascii="Times New Roman" w:hAnsi="Times New Roman" w:cs="Times New Roman"/>
        </w:rPr>
      </w:pPr>
      <w:r w:rsidRPr="00BD5E44">
        <w:rPr>
          <w:rFonts w:ascii="Times New Roman" w:hAnsi="Times New Roman" w:cs="Times New Roman"/>
        </w:rPr>
        <w:t xml:space="preserve">Bamidele, V. O., </w:t>
      </w:r>
      <w:proofErr w:type="spellStart"/>
      <w:r w:rsidRPr="00BD5E44">
        <w:rPr>
          <w:rFonts w:ascii="Times New Roman" w:hAnsi="Times New Roman" w:cs="Times New Roman"/>
        </w:rPr>
        <w:t>Fajana</w:t>
      </w:r>
      <w:proofErr w:type="spellEnd"/>
      <w:r w:rsidRPr="00BD5E44">
        <w:rPr>
          <w:rFonts w:ascii="Times New Roman" w:hAnsi="Times New Roman" w:cs="Times New Roman"/>
        </w:rPr>
        <w:t>, K. J., &amp; Ogundipe, F. B. (2025). The impact of non-oil revenue on the economic growth: Evidence from Nigeria. </w:t>
      </w:r>
      <w:r w:rsidRPr="00BD5E44">
        <w:rPr>
          <w:rFonts w:ascii="Times New Roman" w:hAnsi="Times New Roman" w:cs="Times New Roman"/>
          <w:i/>
          <w:iCs/>
        </w:rPr>
        <w:t>UBS Journal of Business and Economic Policy, 3</w:t>
      </w:r>
      <w:r w:rsidRPr="00BD5E44">
        <w:rPr>
          <w:rFonts w:ascii="Times New Roman" w:hAnsi="Times New Roman" w:cs="Times New Roman"/>
        </w:rPr>
        <w:t>(2), 36–49.</w:t>
      </w:r>
    </w:p>
    <w:p w14:paraId="39732079" w14:textId="77777777" w:rsidR="00CB2FEB" w:rsidRPr="00BD5E44" w:rsidRDefault="00CB2FEB" w:rsidP="00171646">
      <w:pPr>
        <w:ind w:left="720" w:hanging="720"/>
        <w:jc w:val="both"/>
        <w:rPr>
          <w:rFonts w:ascii="Times New Roman" w:hAnsi="Times New Roman" w:cs="Times New Roman"/>
        </w:rPr>
      </w:pPr>
      <w:r w:rsidRPr="003C70B8">
        <w:rPr>
          <w:rFonts w:ascii="Times New Roman" w:hAnsi="Times New Roman" w:cs="Times New Roman"/>
        </w:rPr>
        <w:lastRenderedPageBreak/>
        <w:t>Bamidele</w:t>
      </w:r>
      <w:r w:rsidRPr="00BA5D2D">
        <w:rPr>
          <w:rFonts w:ascii="Times New Roman" w:hAnsi="Times New Roman" w:cs="Times New Roman"/>
        </w:rPr>
        <w:t>,</w:t>
      </w:r>
      <w:r w:rsidRPr="003C70B8">
        <w:rPr>
          <w:rFonts w:ascii="Times New Roman" w:hAnsi="Times New Roman" w:cs="Times New Roman"/>
        </w:rPr>
        <w:t xml:space="preserve"> V</w:t>
      </w:r>
      <w:r w:rsidRPr="00BA5D2D">
        <w:rPr>
          <w:rFonts w:ascii="Times New Roman" w:hAnsi="Times New Roman" w:cs="Times New Roman"/>
        </w:rPr>
        <w:t>.</w:t>
      </w:r>
      <w:r w:rsidRPr="003C70B8">
        <w:rPr>
          <w:rFonts w:ascii="Times New Roman" w:hAnsi="Times New Roman" w:cs="Times New Roman"/>
        </w:rPr>
        <w:t xml:space="preserve"> O., </w:t>
      </w:r>
      <w:proofErr w:type="spellStart"/>
      <w:r w:rsidRPr="003C70B8">
        <w:rPr>
          <w:rFonts w:ascii="Times New Roman" w:hAnsi="Times New Roman" w:cs="Times New Roman"/>
        </w:rPr>
        <w:t>Ushahemba</w:t>
      </w:r>
      <w:proofErr w:type="spellEnd"/>
      <w:r w:rsidRPr="00BA5D2D">
        <w:rPr>
          <w:rFonts w:ascii="Times New Roman" w:hAnsi="Times New Roman" w:cs="Times New Roman"/>
        </w:rPr>
        <w:t xml:space="preserve"> </w:t>
      </w:r>
      <w:proofErr w:type="spellStart"/>
      <w:r w:rsidRPr="003C70B8">
        <w:rPr>
          <w:rFonts w:ascii="Times New Roman" w:hAnsi="Times New Roman" w:cs="Times New Roman"/>
        </w:rPr>
        <w:t>Ijirshar</w:t>
      </w:r>
      <w:proofErr w:type="spellEnd"/>
      <w:r w:rsidRPr="00BA5D2D">
        <w:rPr>
          <w:rFonts w:ascii="Times New Roman" w:hAnsi="Times New Roman" w:cs="Times New Roman"/>
        </w:rPr>
        <w:t>,</w:t>
      </w:r>
      <w:r w:rsidRPr="003C70B8">
        <w:rPr>
          <w:rFonts w:ascii="Times New Roman" w:hAnsi="Times New Roman" w:cs="Times New Roman"/>
        </w:rPr>
        <w:t xml:space="preserve"> V.</w:t>
      </w:r>
      <w:r w:rsidRPr="00BA5D2D">
        <w:rPr>
          <w:rFonts w:ascii="Times New Roman" w:hAnsi="Times New Roman" w:cs="Times New Roman"/>
        </w:rPr>
        <w:t>,</w:t>
      </w:r>
      <w:r w:rsidRPr="003C70B8">
        <w:rPr>
          <w:rFonts w:ascii="Times New Roman" w:hAnsi="Times New Roman" w:cs="Times New Roman"/>
        </w:rPr>
        <w:t xml:space="preserve"> </w:t>
      </w:r>
      <w:r w:rsidRPr="00BA5D2D">
        <w:rPr>
          <w:rFonts w:ascii="Times New Roman" w:hAnsi="Times New Roman" w:cs="Times New Roman"/>
        </w:rPr>
        <w:t>&amp;</w:t>
      </w:r>
      <w:r w:rsidRPr="003C70B8">
        <w:rPr>
          <w:rFonts w:ascii="Times New Roman" w:hAnsi="Times New Roman" w:cs="Times New Roman"/>
        </w:rPr>
        <w:t xml:space="preserve"> </w:t>
      </w:r>
      <w:proofErr w:type="spellStart"/>
      <w:r w:rsidRPr="003C70B8">
        <w:rPr>
          <w:rFonts w:ascii="Times New Roman" w:hAnsi="Times New Roman" w:cs="Times New Roman"/>
        </w:rPr>
        <w:t>Ashifa</w:t>
      </w:r>
      <w:proofErr w:type="spellEnd"/>
      <w:r w:rsidRPr="00BA5D2D">
        <w:rPr>
          <w:rFonts w:ascii="Times New Roman" w:hAnsi="Times New Roman" w:cs="Times New Roman"/>
        </w:rPr>
        <w:t>,</w:t>
      </w:r>
      <w:r w:rsidRPr="003C70B8">
        <w:rPr>
          <w:rFonts w:ascii="Times New Roman" w:hAnsi="Times New Roman" w:cs="Times New Roman"/>
        </w:rPr>
        <w:t xml:space="preserve"> T</w:t>
      </w:r>
      <w:r w:rsidRPr="00BA5D2D">
        <w:rPr>
          <w:rFonts w:ascii="Times New Roman" w:hAnsi="Times New Roman" w:cs="Times New Roman"/>
        </w:rPr>
        <w:t>.</w:t>
      </w:r>
      <w:r w:rsidRPr="003C70B8">
        <w:rPr>
          <w:rFonts w:ascii="Times New Roman" w:hAnsi="Times New Roman" w:cs="Times New Roman"/>
        </w:rPr>
        <w:t xml:space="preserve"> (2017) Impac</w:t>
      </w:r>
      <w:r w:rsidRPr="00BA5D2D">
        <w:rPr>
          <w:rFonts w:ascii="Times New Roman" w:hAnsi="Times New Roman" w:cs="Times New Roman"/>
        </w:rPr>
        <w:t>t of government fiscal expansion on manufacturing output in</w:t>
      </w:r>
      <w:r w:rsidRPr="003C70B8">
        <w:rPr>
          <w:rFonts w:ascii="Times New Roman" w:hAnsi="Times New Roman" w:cs="Times New Roman"/>
        </w:rPr>
        <w:t xml:space="preserve"> Nigeria. </w:t>
      </w:r>
      <w:r w:rsidRPr="003C70B8">
        <w:rPr>
          <w:rFonts w:ascii="Times New Roman" w:hAnsi="Times New Roman" w:cs="Times New Roman"/>
          <w:bCs/>
          <w:i/>
          <w:iCs/>
        </w:rPr>
        <w:t>International Journal of Management Studies, Business &amp; Entrepreneurship Research</w:t>
      </w:r>
      <w:r w:rsidRPr="00BA5D2D">
        <w:rPr>
          <w:rFonts w:ascii="Times New Roman" w:hAnsi="Times New Roman" w:cs="Times New Roman"/>
          <w:bCs/>
        </w:rPr>
        <w:t>,</w:t>
      </w:r>
      <w:r w:rsidRPr="003C70B8">
        <w:rPr>
          <w:rFonts w:ascii="Times New Roman" w:hAnsi="Times New Roman" w:cs="Times New Roman"/>
          <w:bCs/>
        </w:rPr>
        <w:t xml:space="preserve"> </w:t>
      </w:r>
      <w:r w:rsidRPr="003C70B8">
        <w:rPr>
          <w:rFonts w:ascii="Times New Roman" w:hAnsi="Times New Roman" w:cs="Times New Roman"/>
          <w:bCs/>
          <w:i/>
        </w:rPr>
        <w:t>2</w:t>
      </w:r>
      <w:r w:rsidRPr="00BA5D2D">
        <w:rPr>
          <w:rFonts w:ascii="Times New Roman" w:hAnsi="Times New Roman" w:cs="Times New Roman"/>
          <w:bCs/>
        </w:rPr>
        <w:t>(</w:t>
      </w:r>
      <w:r w:rsidRPr="003C70B8">
        <w:rPr>
          <w:rFonts w:ascii="Times New Roman" w:hAnsi="Times New Roman" w:cs="Times New Roman"/>
          <w:bCs/>
        </w:rPr>
        <w:t>2</w:t>
      </w:r>
      <w:r w:rsidRPr="00BA5D2D">
        <w:rPr>
          <w:rFonts w:ascii="Times New Roman" w:hAnsi="Times New Roman" w:cs="Times New Roman"/>
          <w:bCs/>
        </w:rPr>
        <w:t>),</w:t>
      </w:r>
      <w:r w:rsidRPr="00BA5D2D">
        <w:rPr>
          <w:rFonts w:ascii="Times New Roman" w:hAnsi="Times New Roman" w:cs="Times New Roman"/>
        </w:rPr>
        <w:t xml:space="preserve"> </w:t>
      </w:r>
      <w:r w:rsidRPr="003C70B8">
        <w:rPr>
          <w:rFonts w:ascii="Times New Roman" w:hAnsi="Times New Roman" w:cs="Times New Roman"/>
        </w:rPr>
        <w:t>198-214.</w:t>
      </w:r>
    </w:p>
    <w:p w14:paraId="10B19834" w14:textId="77777777" w:rsidR="00CB2FEB" w:rsidRPr="00BD5E44" w:rsidRDefault="00CB2FEB" w:rsidP="00171646">
      <w:pPr>
        <w:ind w:left="720" w:hanging="720"/>
        <w:jc w:val="both"/>
        <w:rPr>
          <w:rFonts w:ascii="Times New Roman" w:hAnsi="Times New Roman" w:cs="Times New Roman"/>
        </w:rPr>
      </w:pPr>
      <w:r w:rsidRPr="00BD5E44">
        <w:rPr>
          <w:rFonts w:ascii="Times New Roman" w:hAnsi="Times New Roman" w:cs="Times New Roman"/>
        </w:rPr>
        <w:t>Deloitte, T. (2017). Nigeria: FIRS introduces six electronic services. Monday Advice Centre in Association with ICSA. Retrieved from </w:t>
      </w:r>
      <w:hyperlink r:id="rId9" w:history="1">
        <w:r w:rsidRPr="00BD5E44">
          <w:rPr>
            <w:rStyle w:val="Hyperlink"/>
            <w:rFonts w:ascii="Times New Roman" w:hAnsi="Times New Roman" w:cs="Times New Roman"/>
          </w:rPr>
          <w:t>https://www.mondaq.com/</w:t>
        </w:r>
      </w:hyperlink>
    </w:p>
    <w:p w14:paraId="0828B8FE" w14:textId="77777777" w:rsidR="00CB2FEB" w:rsidRPr="00BD5E44" w:rsidRDefault="00CB2FEB" w:rsidP="00171646">
      <w:pPr>
        <w:ind w:left="720" w:hanging="720"/>
        <w:jc w:val="both"/>
        <w:rPr>
          <w:rFonts w:ascii="Times New Roman" w:hAnsi="Times New Roman" w:cs="Times New Roman"/>
        </w:rPr>
      </w:pPr>
      <w:proofErr w:type="spellStart"/>
      <w:r w:rsidRPr="00BD5E44">
        <w:rPr>
          <w:rFonts w:ascii="Times New Roman" w:hAnsi="Times New Roman" w:cs="Times New Roman"/>
        </w:rPr>
        <w:t>Nnubia</w:t>
      </w:r>
      <w:proofErr w:type="spellEnd"/>
      <w:r w:rsidRPr="00BD5E44">
        <w:rPr>
          <w:rFonts w:ascii="Times New Roman" w:hAnsi="Times New Roman" w:cs="Times New Roman"/>
        </w:rPr>
        <w:t>, I. C., Okafor, G. O., Chukwunwike, O. D., Asogwa, O. S., &amp; Ogan, R. J. (2020). Effect of e-taxation on revenue generation in Nigeria: A pre-post analysis. </w:t>
      </w:r>
      <w:r w:rsidRPr="00BD5E44">
        <w:rPr>
          <w:rFonts w:ascii="Times New Roman" w:hAnsi="Times New Roman" w:cs="Times New Roman"/>
          <w:i/>
          <w:iCs/>
        </w:rPr>
        <w:t>Academy of Entrepreneurship Journal, 26</w:t>
      </w:r>
      <w:r w:rsidRPr="00BD5E44">
        <w:rPr>
          <w:rFonts w:ascii="Times New Roman" w:hAnsi="Times New Roman" w:cs="Times New Roman"/>
        </w:rPr>
        <w:t>(3), 1–19.</w:t>
      </w:r>
    </w:p>
    <w:p w14:paraId="1D4DA14C" w14:textId="77777777" w:rsidR="00CB2FEB" w:rsidRPr="00BD5E44" w:rsidRDefault="00CB2FEB" w:rsidP="00171646">
      <w:pPr>
        <w:ind w:left="720" w:hanging="720"/>
        <w:jc w:val="both"/>
        <w:rPr>
          <w:rFonts w:ascii="Times New Roman" w:hAnsi="Times New Roman" w:cs="Times New Roman"/>
        </w:rPr>
      </w:pPr>
      <w:proofErr w:type="spellStart"/>
      <w:r w:rsidRPr="00BD5E44">
        <w:rPr>
          <w:rFonts w:ascii="Times New Roman" w:hAnsi="Times New Roman" w:cs="Times New Roman"/>
        </w:rPr>
        <w:t>Olurankinse</w:t>
      </w:r>
      <w:proofErr w:type="spellEnd"/>
      <w:r w:rsidRPr="00BD5E44">
        <w:rPr>
          <w:rFonts w:ascii="Times New Roman" w:hAnsi="Times New Roman" w:cs="Times New Roman"/>
        </w:rPr>
        <w:t>, F., &amp; Oladeji, O. E. (2018). Self-assessment, electronic-taxation payment system and revenue generation in Nigeria. </w:t>
      </w:r>
      <w:r w:rsidRPr="00BD5E44">
        <w:rPr>
          <w:rFonts w:ascii="Times New Roman" w:hAnsi="Times New Roman" w:cs="Times New Roman"/>
          <w:i/>
          <w:iCs/>
        </w:rPr>
        <w:t>Accounting and Taxation Review, 2</w:t>
      </w:r>
      <w:r w:rsidRPr="00BD5E44">
        <w:rPr>
          <w:rFonts w:ascii="Times New Roman" w:hAnsi="Times New Roman" w:cs="Times New Roman"/>
        </w:rPr>
        <w:t>(1), 39–55.</w:t>
      </w:r>
    </w:p>
    <w:p w14:paraId="23F9AAE6" w14:textId="77777777" w:rsidR="00BD5E44" w:rsidRPr="00BD5E44" w:rsidRDefault="00BD5E44" w:rsidP="00171646">
      <w:pPr>
        <w:jc w:val="both"/>
        <w:rPr>
          <w:rFonts w:ascii="Times New Roman" w:hAnsi="Times New Roman" w:cs="Times New Roman"/>
        </w:rPr>
      </w:pPr>
    </w:p>
    <w:sectPr w:rsidR="00BD5E44" w:rsidRPr="00BD5E4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CE30B" w14:textId="77777777" w:rsidR="00C148F1" w:rsidRDefault="00C148F1" w:rsidP="00EE13CC">
      <w:pPr>
        <w:spacing w:after="0" w:line="240" w:lineRule="auto"/>
      </w:pPr>
      <w:r>
        <w:separator/>
      </w:r>
    </w:p>
  </w:endnote>
  <w:endnote w:type="continuationSeparator" w:id="0">
    <w:p w14:paraId="652E560D" w14:textId="77777777" w:rsidR="00C148F1" w:rsidRDefault="00C148F1" w:rsidP="00EE1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0BF17" w14:textId="77777777" w:rsidR="00EE13CC" w:rsidRDefault="00EE13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A3AE5" w14:textId="77777777" w:rsidR="00EE13CC" w:rsidRDefault="00EE13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941B3" w14:textId="77777777" w:rsidR="00EE13CC" w:rsidRDefault="00EE1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BCCA3" w14:textId="77777777" w:rsidR="00C148F1" w:rsidRDefault="00C148F1" w:rsidP="00EE13CC">
      <w:pPr>
        <w:spacing w:after="0" w:line="240" w:lineRule="auto"/>
      </w:pPr>
      <w:r>
        <w:separator/>
      </w:r>
    </w:p>
  </w:footnote>
  <w:footnote w:type="continuationSeparator" w:id="0">
    <w:p w14:paraId="5C2F1DEF" w14:textId="77777777" w:rsidR="00C148F1" w:rsidRDefault="00C148F1" w:rsidP="00EE1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CA57C" w14:textId="5F2B496B" w:rsidR="00EE13CC" w:rsidRDefault="00EE13CC">
    <w:pPr>
      <w:pStyle w:val="Header"/>
    </w:pPr>
    <w:r>
      <w:rPr>
        <w:noProof/>
      </w:rPr>
      <w:pict w14:anchorId="6B094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56198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64EAD" w14:textId="1FB90EAB" w:rsidR="00EE13CC" w:rsidRDefault="00EE13CC">
    <w:pPr>
      <w:pStyle w:val="Header"/>
    </w:pPr>
    <w:r>
      <w:rPr>
        <w:noProof/>
      </w:rPr>
      <w:pict w14:anchorId="5C6166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56198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E71DD" w14:textId="6AD90610" w:rsidR="00EE13CC" w:rsidRDefault="00EE13CC">
    <w:pPr>
      <w:pStyle w:val="Header"/>
    </w:pPr>
    <w:r>
      <w:rPr>
        <w:noProof/>
      </w:rPr>
      <w:pict w14:anchorId="41155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56198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43FE5"/>
    <w:multiLevelType w:val="multilevel"/>
    <w:tmpl w:val="24E837C6"/>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4C60FD"/>
    <w:multiLevelType w:val="multilevel"/>
    <w:tmpl w:val="3266F942"/>
    <w:lvl w:ilvl="0">
      <w:start w:val="1"/>
      <w:numFmt w:val="lowerRoman"/>
      <w:lvlText w:val="%1."/>
      <w:lvlJc w:val="right"/>
      <w:pPr>
        <w:tabs>
          <w:tab w:val="num" w:pos="720"/>
        </w:tabs>
        <w:ind w:left="720" w:hanging="360"/>
      </w:pPr>
      <w:rPr>
        <w:rFonts w:hint="default"/>
        <w:sz w:val="20"/>
      </w:rPr>
    </w:lvl>
    <w:lvl w:ilvl="1">
      <w:start w:val="1"/>
      <w:numFmt w:val="lowerRoman"/>
      <w:lvlText w:val="%2."/>
      <w:lvlJc w:val="righ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367464"/>
    <w:multiLevelType w:val="multilevel"/>
    <w:tmpl w:val="24E837C6"/>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072802"/>
    <w:multiLevelType w:val="multilevel"/>
    <w:tmpl w:val="CE960730"/>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BA6BA4"/>
    <w:multiLevelType w:val="hybridMultilevel"/>
    <w:tmpl w:val="72B861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BB6E22"/>
    <w:multiLevelType w:val="multilevel"/>
    <w:tmpl w:val="24E837C6"/>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9B0A2C"/>
    <w:multiLevelType w:val="multilevel"/>
    <w:tmpl w:val="801E85E4"/>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6715B3"/>
    <w:multiLevelType w:val="multilevel"/>
    <w:tmpl w:val="3ECA2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624054"/>
    <w:multiLevelType w:val="multilevel"/>
    <w:tmpl w:val="CE960730"/>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864CE3"/>
    <w:multiLevelType w:val="multilevel"/>
    <w:tmpl w:val="D6CE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B97B5C"/>
    <w:multiLevelType w:val="multilevel"/>
    <w:tmpl w:val="CE960730"/>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E0704A0"/>
    <w:multiLevelType w:val="multilevel"/>
    <w:tmpl w:val="1E4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5A2D36"/>
    <w:multiLevelType w:val="multilevel"/>
    <w:tmpl w:val="24E837C6"/>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7755C4"/>
    <w:multiLevelType w:val="multilevel"/>
    <w:tmpl w:val="FC62D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1"/>
  </w:num>
  <w:num w:numId="3">
    <w:abstractNumId w:val="3"/>
  </w:num>
  <w:num w:numId="4">
    <w:abstractNumId w:val="13"/>
  </w:num>
  <w:num w:numId="5">
    <w:abstractNumId w:val="9"/>
  </w:num>
  <w:num w:numId="6">
    <w:abstractNumId w:val="2"/>
  </w:num>
  <w:num w:numId="7">
    <w:abstractNumId w:val="12"/>
  </w:num>
  <w:num w:numId="8">
    <w:abstractNumId w:val="6"/>
  </w:num>
  <w:num w:numId="9">
    <w:abstractNumId w:val="5"/>
  </w:num>
  <w:num w:numId="10">
    <w:abstractNumId w:val="0"/>
  </w:num>
  <w:num w:numId="11">
    <w:abstractNumId w:val="7"/>
  </w:num>
  <w:num w:numId="12">
    <w:abstractNumId w:val="8"/>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5E"/>
    <w:rsid w:val="00171646"/>
    <w:rsid w:val="00227309"/>
    <w:rsid w:val="002300B4"/>
    <w:rsid w:val="0028605E"/>
    <w:rsid w:val="003F14AC"/>
    <w:rsid w:val="005D26BF"/>
    <w:rsid w:val="006A1704"/>
    <w:rsid w:val="00721875"/>
    <w:rsid w:val="00747248"/>
    <w:rsid w:val="00773220"/>
    <w:rsid w:val="008E20F2"/>
    <w:rsid w:val="008F774E"/>
    <w:rsid w:val="009826B7"/>
    <w:rsid w:val="009F7AAF"/>
    <w:rsid w:val="00AB25A9"/>
    <w:rsid w:val="00B43731"/>
    <w:rsid w:val="00B45A98"/>
    <w:rsid w:val="00BD5E44"/>
    <w:rsid w:val="00C148F1"/>
    <w:rsid w:val="00CB2FEB"/>
    <w:rsid w:val="00D67E86"/>
    <w:rsid w:val="00DD6F3B"/>
    <w:rsid w:val="00DE5235"/>
    <w:rsid w:val="00EE13CC"/>
    <w:rsid w:val="00F21DDE"/>
    <w:rsid w:val="00F6743F"/>
    <w:rsid w:val="00F81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E86E81"/>
  <w15:chartTrackingRefBased/>
  <w15:docId w15:val="{A9D4D1C3-0801-4613-B738-40E31062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60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860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860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60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60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60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60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60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60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0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860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860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60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60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60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60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60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605E"/>
    <w:rPr>
      <w:rFonts w:eastAsiaTheme="majorEastAsia" w:cstheme="majorBidi"/>
      <w:color w:val="272727" w:themeColor="text1" w:themeTint="D8"/>
    </w:rPr>
  </w:style>
  <w:style w:type="paragraph" w:styleId="Title">
    <w:name w:val="Title"/>
    <w:basedOn w:val="Normal"/>
    <w:next w:val="Normal"/>
    <w:link w:val="TitleChar"/>
    <w:uiPriority w:val="10"/>
    <w:qFormat/>
    <w:rsid w:val="002860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0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60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60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605E"/>
    <w:pPr>
      <w:spacing w:before="160"/>
      <w:jc w:val="center"/>
    </w:pPr>
    <w:rPr>
      <w:i/>
      <w:iCs/>
      <w:color w:val="404040" w:themeColor="text1" w:themeTint="BF"/>
    </w:rPr>
  </w:style>
  <w:style w:type="character" w:customStyle="1" w:styleId="QuoteChar">
    <w:name w:val="Quote Char"/>
    <w:basedOn w:val="DefaultParagraphFont"/>
    <w:link w:val="Quote"/>
    <w:uiPriority w:val="29"/>
    <w:rsid w:val="0028605E"/>
    <w:rPr>
      <w:i/>
      <w:iCs/>
      <w:color w:val="404040" w:themeColor="text1" w:themeTint="BF"/>
    </w:rPr>
  </w:style>
  <w:style w:type="paragraph" w:styleId="ListParagraph">
    <w:name w:val="List Paragraph"/>
    <w:basedOn w:val="Normal"/>
    <w:uiPriority w:val="34"/>
    <w:qFormat/>
    <w:rsid w:val="0028605E"/>
    <w:pPr>
      <w:ind w:left="720"/>
      <w:contextualSpacing/>
    </w:pPr>
  </w:style>
  <w:style w:type="character" w:styleId="IntenseEmphasis">
    <w:name w:val="Intense Emphasis"/>
    <w:basedOn w:val="DefaultParagraphFont"/>
    <w:uiPriority w:val="21"/>
    <w:qFormat/>
    <w:rsid w:val="0028605E"/>
    <w:rPr>
      <w:i/>
      <w:iCs/>
      <w:color w:val="2F5496" w:themeColor="accent1" w:themeShade="BF"/>
    </w:rPr>
  </w:style>
  <w:style w:type="paragraph" w:styleId="IntenseQuote">
    <w:name w:val="Intense Quote"/>
    <w:basedOn w:val="Normal"/>
    <w:next w:val="Normal"/>
    <w:link w:val="IntenseQuoteChar"/>
    <w:uiPriority w:val="30"/>
    <w:qFormat/>
    <w:rsid w:val="002860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605E"/>
    <w:rPr>
      <w:i/>
      <w:iCs/>
      <w:color w:val="2F5496" w:themeColor="accent1" w:themeShade="BF"/>
    </w:rPr>
  </w:style>
  <w:style w:type="character" w:styleId="IntenseReference">
    <w:name w:val="Intense Reference"/>
    <w:basedOn w:val="DefaultParagraphFont"/>
    <w:uiPriority w:val="32"/>
    <w:qFormat/>
    <w:rsid w:val="0028605E"/>
    <w:rPr>
      <w:b/>
      <w:bCs/>
      <w:smallCaps/>
      <w:color w:val="2F5496" w:themeColor="accent1" w:themeShade="BF"/>
      <w:spacing w:val="5"/>
    </w:rPr>
  </w:style>
  <w:style w:type="paragraph" w:styleId="NormalWeb">
    <w:name w:val="Normal (Web)"/>
    <w:basedOn w:val="Normal"/>
    <w:uiPriority w:val="99"/>
    <w:semiHidden/>
    <w:unhideWhenUsed/>
    <w:rsid w:val="00BD5E44"/>
    <w:rPr>
      <w:rFonts w:ascii="Times New Roman" w:hAnsi="Times New Roman" w:cs="Times New Roman"/>
    </w:rPr>
  </w:style>
  <w:style w:type="character" w:customStyle="1" w:styleId="15">
    <w:name w:val="15"/>
    <w:basedOn w:val="DefaultParagraphFont"/>
    <w:rsid w:val="00BD5E44"/>
    <w:rPr>
      <w:rFonts w:ascii="Calibri" w:hAnsi="Calibri" w:cs="Calibri" w:hint="default"/>
      <w:i/>
      <w:iCs/>
    </w:rPr>
  </w:style>
  <w:style w:type="character" w:customStyle="1" w:styleId="16">
    <w:name w:val="16"/>
    <w:basedOn w:val="DefaultParagraphFont"/>
    <w:rsid w:val="00BD5E44"/>
    <w:rPr>
      <w:rFonts w:ascii="Calibri" w:hAnsi="Calibri" w:cs="Calibri" w:hint="default"/>
    </w:rPr>
  </w:style>
  <w:style w:type="character" w:customStyle="1" w:styleId="17">
    <w:name w:val="17"/>
    <w:basedOn w:val="DefaultParagraphFont"/>
    <w:rsid w:val="00BD5E44"/>
    <w:rPr>
      <w:rFonts w:ascii="Calibri" w:hAnsi="Calibri" w:cs="Calibri" w:hint="default"/>
      <w:color w:val="0563C1"/>
      <w:u w:val="single"/>
    </w:rPr>
  </w:style>
  <w:style w:type="character" w:styleId="Hyperlink">
    <w:name w:val="Hyperlink"/>
    <w:basedOn w:val="DefaultParagraphFont"/>
    <w:uiPriority w:val="99"/>
    <w:unhideWhenUsed/>
    <w:rsid w:val="00BD5E44"/>
    <w:rPr>
      <w:color w:val="0563C1" w:themeColor="hyperlink"/>
      <w:u w:val="single"/>
    </w:rPr>
  </w:style>
  <w:style w:type="character" w:styleId="UnresolvedMention">
    <w:name w:val="Unresolved Mention"/>
    <w:basedOn w:val="DefaultParagraphFont"/>
    <w:uiPriority w:val="99"/>
    <w:semiHidden/>
    <w:unhideWhenUsed/>
    <w:rsid w:val="00BD5E44"/>
    <w:rPr>
      <w:color w:val="605E5C"/>
      <w:shd w:val="clear" w:color="auto" w:fill="E1DFDD"/>
    </w:rPr>
  </w:style>
  <w:style w:type="paragraph" w:styleId="Header">
    <w:name w:val="header"/>
    <w:basedOn w:val="Normal"/>
    <w:link w:val="HeaderChar"/>
    <w:uiPriority w:val="99"/>
    <w:unhideWhenUsed/>
    <w:rsid w:val="00EE1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3CC"/>
  </w:style>
  <w:style w:type="paragraph" w:styleId="Footer">
    <w:name w:val="footer"/>
    <w:basedOn w:val="Normal"/>
    <w:link w:val="FooterChar"/>
    <w:uiPriority w:val="99"/>
    <w:unhideWhenUsed/>
    <w:rsid w:val="00EE1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ondaq.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17</Pages>
  <Words>5724</Words>
  <Characters>32627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Olawale Bammy</dc:creator>
  <cp:keywords/>
  <dc:description/>
  <cp:lastModifiedBy>SDI 1084</cp:lastModifiedBy>
  <cp:revision>8</cp:revision>
  <dcterms:created xsi:type="dcterms:W3CDTF">2026-03-02T15:22:00Z</dcterms:created>
  <dcterms:modified xsi:type="dcterms:W3CDTF">2026-03-05T06:59:00Z</dcterms:modified>
</cp:coreProperties>
</file>