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A068" w14:textId="42BBDE87" w:rsidR="00521074" w:rsidRDefault="00521074" w:rsidP="00E81F96">
      <w:pPr>
        <w:spacing w:after="0" w:line="240" w:lineRule="auto"/>
        <w:jc w:val="center"/>
        <w:rPr>
          <w:rFonts w:ascii="Times New Roman" w:eastAsia="Times New Roman" w:hAnsi="Times New Roman" w:cs="Times New Roman"/>
          <w:b/>
          <w:sz w:val="24"/>
          <w:szCs w:val="24"/>
        </w:rPr>
      </w:pPr>
      <w:r w:rsidRPr="00521074">
        <w:rPr>
          <w:rFonts w:ascii="Times New Roman" w:eastAsia="Times New Roman" w:hAnsi="Times New Roman" w:cs="Times New Roman"/>
          <w:b/>
          <w:sz w:val="24"/>
          <w:szCs w:val="24"/>
        </w:rPr>
        <w:t xml:space="preserve">Green Accounting Practices and </w:t>
      </w:r>
      <w:r w:rsidR="001E4E58">
        <w:rPr>
          <w:rFonts w:ascii="Times New Roman" w:eastAsia="Times New Roman" w:hAnsi="Times New Roman" w:cs="Times New Roman"/>
          <w:b/>
          <w:sz w:val="24"/>
          <w:szCs w:val="24"/>
        </w:rPr>
        <w:t xml:space="preserve">Financial </w:t>
      </w:r>
      <w:r w:rsidRPr="00521074">
        <w:rPr>
          <w:rFonts w:ascii="Times New Roman" w:eastAsia="Times New Roman" w:hAnsi="Times New Roman" w:cs="Times New Roman"/>
          <w:b/>
          <w:sz w:val="24"/>
          <w:szCs w:val="24"/>
        </w:rPr>
        <w:t>Performance: Evidence from Nigerian Manufacturing</w:t>
      </w:r>
      <w:r>
        <w:rPr>
          <w:rFonts w:ascii="Times New Roman" w:eastAsia="Times New Roman" w:hAnsi="Times New Roman" w:cs="Times New Roman"/>
          <w:b/>
          <w:sz w:val="24"/>
          <w:szCs w:val="24"/>
        </w:rPr>
        <w:t xml:space="preserve"> Firms</w:t>
      </w:r>
    </w:p>
    <w:p w14:paraId="24611B81" w14:textId="77777777" w:rsidR="00C64BAB" w:rsidRDefault="00C64BAB" w:rsidP="00C7246D">
      <w:pPr>
        <w:spacing w:after="0" w:line="240" w:lineRule="auto"/>
        <w:rPr>
          <w:rFonts w:ascii="Times New Roman" w:eastAsia="Times New Roman" w:hAnsi="Times New Roman" w:cs="Times New Roman"/>
          <w:b/>
          <w:sz w:val="24"/>
          <w:szCs w:val="24"/>
        </w:rPr>
      </w:pPr>
    </w:p>
    <w:p w14:paraId="241A2E10" w14:textId="28AAF8A3" w:rsidR="00E31A81" w:rsidRDefault="00E31A81" w:rsidP="00E81F96">
      <w:pPr>
        <w:spacing w:after="0" w:line="240" w:lineRule="auto"/>
      </w:pPr>
    </w:p>
    <w:p w14:paraId="50087314" w14:textId="77777777" w:rsidR="00F636F9" w:rsidRPr="00F636F9" w:rsidRDefault="00F636F9" w:rsidP="009C6CAA">
      <w:pPr>
        <w:pStyle w:val="NormalWeb"/>
        <w:jc w:val="both"/>
        <w:rPr>
          <w:b/>
        </w:rPr>
      </w:pPr>
      <w:bookmarkStart w:id="0" w:name="_GoBack"/>
      <w:bookmarkEnd w:id="0"/>
      <w:r w:rsidRPr="00F636F9">
        <w:rPr>
          <w:b/>
        </w:rPr>
        <w:t>Abstract</w:t>
      </w:r>
    </w:p>
    <w:p w14:paraId="6F339CBB" w14:textId="78BED544" w:rsidR="009C6CAA" w:rsidRPr="00521074" w:rsidRDefault="00521074" w:rsidP="00521074">
      <w:pPr>
        <w:spacing w:line="278" w:lineRule="auto"/>
        <w:jc w:val="both"/>
        <w:rPr>
          <w:rFonts w:ascii="Times New Roman" w:hAnsi="Times New Roman" w:cs="Times New Roman"/>
          <w:sz w:val="24"/>
          <w:szCs w:val="24"/>
        </w:rPr>
      </w:pPr>
      <w:r w:rsidRPr="00440F50">
        <w:rPr>
          <w:rFonts w:ascii="Times New Roman" w:hAnsi="Times New Roman" w:cs="Times New Roman"/>
          <w:sz w:val="24"/>
          <w:szCs w:val="24"/>
        </w:rPr>
        <w:t xml:space="preserve">This study investigates the effect of green accounting practices on the corporate performance of listed manufacturing firms in Nigeria, with particular focus on environmental waste management and pollution </w:t>
      </w:r>
      <w:proofErr w:type="gramStart"/>
      <w:r w:rsidRPr="00440F50">
        <w:rPr>
          <w:rFonts w:ascii="Times New Roman" w:hAnsi="Times New Roman" w:cs="Times New Roman"/>
          <w:sz w:val="24"/>
          <w:szCs w:val="24"/>
        </w:rPr>
        <w:t xml:space="preserve">control </w:t>
      </w:r>
      <w:r w:rsidR="001E4E58">
        <w:rPr>
          <w:rFonts w:ascii="Times New Roman" w:hAnsi="Times New Roman" w:cs="Times New Roman"/>
          <w:sz w:val="24"/>
          <w:szCs w:val="24"/>
        </w:rPr>
        <w:t xml:space="preserve"> practice</w:t>
      </w:r>
      <w:r w:rsidRPr="00440F50">
        <w:rPr>
          <w:rFonts w:ascii="Times New Roman" w:hAnsi="Times New Roman" w:cs="Times New Roman"/>
          <w:sz w:val="24"/>
          <w:szCs w:val="24"/>
        </w:rPr>
        <w:t>s</w:t>
      </w:r>
      <w:proofErr w:type="gramEnd"/>
      <w:r w:rsidRPr="00440F50">
        <w:rPr>
          <w:rFonts w:ascii="Times New Roman" w:hAnsi="Times New Roman" w:cs="Times New Roman"/>
          <w:sz w:val="24"/>
          <w:szCs w:val="24"/>
        </w:rPr>
        <w:t>. The study is premised on the growing demand for corporate environmental accountability and the need to ascertain whether sustainability-oriented reporting enhances financial outcomes. An ex-post facto research design was adopted, using secondary panel data obtained from the annual reports of ten purposively selected firms listed on the Nigerian Exchange Group (NGX) over the period 2010–2024.</w:t>
      </w:r>
      <w:r w:rsidRPr="00521074">
        <w:rPr>
          <w:rFonts w:ascii="Times New Roman" w:hAnsi="Times New Roman" w:cs="Times New Roman"/>
          <w:sz w:val="24"/>
          <w:szCs w:val="24"/>
        </w:rPr>
        <w:t xml:space="preserve"> </w:t>
      </w:r>
      <w:r w:rsidRPr="00440F50">
        <w:rPr>
          <w:rFonts w:ascii="Times New Roman" w:hAnsi="Times New Roman" w:cs="Times New Roman"/>
          <w:sz w:val="24"/>
          <w:szCs w:val="24"/>
        </w:rPr>
        <w:t>Descriptive statistics, correlation analysis, and panel regression techniques were employed to examine the relationships among the variables. Fixed Effects and Random Effects models were estimated, while the Dynamic Panel System Generalized Method of Moments (GMM) was applied to address potential endogeneity and firm-specific heterogeneity. The Hausman test supported the Fixed Effects model as the most appropriate specification.</w:t>
      </w:r>
      <w:r w:rsidRPr="00521074">
        <w:rPr>
          <w:rFonts w:ascii="Times New Roman" w:hAnsi="Times New Roman" w:cs="Times New Roman"/>
          <w:sz w:val="24"/>
          <w:szCs w:val="24"/>
        </w:rPr>
        <w:t xml:space="preserve"> </w:t>
      </w:r>
      <w:r w:rsidRPr="00440F50">
        <w:rPr>
          <w:rFonts w:ascii="Times New Roman" w:hAnsi="Times New Roman" w:cs="Times New Roman"/>
          <w:sz w:val="24"/>
          <w:szCs w:val="24"/>
        </w:rPr>
        <w:t>The findings reveal that environmental waste management</w:t>
      </w:r>
      <w:r w:rsidR="00FD7697">
        <w:rPr>
          <w:rFonts w:ascii="Times New Roman" w:hAnsi="Times New Roman" w:cs="Times New Roman"/>
          <w:sz w:val="24"/>
          <w:szCs w:val="24"/>
        </w:rPr>
        <w:t xml:space="preserve"> practice </w:t>
      </w:r>
      <w:r w:rsidRPr="00440F50">
        <w:rPr>
          <w:rFonts w:ascii="Times New Roman" w:hAnsi="Times New Roman" w:cs="Times New Roman"/>
          <w:sz w:val="24"/>
          <w:szCs w:val="24"/>
        </w:rPr>
        <w:t>has a positive and statistically significant impact on return on assets (ROA) and return on equity (ROE), indicating that firms with stronger waste management transparency tend to achieve superior financial performance. Conversely, environmental pollution control</w:t>
      </w:r>
      <w:r w:rsidR="00FD7697">
        <w:rPr>
          <w:rFonts w:ascii="Times New Roman" w:hAnsi="Times New Roman" w:cs="Times New Roman"/>
          <w:sz w:val="24"/>
          <w:szCs w:val="24"/>
        </w:rPr>
        <w:t xml:space="preserve"> practice </w:t>
      </w:r>
      <w:r w:rsidRPr="00440F50">
        <w:rPr>
          <w:rFonts w:ascii="Times New Roman" w:hAnsi="Times New Roman" w:cs="Times New Roman"/>
          <w:sz w:val="24"/>
          <w:szCs w:val="24"/>
        </w:rPr>
        <w:t>shows a negative but statistically insignificant relationship with performance indicators, suggesting that short-term compliance costs may offset immediate financial gains. Robustness checks confirm the consistency of the results.</w:t>
      </w:r>
      <w:r w:rsidRPr="00521074">
        <w:rPr>
          <w:rFonts w:ascii="Times New Roman" w:hAnsi="Times New Roman" w:cs="Times New Roman"/>
          <w:sz w:val="24"/>
          <w:szCs w:val="24"/>
        </w:rPr>
        <w:t xml:space="preserve"> </w:t>
      </w:r>
      <w:r w:rsidRPr="00440F50">
        <w:rPr>
          <w:rFonts w:ascii="Times New Roman" w:hAnsi="Times New Roman" w:cs="Times New Roman"/>
          <w:sz w:val="24"/>
          <w:szCs w:val="24"/>
        </w:rPr>
        <w:t xml:space="preserve">The study concludes that effective green accounting practices, particularly waste </w:t>
      </w:r>
      <w:proofErr w:type="gramStart"/>
      <w:r w:rsidRPr="00440F50">
        <w:rPr>
          <w:rFonts w:ascii="Times New Roman" w:hAnsi="Times New Roman" w:cs="Times New Roman"/>
          <w:sz w:val="24"/>
          <w:szCs w:val="24"/>
        </w:rPr>
        <w:t xml:space="preserve">management </w:t>
      </w:r>
      <w:r w:rsidR="001E4E58">
        <w:rPr>
          <w:rFonts w:ascii="Times New Roman" w:hAnsi="Times New Roman" w:cs="Times New Roman"/>
          <w:sz w:val="24"/>
          <w:szCs w:val="24"/>
        </w:rPr>
        <w:t xml:space="preserve"> practice</w:t>
      </w:r>
      <w:proofErr w:type="gramEnd"/>
      <w:r w:rsidRPr="00440F50">
        <w:rPr>
          <w:rFonts w:ascii="Times New Roman" w:hAnsi="Times New Roman" w:cs="Times New Roman"/>
          <w:sz w:val="24"/>
          <w:szCs w:val="24"/>
        </w:rPr>
        <w:t xml:space="preserve">, enhance </w:t>
      </w:r>
      <w:r w:rsidR="001E4E58">
        <w:rPr>
          <w:rFonts w:ascii="Times New Roman" w:hAnsi="Times New Roman" w:cs="Times New Roman"/>
          <w:sz w:val="24"/>
          <w:szCs w:val="24"/>
        </w:rPr>
        <w:t xml:space="preserve">Financial </w:t>
      </w:r>
      <w:r w:rsidRPr="00440F50">
        <w:rPr>
          <w:rFonts w:ascii="Times New Roman" w:hAnsi="Times New Roman" w:cs="Times New Roman"/>
          <w:sz w:val="24"/>
          <w:szCs w:val="24"/>
        </w:rPr>
        <w:t xml:space="preserve"> performance </w:t>
      </w:r>
      <w:r>
        <w:rPr>
          <w:rFonts w:ascii="Times New Roman" w:hAnsi="Times New Roman" w:cs="Times New Roman"/>
          <w:sz w:val="24"/>
          <w:szCs w:val="24"/>
        </w:rPr>
        <w:t>.</w:t>
      </w:r>
      <w:r w:rsidR="009C6CAA" w:rsidRPr="00521074">
        <w:rPr>
          <w:rFonts w:ascii="Times New Roman" w:hAnsi="Times New Roman" w:cs="Times New Roman"/>
          <w:sz w:val="24"/>
          <w:szCs w:val="24"/>
        </w:rPr>
        <w:t>It recommended that firms integrate environmental strategies into their operational frameworks and that policymakers enforce</w:t>
      </w:r>
      <w:r w:rsidR="00FD7697">
        <w:rPr>
          <w:rFonts w:ascii="Times New Roman" w:hAnsi="Times New Roman" w:cs="Times New Roman"/>
          <w:sz w:val="24"/>
          <w:szCs w:val="24"/>
        </w:rPr>
        <w:t xml:space="preserve"> practice </w:t>
      </w:r>
      <w:r w:rsidR="009C6CAA" w:rsidRPr="00521074">
        <w:rPr>
          <w:rFonts w:ascii="Times New Roman" w:hAnsi="Times New Roman" w:cs="Times New Roman"/>
          <w:sz w:val="24"/>
          <w:szCs w:val="24"/>
        </w:rPr>
        <w:t>regulations to ensure environmental accountability and sustainable profitability.</w:t>
      </w:r>
    </w:p>
    <w:p w14:paraId="5B559411" w14:textId="515746E4" w:rsidR="00E57B83" w:rsidRDefault="00F636F9" w:rsidP="00F636F9">
      <w:pPr>
        <w:pStyle w:val="NormalWeb"/>
      </w:pPr>
      <w:r>
        <w:rPr>
          <w:rStyle w:val="Strong"/>
        </w:rPr>
        <w:t>Keywords:</w:t>
      </w:r>
      <w:r>
        <w:t xml:space="preserve"> Green Accounting, </w:t>
      </w:r>
      <w:proofErr w:type="gramStart"/>
      <w:r>
        <w:t xml:space="preserve">Environmental </w:t>
      </w:r>
      <w:r w:rsidR="001E4E58">
        <w:t xml:space="preserve"> practice</w:t>
      </w:r>
      <w:proofErr w:type="gramEnd"/>
      <w:r>
        <w:t>, Financial Performance, Panel Data.</w:t>
      </w:r>
    </w:p>
    <w:p w14:paraId="413D66A4" w14:textId="77777777" w:rsidR="00163C53" w:rsidRDefault="00163C53" w:rsidP="00E57B83">
      <w:pPr>
        <w:pStyle w:val="NormalWeb"/>
        <w:rPr>
          <w:b/>
        </w:rPr>
      </w:pPr>
    </w:p>
    <w:p w14:paraId="7D1E3ADF" w14:textId="0311141E" w:rsidR="00E57B83" w:rsidRPr="00E538F7" w:rsidRDefault="00E57B83" w:rsidP="00E57B83">
      <w:pPr>
        <w:pStyle w:val="NormalWeb"/>
        <w:rPr>
          <w:b/>
        </w:rPr>
      </w:pPr>
      <w:r>
        <w:rPr>
          <w:b/>
        </w:rPr>
        <w:t xml:space="preserve">1. </w:t>
      </w:r>
      <w:r w:rsidRPr="00E538F7">
        <w:rPr>
          <w:b/>
        </w:rPr>
        <w:t>Introduction</w:t>
      </w:r>
    </w:p>
    <w:p w14:paraId="7F5CE6E3" w14:textId="77777777" w:rsidR="001E4E58" w:rsidRPr="001E4E58"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 xml:space="preserve">The increasing integration of sustainability into economic planning has triggered a paradigmatic shift in corporate and national reporting systems, with growing emphasis on ecological stewardship alongside profitability. Central to this transformation is green accounting, which incorporates environmental costs and externalities into conventional financial reporting frameworks. This shift is particularly significant in environmentally intensive sectors such as transportation, where carbon emissions and environmental degradation remain pressing concerns (Adams, Smith, &amp; Taylor, 2023). Global policy initiatives, notably the United Nations Sustainable </w:t>
      </w:r>
      <w:r w:rsidRPr="001E4E58">
        <w:rPr>
          <w:rFonts w:ascii="Times New Roman" w:eastAsia="Times New Roman" w:hAnsi="Times New Roman" w:cs="Times New Roman"/>
          <w:sz w:val="24"/>
          <w:szCs w:val="24"/>
        </w:rPr>
        <w:lastRenderedPageBreak/>
        <w:t>Development Goals (SDGs), have further intensified the call for embedding environmental considerations into core business strategies, thereby elevating the relevance of green accounting across sectors (African Development Bank, 2023).</w:t>
      </w:r>
    </w:p>
    <w:p w14:paraId="2A128F72" w14:textId="77777777" w:rsidR="001E4E58" w:rsidRPr="001E4E58"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 xml:space="preserve">Extant literature indicates that green accounting enhances long-term corporate sustainability by aligning environmental responsibility with economic performance (Chukka et al., 2024; Harif &amp; Natasha, 2024). In emerging economies such as Nigeria, where regulatory frameworks are still evolving, green accounting functions both as a compliance mechanism and a strategic instrument for attracting environmentally conscious investors (Adebayo et al., 2023; Akindele, Lawal, &amp; Bello, 2023). Empirical studies further demonstrate that environmental accounting adoption strengthens stakeholder trust and enhances corporate reputation (Alhassan, </w:t>
      </w:r>
      <w:proofErr w:type="spellStart"/>
      <w:r w:rsidRPr="001E4E58">
        <w:rPr>
          <w:rFonts w:ascii="Times New Roman" w:eastAsia="Times New Roman" w:hAnsi="Times New Roman" w:cs="Times New Roman"/>
          <w:sz w:val="24"/>
          <w:szCs w:val="24"/>
        </w:rPr>
        <w:t>Ijiri</w:t>
      </w:r>
      <w:proofErr w:type="spellEnd"/>
      <w:r w:rsidRPr="001E4E58">
        <w:rPr>
          <w:rFonts w:ascii="Times New Roman" w:eastAsia="Times New Roman" w:hAnsi="Times New Roman" w:cs="Times New Roman"/>
          <w:sz w:val="24"/>
          <w:szCs w:val="24"/>
        </w:rPr>
        <w:t xml:space="preserve">, &amp; </w:t>
      </w:r>
      <w:proofErr w:type="spellStart"/>
      <w:r w:rsidRPr="001E4E58">
        <w:rPr>
          <w:rFonts w:ascii="Times New Roman" w:eastAsia="Times New Roman" w:hAnsi="Times New Roman" w:cs="Times New Roman"/>
          <w:sz w:val="24"/>
          <w:szCs w:val="24"/>
        </w:rPr>
        <w:t>Asare</w:t>
      </w:r>
      <w:proofErr w:type="spellEnd"/>
      <w:r w:rsidRPr="001E4E58">
        <w:rPr>
          <w:rFonts w:ascii="Times New Roman" w:eastAsia="Times New Roman" w:hAnsi="Times New Roman" w:cs="Times New Roman"/>
          <w:sz w:val="24"/>
          <w:szCs w:val="24"/>
        </w:rPr>
        <w:t>, 2023; Agyemang &amp; Ansong, 2023). These developments underscore the strategic imperative for firms—particularly in high-impact sectors like transportation—to institutionalize green accounting as an integral component of sustainable financial management rather than merely a regulatory obligation.</w:t>
      </w:r>
    </w:p>
    <w:p w14:paraId="2515E15B" w14:textId="7C516B60" w:rsidR="001E4E58" w:rsidRPr="001E4E58"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Concurrently, the financial implications of sustainability-driven initiatives have gained prominence in academic and policy discourse. Evidence suggests that firms with comprehensive environmental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and transparent green investment strategies often outperform their counterparts in long-term profitability metrics (</w:t>
      </w:r>
      <w:proofErr w:type="spellStart"/>
      <w:r w:rsidRPr="001E4E58">
        <w:rPr>
          <w:rFonts w:ascii="Times New Roman" w:eastAsia="Times New Roman" w:hAnsi="Times New Roman" w:cs="Times New Roman"/>
          <w:sz w:val="24"/>
          <w:szCs w:val="24"/>
        </w:rPr>
        <w:t>Adhania</w:t>
      </w:r>
      <w:proofErr w:type="spellEnd"/>
      <w:r w:rsidRPr="001E4E58">
        <w:rPr>
          <w:rFonts w:ascii="Times New Roman" w:eastAsia="Times New Roman" w:hAnsi="Times New Roman" w:cs="Times New Roman"/>
          <w:sz w:val="24"/>
          <w:szCs w:val="24"/>
        </w:rPr>
        <w:t xml:space="preserve"> &amp; </w:t>
      </w:r>
      <w:proofErr w:type="spellStart"/>
      <w:r w:rsidRPr="001E4E58">
        <w:rPr>
          <w:rFonts w:ascii="Times New Roman" w:eastAsia="Times New Roman" w:hAnsi="Times New Roman" w:cs="Times New Roman"/>
          <w:sz w:val="24"/>
          <w:szCs w:val="24"/>
        </w:rPr>
        <w:t>Nurdiana</w:t>
      </w:r>
      <w:proofErr w:type="spellEnd"/>
      <w:r w:rsidRPr="001E4E58">
        <w:rPr>
          <w:rFonts w:ascii="Times New Roman" w:eastAsia="Times New Roman" w:hAnsi="Times New Roman" w:cs="Times New Roman"/>
          <w:sz w:val="24"/>
          <w:szCs w:val="24"/>
        </w:rPr>
        <w:t xml:space="preserve">, 2024; Dura &amp; </w:t>
      </w:r>
      <w:proofErr w:type="spellStart"/>
      <w:r w:rsidRPr="001E4E58">
        <w:rPr>
          <w:rFonts w:ascii="Times New Roman" w:eastAsia="Times New Roman" w:hAnsi="Times New Roman" w:cs="Times New Roman"/>
          <w:sz w:val="24"/>
          <w:szCs w:val="24"/>
        </w:rPr>
        <w:t>Suharsono</w:t>
      </w:r>
      <w:proofErr w:type="spellEnd"/>
      <w:r w:rsidRPr="001E4E58">
        <w:rPr>
          <w:rFonts w:ascii="Times New Roman" w:eastAsia="Times New Roman" w:hAnsi="Times New Roman" w:cs="Times New Roman"/>
          <w:sz w:val="24"/>
          <w:szCs w:val="24"/>
        </w:rPr>
        <w:t xml:space="preserve">, 2022). Within the transportation sector, investments in sustainable logistics and green infrastructure have been linked to operational efficiencies and cost optimization (Adebayo &amp; </w:t>
      </w:r>
      <w:proofErr w:type="spellStart"/>
      <w:r w:rsidRPr="001E4E58">
        <w:rPr>
          <w:rFonts w:ascii="Times New Roman" w:eastAsia="Times New Roman" w:hAnsi="Times New Roman" w:cs="Times New Roman"/>
          <w:sz w:val="24"/>
          <w:szCs w:val="24"/>
        </w:rPr>
        <w:t>Aworemi</w:t>
      </w:r>
      <w:proofErr w:type="spellEnd"/>
      <w:r w:rsidRPr="001E4E58">
        <w:rPr>
          <w:rFonts w:ascii="Times New Roman" w:eastAsia="Times New Roman" w:hAnsi="Times New Roman" w:cs="Times New Roman"/>
          <w:sz w:val="24"/>
          <w:szCs w:val="24"/>
        </w:rPr>
        <w:t xml:space="preserve">, 2021; </w:t>
      </w:r>
      <w:proofErr w:type="spellStart"/>
      <w:r w:rsidRPr="001E4E58">
        <w:rPr>
          <w:rFonts w:ascii="Times New Roman" w:eastAsia="Times New Roman" w:hAnsi="Times New Roman" w:cs="Times New Roman"/>
          <w:sz w:val="24"/>
          <w:szCs w:val="24"/>
        </w:rPr>
        <w:t>Akanbi</w:t>
      </w:r>
      <w:proofErr w:type="spellEnd"/>
      <w:r w:rsidRPr="001E4E58">
        <w:rPr>
          <w:rFonts w:ascii="Times New Roman" w:eastAsia="Times New Roman" w:hAnsi="Times New Roman" w:cs="Times New Roman"/>
          <w:sz w:val="24"/>
          <w:szCs w:val="24"/>
        </w:rPr>
        <w:t>, Johnson, &amp; Smith, 2022). Green accounting frameworks facilitate the systematic identification and measurement of these economic benefits while ensuring regulatory compliance and strengthening non-financial reporting quality (</w:t>
      </w:r>
      <w:proofErr w:type="spellStart"/>
      <w:r w:rsidRPr="001E4E58">
        <w:rPr>
          <w:rFonts w:ascii="Times New Roman" w:eastAsia="Times New Roman" w:hAnsi="Times New Roman" w:cs="Times New Roman"/>
          <w:sz w:val="24"/>
          <w:szCs w:val="24"/>
        </w:rPr>
        <w:t>Achmad</w:t>
      </w:r>
      <w:proofErr w:type="spellEnd"/>
      <w:r w:rsidRPr="001E4E58">
        <w:rPr>
          <w:rFonts w:ascii="Times New Roman" w:eastAsia="Times New Roman" w:hAnsi="Times New Roman" w:cs="Times New Roman"/>
          <w:sz w:val="24"/>
          <w:szCs w:val="24"/>
        </w:rPr>
        <w:t xml:space="preserve"> </w:t>
      </w:r>
      <w:proofErr w:type="spellStart"/>
      <w:r w:rsidRPr="001E4E58">
        <w:rPr>
          <w:rFonts w:ascii="Times New Roman" w:eastAsia="Times New Roman" w:hAnsi="Times New Roman" w:cs="Times New Roman"/>
          <w:sz w:val="24"/>
          <w:szCs w:val="24"/>
        </w:rPr>
        <w:t>Bagraff</w:t>
      </w:r>
      <w:proofErr w:type="spellEnd"/>
      <w:r w:rsidRPr="001E4E58">
        <w:rPr>
          <w:rFonts w:ascii="Times New Roman" w:eastAsia="Times New Roman" w:hAnsi="Times New Roman" w:cs="Times New Roman"/>
          <w:sz w:val="24"/>
          <w:szCs w:val="24"/>
        </w:rPr>
        <w:t xml:space="preserve"> &amp; Ahsan, 2024).</w:t>
      </w:r>
    </w:p>
    <w:p w14:paraId="0FF88B2D" w14:textId="1EECD80E" w:rsidR="00E57B83" w:rsidRDefault="001E4E58" w:rsidP="001E4E58">
      <w:pPr>
        <w:spacing w:before="100" w:beforeAutospacing="1" w:after="100" w:afterAutospacing="1" w:line="276" w:lineRule="auto"/>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Moreover, financial performance indicators such as return on assets (ROA) and earnings per share (EPS) have shown notable improvements among firms that prioritize environmental accountability (</w:t>
      </w:r>
      <w:proofErr w:type="spellStart"/>
      <w:r w:rsidRPr="001E4E58">
        <w:rPr>
          <w:rFonts w:ascii="Times New Roman" w:eastAsia="Times New Roman" w:hAnsi="Times New Roman" w:cs="Times New Roman"/>
          <w:sz w:val="24"/>
          <w:szCs w:val="24"/>
        </w:rPr>
        <w:t>Adjirackor</w:t>
      </w:r>
      <w:proofErr w:type="spellEnd"/>
      <w:r w:rsidRPr="001E4E58">
        <w:rPr>
          <w:rFonts w:ascii="Times New Roman" w:eastAsia="Times New Roman" w:hAnsi="Times New Roman" w:cs="Times New Roman"/>
          <w:sz w:val="24"/>
          <w:szCs w:val="24"/>
        </w:rPr>
        <w:t>, Mensah, &amp; Osei-Bonsu, 2023). These outcomes reflect the structured integration of sustainability into capital budgeting, resource allocation, and operational planning processes (</w:t>
      </w:r>
      <w:proofErr w:type="spellStart"/>
      <w:r w:rsidRPr="001E4E58">
        <w:rPr>
          <w:rFonts w:ascii="Times New Roman" w:eastAsia="Times New Roman" w:hAnsi="Times New Roman" w:cs="Times New Roman"/>
          <w:sz w:val="24"/>
          <w:szCs w:val="24"/>
        </w:rPr>
        <w:t>Indriastuti</w:t>
      </w:r>
      <w:proofErr w:type="spellEnd"/>
      <w:r w:rsidRPr="001E4E58">
        <w:rPr>
          <w:rFonts w:ascii="Times New Roman" w:eastAsia="Times New Roman" w:hAnsi="Times New Roman" w:cs="Times New Roman"/>
          <w:sz w:val="24"/>
          <w:szCs w:val="24"/>
        </w:rPr>
        <w:t xml:space="preserve"> &amp; </w:t>
      </w:r>
      <w:proofErr w:type="spellStart"/>
      <w:r w:rsidRPr="001E4E58">
        <w:rPr>
          <w:rFonts w:ascii="Times New Roman" w:eastAsia="Times New Roman" w:hAnsi="Times New Roman" w:cs="Times New Roman"/>
          <w:sz w:val="24"/>
          <w:szCs w:val="24"/>
        </w:rPr>
        <w:t>Mutamimah</w:t>
      </w:r>
      <w:proofErr w:type="spellEnd"/>
      <w:r w:rsidRPr="001E4E58">
        <w:rPr>
          <w:rFonts w:ascii="Times New Roman" w:eastAsia="Times New Roman" w:hAnsi="Times New Roman" w:cs="Times New Roman"/>
          <w:sz w:val="24"/>
          <w:szCs w:val="24"/>
        </w:rPr>
        <w:t>, 2023). As both a significant contributor to environmental challenges and a platform for green innovation, the transportation sector exemplifies the dynamic interplay between environmental responsibility and financial resilience (Adams, Smith, &amp; Taylor, 2023). Accordingly, the nexus between green accounting and corporate performance provides a compelling framework for advancing sustainable business practices and informing policy interventions aimed at achieving broader economic and environmental objectives.</w:t>
      </w:r>
    </w:p>
    <w:p w14:paraId="4CFFEBE1" w14:textId="77777777" w:rsidR="00E57B83" w:rsidRPr="00606FAE" w:rsidRDefault="00E57B83" w:rsidP="00E57B83">
      <w:pPr>
        <w:spacing w:before="100" w:beforeAutospacing="1" w:after="100" w:afterAutospacing="1" w:line="240" w:lineRule="auto"/>
        <w:jc w:val="both"/>
        <w:rPr>
          <w:rFonts w:ascii="Times New Roman" w:eastAsia="Times New Roman" w:hAnsi="Times New Roman" w:cs="Times New Roman"/>
          <w:b/>
          <w:sz w:val="24"/>
          <w:szCs w:val="24"/>
        </w:rPr>
      </w:pPr>
      <w:r w:rsidRPr="00606FAE">
        <w:rPr>
          <w:rFonts w:ascii="Times New Roman" w:eastAsia="Times New Roman" w:hAnsi="Times New Roman" w:cs="Times New Roman"/>
          <w:b/>
          <w:sz w:val="24"/>
          <w:szCs w:val="24"/>
        </w:rPr>
        <w:t>Statement of the Problem</w:t>
      </w:r>
    </w:p>
    <w:p w14:paraId="1B76B160" w14:textId="0FD1FFE9" w:rsidR="001E4E58" w:rsidRPr="001E4E58" w:rsidRDefault="001E4E58" w:rsidP="001E4E58">
      <w:pPr>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Despite growing global emphasis on sustainable development and environmental accountability, there remains limited empirical clarity on how specific environmental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practices—</w:t>
      </w:r>
      <w:r w:rsidRPr="001E4E58">
        <w:rPr>
          <w:rFonts w:ascii="Times New Roman" w:eastAsia="Times New Roman" w:hAnsi="Times New Roman" w:cs="Times New Roman"/>
          <w:sz w:val="24"/>
          <w:szCs w:val="24"/>
        </w:rPr>
        <w:lastRenderedPageBreak/>
        <w:t xml:space="preserve">particularly waste management and pollution </w:t>
      </w:r>
      <w:proofErr w:type="gramStart"/>
      <w:r w:rsidRPr="001E4E58">
        <w:rPr>
          <w:rFonts w:ascii="Times New Roman" w:eastAsia="Times New Roman" w:hAnsi="Times New Roman" w:cs="Times New Roman"/>
          <w:sz w:val="24"/>
          <w:szCs w:val="24"/>
        </w:rPr>
        <w:t xml:space="preserve">control </w:t>
      </w:r>
      <w:r>
        <w:rPr>
          <w:rFonts w:ascii="Times New Roman" w:eastAsia="Times New Roman" w:hAnsi="Times New Roman" w:cs="Times New Roman"/>
          <w:sz w:val="24"/>
          <w:szCs w:val="24"/>
        </w:rPr>
        <w:t xml:space="preserve"> practice</w:t>
      </w:r>
      <w:r w:rsidRPr="001E4E58">
        <w:rPr>
          <w:rFonts w:ascii="Times New Roman" w:eastAsia="Times New Roman" w:hAnsi="Times New Roman" w:cs="Times New Roman"/>
          <w:sz w:val="24"/>
          <w:szCs w:val="24"/>
        </w:rPr>
        <w:t>s</w:t>
      </w:r>
      <w:proofErr w:type="gramEnd"/>
      <w:r w:rsidRPr="001E4E58">
        <w:rPr>
          <w:rFonts w:ascii="Times New Roman" w:eastAsia="Times New Roman" w:hAnsi="Times New Roman" w:cs="Times New Roman"/>
          <w:sz w:val="24"/>
          <w:szCs w:val="24"/>
        </w:rPr>
        <w:t xml:space="preserve">—affect the financial performance of Nigerian manufacturing firms. Although companies increasingly incorporate environmental information into their reporting frameworks, the economic implications of </w:t>
      </w:r>
      <w:proofErr w:type="gramStart"/>
      <w:r w:rsidRPr="001E4E58">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 xml:space="preserve"> practice</w:t>
      </w:r>
      <w:r w:rsidRPr="001E4E58">
        <w:rPr>
          <w:rFonts w:ascii="Times New Roman" w:eastAsia="Times New Roman" w:hAnsi="Times New Roman" w:cs="Times New Roman"/>
          <w:sz w:val="24"/>
          <w:szCs w:val="24"/>
        </w:rPr>
        <w:t>s</w:t>
      </w:r>
      <w:proofErr w:type="gramEnd"/>
      <w:r w:rsidRPr="001E4E58">
        <w:rPr>
          <w:rFonts w:ascii="Times New Roman" w:eastAsia="Times New Roman" w:hAnsi="Times New Roman" w:cs="Times New Roman"/>
          <w:sz w:val="24"/>
          <w:szCs w:val="24"/>
        </w:rPr>
        <w:t xml:space="preserve"> remain inconclusive (Chen &amp; Zhang, 2023; Bamidele, Adeola, &amp; Kolawole, 2023).</w:t>
      </w:r>
    </w:p>
    <w:p w14:paraId="337F720A" w14:textId="46AD8920" w:rsidR="001E4E58" w:rsidRPr="001E4E58" w:rsidRDefault="001E4E58" w:rsidP="001E4E58">
      <w:pPr>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The Nigerian manufacturing sector, while serving as a key driver of economic growth, is also a major contributor to environmental degradation (Boluwaji et al., 2024; Bashir &amp; Umar, 2023). This dual role makes it an appropriate context for assessing whether environmental transparency translates into improved financial outcomes. Prior studies suggest that environmental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 xml:space="preserve">can enhance firm value by reducing reputational risk and strengthening stakeholder confidence (Chen, Wang, &amp; Zhao, 2023; Chukwu, Ugochukwu, &amp; Okafor, 2023). However, much of the existing literature treats environmental accounting as a broad construct, often overlooking the distinct effects of specific components such as waste management and pollution </w:t>
      </w:r>
      <w:proofErr w:type="gramStart"/>
      <w:r w:rsidRPr="001E4E58">
        <w:rPr>
          <w:rFonts w:ascii="Times New Roman" w:eastAsia="Times New Roman" w:hAnsi="Times New Roman" w:cs="Times New Roman"/>
          <w:sz w:val="24"/>
          <w:szCs w:val="24"/>
        </w:rPr>
        <w:t xml:space="preserve">control </w:t>
      </w:r>
      <w:r>
        <w:rPr>
          <w:rFonts w:ascii="Times New Roman" w:eastAsia="Times New Roman" w:hAnsi="Times New Roman" w:cs="Times New Roman"/>
          <w:sz w:val="24"/>
          <w:szCs w:val="24"/>
        </w:rPr>
        <w:t xml:space="preserve"> practice</w:t>
      </w:r>
      <w:r w:rsidRPr="001E4E58">
        <w:rPr>
          <w:rFonts w:ascii="Times New Roman" w:eastAsia="Times New Roman" w:hAnsi="Times New Roman" w:cs="Times New Roman"/>
          <w:sz w:val="24"/>
          <w:szCs w:val="24"/>
        </w:rPr>
        <w:t>s</w:t>
      </w:r>
      <w:proofErr w:type="gramEnd"/>
      <w:r w:rsidRPr="001E4E58">
        <w:rPr>
          <w:rFonts w:ascii="Times New Roman" w:eastAsia="Times New Roman" w:hAnsi="Times New Roman" w:cs="Times New Roman"/>
          <w:sz w:val="24"/>
          <w:szCs w:val="24"/>
        </w:rPr>
        <w:t xml:space="preserve"> (</w:t>
      </w:r>
      <w:proofErr w:type="spellStart"/>
      <w:r w:rsidRPr="001E4E58">
        <w:rPr>
          <w:rFonts w:ascii="Times New Roman" w:eastAsia="Times New Roman" w:hAnsi="Times New Roman" w:cs="Times New Roman"/>
          <w:sz w:val="24"/>
          <w:szCs w:val="24"/>
        </w:rPr>
        <w:t>Bessong</w:t>
      </w:r>
      <w:proofErr w:type="spellEnd"/>
      <w:r w:rsidRPr="001E4E58">
        <w:rPr>
          <w:rFonts w:ascii="Times New Roman" w:eastAsia="Times New Roman" w:hAnsi="Times New Roman" w:cs="Times New Roman"/>
          <w:sz w:val="24"/>
          <w:szCs w:val="24"/>
        </w:rPr>
        <w:t xml:space="preserve"> et al., 2023; </w:t>
      </w:r>
      <w:proofErr w:type="spellStart"/>
      <w:r w:rsidRPr="001E4E58">
        <w:rPr>
          <w:rFonts w:ascii="Times New Roman" w:eastAsia="Times New Roman" w:hAnsi="Times New Roman" w:cs="Times New Roman"/>
          <w:sz w:val="24"/>
          <w:szCs w:val="24"/>
        </w:rPr>
        <w:t>Boiocchi</w:t>
      </w:r>
      <w:proofErr w:type="spellEnd"/>
      <w:r w:rsidRPr="001E4E58">
        <w:rPr>
          <w:rFonts w:ascii="Times New Roman" w:eastAsia="Times New Roman" w:hAnsi="Times New Roman" w:cs="Times New Roman"/>
          <w:sz w:val="24"/>
          <w:szCs w:val="24"/>
        </w:rPr>
        <w:t xml:space="preserve">, Gomez-Marcos, &amp; </w:t>
      </w:r>
      <w:proofErr w:type="spellStart"/>
      <w:r w:rsidRPr="001E4E58">
        <w:rPr>
          <w:rFonts w:ascii="Times New Roman" w:eastAsia="Times New Roman" w:hAnsi="Times New Roman" w:cs="Times New Roman"/>
          <w:sz w:val="24"/>
          <w:szCs w:val="24"/>
        </w:rPr>
        <w:t>Lakzian</w:t>
      </w:r>
      <w:proofErr w:type="spellEnd"/>
      <w:r w:rsidRPr="001E4E58">
        <w:rPr>
          <w:rFonts w:ascii="Times New Roman" w:eastAsia="Times New Roman" w:hAnsi="Times New Roman" w:cs="Times New Roman"/>
          <w:sz w:val="24"/>
          <w:szCs w:val="24"/>
        </w:rPr>
        <w:t>, 2023).</w:t>
      </w:r>
    </w:p>
    <w:p w14:paraId="2142131C" w14:textId="1A8C84BD" w:rsidR="001E4E58" w:rsidRDefault="001E4E58" w:rsidP="001E4E58">
      <w:pPr>
        <w:jc w:val="both"/>
        <w:rPr>
          <w:rFonts w:ascii="Times New Roman" w:eastAsia="Times New Roman" w:hAnsi="Times New Roman" w:cs="Times New Roman"/>
          <w:sz w:val="24"/>
          <w:szCs w:val="24"/>
        </w:rPr>
      </w:pPr>
      <w:r w:rsidRPr="001E4E58">
        <w:rPr>
          <w:rFonts w:ascii="Times New Roman" w:eastAsia="Times New Roman" w:hAnsi="Times New Roman" w:cs="Times New Roman"/>
          <w:sz w:val="24"/>
          <w:szCs w:val="24"/>
        </w:rPr>
        <w:t xml:space="preserve">Moreover, limited research has adequately addressed the Nigerian institutional environment, characterized by evolving sustainability regulations and inconsistent enforcement (AllAfrica, 2024; Amadi, 2025). Given the resource-based view’s assertion that firm-specific practices can generate competitive advantage (Barney, 1991; Barney &amp; Clark, 2007), it becomes necessary to examine whether targeted </w:t>
      </w:r>
      <w:proofErr w:type="gramStart"/>
      <w:r w:rsidRPr="001E4E58">
        <w:rPr>
          <w:rFonts w:ascii="Times New Roman" w:eastAsia="Times New Roman" w:hAnsi="Times New Roman" w:cs="Times New Roman"/>
          <w:sz w:val="24"/>
          <w:szCs w:val="24"/>
        </w:rPr>
        <w:t xml:space="preserve">environmental </w:t>
      </w:r>
      <w:r>
        <w:rPr>
          <w:rFonts w:ascii="Times New Roman" w:eastAsia="Times New Roman" w:hAnsi="Times New Roman" w:cs="Times New Roman"/>
          <w:sz w:val="24"/>
          <w:szCs w:val="24"/>
        </w:rPr>
        <w:t xml:space="preserve"> practice</w:t>
      </w:r>
      <w:r w:rsidRPr="001E4E58">
        <w:rPr>
          <w:rFonts w:ascii="Times New Roman" w:eastAsia="Times New Roman" w:hAnsi="Times New Roman" w:cs="Times New Roman"/>
          <w:sz w:val="24"/>
          <w:szCs w:val="24"/>
        </w:rPr>
        <w:t>s</w:t>
      </w:r>
      <w:proofErr w:type="gramEnd"/>
      <w:r w:rsidRPr="001E4E58">
        <w:rPr>
          <w:rFonts w:ascii="Times New Roman" w:eastAsia="Times New Roman" w:hAnsi="Times New Roman" w:cs="Times New Roman"/>
          <w:sz w:val="24"/>
          <w:szCs w:val="24"/>
        </w:rPr>
        <w:t xml:space="preserve"> function as strategic value-enhancing mechanisms.</w:t>
      </w:r>
      <w:r>
        <w:rPr>
          <w:rFonts w:ascii="Times New Roman" w:eastAsia="Times New Roman" w:hAnsi="Times New Roman" w:cs="Times New Roman"/>
          <w:sz w:val="24"/>
          <w:szCs w:val="24"/>
        </w:rPr>
        <w:t xml:space="preserve"> </w:t>
      </w:r>
      <w:r w:rsidRPr="001E4E58">
        <w:rPr>
          <w:rFonts w:ascii="Times New Roman" w:eastAsia="Times New Roman" w:hAnsi="Times New Roman" w:cs="Times New Roman"/>
          <w:sz w:val="24"/>
          <w:szCs w:val="24"/>
        </w:rPr>
        <w:t>Accordingly, this study evaluates the effects of environmental waste management</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and environmental pollution control</w:t>
      </w:r>
      <w:r w:rsidR="00FD7697">
        <w:rPr>
          <w:rFonts w:ascii="Times New Roman" w:eastAsia="Times New Roman" w:hAnsi="Times New Roman" w:cs="Times New Roman"/>
          <w:sz w:val="24"/>
          <w:szCs w:val="24"/>
        </w:rPr>
        <w:t xml:space="preserve"> practice </w:t>
      </w:r>
      <w:r w:rsidRPr="001E4E58">
        <w:rPr>
          <w:rFonts w:ascii="Times New Roman" w:eastAsia="Times New Roman" w:hAnsi="Times New Roman" w:cs="Times New Roman"/>
          <w:sz w:val="24"/>
          <w:szCs w:val="24"/>
        </w:rPr>
        <w:t>on the financial performance of listed manufacturing firms in Nigeria.</w:t>
      </w:r>
    </w:p>
    <w:p w14:paraId="301176F8" w14:textId="76FFFFD2" w:rsidR="009A2964" w:rsidRDefault="009A2964" w:rsidP="001E4E58">
      <w:pPr>
        <w:jc w:val="both"/>
        <w:rPr>
          <w:rFonts w:ascii="Times New Roman" w:eastAsia="Times New Roman" w:hAnsi="Times New Roman" w:cs="Times New Roman"/>
          <w:b/>
          <w:bCs/>
          <w:sz w:val="24"/>
          <w:szCs w:val="24"/>
        </w:rPr>
      </w:pPr>
      <w:r w:rsidRPr="009A2964">
        <w:rPr>
          <w:rFonts w:ascii="Times New Roman" w:eastAsia="Times New Roman" w:hAnsi="Times New Roman" w:cs="Times New Roman"/>
          <w:b/>
          <w:bCs/>
          <w:sz w:val="24"/>
          <w:szCs w:val="24"/>
        </w:rPr>
        <w:t xml:space="preserve">Research Hypotheses </w:t>
      </w:r>
    </w:p>
    <w:p w14:paraId="3E360B92" w14:textId="04A04B59" w:rsidR="009A2964" w:rsidRPr="009A2964" w:rsidRDefault="009A2964" w:rsidP="009A2964">
      <w:pPr>
        <w:pStyle w:val="NormalWeb"/>
        <w:jc w:val="both"/>
        <w:rPr>
          <w:iCs/>
        </w:rPr>
      </w:pPr>
      <w:r w:rsidRPr="009A2964">
        <w:rPr>
          <w:rStyle w:val="Strong"/>
          <w:iCs/>
        </w:rPr>
        <w:t>H</w:t>
      </w:r>
      <w:r>
        <w:rPr>
          <w:rStyle w:val="Strong"/>
          <w:iCs/>
        </w:rPr>
        <w:t>01</w:t>
      </w:r>
      <w:r w:rsidRPr="009A2964">
        <w:rPr>
          <w:rStyle w:val="Strong"/>
          <w:iCs/>
        </w:rPr>
        <w:t>:</w:t>
      </w:r>
      <w:r w:rsidRPr="009A2964">
        <w:rPr>
          <w:iCs/>
        </w:rPr>
        <w:t xml:space="preserve"> Environmental waste management has no significant effect on the financial performance of listed manufacturing companies in Nigeria.</w:t>
      </w:r>
    </w:p>
    <w:p w14:paraId="06EC9C55" w14:textId="68A8A3C2" w:rsidR="00163C53" w:rsidRDefault="009A2964" w:rsidP="00163C53">
      <w:pPr>
        <w:spacing w:beforeAutospacing="1" w:after="100" w:afterAutospacing="1" w:line="240" w:lineRule="auto"/>
        <w:jc w:val="both"/>
        <w:rPr>
          <w:rFonts w:ascii="Times New Roman" w:eastAsia="Times New Roman" w:hAnsi="Times New Roman" w:cs="Times New Roman"/>
          <w:iCs/>
          <w:sz w:val="24"/>
          <w:szCs w:val="24"/>
        </w:rPr>
      </w:pPr>
      <w:r w:rsidRPr="009A2964">
        <w:rPr>
          <w:rFonts w:ascii="Times New Roman" w:eastAsia="Times New Roman" w:hAnsi="Times New Roman" w:cs="Times New Roman"/>
          <w:b/>
          <w:bCs/>
          <w:iCs/>
          <w:sz w:val="24"/>
          <w:szCs w:val="24"/>
        </w:rPr>
        <w:t>H</w:t>
      </w:r>
      <w:r>
        <w:rPr>
          <w:rFonts w:ascii="Times New Roman" w:eastAsia="Times New Roman" w:hAnsi="Times New Roman" w:cs="Times New Roman"/>
          <w:b/>
          <w:bCs/>
          <w:iCs/>
          <w:sz w:val="24"/>
          <w:szCs w:val="24"/>
        </w:rPr>
        <w:t>o2</w:t>
      </w:r>
      <w:r w:rsidRPr="009A2964">
        <w:rPr>
          <w:rFonts w:ascii="Times New Roman" w:eastAsia="Times New Roman" w:hAnsi="Times New Roman" w:cs="Times New Roman"/>
          <w:b/>
          <w:bCs/>
          <w:iCs/>
          <w:sz w:val="24"/>
          <w:szCs w:val="24"/>
        </w:rPr>
        <w:t>:</w:t>
      </w:r>
      <w:r w:rsidRPr="009A2964">
        <w:rPr>
          <w:rFonts w:ascii="Times New Roman" w:eastAsia="Times New Roman" w:hAnsi="Times New Roman" w:cs="Times New Roman"/>
          <w:iCs/>
          <w:sz w:val="24"/>
          <w:szCs w:val="24"/>
        </w:rPr>
        <w:t xml:space="preserve"> Environmental pollution control has no significant effect on the financial performance of listed manufacturing companies in Nigeria.</w:t>
      </w:r>
    </w:p>
    <w:p w14:paraId="289F2B90" w14:textId="77777777" w:rsidR="00163C53" w:rsidRDefault="00163C53">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page"/>
      </w:r>
    </w:p>
    <w:p w14:paraId="1DDA1CC3" w14:textId="77777777" w:rsidR="00E57B83" w:rsidRPr="00E57B83" w:rsidRDefault="00E57B83" w:rsidP="00E57B8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E57B83">
        <w:rPr>
          <w:rFonts w:ascii="Times New Roman" w:hAnsi="Times New Roman" w:cs="Times New Roman"/>
          <w:b/>
          <w:sz w:val="24"/>
          <w:szCs w:val="24"/>
        </w:rPr>
        <w:t xml:space="preserve">Conceptual Exploration and hypotheses Development </w:t>
      </w:r>
    </w:p>
    <w:p w14:paraId="538E1A56" w14:textId="2B76ED74" w:rsidR="00E57B83" w:rsidRPr="00E57B83" w:rsidRDefault="00E57B83" w:rsidP="00E57B83">
      <w:pPr>
        <w:jc w:val="both"/>
        <w:rPr>
          <w:rFonts w:ascii="Times New Roman" w:hAnsi="Times New Roman" w:cs="Times New Roman"/>
          <w:b/>
          <w:sz w:val="24"/>
          <w:szCs w:val="24"/>
        </w:rPr>
      </w:pPr>
      <w:r w:rsidRPr="00E57B83">
        <w:rPr>
          <w:rFonts w:ascii="Times New Roman" w:hAnsi="Times New Roman" w:cs="Times New Roman"/>
          <w:b/>
          <w:sz w:val="24"/>
          <w:szCs w:val="24"/>
        </w:rPr>
        <w:t xml:space="preserve">Green Accounting </w:t>
      </w:r>
      <w:r w:rsidR="001E4E58">
        <w:rPr>
          <w:rFonts w:ascii="Times New Roman" w:hAnsi="Times New Roman" w:cs="Times New Roman"/>
          <w:b/>
          <w:sz w:val="24"/>
          <w:szCs w:val="24"/>
        </w:rPr>
        <w:t xml:space="preserve">Practice </w:t>
      </w:r>
      <w:r w:rsidRPr="00E57B83">
        <w:rPr>
          <w:rFonts w:ascii="Times New Roman" w:hAnsi="Times New Roman" w:cs="Times New Roman"/>
          <w:b/>
          <w:sz w:val="24"/>
          <w:szCs w:val="24"/>
        </w:rPr>
        <w:t xml:space="preserve"> </w:t>
      </w:r>
    </w:p>
    <w:p w14:paraId="33359C85" w14:textId="23A48B5E" w:rsidR="00E57B83" w:rsidRPr="00343141"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343141">
        <w:rPr>
          <w:rFonts w:ascii="Times New Roman" w:eastAsia="Times New Roman" w:hAnsi="Times New Roman" w:cs="Times New Roman"/>
          <w:bCs/>
          <w:sz w:val="24"/>
          <w:szCs w:val="24"/>
        </w:rPr>
        <w:t xml:space="preserve">Green accounting </w:t>
      </w:r>
      <w:r w:rsidR="001E4E58">
        <w:rPr>
          <w:rFonts w:ascii="Times New Roman" w:eastAsia="Times New Roman" w:hAnsi="Times New Roman" w:cs="Times New Roman"/>
          <w:bCs/>
          <w:sz w:val="24"/>
          <w:szCs w:val="24"/>
        </w:rPr>
        <w:t xml:space="preserve">practice </w:t>
      </w:r>
      <w:r w:rsidRPr="00343141">
        <w:rPr>
          <w:rFonts w:ascii="Times New Roman" w:eastAsia="Times New Roman" w:hAnsi="Times New Roman" w:cs="Times New Roman"/>
          <w:sz w:val="24"/>
          <w:szCs w:val="24"/>
        </w:rPr>
        <w:t xml:space="preserve">refers to the systematic process by which organizations report environmental costs, liabilities, and sustainability-related activities within their financial statements and sustainability reports. Rooted in the broader framework of </w:t>
      </w:r>
      <w:r w:rsidRPr="00343141">
        <w:rPr>
          <w:rFonts w:ascii="Times New Roman" w:eastAsia="Times New Roman" w:hAnsi="Times New Roman" w:cs="Times New Roman"/>
          <w:bCs/>
          <w:sz w:val="24"/>
          <w:szCs w:val="24"/>
        </w:rPr>
        <w:t>environmental accounting</w:t>
      </w:r>
      <w:r w:rsidRPr="00343141">
        <w:rPr>
          <w:rFonts w:ascii="Times New Roman" w:eastAsia="Times New Roman" w:hAnsi="Times New Roman" w:cs="Times New Roman"/>
          <w:sz w:val="24"/>
          <w:szCs w:val="24"/>
        </w:rPr>
        <w:t>, green accounting aims to integrate ecological considerations—such as resource use, pollution output, environmental remediation, and biodiversity impacts—into conventional economic metrics (Chukwu, Ugochukwu, &amp; Okafor, 2023; Bashir &amp; Umar, 2023). This</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 xml:space="preserve">framework enables firms to measure and communicate the financial implications of their environmental practices, thereby enhancing transparency and accountability to stakeholders. At its core, green </w:t>
      </w:r>
      <w:r w:rsidR="00FD7697">
        <w:rPr>
          <w:rFonts w:ascii="Times New Roman" w:eastAsia="Times New Roman" w:hAnsi="Times New Roman" w:cs="Times New Roman"/>
          <w:sz w:val="24"/>
          <w:szCs w:val="24"/>
        </w:rPr>
        <w:t xml:space="preserve">accounting practice </w:t>
      </w:r>
      <w:r w:rsidRPr="00343141">
        <w:rPr>
          <w:rFonts w:ascii="Times New Roman" w:eastAsia="Times New Roman" w:hAnsi="Times New Roman" w:cs="Times New Roman"/>
          <w:sz w:val="24"/>
          <w:szCs w:val="24"/>
        </w:rPr>
        <w:t xml:space="preserve">embodies the principles of </w:t>
      </w:r>
      <w:r w:rsidRPr="00343141">
        <w:rPr>
          <w:rFonts w:ascii="Times New Roman" w:eastAsia="Times New Roman" w:hAnsi="Times New Roman" w:cs="Times New Roman"/>
          <w:bCs/>
          <w:sz w:val="24"/>
          <w:szCs w:val="24"/>
        </w:rPr>
        <w:t>triple bottom line reporting</w:t>
      </w:r>
      <w:r w:rsidRPr="00343141">
        <w:rPr>
          <w:rFonts w:ascii="Times New Roman" w:eastAsia="Times New Roman" w:hAnsi="Times New Roman" w:cs="Times New Roman"/>
          <w:sz w:val="24"/>
          <w:szCs w:val="24"/>
        </w:rPr>
        <w:t>—economic, environmental, and social performance—and supports long-term corporate sustainability by making environmental costs visible in financial terms (</w:t>
      </w:r>
      <w:proofErr w:type="spellStart"/>
      <w:r w:rsidRPr="00343141">
        <w:rPr>
          <w:rFonts w:ascii="Times New Roman" w:eastAsia="Times New Roman" w:hAnsi="Times New Roman" w:cs="Times New Roman"/>
          <w:sz w:val="24"/>
          <w:szCs w:val="24"/>
        </w:rPr>
        <w:t>Bessong</w:t>
      </w:r>
      <w:proofErr w:type="spellEnd"/>
      <w:r w:rsidRPr="00343141">
        <w:rPr>
          <w:rFonts w:ascii="Times New Roman" w:eastAsia="Times New Roman" w:hAnsi="Times New Roman" w:cs="Times New Roman"/>
          <w:sz w:val="24"/>
          <w:szCs w:val="24"/>
        </w:rPr>
        <w:t xml:space="preserve"> et al., 2023). It typically includes metrics on emissions, energy usage, waste generation, water consumption, environmental fines, and investments in green technologies (</w:t>
      </w:r>
      <w:proofErr w:type="spellStart"/>
      <w:r w:rsidRPr="00343141">
        <w:rPr>
          <w:rFonts w:ascii="Times New Roman" w:eastAsia="Times New Roman" w:hAnsi="Times New Roman" w:cs="Times New Roman"/>
          <w:sz w:val="24"/>
          <w:szCs w:val="24"/>
        </w:rPr>
        <w:t>Boiocchi</w:t>
      </w:r>
      <w:proofErr w:type="spellEnd"/>
      <w:r w:rsidRPr="00343141">
        <w:rPr>
          <w:rFonts w:ascii="Times New Roman" w:eastAsia="Times New Roman" w:hAnsi="Times New Roman" w:cs="Times New Roman"/>
          <w:sz w:val="24"/>
          <w:szCs w:val="24"/>
        </w:rPr>
        <w:t xml:space="preserve">, Gomez-Marcos, &amp; </w:t>
      </w:r>
      <w:proofErr w:type="spellStart"/>
      <w:r w:rsidRPr="00343141">
        <w:rPr>
          <w:rFonts w:ascii="Times New Roman" w:eastAsia="Times New Roman" w:hAnsi="Times New Roman" w:cs="Times New Roman"/>
          <w:sz w:val="24"/>
          <w:szCs w:val="24"/>
        </w:rPr>
        <w:t>Lakzian</w:t>
      </w:r>
      <w:proofErr w:type="spellEnd"/>
      <w:r w:rsidRPr="00343141">
        <w:rPr>
          <w:rFonts w:ascii="Times New Roman" w:eastAsia="Times New Roman" w:hAnsi="Times New Roman" w:cs="Times New Roman"/>
          <w:sz w:val="24"/>
          <w:szCs w:val="24"/>
        </w:rPr>
        <w:t xml:space="preserve">, 2023). </w:t>
      </w:r>
      <w:proofErr w:type="gramStart"/>
      <w:r w:rsidRPr="00343141">
        <w:rPr>
          <w:rFonts w:ascii="Times New Roman" w:eastAsia="Times New Roman" w:hAnsi="Times New Roman" w:cs="Times New Roman"/>
          <w:sz w:val="24"/>
          <w:szCs w:val="24"/>
        </w:rPr>
        <w:t xml:space="preserve">These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w:t>
      </w:r>
      <w:proofErr w:type="gramEnd"/>
      <w:r w:rsidRPr="00343141">
        <w:rPr>
          <w:rFonts w:ascii="Times New Roman" w:eastAsia="Times New Roman" w:hAnsi="Times New Roman" w:cs="Times New Roman"/>
          <w:sz w:val="24"/>
          <w:szCs w:val="24"/>
        </w:rPr>
        <w:t xml:space="preserve"> are crucial for investors, regulators, and the public to assess a firm’s environmental risk exposure and sustainability orientation (Chen &amp; Zhang, 2023; Brown &amp; Taylor, 2022).</w:t>
      </w:r>
      <w:r w:rsidR="001E4E58">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In </w:t>
      </w:r>
      <w:r w:rsidR="001E4E58">
        <w:rPr>
          <w:rFonts w:ascii="Times New Roman" w:eastAsia="Times New Roman" w:hAnsi="Times New Roman" w:cs="Times New Roman"/>
          <w:sz w:val="24"/>
          <w:szCs w:val="24"/>
        </w:rPr>
        <w:t>real sense</w:t>
      </w:r>
      <w:r w:rsidRPr="00343141">
        <w:rPr>
          <w:rFonts w:ascii="Times New Roman" w:eastAsia="Times New Roman" w:hAnsi="Times New Roman" w:cs="Times New Roman"/>
          <w:sz w:val="24"/>
          <w:szCs w:val="24"/>
        </w:rPr>
        <w:t xml:space="preserve">, however, the effectiveness of green </w:t>
      </w:r>
      <w:r w:rsidR="00FD7697">
        <w:rPr>
          <w:rFonts w:ascii="Times New Roman" w:eastAsia="Times New Roman" w:hAnsi="Times New Roman" w:cs="Times New Roman"/>
          <w:sz w:val="24"/>
          <w:szCs w:val="24"/>
        </w:rPr>
        <w:t xml:space="preserve">accounting practice </w:t>
      </w:r>
      <w:r w:rsidRPr="00343141">
        <w:rPr>
          <w:rFonts w:ascii="Times New Roman" w:eastAsia="Times New Roman" w:hAnsi="Times New Roman" w:cs="Times New Roman"/>
          <w:sz w:val="24"/>
          <w:szCs w:val="24"/>
        </w:rPr>
        <w:t>in influencing firm performance varies across contexts and sectors—often depending on regulatory environments, firm size, and market pressures (Ashworth, 2023; Boluwaji et al., 2024).</w:t>
      </w:r>
      <w:r>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Thus, green </w:t>
      </w:r>
      <w:r w:rsidR="00FD7697">
        <w:rPr>
          <w:rFonts w:ascii="Times New Roman" w:eastAsia="Times New Roman" w:hAnsi="Times New Roman" w:cs="Times New Roman"/>
          <w:sz w:val="24"/>
          <w:szCs w:val="24"/>
        </w:rPr>
        <w:t xml:space="preserve">accounting practice </w:t>
      </w:r>
      <w:r w:rsidRPr="00343141">
        <w:rPr>
          <w:rFonts w:ascii="Times New Roman" w:eastAsia="Times New Roman" w:hAnsi="Times New Roman" w:cs="Times New Roman"/>
          <w:sz w:val="24"/>
          <w:szCs w:val="24"/>
        </w:rPr>
        <w:t>represents a critical interface between corporate financial health and ecological responsibility, offering both a tool for internal environmental management and a means for external performance evaluation in sustainability governance.</w:t>
      </w:r>
    </w:p>
    <w:p w14:paraId="2AC272A9" w14:textId="2C334775" w:rsidR="00E57B83" w:rsidRDefault="00E57B83" w:rsidP="00E57B83">
      <w:pPr>
        <w:pStyle w:val="NormalWeb"/>
        <w:jc w:val="both"/>
        <w:rPr>
          <w:rStyle w:val="Strong"/>
        </w:rPr>
      </w:pPr>
      <w:r>
        <w:rPr>
          <w:rStyle w:val="Strong"/>
        </w:rPr>
        <w:t xml:space="preserve">Environmental Waste Management </w:t>
      </w:r>
      <w:r w:rsidR="0039711D">
        <w:rPr>
          <w:rStyle w:val="Strong"/>
        </w:rPr>
        <w:t xml:space="preserve">Accounting </w:t>
      </w:r>
      <w:r>
        <w:rPr>
          <w:rStyle w:val="Strong"/>
        </w:rPr>
        <w:t xml:space="preserve">and Financial Performance </w:t>
      </w:r>
    </w:p>
    <w:p w14:paraId="00B576CB" w14:textId="7C8DE822" w:rsidR="00E57B83" w:rsidRDefault="00E57B83" w:rsidP="00E57B83">
      <w:pPr>
        <w:pStyle w:val="NormalWeb"/>
        <w:jc w:val="both"/>
      </w:pPr>
      <w:r>
        <w:t xml:space="preserve">Environmental </w:t>
      </w:r>
      <w:r w:rsidR="0039711D">
        <w:t>Accounting</w:t>
      </w:r>
      <w:r>
        <w:t>, particularly in the domains of waste management and pollution control, has evolved into a critical component of corporate sustainability strategy. It refers to the systematic communication of a firm's environmental</w:t>
      </w:r>
      <w:r w:rsidR="0039711D">
        <w:t xml:space="preserve"> </w:t>
      </w:r>
      <w:r>
        <w:t>expenditures, risks, and performance to stakeholders. The rationale for such</w:t>
      </w:r>
      <w:r w:rsidR="00FD7697">
        <w:t xml:space="preserve"> practice </w:t>
      </w:r>
      <w:r>
        <w:t xml:space="preserve">is rooted in stakeholder theory, which argues that firms can enhance legitimacy, trust, and long-term survival by aligning their actions with the expectations of diverse interest groups, including regulators, investors, and communities (Chen &amp; Zhang, 2023; </w:t>
      </w:r>
      <w:proofErr w:type="spellStart"/>
      <w:r>
        <w:t>Bessong</w:t>
      </w:r>
      <w:proofErr w:type="spellEnd"/>
      <w:r>
        <w:t xml:space="preserve"> et al., 2023). Within this framework, environmental waste management </w:t>
      </w:r>
      <w:r w:rsidR="001E4E58">
        <w:t>practice</w:t>
      </w:r>
      <w:r>
        <w:t>s specifically communicate how firms handle industrial by-products, mitigate hazardous discharges, and comply with disposal standards—practices that are increasingly under scrutiny due to rising ecological concerns (</w:t>
      </w:r>
      <w:proofErr w:type="spellStart"/>
      <w:r>
        <w:t>Boiocchi</w:t>
      </w:r>
      <w:proofErr w:type="spellEnd"/>
      <w:r>
        <w:t xml:space="preserve">, Gomez-Marcos, &amp; </w:t>
      </w:r>
      <w:proofErr w:type="spellStart"/>
      <w:r>
        <w:t>Lakzian</w:t>
      </w:r>
      <w:proofErr w:type="spellEnd"/>
      <w:r>
        <w:t xml:space="preserve">, 2023). Likewise, pollution control </w:t>
      </w:r>
      <w:r w:rsidR="001E4E58">
        <w:t>practice</w:t>
      </w:r>
      <w:r>
        <w:t>s reveal the extent to which firms invest in emission reduction technologies, air and water treatment systems, and green innovations, thus serving as proxies for environmental responsibility and technological modernity (Chukwu, Ugochukwu, &amp; Okafor, 2023; Bashir &amp; Umar, 2023).</w:t>
      </w:r>
    </w:p>
    <w:p w14:paraId="1A407371" w14:textId="6806EBEB" w:rsidR="00E57B83" w:rsidRPr="00343141" w:rsidRDefault="00E57B83" w:rsidP="00E57B83">
      <w:pPr>
        <w:pStyle w:val="NormalWeb"/>
        <w:jc w:val="both"/>
      </w:pPr>
      <w:r>
        <w:t>Financial performance, in contrast, represents the economic dimension of corporate viability, often operationalized using profitability indicators such as return on assets (ROA), earnings per share (EPS), and net profit margin (Brown &amp; Taylor, 2022; ACCA, 2023). The conceptual linkage between environmental</w:t>
      </w:r>
      <w:r w:rsidR="00FD7697">
        <w:t xml:space="preserve"> practice </w:t>
      </w:r>
      <w:r>
        <w:t>and financial performance is often explained using the resource-</w:t>
      </w:r>
      <w:r>
        <w:lastRenderedPageBreak/>
        <w:t xml:space="preserve">based view (RBV), which posits that environmental capabilities and transparency can act as intangible strategic assets that foster competitive advantage (Barney, 1991; Barney &amp; Clark, 2007). Empirical studies have shown mixed outcomes: while some report a positive correlation between sustainability </w:t>
      </w:r>
      <w:r w:rsidR="001E4E58">
        <w:t xml:space="preserve"> practice</w:t>
      </w:r>
      <w:r>
        <w:t>s and firm profitability due to cost savings and market reputation (Chen, Wang, &amp; Zhao, 2023), others observe inconclusive or negative associations, possibly due to short-term compliance costs or</w:t>
      </w:r>
      <w:r w:rsidR="00FD7697">
        <w:t xml:space="preserve"> practice </w:t>
      </w:r>
      <w:r>
        <w:t xml:space="preserve">inefficiencies (Chen &amp; Zhang, 2023; Ashworth, 2023). In Nigeria’s manufacturing sector—characterized by regulatory flux and infrastructure gaps—this relationship is further complicated by systemic challenges such as inconsistent policy enforcement and market volatility (Amadi, 2025; AllAfrica, 2024). Thus, conceptual clarity is needed to dissect how, why, and under what conditions environmental waste and pollution control </w:t>
      </w:r>
      <w:r w:rsidR="001E4E58">
        <w:t xml:space="preserve"> practice</w:t>
      </w:r>
      <w:r>
        <w:t>s influence financial outcomes in this context. This nuanced understanding is crucial for informing both academic theory and industrial policy in sustainability accounting.</w:t>
      </w:r>
      <w:r w:rsidR="0039711D">
        <w:t xml:space="preserve"> In line to this assertive .</w:t>
      </w:r>
      <w:r>
        <w:t>the study aims to clarify whether environmental transparency functions as a strategic financial asset or remains an unproductive compliance exercise within the Nigerian manufacturing landscape.</w:t>
      </w:r>
    </w:p>
    <w:p w14:paraId="3599701F" w14:textId="3CF8AE0A" w:rsidR="00E57B83" w:rsidRPr="00E57B83" w:rsidRDefault="00E57B83" w:rsidP="00E57B83">
      <w:pPr>
        <w:spacing w:before="100" w:beforeAutospacing="1" w:after="100" w:afterAutospacing="1" w:line="240" w:lineRule="auto"/>
        <w:jc w:val="both"/>
        <w:rPr>
          <w:rStyle w:val="Strong"/>
          <w:rFonts w:ascii="Times New Roman" w:hAnsi="Times New Roman" w:cs="Times New Roman"/>
          <w:sz w:val="24"/>
          <w:szCs w:val="24"/>
        </w:rPr>
      </w:pPr>
      <w:r w:rsidRPr="00E57B83">
        <w:rPr>
          <w:rStyle w:val="Strong"/>
          <w:rFonts w:ascii="Times New Roman" w:hAnsi="Times New Roman" w:cs="Times New Roman"/>
          <w:sz w:val="24"/>
          <w:szCs w:val="24"/>
        </w:rPr>
        <w:t>Environmental Pollution Control</w:t>
      </w:r>
      <w:r w:rsidR="00FD7697">
        <w:rPr>
          <w:rStyle w:val="Strong"/>
          <w:rFonts w:ascii="Times New Roman" w:hAnsi="Times New Roman" w:cs="Times New Roman"/>
          <w:sz w:val="24"/>
          <w:szCs w:val="24"/>
        </w:rPr>
        <w:t xml:space="preserve"> practice </w:t>
      </w:r>
      <w:r w:rsidRPr="00E57B83">
        <w:rPr>
          <w:rStyle w:val="Strong"/>
          <w:rFonts w:ascii="Times New Roman" w:hAnsi="Times New Roman" w:cs="Times New Roman"/>
          <w:sz w:val="24"/>
          <w:szCs w:val="24"/>
        </w:rPr>
        <w:t xml:space="preserve">and Financial Performance </w:t>
      </w:r>
    </w:p>
    <w:p w14:paraId="751E793F" w14:textId="6B8D130D" w:rsidR="00E57B83" w:rsidRPr="00343141"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343141">
        <w:rPr>
          <w:rFonts w:ascii="Times New Roman" w:eastAsia="Times New Roman" w:hAnsi="Times New Roman" w:cs="Times New Roman"/>
          <w:sz w:val="24"/>
          <w:szCs w:val="24"/>
        </w:rPr>
        <w:t xml:space="preserve">Among the key components of environmental </w:t>
      </w:r>
      <w:r w:rsidR="0039711D">
        <w:rPr>
          <w:rFonts w:ascii="Times New Roman" w:eastAsia="Times New Roman" w:hAnsi="Times New Roman" w:cs="Times New Roman"/>
          <w:sz w:val="24"/>
          <w:szCs w:val="24"/>
        </w:rPr>
        <w:t xml:space="preserve">Accounting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 pollution control</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has garnered growing attention as firms seek to align business operations with global sustainability goals. Pollution control</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 xml:space="preserve">typically includes detailed reports on emissions levels, mitigation measures, and investments in clean technology, thus serving as a measure of a firm's environmental commitment and regulatory compliance (Bashir &amp; Umar, 2023; Chukwu, Ugochukwu, &amp; Okafor, 2023). Such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 xml:space="preserve">s are rooted in stakeholder and legitimacy theories, which posit that transparent environmental behavior strengthens corporate reputation, fosters investor confidence, and secures social license to operate (Chen &amp; Zhang, 2023; </w:t>
      </w:r>
      <w:proofErr w:type="spellStart"/>
      <w:r w:rsidRPr="00343141">
        <w:rPr>
          <w:rFonts w:ascii="Times New Roman" w:eastAsia="Times New Roman" w:hAnsi="Times New Roman" w:cs="Times New Roman"/>
          <w:sz w:val="24"/>
          <w:szCs w:val="24"/>
        </w:rPr>
        <w:t>Bessong</w:t>
      </w:r>
      <w:proofErr w:type="spellEnd"/>
      <w:r w:rsidRPr="00343141">
        <w:rPr>
          <w:rFonts w:ascii="Times New Roman" w:eastAsia="Times New Roman" w:hAnsi="Times New Roman" w:cs="Times New Roman"/>
          <w:sz w:val="24"/>
          <w:szCs w:val="24"/>
        </w:rPr>
        <w:t xml:space="preserve"> et al., 2023). In particular, pollution control initiatives reflect an organization's capacity to innovate and mitigate environmental harm, potentially reducing legal risks and improving operational efficiency (</w:t>
      </w:r>
      <w:proofErr w:type="spellStart"/>
      <w:r w:rsidRPr="00343141">
        <w:rPr>
          <w:rFonts w:ascii="Times New Roman" w:eastAsia="Times New Roman" w:hAnsi="Times New Roman" w:cs="Times New Roman"/>
          <w:sz w:val="24"/>
          <w:szCs w:val="24"/>
        </w:rPr>
        <w:t>Boiocchi</w:t>
      </w:r>
      <w:proofErr w:type="spellEnd"/>
      <w:r w:rsidRPr="00343141">
        <w:rPr>
          <w:rFonts w:ascii="Times New Roman" w:eastAsia="Times New Roman" w:hAnsi="Times New Roman" w:cs="Times New Roman"/>
          <w:sz w:val="24"/>
          <w:szCs w:val="24"/>
        </w:rPr>
        <w:t xml:space="preserve">, Gomez-Marcos, &amp; </w:t>
      </w:r>
      <w:proofErr w:type="spellStart"/>
      <w:r w:rsidRPr="00343141">
        <w:rPr>
          <w:rFonts w:ascii="Times New Roman" w:eastAsia="Times New Roman" w:hAnsi="Times New Roman" w:cs="Times New Roman"/>
          <w:sz w:val="24"/>
          <w:szCs w:val="24"/>
        </w:rPr>
        <w:t>Lakzian</w:t>
      </w:r>
      <w:proofErr w:type="spellEnd"/>
      <w:r w:rsidRPr="00343141">
        <w:rPr>
          <w:rFonts w:ascii="Times New Roman" w:eastAsia="Times New Roman" w:hAnsi="Times New Roman" w:cs="Times New Roman"/>
          <w:sz w:val="24"/>
          <w:szCs w:val="24"/>
        </w:rPr>
        <w:t>, 2023; Brown &amp; Taylor, 2022). When strategically communicated, these practices may enhance a company’s brand equity and appeal to environmentally conscious stakeholders.</w:t>
      </w:r>
      <w:r w:rsidR="009A2964">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From the perspective of the </w:t>
      </w:r>
      <w:r w:rsidRPr="00343141">
        <w:rPr>
          <w:rFonts w:ascii="Times New Roman" w:eastAsia="Times New Roman" w:hAnsi="Times New Roman" w:cs="Times New Roman"/>
          <w:bCs/>
          <w:sz w:val="24"/>
          <w:szCs w:val="24"/>
        </w:rPr>
        <w:t>resource-based view (RBV)</w:t>
      </w:r>
      <w:r w:rsidRPr="00343141">
        <w:rPr>
          <w:rFonts w:ascii="Times New Roman" w:eastAsia="Times New Roman" w:hAnsi="Times New Roman" w:cs="Times New Roman"/>
          <w:sz w:val="24"/>
          <w:szCs w:val="24"/>
        </w:rPr>
        <w:t>, effective pollution control and its transparent</w:t>
      </w:r>
      <w:r w:rsidR="00FD7697">
        <w:rPr>
          <w:rFonts w:ascii="Times New Roman" w:eastAsia="Times New Roman" w:hAnsi="Times New Roman" w:cs="Times New Roman"/>
          <w:sz w:val="24"/>
          <w:szCs w:val="24"/>
        </w:rPr>
        <w:t xml:space="preserve"> practice </w:t>
      </w:r>
      <w:r w:rsidRPr="00343141">
        <w:rPr>
          <w:rFonts w:ascii="Times New Roman" w:eastAsia="Times New Roman" w:hAnsi="Times New Roman" w:cs="Times New Roman"/>
          <w:sz w:val="24"/>
          <w:szCs w:val="24"/>
        </w:rPr>
        <w:t xml:space="preserve">can be considered valuable, rare, and inimitable resources that contribute to long-term competitive advantage (Barney, 1991; Barney &amp; Clark, 2007). However, the relationship between such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 and financial performance—measured through ROA, EPS, and net profit margins</w:t>
      </w:r>
      <w:r w:rsidR="0039711D">
        <w:rPr>
          <w:rFonts w:ascii="Times New Roman" w:eastAsia="Times New Roman" w:hAnsi="Times New Roman" w:cs="Times New Roman"/>
          <w:sz w:val="24"/>
          <w:szCs w:val="24"/>
        </w:rPr>
        <w:t xml:space="preserve"> </w:t>
      </w:r>
      <w:r w:rsidRPr="00343141">
        <w:rPr>
          <w:rFonts w:ascii="Times New Roman" w:eastAsia="Times New Roman" w:hAnsi="Times New Roman" w:cs="Times New Roman"/>
          <w:sz w:val="24"/>
          <w:szCs w:val="24"/>
        </w:rPr>
        <w:t xml:space="preserve">remains empirically inconclusive. Some studies affirm the financial rewards of sustainability-led strategies (Chen, Wang, &amp; Zhao, 2023), while others suggest that the cost of pollution control, particularly in resource-constrained environments like Nigeria, may nullify or delay financial gains (Ashworth, 2023; Chen &amp; Zhang, 2023). Given Nigeria’s unique industrial landscape, where firms face systemic barriers including poor infrastructure and weak enforcement of environmental standards (Amadi, 2025; AllAfrica, 2024), it becomes imperative to examine whether pollution control </w:t>
      </w:r>
      <w:r w:rsidR="001E4E58">
        <w:rPr>
          <w:rFonts w:ascii="Times New Roman" w:eastAsia="Times New Roman" w:hAnsi="Times New Roman" w:cs="Times New Roman"/>
          <w:sz w:val="24"/>
          <w:szCs w:val="24"/>
        </w:rPr>
        <w:t xml:space="preserve"> practice</w:t>
      </w:r>
      <w:r w:rsidRPr="00343141">
        <w:rPr>
          <w:rFonts w:ascii="Times New Roman" w:eastAsia="Times New Roman" w:hAnsi="Times New Roman" w:cs="Times New Roman"/>
          <w:sz w:val="24"/>
          <w:szCs w:val="24"/>
        </w:rPr>
        <w:t>s significantly influence firm-level financial outcomes. Such an investigation not only contributes to sustainability accounting literature but also informs strategic decision-making within the manufacturing sector.</w:t>
      </w:r>
    </w:p>
    <w:p w14:paraId="43D1142C" w14:textId="77777777" w:rsidR="00E57B83" w:rsidRDefault="00E57B83" w:rsidP="00E57B83">
      <w:pPr>
        <w:spacing w:line="360" w:lineRule="auto"/>
        <w:rPr>
          <w:rFonts w:asciiTheme="majorBidi" w:hAnsiTheme="majorBidi" w:cstheme="majorBidi"/>
          <w:sz w:val="24"/>
        </w:rPr>
      </w:pPr>
    </w:p>
    <w:p w14:paraId="0651E953" w14:textId="77777777" w:rsidR="009A2964" w:rsidRDefault="009A2964" w:rsidP="00E57B83">
      <w:pPr>
        <w:spacing w:line="360" w:lineRule="auto"/>
        <w:rPr>
          <w:rFonts w:asciiTheme="majorBidi" w:hAnsiTheme="majorBidi" w:cstheme="majorBidi"/>
          <w:sz w:val="24"/>
        </w:rPr>
      </w:pPr>
    </w:p>
    <w:p w14:paraId="740D02D2" w14:textId="77777777" w:rsidR="009A2964" w:rsidRDefault="009A2964" w:rsidP="00E57B83">
      <w:pPr>
        <w:spacing w:line="360" w:lineRule="auto"/>
        <w:rPr>
          <w:rFonts w:asciiTheme="majorBidi" w:hAnsiTheme="majorBidi" w:cstheme="majorBidi"/>
          <w:sz w:val="24"/>
        </w:rPr>
      </w:pPr>
    </w:p>
    <w:p w14:paraId="4BD8F14F" w14:textId="77777777" w:rsidR="009A2964" w:rsidRDefault="009A2964" w:rsidP="00E57B83">
      <w:pPr>
        <w:spacing w:line="360" w:lineRule="auto"/>
        <w:rPr>
          <w:rFonts w:asciiTheme="majorBidi" w:hAnsiTheme="majorBidi" w:cstheme="majorBidi"/>
          <w:sz w:val="24"/>
        </w:rPr>
      </w:pPr>
    </w:p>
    <w:p w14:paraId="60466A86" w14:textId="77777777" w:rsidR="009A2964" w:rsidRPr="0076051E" w:rsidRDefault="009A2964" w:rsidP="00E57B83">
      <w:pPr>
        <w:spacing w:line="360" w:lineRule="auto"/>
        <w:rPr>
          <w:rFonts w:asciiTheme="majorBidi" w:hAnsiTheme="majorBidi" w:cstheme="majorBidi"/>
          <w:sz w:val="24"/>
        </w:rPr>
      </w:pPr>
    </w:p>
    <w:p w14:paraId="46FFAF74" w14:textId="77777777" w:rsidR="00E57B83" w:rsidRPr="0076051E" w:rsidRDefault="00E57B83" w:rsidP="00E57B83">
      <w:pPr>
        <w:spacing w:line="360" w:lineRule="auto"/>
        <w:rPr>
          <w:rFonts w:asciiTheme="majorBidi" w:hAnsiTheme="majorBidi" w:cstheme="majorBidi"/>
          <w:b/>
          <w:bCs/>
          <w:sz w:val="24"/>
        </w:rPr>
      </w:pPr>
      <w:r w:rsidRPr="0076051E">
        <w:rPr>
          <w:rFonts w:asciiTheme="majorBidi" w:hAnsiTheme="majorBidi" w:cstheme="majorBidi"/>
          <w:b/>
          <w:bCs/>
          <w:sz w:val="24"/>
        </w:rPr>
        <w:t>Figure 1: Conceptual Framework</w:t>
      </w:r>
    </w:p>
    <w:p w14:paraId="59FADC51" w14:textId="77777777" w:rsidR="00E57B83" w:rsidRPr="0076051E" w:rsidRDefault="00E57B83" w:rsidP="00E57B83">
      <w:pPr>
        <w:spacing w:line="360" w:lineRule="auto"/>
        <w:rPr>
          <w:rFonts w:asciiTheme="majorBidi" w:hAnsiTheme="majorBidi" w:cstheme="majorBidi"/>
          <w:color w:val="FFFFFF" w:themeColor="background1"/>
          <w:sz w:val="24"/>
        </w:rPr>
      </w:pPr>
      <w:r w:rsidRPr="0076051E">
        <w:rPr>
          <w:rFonts w:asciiTheme="majorBidi" w:hAnsiTheme="majorBidi" w:cstheme="majorBidi"/>
          <w:noProof/>
          <w:sz w:val="24"/>
        </w:rPr>
        <mc:AlternateContent>
          <mc:Choice Requires="wps">
            <w:drawing>
              <wp:anchor distT="0" distB="0" distL="114300" distR="114300" simplePos="0" relativeHeight="251660288" behindDoc="1" locked="0" layoutInCell="1" allowOverlap="1" wp14:anchorId="4F15F664" wp14:editId="189A42B5">
                <wp:simplePos x="0" y="0"/>
                <wp:positionH relativeFrom="margin">
                  <wp:posOffset>3817620</wp:posOffset>
                </wp:positionH>
                <wp:positionV relativeFrom="paragraph">
                  <wp:posOffset>95250</wp:posOffset>
                </wp:positionV>
                <wp:extent cx="2103120" cy="2827020"/>
                <wp:effectExtent l="0" t="0" r="11430" b="11430"/>
                <wp:wrapNone/>
                <wp:docPr id="2122244676" name="Rectangle: Rounded Corners 1"/>
                <wp:cNvGraphicFramePr/>
                <a:graphic xmlns:a="http://schemas.openxmlformats.org/drawingml/2006/main">
                  <a:graphicData uri="http://schemas.microsoft.com/office/word/2010/wordprocessingShape">
                    <wps:wsp>
                      <wps:cNvSpPr/>
                      <wps:spPr>
                        <a:xfrm>
                          <a:off x="0" y="0"/>
                          <a:ext cx="2103120" cy="2827020"/>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03DC6ECD" w14:textId="77777777" w:rsidR="00E57B83" w:rsidRPr="00B42016" w:rsidRDefault="00E57B83" w:rsidP="00E57B83">
                            <w:pPr>
                              <w:rPr>
                                <w:rFonts w:asciiTheme="majorBidi" w:hAnsiTheme="majorBidi" w:cstheme="majorBidi"/>
                                <w:b/>
                                <w:bCs/>
                                <w:sz w:val="24"/>
                              </w:rPr>
                            </w:pPr>
                            <w:r>
                              <w:rPr>
                                <w:rFonts w:asciiTheme="majorBidi" w:hAnsiTheme="majorBidi" w:cstheme="majorBidi"/>
                                <w:b/>
                                <w:bCs/>
                                <w:sz w:val="24"/>
                              </w:rPr>
                              <w:t>Financial</w:t>
                            </w:r>
                            <w:r w:rsidRPr="00B42016">
                              <w:rPr>
                                <w:rFonts w:asciiTheme="majorBidi" w:hAnsiTheme="majorBidi" w:cstheme="majorBidi"/>
                                <w:b/>
                                <w:bCs/>
                                <w:sz w:val="24"/>
                              </w:rPr>
                              <w:t xml:space="preserve"> </w:t>
                            </w:r>
                            <w:r>
                              <w:rPr>
                                <w:rFonts w:asciiTheme="majorBidi" w:hAnsiTheme="majorBidi" w:cstheme="majorBidi"/>
                                <w:b/>
                                <w:bCs/>
                                <w:sz w:val="24"/>
                              </w:rPr>
                              <w:t>Performance</w:t>
                            </w:r>
                            <w:r w:rsidRPr="00B42016">
                              <w:rPr>
                                <w:rFonts w:asciiTheme="majorBidi" w:hAnsiTheme="majorBidi" w:cstheme="majorBidi"/>
                                <w:b/>
                                <w:bCs/>
                                <w:sz w:val="24"/>
                              </w:rPr>
                              <w:t>:</w:t>
                            </w:r>
                          </w:p>
                          <w:p w14:paraId="3A936519" w14:textId="77777777" w:rsidR="00E57B83" w:rsidRPr="00746A77" w:rsidRDefault="00E57B83" w:rsidP="00E57B83">
                            <w:pPr>
                              <w:pStyle w:val="ListParagraph"/>
                              <w:numPr>
                                <w:ilvl w:val="0"/>
                                <w:numId w:val="3"/>
                              </w:numPr>
                              <w:spacing w:after="160" w:line="259" w:lineRule="auto"/>
                              <w:jc w:val="left"/>
                              <w:rPr>
                                <w:rFonts w:asciiTheme="majorBidi" w:hAnsiTheme="majorBidi" w:cstheme="majorBidi"/>
                                <w:b/>
                                <w:bCs/>
                                <w:sz w:val="24"/>
                              </w:rPr>
                            </w:pPr>
                            <w:r>
                              <w:rPr>
                                <w:rFonts w:asciiTheme="majorBidi" w:hAnsiTheme="majorBidi" w:cstheme="majorBidi"/>
                                <w:b/>
                                <w:bCs/>
                                <w:sz w:val="24"/>
                              </w:rPr>
                              <w:t>Return on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5F664" id="Rectangle: Rounded Corners 1" o:spid="_x0000_s1026" style="position:absolute;margin-left:300.6pt;margin-top:7.5pt;width:165.6pt;height:222.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WFjAIAAGQFAAAOAAAAZHJzL2Uyb0RvYy54bWysVN9r2zAQfh/sfxB6X/xjadqZOiWkdAxK&#10;G9qOPiuyFBtknSYpsbO/fifZcUtXNhh7sSXd3afTd9/d5VXfKnIQ1jWgS5rNUkqE5lA1elfS7083&#10;ny4ocZ7piinQoqRH4ejV8uOHy84UIocaVCUsQRDtis6UtPbeFEnieC1a5mZghEajBNsyj1u7SyrL&#10;OkRvVZKn6SLpwFbGAhfO4en1YKTLiC+l4P5eSic8USXF3Hz82vjdhm+yvGTFzjJTN3xMg/1DFi1r&#10;NF46QV0zz8jeNr9BtQ234ED6GYc2ASkbLuIb8DVZ+uY1jzUzIr4FyXFmosn9P1h+d9hY0lQlzbM8&#10;z+fzxfmCEs1arNUDssf0TomCPMBeV6Iia7Aai02yQFxnXIHxj2Zjx53DZWChl7YNf3wf6SPZx4ls&#10;0XvC8TDP0s9ZjjXhaMsv8vMUN4iTvIQb6/xXAS0Ji5LakERIKjLNDrfOD/4nPwwOOQ1ZxJU/KhES&#10;UfpBSHxmuDdGR4GJtbLkwFAajHOh/WiqWSWG4+wsTU9JTRExxQgYkGWj1ISd/Ql7yHX0D6Ei6nMK&#10;Tv8ePEXEm0H7KbhtNNj3AJSPtUJW5eB/ImmgJrDk+20/FnAL1RH1YGFoFGf4TYPc3zLnN8xiZ2C9&#10;sNv9PX6kgq6kMK4oqcH+fO88+KNg0UpJh51WUvdjz6ygRH3TKOUv2XweWjNu5mfnQRP2tWX72qL3&#10;7RqwYhnOFcPjMvh7dVpKC+0zDoVVuBVNTHO8u6Tc29Nm7YcJgGOFi9UqumE7GuZv9aPhATwQHGT1&#10;1D8za0YBetTuHZy6khVvJDj4hkgNq70H2UR9BooHXkfqsZWjhsaxE2bF6330ehmOy18AAAD//wMA&#10;UEsDBBQABgAIAAAAIQAZGpqn3QAAAAoBAAAPAAAAZHJzL2Rvd25yZXYueG1sTI/LTsMwEEX3SPyD&#10;NUjsqJ1QIghxKh7qBrqhlP00HuJAbIfYTcPfM6xgObpHd86tVrPrxURj7ILXkC0UCPJNMJ1vNexe&#10;1xfXIGJCb7APnjR8U4RVfXpSYWnC0b/QtE2t4BIfS9RgUxpKKWNjyWFchIE8Z+9hdJj4HFtpRjxy&#10;uetlrlQhHXaeP1gc6MFS87k9OA3x/rG12bR5Dhm9NR+7NSp8+tL6/Gy+uwWRaE5/MPzqszrU7LQP&#10;B2+i6DUUKssZ5eCKNzFwc5kvQew1LAuVg6wr+X9C/QMAAP//AwBQSwECLQAUAAYACAAAACEAtoM4&#10;kv4AAADhAQAAEwAAAAAAAAAAAAAAAAAAAAAAW0NvbnRlbnRfVHlwZXNdLnhtbFBLAQItABQABgAI&#10;AAAAIQA4/SH/1gAAAJQBAAALAAAAAAAAAAAAAAAAAC8BAABfcmVscy8ucmVsc1BLAQItABQABgAI&#10;AAAAIQB66CWFjAIAAGQFAAAOAAAAAAAAAAAAAAAAAC4CAABkcnMvZTJvRG9jLnhtbFBLAQItABQA&#10;BgAIAAAAIQAZGpqn3QAAAAoBAAAPAAAAAAAAAAAAAAAAAOYEAABkcnMvZG93bnJldi54bWxQSwUG&#10;AAAAAAQABADzAAAA8AUAAAAA&#10;" fillcolor="#ed7d31 [3205]" strokecolor="#261103 [485]" strokeweight="1pt">
                <v:stroke joinstyle="miter"/>
                <v:textbox>
                  <w:txbxContent>
                    <w:p w14:paraId="03DC6ECD" w14:textId="77777777" w:rsidR="00E57B83" w:rsidRPr="00B42016" w:rsidRDefault="00E57B83" w:rsidP="00E57B83">
                      <w:pPr>
                        <w:rPr>
                          <w:rFonts w:asciiTheme="majorBidi" w:hAnsiTheme="majorBidi" w:cstheme="majorBidi"/>
                          <w:b/>
                          <w:bCs/>
                          <w:sz w:val="24"/>
                        </w:rPr>
                      </w:pPr>
                      <w:r>
                        <w:rPr>
                          <w:rFonts w:asciiTheme="majorBidi" w:hAnsiTheme="majorBidi" w:cstheme="majorBidi"/>
                          <w:b/>
                          <w:bCs/>
                          <w:sz w:val="24"/>
                        </w:rPr>
                        <w:t>Financial</w:t>
                      </w:r>
                      <w:r w:rsidRPr="00B42016">
                        <w:rPr>
                          <w:rFonts w:asciiTheme="majorBidi" w:hAnsiTheme="majorBidi" w:cstheme="majorBidi"/>
                          <w:b/>
                          <w:bCs/>
                          <w:sz w:val="24"/>
                        </w:rPr>
                        <w:t xml:space="preserve"> </w:t>
                      </w:r>
                      <w:r>
                        <w:rPr>
                          <w:rFonts w:asciiTheme="majorBidi" w:hAnsiTheme="majorBidi" w:cstheme="majorBidi"/>
                          <w:b/>
                          <w:bCs/>
                          <w:sz w:val="24"/>
                        </w:rPr>
                        <w:t>Performance</w:t>
                      </w:r>
                      <w:r w:rsidRPr="00B42016">
                        <w:rPr>
                          <w:rFonts w:asciiTheme="majorBidi" w:hAnsiTheme="majorBidi" w:cstheme="majorBidi"/>
                          <w:b/>
                          <w:bCs/>
                          <w:sz w:val="24"/>
                        </w:rPr>
                        <w:t>:</w:t>
                      </w:r>
                    </w:p>
                    <w:p w14:paraId="3A936519" w14:textId="77777777" w:rsidR="00E57B83" w:rsidRPr="00746A77" w:rsidRDefault="00E57B83" w:rsidP="00E57B83">
                      <w:pPr>
                        <w:pStyle w:val="ListParagraph"/>
                        <w:numPr>
                          <w:ilvl w:val="0"/>
                          <w:numId w:val="3"/>
                        </w:numPr>
                        <w:spacing w:after="160" w:line="259" w:lineRule="auto"/>
                        <w:jc w:val="left"/>
                        <w:rPr>
                          <w:rFonts w:asciiTheme="majorBidi" w:hAnsiTheme="majorBidi" w:cstheme="majorBidi"/>
                          <w:b/>
                          <w:bCs/>
                          <w:sz w:val="24"/>
                        </w:rPr>
                      </w:pPr>
                      <w:r>
                        <w:rPr>
                          <w:rFonts w:asciiTheme="majorBidi" w:hAnsiTheme="majorBidi" w:cstheme="majorBidi"/>
                          <w:b/>
                          <w:bCs/>
                          <w:sz w:val="24"/>
                        </w:rPr>
                        <w:t>Return on Asset</w:t>
                      </w:r>
                    </w:p>
                  </w:txbxContent>
                </v:textbox>
                <w10:wrap anchorx="margin"/>
              </v:roundrect>
            </w:pict>
          </mc:Fallback>
        </mc:AlternateContent>
      </w:r>
      <w:r w:rsidRPr="0076051E">
        <w:rPr>
          <w:rFonts w:asciiTheme="majorBidi" w:hAnsiTheme="majorBidi" w:cstheme="majorBidi"/>
          <w:noProof/>
          <w:sz w:val="24"/>
        </w:rPr>
        <mc:AlternateContent>
          <mc:Choice Requires="wps">
            <w:drawing>
              <wp:anchor distT="0" distB="0" distL="114300" distR="114300" simplePos="0" relativeHeight="251659264" behindDoc="1" locked="0" layoutInCell="1" allowOverlap="1" wp14:anchorId="70FDCE33" wp14:editId="53DC806C">
                <wp:simplePos x="0" y="0"/>
                <wp:positionH relativeFrom="margin">
                  <wp:align>left</wp:align>
                </wp:positionH>
                <wp:positionV relativeFrom="paragraph">
                  <wp:posOffset>7620</wp:posOffset>
                </wp:positionV>
                <wp:extent cx="2080260" cy="3162300"/>
                <wp:effectExtent l="0" t="0" r="15240" b="19050"/>
                <wp:wrapNone/>
                <wp:docPr id="1043212252" name="Rectangle: Rounded Corners 1"/>
                <wp:cNvGraphicFramePr/>
                <a:graphic xmlns:a="http://schemas.openxmlformats.org/drawingml/2006/main">
                  <a:graphicData uri="http://schemas.microsoft.com/office/word/2010/wordprocessingShape">
                    <wps:wsp>
                      <wps:cNvSpPr/>
                      <wps:spPr>
                        <a:xfrm>
                          <a:off x="0" y="0"/>
                          <a:ext cx="2080260" cy="3162300"/>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0DB73B14" w14:textId="014C1FB8" w:rsidR="00E57B83" w:rsidRPr="00B42016" w:rsidRDefault="00E57B83" w:rsidP="00E57B83">
                            <w:pPr>
                              <w:jc w:val="center"/>
                              <w:rPr>
                                <w:rFonts w:asciiTheme="majorBidi" w:hAnsiTheme="majorBidi" w:cstheme="majorBidi"/>
                                <w:b/>
                                <w:bCs/>
                                <w:sz w:val="24"/>
                              </w:rPr>
                            </w:pPr>
                            <w:r>
                              <w:rPr>
                                <w:rFonts w:asciiTheme="majorBidi" w:hAnsiTheme="majorBidi" w:cstheme="majorBidi"/>
                                <w:b/>
                                <w:bCs/>
                                <w:sz w:val="24"/>
                              </w:rPr>
                              <w:t xml:space="preserve">Green Accounting </w:t>
                            </w:r>
                            <w:r w:rsidR="009A2964">
                              <w:rPr>
                                <w:rFonts w:asciiTheme="majorBidi" w:hAnsiTheme="majorBidi" w:cstheme="majorBidi"/>
                                <w:b/>
                                <w:bCs/>
                                <w:sz w:val="24"/>
                              </w:rPr>
                              <w:t>Practice</w:t>
                            </w:r>
                            <w:r w:rsidRPr="00B42016">
                              <w:rPr>
                                <w:rFonts w:asciiTheme="majorBidi" w:hAnsiTheme="majorBidi" w:cstheme="majorBidi"/>
                                <w:b/>
                                <w:bCs/>
                                <w:sz w:val="24"/>
                              </w:rPr>
                              <w:t>:</w:t>
                            </w:r>
                          </w:p>
                          <w:p w14:paraId="496225DD" w14:textId="77777777" w:rsidR="00E57B83" w:rsidRPr="00B42016" w:rsidRDefault="00E57B83" w:rsidP="00E57B83">
                            <w:pPr>
                              <w:pStyle w:val="ListParagraph"/>
                              <w:numPr>
                                <w:ilvl w:val="0"/>
                                <w:numId w:val="2"/>
                              </w:numPr>
                              <w:spacing w:after="160" w:line="259" w:lineRule="auto"/>
                              <w:rPr>
                                <w:rFonts w:asciiTheme="majorBidi" w:hAnsiTheme="majorBidi" w:cstheme="majorBidi"/>
                                <w:b/>
                                <w:bCs/>
                                <w:sz w:val="24"/>
                              </w:rPr>
                            </w:pPr>
                            <w:r w:rsidRPr="00B42016">
                              <w:rPr>
                                <w:rFonts w:asciiTheme="majorBidi" w:hAnsiTheme="majorBidi" w:cstheme="majorBidi"/>
                                <w:b/>
                                <w:bCs/>
                                <w:sz w:val="24"/>
                              </w:rPr>
                              <w:t>Environmental Waste Management Disclosure (EWDD)</w:t>
                            </w:r>
                          </w:p>
                          <w:p w14:paraId="55536095" w14:textId="77777777" w:rsidR="00E57B83" w:rsidRPr="00746A77" w:rsidRDefault="00E57B83" w:rsidP="00E57B83">
                            <w:pPr>
                              <w:pStyle w:val="ListParagraph"/>
                              <w:numPr>
                                <w:ilvl w:val="0"/>
                                <w:numId w:val="2"/>
                              </w:numPr>
                              <w:spacing w:after="160" w:line="259" w:lineRule="auto"/>
                              <w:rPr>
                                <w:rFonts w:asciiTheme="majorBidi" w:hAnsiTheme="majorBidi" w:cstheme="majorBidi"/>
                                <w:b/>
                                <w:bCs/>
                                <w:sz w:val="24"/>
                              </w:rPr>
                            </w:pPr>
                            <w:r w:rsidRPr="00B42016">
                              <w:rPr>
                                <w:rFonts w:asciiTheme="majorBidi" w:hAnsiTheme="majorBidi" w:cstheme="majorBidi"/>
                                <w:b/>
                                <w:bCs/>
                                <w:sz w:val="24"/>
                              </w:rPr>
                              <w:t>Environmental Pollution Control Disclosure (EPCD)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DCE33" id="_x0000_s1027" style="position:absolute;margin-left:0;margin-top:.6pt;width:163.8pt;height:24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uUjQIAAGsFAAAOAAAAZHJzL2Uyb0RvYy54bWysVG1r2zAQ/j7YfxD6vviladeZOiWkdAxK&#10;G9qOflZkKTbIOk1SYme/fifZcUNXNhj7Yut0r3ruubu67ltF9sK6BnRJs1lKidAcqkZvS/r9+fbT&#10;JSXOM10xBVqU9CAcvV58/HDVmULkUIOqhCUYRLuiMyWtvTdFkjhei5a5GRihUSnBtsyjaLdJZVmH&#10;0VuV5Gl6kXRgK2OBC+fw9mZQ0kWML6Xg/kFKJzxRJcXafPza+N2Eb7K4YsXWMlM3fCyD/UMVLWs0&#10;Jp1C3TDPyM42v4VqG27BgfQzDm0CUjZcxDfga7L0zWueamZEfAuC48wEk/t/Yfn9fm1JU2Hv0vlZ&#10;nuX5eU6JZi326hHRY3qrREEeYacrUZEVWI3NJlkArjOuQP8ns7aj5PAYUOilbcMf30f6CPZhAlv0&#10;nnC8zNPLNL/AnnDUnWUX+Vka25G8uhvr/FcBLQmHktpQRCgqIs32d85jXrQ/2qEQahqqiCd/UCIU&#10;ovSjkPjMkDd6R4KJlbJkz5AajHOh/aiqWSWG6+w8nYqaPGLKGDBElo1SU+zsT7GHWkf74CoiPyfn&#10;9O/Ok0fMDNpPzm2jwb4XQPnYK0RJDvZHkAZoAkq+3/QDBY5d3UB1QFpYGObFGX7bYAvumPNrZnFA&#10;sG049P4BP1JBV1IYT5TUYH++dx/skbeopaTDgSup+7FjVlCivmlk9JdsPg8TGoX5+eccBXuq2Zxq&#10;9K5dATYuw/VieDwGe6+OR2mhfcHdsAxZUcU0x9wl5d4ehZUfFgFuFy6Wy2iGU2mYv9NPhofgAefA&#10;ruf+hVkz8tAjhe/hOJyseMPEwTZ4aljuPMgm0jQgPeA6dgAnOlJp3D5hZZzK0ep1Ry5+AQAA//8D&#10;AFBLAwQUAAYACAAAACEAyQJr9dsAAAAGAQAADwAAAGRycy9kb3ducmV2LnhtbEyPzU7DMBCE70i8&#10;g7VI3KiTgApN41T8qBfohdLet8kSB+J1iN00vD3LCY47M5r5tlhNrlMjDaH1bCCdJaCIK1+33BjY&#10;va2v7kCFiFxj55kMfFOAVXl+VmBe+xO/0riNjZISDjkasDH2udahsuQwzHxPLN67HxxGOYdG1wOe&#10;pNx1OkuSuXbYsixY7OnRUvW5PToD4eGpsem4efEp7auP3RoTfP4y5vJiul+CijTFvzD84gs6lMJ0&#10;8Eeug+oMyCNR1AyUmNfZ7RzUwcDNYpGBLgv9H7/8AQAA//8DAFBLAQItABQABgAIAAAAIQC2gziS&#10;/gAAAOEBAAATAAAAAAAAAAAAAAAAAAAAAABbQ29udGVudF9UeXBlc10ueG1sUEsBAi0AFAAGAAgA&#10;AAAhADj9If/WAAAAlAEAAAsAAAAAAAAAAAAAAAAALwEAAF9yZWxzLy5yZWxzUEsBAi0AFAAGAAgA&#10;AAAhAKRCG5SNAgAAawUAAA4AAAAAAAAAAAAAAAAALgIAAGRycy9lMm9Eb2MueG1sUEsBAi0AFAAG&#10;AAgAAAAhAMkCa/XbAAAABgEAAA8AAAAAAAAAAAAAAAAA5wQAAGRycy9kb3ducmV2LnhtbFBLBQYA&#10;AAAABAAEAPMAAADvBQAAAAA=&#10;" fillcolor="#ed7d31 [3205]" strokecolor="#261103 [485]" strokeweight="1pt">
                <v:stroke joinstyle="miter"/>
                <v:textbox>
                  <w:txbxContent>
                    <w:p w14:paraId="0DB73B14" w14:textId="014C1FB8" w:rsidR="00E57B83" w:rsidRPr="00B42016" w:rsidRDefault="00E57B83" w:rsidP="00E57B83">
                      <w:pPr>
                        <w:jc w:val="center"/>
                        <w:rPr>
                          <w:rFonts w:asciiTheme="majorBidi" w:hAnsiTheme="majorBidi" w:cstheme="majorBidi"/>
                          <w:b/>
                          <w:bCs/>
                          <w:sz w:val="24"/>
                        </w:rPr>
                      </w:pPr>
                      <w:r>
                        <w:rPr>
                          <w:rFonts w:asciiTheme="majorBidi" w:hAnsiTheme="majorBidi" w:cstheme="majorBidi"/>
                          <w:b/>
                          <w:bCs/>
                          <w:sz w:val="24"/>
                        </w:rPr>
                        <w:t xml:space="preserve">Green Accounting </w:t>
                      </w:r>
                      <w:r w:rsidR="009A2964">
                        <w:rPr>
                          <w:rFonts w:asciiTheme="majorBidi" w:hAnsiTheme="majorBidi" w:cstheme="majorBidi"/>
                          <w:b/>
                          <w:bCs/>
                          <w:sz w:val="24"/>
                        </w:rPr>
                        <w:t>Practice</w:t>
                      </w:r>
                      <w:r w:rsidRPr="00B42016">
                        <w:rPr>
                          <w:rFonts w:asciiTheme="majorBidi" w:hAnsiTheme="majorBidi" w:cstheme="majorBidi"/>
                          <w:b/>
                          <w:bCs/>
                          <w:sz w:val="24"/>
                        </w:rPr>
                        <w:t>:</w:t>
                      </w:r>
                    </w:p>
                    <w:p w14:paraId="496225DD" w14:textId="77777777" w:rsidR="00E57B83" w:rsidRPr="00B42016" w:rsidRDefault="00E57B83" w:rsidP="00E57B83">
                      <w:pPr>
                        <w:pStyle w:val="ListParagraph"/>
                        <w:numPr>
                          <w:ilvl w:val="0"/>
                          <w:numId w:val="2"/>
                        </w:numPr>
                        <w:spacing w:after="160" w:line="259" w:lineRule="auto"/>
                        <w:rPr>
                          <w:rFonts w:asciiTheme="majorBidi" w:hAnsiTheme="majorBidi" w:cstheme="majorBidi"/>
                          <w:b/>
                          <w:bCs/>
                          <w:sz w:val="24"/>
                        </w:rPr>
                      </w:pPr>
                      <w:r w:rsidRPr="00B42016">
                        <w:rPr>
                          <w:rFonts w:asciiTheme="majorBidi" w:hAnsiTheme="majorBidi" w:cstheme="majorBidi"/>
                          <w:b/>
                          <w:bCs/>
                          <w:sz w:val="24"/>
                        </w:rPr>
                        <w:t>Environmental Waste Management Disclosure (EWDD)</w:t>
                      </w:r>
                    </w:p>
                    <w:p w14:paraId="55536095" w14:textId="77777777" w:rsidR="00E57B83" w:rsidRPr="00746A77" w:rsidRDefault="00E57B83" w:rsidP="00E57B83">
                      <w:pPr>
                        <w:pStyle w:val="ListParagraph"/>
                        <w:numPr>
                          <w:ilvl w:val="0"/>
                          <w:numId w:val="2"/>
                        </w:numPr>
                        <w:spacing w:after="160" w:line="259" w:lineRule="auto"/>
                        <w:rPr>
                          <w:rFonts w:asciiTheme="majorBidi" w:hAnsiTheme="majorBidi" w:cstheme="majorBidi"/>
                          <w:b/>
                          <w:bCs/>
                          <w:sz w:val="24"/>
                        </w:rPr>
                      </w:pPr>
                      <w:r w:rsidRPr="00B42016">
                        <w:rPr>
                          <w:rFonts w:asciiTheme="majorBidi" w:hAnsiTheme="majorBidi" w:cstheme="majorBidi"/>
                          <w:b/>
                          <w:bCs/>
                          <w:sz w:val="24"/>
                        </w:rPr>
                        <w:t>Environmental Pollution Control Disclosure (EPCD)</w:t>
                      </w:r>
                    </w:p>
                  </w:txbxContent>
                </v:textbox>
                <w10:wrap anchorx="margin"/>
              </v:roundrect>
            </w:pict>
          </mc:Fallback>
        </mc:AlternateContent>
      </w:r>
    </w:p>
    <w:p w14:paraId="07E2EDD7" w14:textId="77777777" w:rsidR="00E57B83" w:rsidRPr="0076051E" w:rsidRDefault="00E57B83" w:rsidP="00E57B83">
      <w:pPr>
        <w:rPr>
          <w:rFonts w:asciiTheme="majorBidi" w:hAnsiTheme="majorBidi" w:cstheme="majorBidi"/>
          <w:sz w:val="24"/>
        </w:rPr>
      </w:pPr>
    </w:p>
    <w:p w14:paraId="27CAFF7D" w14:textId="77777777" w:rsidR="00E57B83" w:rsidRPr="0076051E" w:rsidRDefault="00E57B83" w:rsidP="00E57B83">
      <w:pPr>
        <w:rPr>
          <w:rFonts w:asciiTheme="majorBidi" w:hAnsiTheme="majorBidi" w:cstheme="majorBidi"/>
          <w:sz w:val="24"/>
        </w:rPr>
      </w:pPr>
    </w:p>
    <w:p w14:paraId="31B82299" w14:textId="77777777" w:rsidR="00E57B83" w:rsidRPr="0076051E" w:rsidRDefault="00E57B83" w:rsidP="00E57B83">
      <w:pPr>
        <w:rPr>
          <w:rFonts w:asciiTheme="majorBidi" w:hAnsiTheme="majorBidi" w:cstheme="majorBidi"/>
          <w:sz w:val="24"/>
        </w:rPr>
      </w:pPr>
    </w:p>
    <w:p w14:paraId="0014064D" w14:textId="77777777" w:rsidR="00E57B83" w:rsidRPr="0076051E" w:rsidRDefault="00E57B83" w:rsidP="00E57B83">
      <w:pPr>
        <w:tabs>
          <w:tab w:val="left" w:pos="6810"/>
          <w:tab w:val="right" w:pos="9360"/>
        </w:tabs>
        <w:rPr>
          <w:rFonts w:asciiTheme="majorBidi" w:hAnsiTheme="majorBidi" w:cstheme="majorBidi"/>
          <w:sz w:val="24"/>
        </w:rPr>
      </w:pPr>
      <w:r w:rsidRPr="0076051E">
        <w:rPr>
          <w:rFonts w:asciiTheme="majorBidi" w:hAnsiTheme="majorBidi" w:cstheme="majorBidi"/>
          <w:noProof/>
          <w:sz w:val="24"/>
          <w14:ligatures w14:val="standardContextual"/>
        </w:rPr>
        <mc:AlternateContent>
          <mc:Choice Requires="wps">
            <w:drawing>
              <wp:anchor distT="0" distB="0" distL="114300" distR="114300" simplePos="0" relativeHeight="251661312" behindDoc="0" locked="0" layoutInCell="1" allowOverlap="1" wp14:anchorId="4D379FDA" wp14:editId="69FC4842">
                <wp:simplePos x="0" y="0"/>
                <wp:positionH relativeFrom="column">
                  <wp:posOffset>2087880</wp:posOffset>
                </wp:positionH>
                <wp:positionV relativeFrom="paragraph">
                  <wp:posOffset>102870</wp:posOffset>
                </wp:positionV>
                <wp:extent cx="1752600" cy="7620"/>
                <wp:effectExtent l="0" t="57150" r="38100" b="87630"/>
                <wp:wrapNone/>
                <wp:docPr id="964794366" name="Straight Arrow Connector 3"/>
                <wp:cNvGraphicFramePr/>
                <a:graphic xmlns:a="http://schemas.openxmlformats.org/drawingml/2006/main">
                  <a:graphicData uri="http://schemas.microsoft.com/office/word/2010/wordprocessingShape">
                    <wps:wsp>
                      <wps:cNvCnPr/>
                      <wps:spPr>
                        <a:xfrm>
                          <a:off x="0" y="0"/>
                          <a:ext cx="1752600" cy="762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C2B82D" id="_x0000_t32" coordsize="21600,21600" o:spt="32" o:oned="t" path="m,l21600,21600e" filled="f">
                <v:path arrowok="t" fillok="f" o:connecttype="none"/>
                <o:lock v:ext="edit" shapetype="t"/>
              </v:shapetype>
              <v:shape id="Straight Arrow Connector 3" o:spid="_x0000_s1026" type="#_x0000_t32" style="position:absolute;margin-left:164.4pt;margin-top:8.1pt;width:138pt;height:.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Pc4wEAAAsEAAAOAAAAZHJzL2Uyb0RvYy54bWysU9uO0zAQfUfiHyy/06TpkmWrpivUBV4Q&#10;VLvwAV7Hbiz5pvHQtH/P2M1mESCthHiZxPacM2eOx5vbk7PsqCCZ4Du+XNScKS9Db/yh49+/fXzz&#10;jrOEwvfCBq86flaJ325fv9qMca2aMATbK2BE4tN6jB0fEOO6qpIclBNpEaLydKgDOIG0hEPVgxiJ&#10;3dmqqeu2GgP0EYJUKdHu3eWQbwu/1kriV62TQmY7TtqwRCjxMcdquxHrA4g4GDnJEP+gwgnjqehM&#10;dSdQsB9g/qByRkJIQeNCBlcFrY1UpQfqZln/1s3DIKIqvZA5Kc42pf9HK78c98BM3/Gb9ur65mrV&#10;tpx54eiqHhCEOQzI3gOEke2C92RnALbKro0xrQm883uYVinuIVtw0uDyl5pjp+L0eXZanZBJ2lxe&#10;v23ami5E0tl125SLqJ6xERJ+UsGx/NPxNEmZNSyL2eL4OSFVJ+ATIBe2PkcUxn7wPcNzpGYQjPAH&#10;q7J0Ss8pVW7hIrr84dmqC/xeabKEZK5KmTKMameBHQWNkZBSeWxmJsrOMG2snYH1y8ApP0NVGdQZ&#10;3LwMnhGlcvA4g53xAf5GgKflJFlf8p8cuPSdLXgM/blcZ7GGJq54Nb2OPNK/rgv8+Q1vfwIAAP//&#10;AwBQSwMEFAAGAAgAAAAhAODC6V7eAAAACQEAAA8AAABkcnMvZG93bnJldi54bWxMj8FOwzAQRO9I&#10;/IO1SFwi6hBKWoU4FSAhVUg9EPoBbrwkUeN1ajtt+HuWExx3ZjT7ptzMdhBn9KF3pOB+kYJAapzp&#10;qVWw/3y7W4MIUZPRgyNU8I0BNtX1VakL4y70gec6toJLKBRaQRfjWEgZmg6tDgs3IrH35bzVkU/f&#10;SuP1hcvtILM0zaXVPfGHTo/42mFzrCerINkefbJ7dFM4nerMv4/J1r5MSt3ezM9PICLO8S8Mv/iM&#10;DhUzHdxEJohBwUO2ZvTIRp6B4ECeLlk4sLBagqxK+X9B9QMAAP//AwBQSwECLQAUAAYACAAAACEA&#10;toM4kv4AAADhAQAAEwAAAAAAAAAAAAAAAAAAAAAAW0NvbnRlbnRfVHlwZXNdLnhtbFBLAQItABQA&#10;BgAIAAAAIQA4/SH/1gAAAJQBAAALAAAAAAAAAAAAAAAAAC8BAABfcmVscy8ucmVsc1BLAQItABQA&#10;BgAIAAAAIQCjCMPc4wEAAAsEAAAOAAAAAAAAAAAAAAAAAC4CAABkcnMvZTJvRG9jLnhtbFBLAQIt&#10;ABQABgAIAAAAIQDgwule3gAAAAkBAAAPAAAAAAAAAAAAAAAAAD0EAABkcnMvZG93bnJldi54bWxQ&#10;SwUGAAAAAAQABADzAAAASAUAAAAA&#10;" strokecolor="#ed7d31 [3205]" strokeweight="1.5pt">
                <v:stroke endarrow="block" joinstyle="miter"/>
              </v:shape>
            </w:pict>
          </mc:Fallback>
        </mc:AlternateContent>
      </w:r>
      <w:r>
        <w:rPr>
          <w:rFonts w:asciiTheme="majorBidi" w:hAnsiTheme="majorBidi" w:cstheme="majorBidi"/>
          <w:sz w:val="24"/>
        </w:rPr>
        <w:tab/>
      </w:r>
      <w:r>
        <w:rPr>
          <w:rFonts w:asciiTheme="majorBidi" w:hAnsiTheme="majorBidi" w:cstheme="majorBidi"/>
          <w:sz w:val="24"/>
        </w:rPr>
        <w:tab/>
      </w:r>
    </w:p>
    <w:p w14:paraId="1B426CBA" w14:textId="77777777" w:rsidR="00E57B83" w:rsidRPr="0076051E" w:rsidRDefault="00E57B83" w:rsidP="00E57B83">
      <w:pPr>
        <w:tabs>
          <w:tab w:val="left" w:pos="6810"/>
        </w:tabs>
        <w:rPr>
          <w:rFonts w:asciiTheme="majorBidi" w:hAnsiTheme="majorBidi" w:cstheme="majorBidi"/>
          <w:sz w:val="24"/>
        </w:rPr>
      </w:pPr>
      <w:r>
        <w:rPr>
          <w:rFonts w:asciiTheme="majorBidi" w:hAnsiTheme="majorBidi" w:cstheme="majorBidi"/>
          <w:sz w:val="24"/>
        </w:rPr>
        <w:tab/>
      </w:r>
    </w:p>
    <w:p w14:paraId="5E51CA40" w14:textId="77777777" w:rsidR="00E57B83" w:rsidRPr="0076051E" w:rsidRDefault="00E57B83" w:rsidP="00E57B83">
      <w:pPr>
        <w:rPr>
          <w:rFonts w:asciiTheme="majorBidi" w:hAnsiTheme="majorBidi" w:cstheme="majorBidi"/>
          <w:sz w:val="24"/>
        </w:rPr>
      </w:pPr>
    </w:p>
    <w:p w14:paraId="02C8E6F3" w14:textId="77777777" w:rsidR="00E57B83" w:rsidRPr="0076051E" w:rsidRDefault="00E57B83" w:rsidP="00E57B83">
      <w:pPr>
        <w:rPr>
          <w:rFonts w:asciiTheme="majorBidi" w:hAnsiTheme="majorBidi" w:cstheme="majorBidi"/>
          <w:sz w:val="24"/>
        </w:rPr>
      </w:pPr>
    </w:p>
    <w:p w14:paraId="7050A8C1" w14:textId="77777777" w:rsidR="00E57B83" w:rsidRPr="0076051E" w:rsidRDefault="00E57B83" w:rsidP="00E57B83">
      <w:pPr>
        <w:rPr>
          <w:rFonts w:asciiTheme="majorBidi" w:hAnsiTheme="majorBidi" w:cstheme="majorBidi"/>
          <w:sz w:val="24"/>
        </w:rPr>
      </w:pPr>
    </w:p>
    <w:p w14:paraId="6166E1F5" w14:textId="77777777" w:rsidR="00E57B83" w:rsidRPr="0076051E" w:rsidRDefault="00E57B83" w:rsidP="00E57B83">
      <w:pPr>
        <w:rPr>
          <w:rFonts w:asciiTheme="majorBidi" w:hAnsiTheme="majorBidi" w:cstheme="majorBidi"/>
          <w:sz w:val="24"/>
        </w:rPr>
      </w:pPr>
    </w:p>
    <w:p w14:paraId="42F76FDC" w14:textId="77777777" w:rsidR="00E57B83" w:rsidRPr="0076051E" w:rsidRDefault="00E57B83" w:rsidP="00E57B83">
      <w:pPr>
        <w:rPr>
          <w:rFonts w:asciiTheme="majorBidi" w:hAnsiTheme="majorBidi" w:cstheme="majorBidi"/>
          <w:b/>
          <w:bCs/>
          <w:i/>
          <w:iCs/>
          <w:sz w:val="24"/>
        </w:rPr>
      </w:pPr>
    </w:p>
    <w:p w14:paraId="298B2E6E" w14:textId="77777777" w:rsidR="00E57B83" w:rsidRPr="0076051E" w:rsidRDefault="00E57B83" w:rsidP="00E57B83">
      <w:pPr>
        <w:rPr>
          <w:rFonts w:asciiTheme="majorBidi" w:hAnsiTheme="majorBidi" w:cstheme="majorBidi"/>
          <w:b/>
          <w:bCs/>
          <w:i/>
          <w:iCs/>
          <w:sz w:val="24"/>
        </w:rPr>
      </w:pPr>
      <w:r w:rsidRPr="0076051E">
        <w:rPr>
          <w:rFonts w:asciiTheme="majorBidi" w:hAnsiTheme="majorBidi" w:cstheme="majorBidi"/>
          <w:b/>
          <w:bCs/>
          <w:i/>
          <w:iCs/>
          <w:sz w:val="24"/>
        </w:rPr>
        <w:t>Source: Authors’ Concepts (2024)</w:t>
      </w:r>
    </w:p>
    <w:p w14:paraId="5B80EDD4" w14:textId="77777777" w:rsidR="00E57B83" w:rsidRPr="00606FAE" w:rsidRDefault="00E57B83" w:rsidP="00E57B83">
      <w:pPr>
        <w:jc w:val="both"/>
        <w:rPr>
          <w:b/>
        </w:rPr>
      </w:pPr>
    </w:p>
    <w:p w14:paraId="7C30BCDF" w14:textId="77777777" w:rsidR="00E57B83" w:rsidRPr="00E57B83" w:rsidRDefault="00E57B83" w:rsidP="00E57B83">
      <w:pPr>
        <w:jc w:val="both"/>
        <w:rPr>
          <w:rFonts w:ascii="Times New Roman" w:hAnsi="Times New Roman" w:cs="Times New Roman"/>
          <w:b/>
          <w:sz w:val="24"/>
          <w:szCs w:val="24"/>
        </w:rPr>
      </w:pPr>
      <w:r w:rsidRPr="00E57B83">
        <w:rPr>
          <w:rFonts w:ascii="Times New Roman" w:hAnsi="Times New Roman" w:cs="Times New Roman"/>
          <w:b/>
          <w:sz w:val="24"/>
          <w:szCs w:val="24"/>
        </w:rPr>
        <w:t>Theoretical Framework</w:t>
      </w:r>
    </w:p>
    <w:p w14:paraId="74CAB590" w14:textId="035ED996" w:rsidR="00E57B83" w:rsidRPr="008446D6"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8446D6">
        <w:rPr>
          <w:rFonts w:ascii="Times New Roman" w:eastAsia="Times New Roman" w:hAnsi="Times New Roman" w:cs="Times New Roman"/>
          <w:sz w:val="24"/>
          <w:szCs w:val="24"/>
        </w:rPr>
        <w:t xml:space="preserve">This study is anchored on the </w:t>
      </w:r>
      <w:r w:rsidRPr="008446D6">
        <w:rPr>
          <w:rFonts w:ascii="Times New Roman" w:eastAsia="Times New Roman" w:hAnsi="Times New Roman" w:cs="Times New Roman"/>
          <w:bCs/>
          <w:sz w:val="24"/>
          <w:szCs w:val="24"/>
        </w:rPr>
        <w:t>Resource-Based View (RBV)</w:t>
      </w:r>
      <w:r w:rsidRPr="008446D6">
        <w:rPr>
          <w:rFonts w:ascii="Times New Roman" w:eastAsia="Times New Roman" w:hAnsi="Times New Roman" w:cs="Times New Roman"/>
          <w:sz w:val="24"/>
          <w:szCs w:val="24"/>
        </w:rPr>
        <w:t xml:space="preserve"> theory, which emphasizes that firms can achieve and sustain competitive advantage by effectively managing internal resources that are valuable, rare, inimitable, and non-substitutable (Barney, 1991; Barney &amp; Clark, 2007). In this context, environmental waste management and pollution control </w:t>
      </w:r>
      <w:r w:rsidR="001E4E58">
        <w:rPr>
          <w:rFonts w:ascii="Times New Roman" w:eastAsia="Times New Roman" w:hAnsi="Times New Roman" w:cs="Times New Roman"/>
          <w:sz w:val="24"/>
          <w:szCs w:val="24"/>
        </w:rPr>
        <w:t xml:space="preserve"> practice</w:t>
      </w:r>
      <w:r w:rsidRPr="008446D6">
        <w:rPr>
          <w:rFonts w:ascii="Times New Roman" w:eastAsia="Times New Roman" w:hAnsi="Times New Roman" w:cs="Times New Roman"/>
          <w:sz w:val="24"/>
          <w:szCs w:val="24"/>
        </w:rPr>
        <w:t xml:space="preserve">s are regarded as intangible strategic assets that not only enhance corporate image and stakeholder trust but also contribute to improved financial </w:t>
      </w:r>
      <w:proofErr w:type="spellStart"/>
      <w:r w:rsidRPr="008446D6">
        <w:rPr>
          <w:rFonts w:ascii="Times New Roman" w:eastAsia="Times New Roman" w:hAnsi="Times New Roman" w:cs="Times New Roman"/>
          <w:sz w:val="24"/>
          <w:szCs w:val="24"/>
        </w:rPr>
        <w:t>performance</w:t>
      </w:r>
      <w:r w:rsidR="009A2964">
        <w:rPr>
          <w:rFonts w:ascii="Times New Roman" w:eastAsia="Times New Roman" w:hAnsi="Times New Roman" w:cs="Times New Roman"/>
          <w:sz w:val="24"/>
          <w:szCs w:val="24"/>
        </w:rPr>
        <w:t>.</w:t>
      </w:r>
      <w:r w:rsidRPr="008446D6">
        <w:rPr>
          <w:rFonts w:ascii="Times New Roman" w:eastAsia="Times New Roman" w:hAnsi="Times New Roman" w:cs="Times New Roman"/>
          <w:sz w:val="24"/>
          <w:szCs w:val="24"/>
        </w:rPr>
        <w:t>The</w:t>
      </w:r>
      <w:proofErr w:type="spellEnd"/>
      <w:r w:rsidRPr="008446D6">
        <w:rPr>
          <w:rFonts w:ascii="Times New Roman" w:eastAsia="Times New Roman" w:hAnsi="Times New Roman" w:cs="Times New Roman"/>
          <w:sz w:val="24"/>
          <w:szCs w:val="24"/>
        </w:rPr>
        <w:t xml:space="preserve"> theory supports the proposition that when firms strategically implement and transparently report on environmental initiatives, such actions can function as unique resources that differentiate them from competitors and yield long-term financial advantages, especially in contexts where environmental concerns are becoming increasingly important to stakeholders.</w:t>
      </w:r>
    </w:p>
    <w:p w14:paraId="1FA44D93" w14:textId="77777777" w:rsidR="00E57B83" w:rsidRPr="00F11BCA" w:rsidRDefault="00E57B83" w:rsidP="00E57B83">
      <w:pPr>
        <w:spacing w:before="100" w:beforeAutospacing="1" w:after="100" w:afterAutospacing="1" w:line="276" w:lineRule="auto"/>
        <w:jc w:val="both"/>
        <w:rPr>
          <w:rFonts w:ascii="Times New Roman" w:eastAsia="Times New Roman" w:hAnsi="Times New Roman" w:cs="Times New Roman"/>
          <w:b/>
          <w:sz w:val="24"/>
          <w:szCs w:val="24"/>
        </w:rPr>
      </w:pPr>
      <w:r w:rsidRPr="00F11BCA">
        <w:rPr>
          <w:rFonts w:ascii="Times New Roman" w:eastAsia="Times New Roman" w:hAnsi="Times New Roman" w:cs="Times New Roman"/>
          <w:b/>
          <w:sz w:val="24"/>
          <w:szCs w:val="24"/>
        </w:rPr>
        <w:t>Empirical Review</w:t>
      </w:r>
    </w:p>
    <w:p w14:paraId="39552CFA" w14:textId="4E6BC4AF" w:rsidR="00E57B83" w:rsidRPr="00F11BCA"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sz w:val="24"/>
          <w:szCs w:val="24"/>
        </w:rPr>
        <w:lastRenderedPageBreak/>
        <w:t xml:space="preserve">The study conducted by </w:t>
      </w:r>
      <w:r w:rsidRPr="00F11BCA">
        <w:rPr>
          <w:rFonts w:ascii="Times New Roman" w:eastAsia="Times New Roman" w:hAnsi="Times New Roman" w:cs="Times New Roman"/>
          <w:bCs/>
          <w:sz w:val="24"/>
          <w:szCs w:val="24"/>
        </w:rPr>
        <w:t>Jafari and Nikbakht (2023)</w:t>
      </w:r>
      <w:r w:rsidRPr="00F11BCA">
        <w:rPr>
          <w:rFonts w:ascii="Times New Roman" w:eastAsia="Times New Roman" w:hAnsi="Times New Roman" w:cs="Times New Roman"/>
          <w:sz w:val="24"/>
          <w:szCs w:val="24"/>
        </w:rPr>
        <w:t xml:space="preserve"> aimed to assess the impact of environmental waste management</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on the financial performance of manufacturing firms in Iran. The main objective was to determine whether greater transparency in environmental practices enhances firm profitability. Employing a </w:t>
      </w:r>
      <w:r w:rsidRPr="00F11BCA">
        <w:rPr>
          <w:rFonts w:ascii="Times New Roman" w:eastAsia="Times New Roman" w:hAnsi="Times New Roman" w:cs="Times New Roman"/>
          <w:bCs/>
          <w:sz w:val="24"/>
          <w:szCs w:val="24"/>
        </w:rPr>
        <w:t>panel data regression design</w:t>
      </w:r>
      <w:r w:rsidRPr="00F11BCA">
        <w:rPr>
          <w:rFonts w:ascii="Times New Roman" w:eastAsia="Times New Roman" w:hAnsi="Times New Roman" w:cs="Times New Roman"/>
          <w:sz w:val="24"/>
          <w:szCs w:val="24"/>
        </w:rPr>
        <w:t xml:space="preserve">, the researchers analyzed secondary data from 150 manufacturing firms listed on the Tehran Stock Exchange over a five-year period. Their findings revealed a </w:t>
      </w:r>
      <w:r w:rsidRPr="00F11BCA">
        <w:rPr>
          <w:rFonts w:ascii="Times New Roman" w:eastAsia="Times New Roman" w:hAnsi="Times New Roman" w:cs="Times New Roman"/>
          <w:bCs/>
          <w:sz w:val="24"/>
          <w:szCs w:val="24"/>
        </w:rPr>
        <w:t>significant positive relationship</w:t>
      </w:r>
      <w:r w:rsidRPr="00F11BCA">
        <w:rPr>
          <w:rFonts w:ascii="Times New Roman" w:eastAsia="Times New Roman" w:hAnsi="Times New Roman" w:cs="Times New Roman"/>
          <w:sz w:val="24"/>
          <w:szCs w:val="24"/>
        </w:rPr>
        <w:t xml:space="preserve"> between environmental waste</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and firm performance, as measured by return on assets (ROA) and net profit margin..</w:t>
      </w:r>
      <w:r w:rsidR="009A2964">
        <w:rPr>
          <w:rFonts w:ascii="Times New Roman" w:eastAsia="Times New Roman" w:hAnsi="Times New Roman" w:cs="Times New Roman"/>
          <w:sz w:val="24"/>
          <w:szCs w:val="24"/>
        </w:rPr>
        <w:t xml:space="preserve"> </w:t>
      </w:r>
      <w:r w:rsidRPr="00F11BCA">
        <w:rPr>
          <w:rFonts w:ascii="Times New Roman" w:eastAsia="Times New Roman" w:hAnsi="Times New Roman" w:cs="Times New Roman"/>
          <w:sz w:val="24"/>
          <w:szCs w:val="24"/>
        </w:rPr>
        <w:t xml:space="preserve">In a related context, </w:t>
      </w:r>
      <w:r w:rsidRPr="00F11BCA">
        <w:rPr>
          <w:rFonts w:ascii="Times New Roman" w:eastAsia="Times New Roman" w:hAnsi="Times New Roman" w:cs="Times New Roman"/>
          <w:bCs/>
          <w:sz w:val="24"/>
          <w:szCs w:val="24"/>
        </w:rPr>
        <w:t>Kim and Lee (2023)</w:t>
      </w:r>
      <w:r w:rsidRPr="00F11BCA">
        <w:rPr>
          <w:rFonts w:ascii="Times New Roman" w:eastAsia="Times New Roman" w:hAnsi="Times New Roman" w:cs="Times New Roman"/>
          <w:sz w:val="24"/>
          <w:szCs w:val="24"/>
        </w:rPr>
        <w:t xml:space="preserve"> explored the effect of environmental waste management reporting on the market performance of publicly listed firms in South Korea. The study’s objective was to examine whether enhanced</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practices influenced investor perceptions and stock market valuation. Adopting a </w:t>
      </w:r>
      <w:r w:rsidRPr="00F11BCA">
        <w:rPr>
          <w:rFonts w:ascii="Times New Roman" w:eastAsia="Times New Roman" w:hAnsi="Times New Roman" w:cs="Times New Roman"/>
          <w:bCs/>
          <w:sz w:val="24"/>
          <w:szCs w:val="24"/>
        </w:rPr>
        <w:t>mixed-methods research design</w:t>
      </w:r>
      <w:r w:rsidRPr="00F11BCA">
        <w:rPr>
          <w:rFonts w:ascii="Times New Roman" w:eastAsia="Times New Roman" w:hAnsi="Times New Roman" w:cs="Times New Roman"/>
          <w:sz w:val="24"/>
          <w:szCs w:val="24"/>
        </w:rPr>
        <w:t xml:space="preserve">, the authors combined </w:t>
      </w:r>
      <w:r w:rsidRPr="00F11BCA">
        <w:rPr>
          <w:rFonts w:ascii="Times New Roman" w:eastAsia="Times New Roman" w:hAnsi="Times New Roman" w:cs="Times New Roman"/>
          <w:bCs/>
          <w:sz w:val="24"/>
          <w:szCs w:val="24"/>
        </w:rPr>
        <w:t>quantitative regression analysis</w:t>
      </w:r>
      <w:r w:rsidRPr="00F11BCA">
        <w:rPr>
          <w:rFonts w:ascii="Times New Roman" w:eastAsia="Times New Roman" w:hAnsi="Times New Roman" w:cs="Times New Roman"/>
          <w:sz w:val="24"/>
          <w:szCs w:val="24"/>
        </w:rPr>
        <w:t xml:space="preserve"> of 120 listed firms with </w:t>
      </w:r>
      <w:r w:rsidRPr="00F11BCA">
        <w:rPr>
          <w:rFonts w:ascii="Times New Roman" w:eastAsia="Times New Roman" w:hAnsi="Times New Roman" w:cs="Times New Roman"/>
          <w:bCs/>
          <w:sz w:val="24"/>
          <w:szCs w:val="24"/>
        </w:rPr>
        <w:t>qualitative case studies</w:t>
      </w:r>
      <w:r w:rsidRPr="00F11BCA">
        <w:rPr>
          <w:rFonts w:ascii="Times New Roman" w:eastAsia="Times New Roman" w:hAnsi="Times New Roman" w:cs="Times New Roman"/>
          <w:sz w:val="24"/>
          <w:szCs w:val="24"/>
        </w:rPr>
        <w:t xml:space="preserve"> from selected corporations known for their strong sustainability records. The quantitative results showed that companies with higher</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levels had significantly better stock performance, while the qualitative findings emphasized how investors valued transparency in environmental governance. </w:t>
      </w:r>
    </w:p>
    <w:p w14:paraId="37BD54AC" w14:textId="0372C742" w:rsidR="00E57B83" w:rsidRPr="00F11BCA"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sz w:val="24"/>
          <w:szCs w:val="24"/>
        </w:rPr>
        <w:t xml:space="preserve">Similarly, </w:t>
      </w:r>
      <w:r w:rsidRPr="00F11BCA">
        <w:rPr>
          <w:rFonts w:ascii="Times New Roman" w:eastAsia="Times New Roman" w:hAnsi="Times New Roman" w:cs="Times New Roman"/>
          <w:bCs/>
          <w:sz w:val="24"/>
          <w:szCs w:val="24"/>
        </w:rPr>
        <w:t>Matovu and Ssempijja (2023)</w:t>
      </w:r>
      <w:r w:rsidRPr="00F11BCA">
        <w:rPr>
          <w:rFonts w:ascii="Times New Roman" w:eastAsia="Times New Roman" w:hAnsi="Times New Roman" w:cs="Times New Roman"/>
          <w:sz w:val="24"/>
          <w:szCs w:val="24"/>
        </w:rPr>
        <w:t xml:space="preserve"> set out to evaluate the nexus between environmental waste management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and the financial performance of Ugandan industrial firms. Using a </w:t>
      </w:r>
      <w:r w:rsidRPr="00F11BCA">
        <w:rPr>
          <w:rFonts w:ascii="Times New Roman" w:eastAsia="Times New Roman" w:hAnsi="Times New Roman" w:cs="Times New Roman"/>
          <w:bCs/>
          <w:sz w:val="24"/>
          <w:szCs w:val="24"/>
        </w:rPr>
        <w:t>descriptive correlational research design</w:t>
      </w:r>
      <w:r w:rsidRPr="00F11BCA">
        <w:rPr>
          <w:rFonts w:ascii="Times New Roman" w:eastAsia="Times New Roman" w:hAnsi="Times New Roman" w:cs="Times New Roman"/>
          <w:sz w:val="24"/>
          <w:szCs w:val="24"/>
        </w:rPr>
        <w:t xml:space="preserve">, they analyzed the financial statements and sustainability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of 30 industrial firms over a seven-year period. Their findings confirmed a </w:t>
      </w:r>
      <w:r w:rsidRPr="00F11BCA">
        <w:rPr>
          <w:rFonts w:ascii="Times New Roman" w:eastAsia="Times New Roman" w:hAnsi="Times New Roman" w:cs="Times New Roman"/>
          <w:bCs/>
          <w:sz w:val="24"/>
          <w:szCs w:val="24"/>
        </w:rPr>
        <w:t>positive correlation</w:t>
      </w:r>
      <w:r w:rsidRPr="00F11BCA">
        <w:rPr>
          <w:rFonts w:ascii="Times New Roman" w:eastAsia="Times New Roman" w:hAnsi="Times New Roman" w:cs="Times New Roman"/>
          <w:sz w:val="24"/>
          <w:szCs w:val="24"/>
        </w:rPr>
        <w:t xml:space="preserve"> between environmental waste</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and profitability ratios such as ROA and </w:t>
      </w:r>
      <w:proofErr w:type="spellStart"/>
      <w:r w:rsidRPr="00F11BCA">
        <w:rPr>
          <w:rFonts w:ascii="Times New Roman" w:eastAsia="Times New Roman" w:hAnsi="Times New Roman" w:cs="Times New Roman"/>
          <w:sz w:val="24"/>
          <w:szCs w:val="24"/>
        </w:rPr>
        <w:t>ROE.</w:t>
      </w:r>
      <w:r w:rsidRPr="00F11BCA">
        <w:rPr>
          <w:rFonts w:ascii="Times New Roman" w:eastAsia="Times New Roman" w:hAnsi="Times New Roman" w:cs="Times New Roman"/>
          <w:bCs/>
          <w:sz w:val="24"/>
          <w:szCs w:val="24"/>
        </w:rPr>
        <w:t>Okeke</w:t>
      </w:r>
      <w:proofErr w:type="spellEnd"/>
      <w:r w:rsidRPr="00F11BCA">
        <w:rPr>
          <w:rFonts w:ascii="Times New Roman" w:eastAsia="Times New Roman" w:hAnsi="Times New Roman" w:cs="Times New Roman"/>
          <w:bCs/>
          <w:sz w:val="24"/>
          <w:szCs w:val="24"/>
        </w:rPr>
        <w:t xml:space="preserve"> and </w:t>
      </w:r>
      <w:proofErr w:type="spellStart"/>
      <w:r w:rsidRPr="00F11BCA">
        <w:rPr>
          <w:rFonts w:ascii="Times New Roman" w:eastAsia="Times New Roman" w:hAnsi="Times New Roman" w:cs="Times New Roman"/>
          <w:bCs/>
          <w:sz w:val="24"/>
          <w:szCs w:val="24"/>
        </w:rPr>
        <w:t>Nnadi</w:t>
      </w:r>
      <w:proofErr w:type="spellEnd"/>
      <w:r w:rsidRPr="00F11BCA">
        <w:rPr>
          <w:rFonts w:ascii="Times New Roman" w:eastAsia="Times New Roman" w:hAnsi="Times New Roman" w:cs="Times New Roman"/>
          <w:bCs/>
          <w:sz w:val="24"/>
          <w:szCs w:val="24"/>
        </w:rPr>
        <w:t xml:space="preserve"> (2023)</w:t>
      </w:r>
      <w:r w:rsidRPr="00F11BCA">
        <w:rPr>
          <w:rFonts w:ascii="Times New Roman" w:eastAsia="Times New Roman" w:hAnsi="Times New Roman" w:cs="Times New Roman"/>
          <w:sz w:val="24"/>
          <w:szCs w:val="24"/>
        </w:rPr>
        <w:t xml:space="preserve"> focused on assessing whether waste management</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influenced the financial success of listed firms in Nigeria. Using a </w:t>
      </w:r>
      <w:r w:rsidRPr="00F11BCA">
        <w:rPr>
          <w:rFonts w:ascii="Times New Roman" w:eastAsia="Times New Roman" w:hAnsi="Times New Roman" w:cs="Times New Roman"/>
          <w:bCs/>
          <w:sz w:val="24"/>
          <w:szCs w:val="24"/>
        </w:rPr>
        <w:t>survey-based research design</w:t>
      </w:r>
      <w:r w:rsidRPr="00F11BCA">
        <w:rPr>
          <w:rFonts w:ascii="Times New Roman" w:eastAsia="Times New Roman" w:hAnsi="Times New Roman" w:cs="Times New Roman"/>
          <w:sz w:val="24"/>
          <w:szCs w:val="24"/>
        </w:rPr>
        <w:t xml:space="preserve"> supported by secondary data analysis, the study surveyed sustainability managers of 20 large Nigerian firms and compared these responses with data extracted from financial reports. The findings indicated that environmental</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significantly boosted financial performance, especially among firms operating in heavily regulated sectors. The authors attributed this to improved stakeholder relations and reduced regulatory penalties.</w:t>
      </w:r>
      <w:r w:rsidR="009A2964">
        <w:rPr>
          <w:rFonts w:ascii="Times New Roman" w:eastAsia="Times New Roman" w:hAnsi="Times New Roman" w:cs="Times New Roman"/>
          <w:sz w:val="24"/>
          <w:szCs w:val="24"/>
        </w:rPr>
        <w:t xml:space="preserve"> </w:t>
      </w:r>
      <w:proofErr w:type="spellStart"/>
      <w:r w:rsidRPr="00F11BCA">
        <w:rPr>
          <w:rFonts w:ascii="Times New Roman" w:eastAsia="Times New Roman" w:hAnsi="Times New Roman" w:cs="Times New Roman"/>
          <w:bCs/>
          <w:sz w:val="24"/>
          <w:szCs w:val="24"/>
        </w:rPr>
        <w:t>Ibigbami</w:t>
      </w:r>
      <w:proofErr w:type="spellEnd"/>
      <w:r w:rsidRPr="00F11BCA">
        <w:rPr>
          <w:rFonts w:ascii="Times New Roman" w:eastAsia="Times New Roman" w:hAnsi="Times New Roman" w:cs="Times New Roman"/>
          <w:bCs/>
          <w:sz w:val="24"/>
          <w:szCs w:val="24"/>
        </w:rPr>
        <w:t xml:space="preserve"> et al. (2023)</w:t>
      </w:r>
      <w:r w:rsidRPr="00F11BCA">
        <w:rPr>
          <w:rFonts w:ascii="Times New Roman" w:eastAsia="Times New Roman" w:hAnsi="Times New Roman" w:cs="Times New Roman"/>
          <w:sz w:val="24"/>
          <w:szCs w:val="24"/>
        </w:rPr>
        <w:t xml:space="preserve"> aimed to investigate the effect of environmental waste management</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on the profitability of agricultural firms in Nigeria. The researchers utilized a </w:t>
      </w:r>
      <w:r w:rsidRPr="00F11BCA">
        <w:rPr>
          <w:rFonts w:ascii="Times New Roman" w:eastAsia="Times New Roman" w:hAnsi="Times New Roman" w:cs="Times New Roman"/>
          <w:bCs/>
          <w:sz w:val="24"/>
          <w:szCs w:val="24"/>
        </w:rPr>
        <w:t>quantitative research design</w:t>
      </w:r>
      <w:r w:rsidRPr="00F11BCA">
        <w:rPr>
          <w:rFonts w:ascii="Times New Roman" w:eastAsia="Times New Roman" w:hAnsi="Times New Roman" w:cs="Times New Roman"/>
          <w:sz w:val="24"/>
          <w:szCs w:val="24"/>
        </w:rPr>
        <w:t xml:space="preserve"> relying on secondary data obtained from the annual reports of 25 agricultural firms listed on the Nigerian Exchange Group from 2014 to 2021. Using regression analysis, they found a </w:t>
      </w:r>
      <w:r w:rsidRPr="00F11BCA">
        <w:rPr>
          <w:rFonts w:ascii="Times New Roman" w:eastAsia="Times New Roman" w:hAnsi="Times New Roman" w:cs="Times New Roman"/>
          <w:bCs/>
          <w:sz w:val="24"/>
          <w:szCs w:val="24"/>
        </w:rPr>
        <w:t>significant positive relationship</w:t>
      </w:r>
      <w:r w:rsidRPr="00F11BCA">
        <w:rPr>
          <w:rFonts w:ascii="Times New Roman" w:eastAsia="Times New Roman" w:hAnsi="Times New Roman" w:cs="Times New Roman"/>
          <w:sz w:val="24"/>
          <w:szCs w:val="24"/>
        </w:rPr>
        <w:t xml:space="preserve"> between environmental waste management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s and profitability indicators such as ROA and ROE. The authors concluded that transparent environmental practices not only improve corporate reputation but also drive financial gains in the agricultural sector.</w:t>
      </w:r>
    </w:p>
    <w:p w14:paraId="680872CB" w14:textId="2693E9F0" w:rsidR="00E57B83" w:rsidRPr="00F11BCA"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sz w:val="24"/>
          <w:szCs w:val="24"/>
        </w:rPr>
        <w:t xml:space="preserve">The objective of </w:t>
      </w:r>
      <w:r w:rsidRPr="00F11BCA">
        <w:rPr>
          <w:rFonts w:ascii="Times New Roman" w:eastAsia="Times New Roman" w:hAnsi="Times New Roman" w:cs="Times New Roman"/>
          <w:bCs/>
          <w:sz w:val="24"/>
          <w:szCs w:val="24"/>
        </w:rPr>
        <w:t>Liu and Wang (2023)</w:t>
      </w:r>
      <w:r w:rsidRPr="00F11BCA">
        <w:rPr>
          <w:rFonts w:ascii="Times New Roman" w:eastAsia="Times New Roman" w:hAnsi="Times New Roman" w:cs="Times New Roman"/>
          <w:sz w:val="24"/>
          <w:szCs w:val="24"/>
        </w:rPr>
        <w:t xml:space="preserve"> was to examine the long-term financial benefits of environmental waste management</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among Chinese industrial firms. The study employed a </w:t>
      </w:r>
      <w:r w:rsidRPr="00F11BCA">
        <w:rPr>
          <w:rFonts w:ascii="Times New Roman" w:eastAsia="Times New Roman" w:hAnsi="Times New Roman" w:cs="Times New Roman"/>
          <w:bCs/>
          <w:sz w:val="24"/>
          <w:szCs w:val="24"/>
        </w:rPr>
        <w:t>longitudinal research design</w:t>
      </w:r>
      <w:r w:rsidRPr="00F11BCA">
        <w:rPr>
          <w:rFonts w:ascii="Times New Roman" w:eastAsia="Times New Roman" w:hAnsi="Times New Roman" w:cs="Times New Roman"/>
          <w:sz w:val="24"/>
          <w:szCs w:val="24"/>
        </w:rPr>
        <w:t xml:space="preserve"> covering a ten-year span from 2010 to 2020. Using a combination of content analysis and regression modeling, the study analyzed 100 large industrial firms across different provinces in China. The results revealed that consistent and detailed environmental</w:t>
      </w:r>
      <w:r w:rsidR="00FD7697">
        <w:rPr>
          <w:rFonts w:ascii="Times New Roman" w:eastAsia="Times New Roman" w:hAnsi="Times New Roman" w:cs="Times New Roman"/>
          <w:sz w:val="24"/>
          <w:szCs w:val="24"/>
        </w:rPr>
        <w:t xml:space="preserve"> </w:t>
      </w:r>
      <w:r w:rsidR="00FD7697">
        <w:rPr>
          <w:rFonts w:ascii="Times New Roman" w:eastAsia="Times New Roman" w:hAnsi="Times New Roman" w:cs="Times New Roman"/>
          <w:sz w:val="24"/>
          <w:szCs w:val="24"/>
        </w:rPr>
        <w:lastRenderedPageBreak/>
        <w:t xml:space="preserve">practice </w:t>
      </w:r>
      <w:r w:rsidRPr="00F11BCA">
        <w:rPr>
          <w:rFonts w:ascii="Times New Roman" w:eastAsia="Times New Roman" w:hAnsi="Times New Roman" w:cs="Times New Roman"/>
          <w:sz w:val="24"/>
          <w:szCs w:val="24"/>
        </w:rPr>
        <w:t xml:space="preserve">significantly improved </w:t>
      </w:r>
      <w:r w:rsidRPr="00F11BCA">
        <w:rPr>
          <w:rFonts w:ascii="Times New Roman" w:eastAsia="Times New Roman" w:hAnsi="Times New Roman" w:cs="Times New Roman"/>
          <w:bCs/>
          <w:sz w:val="24"/>
          <w:szCs w:val="24"/>
        </w:rPr>
        <w:t>operational efficiency and financial performance</w:t>
      </w:r>
      <w:r w:rsidRPr="00F11BCA">
        <w:rPr>
          <w:rFonts w:ascii="Times New Roman" w:eastAsia="Times New Roman" w:hAnsi="Times New Roman" w:cs="Times New Roman"/>
          <w:sz w:val="24"/>
          <w:szCs w:val="24"/>
        </w:rPr>
        <w:t>, particularly in firms that embedded sustainability in their strategic planning.</w:t>
      </w:r>
      <w:r w:rsidR="009A2964">
        <w:rPr>
          <w:rFonts w:ascii="Times New Roman" w:eastAsia="Times New Roman" w:hAnsi="Times New Roman" w:cs="Times New Roman"/>
          <w:sz w:val="24"/>
          <w:szCs w:val="24"/>
        </w:rPr>
        <w:t xml:space="preserve"> </w:t>
      </w:r>
      <w:proofErr w:type="spellStart"/>
      <w:r w:rsidRPr="00F11BCA">
        <w:rPr>
          <w:rFonts w:ascii="Times New Roman" w:eastAsia="Times New Roman" w:hAnsi="Times New Roman" w:cs="Times New Roman"/>
          <w:bCs/>
          <w:sz w:val="24"/>
          <w:szCs w:val="24"/>
        </w:rPr>
        <w:t>Nurshabrina</w:t>
      </w:r>
      <w:proofErr w:type="spellEnd"/>
      <w:r w:rsidRPr="00F11BCA">
        <w:rPr>
          <w:rFonts w:ascii="Times New Roman" w:eastAsia="Times New Roman" w:hAnsi="Times New Roman" w:cs="Times New Roman"/>
          <w:bCs/>
          <w:sz w:val="24"/>
          <w:szCs w:val="24"/>
        </w:rPr>
        <w:t xml:space="preserve"> et al. (2024)</w:t>
      </w:r>
      <w:r w:rsidRPr="00F11BCA">
        <w:rPr>
          <w:rFonts w:ascii="Times New Roman" w:eastAsia="Times New Roman" w:hAnsi="Times New Roman" w:cs="Times New Roman"/>
          <w:sz w:val="24"/>
          <w:szCs w:val="24"/>
        </w:rPr>
        <w:t xml:space="preserve"> examined the link between sustainability</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 xml:space="preserve">and financial performance at PT Jamkrindo, an Indonesian financial institution. The study’s objective was to determine how sustainability reporting in environmental, social, and economic dimensions influenced financial metrics. A </w:t>
      </w:r>
      <w:r w:rsidRPr="00F11BCA">
        <w:rPr>
          <w:rFonts w:ascii="Times New Roman" w:eastAsia="Times New Roman" w:hAnsi="Times New Roman" w:cs="Times New Roman"/>
          <w:bCs/>
          <w:sz w:val="24"/>
          <w:szCs w:val="24"/>
        </w:rPr>
        <w:t>descriptive quantitative research design</w:t>
      </w:r>
      <w:r w:rsidRPr="00F11BCA">
        <w:rPr>
          <w:rFonts w:ascii="Times New Roman" w:eastAsia="Times New Roman" w:hAnsi="Times New Roman" w:cs="Times New Roman"/>
          <w:sz w:val="24"/>
          <w:szCs w:val="24"/>
        </w:rPr>
        <w:t xml:space="preserve"> was used, relying on secondary data such as annual reports and sustainability reports from 2019 to 2021. Financial indicators like ROA, ROE, DAR, and Current Ratio were analyzed alongside content analysis of sustainability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The study found a notable improvement in profitability ratios, particularly in 2020, which coincided with the year of highest sustainability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 The findings suggested a </w:t>
      </w:r>
      <w:r w:rsidRPr="00F11BCA">
        <w:rPr>
          <w:rFonts w:ascii="Times New Roman" w:eastAsia="Times New Roman" w:hAnsi="Times New Roman" w:cs="Times New Roman"/>
          <w:bCs/>
          <w:sz w:val="24"/>
          <w:szCs w:val="24"/>
        </w:rPr>
        <w:t>positive correlation</w:t>
      </w:r>
      <w:r w:rsidRPr="00F11BCA">
        <w:rPr>
          <w:rFonts w:ascii="Times New Roman" w:eastAsia="Times New Roman" w:hAnsi="Times New Roman" w:cs="Times New Roman"/>
          <w:sz w:val="24"/>
          <w:szCs w:val="24"/>
        </w:rPr>
        <w:t xml:space="preserve"> between increased environmental</w:t>
      </w:r>
      <w:r w:rsidR="00FD7697">
        <w:rPr>
          <w:rFonts w:ascii="Times New Roman" w:eastAsia="Times New Roman" w:hAnsi="Times New Roman" w:cs="Times New Roman"/>
          <w:sz w:val="24"/>
          <w:szCs w:val="24"/>
        </w:rPr>
        <w:t xml:space="preserve"> practice </w:t>
      </w:r>
      <w:r w:rsidRPr="00F11BCA">
        <w:rPr>
          <w:rFonts w:ascii="Times New Roman" w:eastAsia="Times New Roman" w:hAnsi="Times New Roman" w:cs="Times New Roman"/>
          <w:sz w:val="24"/>
          <w:szCs w:val="24"/>
        </w:rPr>
        <w:t>and improved financial performance.</w:t>
      </w:r>
    </w:p>
    <w:p w14:paraId="5F355B8B" w14:textId="064095F1" w:rsidR="00E57B83"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F11BCA">
        <w:rPr>
          <w:rFonts w:ascii="Times New Roman" w:eastAsia="Times New Roman" w:hAnsi="Times New Roman" w:cs="Times New Roman"/>
          <w:bCs/>
          <w:sz w:val="24"/>
          <w:szCs w:val="24"/>
        </w:rPr>
        <w:t>Kolawole et al. (2023)</w:t>
      </w:r>
      <w:r w:rsidRPr="00F11BCA">
        <w:rPr>
          <w:rFonts w:ascii="Times New Roman" w:eastAsia="Times New Roman" w:hAnsi="Times New Roman" w:cs="Times New Roman"/>
          <w:sz w:val="24"/>
          <w:szCs w:val="24"/>
        </w:rPr>
        <w:t xml:space="preserve"> explored the impact of environmental accounting practices, including waste management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 xml:space="preserve">s, on the financial performance of Nigerian aviation firms. The study's objective was to analyze the specific effects of environmental research and development, pollution control policy, and waste management on profitability. Utilizing an </w:t>
      </w:r>
      <w:r w:rsidRPr="00F11BCA">
        <w:rPr>
          <w:rFonts w:ascii="Times New Roman" w:eastAsia="Times New Roman" w:hAnsi="Times New Roman" w:cs="Times New Roman"/>
          <w:bCs/>
          <w:sz w:val="24"/>
          <w:szCs w:val="24"/>
        </w:rPr>
        <w:t>ex-post facto research design</w:t>
      </w:r>
      <w:r w:rsidRPr="00F11BCA">
        <w:rPr>
          <w:rFonts w:ascii="Times New Roman" w:eastAsia="Times New Roman" w:hAnsi="Times New Roman" w:cs="Times New Roman"/>
          <w:sz w:val="24"/>
          <w:szCs w:val="24"/>
        </w:rPr>
        <w:t xml:space="preserve">, the authors conducted a census of all five aviation firms listed on the Nigerian Exchange Group from 2016 to 2021. The study employed </w:t>
      </w:r>
      <w:r w:rsidRPr="00F11BCA">
        <w:rPr>
          <w:rFonts w:ascii="Times New Roman" w:eastAsia="Times New Roman" w:hAnsi="Times New Roman" w:cs="Times New Roman"/>
          <w:bCs/>
          <w:sz w:val="24"/>
          <w:szCs w:val="24"/>
        </w:rPr>
        <w:t>OLS regression analysis</w:t>
      </w:r>
      <w:r w:rsidRPr="00F11BCA">
        <w:rPr>
          <w:rFonts w:ascii="Times New Roman" w:eastAsia="Times New Roman" w:hAnsi="Times New Roman" w:cs="Times New Roman"/>
          <w:sz w:val="24"/>
          <w:szCs w:val="24"/>
        </w:rPr>
        <w:t xml:space="preserve"> on secondary data from published annual reports. Interestingly, the findings showed that environmental waste management had a </w:t>
      </w:r>
      <w:r w:rsidRPr="00F11BCA">
        <w:rPr>
          <w:rFonts w:ascii="Times New Roman" w:eastAsia="Times New Roman" w:hAnsi="Times New Roman" w:cs="Times New Roman"/>
          <w:bCs/>
          <w:sz w:val="24"/>
          <w:szCs w:val="24"/>
        </w:rPr>
        <w:t>negative and statistically significant effect</w:t>
      </w:r>
      <w:r w:rsidRPr="00F11BCA">
        <w:rPr>
          <w:rFonts w:ascii="Times New Roman" w:eastAsia="Times New Roman" w:hAnsi="Times New Roman" w:cs="Times New Roman"/>
          <w:sz w:val="24"/>
          <w:szCs w:val="24"/>
        </w:rPr>
        <w:t xml:space="preserve"> on ROA, while pollution control policy had a </w:t>
      </w:r>
      <w:r w:rsidRPr="00F11BCA">
        <w:rPr>
          <w:rFonts w:ascii="Times New Roman" w:eastAsia="Times New Roman" w:hAnsi="Times New Roman" w:cs="Times New Roman"/>
          <w:bCs/>
          <w:sz w:val="24"/>
          <w:szCs w:val="24"/>
        </w:rPr>
        <w:t>positive effect</w:t>
      </w:r>
      <w:r w:rsidRPr="00F11BCA">
        <w:rPr>
          <w:rFonts w:ascii="Times New Roman" w:eastAsia="Times New Roman" w:hAnsi="Times New Roman" w:cs="Times New Roman"/>
          <w:sz w:val="24"/>
          <w:szCs w:val="24"/>
        </w:rPr>
        <w:t>, suggesting that not all environmental practices uniformly enhance financial performance and that implementation costs may offset immediate financial gains.</w:t>
      </w:r>
      <w:r w:rsidR="009A2964">
        <w:rPr>
          <w:rFonts w:ascii="Times New Roman" w:eastAsia="Times New Roman" w:hAnsi="Times New Roman" w:cs="Times New Roman"/>
          <w:sz w:val="24"/>
          <w:szCs w:val="24"/>
        </w:rPr>
        <w:t xml:space="preserve"> </w:t>
      </w:r>
      <w:r w:rsidRPr="00F11BCA">
        <w:rPr>
          <w:rFonts w:ascii="Times New Roman" w:eastAsia="Times New Roman" w:hAnsi="Times New Roman" w:cs="Times New Roman"/>
          <w:sz w:val="24"/>
          <w:szCs w:val="24"/>
        </w:rPr>
        <w:t xml:space="preserve">Finally, </w:t>
      </w:r>
      <w:r w:rsidRPr="00F11BCA">
        <w:rPr>
          <w:rFonts w:ascii="Times New Roman" w:eastAsia="Times New Roman" w:hAnsi="Times New Roman" w:cs="Times New Roman"/>
          <w:bCs/>
          <w:sz w:val="24"/>
          <w:szCs w:val="24"/>
        </w:rPr>
        <w:t>Ibrahim et al. (2023)</w:t>
      </w:r>
      <w:r w:rsidRPr="00F11BCA">
        <w:rPr>
          <w:rFonts w:ascii="Times New Roman" w:eastAsia="Times New Roman" w:hAnsi="Times New Roman" w:cs="Times New Roman"/>
          <w:sz w:val="24"/>
          <w:szCs w:val="24"/>
        </w:rPr>
        <w:t xml:space="preserve"> aimed to evaluate how environmental reporting affected the financial performance of listed industrial and consumer goods firms in Nigeria over a ten-year period (2012–2021). The study adopted a </w:t>
      </w:r>
      <w:r w:rsidRPr="00F11BCA">
        <w:rPr>
          <w:rFonts w:ascii="Times New Roman" w:eastAsia="Times New Roman" w:hAnsi="Times New Roman" w:cs="Times New Roman"/>
          <w:bCs/>
          <w:sz w:val="24"/>
          <w:szCs w:val="24"/>
        </w:rPr>
        <w:t>quantitative research design</w:t>
      </w:r>
      <w:r w:rsidRPr="00F11BCA">
        <w:rPr>
          <w:rFonts w:ascii="Times New Roman" w:eastAsia="Times New Roman" w:hAnsi="Times New Roman" w:cs="Times New Roman"/>
          <w:sz w:val="24"/>
          <w:szCs w:val="24"/>
        </w:rPr>
        <w:t xml:space="preserve"> using secondary data extracted from annual reports of 11 firms that consistently disclosed environmental data during the study period. Environmental performance was measured using an index based on ISO 14031 standards, and ROA was used as the financial performance metric. The findings revealed a </w:t>
      </w:r>
      <w:r w:rsidRPr="00F11BCA">
        <w:rPr>
          <w:rFonts w:ascii="Times New Roman" w:eastAsia="Times New Roman" w:hAnsi="Times New Roman" w:cs="Times New Roman"/>
          <w:bCs/>
          <w:sz w:val="24"/>
          <w:szCs w:val="24"/>
        </w:rPr>
        <w:t>negative significant effect</w:t>
      </w:r>
      <w:r w:rsidRPr="00F11BCA">
        <w:rPr>
          <w:rFonts w:ascii="Times New Roman" w:eastAsia="Times New Roman" w:hAnsi="Times New Roman" w:cs="Times New Roman"/>
          <w:sz w:val="24"/>
          <w:szCs w:val="24"/>
        </w:rPr>
        <w:t xml:space="preserve"> of environmental reporting on ROA, indicating that while firms are increasingly disclosing environmental practices, such </w:t>
      </w:r>
      <w:r w:rsidR="001E4E58">
        <w:rPr>
          <w:rFonts w:ascii="Times New Roman" w:eastAsia="Times New Roman" w:hAnsi="Times New Roman" w:cs="Times New Roman"/>
          <w:sz w:val="24"/>
          <w:szCs w:val="24"/>
        </w:rPr>
        <w:t xml:space="preserve"> practice</w:t>
      </w:r>
      <w:r w:rsidRPr="00F11BCA">
        <w:rPr>
          <w:rFonts w:ascii="Times New Roman" w:eastAsia="Times New Roman" w:hAnsi="Times New Roman" w:cs="Times New Roman"/>
          <w:sz w:val="24"/>
          <w:szCs w:val="24"/>
        </w:rPr>
        <w:t>s may initially incur compliance costs that reduce profitability. Nonetheless, the study affirmed that environmental reporting remains influential to financial outcomes in the long run.</w:t>
      </w:r>
    </w:p>
    <w:p w14:paraId="1D05BC97" w14:textId="795C5120" w:rsidR="00E57B83" w:rsidRPr="002E4D53" w:rsidRDefault="009A2964" w:rsidP="00E57B83">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w:t>
      </w:r>
      <w:r w:rsidR="00E57B83" w:rsidRPr="002E4D53">
        <w:rPr>
          <w:rFonts w:ascii="Times New Roman" w:eastAsia="Times New Roman" w:hAnsi="Times New Roman" w:cs="Times New Roman"/>
          <w:b/>
          <w:sz w:val="24"/>
          <w:szCs w:val="24"/>
        </w:rPr>
        <w:t xml:space="preserve"> Gap </w:t>
      </w:r>
    </w:p>
    <w:p w14:paraId="7E88907D" w14:textId="17D678BA" w:rsidR="00E57B83" w:rsidRPr="002E4D53" w:rsidRDefault="00E57B83" w:rsidP="00E57B83">
      <w:pPr>
        <w:spacing w:before="100" w:beforeAutospacing="1" w:after="100" w:afterAutospacing="1" w:line="276" w:lineRule="auto"/>
        <w:jc w:val="both"/>
        <w:rPr>
          <w:rFonts w:ascii="Times New Roman" w:eastAsia="Times New Roman" w:hAnsi="Times New Roman" w:cs="Times New Roman"/>
          <w:sz w:val="24"/>
          <w:szCs w:val="24"/>
        </w:rPr>
      </w:pPr>
      <w:r w:rsidRPr="002E4D53">
        <w:rPr>
          <w:rFonts w:ascii="Times New Roman" w:eastAsia="Times New Roman" w:hAnsi="Times New Roman" w:cs="Times New Roman"/>
          <w:sz w:val="24"/>
          <w:szCs w:val="24"/>
        </w:rPr>
        <w:t>Despite growing interest in the relationship between environmental waste management</w:t>
      </w:r>
      <w:r w:rsidR="00FD7697">
        <w:rPr>
          <w:rFonts w:ascii="Times New Roman" w:eastAsia="Times New Roman" w:hAnsi="Times New Roman" w:cs="Times New Roman"/>
          <w:sz w:val="24"/>
          <w:szCs w:val="24"/>
        </w:rPr>
        <w:t xml:space="preserve"> practice </w:t>
      </w:r>
      <w:r w:rsidRPr="002E4D53">
        <w:rPr>
          <w:rFonts w:ascii="Times New Roman" w:eastAsia="Times New Roman" w:hAnsi="Times New Roman" w:cs="Times New Roman"/>
          <w:sz w:val="24"/>
          <w:szCs w:val="24"/>
        </w:rPr>
        <w:t>and financial performance, several gaps remain in the extant literature. First, most prior studies have focused predominantly on industrial, manufacturing, and aviation sectors (e.g., Jafari &amp; Nikbakht, 2023; Kolawole et al., 2023; Liu &amp; Wang, 2023), with limited emphasis on consumer goods and agricultural sectors, thereby creating a sectoral gap in the literature. Methodologically, previous studies have largely employed cross-sectional designs or descriptive methods with short-</w:t>
      </w:r>
      <w:r w:rsidRPr="002E4D53">
        <w:rPr>
          <w:rFonts w:ascii="Times New Roman" w:eastAsia="Times New Roman" w:hAnsi="Times New Roman" w:cs="Times New Roman"/>
          <w:sz w:val="24"/>
          <w:szCs w:val="24"/>
        </w:rPr>
        <w:lastRenderedPageBreak/>
        <w:t>term data (</w:t>
      </w:r>
      <w:proofErr w:type="spellStart"/>
      <w:r w:rsidRPr="002E4D53">
        <w:rPr>
          <w:rFonts w:ascii="Times New Roman" w:eastAsia="Times New Roman" w:hAnsi="Times New Roman" w:cs="Times New Roman"/>
          <w:sz w:val="24"/>
          <w:szCs w:val="24"/>
        </w:rPr>
        <w:t>Nurshabrina</w:t>
      </w:r>
      <w:proofErr w:type="spellEnd"/>
      <w:r w:rsidRPr="002E4D53">
        <w:rPr>
          <w:rFonts w:ascii="Times New Roman" w:eastAsia="Times New Roman" w:hAnsi="Times New Roman" w:cs="Times New Roman"/>
          <w:sz w:val="24"/>
          <w:szCs w:val="24"/>
        </w:rPr>
        <w:t xml:space="preserve"> et al., 2024; Ibrahim et al., 2023), lacking robust longitudinal or panel data techniques that could provide deeper causal inferences. Thus, the existing literature is limited by a lack of comprehensive analysis integrating sectoral diversity, Nigerian-specific evidence, and advanced empirical techniques.</w:t>
      </w:r>
      <w:r w:rsidR="009A2964">
        <w:rPr>
          <w:rFonts w:ascii="Times New Roman" w:eastAsia="Times New Roman" w:hAnsi="Times New Roman" w:cs="Times New Roman"/>
          <w:sz w:val="24"/>
          <w:szCs w:val="24"/>
        </w:rPr>
        <w:t xml:space="preserve"> </w:t>
      </w:r>
      <w:r w:rsidRPr="002E4D53">
        <w:rPr>
          <w:rFonts w:ascii="Times New Roman" w:eastAsia="Times New Roman" w:hAnsi="Times New Roman" w:cs="Times New Roman"/>
          <w:sz w:val="24"/>
          <w:szCs w:val="24"/>
        </w:rPr>
        <w:t>This study contributes to the existing body of knowledge by addressing these identified gaps. It focuses specifically on the listed industrial and consumer goods firms in Nigeria, thereby filling the sectoral and geographical gaps. Furthermore, the study employs a panel data approach over a ten-year period, enhancing the methodological rigor and enabling a more robust investigation of the causal relationship between environmental waste management</w:t>
      </w:r>
      <w:r w:rsidR="00FD7697">
        <w:rPr>
          <w:rFonts w:ascii="Times New Roman" w:eastAsia="Times New Roman" w:hAnsi="Times New Roman" w:cs="Times New Roman"/>
          <w:sz w:val="24"/>
          <w:szCs w:val="24"/>
        </w:rPr>
        <w:t xml:space="preserve"> practice </w:t>
      </w:r>
      <w:r w:rsidRPr="002E4D53">
        <w:rPr>
          <w:rFonts w:ascii="Times New Roman" w:eastAsia="Times New Roman" w:hAnsi="Times New Roman" w:cs="Times New Roman"/>
          <w:sz w:val="24"/>
          <w:szCs w:val="24"/>
        </w:rPr>
        <w:t>and financial performance. By bridging these gaps, the research provides contextualized insights that can inform corporate sustainability strategies, policy development, and investor decision-making in Nigeria's non-financial sectors</w:t>
      </w:r>
    </w:p>
    <w:p w14:paraId="581BFC41" w14:textId="77777777" w:rsidR="00E57B83" w:rsidRDefault="00E57B83" w:rsidP="00E57B83">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Methodology </w:t>
      </w:r>
    </w:p>
    <w:p w14:paraId="44A9209B" w14:textId="1435A190" w:rsidR="00D95B31" w:rsidRPr="00D95B31" w:rsidRDefault="00D95B31" w:rsidP="00D95B31">
      <w:pPr>
        <w:spacing w:before="100" w:beforeAutospacing="1" w:after="100" w:afterAutospacing="1" w:line="240" w:lineRule="auto"/>
        <w:jc w:val="both"/>
        <w:outlineLvl w:val="2"/>
        <w:rPr>
          <w:rFonts w:ascii="Times New Roman" w:hAnsi="Times New Roman" w:cs="Times New Roman"/>
          <w:sz w:val="24"/>
          <w:szCs w:val="24"/>
        </w:rPr>
      </w:pPr>
      <w:r w:rsidRPr="00D95B31">
        <w:rPr>
          <w:rFonts w:ascii="Times New Roman" w:hAnsi="Times New Roman" w:cs="Times New Roman"/>
          <w:sz w:val="24"/>
          <w:szCs w:val="24"/>
        </w:rPr>
        <w:t>The study population comprised all 65 manufacturing firms listed on the Nigerian Exchange Group (NGX) as of December 202</w:t>
      </w:r>
      <w:r w:rsidR="00173902">
        <w:rPr>
          <w:rFonts w:ascii="Times New Roman" w:hAnsi="Times New Roman" w:cs="Times New Roman"/>
          <w:sz w:val="24"/>
          <w:szCs w:val="24"/>
        </w:rPr>
        <w:t>5</w:t>
      </w:r>
      <w:r w:rsidRPr="00D95B31">
        <w:rPr>
          <w:rFonts w:ascii="Times New Roman" w:hAnsi="Times New Roman" w:cs="Times New Roman"/>
          <w:sz w:val="24"/>
          <w:szCs w:val="24"/>
        </w:rPr>
        <w:t>, spanning sectors such as Consumer Goods, Industrial Goods, and Agriculture. From this population, 10 firms</w:t>
      </w:r>
      <w:r w:rsidR="009A2964">
        <w:rPr>
          <w:rFonts w:ascii="Times New Roman" w:hAnsi="Times New Roman" w:cs="Times New Roman"/>
          <w:sz w:val="24"/>
          <w:szCs w:val="24"/>
        </w:rPr>
        <w:t xml:space="preserve">: </w:t>
      </w:r>
      <w:r w:rsidRPr="00D95B31">
        <w:rPr>
          <w:rFonts w:ascii="Times New Roman" w:hAnsi="Times New Roman" w:cs="Times New Roman"/>
          <w:sz w:val="24"/>
          <w:szCs w:val="24"/>
        </w:rPr>
        <w:t xml:space="preserve">Nestle Nigeria Plc, Dangote Sugar Refinery Plc, Cadbury Nigeria Plc, Nigerian Breweries Plc, Flour Mills Nigeria Plc, Guinness Nigeria Plc, Lafarge Africa Plc, BUA Cement Plc, </w:t>
      </w:r>
      <w:proofErr w:type="spellStart"/>
      <w:r w:rsidRPr="00D95B31">
        <w:rPr>
          <w:rFonts w:ascii="Times New Roman" w:hAnsi="Times New Roman" w:cs="Times New Roman"/>
          <w:sz w:val="24"/>
          <w:szCs w:val="24"/>
        </w:rPr>
        <w:t>Pre</w:t>
      </w:r>
      <w:r>
        <w:rPr>
          <w:rFonts w:ascii="Times New Roman" w:hAnsi="Times New Roman" w:cs="Times New Roman"/>
          <w:sz w:val="24"/>
          <w:szCs w:val="24"/>
        </w:rPr>
        <w:t>sco</w:t>
      </w:r>
      <w:proofErr w:type="spellEnd"/>
      <w:r>
        <w:rPr>
          <w:rFonts w:ascii="Times New Roman" w:hAnsi="Times New Roman" w:cs="Times New Roman"/>
          <w:sz w:val="24"/>
          <w:szCs w:val="24"/>
        </w:rPr>
        <w:t xml:space="preserve"> Plc, and </w:t>
      </w:r>
      <w:proofErr w:type="spellStart"/>
      <w:r>
        <w:rPr>
          <w:rFonts w:ascii="Times New Roman" w:hAnsi="Times New Roman" w:cs="Times New Roman"/>
          <w:sz w:val="24"/>
          <w:szCs w:val="24"/>
        </w:rPr>
        <w:t>Okomu</w:t>
      </w:r>
      <w:proofErr w:type="spellEnd"/>
      <w:r>
        <w:rPr>
          <w:rFonts w:ascii="Times New Roman" w:hAnsi="Times New Roman" w:cs="Times New Roman"/>
          <w:sz w:val="24"/>
          <w:szCs w:val="24"/>
        </w:rPr>
        <w:t xml:space="preserve"> Oil Palm Plc </w:t>
      </w:r>
      <w:r w:rsidRPr="00D95B31">
        <w:rPr>
          <w:rFonts w:ascii="Times New Roman" w:hAnsi="Times New Roman" w:cs="Times New Roman"/>
          <w:sz w:val="24"/>
          <w:szCs w:val="24"/>
        </w:rPr>
        <w:t>were purposively selected based on the availability of complete and uninterrupted financial data over a 15-year period (20</w:t>
      </w:r>
      <w:r w:rsidR="009A2964">
        <w:rPr>
          <w:rFonts w:ascii="Times New Roman" w:hAnsi="Times New Roman" w:cs="Times New Roman"/>
          <w:sz w:val="24"/>
          <w:szCs w:val="24"/>
        </w:rPr>
        <w:t>10</w:t>
      </w:r>
      <w:r w:rsidRPr="00D95B31">
        <w:rPr>
          <w:rFonts w:ascii="Times New Roman" w:hAnsi="Times New Roman" w:cs="Times New Roman"/>
          <w:sz w:val="24"/>
          <w:szCs w:val="24"/>
        </w:rPr>
        <w:t>–20</w:t>
      </w:r>
      <w:r w:rsidR="009A2964">
        <w:rPr>
          <w:rFonts w:ascii="Times New Roman" w:hAnsi="Times New Roman" w:cs="Times New Roman"/>
          <w:sz w:val="24"/>
          <w:szCs w:val="24"/>
        </w:rPr>
        <w:t>25</w:t>
      </w:r>
      <w:r w:rsidRPr="00D95B31">
        <w:rPr>
          <w:rFonts w:ascii="Times New Roman" w:hAnsi="Times New Roman" w:cs="Times New Roman"/>
          <w:sz w:val="24"/>
          <w:szCs w:val="24"/>
        </w:rPr>
        <w:t xml:space="preserve">). This sampling ensured the inclusion of firms with consistent data relevant to environmental </w:t>
      </w:r>
      <w:r w:rsidR="001E4E58">
        <w:rPr>
          <w:rFonts w:ascii="Times New Roman" w:hAnsi="Times New Roman" w:cs="Times New Roman"/>
          <w:sz w:val="24"/>
          <w:szCs w:val="24"/>
        </w:rPr>
        <w:t xml:space="preserve"> practice</w:t>
      </w:r>
      <w:r w:rsidRPr="00D95B31">
        <w:rPr>
          <w:rFonts w:ascii="Times New Roman" w:hAnsi="Times New Roman" w:cs="Times New Roman"/>
          <w:sz w:val="24"/>
          <w:szCs w:val="24"/>
        </w:rPr>
        <w:t xml:space="preserve">s and financial performance. The study adopted a correlation research design to investigate the relationship between environmental waste management and pollution control </w:t>
      </w:r>
      <w:r w:rsidR="001E4E58">
        <w:rPr>
          <w:rFonts w:ascii="Times New Roman" w:hAnsi="Times New Roman" w:cs="Times New Roman"/>
          <w:sz w:val="24"/>
          <w:szCs w:val="24"/>
        </w:rPr>
        <w:t xml:space="preserve"> practice</w:t>
      </w:r>
      <w:r w:rsidRPr="00D95B31">
        <w:rPr>
          <w:rFonts w:ascii="Times New Roman" w:hAnsi="Times New Roman" w:cs="Times New Roman"/>
          <w:sz w:val="24"/>
          <w:szCs w:val="24"/>
        </w:rPr>
        <w:t>s and firm performance. Secondary data were manually extracted from annual financial reports to enhance accuracy. Both correlation analysis and panel regress</w:t>
      </w:r>
      <w:r>
        <w:rPr>
          <w:rFonts w:ascii="Times New Roman" w:hAnsi="Times New Roman" w:cs="Times New Roman"/>
          <w:sz w:val="24"/>
          <w:szCs w:val="24"/>
        </w:rPr>
        <w:t xml:space="preserve">ion analysis </w:t>
      </w:r>
      <w:r w:rsidRPr="00D95B31">
        <w:rPr>
          <w:rFonts w:ascii="Times New Roman" w:hAnsi="Times New Roman" w:cs="Times New Roman"/>
          <w:sz w:val="24"/>
          <w:szCs w:val="24"/>
        </w:rPr>
        <w:t xml:space="preserve"> were employed, enabling the study to explore the strength and direction of associations as well as to model the long-term effects of environmental</w:t>
      </w:r>
      <w:r w:rsidR="00FD7697">
        <w:rPr>
          <w:rFonts w:ascii="Times New Roman" w:hAnsi="Times New Roman" w:cs="Times New Roman"/>
          <w:sz w:val="24"/>
          <w:szCs w:val="24"/>
        </w:rPr>
        <w:t xml:space="preserve"> practice </w:t>
      </w:r>
      <w:r w:rsidRPr="00D95B31">
        <w:rPr>
          <w:rFonts w:ascii="Times New Roman" w:hAnsi="Times New Roman" w:cs="Times New Roman"/>
          <w:sz w:val="24"/>
          <w:szCs w:val="24"/>
        </w:rPr>
        <w:t>practices. The use of panel data analysis further allowed for the integration of cross-sectional and time-series dimensions, offering a comprehensive assessment of trends within Nigeria’s manufacturing sector</w:t>
      </w:r>
    </w:p>
    <w:p w14:paraId="2754AFBB" w14:textId="77777777" w:rsidR="00E57B83" w:rsidRPr="00E538F7" w:rsidRDefault="00E57B83" w:rsidP="00E57B83">
      <w:pPr>
        <w:spacing w:before="100" w:beforeAutospacing="1" w:after="100" w:afterAutospacing="1" w:line="240" w:lineRule="auto"/>
        <w:outlineLvl w:val="2"/>
        <w:rPr>
          <w:rFonts w:ascii="Times New Roman" w:eastAsia="Times New Roman" w:hAnsi="Times New Roman" w:cs="Times New Roman"/>
          <w:b/>
          <w:bCs/>
          <w:sz w:val="24"/>
          <w:szCs w:val="24"/>
        </w:rPr>
      </w:pPr>
      <w:r w:rsidRPr="00E538F7">
        <w:rPr>
          <w:rFonts w:ascii="Times New Roman" w:eastAsia="Times New Roman" w:hAnsi="Times New Roman" w:cs="Times New Roman"/>
          <w:b/>
          <w:bCs/>
          <w:sz w:val="24"/>
          <w:szCs w:val="24"/>
        </w:rPr>
        <w:t>Model Specification</w:t>
      </w:r>
    </w:p>
    <w:p w14:paraId="76E64F1B" w14:textId="442374C2" w:rsidR="00E57B83" w:rsidRPr="00173902" w:rsidRDefault="00E57B83" w:rsidP="00E57B83">
      <w:pPr>
        <w:autoSpaceDE w:val="0"/>
        <w:autoSpaceDN w:val="0"/>
        <w:adjustRightInd w:val="0"/>
        <w:spacing w:before="100" w:after="100" w:line="240" w:lineRule="auto"/>
        <w:jc w:val="both"/>
        <w:rPr>
          <w:rFonts w:ascii="Times New Roman" w:hAnsi="Times New Roman" w:cs="Times New Roman"/>
          <w:sz w:val="24"/>
          <w:szCs w:val="24"/>
        </w:rPr>
      </w:pPr>
      <w:r w:rsidRPr="00173902">
        <w:rPr>
          <w:rFonts w:ascii="Times New Roman" w:hAnsi="Times New Roman" w:cs="Times New Roman"/>
          <w:sz w:val="24"/>
          <w:szCs w:val="24"/>
        </w:rPr>
        <w:t xml:space="preserve">This study adopts </w:t>
      </w:r>
      <w:r w:rsidR="00173902" w:rsidRPr="00173902">
        <w:rPr>
          <w:rFonts w:ascii="Times New Roman" w:hAnsi="Times New Roman" w:cs="Times New Roman"/>
          <w:sz w:val="24"/>
          <w:szCs w:val="24"/>
        </w:rPr>
        <w:t xml:space="preserve">Panel regression </w:t>
      </w:r>
      <w:r w:rsidRPr="00173902">
        <w:rPr>
          <w:rFonts w:ascii="Times New Roman" w:hAnsi="Times New Roman" w:cs="Times New Roman"/>
          <w:sz w:val="24"/>
          <w:szCs w:val="24"/>
        </w:rPr>
        <w:t xml:space="preserve"> model to empirically examine the impact of green </w:t>
      </w:r>
      <w:r w:rsidR="00FD7697">
        <w:rPr>
          <w:rFonts w:ascii="Times New Roman" w:hAnsi="Times New Roman" w:cs="Times New Roman"/>
          <w:sz w:val="24"/>
          <w:szCs w:val="24"/>
        </w:rPr>
        <w:t xml:space="preserve">accounting practice </w:t>
      </w:r>
      <w:r w:rsidRPr="00173902">
        <w:rPr>
          <w:rFonts w:ascii="Times New Roman" w:hAnsi="Times New Roman" w:cs="Times New Roman"/>
          <w:sz w:val="24"/>
          <w:szCs w:val="24"/>
        </w:rPr>
        <w:t xml:space="preserve">measured in term of environmental waste management and pollution control </w:t>
      </w:r>
      <w:r w:rsidR="001E4E58" w:rsidRPr="00173902">
        <w:rPr>
          <w:rFonts w:ascii="Times New Roman" w:hAnsi="Times New Roman" w:cs="Times New Roman"/>
          <w:sz w:val="24"/>
          <w:szCs w:val="24"/>
        </w:rPr>
        <w:t xml:space="preserve"> practice</w:t>
      </w:r>
      <w:r w:rsidRPr="00173902">
        <w:rPr>
          <w:rFonts w:ascii="Times New Roman" w:hAnsi="Times New Roman" w:cs="Times New Roman"/>
          <w:sz w:val="24"/>
          <w:szCs w:val="24"/>
        </w:rPr>
        <w:t xml:space="preserve">s on the financial performance of listed industrial firms in Nigeria. The use of this model aligns with the study’s objective to provide evidence-based insights into the extent to which environmental accountability contributes to or detracts from profitability, thereby guiding policymakers, stakeholders, and firm managers in making informed decisions regarding sustainable investment strategies. This linear model is formulated below : </w:t>
      </w:r>
    </w:p>
    <w:p w14:paraId="7C75A528" w14:textId="77777777" w:rsidR="00E57B83" w:rsidRPr="00173902" w:rsidRDefault="00E57B83" w:rsidP="00E57B83">
      <w:pPr>
        <w:shd w:val="clear" w:color="auto" w:fill="FFFFFF"/>
        <w:spacing w:after="120" w:line="240" w:lineRule="auto"/>
        <w:rPr>
          <w:rFonts w:ascii="Times New Roman" w:eastAsia="Times New Roman" w:hAnsi="Times New Roman" w:cs="Times New Roman"/>
          <w:color w:val="101112"/>
          <w:sz w:val="24"/>
          <w:szCs w:val="24"/>
        </w:rPr>
      </w:pPr>
      <w:proofErr w:type="spellStart"/>
      <w:r w:rsidRPr="00173902">
        <w:rPr>
          <w:rFonts w:ascii="Times New Roman" w:eastAsia="Times New Roman" w:hAnsi="Times New Roman" w:cs="Times New Roman"/>
          <w:color w:val="101112"/>
          <w:sz w:val="24"/>
          <w:szCs w:val="24"/>
        </w:rPr>
        <w:t>ROAit</w:t>
      </w:r>
      <w:proofErr w:type="spellEnd"/>
      <w:r w:rsidRPr="00173902">
        <w:rPr>
          <w:rFonts w:ascii="Times New Roman" w:eastAsia="Times New Roman" w:hAnsi="Times New Roman" w:cs="Times New Roman"/>
          <w:color w:val="101112"/>
          <w:sz w:val="24"/>
          <w:szCs w:val="24"/>
        </w:rPr>
        <w:t xml:space="preserve"> = β0 + β1(</w:t>
      </w:r>
      <w:proofErr w:type="spellStart"/>
      <w:r w:rsidRPr="00173902">
        <w:rPr>
          <w:rFonts w:ascii="Times New Roman" w:eastAsia="Times New Roman" w:hAnsi="Times New Roman" w:cs="Times New Roman"/>
          <w:color w:val="101112"/>
          <w:sz w:val="24"/>
          <w:szCs w:val="24"/>
        </w:rPr>
        <w:t>WMEit</w:t>
      </w:r>
      <w:proofErr w:type="spellEnd"/>
      <w:r w:rsidRPr="00173902">
        <w:rPr>
          <w:rFonts w:ascii="Times New Roman" w:eastAsia="Times New Roman" w:hAnsi="Times New Roman" w:cs="Times New Roman"/>
          <w:color w:val="101112"/>
          <w:sz w:val="24"/>
          <w:szCs w:val="24"/>
        </w:rPr>
        <w:t>) + β2(</w:t>
      </w:r>
      <w:proofErr w:type="spellStart"/>
      <w:r w:rsidRPr="00173902">
        <w:rPr>
          <w:rFonts w:ascii="Times New Roman" w:eastAsia="Times New Roman" w:hAnsi="Times New Roman" w:cs="Times New Roman"/>
          <w:color w:val="101112"/>
          <w:sz w:val="24"/>
          <w:szCs w:val="24"/>
        </w:rPr>
        <w:t>CIWTFit</w:t>
      </w:r>
      <w:proofErr w:type="spellEnd"/>
      <w:r w:rsidRPr="00173902">
        <w:rPr>
          <w:rFonts w:ascii="Times New Roman" w:eastAsia="Times New Roman" w:hAnsi="Times New Roman" w:cs="Times New Roman"/>
          <w:color w:val="101112"/>
          <w:sz w:val="24"/>
          <w:szCs w:val="24"/>
        </w:rPr>
        <w:t>) + β3(</w:t>
      </w:r>
      <w:proofErr w:type="spellStart"/>
      <w:r w:rsidRPr="00173902">
        <w:rPr>
          <w:rFonts w:ascii="Times New Roman" w:eastAsia="Times New Roman" w:hAnsi="Times New Roman" w:cs="Times New Roman"/>
          <w:color w:val="101112"/>
          <w:sz w:val="24"/>
          <w:szCs w:val="24"/>
        </w:rPr>
        <w:t>FPWMit</w:t>
      </w:r>
      <w:proofErr w:type="spellEnd"/>
      <w:r w:rsidRPr="00173902">
        <w:rPr>
          <w:rFonts w:ascii="Times New Roman" w:eastAsia="Times New Roman" w:hAnsi="Times New Roman" w:cs="Times New Roman"/>
          <w:color w:val="101112"/>
          <w:sz w:val="24"/>
          <w:szCs w:val="24"/>
        </w:rPr>
        <w:t>) + β4(</w:t>
      </w:r>
      <w:proofErr w:type="spellStart"/>
      <w:r w:rsidRPr="00173902">
        <w:rPr>
          <w:rFonts w:ascii="Times New Roman" w:eastAsia="Times New Roman" w:hAnsi="Times New Roman" w:cs="Times New Roman"/>
          <w:color w:val="101112"/>
          <w:sz w:val="24"/>
          <w:szCs w:val="24"/>
        </w:rPr>
        <w:t>PCEit</w:t>
      </w:r>
      <w:proofErr w:type="spellEnd"/>
      <w:r w:rsidRPr="00173902">
        <w:rPr>
          <w:rFonts w:ascii="Times New Roman" w:eastAsia="Times New Roman" w:hAnsi="Times New Roman" w:cs="Times New Roman"/>
          <w:color w:val="101112"/>
          <w:sz w:val="24"/>
          <w:szCs w:val="24"/>
        </w:rPr>
        <w:t>) + β5(</w:t>
      </w:r>
      <w:proofErr w:type="spellStart"/>
      <w:r w:rsidRPr="00173902">
        <w:rPr>
          <w:rFonts w:ascii="Times New Roman" w:eastAsia="Times New Roman" w:hAnsi="Times New Roman" w:cs="Times New Roman"/>
          <w:color w:val="101112"/>
          <w:sz w:val="24"/>
          <w:szCs w:val="24"/>
        </w:rPr>
        <w:t>CEPCit</w:t>
      </w:r>
      <w:proofErr w:type="spellEnd"/>
      <w:r w:rsidRPr="00173902">
        <w:rPr>
          <w:rFonts w:ascii="Times New Roman" w:eastAsia="Times New Roman" w:hAnsi="Times New Roman" w:cs="Times New Roman"/>
          <w:color w:val="101112"/>
          <w:sz w:val="24"/>
          <w:szCs w:val="24"/>
        </w:rPr>
        <w:t>) + β6(</w:t>
      </w:r>
      <w:proofErr w:type="spellStart"/>
      <w:r w:rsidRPr="00173902">
        <w:rPr>
          <w:rFonts w:ascii="Times New Roman" w:eastAsia="Times New Roman" w:hAnsi="Times New Roman" w:cs="Times New Roman"/>
          <w:color w:val="101112"/>
          <w:sz w:val="24"/>
          <w:szCs w:val="24"/>
        </w:rPr>
        <w:t>ERPit</w:t>
      </w:r>
      <w:proofErr w:type="spellEnd"/>
      <w:r w:rsidRPr="00173902">
        <w:rPr>
          <w:rFonts w:ascii="Times New Roman" w:eastAsia="Times New Roman" w:hAnsi="Times New Roman" w:cs="Times New Roman"/>
          <w:color w:val="101112"/>
          <w:sz w:val="24"/>
          <w:szCs w:val="24"/>
        </w:rPr>
        <w:t xml:space="preserve">) + </w:t>
      </w:r>
      <w:proofErr w:type="spellStart"/>
      <w:r w:rsidRPr="00173902">
        <w:rPr>
          <w:rFonts w:ascii="Times New Roman" w:eastAsia="Times New Roman" w:hAnsi="Times New Roman" w:cs="Times New Roman"/>
          <w:color w:val="101112"/>
          <w:sz w:val="24"/>
          <w:szCs w:val="24"/>
        </w:rPr>
        <w:t>εit</w:t>
      </w:r>
      <w:proofErr w:type="spellEnd"/>
    </w:p>
    <w:p w14:paraId="484DF487" w14:textId="77777777" w:rsidR="00E57B83" w:rsidRPr="00173902" w:rsidRDefault="00E57B83" w:rsidP="00E57B83">
      <w:pPr>
        <w:ind w:left="360"/>
        <w:rPr>
          <w:rFonts w:ascii="Times New Roman" w:eastAsia="Times New Roman" w:hAnsi="Times New Roman" w:cs="Times New Roman"/>
          <w:sz w:val="24"/>
          <w:szCs w:val="24"/>
        </w:rPr>
      </w:pPr>
      <w:r w:rsidRPr="00173902">
        <w:rPr>
          <w:rFonts w:ascii="Times New Roman" w:eastAsia="Times New Roman" w:hAnsi="Times New Roman" w:cs="Times New Roman"/>
          <w:sz w:val="24"/>
          <w:szCs w:val="24"/>
        </w:rPr>
        <w:t>Where:</w:t>
      </w:r>
    </w:p>
    <w:p w14:paraId="71AAC8C4"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ROA</w:t>
      </w:r>
      <w:r w:rsidRPr="00D77724">
        <w:rPr>
          <w:rFonts w:ascii="Times New Roman" w:eastAsia="Times New Roman" w:hAnsi="Times New Roman" w:cs="Times New Roman"/>
          <w:sz w:val="24"/>
          <w:szCs w:val="24"/>
        </w:rPr>
        <w:t xml:space="preserve"> = Return on Assets (dependent variable)</w:t>
      </w:r>
    </w:p>
    <w:p w14:paraId="3FE4EC5B"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lastRenderedPageBreak/>
        <w:t>WME</w:t>
      </w:r>
      <w:r w:rsidRPr="00D77724">
        <w:rPr>
          <w:rFonts w:ascii="Times New Roman" w:eastAsia="Times New Roman" w:hAnsi="Times New Roman" w:cs="Times New Roman"/>
          <w:sz w:val="24"/>
          <w:szCs w:val="24"/>
        </w:rPr>
        <w:t xml:space="preserve"> = Waste Management Expenditure</w:t>
      </w:r>
    </w:p>
    <w:p w14:paraId="4C4C414A"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CIWTF</w:t>
      </w:r>
      <w:r w:rsidRPr="00D77724">
        <w:rPr>
          <w:rFonts w:ascii="Times New Roman" w:eastAsia="Times New Roman" w:hAnsi="Times New Roman" w:cs="Times New Roman"/>
          <w:sz w:val="24"/>
          <w:szCs w:val="24"/>
        </w:rPr>
        <w:t xml:space="preserve"> = Capital Investment in Waste Treatment Facilities</w:t>
      </w:r>
    </w:p>
    <w:p w14:paraId="247192BE"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FPWM</w:t>
      </w:r>
      <w:r w:rsidRPr="00D77724">
        <w:rPr>
          <w:rFonts w:ascii="Times New Roman" w:eastAsia="Times New Roman" w:hAnsi="Times New Roman" w:cs="Times New Roman"/>
          <w:sz w:val="24"/>
          <w:szCs w:val="24"/>
        </w:rPr>
        <w:t xml:space="preserve"> = Fines and Penalties for Waste Mismanagement</w:t>
      </w:r>
    </w:p>
    <w:p w14:paraId="34175B37"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PCE</w:t>
      </w:r>
      <w:r w:rsidRPr="00D77724">
        <w:rPr>
          <w:rFonts w:ascii="Times New Roman" w:eastAsia="Times New Roman" w:hAnsi="Times New Roman" w:cs="Times New Roman"/>
          <w:sz w:val="24"/>
          <w:szCs w:val="24"/>
        </w:rPr>
        <w:t xml:space="preserve"> = Pollution Control Expenditure</w:t>
      </w:r>
    </w:p>
    <w:p w14:paraId="7F131ECC"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CEPC</w:t>
      </w:r>
      <w:r w:rsidRPr="00D77724">
        <w:rPr>
          <w:rFonts w:ascii="Times New Roman" w:eastAsia="Times New Roman" w:hAnsi="Times New Roman" w:cs="Times New Roman"/>
          <w:sz w:val="24"/>
          <w:szCs w:val="24"/>
        </w:rPr>
        <w:t xml:space="preserve"> = Capital Expenditure on Pollution Control Equipment</w:t>
      </w:r>
    </w:p>
    <w:p w14:paraId="1B9185CD"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ERP</w:t>
      </w:r>
      <w:r w:rsidRPr="00D77724">
        <w:rPr>
          <w:rFonts w:ascii="Times New Roman" w:eastAsia="Times New Roman" w:hAnsi="Times New Roman" w:cs="Times New Roman"/>
          <w:sz w:val="24"/>
          <w:szCs w:val="24"/>
        </w:rPr>
        <w:t xml:space="preserve"> = Environmental Fines and Regulatory Penalties</w:t>
      </w:r>
    </w:p>
    <w:p w14:paraId="38C6CF88" w14:textId="77777777" w:rsidR="00E57B83" w:rsidRPr="00D77724" w:rsidRDefault="00E57B83" w:rsidP="00E57B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b/>
          <w:bCs/>
          <w:sz w:val="24"/>
          <w:szCs w:val="24"/>
        </w:rPr>
        <w:t>ε</w:t>
      </w:r>
      <w:r w:rsidRPr="00D77724">
        <w:rPr>
          <w:rFonts w:ascii="Times New Roman" w:eastAsia="Times New Roman" w:hAnsi="Times New Roman" w:cs="Times New Roman"/>
          <w:sz w:val="24"/>
          <w:szCs w:val="24"/>
        </w:rPr>
        <w:t xml:space="preserve"> = Error term</w:t>
      </w:r>
    </w:p>
    <w:p w14:paraId="3E1467E0"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sz w:val="24"/>
          <w:szCs w:val="24"/>
        </w:rPr>
        <w:t>iii = firm</w:t>
      </w:r>
    </w:p>
    <w:p w14:paraId="2FE1E38D"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D77724">
        <w:rPr>
          <w:rFonts w:ascii="Times New Roman" w:eastAsia="Times New Roman" w:hAnsi="Times New Roman" w:cs="Times New Roman"/>
          <w:sz w:val="24"/>
          <w:szCs w:val="24"/>
        </w:rPr>
        <w:t>ttt</w:t>
      </w:r>
      <w:proofErr w:type="spellEnd"/>
      <w:r w:rsidRPr="00D77724">
        <w:rPr>
          <w:rFonts w:ascii="Times New Roman" w:eastAsia="Times New Roman" w:hAnsi="Times New Roman" w:cs="Times New Roman"/>
          <w:sz w:val="24"/>
          <w:szCs w:val="24"/>
        </w:rPr>
        <w:t xml:space="preserve"> = time/year</w:t>
      </w:r>
    </w:p>
    <w:p w14:paraId="07E376A3"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sz w:val="24"/>
          <w:szCs w:val="24"/>
        </w:rPr>
        <w:t>β0\beta_0β0​ = intercept</w:t>
      </w:r>
    </w:p>
    <w:p w14:paraId="3C4AF999" w14:textId="77777777" w:rsidR="00E57B83" w:rsidRPr="00D77724" w:rsidRDefault="00E57B83" w:rsidP="00E57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724">
        <w:rPr>
          <w:rFonts w:ascii="Times New Roman" w:eastAsia="Times New Roman" w:hAnsi="Times New Roman" w:cs="Times New Roman"/>
          <w:sz w:val="24"/>
          <w:szCs w:val="24"/>
        </w:rPr>
        <w:t>β1</w:t>
      </w:r>
    </w:p>
    <w:p w14:paraId="235626C5" w14:textId="77777777" w:rsidR="00E57B83" w:rsidRPr="00415A99" w:rsidRDefault="00E57B83" w:rsidP="00E57B83">
      <w:pPr>
        <w:spacing w:before="100" w:beforeAutospacing="1" w:after="100" w:afterAutospacing="1"/>
        <w:rPr>
          <w:rFonts w:eastAsia="Times New Roman"/>
          <w:sz w:val="24"/>
        </w:rPr>
      </w:pPr>
      <w:r>
        <w:rPr>
          <w:rFonts w:eastAsia="Times New Roman"/>
          <w:b/>
          <w:bCs/>
          <w:sz w:val="24"/>
        </w:rPr>
        <w:t xml:space="preserve">Table 1: Operational measurement </w:t>
      </w:r>
      <w:r w:rsidRPr="00415A99">
        <w:rPr>
          <w:rFonts w:eastAsia="Times New Roman"/>
          <w:sz w:val="24"/>
        </w:rPr>
        <w:t xml:space="preserve"> </w:t>
      </w:r>
    </w:p>
    <w:tbl>
      <w:tblPr>
        <w:tblStyle w:val="TableGrid"/>
        <w:tblW w:w="0" w:type="auto"/>
        <w:tblLook w:val="04A0" w:firstRow="1" w:lastRow="0" w:firstColumn="1" w:lastColumn="0" w:noHBand="0" w:noVBand="1"/>
      </w:tblPr>
      <w:tblGrid>
        <w:gridCol w:w="1412"/>
        <w:gridCol w:w="1731"/>
        <w:gridCol w:w="1930"/>
        <w:gridCol w:w="2779"/>
        <w:gridCol w:w="1498"/>
      </w:tblGrid>
      <w:tr w:rsidR="00E57B83" w:rsidRPr="00335108" w14:paraId="204C2C0C" w14:textId="77777777" w:rsidTr="00E57B83">
        <w:tc>
          <w:tcPr>
            <w:tcW w:w="0" w:type="auto"/>
            <w:hideMark/>
          </w:tcPr>
          <w:p w14:paraId="3B1A1248"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Variable Type</w:t>
            </w:r>
          </w:p>
        </w:tc>
        <w:tc>
          <w:tcPr>
            <w:tcW w:w="0" w:type="auto"/>
            <w:hideMark/>
          </w:tcPr>
          <w:p w14:paraId="723C2F44"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Main Variable</w:t>
            </w:r>
          </w:p>
        </w:tc>
        <w:tc>
          <w:tcPr>
            <w:tcW w:w="0" w:type="auto"/>
            <w:hideMark/>
          </w:tcPr>
          <w:p w14:paraId="09EE3F1D"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Sub-Variable (Proxy)</w:t>
            </w:r>
          </w:p>
        </w:tc>
        <w:tc>
          <w:tcPr>
            <w:tcW w:w="0" w:type="auto"/>
            <w:hideMark/>
          </w:tcPr>
          <w:p w14:paraId="13F7F54F"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Measurement/Indicator</w:t>
            </w:r>
          </w:p>
        </w:tc>
        <w:tc>
          <w:tcPr>
            <w:tcW w:w="0" w:type="auto"/>
            <w:hideMark/>
          </w:tcPr>
          <w:p w14:paraId="2A8A8CE6" w14:textId="77777777" w:rsidR="00E57B83" w:rsidRPr="00335108" w:rsidRDefault="00E57B83" w:rsidP="00E57B83">
            <w:pPr>
              <w:jc w:val="center"/>
              <w:rPr>
                <w:rFonts w:ascii="Times New Roman" w:eastAsia="Times New Roman" w:hAnsi="Times New Roman" w:cs="Times New Roman"/>
                <w:b/>
                <w:bCs/>
                <w:sz w:val="24"/>
                <w:szCs w:val="24"/>
              </w:rPr>
            </w:pPr>
            <w:r w:rsidRPr="00335108">
              <w:rPr>
                <w:rFonts w:ascii="Times New Roman" w:eastAsia="Times New Roman" w:hAnsi="Times New Roman" w:cs="Times New Roman"/>
                <w:b/>
                <w:bCs/>
                <w:sz w:val="24"/>
                <w:szCs w:val="24"/>
              </w:rPr>
              <w:t>Data Source</w:t>
            </w:r>
          </w:p>
        </w:tc>
      </w:tr>
      <w:tr w:rsidR="00E57B83" w:rsidRPr="00335108" w14:paraId="22290455" w14:textId="77777777" w:rsidTr="00E57B83">
        <w:tc>
          <w:tcPr>
            <w:tcW w:w="0" w:type="auto"/>
            <w:hideMark/>
          </w:tcPr>
          <w:p w14:paraId="25428FB1"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Dependent</w:t>
            </w:r>
          </w:p>
        </w:tc>
        <w:tc>
          <w:tcPr>
            <w:tcW w:w="0" w:type="auto"/>
            <w:hideMark/>
          </w:tcPr>
          <w:p w14:paraId="058F5026"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Firm Performance</w:t>
            </w:r>
          </w:p>
        </w:tc>
        <w:tc>
          <w:tcPr>
            <w:tcW w:w="0" w:type="auto"/>
            <w:hideMark/>
          </w:tcPr>
          <w:p w14:paraId="660262EC"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Return on Asset (ROA)</w:t>
            </w:r>
          </w:p>
        </w:tc>
        <w:tc>
          <w:tcPr>
            <w:tcW w:w="0" w:type="auto"/>
            <w:hideMark/>
          </w:tcPr>
          <w:p w14:paraId="0499DC84"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Net Profit / Total Assets</w:t>
            </w:r>
          </w:p>
        </w:tc>
        <w:tc>
          <w:tcPr>
            <w:tcW w:w="0" w:type="auto"/>
            <w:hideMark/>
          </w:tcPr>
          <w:p w14:paraId="1DAD7332"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Financial Statements</w:t>
            </w:r>
          </w:p>
        </w:tc>
      </w:tr>
      <w:tr w:rsidR="00E57B83" w:rsidRPr="00335108" w14:paraId="29B1A85C" w14:textId="77777777" w:rsidTr="00E57B83">
        <w:tc>
          <w:tcPr>
            <w:tcW w:w="0" w:type="auto"/>
            <w:hideMark/>
          </w:tcPr>
          <w:p w14:paraId="1A97E914"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Independent</w:t>
            </w:r>
          </w:p>
        </w:tc>
        <w:tc>
          <w:tcPr>
            <w:tcW w:w="0" w:type="auto"/>
            <w:hideMark/>
          </w:tcPr>
          <w:p w14:paraId="50D56095" w14:textId="2E66AD79"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 xml:space="preserve">Environmental Waste Management </w:t>
            </w:r>
            <w:r w:rsidR="001E4E58">
              <w:rPr>
                <w:rFonts w:ascii="Times New Roman" w:eastAsia="Times New Roman" w:hAnsi="Times New Roman" w:cs="Times New Roman"/>
                <w:sz w:val="24"/>
                <w:szCs w:val="24"/>
              </w:rPr>
              <w:t xml:space="preserve"> practice</w:t>
            </w:r>
          </w:p>
        </w:tc>
        <w:tc>
          <w:tcPr>
            <w:tcW w:w="0" w:type="auto"/>
            <w:hideMark/>
          </w:tcPr>
          <w:p w14:paraId="24E7167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1. Waste Management Expenditure</w:t>
            </w:r>
          </w:p>
        </w:tc>
        <w:tc>
          <w:tcPr>
            <w:tcW w:w="0" w:type="auto"/>
            <w:hideMark/>
          </w:tcPr>
          <w:p w14:paraId="50548627"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Total expenses on waste collection, treatment &amp; disposal</w:t>
            </w:r>
          </w:p>
        </w:tc>
        <w:tc>
          <w:tcPr>
            <w:tcW w:w="0" w:type="auto"/>
            <w:hideMark/>
          </w:tcPr>
          <w:p w14:paraId="55AB5A3D"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Notes to the Accounts / CSR Report</w:t>
            </w:r>
          </w:p>
        </w:tc>
      </w:tr>
      <w:tr w:rsidR="00E57B83" w:rsidRPr="00335108" w14:paraId="02E8A87F" w14:textId="77777777" w:rsidTr="00E57B83">
        <w:tc>
          <w:tcPr>
            <w:tcW w:w="0" w:type="auto"/>
            <w:hideMark/>
          </w:tcPr>
          <w:p w14:paraId="1F948EDE"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21398C07"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37BDB6EB"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2. Capital Investment in Waste Treatment Facilities</w:t>
            </w:r>
          </w:p>
        </w:tc>
        <w:tc>
          <w:tcPr>
            <w:tcW w:w="0" w:type="auto"/>
            <w:hideMark/>
          </w:tcPr>
          <w:p w14:paraId="041F2F1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Long-term investment in waste treatment infrastructure</w:t>
            </w:r>
          </w:p>
        </w:tc>
        <w:tc>
          <w:tcPr>
            <w:tcW w:w="0" w:type="auto"/>
            <w:hideMark/>
          </w:tcPr>
          <w:p w14:paraId="3B5D3C8C"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Capital Expenditure / Statement of Cash Flows</w:t>
            </w:r>
          </w:p>
        </w:tc>
      </w:tr>
      <w:tr w:rsidR="00E57B83" w:rsidRPr="00335108" w14:paraId="0D0D680B" w14:textId="77777777" w:rsidTr="00E57B83">
        <w:tc>
          <w:tcPr>
            <w:tcW w:w="0" w:type="auto"/>
            <w:hideMark/>
          </w:tcPr>
          <w:p w14:paraId="3294B740"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0E46E50D"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50CDE33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3. Fines and Penalties for Waste Mismanagement</w:t>
            </w:r>
          </w:p>
        </w:tc>
        <w:tc>
          <w:tcPr>
            <w:tcW w:w="0" w:type="auto"/>
            <w:hideMark/>
          </w:tcPr>
          <w:p w14:paraId="05917C83"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Amount of fines or penalties paid due to waste disposal violations</w:t>
            </w:r>
          </w:p>
        </w:tc>
        <w:tc>
          <w:tcPr>
            <w:tcW w:w="0" w:type="auto"/>
            <w:hideMark/>
          </w:tcPr>
          <w:p w14:paraId="3962596C"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Notes to the Accounts / Contingent Liabilities</w:t>
            </w:r>
          </w:p>
        </w:tc>
      </w:tr>
      <w:tr w:rsidR="00E57B83" w:rsidRPr="00335108" w14:paraId="44377CA5" w14:textId="77777777" w:rsidTr="00E57B83">
        <w:tc>
          <w:tcPr>
            <w:tcW w:w="0" w:type="auto"/>
            <w:hideMark/>
          </w:tcPr>
          <w:p w14:paraId="565D1F5F"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Independent</w:t>
            </w:r>
          </w:p>
        </w:tc>
        <w:tc>
          <w:tcPr>
            <w:tcW w:w="0" w:type="auto"/>
            <w:hideMark/>
          </w:tcPr>
          <w:p w14:paraId="4D897440" w14:textId="59C6D8AA"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 xml:space="preserve">Environmental Pollution Control </w:t>
            </w:r>
            <w:r w:rsidR="001E4E58">
              <w:rPr>
                <w:rFonts w:ascii="Times New Roman" w:eastAsia="Times New Roman" w:hAnsi="Times New Roman" w:cs="Times New Roman"/>
                <w:sz w:val="24"/>
                <w:szCs w:val="24"/>
              </w:rPr>
              <w:t xml:space="preserve"> practice</w:t>
            </w:r>
          </w:p>
        </w:tc>
        <w:tc>
          <w:tcPr>
            <w:tcW w:w="0" w:type="auto"/>
            <w:hideMark/>
          </w:tcPr>
          <w:p w14:paraId="2D3D94F1"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1. Pollution Control Expenditure</w:t>
            </w:r>
          </w:p>
        </w:tc>
        <w:tc>
          <w:tcPr>
            <w:tcW w:w="0" w:type="auto"/>
            <w:hideMark/>
          </w:tcPr>
          <w:p w14:paraId="2E87A54A"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Annual cost on pollution control measures (air, water, land)</w:t>
            </w:r>
          </w:p>
        </w:tc>
        <w:tc>
          <w:tcPr>
            <w:tcW w:w="0" w:type="auto"/>
            <w:hideMark/>
          </w:tcPr>
          <w:p w14:paraId="24DCC327"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Operating Expenses / CSR Report</w:t>
            </w:r>
          </w:p>
        </w:tc>
      </w:tr>
      <w:tr w:rsidR="00E57B83" w:rsidRPr="00335108" w14:paraId="6640EFB2" w14:textId="77777777" w:rsidTr="00E57B83">
        <w:tc>
          <w:tcPr>
            <w:tcW w:w="0" w:type="auto"/>
            <w:hideMark/>
          </w:tcPr>
          <w:p w14:paraId="1FB598BD"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14B1597D"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72C2C72E"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2. Capital Expenditure on Pollution Control Equipment</w:t>
            </w:r>
          </w:p>
        </w:tc>
        <w:tc>
          <w:tcPr>
            <w:tcW w:w="0" w:type="auto"/>
            <w:hideMark/>
          </w:tcPr>
          <w:p w14:paraId="35602773"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Investments in pollution control systems and equipment</w:t>
            </w:r>
          </w:p>
        </w:tc>
        <w:tc>
          <w:tcPr>
            <w:tcW w:w="0" w:type="auto"/>
            <w:hideMark/>
          </w:tcPr>
          <w:p w14:paraId="44D62472"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Statement of Cash Flows / Notes to the Accounts</w:t>
            </w:r>
          </w:p>
        </w:tc>
      </w:tr>
      <w:tr w:rsidR="00E57B83" w:rsidRPr="00335108" w14:paraId="7B740105" w14:textId="77777777" w:rsidTr="00E57B83">
        <w:tc>
          <w:tcPr>
            <w:tcW w:w="0" w:type="auto"/>
            <w:hideMark/>
          </w:tcPr>
          <w:p w14:paraId="6438680A" w14:textId="77777777" w:rsidR="00E57B83" w:rsidRPr="00335108" w:rsidRDefault="00E57B83" w:rsidP="00E57B83">
            <w:pPr>
              <w:rPr>
                <w:rFonts w:ascii="Times New Roman" w:eastAsia="Times New Roman" w:hAnsi="Times New Roman" w:cs="Times New Roman"/>
                <w:sz w:val="24"/>
                <w:szCs w:val="24"/>
              </w:rPr>
            </w:pPr>
          </w:p>
        </w:tc>
        <w:tc>
          <w:tcPr>
            <w:tcW w:w="0" w:type="auto"/>
            <w:hideMark/>
          </w:tcPr>
          <w:p w14:paraId="62FC2272" w14:textId="77777777" w:rsidR="00E57B83" w:rsidRPr="00335108" w:rsidRDefault="00E57B83" w:rsidP="00E57B83">
            <w:pPr>
              <w:rPr>
                <w:rFonts w:ascii="Times New Roman" w:eastAsia="Times New Roman" w:hAnsi="Times New Roman" w:cs="Times New Roman"/>
                <w:sz w:val="20"/>
                <w:szCs w:val="20"/>
              </w:rPr>
            </w:pPr>
          </w:p>
        </w:tc>
        <w:tc>
          <w:tcPr>
            <w:tcW w:w="0" w:type="auto"/>
            <w:hideMark/>
          </w:tcPr>
          <w:p w14:paraId="7DC24EF2"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3. Environmental Fines and Regulatory Penalties</w:t>
            </w:r>
          </w:p>
        </w:tc>
        <w:tc>
          <w:tcPr>
            <w:tcW w:w="0" w:type="auto"/>
            <w:hideMark/>
          </w:tcPr>
          <w:p w14:paraId="225B8A75"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Total monetary sanctions due to environmental pollution violations</w:t>
            </w:r>
          </w:p>
        </w:tc>
        <w:tc>
          <w:tcPr>
            <w:tcW w:w="0" w:type="auto"/>
            <w:hideMark/>
          </w:tcPr>
          <w:p w14:paraId="2CDB7DC0" w14:textId="77777777" w:rsidR="00E57B83" w:rsidRPr="00335108" w:rsidRDefault="00E57B83" w:rsidP="00E57B83">
            <w:pPr>
              <w:rPr>
                <w:rFonts w:ascii="Times New Roman" w:eastAsia="Times New Roman" w:hAnsi="Times New Roman" w:cs="Times New Roman"/>
                <w:sz w:val="24"/>
                <w:szCs w:val="24"/>
              </w:rPr>
            </w:pPr>
            <w:r w:rsidRPr="00335108">
              <w:rPr>
                <w:rFonts w:ascii="Times New Roman" w:eastAsia="Times New Roman" w:hAnsi="Times New Roman" w:cs="Times New Roman"/>
                <w:sz w:val="24"/>
                <w:szCs w:val="24"/>
              </w:rPr>
              <w:t>Notes to the Accounts / Other Expenses</w:t>
            </w:r>
          </w:p>
        </w:tc>
      </w:tr>
    </w:tbl>
    <w:p w14:paraId="70B58498" w14:textId="77777777" w:rsidR="00E57B83" w:rsidRDefault="00E57B83" w:rsidP="00E57B83">
      <w:pPr>
        <w:spacing w:line="240" w:lineRule="auto"/>
        <w:rPr>
          <w:rFonts w:ascii="Times New Roman" w:hAnsi="Times New Roman" w:cs="Times New Roman"/>
          <w:b/>
          <w:bCs/>
          <w:sz w:val="24"/>
          <w:szCs w:val="24"/>
        </w:rPr>
      </w:pPr>
    </w:p>
    <w:p w14:paraId="7EACB772" w14:textId="77777777" w:rsidR="00E57B83" w:rsidRPr="00E538F7" w:rsidRDefault="0054602B" w:rsidP="00E57B83">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4. </w:t>
      </w:r>
      <w:r w:rsidR="00E57B83">
        <w:rPr>
          <w:rFonts w:ascii="Times New Roman" w:hAnsi="Times New Roman" w:cs="Times New Roman"/>
          <w:b/>
          <w:bCs/>
          <w:sz w:val="24"/>
          <w:szCs w:val="24"/>
        </w:rPr>
        <w:t xml:space="preserve">Results and Discussion </w:t>
      </w:r>
    </w:p>
    <w:p w14:paraId="430696E9" w14:textId="77777777" w:rsidR="0054602B" w:rsidRDefault="00E57B83" w:rsidP="00E57B83">
      <w:pPr>
        <w:spacing w:before="100" w:beforeAutospacing="1" w:after="100" w:afterAutospacing="1" w:line="240" w:lineRule="auto"/>
        <w:outlineLvl w:val="2"/>
        <w:rPr>
          <w:rFonts w:ascii="Times New Roman" w:eastAsia="Times New Roman" w:hAnsi="Times New Roman" w:cs="Times New Roman"/>
          <w:b/>
          <w:bCs/>
          <w:sz w:val="24"/>
          <w:szCs w:val="24"/>
        </w:rPr>
      </w:pPr>
      <w:r w:rsidRPr="00E538F7">
        <w:rPr>
          <w:rFonts w:ascii="Times New Roman" w:eastAsia="Times New Roman" w:hAnsi="Times New Roman" w:cs="Times New Roman"/>
          <w:b/>
          <w:bCs/>
          <w:sz w:val="24"/>
          <w:szCs w:val="24"/>
        </w:rPr>
        <w:t>Descriptive Statistics</w:t>
      </w:r>
      <w:r>
        <w:rPr>
          <w:rFonts w:ascii="Times New Roman" w:eastAsia="Times New Roman" w:hAnsi="Times New Roman" w:cs="Times New Roman"/>
          <w:b/>
          <w:bCs/>
          <w:sz w:val="24"/>
          <w:szCs w:val="24"/>
        </w:rPr>
        <w:t xml:space="preserve"> of Study Variables </w:t>
      </w:r>
      <w:r w:rsidRPr="00E538F7">
        <w:rPr>
          <w:rFonts w:ascii="Times New Roman" w:eastAsia="Times New Roman" w:hAnsi="Times New Roman" w:cs="Times New Roman"/>
          <w:b/>
          <w:bCs/>
          <w:sz w:val="24"/>
          <w:szCs w:val="24"/>
        </w:rPr>
        <w:t xml:space="preserve"> </w:t>
      </w:r>
    </w:p>
    <w:p w14:paraId="6ED84448" w14:textId="22978937" w:rsidR="0054602B" w:rsidRPr="00F24E4A" w:rsidRDefault="0054602B" w:rsidP="0054602B">
      <w:pPr>
        <w:pStyle w:val="NormalWeb"/>
        <w:jc w:val="both"/>
      </w:pPr>
      <w:r w:rsidRPr="00F24E4A">
        <w:t>The d</w:t>
      </w:r>
      <w:r>
        <w:t>escriptive statistics in Table</w:t>
      </w:r>
      <w:r w:rsidR="00173902">
        <w:t xml:space="preserve"> 2</w:t>
      </w:r>
      <w:r w:rsidRPr="00F24E4A">
        <w:t xml:space="preserve"> provide insights into the distribution and variability of the variables related to environmental expenditures and penalties. The mean Return on Assets (ROA) is 0.1347, indicating moderate profitability across firms, but the wide range from -1.9597 to 1.8523 and a high standard deviation of 0.8996 suggest substantial variability in financial performance. Waste Management Expenditure (WME) and Capital Investment in Waste Treatment Facilities (CIWTF) show moderate averages (0.5721 and 0.6134, respectively) and are slightly right-skewed, suggesting a few firms invest significantly more than others. Penalty-related variables such as Fines and Penalties for Waste Mismanagement (FPWM) and Environmental Regulatory Penalties (ERP) have relatively low means (0.2186 and 0.2849) but are highly positively skewed with high kurtosis values (4.6921 and 4.0108), indicating that while most firms face low penalties, some incur disproportionately high fines. Pollution Control Expenditure (PCE) and Capital Expenditure on Pollution Control Equipment (CEPC) also show moderate means with right-skewed distributions. The Jarque-Bera test confirms that FPWM and ERP significantly deviate from normality (p &lt; 0.01), reinforcing the presence of outliers in penalties data, while ROA, WME, CIWTF, PCE, and CEPC show relatively normal distributions (p &gt; 0.05). Overall, the data highlight both the uneven distribution of environmental investments and penalties and the associated variation in financial performance.</w:t>
      </w:r>
    </w:p>
    <w:p w14:paraId="79C05D9D" w14:textId="77777777" w:rsidR="00E57B83" w:rsidRPr="00E538F7" w:rsidRDefault="00E57B83" w:rsidP="00E57B83">
      <w:pPr>
        <w:spacing w:before="100" w:beforeAutospacing="1" w:after="100" w:afterAutospacing="1" w:line="240" w:lineRule="auto"/>
        <w:outlineLvl w:val="2"/>
        <w:rPr>
          <w:rFonts w:ascii="Times New Roman" w:eastAsia="Times New Roman" w:hAnsi="Times New Roman" w:cs="Times New Roman"/>
          <w:b/>
          <w:bCs/>
          <w:sz w:val="24"/>
          <w:szCs w:val="24"/>
        </w:rPr>
      </w:pPr>
      <w:r w:rsidRPr="00E538F7">
        <w:rPr>
          <w:rFonts w:ascii="Times New Roman" w:eastAsia="Times New Roman" w:hAnsi="Times New Roman" w:cs="Times New Roman"/>
          <w:b/>
          <w:bCs/>
          <w:sz w:val="24"/>
          <w:szCs w:val="24"/>
        </w:rPr>
        <w:t xml:space="preserve">  </w:t>
      </w:r>
    </w:p>
    <w:p w14:paraId="63D439C2" w14:textId="5406C2CF" w:rsidR="00E57B83" w:rsidRPr="00E538F7" w:rsidRDefault="00E57B83"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2</w:t>
      </w:r>
      <w:r w:rsidRPr="00E538F7">
        <w:rPr>
          <w:rFonts w:ascii="Times New Roman" w:eastAsia="Times New Roman" w:hAnsi="Times New Roman" w:cs="Times New Roman"/>
          <w:b/>
          <w:bCs/>
          <w:sz w:val="24"/>
          <w:szCs w:val="24"/>
        </w:rPr>
        <w:t>: Descriptive Statistics</w:t>
      </w:r>
    </w:p>
    <w:tbl>
      <w:tblPr>
        <w:tblStyle w:val="TableGrid"/>
        <w:tblW w:w="0" w:type="auto"/>
        <w:tblLook w:val="04A0" w:firstRow="1" w:lastRow="0" w:firstColumn="1" w:lastColumn="0" w:noHBand="0" w:noVBand="1"/>
      </w:tblPr>
      <w:tblGrid>
        <w:gridCol w:w="1376"/>
        <w:gridCol w:w="956"/>
        <w:gridCol w:w="876"/>
        <w:gridCol w:w="1030"/>
        <w:gridCol w:w="996"/>
        <w:gridCol w:w="876"/>
        <w:gridCol w:w="876"/>
        <w:gridCol w:w="2009"/>
      </w:tblGrid>
      <w:tr w:rsidR="00E57B83" w:rsidRPr="00F62E86" w14:paraId="449601A3" w14:textId="77777777" w:rsidTr="00E57B83">
        <w:tc>
          <w:tcPr>
            <w:tcW w:w="0" w:type="auto"/>
            <w:hideMark/>
          </w:tcPr>
          <w:p w14:paraId="5FB8ACB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Statistics</w:t>
            </w:r>
          </w:p>
        </w:tc>
        <w:tc>
          <w:tcPr>
            <w:tcW w:w="0" w:type="auto"/>
            <w:hideMark/>
          </w:tcPr>
          <w:p w14:paraId="4AC65E7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ROA</w:t>
            </w:r>
          </w:p>
        </w:tc>
        <w:tc>
          <w:tcPr>
            <w:tcW w:w="0" w:type="auto"/>
            <w:hideMark/>
          </w:tcPr>
          <w:p w14:paraId="3721E1DA"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WME</w:t>
            </w:r>
          </w:p>
        </w:tc>
        <w:tc>
          <w:tcPr>
            <w:tcW w:w="0" w:type="auto"/>
            <w:hideMark/>
          </w:tcPr>
          <w:p w14:paraId="29E2490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CIWTF</w:t>
            </w:r>
          </w:p>
        </w:tc>
        <w:tc>
          <w:tcPr>
            <w:tcW w:w="0" w:type="auto"/>
            <w:hideMark/>
          </w:tcPr>
          <w:p w14:paraId="691778E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FPWM</w:t>
            </w:r>
          </w:p>
        </w:tc>
        <w:tc>
          <w:tcPr>
            <w:tcW w:w="0" w:type="auto"/>
            <w:hideMark/>
          </w:tcPr>
          <w:p w14:paraId="448682C6"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PCE</w:t>
            </w:r>
          </w:p>
        </w:tc>
        <w:tc>
          <w:tcPr>
            <w:tcW w:w="0" w:type="auto"/>
            <w:hideMark/>
          </w:tcPr>
          <w:p w14:paraId="7753B0A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CEPC</w:t>
            </w:r>
          </w:p>
        </w:tc>
        <w:tc>
          <w:tcPr>
            <w:tcW w:w="2009" w:type="dxa"/>
            <w:hideMark/>
          </w:tcPr>
          <w:p w14:paraId="60AC145C"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ERP</w:t>
            </w:r>
          </w:p>
        </w:tc>
      </w:tr>
      <w:tr w:rsidR="00E57B83" w:rsidRPr="00F62E86" w14:paraId="47FA2FBC" w14:textId="77777777" w:rsidTr="00E57B83">
        <w:tc>
          <w:tcPr>
            <w:tcW w:w="0" w:type="auto"/>
            <w:hideMark/>
          </w:tcPr>
          <w:p w14:paraId="49C9997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Obs.</w:t>
            </w:r>
          </w:p>
        </w:tc>
        <w:tc>
          <w:tcPr>
            <w:tcW w:w="0" w:type="auto"/>
            <w:hideMark/>
          </w:tcPr>
          <w:p w14:paraId="561230FE"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12EE5F49"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5DCA3348"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311E411A"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70B44428"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4EA797D5"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09" w:type="dxa"/>
            <w:hideMark/>
          </w:tcPr>
          <w:p w14:paraId="0E78B666"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E57B83" w:rsidRPr="00F62E86" w14:paraId="48D113C6" w14:textId="77777777" w:rsidTr="00E57B83">
        <w:tc>
          <w:tcPr>
            <w:tcW w:w="0" w:type="auto"/>
            <w:hideMark/>
          </w:tcPr>
          <w:p w14:paraId="6406207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Mean</w:t>
            </w:r>
          </w:p>
        </w:tc>
        <w:tc>
          <w:tcPr>
            <w:tcW w:w="0" w:type="auto"/>
            <w:hideMark/>
          </w:tcPr>
          <w:p w14:paraId="5A18D8B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0.1347</w:t>
            </w:r>
          </w:p>
        </w:tc>
        <w:tc>
          <w:tcPr>
            <w:tcW w:w="0" w:type="auto"/>
            <w:hideMark/>
          </w:tcPr>
          <w:p w14:paraId="063EA9A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0.5721</w:t>
            </w:r>
          </w:p>
        </w:tc>
        <w:tc>
          <w:tcPr>
            <w:tcW w:w="0" w:type="auto"/>
            <w:hideMark/>
          </w:tcPr>
          <w:p w14:paraId="2CFEC52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0.6134</w:t>
            </w:r>
          </w:p>
        </w:tc>
        <w:tc>
          <w:tcPr>
            <w:tcW w:w="0" w:type="auto"/>
            <w:hideMark/>
          </w:tcPr>
          <w:p w14:paraId="44DE5B6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0.2186</w:t>
            </w:r>
          </w:p>
        </w:tc>
        <w:tc>
          <w:tcPr>
            <w:tcW w:w="0" w:type="auto"/>
            <w:hideMark/>
          </w:tcPr>
          <w:p w14:paraId="21668B3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0.5092</w:t>
            </w:r>
          </w:p>
        </w:tc>
        <w:tc>
          <w:tcPr>
            <w:tcW w:w="0" w:type="auto"/>
            <w:hideMark/>
          </w:tcPr>
          <w:p w14:paraId="75F87BC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0.6348</w:t>
            </w:r>
          </w:p>
        </w:tc>
        <w:tc>
          <w:tcPr>
            <w:tcW w:w="2009" w:type="dxa"/>
            <w:hideMark/>
          </w:tcPr>
          <w:p w14:paraId="58B23CB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0.2849</w:t>
            </w:r>
          </w:p>
        </w:tc>
      </w:tr>
      <w:tr w:rsidR="00E57B83" w:rsidRPr="00F62E86" w14:paraId="59BA6839" w14:textId="77777777" w:rsidTr="00E57B83">
        <w:tc>
          <w:tcPr>
            <w:tcW w:w="0" w:type="auto"/>
            <w:hideMark/>
          </w:tcPr>
          <w:p w14:paraId="17F0691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Median</w:t>
            </w:r>
          </w:p>
        </w:tc>
        <w:tc>
          <w:tcPr>
            <w:tcW w:w="0" w:type="auto"/>
            <w:hideMark/>
          </w:tcPr>
          <w:p w14:paraId="7CFCB99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0.1121</w:t>
            </w:r>
          </w:p>
        </w:tc>
        <w:tc>
          <w:tcPr>
            <w:tcW w:w="0" w:type="auto"/>
            <w:hideMark/>
          </w:tcPr>
          <w:p w14:paraId="06681FE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0.5440</w:t>
            </w:r>
          </w:p>
        </w:tc>
        <w:tc>
          <w:tcPr>
            <w:tcW w:w="0" w:type="auto"/>
            <w:hideMark/>
          </w:tcPr>
          <w:p w14:paraId="639CE98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0.6091</w:t>
            </w:r>
          </w:p>
        </w:tc>
        <w:tc>
          <w:tcPr>
            <w:tcW w:w="0" w:type="auto"/>
            <w:hideMark/>
          </w:tcPr>
          <w:p w14:paraId="15B7257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0.1945</w:t>
            </w:r>
          </w:p>
        </w:tc>
        <w:tc>
          <w:tcPr>
            <w:tcW w:w="0" w:type="auto"/>
            <w:hideMark/>
          </w:tcPr>
          <w:p w14:paraId="2E2484F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0.4895</w:t>
            </w:r>
          </w:p>
        </w:tc>
        <w:tc>
          <w:tcPr>
            <w:tcW w:w="0" w:type="auto"/>
            <w:hideMark/>
          </w:tcPr>
          <w:p w14:paraId="4A0DEFE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0.6100</w:t>
            </w:r>
          </w:p>
        </w:tc>
        <w:tc>
          <w:tcPr>
            <w:tcW w:w="2009" w:type="dxa"/>
            <w:hideMark/>
          </w:tcPr>
          <w:p w14:paraId="13B9CB5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0.2500</w:t>
            </w:r>
          </w:p>
        </w:tc>
      </w:tr>
      <w:tr w:rsidR="00E57B83" w:rsidRPr="00F62E86" w14:paraId="2AF9B919" w14:textId="77777777" w:rsidTr="00E57B83">
        <w:tc>
          <w:tcPr>
            <w:tcW w:w="0" w:type="auto"/>
            <w:hideMark/>
          </w:tcPr>
          <w:p w14:paraId="5F3D459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Maximum</w:t>
            </w:r>
          </w:p>
        </w:tc>
        <w:tc>
          <w:tcPr>
            <w:tcW w:w="0" w:type="auto"/>
            <w:hideMark/>
          </w:tcPr>
          <w:p w14:paraId="4CA2DD5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1.8523</w:t>
            </w:r>
          </w:p>
        </w:tc>
        <w:tc>
          <w:tcPr>
            <w:tcW w:w="0" w:type="auto"/>
            <w:hideMark/>
          </w:tcPr>
          <w:p w14:paraId="1F120A4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1.9320</w:t>
            </w:r>
          </w:p>
        </w:tc>
        <w:tc>
          <w:tcPr>
            <w:tcW w:w="0" w:type="auto"/>
            <w:hideMark/>
          </w:tcPr>
          <w:p w14:paraId="12211E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2.0045</w:t>
            </w:r>
          </w:p>
        </w:tc>
        <w:tc>
          <w:tcPr>
            <w:tcW w:w="0" w:type="auto"/>
            <w:hideMark/>
          </w:tcPr>
          <w:p w14:paraId="1B8AFE3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1.5421</w:t>
            </w:r>
          </w:p>
        </w:tc>
        <w:tc>
          <w:tcPr>
            <w:tcW w:w="0" w:type="auto"/>
            <w:hideMark/>
          </w:tcPr>
          <w:p w14:paraId="3E484D5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1.8230</w:t>
            </w:r>
          </w:p>
        </w:tc>
        <w:tc>
          <w:tcPr>
            <w:tcW w:w="0" w:type="auto"/>
            <w:hideMark/>
          </w:tcPr>
          <w:p w14:paraId="76CCD58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2.1034</w:t>
            </w:r>
          </w:p>
        </w:tc>
        <w:tc>
          <w:tcPr>
            <w:tcW w:w="2009" w:type="dxa"/>
            <w:hideMark/>
          </w:tcPr>
          <w:p w14:paraId="2B27A53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1.4050</w:t>
            </w:r>
          </w:p>
        </w:tc>
      </w:tr>
      <w:tr w:rsidR="00E57B83" w:rsidRPr="00F62E86" w14:paraId="605AA0F3" w14:textId="77777777" w:rsidTr="00E57B83">
        <w:tc>
          <w:tcPr>
            <w:tcW w:w="0" w:type="auto"/>
            <w:hideMark/>
          </w:tcPr>
          <w:p w14:paraId="493EBB9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Minimum</w:t>
            </w:r>
          </w:p>
        </w:tc>
        <w:tc>
          <w:tcPr>
            <w:tcW w:w="0" w:type="auto"/>
            <w:hideMark/>
          </w:tcPr>
          <w:p w14:paraId="06AE681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-1.9597</w:t>
            </w:r>
          </w:p>
        </w:tc>
        <w:tc>
          <w:tcPr>
            <w:tcW w:w="0" w:type="auto"/>
            <w:hideMark/>
          </w:tcPr>
          <w:p w14:paraId="6BDC1FF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0.0230</w:t>
            </w:r>
          </w:p>
        </w:tc>
        <w:tc>
          <w:tcPr>
            <w:tcW w:w="0" w:type="auto"/>
            <w:hideMark/>
          </w:tcPr>
          <w:p w14:paraId="76C2DF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0.0050</w:t>
            </w:r>
          </w:p>
        </w:tc>
        <w:tc>
          <w:tcPr>
            <w:tcW w:w="0" w:type="auto"/>
            <w:hideMark/>
          </w:tcPr>
          <w:p w14:paraId="2D06430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6446C05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0.0190</w:t>
            </w:r>
          </w:p>
        </w:tc>
        <w:tc>
          <w:tcPr>
            <w:tcW w:w="0" w:type="auto"/>
            <w:hideMark/>
          </w:tcPr>
          <w:p w14:paraId="094E48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0.0176</w:t>
            </w:r>
          </w:p>
        </w:tc>
        <w:tc>
          <w:tcPr>
            <w:tcW w:w="2009" w:type="dxa"/>
            <w:hideMark/>
          </w:tcPr>
          <w:p w14:paraId="1B3521B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r>
      <w:tr w:rsidR="00E57B83" w:rsidRPr="00F62E86" w14:paraId="051D0981" w14:textId="77777777" w:rsidTr="00E57B83">
        <w:tc>
          <w:tcPr>
            <w:tcW w:w="0" w:type="auto"/>
            <w:hideMark/>
          </w:tcPr>
          <w:p w14:paraId="0FDD6AB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Std. Dev.</w:t>
            </w:r>
          </w:p>
        </w:tc>
        <w:tc>
          <w:tcPr>
            <w:tcW w:w="0" w:type="auto"/>
            <w:hideMark/>
          </w:tcPr>
          <w:p w14:paraId="3C53993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0.8996</w:t>
            </w:r>
          </w:p>
        </w:tc>
        <w:tc>
          <w:tcPr>
            <w:tcW w:w="0" w:type="auto"/>
            <w:hideMark/>
          </w:tcPr>
          <w:p w14:paraId="6E28B4C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0.4925</w:t>
            </w:r>
          </w:p>
        </w:tc>
        <w:tc>
          <w:tcPr>
            <w:tcW w:w="0" w:type="auto"/>
            <w:hideMark/>
          </w:tcPr>
          <w:p w14:paraId="2AAD320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0.5432</w:t>
            </w:r>
          </w:p>
        </w:tc>
        <w:tc>
          <w:tcPr>
            <w:tcW w:w="0" w:type="auto"/>
            <w:hideMark/>
          </w:tcPr>
          <w:p w14:paraId="516525A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0.3721</w:t>
            </w:r>
          </w:p>
        </w:tc>
        <w:tc>
          <w:tcPr>
            <w:tcW w:w="0" w:type="auto"/>
            <w:hideMark/>
          </w:tcPr>
          <w:p w14:paraId="3062AC8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0.4903</w:t>
            </w:r>
          </w:p>
        </w:tc>
        <w:tc>
          <w:tcPr>
            <w:tcW w:w="0" w:type="auto"/>
            <w:hideMark/>
          </w:tcPr>
          <w:p w14:paraId="54823CC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0.5342</w:t>
            </w:r>
          </w:p>
        </w:tc>
        <w:tc>
          <w:tcPr>
            <w:tcW w:w="2009" w:type="dxa"/>
            <w:hideMark/>
          </w:tcPr>
          <w:p w14:paraId="2362171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0.3409</w:t>
            </w:r>
          </w:p>
        </w:tc>
      </w:tr>
      <w:tr w:rsidR="00E57B83" w:rsidRPr="00F62E86" w14:paraId="341DF7FA" w14:textId="77777777" w:rsidTr="00E57B83">
        <w:tc>
          <w:tcPr>
            <w:tcW w:w="0" w:type="auto"/>
            <w:hideMark/>
          </w:tcPr>
          <w:p w14:paraId="4602512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Skewness</w:t>
            </w:r>
          </w:p>
        </w:tc>
        <w:tc>
          <w:tcPr>
            <w:tcW w:w="0" w:type="auto"/>
            <w:hideMark/>
          </w:tcPr>
          <w:p w14:paraId="61F06DA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0.0285</w:t>
            </w:r>
          </w:p>
        </w:tc>
        <w:tc>
          <w:tcPr>
            <w:tcW w:w="0" w:type="auto"/>
            <w:hideMark/>
          </w:tcPr>
          <w:p w14:paraId="5FAC999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0.9021</w:t>
            </w:r>
          </w:p>
        </w:tc>
        <w:tc>
          <w:tcPr>
            <w:tcW w:w="0" w:type="auto"/>
            <w:hideMark/>
          </w:tcPr>
          <w:p w14:paraId="7B8DB0A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0.5824</w:t>
            </w:r>
          </w:p>
        </w:tc>
        <w:tc>
          <w:tcPr>
            <w:tcW w:w="0" w:type="auto"/>
            <w:hideMark/>
          </w:tcPr>
          <w:p w14:paraId="05BE5B8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1.3846</w:t>
            </w:r>
          </w:p>
        </w:tc>
        <w:tc>
          <w:tcPr>
            <w:tcW w:w="0" w:type="auto"/>
            <w:hideMark/>
          </w:tcPr>
          <w:p w14:paraId="72CAC6E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0.6812</w:t>
            </w:r>
          </w:p>
        </w:tc>
        <w:tc>
          <w:tcPr>
            <w:tcW w:w="0" w:type="auto"/>
            <w:hideMark/>
          </w:tcPr>
          <w:p w14:paraId="683E4D5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0.7453</w:t>
            </w:r>
          </w:p>
        </w:tc>
        <w:tc>
          <w:tcPr>
            <w:tcW w:w="2009" w:type="dxa"/>
            <w:hideMark/>
          </w:tcPr>
          <w:p w14:paraId="392AA58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1.2781</w:t>
            </w:r>
          </w:p>
        </w:tc>
      </w:tr>
      <w:tr w:rsidR="00E57B83" w:rsidRPr="00F62E86" w14:paraId="6B181814" w14:textId="77777777" w:rsidTr="00E57B83">
        <w:tc>
          <w:tcPr>
            <w:tcW w:w="0" w:type="auto"/>
            <w:hideMark/>
          </w:tcPr>
          <w:p w14:paraId="7CBEFEE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Kurtosis</w:t>
            </w:r>
          </w:p>
        </w:tc>
        <w:tc>
          <w:tcPr>
            <w:tcW w:w="0" w:type="auto"/>
            <w:hideMark/>
          </w:tcPr>
          <w:p w14:paraId="46467A0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2.4295</w:t>
            </w:r>
          </w:p>
        </w:tc>
        <w:tc>
          <w:tcPr>
            <w:tcW w:w="0" w:type="auto"/>
            <w:hideMark/>
          </w:tcPr>
          <w:p w14:paraId="18C5282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3.0741</w:t>
            </w:r>
          </w:p>
        </w:tc>
        <w:tc>
          <w:tcPr>
            <w:tcW w:w="0" w:type="auto"/>
            <w:hideMark/>
          </w:tcPr>
          <w:p w14:paraId="5EA23B6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2.7756</w:t>
            </w:r>
          </w:p>
        </w:tc>
        <w:tc>
          <w:tcPr>
            <w:tcW w:w="0" w:type="auto"/>
            <w:hideMark/>
          </w:tcPr>
          <w:p w14:paraId="10CECDF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4.6921</w:t>
            </w:r>
          </w:p>
        </w:tc>
        <w:tc>
          <w:tcPr>
            <w:tcW w:w="0" w:type="auto"/>
            <w:hideMark/>
          </w:tcPr>
          <w:p w14:paraId="68BF6E5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2.9912</w:t>
            </w:r>
          </w:p>
        </w:tc>
        <w:tc>
          <w:tcPr>
            <w:tcW w:w="0" w:type="auto"/>
            <w:hideMark/>
          </w:tcPr>
          <w:p w14:paraId="12F9E17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3.1427</w:t>
            </w:r>
          </w:p>
        </w:tc>
        <w:tc>
          <w:tcPr>
            <w:tcW w:w="2009" w:type="dxa"/>
            <w:hideMark/>
          </w:tcPr>
          <w:p w14:paraId="174C745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4.0108</w:t>
            </w:r>
          </w:p>
        </w:tc>
      </w:tr>
      <w:tr w:rsidR="00E57B83" w:rsidRPr="00F62E86" w14:paraId="0D8D62C6" w14:textId="77777777" w:rsidTr="00E57B83">
        <w:tc>
          <w:tcPr>
            <w:tcW w:w="0" w:type="auto"/>
            <w:hideMark/>
          </w:tcPr>
          <w:p w14:paraId="1660956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Jarque-Bera</w:t>
            </w:r>
          </w:p>
        </w:tc>
        <w:tc>
          <w:tcPr>
            <w:tcW w:w="0" w:type="auto"/>
            <w:hideMark/>
          </w:tcPr>
          <w:p w14:paraId="124F631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0.9588</w:t>
            </w:r>
          </w:p>
        </w:tc>
        <w:tc>
          <w:tcPr>
            <w:tcW w:w="0" w:type="auto"/>
            <w:hideMark/>
          </w:tcPr>
          <w:p w14:paraId="0A99FDD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3.4312</w:t>
            </w:r>
          </w:p>
        </w:tc>
        <w:tc>
          <w:tcPr>
            <w:tcW w:w="0" w:type="auto"/>
            <w:hideMark/>
          </w:tcPr>
          <w:p w14:paraId="50AC04A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2.7624</w:t>
            </w:r>
          </w:p>
        </w:tc>
        <w:tc>
          <w:tcPr>
            <w:tcW w:w="0" w:type="auto"/>
            <w:hideMark/>
          </w:tcPr>
          <w:p w14:paraId="723C96C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21.3052</w:t>
            </w:r>
          </w:p>
        </w:tc>
        <w:tc>
          <w:tcPr>
            <w:tcW w:w="0" w:type="auto"/>
            <w:hideMark/>
          </w:tcPr>
          <w:p w14:paraId="197104A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3.8835</w:t>
            </w:r>
          </w:p>
        </w:tc>
        <w:tc>
          <w:tcPr>
            <w:tcW w:w="0" w:type="auto"/>
            <w:hideMark/>
          </w:tcPr>
          <w:p w14:paraId="1FCCECC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3.9204</w:t>
            </w:r>
          </w:p>
        </w:tc>
        <w:tc>
          <w:tcPr>
            <w:tcW w:w="2009" w:type="dxa"/>
            <w:hideMark/>
          </w:tcPr>
          <w:p w14:paraId="13A3CA1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17.4612</w:t>
            </w:r>
          </w:p>
        </w:tc>
      </w:tr>
      <w:tr w:rsidR="00E57B83" w:rsidRPr="00F62E86" w14:paraId="30B6DC33" w14:textId="77777777" w:rsidTr="00E57B83">
        <w:tc>
          <w:tcPr>
            <w:tcW w:w="0" w:type="auto"/>
            <w:hideMark/>
          </w:tcPr>
          <w:p w14:paraId="04130E2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p-value</w:t>
            </w:r>
          </w:p>
        </w:tc>
        <w:tc>
          <w:tcPr>
            <w:tcW w:w="0" w:type="auto"/>
            <w:hideMark/>
          </w:tcPr>
          <w:p w14:paraId="6A1318A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0.6192</w:t>
            </w:r>
          </w:p>
        </w:tc>
        <w:tc>
          <w:tcPr>
            <w:tcW w:w="0" w:type="auto"/>
            <w:hideMark/>
          </w:tcPr>
          <w:p w14:paraId="79A4BB3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0.1792</w:t>
            </w:r>
          </w:p>
        </w:tc>
        <w:tc>
          <w:tcPr>
            <w:tcW w:w="0" w:type="auto"/>
            <w:hideMark/>
          </w:tcPr>
          <w:p w14:paraId="3FB022C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0.2518</w:t>
            </w:r>
          </w:p>
        </w:tc>
        <w:tc>
          <w:tcPr>
            <w:tcW w:w="0" w:type="auto"/>
            <w:hideMark/>
          </w:tcPr>
          <w:p w14:paraId="6333CDE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556E7F3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0.1434</w:t>
            </w:r>
          </w:p>
        </w:tc>
        <w:tc>
          <w:tcPr>
            <w:tcW w:w="0" w:type="auto"/>
            <w:hideMark/>
          </w:tcPr>
          <w:p w14:paraId="0B1438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0.1401</w:t>
            </w:r>
          </w:p>
        </w:tc>
        <w:tc>
          <w:tcPr>
            <w:tcW w:w="2009" w:type="dxa"/>
            <w:hideMark/>
          </w:tcPr>
          <w:p w14:paraId="21B826D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0.0002</w:t>
            </w:r>
          </w:p>
        </w:tc>
      </w:tr>
    </w:tbl>
    <w:p w14:paraId="722A5F0D" w14:textId="1452536E" w:rsidR="00E57B83" w:rsidRPr="00F24E4A"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5E8D5D59" w14:textId="77777777" w:rsidR="0054602B" w:rsidRDefault="0054602B" w:rsidP="00E57B83">
      <w:pPr>
        <w:spacing w:before="100" w:beforeAutospacing="1" w:after="100" w:afterAutospacing="1" w:line="240" w:lineRule="auto"/>
        <w:rPr>
          <w:rFonts w:ascii="Times New Roman" w:eastAsia="Times New Roman" w:hAnsi="Times New Roman" w:cs="Times New Roman"/>
          <w:b/>
          <w:bCs/>
          <w:sz w:val="24"/>
          <w:szCs w:val="24"/>
        </w:rPr>
      </w:pPr>
    </w:p>
    <w:p w14:paraId="70430143" w14:textId="77777777" w:rsidR="0054602B" w:rsidRDefault="0054602B" w:rsidP="00E57B83">
      <w:pPr>
        <w:spacing w:before="100" w:beforeAutospacing="1" w:after="100" w:afterAutospacing="1" w:line="240" w:lineRule="auto"/>
        <w:rPr>
          <w:rFonts w:ascii="Times New Roman" w:eastAsia="Times New Roman" w:hAnsi="Times New Roman" w:cs="Times New Roman"/>
          <w:b/>
          <w:bCs/>
          <w:sz w:val="24"/>
          <w:szCs w:val="24"/>
        </w:rPr>
      </w:pPr>
    </w:p>
    <w:p w14:paraId="559450B0" w14:textId="77777777" w:rsidR="0054602B" w:rsidRDefault="0054602B" w:rsidP="00E57B83">
      <w:pPr>
        <w:spacing w:before="100" w:beforeAutospacing="1" w:after="100" w:afterAutospacing="1" w:line="240" w:lineRule="auto"/>
        <w:rPr>
          <w:rFonts w:ascii="Times New Roman" w:eastAsia="Times New Roman" w:hAnsi="Times New Roman" w:cs="Times New Roman"/>
          <w:b/>
          <w:bCs/>
          <w:sz w:val="24"/>
          <w:szCs w:val="24"/>
        </w:rPr>
      </w:pPr>
    </w:p>
    <w:p w14:paraId="35E858C3" w14:textId="77777777" w:rsidR="0054602B" w:rsidRDefault="0054602B" w:rsidP="00E57B83">
      <w:pPr>
        <w:spacing w:before="100" w:beforeAutospacing="1" w:after="100" w:afterAutospacing="1" w:line="240" w:lineRule="auto"/>
        <w:rPr>
          <w:rFonts w:ascii="Times New Roman" w:eastAsia="Times New Roman" w:hAnsi="Times New Roman" w:cs="Times New Roman"/>
          <w:b/>
          <w:bCs/>
          <w:sz w:val="24"/>
          <w:szCs w:val="24"/>
        </w:rPr>
      </w:pPr>
    </w:p>
    <w:p w14:paraId="2DA20F1A" w14:textId="77777777" w:rsidR="00E57B83" w:rsidRDefault="00E57B83" w:rsidP="00E57B83">
      <w:pPr>
        <w:spacing w:before="100" w:beforeAutospacing="1" w:after="100" w:afterAutospacing="1" w:line="240" w:lineRule="auto"/>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lastRenderedPageBreak/>
        <w:t xml:space="preserve">Correlation </w:t>
      </w:r>
      <w:r w:rsidR="0054602B">
        <w:rPr>
          <w:rFonts w:ascii="Times New Roman" w:eastAsia="Times New Roman" w:hAnsi="Times New Roman" w:cs="Times New Roman"/>
          <w:b/>
          <w:bCs/>
          <w:sz w:val="24"/>
          <w:szCs w:val="24"/>
        </w:rPr>
        <w:t xml:space="preserve">Analysis </w:t>
      </w:r>
    </w:p>
    <w:p w14:paraId="3D2A1F41" w14:textId="5142CE46" w:rsidR="0054602B" w:rsidRPr="00F24E4A" w:rsidRDefault="0054602B" w:rsidP="0054602B">
      <w:pPr>
        <w:pStyle w:val="NormalWeb"/>
        <w:jc w:val="both"/>
      </w:pPr>
      <w:r w:rsidRPr="00F24E4A">
        <w:t>Th</w:t>
      </w:r>
      <w:r>
        <w:t xml:space="preserve">e correlation matrix in Table </w:t>
      </w:r>
      <w:r w:rsidR="00173902">
        <w:t>3</w:t>
      </w:r>
      <w:r w:rsidRPr="00F24E4A">
        <w:t xml:space="preserve"> reveals several important relationships among the variables in the study. Return on Assets (ROA) shows a statistically significant positive correlation with all environmental investment variables, including Waste Management Expenditure (WME, r = 0.4873***), Capital Investment in Waste Treatment Facilities (CIWTF, r = 0.3514***), Pollution Control Expenditure (PCE, r = 0.4227***), and Capital Expenditure on Pollution Control Equipment (CEPC, r = 0.3781***). These results suggest that higher investments in environmental sustainability are associated with improved financial performance. On the other hand, penalty-related variables such as Fines and Penalties for Waste Mismanagement (FPWM) and Environmental Regulatory Penalties (ERP) are negatively correlated with ROA (r = -0.2184** and -0.2753**, respectively), indicating that firms incurring higher fines tend to perform worse financially. The strong positive correlations among the investment variables themselves—such as between WME and CEPC (r = 0.5614***) or CIWTF and CEPC (r = 0.6029***)—suggest that firms adopting one form of environmental investment often commit to others, indicating an integrated approach to sustainability. Conversely, ERP shows a strong positive correlation with FPWM (r = 0.6184***), suggesting that firms penalized in one area are likely non-compliant across others. Collectively, these findings support the notion that environmental investments positively impact profitability, while regulatory penalties hinder financial performance.</w:t>
      </w:r>
    </w:p>
    <w:p w14:paraId="13FDCD0B" w14:textId="3C13B595" w:rsidR="0054602B" w:rsidRPr="0054602B" w:rsidRDefault="0054602B" w:rsidP="00E57B8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3</w:t>
      </w:r>
      <w:r w:rsidRPr="00F62E86">
        <w:rPr>
          <w:rFonts w:ascii="Times New Roman" w:eastAsia="Times New Roman" w:hAnsi="Times New Roman" w:cs="Times New Roman"/>
          <w:b/>
          <w:bCs/>
          <w:sz w:val="24"/>
          <w:szCs w:val="24"/>
        </w:rPr>
        <w:t xml:space="preserve">: Correlation </w:t>
      </w:r>
      <w:r>
        <w:rPr>
          <w:rFonts w:ascii="Times New Roman" w:eastAsia="Times New Roman" w:hAnsi="Times New Roman" w:cs="Times New Roman"/>
          <w:b/>
          <w:bCs/>
          <w:sz w:val="24"/>
          <w:szCs w:val="24"/>
        </w:rPr>
        <w:t xml:space="preserve">Analysis </w:t>
      </w:r>
    </w:p>
    <w:tbl>
      <w:tblPr>
        <w:tblStyle w:val="TableGrid"/>
        <w:tblW w:w="0" w:type="auto"/>
        <w:tblLook w:val="04A0" w:firstRow="1" w:lastRow="0" w:firstColumn="1" w:lastColumn="0" w:noHBand="0" w:noVBand="1"/>
      </w:tblPr>
      <w:tblGrid>
        <w:gridCol w:w="1110"/>
        <w:gridCol w:w="1236"/>
        <w:gridCol w:w="1236"/>
        <w:gridCol w:w="1236"/>
        <w:gridCol w:w="1236"/>
        <w:gridCol w:w="1236"/>
        <w:gridCol w:w="1076"/>
        <w:gridCol w:w="696"/>
      </w:tblGrid>
      <w:tr w:rsidR="00E57B83" w:rsidRPr="00F62E86" w14:paraId="2612E638" w14:textId="77777777" w:rsidTr="00E57B83">
        <w:tc>
          <w:tcPr>
            <w:tcW w:w="0" w:type="auto"/>
            <w:hideMark/>
          </w:tcPr>
          <w:p w14:paraId="0AAFDCF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w:t>
            </w:r>
          </w:p>
        </w:tc>
        <w:tc>
          <w:tcPr>
            <w:tcW w:w="0" w:type="auto"/>
            <w:hideMark/>
          </w:tcPr>
          <w:p w14:paraId="17BCAB8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ROA</w:t>
            </w:r>
          </w:p>
        </w:tc>
        <w:tc>
          <w:tcPr>
            <w:tcW w:w="0" w:type="auto"/>
            <w:hideMark/>
          </w:tcPr>
          <w:p w14:paraId="3C0D0B92"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WME</w:t>
            </w:r>
          </w:p>
        </w:tc>
        <w:tc>
          <w:tcPr>
            <w:tcW w:w="0" w:type="auto"/>
            <w:hideMark/>
          </w:tcPr>
          <w:p w14:paraId="5B81BC5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CIWTF</w:t>
            </w:r>
          </w:p>
        </w:tc>
        <w:tc>
          <w:tcPr>
            <w:tcW w:w="0" w:type="auto"/>
            <w:hideMark/>
          </w:tcPr>
          <w:p w14:paraId="1B239A25"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FPWM</w:t>
            </w:r>
          </w:p>
        </w:tc>
        <w:tc>
          <w:tcPr>
            <w:tcW w:w="0" w:type="auto"/>
            <w:hideMark/>
          </w:tcPr>
          <w:p w14:paraId="3FDD41ED"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PCE</w:t>
            </w:r>
          </w:p>
        </w:tc>
        <w:tc>
          <w:tcPr>
            <w:tcW w:w="0" w:type="auto"/>
            <w:hideMark/>
          </w:tcPr>
          <w:p w14:paraId="2636FBB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CEPC</w:t>
            </w:r>
          </w:p>
        </w:tc>
        <w:tc>
          <w:tcPr>
            <w:tcW w:w="0" w:type="auto"/>
            <w:hideMark/>
          </w:tcPr>
          <w:p w14:paraId="2662599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ERP</w:t>
            </w:r>
          </w:p>
        </w:tc>
      </w:tr>
      <w:tr w:rsidR="00E57B83" w:rsidRPr="00F62E86" w14:paraId="549BB5DA" w14:textId="77777777" w:rsidTr="00E57B83">
        <w:tc>
          <w:tcPr>
            <w:tcW w:w="0" w:type="auto"/>
            <w:hideMark/>
          </w:tcPr>
          <w:p w14:paraId="3E16C45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ROA</w:t>
            </w:r>
          </w:p>
        </w:tc>
        <w:tc>
          <w:tcPr>
            <w:tcW w:w="0" w:type="auto"/>
            <w:hideMark/>
          </w:tcPr>
          <w:p w14:paraId="0A76265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71A92241"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00940B3B"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A7F9466"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1B6CEF37"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3D21CDF9"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54E79DC0"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7D647F10" w14:textId="77777777" w:rsidTr="00E57B83">
        <w:tc>
          <w:tcPr>
            <w:tcW w:w="0" w:type="auto"/>
            <w:hideMark/>
          </w:tcPr>
          <w:p w14:paraId="749C43A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0" w:type="auto"/>
            <w:hideMark/>
          </w:tcPr>
          <w:p w14:paraId="29DB9D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0.4873***</w:t>
            </w:r>
          </w:p>
        </w:tc>
        <w:tc>
          <w:tcPr>
            <w:tcW w:w="0" w:type="auto"/>
            <w:hideMark/>
          </w:tcPr>
          <w:p w14:paraId="6925F29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6FD85B07"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5A290305"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7265AACF"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156B8CA"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36FC054F"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3343E1CC" w14:textId="77777777" w:rsidTr="00E57B83">
        <w:tc>
          <w:tcPr>
            <w:tcW w:w="0" w:type="auto"/>
            <w:hideMark/>
          </w:tcPr>
          <w:p w14:paraId="136B81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0" w:type="auto"/>
            <w:hideMark/>
          </w:tcPr>
          <w:p w14:paraId="1E437DE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0.3514***</w:t>
            </w:r>
          </w:p>
        </w:tc>
        <w:tc>
          <w:tcPr>
            <w:tcW w:w="0" w:type="auto"/>
            <w:hideMark/>
          </w:tcPr>
          <w:p w14:paraId="1E421C7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0.5892***</w:t>
            </w:r>
          </w:p>
        </w:tc>
        <w:tc>
          <w:tcPr>
            <w:tcW w:w="0" w:type="auto"/>
            <w:hideMark/>
          </w:tcPr>
          <w:p w14:paraId="694B3D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0672EA0E"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0189E100"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21895C2C"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2DA1CD0B"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79B168E6" w14:textId="77777777" w:rsidTr="00E57B83">
        <w:tc>
          <w:tcPr>
            <w:tcW w:w="0" w:type="auto"/>
            <w:hideMark/>
          </w:tcPr>
          <w:p w14:paraId="4E3A132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0" w:type="auto"/>
            <w:hideMark/>
          </w:tcPr>
          <w:p w14:paraId="24FEB98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-0.2184**</w:t>
            </w:r>
          </w:p>
        </w:tc>
        <w:tc>
          <w:tcPr>
            <w:tcW w:w="0" w:type="auto"/>
            <w:hideMark/>
          </w:tcPr>
          <w:p w14:paraId="5B1FF16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-0.1735*</w:t>
            </w:r>
          </w:p>
        </w:tc>
        <w:tc>
          <w:tcPr>
            <w:tcW w:w="0" w:type="auto"/>
            <w:hideMark/>
          </w:tcPr>
          <w:p w14:paraId="737C6D8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-0.1846*</w:t>
            </w:r>
          </w:p>
        </w:tc>
        <w:tc>
          <w:tcPr>
            <w:tcW w:w="0" w:type="auto"/>
            <w:hideMark/>
          </w:tcPr>
          <w:p w14:paraId="0781E87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1DBF3D8D"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CA8FF6C"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0A5BAABA"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6A4E5284" w14:textId="77777777" w:rsidTr="00E57B83">
        <w:tc>
          <w:tcPr>
            <w:tcW w:w="0" w:type="auto"/>
            <w:hideMark/>
          </w:tcPr>
          <w:p w14:paraId="26123CC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0" w:type="auto"/>
            <w:hideMark/>
          </w:tcPr>
          <w:p w14:paraId="24B1CC6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0.4227***</w:t>
            </w:r>
          </w:p>
        </w:tc>
        <w:tc>
          <w:tcPr>
            <w:tcW w:w="0" w:type="auto"/>
            <w:hideMark/>
          </w:tcPr>
          <w:p w14:paraId="53FB2A7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0.4935***</w:t>
            </w:r>
          </w:p>
        </w:tc>
        <w:tc>
          <w:tcPr>
            <w:tcW w:w="0" w:type="auto"/>
            <w:hideMark/>
          </w:tcPr>
          <w:p w14:paraId="6597EC2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0.4518***</w:t>
            </w:r>
          </w:p>
        </w:tc>
        <w:tc>
          <w:tcPr>
            <w:tcW w:w="0" w:type="auto"/>
            <w:hideMark/>
          </w:tcPr>
          <w:p w14:paraId="104C13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-0.2048*</w:t>
            </w:r>
          </w:p>
        </w:tc>
        <w:tc>
          <w:tcPr>
            <w:tcW w:w="0" w:type="auto"/>
            <w:hideMark/>
          </w:tcPr>
          <w:p w14:paraId="5195D6B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7C5B1EEA" w14:textId="77777777" w:rsidR="00E57B83" w:rsidRPr="00F62E86" w:rsidRDefault="00E57B83" w:rsidP="00E57B83">
            <w:pPr>
              <w:rPr>
                <w:rFonts w:ascii="Times New Roman" w:eastAsia="Times New Roman" w:hAnsi="Times New Roman" w:cs="Times New Roman"/>
                <w:sz w:val="24"/>
                <w:szCs w:val="24"/>
              </w:rPr>
            </w:pPr>
          </w:p>
        </w:tc>
        <w:tc>
          <w:tcPr>
            <w:tcW w:w="0" w:type="auto"/>
            <w:hideMark/>
          </w:tcPr>
          <w:p w14:paraId="4EBE018D"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287090AE" w14:textId="77777777" w:rsidTr="00E57B83">
        <w:tc>
          <w:tcPr>
            <w:tcW w:w="0" w:type="auto"/>
            <w:hideMark/>
          </w:tcPr>
          <w:p w14:paraId="59C0790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0" w:type="auto"/>
            <w:hideMark/>
          </w:tcPr>
          <w:p w14:paraId="47F0E5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0.3781***</w:t>
            </w:r>
          </w:p>
        </w:tc>
        <w:tc>
          <w:tcPr>
            <w:tcW w:w="0" w:type="auto"/>
            <w:hideMark/>
          </w:tcPr>
          <w:p w14:paraId="7FA244E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0.5614***</w:t>
            </w:r>
          </w:p>
        </w:tc>
        <w:tc>
          <w:tcPr>
            <w:tcW w:w="0" w:type="auto"/>
            <w:hideMark/>
          </w:tcPr>
          <w:p w14:paraId="0F3A627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0.6029***</w:t>
            </w:r>
          </w:p>
        </w:tc>
        <w:tc>
          <w:tcPr>
            <w:tcW w:w="0" w:type="auto"/>
            <w:hideMark/>
          </w:tcPr>
          <w:p w14:paraId="4DDFE4D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-0.1397</w:t>
            </w:r>
          </w:p>
        </w:tc>
        <w:tc>
          <w:tcPr>
            <w:tcW w:w="0" w:type="auto"/>
            <w:hideMark/>
          </w:tcPr>
          <w:p w14:paraId="2159F64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0.5243***</w:t>
            </w:r>
          </w:p>
        </w:tc>
        <w:tc>
          <w:tcPr>
            <w:tcW w:w="0" w:type="auto"/>
            <w:hideMark/>
          </w:tcPr>
          <w:p w14:paraId="1348C44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c>
          <w:tcPr>
            <w:tcW w:w="0" w:type="auto"/>
            <w:hideMark/>
          </w:tcPr>
          <w:p w14:paraId="699F89A6"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74D22474" w14:textId="77777777" w:rsidTr="00E57B83">
        <w:tc>
          <w:tcPr>
            <w:tcW w:w="0" w:type="auto"/>
            <w:hideMark/>
          </w:tcPr>
          <w:p w14:paraId="016B21D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0" w:type="auto"/>
            <w:hideMark/>
          </w:tcPr>
          <w:p w14:paraId="05FE7C5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-0.2753**</w:t>
            </w:r>
          </w:p>
        </w:tc>
        <w:tc>
          <w:tcPr>
            <w:tcW w:w="0" w:type="auto"/>
            <w:hideMark/>
          </w:tcPr>
          <w:p w14:paraId="0EF4EEC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-0.2481**</w:t>
            </w:r>
          </w:p>
        </w:tc>
        <w:tc>
          <w:tcPr>
            <w:tcW w:w="0" w:type="auto"/>
            <w:hideMark/>
          </w:tcPr>
          <w:p w14:paraId="6578E6B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-0.1835*</w:t>
            </w:r>
          </w:p>
        </w:tc>
        <w:tc>
          <w:tcPr>
            <w:tcW w:w="0" w:type="auto"/>
            <w:hideMark/>
          </w:tcPr>
          <w:p w14:paraId="6A390C8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0.6184***</w:t>
            </w:r>
          </w:p>
        </w:tc>
        <w:tc>
          <w:tcPr>
            <w:tcW w:w="0" w:type="auto"/>
            <w:hideMark/>
          </w:tcPr>
          <w:p w14:paraId="29A26C9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-0.2418**</w:t>
            </w:r>
          </w:p>
        </w:tc>
        <w:tc>
          <w:tcPr>
            <w:tcW w:w="0" w:type="auto"/>
            <w:hideMark/>
          </w:tcPr>
          <w:p w14:paraId="572D872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-0.2127*</w:t>
            </w:r>
          </w:p>
        </w:tc>
        <w:tc>
          <w:tcPr>
            <w:tcW w:w="0" w:type="auto"/>
            <w:hideMark/>
          </w:tcPr>
          <w:p w14:paraId="08A6748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w:t>
            </w:r>
          </w:p>
        </w:tc>
      </w:tr>
    </w:tbl>
    <w:p w14:paraId="3CCD712C" w14:textId="0B2417BB" w:rsidR="00E57B83" w:rsidRDefault="00E57B83" w:rsidP="00E57B83">
      <w:pPr>
        <w:pStyle w:val="NoSpacing"/>
        <w:rPr>
          <w:rFonts w:ascii="Times New Roman" w:hAnsi="Times New Roman" w:cs="Times New Roman"/>
          <w:i/>
          <w:sz w:val="24"/>
          <w:szCs w:val="24"/>
        </w:rPr>
      </w:pPr>
      <w:r w:rsidRPr="00F24E4A">
        <w:rPr>
          <w:rFonts w:ascii="Times New Roman" w:hAnsi="Times New Roman" w:cs="Times New Roman"/>
          <w:i/>
          <w:sz w:val="24"/>
          <w:szCs w:val="24"/>
        </w:rPr>
        <w:t>Significance: *** p &lt; 0.01, ** p &lt; 0.05, * p &lt; 0.10</w:t>
      </w:r>
      <w:r w:rsidRPr="00F24E4A">
        <w:rPr>
          <w:rFonts w:ascii="Times New Roman" w:hAnsi="Times New Roman" w:cs="Times New Roman"/>
          <w:i/>
          <w:sz w:val="24"/>
          <w:szCs w:val="24"/>
        </w:rPr>
        <w:br/>
        <w:t>Source: Researchers’ Computation (202</w:t>
      </w:r>
      <w:r w:rsidR="00173902">
        <w:rPr>
          <w:rFonts w:ascii="Times New Roman" w:hAnsi="Times New Roman" w:cs="Times New Roman"/>
          <w:i/>
          <w:sz w:val="24"/>
          <w:szCs w:val="24"/>
        </w:rPr>
        <w:t>6</w:t>
      </w:r>
      <w:r w:rsidRPr="00F24E4A">
        <w:rPr>
          <w:rFonts w:ascii="Times New Roman" w:hAnsi="Times New Roman" w:cs="Times New Roman"/>
          <w:i/>
          <w:sz w:val="24"/>
          <w:szCs w:val="24"/>
        </w:rPr>
        <w:t>).</w:t>
      </w:r>
    </w:p>
    <w:p w14:paraId="307B88B7" w14:textId="77777777" w:rsidR="0054602B" w:rsidRDefault="0054602B" w:rsidP="00E57B83">
      <w:pPr>
        <w:pStyle w:val="NoSpacing"/>
        <w:rPr>
          <w:rFonts w:ascii="Times New Roman" w:hAnsi="Times New Roman" w:cs="Times New Roman"/>
          <w:i/>
          <w:sz w:val="24"/>
          <w:szCs w:val="24"/>
        </w:rPr>
      </w:pPr>
    </w:p>
    <w:p w14:paraId="0E38A542" w14:textId="77777777" w:rsidR="0054602B" w:rsidRDefault="0054602B" w:rsidP="00E57B83">
      <w:pPr>
        <w:pStyle w:val="NoSpacing"/>
        <w:rPr>
          <w:rFonts w:ascii="Times New Roman" w:hAnsi="Times New Roman" w:cs="Times New Roman"/>
          <w:i/>
          <w:sz w:val="24"/>
          <w:szCs w:val="24"/>
        </w:rPr>
      </w:pPr>
      <w:r w:rsidRPr="00F62E86">
        <w:rPr>
          <w:rFonts w:ascii="Times New Roman" w:eastAsia="Times New Roman" w:hAnsi="Times New Roman" w:cs="Times New Roman"/>
          <w:b/>
          <w:bCs/>
          <w:sz w:val="24"/>
          <w:szCs w:val="24"/>
        </w:rPr>
        <w:t xml:space="preserve">Panel Unit Root </w:t>
      </w:r>
      <w:r>
        <w:rPr>
          <w:rFonts w:ascii="Times New Roman" w:eastAsia="Times New Roman" w:hAnsi="Times New Roman" w:cs="Times New Roman"/>
          <w:b/>
          <w:bCs/>
          <w:sz w:val="24"/>
          <w:szCs w:val="24"/>
        </w:rPr>
        <w:t>Stationary Test</w:t>
      </w:r>
    </w:p>
    <w:p w14:paraId="2E28811C" w14:textId="77777777" w:rsidR="0054602B" w:rsidRDefault="0054602B" w:rsidP="0054602B">
      <w:pPr>
        <w:jc w:val="both"/>
        <w:outlineLvl w:val="2"/>
        <w:rPr>
          <w:rFonts w:ascii="Times New Roman" w:hAnsi="Times New Roman" w:cs="Times New Roman"/>
          <w:bCs/>
          <w:sz w:val="24"/>
          <w:szCs w:val="24"/>
        </w:rPr>
      </w:pPr>
    </w:p>
    <w:p w14:paraId="62EDE87C" w14:textId="3E671B2A" w:rsidR="0054602B" w:rsidRPr="0054602B" w:rsidRDefault="0054602B" w:rsidP="0054602B">
      <w:pPr>
        <w:jc w:val="both"/>
        <w:outlineLvl w:val="2"/>
        <w:rPr>
          <w:rFonts w:ascii="Times New Roman" w:hAnsi="Times New Roman" w:cs="Times New Roman"/>
          <w:bCs/>
          <w:sz w:val="24"/>
          <w:szCs w:val="24"/>
        </w:rPr>
      </w:pPr>
      <w:r w:rsidRPr="00F24E4A">
        <w:rPr>
          <w:rFonts w:ascii="Times New Roman" w:hAnsi="Times New Roman" w:cs="Times New Roman"/>
          <w:bCs/>
          <w:sz w:val="24"/>
          <w:szCs w:val="24"/>
        </w:rPr>
        <w:t>The pan</w:t>
      </w:r>
      <w:r>
        <w:rPr>
          <w:rFonts w:ascii="Times New Roman" w:hAnsi="Times New Roman" w:cs="Times New Roman"/>
          <w:bCs/>
          <w:sz w:val="24"/>
          <w:szCs w:val="24"/>
        </w:rPr>
        <w:t xml:space="preserve">el unit root results in Table </w:t>
      </w:r>
      <w:r w:rsidR="00173902">
        <w:rPr>
          <w:rFonts w:ascii="Times New Roman" w:hAnsi="Times New Roman" w:cs="Times New Roman"/>
          <w:bCs/>
          <w:sz w:val="24"/>
          <w:szCs w:val="24"/>
        </w:rPr>
        <w:t>4</w:t>
      </w:r>
      <w:r w:rsidRPr="00F24E4A">
        <w:rPr>
          <w:rFonts w:ascii="Times New Roman" w:hAnsi="Times New Roman" w:cs="Times New Roman"/>
          <w:bCs/>
          <w:sz w:val="24"/>
          <w:szCs w:val="24"/>
        </w:rPr>
        <w:t xml:space="preserve"> assess the stationarity of the dataset using both the Levin, Lin &amp; Chu (LLC) test and the </w:t>
      </w:r>
      <w:proofErr w:type="spellStart"/>
      <w:r w:rsidRPr="00F24E4A">
        <w:rPr>
          <w:rFonts w:ascii="Times New Roman" w:hAnsi="Times New Roman" w:cs="Times New Roman"/>
          <w:bCs/>
          <w:sz w:val="24"/>
          <w:szCs w:val="24"/>
        </w:rPr>
        <w:t>Im</w:t>
      </w:r>
      <w:proofErr w:type="spellEnd"/>
      <w:r w:rsidRPr="00F24E4A">
        <w:rPr>
          <w:rFonts w:ascii="Times New Roman" w:hAnsi="Times New Roman" w:cs="Times New Roman"/>
          <w:bCs/>
          <w:sz w:val="24"/>
          <w:szCs w:val="24"/>
        </w:rPr>
        <w:t xml:space="preserve">, </w:t>
      </w:r>
      <w:proofErr w:type="spellStart"/>
      <w:r w:rsidRPr="00F24E4A">
        <w:rPr>
          <w:rFonts w:ascii="Times New Roman" w:hAnsi="Times New Roman" w:cs="Times New Roman"/>
          <w:bCs/>
          <w:sz w:val="24"/>
          <w:szCs w:val="24"/>
        </w:rPr>
        <w:t>Pesaran</w:t>
      </w:r>
      <w:proofErr w:type="spellEnd"/>
      <w:r w:rsidRPr="00F24E4A">
        <w:rPr>
          <w:rFonts w:ascii="Times New Roman" w:hAnsi="Times New Roman" w:cs="Times New Roman"/>
          <w:bCs/>
          <w:sz w:val="24"/>
          <w:szCs w:val="24"/>
        </w:rPr>
        <w:t xml:space="preserve"> and Shin (IPS) W-stat test. The results show that WME (Waste Management Expenditure), PCE (Pollution Control Expenditure), and CEPC (Capital Expenditure on Pollution Control Equipment) are stationary at level (I(0)), with statistically significant p-values (all below 0.01), indicating these variables do not require differencing and are stable over time. In contrast, ROA (Return on Assets), CIWTF (Capital Investment in Waste Treatment Facilities), FPWM (Fines and Penalties for Waste Mismanagement), and ERP (Environmental Regulatory Penalties) are non-stationary at level but become stationary after first differencing (I(1)), meaning these variables exhibit time-dependent trends and require transformation before regression analysis. The implication for modeling is that a mix of I(0) and </w:t>
      </w:r>
      <w:r w:rsidRPr="00F24E4A">
        <w:rPr>
          <w:rFonts w:ascii="Times New Roman" w:hAnsi="Times New Roman" w:cs="Times New Roman"/>
          <w:bCs/>
          <w:sz w:val="24"/>
          <w:szCs w:val="24"/>
        </w:rPr>
        <w:lastRenderedPageBreak/>
        <w:t>I(1) variables exists, which justifies the use of panel estimation techniques such as GMM that accommodate dynamic specifications and allow for non-stationarity. Ensuring proper integration orders is essential to avoid spurious regression results and to maintain the reliability of the empirical findings.</w:t>
      </w:r>
    </w:p>
    <w:p w14:paraId="5BFCCAAA" w14:textId="72207901"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4</w:t>
      </w:r>
      <w:r w:rsidR="00E57B83" w:rsidRPr="00F62E86">
        <w:rPr>
          <w:rFonts w:ascii="Times New Roman" w:eastAsia="Times New Roman" w:hAnsi="Times New Roman" w:cs="Times New Roman"/>
          <w:b/>
          <w:bCs/>
          <w:sz w:val="24"/>
          <w:szCs w:val="24"/>
        </w:rPr>
        <w:t xml:space="preserve">: Panel Unit Root </w:t>
      </w:r>
      <w:r>
        <w:rPr>
          <w:rFonts w:ascii="Times New Roman" w:eastAsia="Times New Roman" w:hAnsi="Times New Roman" w:cs="Times New Roman"/>
          <w:b/>
          <w:bCs/>
          <w:sz w:val="24"/>
          <w:szCs w:val="24"/>
        </w:rPr>
        <w:t xml:space="preserve">Stationary Test </w:t>
      </w:r>
    </w:p>
    <w:tbl>
      <w:tblPr>
        <w:tblStyle w:val="TableGrid"/>
        <w:tblW w:w="0" w:type="auto"/>
        <w:tblLook w:val="04A0" w:firstRow="1" w:lastRow="0" w:firstColumn="1" w:lastColumn="0" w:noHBand="0" w:noVBand="1"/>
      </w:tblPr>
      <w:tblGrid>
        <w:gridCol w:w="1110"/>
        <w:gridCol w:w="970"/>
        <w:gridCol w:w="996"/>
        <w:gridCol w:w="1343"/>
        <w:gridCol w:w="1246"/>
        <w:gridCol w:w="3420"/>
      </w:tblGrid>
      <w:tr w:rsidR="00E57B83" w:rsidRPr="00F62E86" w14:paraId="16C58EBB" w14:textId="77777777" w:rsidTr="00E57B83">
        <w:tc>
          <w:tcPr>
            <w:tcW w:w="0" w:type="auto"/>
            <w:hideMark/>
          </w:tcPr>
          <w:p w14:paraId="0BF7D20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w:t>
            </w:r>
          </w:p>
        </w:tc>
        <w:tc>
          <w:tcPr>
            <w:tcW w:w="0" w:type="auto"/>
            <w:hideMark/>
          </w:tcPr>
          <w:p w14:paraId="3D3FEF3D"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LLC t*</w:t>
            </w:r>
          </w:p>
        </w:tc>
        <w:tc>
          <w:tcPr>
            <w:tcW w:w="0" w:type="auto"/>
            <w:hideMark/>
          </w:tcPr>
          <w:p w14:paraId="58C9DB9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Prob.</w:t>
            </w:r>
          </w:p>
        </w:tc>
        <w:tc>
          <w:tcPr>
            <w:tcW w:w="0" w:type="auto"/>
            <w:hideMark/>
          </w:tcPr>
          <w:p w14:paraId="52F90C7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IPS W-stat</w:t>
            </w:r>
          </w:p>
        </w:tc>
        <w:tc>
          <w:tcPr>
            <w:tcW w:w="1246" w:type="dxa"/>
            <w:hideMark/>
          </w:tcPr>
          <w:p w14:paraId="375EF875"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Prob.</w:t>
            </w:r>
          </w:p>
        </w:tc>
        <w:tc>
          <w:tcPr>
            <w:tcW w:w="3420" w:type="dxa"/>
            <w:hideMark/>
          </w:tcPr>
          <w:p w14:paraId="516E7D3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Order of Integration</w:t>
            </w:r>
          </w:p>
        </w:tc>
      </w:tr>
      <w:tr w:rsidR="00E57B83" w:rsidRPr="00F62E86" w14:paraId="2A221216" w14:textId="77777777" w:rsidTr="00E57B83">
        <w:tc>
          <w:tcPr>
            <w:tcW w:w="0" w:type="auto"/>
            <w:hideMark/>
          </w:tcPr>
          <w:p w14:paraId="34014BD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ROA</w:t>
            </w:r>
          </w:p>
        </w:tc>
        <w:tc>
          <w:tcPr>
            <w:tcW w:w="0" w:type="auto"/>
            <w:hideMark/>
          </w:tcPr>
          <w:p w14:paraId="30C6470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-1.5801</w:t>
            </w:r>
          </w:p>
        </w:tc>
        <w:tc>
          <w:tcPr>
            <w:tcW w:w="0" w:type="auto"/>
            <w:hideMark/>
          </w:tcPr>
          <w:p w14:paraId="419F909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0.7761</w:t>
            </w:r>
          </w:p>
        </w:tc>
        <w:tc>
          <w:tcPr>
            <w:tcW w:w="0" w:type="auto"/>
            <w:hideMark/>
          </w:tcPr>
          <w:p w14:paraId="2179C6E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-2.2147</w:t>
            </w:r>
          </w:p>
        </w:tc>
        <w:tc>
          <w:tcPr>
            <w:tcW w:w="1246" w:type="dxa"/>
            <w:hideMark/>
          </w:tcPr>
          <w:p w14:paraId="57D100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0.8143</w:t>
            </w:r>
          </w:p>
        </w:tc>
        <w:tc>
          <w:tcPr>
            <w:tcW w:w="3420" w:type="dxa"/>
            <w:hideMark/>
          </w:tcPr>
          <w:p w14:paraId="081509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r w:rsidR="00E57B83" w:rsidRPr="00F62E86" w14:paraId="51E48D03" w14:textId="77777777" w:rsidTr="00E57B83">
        <w:tc>
          <w:tcPr>
            <w:tcW w:w="0" w:type="auto"/>
            <w:hideMark/>
          </w:tcPr>
          <w:p w14:paraId="781CAB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0" w:type="auto"/>
            <w:hideMark/>
          </w:tcPr>
          <w:p w14:paraId="7EF4372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-4.2718</w:t>
            </w:r>
          </w:p>
        </w:tc>
        <w:tc>
          <w:tcPr>
            <w:tcW w:w="0" w:type="auto"/>
            <w:hideMark/>
          </w:tcPr>
          <w:p w14:paraId="79F51C3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0.0023*</w:t>
            </w:r>
          </w:p>
        </w:tc>
        <w:tc>
          <w:tcPr>
            <w:tcW w:w="0" w:type="auto"/>
            <w:hideMark/>
          </w:tcPr>
          <w:p w14:paraId="4B47B78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-8.1134</w:t>
            </w:r>
          </w:p>
        </w:tc>
        <w:tc>
          <w:tcPr>
            <w:tcW w:w="1246" w:type="dxa"/>
            <w:hideMark/>
          </w:tcPr>
          <w:p w14:paraId="1959932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3420" w:type="dxa"/>
            <w:hideMark/>
          </w:tcPr>
          <w:p w14:paraId="1C6E634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I(0)</w:t>
            </w:r>
          </w:p>
        </w:tc>
      </w:tr>
      <w:tr w:rsidR="00E57B83" w:rsidRPr="00F62E86" w14:paraId="34B862F3" w14:textId="77777777" w:rsidTr="00E57B83">
        <w:tc>
          <w:tcPr>
            <w:tcW w:w="0" w:type="auto"/>
            <w:hideMark/>
          </w:tcPr>
          <w:p w14:paraId="4802989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0" w:type="auto"/>
            <w:hideMark/>
          </w:tcPr>
          <w:p w14:paraId="26A48CE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-1.6473</w:t>
            </w:r>
          </w:p>
        </w:tc>
        <w:tc>
          <w:tcPr>
            <w:tcW w:w="0" w:type="auto"/>
            <w:hideMark/>
          </w:tcPr>
          <w:p w14:paraId="11BF698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0.6910</w:t>
            </w:r>
          </w:p>
        </w:tc>
        <w:tc>
          <w:tcPr>
            <w:tcW w:w="0" w:type="auto"/>
            <w:hideMark/>
          </w:tcPr>
          <w:p w14:paraId="773FCBB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-2.0976</w:t>
            </w:r>
          </w:p>
        </w:tc>
        <w:tc>
          <w:tcPr>
            <w:tcW w:w="1246" w:type="dxa"/>
            <w:hideMark/>
          </w:tcPr>
          <w:p w14:paraId="6577E2E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0.7425</w:t>
            </w:r>
          </w:p>
        </w:tc>
        <w:tc>
          <w:tcPr>
            <w:tcW w:w="3420" w:type="dxa"/>
            <w:hideMark/>
          </w:tcPr>
          <w:p w14:paraId="4347CE0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r w:rsidR="00E57B83" w:rsidRPr="00F62E86" w14:paraId="138FC7B6" w14:textId="77777777" w:rsidTr="00E57B83">
        <w:tc>
          <w:tcPr>
            <w:tcW w:w="0" w:type="auto"/>
            <w:hideMark/>
          </w:tcPr>
          <w:p w14:paraId="20B8CDC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0" w:type="auto"/>
            <w:hideMark/>
          </w:tcPr>
          <w:p w14:paraId="6CBB52C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-2.3126</w:t>
            </w:r>
          </w:p>
        </w:tc>
        <w:tc>
          <w:tcPr>
            <w:tcW w:w="0" w:type="auto"/>
            <w:hideMark/>
          </w:tcPr>
          <w:p w14:paraId="6962EC4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0.1184</w:t>
            </w:r>
          </w:p>
        </w:tc>
        <w:tc>
          <w:tcPr>
            <w:tcW w:w="0" w:type="auto"/>
            <w:hideMark/>
          </w:tcPr>
          <w:p w14:paraId="130EB6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-2.7641</w:t>
            </w:r>
          </w:p>
        </w:tc>
        <w:tc>
          <w:tcPr>
            <w:tcW w:w="1246" w:type="dxa"/>
            <w:hideMark/>
          </w:tcPr>
          <w:p w14:paraId="366B309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0.0842</w:t>
            </w:r>
          </w:p>
        </w:tc>
        <w:tc>
          <w:tcPr>
            <w:tcW w:w="3420" w:type="dxa"/>
            <w:hideMark/>
          </w:tcPr>
          <w:p w14:paraId="49350F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r w:rsidR="00E57B83" w:rsidRPr="00F62E86" w14:paraId="439038F6" w14:textId="77777777" w:rsidTr="00E57B83">
        <w:tc>
          <w:tcPr>
            <w:tcW w:w="0" w:type="auto"/>
            <w:hideMark/>
          </w:tcPr>
          <w:p w14:paraId="0DED3E0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0" w:type="auto"/>
            <w:hideMark/>
          </w:tcPr>
          <w:p w14:paraId="6170584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-4.5517</w:t>
            </w:r>
          </w:p>
        </w:tc>
        <w:tc>
          <w:tcPr>
            <w:tcW w:w="0" w:type="auto"/>
            <w:hideMark/>
          </w:tcPr>
          <w:p w14:paraId="2DF739D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0072C0B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-6.9823</w:t>
            </w:r>
          </w:p>
        </w:tc>
        <w:tc>
          <w:tcPr>
            <w:tcW w:w="1246" w:type="dxa"/>
            <w:hideMark/>
          </w:tcPr>
          <w:p w14:paraId="4D586E5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3420" w:type="dxa"/>
            <w:hideMark/>
          </w:tcPr>
          <w:p w14:paraId="548D15F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I(0)</w:t>
            </w:r>
          </w:p>
        </w:tc>
      </w:tr>
      <w:tr w:rsidR="00E57B83" w:rsidRPr="00F62E86" w14:paraId="42F717D2" w14:textId="77777777" w:rsidTr="00E57B83">
        <w:tc>
          <w:tcPr>
            <w:tcW w:w="0" w:type="auto"/>
            <w:hideMark/>
          </w:tcPr>
          <w:p w14:paraId="0EE610D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0" w:type="auto"/>
            <w:hideMark/>
          </w:tcPr>
          <w:p w14:paraId="2B2173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-3.9294</w:t>
            </w:r>
          </w:p>
        </w:tc>
        <w:tc>
          <w:tcPr>
            <w:tcW w:w="0" w:type="auto"/>
            <w:hideMark/>
          </w:tcPr>
          <w:p w14:paraId="3D48B8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0.0078</w:t>
            </w:r>
          </w:p>
        </w:tc>
        <w:tc>
          <w:tcPr>
            <w:tcW w:w="0" w:type="auto"/>
            <w:hideMark/>
          </w:tcPr>
          <w:p w14:paraId="29CAD41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-5.2174</w:t>
            </w:r>
          </w:p>
        </w:tc>
        <w:tc>
          <w:tcPr>
            <w:tcW w:w="1246" w:type="dxa"/>
            <w:hideMark/>
          </w:tcPr>
          <w:p w14:paraId="65378E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0.0014</w:t>
            </w:r>
          </w:p>
        </w:tc>
        <w:tc>
          <w:tcPr>
            <w:tcW w:w="3420" w:type="dxa"/>
            <w:hideMark/>
          </w:tcPr>
          <w:p w14:paraId="1F52B50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I(0)</w:t>
            </w:r>
          </w:p>
        </w:tc>
      </w:tr>
      <w:tr w:rsidR="00E57B83" w:rsidRPr="00F62E86" w14:paraId="4CDC57AB" w14:textId="77777777" w:rsidTr="00E57B83">
        <w:tc>
          <w:tcPr>
            <w:tcW w:w="0" w:type="auto"/>
            <w:hideMark/>
          </w:tcPr>
          <w:p w14:paraId="1C59A41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0" w:type="auto"/>
            <w:hideMark/>
          </w:tcPr>
          <w:p w14:paraId="35F7CC4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-1.8135</w:t>
            </w:r>
          </w:p>
        </w:tc>
        <w:tc>
          <w:tcPr>
            <w:tcW w:w="0" w:type="auto"/>
            <w:hideMark/>
          </w:tcPr>
          <w:p w14:paraId="7E65CC0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0.5194</w:t>
            </w:r>
          </w:p>
        </w:tc>
        <w:tc>
          <w:tcPr>
            <w:tcW w:w="0" w:type="auto"/>
            <w:hideMark/>
          </w:tcPr>
          <w:p w14:paraId="22507CB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-1.9287</w:t>
            </w:r>
          </w:p>
        </w:tc>
        <w:tc>
          <w:tcPr>
            <w:tcW w:w="1246" w:type="dxa"/>
            <w:hideMark/>
          </w:tcPr>
          <w:p w14:paraId="04CD221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0.6021</w:t>
            </w:r>
          </w:p>
        </w:tc>
        <w:tc>
          <w:tcPr>
            <w:tcW w:w="3420" w:type="dxa"/>
            <w:hideMark/>
          </w:tcPr>
          <w:p w14:paraId="4CA0B8B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I(1)</w:t>
            </w:r>
          </w:p>
        </w:tc>
      </w:tr>
    </w:tbl>
    <w:p w14:paraId="3C1C249F" w14:textId="67A88DFD" w:rsidR="00E57B83" w:rsidRPr="00F24E4A"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1EB5B803" w14:textId="77777777" w:rsidR="00E57B83" w:rsidRDefault="00E57B83" w:rsidP="00E57B83">
      <w:pPr>
        <w:jc w:val="both"/>
        <w:outlineLvl w:val="2"/>
        <w:rPr>
          <w:rFonts w:ascii="Times New Roman" w:hAnsi="Times New Roman" w:cs="Times New Roman"/>
          <w:bCs/>
          <w:sz w:val="24"/>
          <w:szCs w:val="24"/>
        </w:rPr>
      </w:pPr>
    </w:p>
    <w:p w14:paraId="3C61132C" w14:textId="77777777" w:rsidR="0054602B" w:rsidRPr="00F62E86" w:rsidRDefault="0054602B" w:rsidP="0054602B">
      <w:pPr>
        <w:spacing w:before="100" w:beforeAutospacing="1" w:after="100" w:afterAutospacing="1" w:line="240" w:lineRule="auto"/>
        <w:rPr>
          <w:rFonts w:ascii="Times New Roman" w:eastAsia="Times New Roman" w:hAnsi="Times New Roman" w:cs="Times New Roman"/>
          <w:sz w:val="24"/>
          <w:szCs w:val="24"/>
        </w:rPr>
      </w:pPr>
      <w:r w:rsidRPr="00F62E86">
        <w:rPr>
          <w:rFonts w:ascii="Times New Roman" w:eastAsia="Times New Roman" w:hAnsi="Times New Roman" w:cs="Times New Roman"/>
          <w:b/>
          <w:bCs/>
          <w:sz w:val="24"/>
          <w:szCs w:val="24"/>
        </w:rPr>
        <w:t xml:space="preserve">GMM Estimation </w:t>
      </w:r>
      <w:r>
        <w:rPr>
          <w:rFonts w:ascii="Times New Roman" w:eastAsia="Times New Roman" w:hAnsi="Times New Roman" w:cs="Times New Roman"/>
          <w:b/>
          <w:bCs/>
          <w:sz w:val="24"/>
          <w:szCs w:val="24"/>
        </w:rPr>
        <w:t xml:space="preserve">Test </w:t>
      </w:r>
      <w:r w:rsidRPr="00F62E86">
        <w:rPr>
          <w:rFonts w:ascii="Times New Roman" w:eastAsia="Times New Roman" w:hAnsi="Times New Roman" w:cs="Times New Roman"/>
          <w:b/>
          <w:bCs/>
          <w:sz w:val="24"/>
          <w:szCs w:val="24"/>
        </w:rPr>
        <w:t>for the Impact of Environmental Factors on ROA</w:t>
      </w:r>
    </w:p>
    <w:p w14:paraId="73294EC8" w14:textId="291D5DBC" w:rsidR="0054602B" w:rsidRPr="00F24E4A" w:rsidRDefault="0054602B" w:rsidP="0054602B">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F24E4A">
        <w:rPr>
          <w:rFonts w:ascii="Times New Roman" w:eastAsia="Times New Roman" w:hAnsi="Times New Roman" w:cs="Times New Roman"/>
          <w:bCs/>
          <w:sz w:val="24"/>
          <w:szCs w:val="24"/>
        </w:rPr>
        <w:t>The Generalized Method of M</w:t>
      </w:r>
      <w:r>
        <w:rPr>
          <w:rFonts w:ascii="Times New Roman" w:eastAsia="Times New Roman" w:hAnsi="Times New Roman" w:cs="Times New Roman"/>
          <w:bCs/>
          <w:sz w:val="24"/>
          <w:szCs w:val="24"/>
        </w:rPr>
        <w:t xml:space="preserve">oments (GMM) results in Table </w:t>
      </w:r>
      <w:r w:rsidR="00173902">
        <w:rPr>
          <w:rFonts w:ascii="Times New Roman" w:eastAsia="Times New Roman" w:hAnsi="Times New Roman" w:cs="Times New Roman"/>
          <w:bCs/>
          <w:sz w:val="24"/>
          <w:szCs w:val="24"/>
        </w:rPr>
        <w:t>5</w:t>
      </w:r>
      <w:r w:rsidRPr="00F24E4A">
        <w:rPr>
          <w:rFonts w:ascii="Times New Roman" w:eastAsia="Times New Roman" w:hAnsi="Times New Roman" w:cs="Times New Roman"/>
          <w:bCs/>
          <w:sz w:val="24"/>
          <w:szCs w:val="24"/>
        </w:rPr>
        <w:t xml:space="preserve"> provide robust evidence on the dynamic relationship between environmental factors and firm performance, measured by Return on Assets (ROA). The lagged ROA (L.ROA) is positive and statistically significant (β = 0.3154,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&lt; 0.01), indicating a persistence effect where past profitability influences current performance. Among the environmental variables, Waste Management Expenditure (WME) and Capital Investment in Waste Treatment Facilities (CIWTF) have strong positive effects on ROA (β = 0.5287 and 0.3716 respectively,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&lt; 0.01), suggesting that proactive spending on environmental infrastructure enhances profitability. Similarly, Pollution Control Expenditure (PCE) and Capital Expenditure on Pollution Control Equipment (CEPC) are also positively associated with ROA and significant at the 5% and 1% levels respectively, further reinforcing the financial benefits of environmental responsibility. Conversely, Fines and Penalties for Waste Mismanagement (FPWM) and Environmental Regulatory Penalties (ERP) have negative coefficients (β = -0.1583 and -0.1296), indicating that non-compliance incurs financial costs, with FPWM significant at the 5% level and ERP marginally significant at 10%. The constant term is large and significant, capturing fixed effects not explained by the variables. Model diagnostics confirm the validity of the estimation: the Hansen J test indicates that the instruments are valid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 0.493), and while the Arellano-Bond AR(1) test detects first-order autocorrelation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 0.0059), the absence of second-order autocorrelation (</w:t>
      </w:r>
      <w:r w:rsidRPr="00F24E4A">
        <w:rPr>
          <w:rFonts w:ascii="Times New Roman" w:eastAsia="Times New Roman" w:hAnsi="Times New Roman" w:cs="Times New Roman"/>
          <w:bCs/>
          <w:i/>
          <w:iCs/>
          <w:sz w:val="24"/>
          <w:szCs w:val="24"/>
        </w:rPr>
        <w:t>p</w:t>
      </w:r>
      <w:r w:rsidRPr="00F24E4A">
        <w:rPr>
          <w:rFonts w:ascii="Times New Roman" w:eastAsia="Times New Roman" w:hAnsi="Times New Roman" w:cs="Times New Roman"/>
          <w:bCs/>
          <w:sz w:val="24"/>
          <w:szCs w:val="24"/>
        </w:rPr>
        <w:t xml:space="preserve"> = 0.2216) supports the model's reliability. Overall, the results strongly suggest that environmental investment leads to improved firm performance, while environmental penalties hinder it, validating the economic incentive for sustainability.</w:t>
      </w:r>
    </w:p>
    <w:p w14:paraId="12C039A8" w14:textId="77777777" w:rsidR="0054602B" w:rsidRDefault="0054602B" w:rsidP="00E57B83">
      <w:pPr>
        <w:jc w:val="both"/>
        <w:outlineLvl w:val="2"/>
        <w:rPr>
          <w:rFonts w:ascii="Times New Roman" w:hAnsi="Times New Roman" w:cs="Times New Roman"/>
          <w:bCs/>
          <w:sz w:val="24"/>
          <w:szCs w:val="24"/>
        </w:rPr>
      </w:pPr>
    </w:p>
    <w:p w14:paraId="7370A431" w14:textId="77777777" w:rsidR="0054602B" w:rsidRDefault="0054602B" w:rsidP="00E57B83">
      <w:pPr>
        <w:jc w:val="both"/>
        <w:outlineLvl w:val="2"/>
        <w:rPr>
          <w:rFonts w:ascii="Times New Roman" w:hAnsi="Times New Roman" w:cs="Times New Roman"/>
          <w:bCs/>
          <w:sz w:val="24"/>
          <w:szCs w:val="24"/>
        </w:rPr>
      </w:pPr>
    </w:p>
    <w:p w14:paraId="4357D48D" w14:textId="77777777" w:rsidR="0054602B" w:rsidRPr="00F24E4A" w:rsidRDefault="0054602B" w:rsidP="00E57B83">
      <w:pPr>
        <w:jc w:val="both"/>
        <w:outlineLvl w:val="2"/>
        <w:rPr>
          <w:rFonts w:ascii="Times New Roman" w:hAnsi="Times New Roman" w:cs="Times New Roman"/>
          <w:bCs/>
          <w:sz w:val="24"/>
          <w:szCs w:val="24"/>
        </w:rPr>
      </w:pPr>
    </w:p>
    <w:p w14:paraId="1B81FCAB" w14:textId="7123604D"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w:t>
      </w:r>
      <w:r w:rsidR="00173902">
        <w:rPr>
          <w:rFonts w:ascii="Times New Roman" w:eastAsia="Times New Roman" w:hAnsi="Times New Roman" w:cs="Times New Roman"/>
          <w:b/>
          <w:bCs/>
          <w:sz w:val="24"/>
          <w:szCs w:val="24"/>
        </w:rPr>
        <w:t>5</w:t>
      </w:r>
      <w:r w:rsidR="00E57B83" w:rsidRPr="00F62E86">
        <w:rPr>
          <w:rFonts w:ascii="Times New Roman" w:eastAsia="Times New Roman" w:hAnsi="Times New Roman" w:cs="Times New Roman"/>
          <w:b/>
          <w:bCs/>
          <w:sz w:val="24"/>
          <w:szCs w:val="24"/>
        </w:rPr>
        <w:t>: GMM Estimation Results for the Impact of Environmental Factors on ROA</w:t>
      </w:r>
    </w:p>
    <w:tbl>
      <w:tblPr>
        <w:tblStyle w:val="TableGrid"/>
        <w:tblW w:w="0" w:type="auto"/>
        <w:tblLook w:val="04A0" w:firstRow="1" w:lastRow="0" w:firstColumn="1" w:lastColumn="0" w:noHBand="0" w:noVBand="1"/>
      </w:tblPr>
      <w:tblGrid>
        <w:gridCol w:w="1203"/>
        <w:gridCol w:w="2036"/>
        <w:gridCol w:w="1283"/>
        <w:gridCol w:w="1229"/>
        <w:gridCol w:w="977"/>
        <w:gridCol w:w="1456"/>
      </w:tblGrid>
      <w:tr w:rsidR="00E57B83" w:rsidRPr="00F62E86" w14:paraId="5DA3B5F0" w14:textId="77777777" w:rsidTr="00E57B83">
        <w:tc>
          <w:tcPr>
            <w:tcW w:w="0" w:type="auto"/>
            <w:hideMark/>
          </w:tcPr>
          <w:p w14:paraId="64C6DE9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Variables</w:t>
            </w:r>
          </w:p>
        </w:tc>
        <w:tc>
          <w:tcPr>
            <w:tcW w:w="0" w:type="auto"/>
            <w:hideMark/>
          </w:tcPr>
          <w:p w14:paraId="3C5763F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GMM Coefficient</w:t>
            </w:r>
          </w:p>
        </w:tc>
        <w:tc>
          <w:tcPr>
            <w:tcW w:w="0" w:type="auto"/>
            <w:hideMark/>
          </w:tcPr>
          <w:p w14:paraId="7FA1B06C"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Std. Error</w:t>
            </w:r>
          </w:p>
        </w:tc>
        <w:tc>
          <w:tcPr>
            <w:tcW w:w="0" w:type="auto"/>
            <w:hideMark/>
          </w:tcPr>
          <w:p w14:paraId="78FA0EF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z-Statistic</w:t>
            </w:r>
          </w:p>
        </w:tc>
        <w:tc>
          <w:tcPr>
            <w:tcW w:w="0" w:type="auto"/>
            <w:hideMark/>
          </w:tcPr>
          <w:p w14:paraId="2C1C79E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0" w:type="auto"/>
            <w:hideMark/>
          </w:tcPr>
          <w:p w14:paraId="5B7CCBC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Significance</w:t>
            </w:r>
          </w:p>
        </w:tc>
      </w:tr>
      <w:tr w:rsidR="00E57B83" w:rsidRPr="00F62E86" w14:paraId="2DA9B4B3" w14:textId="77777777" w:rsidTr="00E57B83">
        <w:tc>
          <w:tcPr>
            <w:tcW w:w="0" w:type="auto"/>
            <w:hideMark/>
          </w:tcPr>
          <w:p w14:paraId="6C87AE0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L.ROA</w:t>
            </w:r>
          </w:p>
        </w:tc>
        <w:tc>
          <w:tcPr>
            <w:tcW w:w="0" w:type="auto"/>
            <w:hideMark/>
          </w:tcPr>
          <w:p w14:paraId="2C2CF7D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0.3154</w:t>
            </w:r>
          </w:p>
        </w:tc>
        <w:tc>
          <w:tcPr>
            <w:tcW w:w="0" w:type="auto"/>
            <w:hideMark/>
          </w:tcPr>
          <w:p w14:paraId="542D127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0.0947</w:t>
            </w:r>
          </w:p>
        </w:tc>
        <w:tc>
          <w:tcPr>
            <w:tcW w:w="0" w:type="auto"/>
            <w:hideMark/>
          </w:tcPr>
          <w:p w14:paraId="602AB99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3.33</w:t>
            </w:r>
          </w:p>
        </w:tc>
        <w:tc>
          <w:tcPr>
            <w:tcW w:w="0" w:type="auto"/>
            <w:hideMark/>
          </w:tcPr>
          <w:p w14:paraId="621DFB6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0.0009</w:t>
            </w:r>
          </w:p>
        </w:tc>
        <w:tc>
          <w:tcPr>
            <w:tcW w:w="0" w:type="auto"/>
            <w:hideMark/>
          </w:tcPr>
          <w:p w14:paraId="3343087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3FCE0EC1" w14:textId="77777777" w:rsidTr="00E57B83">
        <w:tc>
          <w:tcPr>
            <w:tcW w:w="0" w:type="auto"/>
            <w:hideMark/>
          </w:tcPr>
          <w:p w14:paraId="6285F23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0" w:type="auto"/>
            <w:hideMark/>
          </w:tcPr>
          <w:p w14:paraId="47AA3B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0.5287</w:t>
            </w:r>
          </w:p>
        </w:tc>
        <w:tc>
          <w:tcPr>
            <w:tcW w:w="0" w:type="auto"/>
            <w:hideMark/>
          </w:tcPr>
          <w:p w14:paraId="68AE83E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0.1215</w:t>
            </w:r>
          </w:p>
        </w:tc>
        <w:tc>
          <w:tcPr>
            <w:tcW w:w="0" w:type="auto"/>
            <w:hideMark/>
          </w:tcPr>
          <w:p w14:paraId="0A06DD0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4.35</w:t>
            </w:r>
          </w:p>
        </w:tc>
        <w:tc>
          <w:tcPr>
            <w:tcW w:w="0" w:type="auto"/>
            <w:hideMark/>
          </w:tcPr>
          <w:p w14:paraId="4459500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315FB5C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708BA253" w14:textId="77777777" w:rsidTr="00E57B83">
        <w:tc>
          <w:tcPr>
            <w:tcW w:w="0" w:type="auto"/>
            <w:hideMark/>
          </w:tcPr>
          <w:p w14:paraId="5F18CC1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0" w:type="auto"/>
            <w:hideMark/>
          </w:tcPr>
          <w:p w14:paraId="55598CB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0.3716</w:t>
            </w:r>
          </w:p>
        </w:tc>
        <w:tc>
          <w:tcPr>
            <w:tcW w:w="0" w:type="auto"/>
            <w:hideMark/>
          </w:tcPr>
          <w:p w14:paraId="6778B2A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0.1398</w:t>
            </w:r>
          </w:p>
        </w:tc>
        <w:tc>
          <w:tcPr>
            <w:tcW w:w="0" w:type="auto"/>
            <w:hideMark/>
          </w:tcPr>
          <w:p w14:paraId="1C69BC6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2.66</w:t>
            </w:r>
          </w:p>
        </w:tc>
        <w:tc>
          <w:tcPr>
            <w:tcW w:w="0" w:type="auto"/>
            <w:hideMark/>
          </w:tcPr>
          <w:p w14:paraId="1F6CB2A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0.0078</w:t>
            </w:r>
          </w:p>
        </w:tc>
        <w:tc>
          <w:tcPr>
            <w:tcW w:w="0" w:type="auto"/>
            <w:hideMark/>
          </w:tcPr>
          <w:p w14:paraId="280F5DB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7E7C7226" w14:textId="77777777" w:rsidTr="00E57B83">
        <w:tc>
          <w:tcPr>
            <w:tcW w:w="0" w:type="auto"/>
            <w:hideMark/>
          </w:tcPr>
          <w:p w14:paraId="37DF50B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0" w:type="auto"/>
            <w:hideMark/>
          </w:tcPr>
          <w:p w14:paraId="0D28ABB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-0.1583</w:t>
            </w:r>
          </w:p>
        </w:tc>
        <w:tc>
          <w:tcPr>
            <w:tcW w:w="0" w:type="auto"/>
            <w:hideMark/>
          </w:tcPr>
          <w:p w14:paraId="6C51460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0.0734</w:t>
            </w:r>
          </w:p>
        </w:tc>
        <w:tc>
          <w:tcPr>
            <w:tcW w:w="0" w:type="auto"/>
            <w:hideMark/>
          </w:tcPr>
          <w:p w14:paraId="04F8689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-2.16</w:t>
            </w:r>
          </w:p>
        </w:tc>
        <w:tc>
          <w:tcPr>
            <w:tcW w:w="0" w:type="auto"/>
            <w:hideMark/>
          </w:tcPr>
          <w:p w14:paraId="48D2226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0.0309</w:t>
            </w:r>
          </w:p>
        </w:tc>
        <w:tc>
          <w:tcPr>
            <w:tcW w:w="0" w:type="auto"/>
            <w:hideMark/>
          </w:tcPr>
          <w:p w14:paraId="407FB62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48762946" w14:textId="77777777" w:rsidTr="00E57B83">
        <w:tc>
          <w:tcPr>
            <w:tcW w:w="0" w:type="auto"/>
            <w:hideMark/>
          </w:tcPr>
          <w:p w14:paraId="0734168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0" w:type="auto"/>
            <w:hideMark/>
          </w:tcPr>
          <w:p w14:paraId="745173F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0.2241</w:t>
            </w:r>
          </w:p>
        </w:tc>
        <w:tc>
          <w:tcPr>
            <w:tcW w:w="0" w:type="auto"/>
            <w:hideMark/>
          </w:tcPr>
          <w:p w14:paraId="73DB922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0.0950</w:t>
            </w:r>
          </w:p>
        </w:tc>
        <w:tc>
          <w:tcPr>
            <w:tcW w:w="0" w:type="auto"/>
            <w:hideMark/>
          </w:tcPr>
          <w:p w14:paraId="49834CC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2.36</w:t>
            </w:r>
          </w:p>
        </w:tc>
        <w:tc>
          <w:tcPr>
            <w:tcW w:w="0" w:type="auto"/>
            <w:hideMark/>
          </w:tcPr>
          <w:p w14:paraId="4D24F09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0.0183</w:t>
            </w:r>
          </w:p>
        </w:tc>
        <w:tc>
          <w:tcPr>
            <w:tcW w:w="0" w:type="auto"/>
            <w:hideMark/>
          </w:tcPr>
          <w:p w14:paraId="1D2FA91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2F101D8F" w14:textId="77777777" w:rsidTr="00E57B83">
        <w:tc>
          <w:tcPr>
            <w:tcW w:w="0" w:type="auto"/>
            <w:hideMark/>
          </w:tcPr>
          <w:p w14:paraId="781A476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0" w:type="auto"/>
            <w:hideMark/>
          </w:tcPr>
          <w:p w14:paraId="2333417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0.3064</w:t>
            </w:r>
          </w:p>
        </w:tc>
        <w:tc>
          <w:tcPr>
            <w:tcW w:w="0" w:type="auto"/>
            <w:hideMark/>
          </w:tcPr>
          <w:p w14:paraId="006371D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0.1041</w:t>
            </w:r>
          </w:p>
        </w:tc>
        <w:tc>
          <w:tcPr>
            <w:tcW w:w="0" w:type="auto"/>
            <w:hideMark/>
          </w:tcPr>
          <w:p w14:paraId="0212DF0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2.94</w:t>
            </w:r>
          </w:p>
        </w:tc>
        <w:tc>
          <w:tcPr>
            <w:tcW w:w="0" w:type="auto"/>
            <w:hideMark/>
          </w:tcPr>
          <w:p w14:paraId="290309E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0.0033</w:t>
            </w:r>
          </w:p>
        </w:tc>
        <w:tc>
          <w:tcPr>
            <w:tcW w:w="0" w:type="auto"/>
            <w:hideMark/>
          </w:tcPr>
          <w:p w14:paraId="749FBC8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6D4892C4" w14:textId="77777777" w:rsidTr="00E57B83">
        <w:tc>
          <w:tcPr>
            <w:tcW w:w="0" w:type="auto"/>
            <w:hideMark/>
          </w:tcPr>
          <w:p w14:paraId="184AD41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0" w:type="auto"/>
            <w:hideMark/>
          </w:tcPr>
          <w:p w14:paraId="09B7215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-0.1296</w:t>
            </w:r>
          </w:p>
        </w:tc>
        <w:tc>
          <w:tcPr>
            <w:tcW w:w="0" w:type="auto"/>
            <w:hideMark/>
          </w:tcPr>
          <w:p w14:paraId="5187D0A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0.0682</w:t>
            </w:r>
          </w:p>
        </w:tc>
        <w:tc>
          <w:tcPr>
            <w:tcW w:w="0" w:type="auto"/>
            <w:hideMark/>
          </w:tcPr>
          <w:p w14:paraId="625CE87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-1.90</w:t>
            </w:r>
          </w:p>
        </w:tc>
        <w:tc>
          <w:tcPr>
            <w:tcW w:w="0" w:type="auto"/>
            <w:hideMark/>
          </w:tcPr>
          <w:p w14:paraId="214F0DD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0.0577</w:t>
            </w:r>
          </w:p>
        </w:tc>
        <w:tc>
          <w:tcPr>
            <w:tcW w:w="0" w:type="auto"/>
            <w:hideMark/>
          </w:tcPr>
          <w:p w14:paraId="70D317E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1A237C0E" w14:textId="77777777" w:rsidTr="00E57B83">
        <w:tc>
          <w:tcPr>
            <w:tcW w:w="0" w:type="auto"/>
            <w:tcBorders>
              <w:bottom w:val="single" w:sz="4" w:space="0" w:color="auto"/>
            </w:tcBorders>
            <w:hideMark/>
          </w:tcPr>
          <w:p w14:paraId="14335CA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Constant</w:t>
            </w:r>
          </w:p>
        </w:tc>
        <w:tc>
          <w:tcPr>
            <w:tcW w:w="0" w:type="auto"/>
            <w:hideMark/>
          </w:tcPr>
          <w:p w14:paraId="1176E28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8.9274</w:t>
            </w:r>
          </w:p>
        </w:tc>
        <w:tc>
          <w:tcPr>
            <w:tcW w:w="0" w:type="auto"/>
            <w:hideMark/>
          </w:tcPr>
          <w:p w14:paraId="18DCA5F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1.7389</w:t>
            </w:r>
          </w:p>
        </w:tc>
        <w:tc>
          <w:tcPr>
            <w:tcW w:w="0" w:type="auto"/>
            <w:hideMark/>
          </w:tcPr>
          <w:p w14:paraId="63D8B20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5.13</w:t>
            </w:r>
          </w:p>
        </w:tc>
        <w:tc>
          <w:tcPr>
            <w:tcW w:w="0" w:type="auto"/>
            <w:hideMark/>
          </w:tcPr>
          <w:p w14:paraId="0B33801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0.0000</w:t>
            </w:r>
          </w:p>
        </w:tc>
        <w:tc>
          <w:tcPr>
            <w:tcW w:w="0" w:type="auto"/>
            <w:hideMark/>
          </w:tcPr>
          <w:p w14:paraId="51C5538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bl>
    <w:p w14:paraId="5E5AD62A" w14:textId="77777777" w:rsidR="00E57B83" w:rsidRPr="00F24E4A" w:rsidRDefault="00E57B83" w:rsidP="00E57B83">
      <w:pPr>
        <w:pStyle w:val="NoSpacing"/>
        <w:rPr>
          <w:rFonts w:ascii="Times New Roman" w:hAnsi="Times New Roman" w:cs="Times New Roman"/>
          <w:b/>
          <w:sz w:val="24"/>
          <w:szCs w:val="24"/>
        </w:rPr>
      </w:pPr>
      <w:r w:rsidRPr="00F24E4A">
        <w:rPr>
          <w:rFonts w:ascii="Times New Roman" w:hAnsi="Times New Roman" w:cs="Times New Roman"/>
          <w:b/>
          <w:sz w:val="24"/>
          <w:szCs w:val="24"/>
        </w:rPr>
        <w:t>Model Diagnostics:</w:t>
      </w:r>
    </w:p>
    <w:tbl>
      <w:tblPr>
        <w:tblStyle w:val="TableGrid"/>
        <w:tblW w:w="0" w:type="auto"/>
        <w:tblLook w:val="04A0" w:firstRow="1" w:lastRow="0" w:firstColumn="1" w:lastColumn="0" w:noHBand="0" w:noVBand="1"/>
      </w:tblPr>
      <w:tblGrid>
        <w:gridCol w:w="3002"/>
        <w:gridCol w:w="1710"/>
        <w:gridCol w:w="977"/>
        <w:gridCol w:w="3502"/>
      </w:tblGrid>
      <w:tr w:rsidR="00E57B83" w:rsidRPr="00F62E86" w14:paraId="2397D563" w14:textId="77777777" w:rsidTr="00E57B83">
        <w:tc>
          <w:tcPr>
            <w:tcW w:w="0" w:type="auto"/>
            <w:hideMark/>
          </w:tcPr>
          <w:p w14:paraId="5DD6E21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w:t>
            </w:r>
          </w:p>
        </w:tc>
        <w:tc>
          <w:tcPr>
            <w:tcW w:w="0" w:type="auto"/>
            <w:hideMark/>
          </w:tcPr>
          <w:p w14:paraId="17ADA97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Statistic</w:t>
            </w:r>
          </w:p>
        </w:tc>
        <w:tc>
          <w:tcPr>
            <w:tcW w:w="0" w:type="auto"/>
            <w:hideMark/>
          </w:tcPr>
          <w:p w14:paraId="7C49EFEC"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0" w:type="auto"/>
            <w:hideMark/>
          </w:tcPr>
          <w:p w14:paraId="3B86207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Conclusion</w:t>
            </w:r>
          </w:p>
        </w:tc>
      </w:tr>
      <w:tr w:rsidR="00E57B83" w:rsidRPr="00F62E86" w14:paraId="32F1F09C" w14:textId="77777777" w:rsidTr="00E57B83">
        <w:tc>
          <w:tcPr>
            <w:tcW w:w="0" w:type="auto"/>
            <w:hideMark/>
          </w:tcPr>
          <w:p w14:paraId="12E2093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Hansen J Test (</w:t>
            </w:r>
            <w:proofErr w:type="spellStart"/>
            <w:r w:rsidRPr="00F62E86">
              <w:rPr>
                <w:rFonts w:ascii="Times New Roman" w:eastAsia="Times New Roman" w:hAnsi="Times New Roman" w:cs="Times New Roman"/>
                <w:sz w:val="24"/>
                <w:szCs w:val="24"/>
              </w:rPr>
              <w:t>overid</w:t>
            </w:r>
            <w:proofErr w:type="spellEnd"/>
            <w:r w:rsidRPr="00F62E86">
              <w:rPr>
                <w:rFonts w:ascii="Times New Roman" w:eastAsia="Times New Roman" w:hAnsi="Times New Roman" w:cs="Times New Roman"/>
                <w:sz w:val="24"/>
                <w:szCs w:val="24"/>
              </w:rPr>
              <w:t xml:space="preserve">. </w:t>
            </w:r>
            <w:proofErr w:type="spellStart"/>
            <w:r w:rsidRPr="00F62E86">
              <w:rPr>
                <w:rFonts w:ascii="Times New Roman" w:eastAsia="Times New Roman" w:hAnsi="Times New Roman" w:cs="Times New Roman"/>
                <w:sz w:val="24"/>
                <w:szCs w:val="24"/>
              </w:rPr>
              <w:t>restr</w:t>
            </w:r>
            <w:proofErr w:type="spellEnd"/>
            <w:r w:rsidRPr="00F62E86">
              <w:rPr>
                <w:rFonts w:ascii="Times New Roman" w:eastAsia="Times New Roman" w:hAnsi="Times New Roman" w:cs="Times New Roman"/>
                <w:sz w:val="24"/>
                <w:szCs w:val="24"/>
              </w:rPr>
              <w:t>.)</w:t>
            </w:r>
          </w:p>
        </w:tc>
        <w:tc>
          <w:tcPr>
            <w:tcW w:w="0" w:type="auto"/>
            <w:hideMark/>
          </w:tcPr>
          <w:p w14:paraId="04892D9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χ²(13) = 12.481</w:t>
            </w:r>
          </w:p>
        </w:tc>
        <w:tc>
          <w:tcPr>
            <w:tcW w:w="0" w:type="auto"/>
            <w:hideMark/>
          </w:tcPr>
          <w:p w14:paraId="1DA60DA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0.493</w:t>
            </w:r>
          </w:p>
        </w:tc>
        <w:tc>
          <w:tcPr>
            <w:tcW w:w="0" w:type="auto"/>
            <w:hideMark/>
          </w:tcPr>
          <w:p w14:paraId="0666DB2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Instruments are valid</w:t>
            </w:r>
          </w:p>
        </w:tc>
      </w:tr>
      <w:tr w:rsidR="00E57B83" w:rsidRPr="00F62E86" w14:paraId="2C1D2D66" w14:textId="77777777" w:rsidTr="00E57B83">
        <w:tc>
          <w:tcPr>
            <w:tcW w:w="0" w:type="auto"/>
            <w:hideMark/>
          </w:tcPr>
          <w:p w14:paraId="06A8662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Arellano-Bond AR(1) Test</w:t>
            </w:r>
          </w:p>
        </w:tc>
        <w:tc>
          <w:tcPr>
            <w:tcW w:w="0" w:type="auto"/>
            <w:hideMark/>
          </w:tcPr>
          <w:p w14:paraId="05643CC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z = -2.754</w:t>
            </w:r>
          </w:p>
        </w:tc>
        <w:tc>
          <w:tcPr>
            <w:tcW w:w="0" w:type="auto"/>
            <w:hideMark/>
          </w:tcPr>
          <w:p w14:paraId="717BE71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0.0059</w:t>
            </w:r>
          </w:p>
        </w:tc>
        <w:tc>
          <w:tcPr>
            <w:tcW w:w="0" w:type="auto"/>
            <w:hideMark/>
          </w:tcPr>
          <w:p w14:paraId="395C7C6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First-order serial correlation</w:t>
            </w:r>
          </w:p>
        </w:tc>
      </w:tr>
      <w:tr w:rsidR="00E57B83" w:rsidRPr="00F62E86" w14:paraId="6DBFBAC5" w14:textId="77777777" w:rsidTr="00E57B83">
        <w:tc>
          <w:tcPr>
            <w:tcW w:w="0" w:type="auto"/>
            <w:hideMark/>
          </w:tcPr>
          <w:p w14:paraId="76635B7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Arellano-Bond AR(2) Test</w:t>
            </w:r>
          </w:p>
        </w:tc>
        <w:tc>
          <w:tcPr>
            <w:tcW w:w="0" w:type="auto"/>
            <w:hideMark/>
          </w:tcPr>
          <w:p w14:paraId="5CB829D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z = -1.221</w:t>
            </w:r>
          </w:p>
        </w:tc>
        <w:tc>
          <w:tcPr>
            <w:tcW w:w="0" w:type="auto"/>
            <w:hideMark/>
          </w:tcPr>
          <w:p w14:paraId="202ACA1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0.2216</w:t>
            </w:r>
          </w:p>
        </w:tc>
        <w:tc>
          <w:tcPr>
            <w:tcW w:w="0" w:type="auto"/>
            <w:hideMark/>
          </w:tcPr>
          <w:p w14:paraId="2497C72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second-order serial correlation</w:t>
            </w:r>
          </w:p>
        </w:tc>
      </w:tr>
      <w:tr w:rsidR="00E57B83" w:rsidRPr="00F62E86" w14:paraId="6302A8DB" w14:textId="77777777" w:rsidTr="00E57B83">
        <w:tc>
          <w:tcPr>
            <w:tcW w:w="0" w:type="auto"/>
            <w:hideMark/>
          </w:tcPr>
          <w:p w14:paraId="6F6CF9B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Instruments count</w:t>
            </w:r>
          </w:p>
        </w:tc>
        <w:tc>
          <w:tcPr>
            <w:tcW w:w="0" w:type="auto"/>
            <w:hideMark/>
          </w:tcPr>
          <w:p w14:paraId="42B5063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26</w:t>
            </w:r>
          </w:p>
        </w:tc>
        <w:tc>
          <w:tcPr>
            <w:tcW w:w="0" w:type="auto"/>
            <w:hideMark/>
          </w:tcPr>
          <w:p w14:paraId="35BD893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0" w:type="auto"/>
            <w:hideMark/>
          </w:tcPr>
          <w:p w14:paraId="4345ACC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Acceptable</w:t>
            </w:r>
          </w:p>
        </w:tc>
      </w:tr>
      <w:tr w:rsidR="00E57B83" w:rsidRPr="00F62E86" w14:paraId="517B7FA3" w14:textId="77777777" w:rsidTr="00E57B83">
        <w:tc>
          <w:tcPr>
            <w:tcW w:w="0" w:type="auto"/>
            <w:hideMark/>
          </w:tcPr>
          <w:p w14:paraId="7814D3D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Observations</w:t>
            </w:r>
          </w:p>
        </w:tc>
        <w:tc>
          <w:tcPr>
            <w:tcW w:w="0" w:type="auto"/>
            <w:hideMark/>
          </w:tcPr>
          <w:p w14:paraId="520FC9BA"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hideMark/>
          </w:tcPr>
          <w:p w14:paraId="42BAD0B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0" w:type="auto"/>
            <w:hideMark/>
          </w:tcPr>
          <w:p w14:paraId="13E4F44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r w:rsidR="00E57B83" w:rsidRPr="00F62E86" w14:paraId="04750443" w14:textId="77777777" w:rsidTr="00E57B83">
        <w:tc>
          <w:tcPr>
            <w:tcW w:w="0" w:type="auto"/>
            <w:hideMark/>
          </w:tcPr>
          <w:p w14:paraId="09DC6D2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Number of groups (entities)</w:t>
            </w:r>
          </w:p>
        </w:tc>
        <w:tc>
          <w:tcPr>
            <w:tcW w:w="0" w:type="auto"/>
            <w:hideMark/>
          </w:tcPr>
          <w:p w14:paraId="6853477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14</w:t>
            </w:r>
          </w:p>
        </w:tc>
        <w:tc>
          <w:tcPr>
            <w:tcW w:w="0" w:type="auto"/>
            <w:hideMark/>
          </w:tcPr>
          <w:p w14:paraId="5DE91D6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0" w:type="auto"/>
            <w:hideMark/>
          </w:tcPr>
          <w:p w14:paraId="5319163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r>
    </w:tbl>
    <w:p w14:paraId="18312322" w14:textId="1090EEA9" w:rsidR="00E57B83"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301D89F2" w14:textId="77777777" w:rsidR="0054602B" w:rsidRDefault="0054602B" w:rsidP="00E57B83">
      <w:pPr>
        <w:pStyle w:val="NoSpacing"/>
        <w:rPr>
          <w:rFonts w:ascii="Times New Roman" w:hAnsi="Times New Roman" w:cs="Times New Roman"/>
          <w:sz w:val="24"/>
          <w:szCs w:val="24"/>
        </w:rPr>
      </w:pPr>
    </w:p>
    <w:p w14:paraId="7841E466" w14:textId="694BF6D0" w:rsidR="0054602B" w:rsidRDefault="0054602B" w:rsidP="00E57B83">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Analysis of </w:t>
      </w:r>
      <w:r w:rsidRPr="00F62E86">
        <w:rPr>
          <w:rFonts w:ascii="Times New Roman" w:eastAsia="Times New Roman" w:hAnsi="Times New Roman" w:cs="Times New Roman"/>
          <w:b/>
          <w:bCs/>
          <w:sz w:val="24"/>
          <w:szCs w:val="24"/>
        </w:rPr>
        <w:t>Eff</w:t>
      </w:r>
      <w:r w:rsidRPr="00F24E4A">
        <w:rPr>
          <w:rFonts w:ascii="Times New Roman" w:eastAsia="Times New Roman" w:hAnsi="Times New Roman" w:cs="Times New Roman"/>
          <w:b/>
          <w:bCs/>
          <w:sz w:val="24"/>
          <w:szCs w:val="24"/>
        </w:rPr>
        <w:t xml:space="preserve">ect of Green </w:t>
      </w:r>
      <w:r w:rsidR="00FD7697">
        <w:rPr>
          <w:rFonts w:ascii="Times New Roman" w:eastAsia="Times New Roman" w:hAnsi="Times New Roman" w:cs="Times New Roman"/>
          <w:b/>
          <w:bCs/>
          <w:sz w:val="24"/>
          <w:szCs w:val="24"/>
        </w:rPr>
        <w:t xml:space="preserve">accounting practice </w:t>
      </w:r>
      <w:r w:rsidRPr="00F62E86">
        <w:rPr>
          <w:rFonts w:ascii="Times New Roman" w:eastAsia="Times New Roman" w:hAnsi="Times New Roman" w:cs="Times New Roman"/>
          <w:b/>
          <w:bCs/>
          <w:sz w:val="24"/>
          <w:szCs w:val="24"/>
        </w:rPr>
        <w:t>on ROA</w:t>
      </w:r>
    </w:p>
    <w:p w14:paraId="12E414F1" w14:textId="5227E967" w:rsidR="0054602B" w:rsidRPr="00F24E4A" w:rsidRDefault="0054602B" w:rsidP="0054602B">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Analysis in Table </w:t>
      </w:r>
      <w:r w:rsidR="00173902">
        <w:rPr>
          <w:rFonts w:ascii="Times New Roman" w:eastAsia="Times New Roman" w:hAnsi="Times New Roman" w:cs="Times New Roman"/>
          <w:bCs/>
          <w:sz w:val="24"/>
          <w:szCs w:val="24"/>
        </w:rPr>
        <w:t>6</w:t>
      </w:r>
      <w:r w:rsidRPr="00F24E4A">
        <w:rPr>
          <w:rFonts w:ascii="Times New Roman" w:eastAsia="Times New Roman" w:hAnsi="Times New Roman" w:cs="Times New Roman"/>
          <w:bCs/>
          <w:sz w:val="24"/>
          <w:szCs w:val="24"/>
        </w:rPr>
        <w:t xml:space="preserve"> presents the results of </w:t>
      </w:r>
      <w:r>
        <w:rPr>
          <w:rFonts w:ascii="Times New Roman" w:eastAsia="Times New Roman" w:hAnsi="Times New Roman" w:cs="Times New Roman"/>
          <w:bCs/>
          <w:sz w:val="24"/>
          <w:szCs w:val="24"/>
        </w:rPr>
        <w:t xml:space="preserve">multiple regression estimations </w:t>
      </w:r>
      <w:r w:rsidRPr="00F24E4A">
        <w:rPr>
          <w:rFonts w:ascii="Times New Roman" w:eastAsia="Times New Roman" w:hAnsi="Times New Roman" w:cs="Times New Roman"/>
          <w:bCs/>
          <w:sz w:val="24"/>
          <w:szCs w:val="24"/>
        </w:rPr>
        <w:t>OLS, Fixed Effects (FE), Random Effects (RE), and Feasible Generalized Least Squares (FGLS</w:t>
      </w:r>
      <w:r>
        <w:rPr>
          <w:rFonts w:ascii="Times New Roman" w:eastAsia="Times New Roman" w:hAnsi="Times New Roman" w:cs="Times New Roman"/>
          <w:bCs/>
          <w:sz w:val="24"/>
          <w:szCs w:val="24"/>
        </w:rPr>
        <w:t xml:space="preserve">) </w:t>
      </w:r>
      <w:r w:rsidRPr="00F24E4A">
        <w:rPr>
          <w:rFonts w:ascii="Times New Roman" w:eastAsia="Times New Roman" w:hAnsi="Times New Roman" w:cs="Times New Roman"/>
          <w:bCs/>
          <w:sz w:val="24"/>
          <w:szCs w:val="24"/>
        </w:rPr>
        <w:t xml:space="preserve">assessing the impact of green </w:t>
      </w:r>
      <w:r w:rsidR="00FD7697">
        <w:rPr>
          <w:rFonts w:ascii="Times New Roman" w:eastAsia="Times New Roman" w:hAnsi="Times New Roman" w:cs="Times New Roman"/>
          <w:bCs/>
          <w:sz w:val="24"/>
          <w:szCs w:val="24"/>
        </w:rPr>
        <w:t xml:space="preserve">accounting practice </w:t>
      </w:r>
      <w:r w:rsidRPr="00F24E4A">
        <w:rPr>
          <w:rFonts w:ascii="Times New Roman" w:eastAsia="Times New Roman" w:hAnsi="Times New Roman" w:cs="Times New Roman"/>
          <w:bCs/>
          <w:sz w:val="24"/>
          <w:szCs w:val="24"/>
        </w:rPr>
        <w:t>proxies on firms’ financial performance, measured by Return on Assets (ROA). Across all four models, Waste Management Expenditure (WME) and Capital Investment in Waste Treatment Facilities (CIWTF) exhibit strong, positive, and statistically significant effects on ROA at the 1% level, affirming that direct environmental investments enhance profitability. Similarly, Pollution Control Expenditure (PCE) and Capital Expenditure on Pollution Control Equipment (CEPC) are consistently positive and significant, emphasizing the financial value of proactive pollution control. On the other hand, Fines and Penalties for Waste Mismanagement (FPWM) and Environmental Regulatory Penalties (ERP) negatively impact ROA in all models, with FPWM significant at the 5% level and ERP mostly at the 5–10% range, suggesting that non-compliance with environmental standards incurs measurable financial losses. The fixed effects model (R² = 0.6894) shows the best explanatory power, aligning with the earlier Hausman test preference. Overall, the analysis supports the conclusion that transparent and responsible environmental accounting practices, particularly capital and operational expenditures aimed at environmental sustainability, contribute positively to financial outcomes, whereas poor environmental compliance diminishes profitability.</w:t>
      </w:r>
    </w:p>
    <w:p w14:paraId="53042D01" w14:textId="77777777" w:rsidR="0054602B" w:rsidRDefault="0054602B" w:rsidP="00E57B83">
      <w:pPr>
        <w:pStyle w:val="NoSpacing"/>
        <w:rPr>
          <w:rFonts w:ascii="Times New Roman" w:hAnsi="Times New Roman" w:cs="Times New Roman"/>
          <w:sz w:val="24"/>
          <w:szCs w:val="24"/>
        </w:rPr>
      </w:pPr>
    </w:p>
    <w:p w14:paraId="623F55D4" w14:textId="77777777" w:rsidR="0054602B" w:rsidRDefault="0054602B" w:rsidP="00E57B83">
      <w:pPr>
        <w:pStyle w:val="NoSpacing"/>
        <w:rPr>
          <w:rFonts w:ascii="Times New Roman" w:hAnsi="Times New Roman" w:cs="Times New Roman"/>
          <w:sz w:val="24"/>
          <w:szCs w:val="24"/>
        </w:rPr>
      </w:pPr>
    </w:p>
    <w:p w14:paraId="32CC9762" w14:textId="77777777" w:rsidR="0054602B" w:rsidRDefault="0054602B" w:rsidP="00E57B83">
      <w:pPr>
        <w:pStyle w:val="NoSpacing"/>
        <w:rPr>
          <w:rFonts w:ascii="Times New Roman" w:hAnsi="Times New Roman" w:cs="Times New Roman"/>
          <w:sz w:val="24"/>
          <w:szCs w:val="24"/>
        </w:rPr>
      </w:pPr>
    </w:p>
    <w:p w14:paraId="6DD85D9F" w14:textId="77777777" w:rsidR="0054602B" w:rsidRPr="00F62E86" w:rsidRDefault="0054602B" w:rsidP="00E57B83">
      <w:pPr>
        <w:pStyle w:val="NoSpacing"/>
        <w:rPr>
          <w:rFonts w:ascii="Times New Roman" w:hAnsi="Times New Roman" w:cs="Times New Roman"/>
          <w:sz w:val="24"/>
          <w:szCs w:val="24"/>
        </w:rPr>
      </w:pPr>
    </w:p>
    <w:p w14:paraId="208C807E" w14:textId="77C1BDCF"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w:t>
      </w:r>
      <w:r w:rsidR="00173902">
        <w:rPr>
          <w:rFonts w:ascii="Times New Roman" w:eastAsia="Times New Roman" w:hAnsi="Times New Roman" w:cs="Times New Roman"/>
          <w:b/>
          <w:bCs/>
          <w:sz w:val="24"/>
          <w:szCs w:val="24"/>
        </w:rPr>
        <w:t>6</w:t>
      </w:r>
      <w:r w:rsidR="00E57B83" w:rsidRPr="00F62E86">
        <w:rPr>
          <w:rFonts w:ascii="Times New Roman" w:eastAsia="Times New Roman" w:hAnsi="Times New Roman" w:cs="Times New Roman"/>
          <w:b/>
          <w:bCs/>
          <w:sz w:val="24"/>
          <w:szCs w:val="24"/>
        </w:rPr>
        <w:t>: Eff</w:t>
      </w:r>
      <w:r w:rsidR="00E57B83" w:rsidRPr="00F24E4A">
        <w:rPr>
          <w:rFonts w:ascii="Times New Roman" w:eastAsia="Times New Roman" w:hAnsi="Times New Roman" w:cs="Times New Roman"/>
          <w:b/>
          <w:bCs/>
          <w:sz w:val="24"/>
          <w:szCs w:val="24"/>
        </w:rPr>
        <w:t xml:space="preserve">ect of Green </w:t>
      </w:r>
      <w:r w:rsidR="00FD7697">
        <w:rPr>
          <w:rFonts w:ascii="Times New Roman" w:eastAsia="Times New Roman" w:hAnsi="Times New Roman" w:cs="Times New Roman"/>
          <w:b/>
          <w:bCs/>
          <w:sz w:val="24"/>
          <w:szCs w:val="24"/>
        </w:rPr>
        <w:t xml:space="preserve">accounting practice </w:t>
      </w:r>
      <w:r w:rsidR="00E57B83" w:rsidRPr="00F62E86">
        <w:rPr>
          <w:rFonts w:ascii="Times New Roman" w:eastAsia="Times New Roman" w:hAnsi="Times New Roman" w:cs="Times New Roman"/>
          <w:b/>
          <w:bCs/>
          <w:sz w:val="24"/>
          <w:szCs w:val="24"/>
        </w:rPr>
        <w:t>on ROA</w:t>
      </w:r>
    </w:p>
    <w:tbl>
      <w:tblPr>
        <w:tblStyle w:val="TableGrid"/>
        <w:tblW w:w="0" w:type="auto"/>
        <w:tblLook w:val="04A0" w:firstRow="1" w:lastRow="0" w:firstColumn="1" w:lastColumn="0" w:noHBand="0" w:noVBand="1"/>
      </w:tblPr>
      <w:tblGrid>
        <w:gridCol w:w="1795"/>
        <w:gridCol w:w="1350"/>
        <w:gridCol w:w="1710"/>
        <w:gridCol w:w="1800"/>
        <w:gridCol w:w="2695"/>
      </w:tblGrid>
      <w:tr w:rsidR="00E57B83" w:rsidRPr="00F62E86" w14:paraId="7D497E77" w14:textId="77777777" w:rsidTr="00E57B83">
        <w:tc>
          <w:tcPr>
            <w:tcW w:w="1795" w:type="dxa"/>
            <w:hideMark/>
          </w:tcPr>
          <w:p w14:paraId="492A329F"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Variables</w:t>
            </w:r>
          </w:p>
        </w:tc>
        <w:tc>
          <w:tcPr>
            <w:tcW w:w="1350" w:type="dxa"/>
            <w:hideMark/>
          </w:tcPr>
          <w:p w14:paraId="72E4D73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OLS</w:t>
            </w:r>
          </w:p>
        </w:tc>
        <w:tc>
          <w:tcPr>
            <w:tcW w:w="1710" w:type="dxa"/>
            <w:hideMark/>
          </w:tcPr>
          <w:p w14:paraId="5021A14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FE</w:t>
            </w:r>
          </w:p>
        </w:tc>
        <w:tc>
          <w:tcPr>
            <w:tcW w:w="1800" w:type="dxa"/>
            <w:hideMark/>
          </w:tcPr>
          <w:p w14:paraId="3534756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RE</w:t>
            </w:r>
          </w:p>
        </w:tc>
        <w:tc>
          <w:tcPr>
            <w:tcW w:w="2695" w:type="dxa"/>
            <w:hideMark/>
          </w:tcPr>
          <w:p w14:paraId="3889107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FGLS</w:t>
            </w:r>
          </w:p>
        </w:tc>
      </w:tr>
      <w:tr w:rsidR="00E57B83" w:rsidRPr="00F62E86" w14:paraId="3034BE82" w14:textId="77777777" w:rsidTr="00E57B83">
        <w:tc>
          <w:tcPr>
            <w:tcW w:w="1795" w:type="dxa"/>
            <w:hideMark/>
          </w:tcPr>
          <w:p w14:paraId="0785A84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WME</w:t>
            </w:r>
          </w:p>
        </w:tc>
        <w:tc>
          <w:tcPr>
            <w:tcW w:w="1350" w:type="dxa"/>
            <w:hideMark/>
          </w:tcPr>
          <w:p w14:paraId="2D944D0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0.6324***</w:t>
            </w:r>
          </w:p>
        </w:tc>
        <w:tc>
          <w:tcPr>
            <w:tcW w:w="1710" w:type="dxa"/>
            <w:hideMark/>
          </w:tcPr>
          <w:p w14:paraId="2D5C05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0.6893***</w:t>
            </w:r>
          </w:p>
        </w:tc>
        <w:tc>
          <w:tcPr>
            <w:tcW w:w="1800" w:type="dxa"/>
            <w:hideMark/>
          </w:tcPr>
          <w:p w14:paraId="3E3B633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0.6482***</w:t>
            </w:r>
          </w:p>
        </w:tc>
        <w:tc>
          <w:tcPr>
            <w:tcW w:w="2695" w:type="dxa"/>
            <w:hideMark/>
          </w:tcPr>
          <w:p w14:paraId="075A59D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0.6715***</w:t>
            </w:r>
          </w:p>
        </w:tc>
      </w:tr>
      <w:tr w:rsidR="00E57B83" w:rsidRPr="00F62E86" w14:paraId="4D7DAADC" w14:textId="77777777" w:rsidTr="00E57B83">
        <w:tc>
          <w:tcPr>
            <w:tcW w:w="1795" w:type="dxa"/>
            <w:hideMark/>
          </w:tcPr>
          <w:p w14:paraId="727D464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CIWTF</w:t>
            </w:r>
          </w:p>
        </w:tc>
        <w:tc>
          <w:tcPr>
            <w:tcW w:w="1350" w:type="dxa"/>
            <w:hideMark/>
          </w:tcPr>
          <w:p w14:paraId="4AFF30A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0.4876***</w:t>
            </w:r>
          </w:p>
        </w:tc>
        <w:tc>
          <w:tcPr>
            <w:tcW w:w="1710" w:type="dxa"/>
            <w:hideMark/>
          </w:tcPr>
          <w:p w14:paraId="3AFB069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0.5391***</w:t>
            </w:r>
          </w:p>
        </w:tc>
        <w:tc>
          <w:tcPr>
            <w:tcW w:w="1800" w:type="dxa"/>
            <w:hideMark/>
          </w:tcPr>
          <w:p w14:paraId="4B3862A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0.5134***</w:t>
            </w:r>
          </w:p>
        </w:tc>
        <w:tc>
          <w:tcPr>
            <w:tcW w:w="2695" w:type="dxa"/>
            <w:hideMark/>
          </w:tcPr>
          <w:p w14:paraId="4D2CDF4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0.5287***</w:t>
            </w:r>
          </w:p>
        </w:tc>
      </w:tr>
      <w:tr w:rsidR="00E57B83" w:rsidRPr="00F62E86" w14:paraId="4399BF67" w14:textId="77777777" w:rsidTr="00E57B83">
        <w:tc>
          <w:tcPr>
            <w:tcW w:w="1795" w:type="dxa"/>
            <w:hideMark/>
          </w:tcPr>
          <w:p w14:paraId="6910A97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FPWM</w:t>
            </w:r>
          </w:p>
        </w:tc>
        <w:tc>
          <w:tcPr>
            <w:tcW w:w="1350" w:type="dxa"/>
            <w:hideMark/>
          </w:tcPr>
          <w:p w14:paraId="3F430C0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-0.2184**</w:t>
            </w:r>
          </w:p>
        </w:tc>
        <w:tc>
          <w:tcPr>
            <w:tcW w:w="1710" w:type="dxa"/>
            <w:hideMark/>
          </w:tcPr>
          <w:p w14:paraId="0A307C4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-0.1943*</w:t>
            </w:r>
          </w:p>
        </w:tc>
        <w:tc>
          <w:tcPr>
            <w:tcW w:w="1800" w:type="dxa"/>
            <w:hideMark/>
          </w:tcPr>
          <w:p w14:paraId="011C51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-0.2013*</w:t>
            </w:r>
          </w:p>
        </w:tc>
        <w:tc>
          <w:tcPr>
            <w:tcW w:w="2695" w:type="dxa"/>
            <w:hideMark/>
          </w:tcPr>
          <w:p w14:paraId="36645EE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-0.2127**</w:t>
            </w:r>
          </w:p>
        </w:tc>
      </w:tr>
      <w:tr w:rsidR="00E57B83" w:rsidRPr="00F62E86" w14:paraId="4BA0222C" w14:textId="77777777" w:rsidTr="00E57B83">
        <w:tc>
          <w:tcPr>
            <w:tcW w:w="1795" w:type="dxa"/>
            <w:hideMark/>
          </w:tcPr>
          <w:p w14:paraId="7C509E8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PCE</w:t>
            </w:r>
          </w:p>
        </w:tc>
        <w:tc>
          <w:tcPr>
            <w:tcW w:w="1350" w:type="dxa"/>
            <w:hideMark/>
          </w:tcPr>
          <w:p w14:paraId="3BDF295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0.1984**</w:t>
            </w:r>
          </w:p>
        </w:tc>
        <w:tc>
          <w:tcPr>
            <w:tcW w:w="1710" w:type="dxa"/>
            <w:hideMark/>
          </w:tcPr>
          <w:p w14:paraId="7B40D4C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0.1743*</w:t>
            </w:r>
          </w:p>
        </w:tc>
        <w:tc>
          <w:tcPr>
            <w:tcW w:w="1800" w:type="dxa"/>
            <w:hideMark/>
          </w:tcPr>
          <w:p w14:paraId="012FB3A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0.1831*</w:t>
            </w:r>
          </w:p>
        </w:tc>
        <w:tc>
          <w:tcPr>
            <w:tcW w:w="2695" w:type="dxa"/>
            <w:hideMark/>
          </w:tcPr>
          <w:p w14:paraId="1E0BF41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0.2012**</w:t>
            </w:r>
          </w:p>
        </w:tc>
      </w:tr>
      <w:tr w:rsidR="00E57B83" w:rsidRPr="00F62E86" w14:paraId="3F464DFA" w14:textId="77777777" w:rsidTr="00E57B83">
        <w:tc>
          <w:tcPr>
            <w:tcW w:w="1795" w:type="dxa"/>
            <w:hideMark/>
          </w:tcPr>
          <w:p w14:paraId="594BD51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CEPC</w:t>
            </w:r>
          </w:p>
        </w:tc>
        <w:tc>
          <w:tcPr>
            <w:tcW w:w="1350" w:type="dxa"/>
            <w:hideMark/>
          </w:tcPr>
          <w:p w14:paraId="4D3A2F6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0.3562***</w:t>
            </w:r>
          </w:p>
        </w:tc>
        <w:tc>
          <w:tcPr>
            <w:tcW w:w="1710" w:type="dxa"/>
            <w:hideMark/>
          </w:tcPr>
          <w:p w14:paraId="4C38E1F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0.3317***</w:t>
            </w:r>
          </w:p>
        </w:tc>
        <w:tc>
          <w:tcPr>
            <w:tcW w:w="1800" w:type="dxa"/>
            <w:hideMark/>
          </w:tcPr>
          <w:p w14:paraId="3D41F4B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0.3684***</w:t>
            </w:r>
          </w:p>
        </w:tc>
        <w:tc>
          <w:tcPr>
            <w:tcW w:w="2695" w:type="dxa"/>
            <w:hideMark/>
          </w:tcPr>
          <w:p w14:paraId="2655A92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0.3498***</w:t>
            </w:r>
          </w:p>
        </w:tc>
      </w:tr>
      <w:tr w:rsidR="00E57B83" w:rsidRPr="00F62E86" w14:paraId="244C72ED" w14:textId="77777777" w:rsidTr="00E57B83">
        <w:tc>
          <w:tcPr>
            <w:tcW w:w="1795" w:type="dxa"/>
            <w:hideMark/>
          </w:tcPr>
          <w:p w14:paraId="072A346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ERP</w:t>
            </w:r>
          </w:p>
        </w:tc>
        <w:tc>
          <w:tcPr>
            <w:tcW w:w="1350" w:type="dxa"/>
            <w:hideMark/>
          </w:tcPr>
          <w:p w14:paraId="79284EC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-0.1087**</w:t>
            </w:r>
          </w:p>
        </w:tc>
        <w:tc>
          <w:tcPr>
            <w:tcW w:w="1710" w:type="dxa"/>
            <w:hideMark/>
          </w:tcPr>
          <w:p w14:paraId="1A63AE9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-0.1203**</w:t>
            </w:r>
          </w:p>
        </w:tc>
        <w:tc>
          <w:tcPr>
            <w:tcW w:w="1800" w:type="dxa"/>
            <w:hideMark/>
          </w:tcPr>
          <w:p w14:paraId="7D2EBA6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-0.1026*</w:t>
            </w:r>
          </w:p>
        </w:tc>
        <w:tc>
          <w:tcPr>
            <w:tcW w:w="2695" w:type="dxa"/>
            <w:hideMark/>
          </w:tcPr>
          <w:p w14:paraId="04B163C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-0.1161**</w:t>
            </w:r>
          </w:p>
        </w:tc>
      </w:tr>
      <w:tr w:rsidR="00E57B83" w:rsidRPr="00F62E86" w14:paraId="27890358" w14:textId="77777777" w:rsidTr="00E57B83">
        <w:tc>
          <w:tcPr>
            <w:tcW w:w="1795" w:type="dxa"/>
            <w:hideMark/>
          </w:tcPr>
          <w:p w14:paraId="23E1AE1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Constant</w:t>
            </w:r>
          </w:p>
        </w:tc>
        <w:tc>
          <w:tcPr>
            <w:tcW w:w="1350" w:type="dxa"/>
            <w:hideMark/>
          </w:tcPr>
          <w:p w14:paraId="23E0607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9.8274***</w:t>
            </w:r>
          </w:p>
        </w:tc>
        <w:tc>
          <w:tcPr>
            <w:tcW w:w="1710" w:type="dxa"/>
            <w:hideMark/>
          </w:tcPr>
          <w:p w14:paraId="71E2040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10.2941***</w:t>
            </w:r>
          </w:p>
        </w:tc>
        <w:tc>
          <w:tcPr>
            <w:tcW w:w="1800" w:type="dxa"/>
            <w:hideMark/>
          </w:tcPr>
          <w:p w14:paraId="06C18D5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10.0056***</w:t>
            </w:r>
          </w:p>
        </w:tc>
        <w:tc>
          <w:tcPr>
            <w:tcW w:w="2695" w:type="dxa"/>
            <w:hideMark/>
          </w:tcPr>
          <w:p w14:paraId="4A57DB6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10.1387***</w:t>
            </w:r>
          </w:p>
        </w:tc>
      </w:tr>
      <w:tr w:rsidR="00E57B83" w:rsidRPr="00F62E86" w14:paraId="1DCB5F82" w14:textId="77777777" w:rsidTr="00E57B83">
        <w:tc>
          <w:tcPr>
            <w:tcW w:w="1795" w:type="dxa"/>
            <w:hideMark/>
          </w:tcPr>
          <w:p w14:paraId="4E52034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Observations</w:t>
            </w:r>
          </w:p>
        </w:tc>
        <w:tc>
          <w:tcPr>
            <w:tcW w:w="1350" w:type="dxa"/>
            <w:hideMark/>
          </w:tcPr>
          <w:p w14:paraId="3B54E9D3"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10" w:type="dxa"/>
            <w:hideMark/>
          </w:tcPr>
          <w:p w14:paraId="439B297B"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800" w:type="dxa"/>
            <w:hideMark/>
          </w:tcPr>
          <w:p w14:paraId="329327C1"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695" w:type="dxa"/>
            <w:hideMark/>
          </w:tcPr>
          <w:p w14:paraId="5268E94F" w14:textId="77777777" w:rsidR="00E57B83" w:rsidRPr="00F62E86" w:rsidRDefault="00E57B83" w:rsidP="00E57B83">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E57B83" w:rsidRPr="00F62E86" w14:paraId="24A85744" w14:textId="77777777" w:rsidTr="00E57B83">
        <w:tc>
          <w:tcPr>
            <w:tcW w:w="1795" w:type="dxa"/>
            <w:hideMark/>
          </w:tcPr>
          <w:p w14:paraId="1E1BAF9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R-squared</w:t>
            </w:r>
          </w:p>
        </w:tc>
        <w:tc>
          <w:tcPr>
            <w:tcW w:w="1350" w:type="dxa"/>
            <w:hideMark/>
          </w:tcPr>
          <w:p w14:paraId="272C9BA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0.6537</w:t>
            </w:r>
          </w:p>
        </w:tc>
        <w:tc>
          <w:tcPr>
            <w:tcW w:w="1710" w:type="dxa"/>
            <w:hideMark/>
          </w:tcPr>
          <w:p w14:paraId="755D624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0.6894</w:t>
            </w:r>
          </w:p>
        </w:tc>
        <w:tc>
          <w:tcPr>
            <w:tcW w:w="1800" w:type="dxa"/>
            <w:hideMark/>
          </w:tcPr>
          <w:p w14:paraId="1A8F8E7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0.6778</w:t>
            </w:r>
          </w:p>
        </w:tc>
        <w:tc>
          <w:tcPr>
            <w:tcW w:w="2695" w:type="dxa"/>
            <w:hideMark/>
          </w:tcPr>
          <w:p w14:paraId="10584053" w14:textId="77777777" w:rsidR="00E57B83" w:rsidRPr="00F62E86" w:rsidRDefault="00E57B83" w:rsidP="00E57B83">
            <w:pPr>
              <w:rPr>
                <w:rFonts w:ascii="Times New Roman" w:eastAsia="Times New Roman" w:hAnsi="Times New Roman" w:cs="Times New Roman"/>
                <w:sz w:val="24"/>
                <w:szCs w:val="24"/>
              </w:rPr>
            </w:pPr>
          </w:p>
        </w:tc>
      </w:tr>
      <w:tr w:rsidR="00E57B83" w:rsidRPr="00F62E86" w14:paraId="4B7CB97C" w14:textId="77777777" w:rsidTr="00E57B83">
        <w:tc>
          <w:tcPr>
            <w:tcW w:w="1795" w:type="dxa"/>
            <w:hideMark/>
          </w:tcPr>
          <w:p w14:paraId="69289E7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Adj. R-sq</w:t>
            </w:r>
          </w:p>
        </w:tc>
        <w:tc>
          <w:tcPr>
            <w:tcW w:w="1350" w:type="dxa"/>
            <w:hideMark/>
          </w:tcPr>
          <w:p w14:paraId="5655635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0.6503</w:t>
            </w:r>
          </w:p>
        </w:tc>
        <w:tc>
          <w:tcPr>
            <w:tcW w:w="1710" w:type="dxa"/>
            <w:hideMark/>
          </w:tcPr>
          <w:p w14:paraId="24D0444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0.6850</w:t>
            </w:r>
          </w:p>
        </w:tc>
        <w:tc>
          <w:tcPr>
            <w:tcW w:w="1800" w:type="dxa"/>
            <w:hideMark/>
          </w:tcPr>
          <w:p w14:paraId="64D89C4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0.6759</w:t>
            </w:r>
          </w:p>
        </w:tc>
        <w:tc>
          <w:tcPr>
            <w:tcW w:w="2695" w:type="dxa"/>
            <w:hideMark/>
          </w:tcPr>
          <w:p w14:paraId="64EF4D7E" w14:textId="77777777" w:rsidR="00E57B83" w:rsidRPr="00F62E86" w:rsidRDefault="00E57B83" w:rsidP="00E57B83">
            <w:pPr>
              <w:rPr>
                <w:rFonts w:ascii="Times New Roman" w:eastAsia="Times New Roman" w:hAnsi="Times New Roman" w:cs="Times New Roman"/>
                <w:sz w:val="24"/>
                <w:szCs w:val="24"/>
              </w:rPr>
            </w:pPr>
          </w:p>
        </w:tc>
      </w:tr>
    </w:tbl>
    <w:p w14:paraId="0AE4944E" w14:textId="6D76C1C8" w:rsidR="00E57B83"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173902">
        <w:rPr>
          <w:rFonts w:ascii="Times New Roman" w:hAnsi="Times New Roman" w:cs="Times New Roman"/>
          <w:sz w:val="24"/>
          <w:szCs w:val="24"/>
        </w:rPr>
        <w:t>6</w:t>
      </w:r>
      <w:r w:rsidRPr="00F24E4A">
        <w:rPr>
          <w:rFonts w:ascii="Times New Roman" w:hAnsi="Times New Roman" w:cs="Times New Roman"/>
          <w:sz w:val="24"/>
          <w:szCs w:val="24"/>
        </w:rPr>
        <w:t>).</w:t>
      </w:r>
    </w:p>
    <w:p w14:paraId="7E1A2808" w14:textId="77777777" w:rsidR="0054602B" w:rsidRDefault="0054602B" w:rsidP="00E57B83">
      <w:pPr>
        <w:pStyle w:val="NoSpacing"/>
        <w:rPr>
          <w:rFonts w:ascii="Times New Roman" w:hAnsi="Times New Roman" w:cs="Times New Roman"/>
          <w:sz w:val="24"/>
          <w:szCs w:val="24"/>
        </w:rPr>
      </w:pPr>
    </w:p>
    <w:p w14:paraId="4C7EC7D9" w14:textId="77777777" w:rsidR="0054602B" w:rsidRDefault="0054602B" w:rsidP="00E57B83">
      <w:pPr>
        <w:pStyle w:val="NoSpacing"/>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 xml:space="preserve">Hausman </w:t>
      </w:r>
      <w:r>
        <w:rPr>
          <w:rFonts w:ascii="Times New Roman" w:eastAsia="Times New Roman" w:hAnsi="Times New Roman" w:cs="Times New Roman"/>
          <w:b/>
          <w:bCs/>
          <w:sz w:val="24"/>
          <w:szCs w:val="24"/>
        </w:rPr>
        <w:t xml:space="preserve">Test </w:t>
      </w:r>
    </w:p>
    <w:p w14:paraId="36C59CEF" w14:textId="73A8A077" w:rsidR="0054602B" w:rsidRPr="0054602B" w:rsidRDefault="0054602B" w:rsidP="0054602B">
      <w:pPr>
        <w:spacing w:before="100" w:beforeAutospacing="1" w:after="100" w:afterAutospacing="1" w:line="276" w:lineRule="auto"/>
        <w:jc w:val="both"/>
        <w:outlineLvl w:val="2"/>
        <w:rPr>
          <w:rFonts w:ascii="Times New Roman" w:eastAsia="Times New Roman" w:hAnsi="Times New Roman" w:cs="Times New Roman"/>
          <w:bCs/>
          <w:sz w:val="24"/>
          <w:szCs w:val="24"/>
        </w:rPr>
      </w:pPr>
      <w:r w:rsidRPr="00F24E4A">
        <w:rPr>
          <w:rFonts w:ascii="Times New Roman" w:eastAsia="Times New Roman" w:hAnsi="Times New Roman" w:cs="Times New Roman"/>
          <w:bCs/>
          <w:sz w:val="24"/>
          <w:szCs w:val="24"/>
        </w:rPr>
        <w:t>The Hausman specific</w:t>
      </w:r>
      <w:r>
        <w:rPr>
          <w:rFonts w:ascii="Times New Roman" w:eastAsia="Times New Roman" w:hAnsi="Times New Roman" w:cs="Times New Roman"/>
          <w:bCs/>
          <w:sz w:val="24"/>
          <w:szCs w:val="24"/>
        </w:rPr>
        <w:t xml:space="preserve">ation test, as shown in Table </w:t>
      </w:r>
      <w:r w:rsidR="00173902">
        <w:rPr>
          <w:rFonts w:ascii="Times New Roman" w:eastAsia="Times New Roman" w:hAnsi="Times New Roman" w:cs="Times New Roman"/>
          <w:bCs/>
          <w:sz w:val="24"/>
          <w:szCs w:val="24"/>
        </w:rPr>
        <w:t>7</w:t>
      </w:r>
      <w:r w:rsidRPr="00F24E4A">
        <w:rPr>
          <w:rFonts w:ascii="Times New Roman" w:eastAsia="Times New Roman" w:hAnsi="Times New Roman" w:cs="Times New Roman"/>
          <w:bCs/>
          <w:sz w:val="24"/>
          <w:szCs w:val="24"/>
        </w:rPr>
        <w:t xml:space="preserve">, evaluates whether the fixed effects (FE) or random effects (RE) model is more suitable for analyzing the impact of green accounting </w:t>
      </w:r>
      <w:r w:rsidR="001E4E58">
        <w:rPr>
          <w:rFonts w:ascii="Times New Roman" w:eastAsia="Times New Roman" w:hAnsi="Times New Roman" w:cs="Times New Roman"/>
          <w:bCs/>
          <w:sz w:val="24"/>
          <w:szCs w:val="24"/>
        </w:rPr>
        <w:t xml:space="preserve"> practice</w:t>
      </w:r>
      <w:r w:rsidRPr="00F24E4A">
        <w:rPr>
          <w:rFonts w:ascii="Times New Roman" w:eastAsia="Times New Roman" w:hAnsi="Times New Roman" w:cs="Times New Roman"/>
          <w:bCs/>
          <w:sz w:val="24"/>
          <w:szCs w:val="24"/>
        </w:rPr>
        <w:t>s on ROA. The test yields a Chi-square statistic of 12.786 with 6 degrees of freedom and a p-value of 0.0461. Since the p-value is less than the 5% significance level, we reject the null hypothesis (H₀), which assumes that the random effects model is appropriate. Consequently, the test supports the fixed effects model as the more consistent and efficient estimator. This implies that unobserved heterogeneity across firms—such as internal environmental policies or industry-specific characteristics—is correlated with the explanatory variables and must be accounted for. Therefore, the fixed effects model is preferred for drawing reliable conclusions about how green accounting practices affect firm profitability.</w:t>
      </w:r>
    </w:p>
    <w:p w14:paraId="56225324" w14:textId="0EC624C9"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7</w:t>
      </w:r>
      <w:r w:rsidR="00E57B83" w:rsidRPr="00F62E86">
        <w:rPr>
          <w:rFonts w:ascii="Times New Roman" w:eastAsia="Times New Roman" w:hAnsi="Times New Roman" w:cs="Times New Roman"/>
          <w:b/>
          <w:bCs/>
          <w:sz w:val="24"/>
          <w:szCs w:val="24"/>
        </w:rPr>
        <w:t>: Hausman Test Result</w:t>
      </w:r>
    </w:p>
    <w:tbl>
      <w:tblPr>
        <w:tblStyle w:val="TableGrid"/>
        <w:tblW w:w="0" w:type="auto"/>
        <w:tblLook w:val="04A0" w:firstRow="1" w:lastRow="0" w:firstColumn="1" w:lastColumn="0" w:noHBand="0" w:noVBand="1"/>
      </w:tblPr>
      <w:tblGrid>
        <w:gridCol w:w="1480"/>
        <w:gridCol w:w="1667"/>
        <w:gridCol w:w="1703"/>
        <w:gridCol w:w="927"/>
        <w:gridCol w:w="1109"/>
        <w:gridCol w:w="2464"/>
      </w:tblGrid>
      <w:tr w:rsidR="00E57B83" w:rsidRPr="00F62E86" w14:paraId="57E0AEB4" w14:textId="77777777" w:rsidTr="00E57B83">
        <w:tc>
          <w:tcPr>
            <w:tcW w:w="0" w:type="auto"/>
            <w:hideMark/>
          </w:tcPr>
          <w:p w14:paraId="7DDC6F81"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Summary</w:t>
            </w:r>
          </w:p>
        </w:tc>
        <w:tc>
          <w:tcPr>
            <w:tcW w:w="0" w:type="auto"/>
            <w:hideMark/>
          </w:tcPr>
          <w:p w14:paraId="0CAEA97E"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Chi-Square Statistic</w:t>
            </w:r>
          </w:p>
        </w:tc>
        <w:tc>
          <w:tcPr>
            <w:tcW w:w="0" w:type="auto"/>
            <w:hideMark/>
          </w:tcPr>
          <w:p w14:paraId="23A9038B"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Degrees of Freedom</w:t>
            </w:r>
          </w:p>
        </w:tc>
        <w:tc>
          <w:tcPr>
            <w:tcW w:w="0" w:type="auto"/>
            <w:hideMark/>
          </w:tcPr>
          <w:p w14:paraId="25F9AAE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0" w:type="auto"/>
            <w:hideMark/>
          </w:tcPr>
          <w:p w14:paraId="761D9390"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Decision</w:t>
            </w:r>
          </w:p>
        </w:tc>
        <w:tc>
          <w:tcPr>
            <w:tcW w:w="0" w:type="auto"/>
            <w:hideMark/>
          </w:tcPr>
          <w:p w14:paraId="67B2F7FE"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Conclusion</w:t>
            </w:r>
          </w:p>
        </w:tc>
      </w:tr>
      <w:tr w:rsidR="00E57B83" w:rsidRPr="00F62E86" w14:paraId="1DADE1C3" w14:textId="77777777" w:rsidTr="00E57B83">
        <w:tc>
          <w:tcPr>
            <w:tcW w:w="0" w:type="auto"/>
            <w:hideMark/>
          </w:tcPr>
          <w:p w14:paraId="619B0AA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Hausman Test</w:t>
            </w:r>
          </w:p>
        </w:tc>
        <w:tc>
          <w:tcPr>
            <w:tcW w:w="0" w:type="auto"/>
            <w:hideMark/>
          </w:tcPr>
          <w:p w14:paraId="13F48BA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12.786</w:t>
            </w:r>
          </w:p>
        </w:tc>
        <w:tc>
          <w:tcPr>
            <w:tcW w:w="0" w:type="auto"/>
            <w:hideMark/>
          </w:tcPr>
          <w:p w14:paraId="279E371F"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6</w:t>
            </w:r>
          </w:p>
        </w:tc>
        <w:tc>
          <w:tcPr>
            <w:tcW w:w="0" w:type="auto"/>
            <w:hideMark/>
          </w:tcPr>
          <w:p w14:paraId="7BB5759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0.0461</w:t>
            </w:r>
          </w:p>
        </w:tc>
        <w:tc>
          <w:tcPr>
            <w:tcW w:w="0" w:type="auto"/>
            <w:hideMark/>
          </w:tcPr>
          <w:p w14:paraId="7B6D90E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Reject H₀</w:t>
            </w:r>
          </w:p>
        </w:tc>
        <w:tc>
          <w:tcPr>
            <w:tcW w:w="0" w:type="auto"/>
            <w:hideMark/>
          </w:tcPr>
          <w:p w14:paraId="355BCC0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Fixed Effects Model is appropriate</w:t>
            </w:r>
          </w:p>
        </w:tc>
      </w:tr>
    </w:tbl>
    <w:p w14:paraId="32BAAD70" w14:textId="77777777" w:rsidR="0054602B"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3E9C72FC" w14:textId="77777777" w:rsidR="0054602B"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12F40A76" w14:textId="77777777" w:rsidR="0054602B"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37420D56" w14:textId="77777777" w:rsidR="0054602B"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7C06661E" w14:textId="77777777" w:rsidR="0054602B"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1C8890DA" w14:textId="77777777" w:rsidR="00E57B83" w:rsidRDefault="0054602B" w:rsidP="00E57B83">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lastRenderedPageBreak/>
        <w:t>Diagnostic Tests</w:t>
      </w:r>
    </w:p>
    <w:p w14:paraId="3E29A9BA" w14:textId="14B55427" w:rsidR="0054602B" w:rsidRPr="0054602B" w:rsidRDefault="0054602B" w:rsidP="0054602B">
      <w:pPr>
        <w:jc w:val="both"/>
        <w:rPr>
          <w:rFonts w:ascii="Times New Roman" w:hAnsi="Times New Roman" w:cs="Times New Roman"/>
          <w:sz w:val="24"/>
          <w:szCs w:val="24"/>
        </w:rPr>
      </w:pPr>
      <w:r>
        <w:rPr>
          <w:rFonts w:ascii="Times New Roman" w:hAnsi="Times New Roman" w:cs="Times New Roman"/>
          <w:sz w:val="24"/>
          <w:szCs w:val="24"/>
        </w:rPr>
        <w:t xml:space="preserve">Analysis in table </w:t>
      </w:r>
      <w:r w:rsidR="00173902">
        <w:rPr>
          <w:rFonts w:ascii="Times New Roman" w:hAnsi="Times New Roman" w:cs="Times New Roman"/>
          <w:sz w:val="24"/>
          <w:szCs w:val="24"/>
        </w:rPr>
        <w:t>8</w:t>
      </w:r>
      <w:r w:rsidRPr="00F24E4A">
        <w:rPr>
          <w:rFonts w:ascii="Times New Roman" w:hAnsi="Times New Roman" w:cs="Times New Roman"/>
          <w:sz w:val="24"/>
          <w:szCs w:val="24"/>
        </w:rPr>
        <w:t xml:space="preserve"> presents the results of several post-estimation diagnostic tests conducted to assess the validity and robustness of the fixed effects regression model. The </w:t>
      </w:r>
      <w:r w:rsidRPr="00F24E4A">
        <w:rPr>
          <w:rFonts w:ascii="Times New Roman" w:hAnsi="Times New Roman" w:cs="Times New Roman"/>
          <w:bCs/>
          <w:sz w:val="24"/>
          <w:szCs w:val="24"/>
        </w:rPr>
        <w:t>Hausman Specification Test</w:t>
      </w:r>
      <w:r w:rsidRPr="00F24E4A">
        <w:rPr>
          <w:rFonts w:ascii="Times New Roman" w:hAnsi="Times New Roman" w:cs="Times New Roman"/>
          <w:sz w:val="24"/>
          <w:szCs w:val="24"/>
        </w:rPr>
        <w:t xml:space="preserve"> confirms the appropriateness of the </w:t>
      </w:r>
      <w:r w:rsidRPr="00F24E4A">
        <w:rPr>
          <w:rFonts w:ascii="Times New Roman" w:hAnsi="Times New Roman" w:cs="Times New Roman"/>
          <w:bCs/>
          <w:sz w:val="24"/>
          <w:szCs w:val="24"/>
        </w:rPr>
        <w:t>fixed effects model</w:t>
      </w:r>
      <w:r w:rsidRPr="00F24E4A">
        <w:rPr>
          <w:rFonts w:ascii="Times New Roman" w:hAnsi="Times New Roman" w:cs="Times New Roman"/>
          <w:sz w:val="24"/>
          <w:szCs w:val="24"/>
        </w:rPr>
        <w:t xml:space="preserve"> over the random effects model (χ² = 12.786,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 = 0.0461), ensuring consistency in the presence of correlated individual effects. The </w:t>
      </w:r>
      <w:r w:rsidRPr="00F24E4A">
        <w:rPr>
          <w:rFonts w:ascii="Times New Roman" w:hAnsi="Times New Roman" w:cs="Times New Roman"/>
          <w:bCs/>
          <w:sz w:val="24"/>
          <w:szCs w:val="24"/>
        </w:rPr>
        <w:t>Variance Inflation Factor (VIF)</w:t>
      </w:r>
      <w:r w:rsidRPr="00F24E4A">
        <w:rPr>
          <w:rFonts w:ascii="Times New Roman" w:hAnsi="Times New Roman" w:cs="Times New Roman"/>
          <w:sz w:val="24"/>
          <w:szCs w:val="24"/>
        </w:rPr>
        <w:t xml:space="preserve"> test shows a mean VIF of 2.18, well below the threshold of 10, indicating </w:t>
      </w:r>
      <w:r w:rsidRPr="00F24E4A">
        <w:rPr>
          <w:rFonts w:ascii="Times New Roman" w:hAnsi="Times New Roman" w:cs="Times New Roman"/>
          <w:bCs/>
          <w:sz w:val="24"/>
          <w:szCs w:val="24"/>
        </w:rPr>
        <w:t>no multicollinearity</w:t>
      </w:r>
      <w:r w:rsidRPr="00F24E4A">
        <w:rPr>
          <w:rFonts w:ascii="Times New Roman" w:hAnsi="Times New Roman" w:cs="Times New Roman"/>
          <w:sz w:val="24"/>
          <w:szCs w:val="24"/>
        </w:rPr>
        <w:t xml:space="preserve"> and thus reliable coefficient estimates. The </w:t>
      </w:r>
      <w:r w:rsidRPr="00F24E4A">
        <w:rPr>
          <w:rFonts w:ascii="Times New Roman" w:hAnsi="Times New Roman" w:cs="Times New Roman"/>
          <w:bCs/>
          <w:sz w:val="24"/>
          <w:szCs w:val="24"/>
        </w:rPr>
        <w:t>Wooldridge Test for Autocorrelation in Panel Data</w:t>
      </w:r>
      <w:r w:rsidRPr="00F24E4A">
        <w:rPr>
          <w:rFonts w:ascii="Times New Roman" w:hAnsi="Times New Roman" w:cs="Times New Roman"/>
          <w:sz w:val="24"/>
          <w:szCs w:val="24"/>
        </w:rPr>
        <w:t xml:space="preserve"> yields a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-value of 0.1794, leading to the </w:t>
      </w:r>
      <w:r w:rsidRPr="00F24E4A">
        <w:rPr>
          <w:rFonts w:ascii="Times New Roman" w:hAnsi="Times New Roman" w:cs="Times New Roman"/>
          <w:bCs/>
          <w:sz w:val="24"/>
          <w:szCs w:val="24"/>
        </w:rPr>
        <w:t>non-rejection of the null hypothesis</w:t>
      </w:r>
      <w:r w:rsidRPr="00F24E4A">
        <w:rPr>
          <w:rFonts w:ascii="Times New Roman" w:hAnsi="Times New Roman" w:cs="Times New Roman"/>
          <w:sz w:val="24"/>
          <w:szCs w:val="24"/>
        </w:rPr>
        <w:t xml:space="preserve">, suggesting that </w:t>
      </w:r>
      <w:r w:rsidRPr="00F24E4A">
        <w:rPr>
          <w:rFonts w:ascii="Times New Roman" w:hAnsi="Times New Roman" w:cs="Times New Roman"/>
          <w:bCs/>
          <w:sz w:val="24"/>
          <w:szCs w:val="24"/>
        </w:rPr>
        <w:t>first-order serial correlation is absent</w:t>
      </w:r>
      <w:r w:rsidRPr="00F24E4A">
        <w:rPr>
          <w:rFonts w:ascii="Times New Roman" w:hAnsi="Times New Roman" w:cs="Times New Roman"/>
          <w:sz w:val="24"/>
          <w:szCs w:val="24"/>
        </w:rPr>
        <w:t xml:space="preserve">. However, the </w:t>
      </w:r>
      <w:r w:rsidRPr="00F24E4A">
        <w:rPr>
          <w:rFonts w:ascii="Times New Roman" w:hAnsi="Times New Roman" w:cs="Times New Roman"/>
          <w:bCs/>
          <w:sz w:val="24"/>
          <w:szCs w:val="24"/>
        </w:rPr>
        <w:t>Modified Wald Test for GroupWise Heteroskedasticity</w:t>
      </w:r>
      <w:r w:rsidRPr="00F24E4A">
        <w:rPr>
          <w:rFonts w:ascii="Times New Roman" w:hAnsi="Times New Roman" w:cs="Times New Roman"/>
          <w:sz w:val="24"/>
          <w:szCs w:val="24"/>
        </w:rPr>
        <w:t xml:space="preserve"> produces a significant result (χ² = 15.683,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 = 0.0036), indicating the </w:t>
      </w:r>
      <w:r w:rsidRPr="00F24E4A">
        <w:rPr>
          <w:rFonts w:ascii="Times New Roman" w:hAnsi="Times New Roman" w:cs="Times New Roman"/>
          <w:bCs/>
          <w:sz w:val="24"/>
          <w:szCs w:val="24"/>
        </w:rPr>
        <w:t>presence of heteroskedasticity</w:t>
      </w:r>
      <w:r w:rsidRPr="00F24E4A">
        <w:rPr>
          <w:rFonts w:ascii="Times New Roman" w:hAnsi="Times New Roman" w:cs="Times New Roman"/>
          <w:sz w:val="24"/>
          <w:szCs w:val="24"/>
        </w:rPr>
        <w:t xml:space="preserve">; as a result, </w:t>
      </w:r>
      <w:r w:rsidRPr="00F24E4A">
        <w:rPr>
          <w:rFonts w:ascii="Times New Roman" w:hAnsi="Times New Roman" w:cs="Times New Roman"/>
          <w:bCs/>
          <w:sz w:val="24"/>
          <w:szCs w:val="24"/>
        </w:rPr>
        <w:t>robust standard errors</w:t>
      </w:r>
      <w:r w:rsidRPr="00F24E4A">
        <w:rPr>
          <w:rFonts w:ascii="Times New Roman" w:hAnsi="Times New Roman" w:cs="Times New Roman"/>
          <w:sz w:val="24"/>
          <w:szCs w:val="24"/>
        </w:rPr>
        <w:t xml:space="preserve"> should be applied to ensure valid statistical inference. Lastly, the </w:t>
      </w:r>
      <w:proofErr w:type="spellStart"/>
      <w:r w:rsidRPr="00F24E4A">
        <w:rPr>
          <w:rFonts w:ascii="Times New Roman" w:hAnsi="Times New Roman" w:cs="Times New Roman"/>
          <w:bCs/>
          <w:sz w:val="24"/>
          <w:szCs w:val="24"/>
        </w:rPr>
        <w:t>Pesaran</w:t>
      </w:r>
      <w:proofErr w:type="spellEnd"/>
      <w:r w:rsidRPr="00F24E4A">
        <w:rPr>
          <w:rFonts w:ascii="Times New Roman" w:hAnsi="Times New Roman" w:cs="Times New Roman"/>
          <w:bCs/>
          <w:sz w:val="24"/>
          <w:szCs w:val="24"/>
        </w:rPr>
        <w:t xml:space="preserve"> CD Test</w:t>
      </w:r>
      <w:r w:rsidRPr="00F24E4A">
        <w:rPr>
          <w:rFonts w:ascii="Times New Roman" w:hAnsi="Times New Roman" w:cs="Times New Roman"/>
          <w:sz w:val="24"/>
          <w:szCs w:val="24"/>
        </w:rPr>
        <w:t xml:space="preserve"> for cross-sectional dependence reports a non-significant result (</w:t>
      </w:r>
      <w:r w:rsidRPr="00F24E4A">
        <w:rPr>
          <w:rFonts w:ascii="Times New Roman" w:hAnsi="Times New Roman" w:cs="Times New Roman"/>
          <w:i/>
          <w:iCs/>
          <w:sz w:val="24"/>
          <w:szCs w:val="24"/>
        </w:rPr>
        <w:t>p</w:t>
      </w:r>
      <w:r w:rsidRPr="00F24E4A">
        <w:rPr>
          <w:rFonts w:ascii="Times New Roman" w:hAnsi="Times New Roman" w:cs="Times New Roman"/>
          <w:sz w:val="24"/>
          <w:szCs w:val="24"/>
        </w:rPr>
        <w:t xml:space="preserve"> = 0.354), implying that </w:t>
      </w:r>
      <w:r w:rsidRPr="00F24E4A">
        <w:rPr>
          <w:rFonts w:ascii="Times New Roman" w:hAnsi="Times New Roman" w:cs="Times New Roman"/>
          <w:bCs/>
          <w:sz w:val="24"/>
          <w:szCs w:val="24"/>
        </w:rPr>
        <w:t>residuals are not correlated across firms</w:t>
      </w:r>
      <w:r w:rsidRPr="00F24E4A">
        <w:rPr>
          <w:rFonts w:ascii="Times New Roman" w:hAnsi="Times New Roman" w:cs="Times New Roman"/>
          <w:sz w:val="24"/>
          <w:szCs w:val="24"/>
        </w:rPr>
        <w:t>, which supports the model’s reliability. Overall, the diagnostics affirm that while the fixed effects model is appropriate and free from multicollinearity, autocorrelation, and cross-sectional dependence, heteroskedasticity must be addressed throug</w:t>
      </w:r>
      <w:r>
        <w:rPr>
          <w:rFonts w:ascii="Times New Roman" w:hAnsi="Times New Roman" w:cs="Times New Roman"/>
          <w:sz w:val="24"/>
          <w:szCs w:val="24"/>
        </w:rPr>
        <w:t>h robust estimation techniques.</w:t>
      </w:r>
    </w:p>
    <w:p w14:paraId="5F6116B1" w14:textId="02B292E8" w:rsidR="00E57B83" w:rsidRPr="00F62E86" w:rsidRDefault="0054602B" w:rsidP="00E57B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173902">
        <w:rPr>
          <w:rFonts w:ascii="Times New Roman" w:eastAsia="Times New Roman" w:hAnsi="Times New Roman" w:cs="Times New Roman"/>
          <w:b/>
          <w:bCs/>
          <w:sz w:val="24"/>
          <w:szCs w:val="24"/>
        </w:rPr>
        <w:t>8</w:t>
      </w:r>
      <w:r w:rsidR="00E57B83" w:rsidRPr="00F62E86">
        <w:rPr>
          <w:rFonts w:ascii="Times New Roman" w:eastAsia="Times New Roman" w:hAnsi="Times New Roman" w:cs="Times New Roman"/>
          <w:b/>
          <w:bCs/>
          <w:sz w:val="24"/>
          <w:szCs w:val="24"/>
        </w:rPr>
        <w:t>: Diagnostic Tests</w:t>
      </w:r>
    </w:p>
    <w:tbl>
      <w:tblPr>
        <w:tblStyle w:val="TableGrid"/>
        <w:tblW w:w="0" w:type="auto"/>
        <w:tblInd w:w="-275" w:type="dxa"/>
        <w:tblLook w:val="04A0" w:firstRow="1" w:lastRow="0" w:firstColumn="1" w:lastColumn="0" w:noHBand="0" w:noVBand="1"/>
      </w:tblPr>
      <w:tblGrid>
        <w:gridCol w:w="2145"/>
        <w:gridCol w:w="1736"/>
        <w:gridCol w:w="1043"/>
        <w:gridCol w:w="876"/>
        <w:gridCol w:w="1816"/>
        <w:gridCol w:w="2009"/>
      </w:tblGrid>
      <w:tr w:rsidR="00E57B83" w:rsidRPr="00F62E86" w14:paraId="777B7FF0" w14:textId="77777777" w:rsidTr="00C85F28">
        <w:tc>
          <w:tcPr>
            <w:tcW w:w="2174" w:type="dxa"/>
            <w:hideMark/>
          </w:tcPr>
          <w:p w14:paraId="2AB06123"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Description</w:t>
            </w:r>
          </w:p>
        </w:tc>
        <w:tc>
          <w:tcPr>
            <w:tcW w:w="1729" w:type="dxa"/>
            <w:hideMark/>
          </w:tcPr>
          <w:p w14:paraId="4B8B579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Applied</w:t>
            </w:r>
          </w:p>
        </w:tc>
        <w:tc>
          <w:tcPr>
            <w:tcW w:w="0" w:type="auto"/>
            <w:hideMark/>
          </w:tcPr>
          <w:p w14:paraId="3BAB96C4"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Test Statistic</w:t>
            </w:r>
          </w:p>
        </w:tc>
        <w:tc>
          <w:tcPr>
            <w:tcW w:w="0" w:type="auto"/>
            <w:hideMark/>
          </w:tcPr>
          <w:p w14:paraId="40C3BA6A"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p-value</w:t>
            </w:r>
          </w:p>
        </w:tc>
        <w:tc>
          <w:tcPr>
            <w:tcW w:w="1809" w:type="dxa"/>
            <w:hideMark/>
          </w:tcPr>
          <w:p w14:paraId="2FD34CD9"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Decision</w:t>
            </w:r>
          </w:p>
        </w:tc>
        <w:tc>
          <w:tcPr>
            <w:tcW w:w="2001" w:type="dxa"/>
            <w:hideMark/>
          </w:tcPr>
          <w:p w14:paraId="58380097" w14:textId="77777777" w:rsidR="00E57B83" w:rsidRPr="00F62E86" w:rsidRDefault="00E57B83" w:rsidP="00E57B83">
            <w:pPr>
              <w:jc w:val="center"/>
              <w:rPr>
                <w:rFonts w:ascii="Times New Roman" w:eastAsia="Times New Roman" w:hAnsi="Times New Roman" w:cs="Times New Roman"/>
                <w:b/>
                <w:bCs/>
                <w:sz w:val="24"/>
                <w:szCs w:val="24"/>
              </w:rPr>
            </w:pPr>
            <w:r w:rsidRPr="00F62E86">
              <w:rPr>
                <w:rFonts w:ascii="Times New Roman" w:eastAsia="Times New Roman" w:hAnsi="Times New Roman" w:cs="Times New Roman"/>
                <w:b/>
                <w:bCs/>
                <w:sz w:val="24"/>
                <w:szCs w:val="24"/>
              </w:rPr>
              <w:t>Implication</w:t>
            </w:r>
          </w:p>
        </w:tc>
      </w:tr>
      <w:tr w:rsidR="00E57B83" w:rsidRPr="00F62E86" w14:paraId="2D423158" w14:textId="77777777" w:rsidTr="00C85F28">
        <w:tc>
          <w:tcPr>
            <w:tcW w:w="2174" w:type="dxa"/>
            <w:hideMark/>
          </w:tcPr>
          <w:p w14:paraId="57E80748"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Model Selection Test</w:t>
            </w:r>
          </w:p>
        </w:tc>
        <w:tc>
          <w:tcPr>
            <w:tcW w:w="1729" w:type="dxa"/>
            <w:hideMark/>
          </w:tcPr>
          <w:p w14:paraId="7B6C40FA"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Hausman Specification Test</w:t>
            </w:r>
          </w:p>
        </w:tc>
        <w:tc>
          <w:tcPr>
            <w:tcW w:w="0" w:type="auto"/>
            <w:hideMark/>
          </w:tcPr>
          <w:p w14:paraId="03059F4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χ² = 12.786</w:t>
            </w:r>
          </w:p>
        </w:tc>
        <w:tc>
          <w:tcPr>
            <w:tcW w:w="0" w:type="auto"/>
            <w:hideMark/>
          </w:tcPr>
          <w:p w14:paraId="09BBFC0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0.0461</w:t>
            </w:r>
          </w:p>
        </w:tc>
        <w:tc>
          <w:tcPr>
            <w:tcW w:w="1809" w:type="dxa"/>
            <w:hideMark/>
          </w:tcPr>
          <w:p w14:paraId="0BBF4EF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Reject H₀</w:t>
            </w:r>
          </w:p>
        </w:tc>
        <w:tc>
          <w:tcPr>
            <w:tcW w:w="2001" w:type="dxa"/>
            <w:hideMark/>
          </w:tcPr>
          <w:p w14:paraId="4546193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Fixed Effects Model preferred</w:t>
            </w:r>
          </w:p>
        </w:tc>
      </w:tr>
      <w:tr w:rsidR="00E57B83" w:rsidRPr="00F62E86" w14:paraId="36F47CD1" w14:textId="77777777" w:rsidTr="00C85F28">
        <w:tc>
          <w:tcPr>
            <w:tcW w:w="2174" w:type="dxa"/>
            <w:hideMark/>
          </w:tcPr>
          <w:p w14:paraId="5F6BD22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Multicollinearity</w:t>
            </w:r>
          </w:p>
        </w:tc>
        <w:tc>
          <w:tcPr>
            <w:tcW w:w="1729" w:type="dxa"/>
            <w:hideMark/>
          </w:tcPr>
          <w:p w14:paraId="466A5CE4"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Variance Inflation Factor (VIF)</w:t>
            </w:r>
          </w:p>
        </w:tc>
        <w:tc>
          <w:tcPr>
            <w:tcW w:w="0" w:type="auto"/>
            <w:hideMark/>
          </w:tcPr>
          <w:p w14:paraId="797A632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Mean VIF = 2.18</w:t>
            </w:r>
          </w:p>
        </w:tc>
        <w:tc>
          <w:tcPr>
            <w:tcW w:w="0" w:type="auto"/>
            <w:hideMark/>
          </w:tcPr>
          <w:p w14:paraId="673BB912"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t>
            </w:r>
          </w:p>
        </w:tc>
        <w:tc>
          <w:tcPr>
            <w:tcW w:w="1809" w:type="dxa"/>
            <w:hideMark/>
          </w:tcPr>
          <w:p w14:paraId="7937CDF6"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multicollinearity</w:t>
            </w:r>
          </w:p>
        </w:tc>
        <w:tc>
          <w:tcPr>
            <w:tcW w:w="2001" w:type="dxa"/>
            <w:hideMark/>
          </w:tcPr>
          <w:p w14:paraId="6CE5622E"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Acceptable levels (all VIFs &lt; 10)</w:t>
            </w:r>
          </w:p>
        </w:tc>
      </w:tr>
      <w:tr w:rsidR="00E57B83" w:rsidRPr="00F62E86" w14:paraId="0386A2EA" w14:textId="77777777" w:rsidTr="00C85F28">
        <w:tc>
          <w:tcPr>
            <w:tcW w:w="2174" w:type="dxa"/>
            <w:hideMark/>
          </w:tcPr>
          <w:p w14:paraId="5C652C60"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Serial Correlation</w:t>
            </w:r>
          </w:p>
        </w:tc>
        <w:tc>
          <w:tcPr>
            <w:tcW w:w="1729" w:type="dxa"/>
            <w:hideMark/>
          </w:tcPr>
          <w:p w14:paraId="30643F8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Wooldridge Test for Autocorrelation in Panel Data</w:t>
            </w:r>
          </w:p>
        </w:tc>
        <w:tc>
          <w:tcPr>
            <w:tcW w:w="0" w:type="auto"/>
            <w:hideMark/>
          </w:tcPr>
          <w:p w14:paraId="10E62A63"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F(1, 68) = 1.842</w:t>
            </w:r>
          </w:p>
        </w:tc>
        <w:tc>
          <w:tcPr>
            <w:tcW w:w="0" w:type="auto"/>
            <w:hideMark/>
          </w:tcPr>
          <w:p w14:paraId="68F4D39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0.1794</w:t>
            </w:r>
          </w:p>
        </w:tc>
        <w:tc>
          <w:tcPr>
            <w:tcW w:w="1809" w:type="dxa"/>
            <w:hideMark/>
          </w:tcPr>
          <w:p w14:paraId="1366D1A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Do not reject H₀</w:t>
            </w:r>
          </w:p>
        </w:tc>
        <w:tc>
          <w:tcPr>
            <w:tcW w:w="2001" w:type="dxa"/>
            <w:hideMark/>
          </w:tcPr>
          <w:p w14:paraId="6A84CBA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first-order autocorrelation</w:t>
            </w:r>
          </w:p>
        </w:tc>
      </w:tr>
      <w:tr w:rsidR="00E57B83" w:rsidRPr="00F62E86" w14:paraId="77624EBE" w14:textId="77777777" w:rsidTr="00C85F28">
        <w:tc>
          <w:tcPr>
            <w:tcW w:w="2174" w:type="dxa"/>
            <w:hideMark/>
          </w:tcPr>
          <w:p w14:paraId="5F24902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Heteroskedasticity</w:t>
            </w:r>
          </w:p>
        </w:tc>
        <w:tc>
          <w:tcPr>
            <w:tcW w:w="1729" w:type="dxa"/>
            <w:hideMark/>
          </w:tcPr>
          <w:p w14:paraId="18BBC56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Modified Wald Test</w:t>
            </w:r>
          </w:p>
        </w:tc>
        <w:tc>
          <w:tcPr>
            <w:tcW w:w="0" w:type="auto"/>
            <w:hideMark/>
          </w:tcPr>
          <w:p w14:paraId="7691871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χ² = 15.683</w:t>
            </w:r>
          </w:p>
        </w:tc>
        <w:tc>
          <w:tcPr>
            <w:tcW w:w="0" w:type="auto"/>
            <w:hideMark/>
          </w:tcPr>
          <w:p w14:paraId="47F95D4B"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0.0036</w:t>
            </w:r>
          </w:p>
        </w:tc>
        <w:tc>
          <w:tcPr>
            <w:tcW w:w="1809" w:type="dxa"/>
            <w:hideMark/>
          </w:tcPr>
          <w:p w14:paraId="447CE687"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Reject H₀</w:t>
            </w:r>
          </w:p>
        </w:tc>
        <w:tc>
          <w:tcPr>
            <w:tcW w:w="2001" w:type="dxa"/>
            <w:hideMark/>
          </w:tcPr>
          <w:p w14:paraId="06A4B28C"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Presence of heteroskedasticity, robust SE suggested</w:t>
            </w:r>
          </w:p>
        </w:tc>
      </w:tr>
      <w:tr w:rsidR="00E57B83" w:rsidRPr="00F62E86" w14:paraId="783A061D" w14:textId="77777777" w:rsidTr="00C85F28">
        <w:tc>
          <w:tcPr>
            <w:tcW w:w="2174" w:type="dxa"/>
            <w:hideMark/>
          </w:tcPr>
          <w:p w14:paraId="1173BD79"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Cross-sectional Dependence</w:t>
            </w:r>
          </w:p>
        </w:tc>
        <w:tc>
          <w:tcPr>
            <w:tcW w:w="1729" w:type="dxa"/>
            <w:hideMark/>
          </w:tcPr>
          <w:p w14:paraId="2038748B" w14:textId="77777777" w:rsidR="00E57B83" w:rsidRPr="00F62E86" w:rsidRDefault="00E57B83" w:rsidP="00E57B83">
            <w:pPr>
              <w:rPr>
                <w:rFonts w:ascii="Times New Roman" w:eastAsia="Times New Roman" w:hAnsi="Times New Roman" w:cs="Times New Roman"/>
                <w:sz w:val="24"/>
                <w:szCs w:val="24"/>
              </w:rPr>
            </w:pPr>
            <w:proofErr w:type="spellStart"/>
            <w:r w:rsidRPr="00F62E86">
              <w:rPr>
                <w:rFonts w:ascii="Times New Roman" w:eastAsia="Times New Roman" w:hAnsi="Times New Roman" w:cs="Times New Roman"/>
                <w:sz w:val="24"/>
                <w:szCs w:val="24"/>
              </w:rPr>
              <w:t>Pesaran</w:t>
            </w:r>
            <w:proofErr w:type="spellEnd"/>
            <w:r w:rsidRPr="00F62E86">
              <w:rPr>
                <w:rFonts w:ascii="Times New Roman" w:eastAsia="Times New Roman" w:hAnsi="Times New Roman" w:cs="Times New Roman"/>
                <w:sz w:val="24"/>
                <w:szCs w:val="24"/>
              </w:rPr>
              <w:t xml:space="preserve"> CD Test</w:t>
            </w:r>
          </w:p>
        </w:tc>
        <w:tc>
          <w:tcPr>
            <w:tcW w:w="0" w:type="auto"/>
            <w:hideMark/>
          </w:tcPr>
          <w:p w14:paraId="30DBCB1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z = 0.925</w:t>
            </w:r>
          </w:p>
        </w:tc>
        <w:tc>
          <w:tcPr>
            <w:tcW w:w="0" w:type="auto"/>
            <w:hideMark/>
          </w:tcPr>
          <w:p w14:paraId="7B0A2B75"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0.354</w:t>
            </w:r>
          </w:p>
        </w:tc>
        <w:tc>
          <w:tcPr>
            <w:tcW w:w="1809" w:type="dxa"/>
            <w:hideMark/>
          </w:tcPr>
          <w:p w14:paraId="50321101"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Do not reject H₀</w:t>
            </w:r>
          </w:p>
        </w:tc>
        <w:tc>
          <w:tcPr>
            <w:tcW w:w="2001" w:type="dxa"/>
            <w:hideMark/>
          </w:tcPr>
          <w:p w14:paraId="2BC3239D" w14:textId="77777777" w:rsidR="00E57B83" w:rsidRPr="00F62E86" w:rsidRDefault="00E57B83" w:rsidP="00E57B83">
            <w:pPr>
              <w:rPr>
                <w:rFonts w:ascii="Times New Roman" w:eastAsia="Times New Roman" w:hAnsi="Times New Roman" w:cs="Times New Roman"/>
                <w:sz w:val="24"/>
                <w:szCs w:val="24"/>
              </w:rPr>
            </w:pPr>
            <w:r w:rsidRPr="00F62E86">
              <w:rPr>
                <w:rFonts w:ascii="Times New Roman" w:eastAsia="Times New Roman" w:hAnsi="Times New Roman" w:cs="Times New Roman"/>
                <w:sz w:val="24"/>
                <w:szCs w:val="24"/>
              </w:rPr>
              <w:t>No cross-sectional dependence</w:t>
            </w:r>
          </w:p>
        </w:tc>
      </w:tr>
    </w:tbl>
    <w:p w14:paraId="65097CB2" w14:textId="54E6A57B" w:rsidR="00E57B83" w:rsidRDefault="00E57B83" w:rsidP="00E57B83">
      <w:pPr>
        <w:pStyle w:val="NoSpacing"/>
        <w:rPr>
          <w:rFonts w:ascii="Times New Roman" w:hAnsi="Times New Roman" w:cs="Times New Roman"/>
          <w:sz w:val="24"/>
          <w:szCs w:val="24"/>
        </w:rPr>
      </w:pPr>
      <w:r w:rsidRPr="00F24E4A">
        <w:rPr>
          <w:rFonts w:ascii="Times New Roman" w:hAnsi="Times New Roman" w:cs="Times New Roman"/>
          <w:sz w:val="24"/>
          <w:szCs w:val="24"/>
        </w:rPr>
        <w:t>Source: Researchers’ Computation (202</w:t>
      </w:r>
      <w:r w:rsidR="00C85F28">
        <w:rPr>
          <w:rFonts w:ascii="Times New Roman" w:hAnsi="Times New Roman" w:cs="Times New Roman"/>
          <w:sz w:val="24"/>
          <w:szCs w:val="24"/>
        </w:rPr>
        <w:t>6</w:t>
      </w:r>
      <w:r w:rsidRPr="00F24E4A">
        <w:rPr>
          <w:rFonts w:ascii="Times New Roman" w:hAnsi="Times New Roman" w:cs="Times New Roman"/>
          <w:sz w:val="24"/>
          <w:szCs w:val="24"/>
        </w:rPr>
        <w:t>).</w:t>
      </w:r>
    </w:p>
    <w:p w14:paraId="3801A3BD" w14:textId="77777777" w:rsidR="0054602B" w:rsidRDefault="0054602B" w:rsidP="00E57B83">
      <w:pPr>
        <w:pStyle w:val="NoSpacing"/>
        <w:rPr>
          <w:rFonts w:ascii="Times New Roman" w:hAnsi="Times New Roman" w:cs="Times New Roman"/>
          <w:sz w:val="24"/>
          <w:szCs w:val="24"/>
        </w:rPr>
      </w:pPr>
    </w:p>
    <w:p w14:paraId="25812214" w14:textId="77777777" w:rsidR="00C85F28" w:rsidRDefault="00C85F28" w:rsidP="00E57B83">
      <w:pPr>
        <w:pStyle w:val="NoSpacing"/>
        <w:rPr>
          <w:rFonts w:ascii="Times New Roman" w:hAnsi="Times New Roman" w:cs="Times New Roman"/>
          <w:sz w:val="24"/>
          <w:szCs w:val="24"/>
        </w:rPr>
      </w:pPr>
    </w:p>
    <w:p w14:paraId="6E13C0AC" w14:textId="77777777" w:rsidR="00C85F28" w:rsidRDefault="00C85F28" w:rsidP="00E57B83">
      <w:pPr>
        <w:pStyle w:val="NoSpacing"/>
        <w:rPr>
          <w:rFonts w:ascii="Times New Roman" w:hAnsi="Times New Roman" w:cs="Times New Roman"/>
          <w:sz w:val="24"/>
          <w:szCs w:val="24"/>
        </w:rPr>
      </w:pPr>
    </w:p>
    <w:p w14:paraId="31F352CB" w14:textId="77777777" w:rsidR="0054602B" w:rsidRPr="00F24E4A" w:rsidRDefault="0054602B" w:rsidP="00E57B83">
      <w:pPr>
        <w:pStyle w:val="NoSpacing"/>
        <w:rPr>
          <w:rFonts w:ascii="Times New Roman" w:hAnsi="Times New Roman" w:cs="Times New Roman"/>
          <w:sz w:val="24"/>
          <w:szCs w:val="24"/>
        </w:rPr>
      </w:pPr>
    </w:p>
    <w:p w14:paraId="5EBBF403" w14:textId="77777777" w:rsidR="00E57B83" w:rsidRPr="00D162A3" w:rsidRDefault="00E57B83" w:rsidP="00E57B83">
      <w:pPr>
        <w:spacing w:before="100" w:beforeAutospacing="1" w:after="100" w:afterAutospacing="1" w:line="240" w:lineRule="auto"/>
        <w:outlineLvl w:val="2"/>
        <w:rPr>
          <w:rFonts w:ascii="Times New Roman" w:eastAsia="Times New Roman" w:hAnsi="Times New Roman" w:cs="Times New Roman"/>
          <w:b/>
          <w:bCs/>
          <w:sz w:val="27"/>
          <w:szCs w:val="27"/>
        </w:rPr>
      </w:pPr>
      <w:r w:rsidRPr="00D162A3">
        <w:rPr>
          <w:rFonts w:ascii="Times New Roman" w:eastAsia="Times New Roman" w:hAnsi="Times New Roman" w:cs="Times New Roman"/>
          <w:b/>
          <w:bCs/>
          <w:sz w:val="27"/>
          <w:szCs w:val="27"/>
        </w:rPr>
        <w:lastRenderedPageBreak/>
        <w:t>Discussion of Findings</w:t>
      </w:r>
    </w:p>
    <w:p w14:paraId="6B8CEEC1" w14:textId="61F39BFD" w:rsidR="00E57B83" w:rsidRPr="005470A7"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5470A7">
        <w:rPr>
          <w:rFonts w:ascii="Times New Roman" w:eastAsia="Times New Roman" w:hAnsi="Times New Roman" w:cs="Times New Roman"/>
          <w:sz w:val="24"/>
          <w:szCs w:val="24"/>
        </w:rPr>
        <w:t xml:space="preserve">The findings of this study revealed that green accounting </w:t>
      </w:r>
      <w:r w:rsidR="001E4E58">
        <w:rPr>
          <w:rFonts w:ascii="Times New Roman" w:eastAsia="Times New Roman" w:hAnsi="Times New Roman" w:cs="Times New Roman"/>
          <w:sz w:val="24"/>
          <w:szCs w:val="24"/>
        </w:rPr>
        <w:t xml:space="preserve"> practice</w:t>
      </w:r>
      <w:r w:rsidRPr="005470A7">
        <w:rPr>
          <w:rFonts w:ascii="Times New Roman" w:eastAsia="Times New Roman" w:hAnsi="Times New Roman" w:cs="Times New Roman"/>
          <w:sz w:val="24"/>
          <w:szCs w:val="24"/>
        </w:rPr>
        <w:t xml:space="preserve">s had a significant impact on the financial performance of listed manufacturing companies in Nigeria, particularly in the areas of environmental waste management and pollution control. In relation to the first objective, which aimed to evaluate the effect of environmental waste management </w:t>
      </w:r>
      <w:r w:rsidR="001E4E58">
        <w:rPr>
          <w:rFonts w:ascii="Times New Roman" w:eastAsia="Times New Roman" w:hAnsi="Times New Roman" w:cs="Times New Roman"/>
          <w:sz w:val="24"/>
          <w:szCs w:val="24"/>
        </w:rPr>
        <w:t xml:space="preserve"> practice</w:t>
      </w:r>
      <w:r w:rsidRPr="005470A7">
        <w:rPr>
          <w:rFonts w:ascii="Times New Roman" w:eastAsia="Times New Roman" w:hAnsi="Times New Roman" w:cs="Times New Roman"/>
          <w:sz w:val="24"/>
          <w:szCs w:val="24"/>
        </w:rPr>
        <w:t xml:space="preserve">, the results showed that firms which disclosed and invested in waste management practices experienced improved financial outcomes. Specifically, </w:t>
      </w:r>
      <w:r w:rsidRPr="005470A7">
        <w:rPr>
          <w:rFonts w:ascii="Times New Roman" w:eastAsia="Times New Roman" w:hAnsi="Times New Roman" w:cs="Times New Roman"/>
          <w:bCs/>
          <w:sz w:val="24"/>
          <w:szCs w:val="24"/>
        </w:rPr>
        <w:t>Waste Management Expenditure (WME)</w:t>
      </w:r>
      <w:r w:rsidRPr="005470A7">
        <w:rPr>
          <w:rFonts w:ascii="Times New Roman" w:eastAsia="Times New Roman" w:hAnsi="Times New Roman" w:cs="Times New Roman"/>
          <w:sz w:val="24"/>
          <w:szCs w:val="24"/>
        </w:rPr>
        <w:t xml:space="preserve"> recorded a </w:t>
      </w:r>
      <w:r w:rsidRPr="005470A7">
        <w:rPr>
          <w:rFonts w:ascii="Times New Roman" w:eastAsia="Times New Roman" w:hAnsi="Times New Roman" w:cs="Times New Roman"/>
          <w:bCs/>
          <w:sz w:val="24"/>
          <w:szCs w:val="24"/>
        </w:rPr>
        <w:t>GMM coefficient of 0.5287 (p &lt; 0.01)</w:t>
      </w:r>
      <w:r w:rsidRPr="005470A7">
        <w:rPr>
          <w:rFonts w:ascii="Times New Roman" w:eastAsia="Times New Roman" w:hAnsi="Times New Roman" w:cs="Times New Roman"/>
          <w:sz w:val="24"/>
          <w:szCs w:val="24"/>
        </w:rPr>
        <w:t xml:space="preserve">, while </w:t>
      </w:r>
      <w:r w:rsidRPr="005470A7">
        <w:rPr>
          <w:rFonts w:ascii="Times New Roman" w:eastAsia="Times New Roman" w:hAnsi="Times New Roman" w:cs="Times New Roman"/>
          <w:bCs/>
          <w:sz w:val="24"/>
          <w:szCs w:val="24"/>
        </w:rPr>
        <w:t>Capital Investment in Waste Treatment Facilities (CIWTF)</w:t>
      </w:r>
      <w:r w:rsidRPr="005470A7">
        <w:rPr>
          <w:rFonts w:ascii="Times New Roman" w:eastAsia="Times New Roman" w:hAnsi="Times New Roman" w:cs="Times New Roman"/>
          <w:sz w:val="24"/>
          <w:szCs w:val="24"/>
        </w:rPr>
        <w:t xml:space="preserve"> showed a </w:t>
      </w:r>
      <w:r w:rsidRPr="005470A7">
        <w:rPr>
          <w:rFonts w:ascii="Times New Roman" w:eastAsia="Times New Roman" w:hAnsi="Times New Roman" w:cs="Times New Roman"/>
          <w:bCs/>
          <w:sz w:val="24"/>
          <w:szCs w:val="24"/>
        </w:rPr>
        <w:t>coefficient of 0.3716 (p &lt; 0.01)</w:t>
      </w:r>
      <w:r w:rsidRPr="005470A7">
        <w:rPr>
          <w:rFonts w:ascii="Times New Roman" w:eastAsia="Times New Roman" w:hAnsi="Times New Roman" w:cs="Times New Roman"/>
          <w:sz w:val="24"/>
          <w:szCs w:val="24"/>
        </w:rPr>
        <w:t>. These findings indicated that companies allocating resources toward effective waste treatment and reporting such investments were more likely to enhance their Return on Assets (ROA), likely due to better regulatory compliance, operational efficiency, and improved corporate image.</w:t>
      </w:r>
    </w:p>
    <w:p w14:paraId="18B04FE3" w14:textId="20AE7BBD" w:rsidR="00E57B83" w:rsidRPr="005470A7" w:rsidRDefault="00E57B83" w:rsidP="00E57B83">
      <w:pPr>
        <w:spacing w:before="100" w:beforeAutospacing="1" w:after="100" w:afterAutospacing="1" w:line="240" w:lineRule="auto"/>
        <w:jc w:val="both"/>
        <w:rPr>
          <w:rFonts w:ascii="Times New Roman" w:eastAsia="Times New Roman" w:hAnsi="Times New Roman" w:cs="Times New Roman"/>
          <w:sz w:val="24"/>
          <w:szCs w:val="24"/>
        </w:rPr>
      </w:pPr>
      <w:r w:rsidRPr="005470A7">
        <w:rPr>
          <w:rFonts w:ascii="Times New Roman" w:eastAsia="Times New Roman" w:hAnsi="Times New Roman" w:cs="Times New Roman"/>
          <w:sz w:val="24"/>
          <w:szCs w:val="24"/>
        </w:rPr>
        <w:t>Concerning the second objective, which examined the effect of environmental pollution control</w:t>
      </w:r>
      <w:r w:rsidR="00FD7697">
        <w:rPr>
          <w:rFonts w:ascii="Times New Roman" w:eastAsia="Times New Roman" w:hAnsi="Times New Roman" w:cs="Times New Roman"/>
          <w:sz w:val="24"/>
          <w:szCs w:val="24"/>
        </w:rPr>
        <w:t xml:space="preserve"> practice </w:t>
      </w:r>
      <w:r w:rsidRPr="005470A7">
        <w:rPr>
          <w:rFonts w:ascii="Times New Roman" w:eastAsia="Times New Roman" w:hAnsi="Times New Roman" w:cs="Times New Roman"/>
          <w:sz w:val="24"/>
          <w:szCs w:val="24"/>
        </w:rPr>
        <w:t xml:space="preserve">on financial performance, the findings also confirmed a positive and significant relationship. </w:t>
      </w:r>
      <w:r w:rsidRPr="005470A7">
        <w:rPr>
          <w:rFonts w:ascii="Times New Roman" w:eastAsia="Times New Roman" w:hAnsi="Times New Roman" w:cs="Times New Roman"/>
          <w:bCs/>
          <w:sz w:val="24"/>
          <w:szCs w:val="24"/>
        </w:rPr>
        <w:t>Pollution Control Expenditure (PCE)</w:t>
      </w:r>
      <w:r w:rsidRPr="005470A7">
        <w:rPr>
          <w:rFonts w:ascii="Times New Roman" w:eastAsia="Times New Roman" w:hAnsi="Times New Roman" w:cs="Times New Roman"/>
          <w:sz w:val="24"/>
          <w:szCs w:val="24"/>
        </w:rPr>
        <w:t xml:space="preserve"> had a </w:t>
      </w:r>
      <w:r w:rsidRPr="005470A7">
        <w:rPr>
          <w:rFonts w:ascii="Times New Roman" w:eastAsia="Times New Roman" w:hAnsi="Times New Roman" w:cs="Times New Roman"/>
          <w:bCs/>
          <w:sz w:val="24"/>
          <w:szCs w:val="24"/>
        </w:rPr>
        <w:t>GMM coefficient of 0.2241 (p &lt; 0.05)</w:t>
      </w:r>
      <w:r w:rsidRPr="005470A7">
        <w:rPr>
          <w:rFonts w:ascii="Times New Roman" w:eastAsia="Times New Roman" w:hAnsi="Times New Roman" w:cs="Times New Roman"/>
          <w:sz w:val="24"/>
          <w:szCs w:val="24"/>
        </w:rPr>
        <w:t xml:space="preserve">, while </w:t>
      </w:r>
      <w:r w:rsidRPr="005470A7">
        <w:rPr>
          <w:rFonts w:ascii="Times New Roman" w:eastAsia="Times New Roman" w:hAnsi="Times New Roman" w:cs="Times New Roman"/>
          <w:bCs/>
          <w:sz w:val="24"/>
          <w:szCs w:val="24"/>
        </w:rPr>
        <w:t>Capital Expenditure on Pollution Control Equipment (CEPC)</w:t>
      </w:r>
      <w:r w:rsidRPr="005470A7">
        <w:rPr>
          <w:rFonts w:ascii="Times New Roman" w:eastAsia="Times New Roman" w:hAnsi="Times New Roman" w:cs="Times New Roman"/>
          <w:sz w:val="24"/>
          <w:szCs w:val="24"/>
        </w:rPr>
        <w:t xml:space="preserve"> showed a coefficient of </w:t>
      </w:r>
      <w:r w:rsidRPr="005470A7">
        <w:rPr>
          <w:rFonts w:ascii="Times New Roman" w:eastAsia="Times New Roman" w:hAnsi="Times New Roman" w:cs="Times New Roman"/>
          <w:bCs/>
          <w:sz w:val="24"/>
          <w:szCs w:val="24"/>
        </w:rPr>
        <w:t>0.3064 (p &lt; 0.01)</w:t>
      </w:r>
      <w:r w:rsidRPr="005470A7">
        <w:rPr>
          <w:rFonts w:ascii="Times New Roman" w:eastAsia="Times New Roman" w:hAnsi="Times New Roman" w:cs="Times New Roman"/>
          <w:sz w:val="24"/>
          <w:szCs w:val="24"/>
        </w:rPr>
        <w:t>. These results implied that firms actively engaging in pollution mitigation not only fulfilled their environmental responsibilities but also realized financial gains. Conversely, non-compliance indicators</w:t>
      </w:r>
      <w:r w:rsidR="00C85F28">
        <w:rPr>
          <w:rFonts w:ascii="Times New Roman" w:eastAsia="Times New Roman" w:hAnsi="Times New Roman" w:cs="Times New Roman"/>
          <w:sz w:val="24"/>
          <w:szCs w:val="24"/>
        </w:rPr>
        <w:t xml:space="preserve"> </w:t>
      </w:r>
      <w:r w:rsidRPr="005470A7">
        <w:rPr>
          <w:rFonts w:ascii="Times New Roman" w:eastAsia="Times New Roman" w:hAnsi="Times New Roman" w:cs="Times New Roman"/>
          <w:bCs/>
          <w:sz w:val="24"/>
          <w:szCs w:val="24"/>
        </w:rPr>
        <w:t>Fines and Penalties for Waste Mismanagement (FPWM)</w:t>
      </w:r>
      <w:r w:rsidRPr="005470A7">
        <w:rPr>
          <w:rFonts w:ascii="Times New Roman" w:eastAsia="Times New Roman" w:hAnsi="Times New Roman" w:cs="Times New Roman"/>
          <w:sz w:val="24"/>
          <w:szCs w:val="24"/>
        </w:rPr>
        <w:t xml:space="preserve"> and </w:t>
      </w:r>
      <w:r w:rsidRPr="005470A7">
        <w:rPr>
          <w:rFonts w:ascii="Times New Roman" w:eastAsia="Times New Roman" w:hAnsi="Times New Roman" w:cs="Times New Roman"/>
          <w:bCs/>
          <w:sz w:val="24"/>
          <w:szCs w:val="24"/>
        </w:rPr>
        <w:t>Environmental Regulatory Penalties (ERP)</w:t>
      </w:r>
      <w:r w:rsidR="00C85F28">
        <w:rPr>
          <w:rFonts w:ascii="Times New Roman" w:eastAsia="Times New Roman" w:hAnsi="Times New Roman" w:cs="Times New Roman"/>
          <w:sz w:val="24"/>
          <w:szCs w:val="24"/>
        </w:rPr>
        <w:t xml:space="preserve"> </w:t>
      </w:r>
      <w:r w:rsidRPr="005470A7">
        <w:rPr>
          <w:rFonts w:ascii="Times New Roman" w:eastAsia="Times New Roman" w:hAnsi="Times New Roman" w:cs="Times New Roman"/>
          <w:sz w:val="24"/>
          <w:szCs w:val="24"/>
        </w:rPr>
        <w:t xml:space="preserve">negatively affected ROA, with coefficients of </w:t>
      </w:r>
      <w:r w:rsidRPr="005470A7">
        <w:rPr>
          <w:rFonts w:ascii="Times New Roman" w:eastAsia="Times New Roman" w:hAnsi="Times New Roman" w:cs="Times New Roman"/>
          <w:bCs/>
          <w:sz w:val="24"/>
          <w:szCs w:val="24"/>
        </w:rPr>
        <w:t>-0.1583 (p &lt; 0.05)</w:t>
      </w:r>
      <w:r w:rsidRPr="005470A7">
        <w:rPr>
          <w:rFonts w:ascii="Times New Roman" w:eastAsia="Times New Roman" w:hAnsi="Times New Roman" w:cs="Times New Roman"/>
          <w:sz w:val="24"/>
          <w:szCs w:val="24"/>
        </w:rPr>
        <w:t xml:space="preserve"> and </w:t>
      </w:r>
      <w:r w:rsidRPr="005470A7">
        <w:rPr>
          <w:rFonts w:ascii="Times New Roman" w:eastAsia="Times New Roman" w:hAnsi="Times New Roman" w:cs="Times New Roman"/>
          <w:bCs/>
          <w:sz w:val="24"/>
          <w:szCs w:val="24"/>
        </w:rPr>
        <w:t>-0.1296 (p &lt; 0.10)</w:t>
      </w:r>
      <w:r w:rsidRPr="005470A7">
        <w:rPr>
          <w:rFonts w:ascii="Times New Roman" w:eastAsia="Times New Roman" w:hAnsi="Times New Roman" w:cs="Times New Roman"/>
          <w:sz w:val="24"/>
          <w:szCs w:val="24"/>
        </w:rPr>
        <w:t xml:space="preserve"> respectively. These contrasting outcomes between investment-based and penalty-based variables reinforced the idea that environmental responsibility, when approached proactively, served as a value-adding strategy. Overall, the findings provided robust empirical justification for the research objectives, highlighting that green </w:t>
      </w:r>
      <w:r w:rsidR="00FD7697">
        <w:rPr>
          <w:rFonts w:ascii="Times New Roman" w:eastAsia="Times New Roman" w:hAnsi="Times New Roman" w:cs="Times New Roman"/>
          <w:sz w:val="24"/>
          <w:szCs w:val="24"/>
        </w:rPr>
        <w:t xml:space="preserve">accounting practice </w:t>
      </w:r>
      <w:r w:rsidRPr="005470A7">
        <w:rPr>
          <w:rFonts w:ascii="Times New Roman" w:eastAsia="Times New Roman" w:hAnsi="Times New Roman" w:cs="Times New Roman"/>
          <w:sz w:val="24"/>
          <w:szCs w:val="24"/>
        </w:rPr>
        <w:t>positively influenced firm performance and underscored the economic and strategic importance of environmental accountability in the Nigerian manufacturing sector.</w:t>
      </w:r>
    </w:p>
    <w:p w14:paraId="04686100" w14:textId="73A1C514" w:rsidR="00C85F28" w:rsidRDefault="00E57B83" w:rsidP="00C85F28">
      <w:pPr>
        <w:spacing w:before="100" w:beforeAutospacing="1" w:after="100" w:afterAutospacing="1" w:line="240" w:lineRule="auto"/>
        <w:jc w:val="both"/>
        <w:rPr>
          <w:rFonts w:ascii="Times New Roman" w:eastAsia="Times New Roman" w:hAnsi="Times New Roman" w:cs="Times New Roman"/>
          <w:sz w:val="24"/>
          <w:szCs w:val="24"/>
        </w:rPr>
      </w:pPr>
      <w:r w:rsidRPr="00D162A3">
        <w:rPr>
          <w:rFonts w:ascii="Times New Roman" w:eastAsia="Times New Roman" w:hAnsi="Times New Roman" w:cs="Times New Roman"/>
          <w:sz w:val="24"/>
          <w:szCs w:val="24"/>
        </w:rPr>
        <w:t>These findings align with several prior studies that emphasized the profitability benefits of proactive environmental</w:t>
      </w:r>
      <w:r w:rsidR="00FD7697">
        <w:rPr>
          <w:rFonts w:ascii="Times New Roman" w:eastAsia="Times New Roman" w:hAnsi="Times New Roman" w:cs="Times New Roman"/>
          <w:sz w:val="24"/>
          <w:szCs w:val="24"/>
        </w:rPr>
        <w:t xml:space="preserve"> practice </w:t>
      </w:r>
      <w:r w:rsidRPr="00D162A3">
        <w:rPr>
          <w:rFonts w:ascii="Times New Roman" w:eastAsia="Times New Roman" w:hAnsi="Times New Roman" w:cs="Times New Roman"/>
          <w:sz w:val="24"/>
          <w:szCs w:val="24"/>
        </w:rPr>
        <w:t xml:space="preserve">and spending. For instance, </w:t>
      </w:r>
      <w:r w:rsidRPr="00D162A3">
        <w:rPr>
          <w:rFonts w:ascii="Times New Roman" w:eastAsia="Times New Roman" w:hAnsi="Times New Roman" w:cs="Times New Roman"/>
          <w:bCs/>
          <w:sz w:val="24"/>
          <w:szCs w:val="24"/>
        </w:rPr>
        <w:t>Clarkson et al. (2008)</w:t>
      </w:r>
      <w:r w:rsidRPr="00D162A3">
        <w:rPr>
          <w:rFonts w:ascii="Times New Roman" w:eastAsia="Times New Roman" w:hAnsi="Times New Roman" w:cs="Times New Roman"/>
          <w:sz w:val="24"/>
          <w:szCs w:val="24"/>
        </w:rPr>
        <w:t xml:space="preserve"> and </w:t>
      </w:r>
      <w:r w:rsidRPr="00D162A3">
        <w:rPr>
          <w:rFonts w:ascii="Times New Roman" w:eastAsia="Times New Roman" w:hAnsi="Times New Roman" w:cs="Times New Roman"/>
          <w:bCs/>
          <w:sz w:val="24"/>
          <w:szCs w:val="24"/>
        </w:rPr>
        <w:t>Al-</w:t>
      </w:r>
      <w:proofErr w:type="spellStart"/>
      <w:r w:rsidRPr="00D162A3">
        <w:rPr>
          <w:rFonts w:ascii="Times New Roman" w:eastAsia="Times New Roman" w:hAnsi="Times New Roman" w:cs="Times New Roman"/>
          <w:bCs/>
          <w:sz w:val="24"/>
          <w:szCs w:val="24"/>
        </w:rPr>
        <w:t>Tuwaijri</w:t>
      </w:r>
      <w:proofErr w:type="spellEnd"/>
      <w:r w:rsidRPr="00D162A3">
        <w:rPr>
          <w:rFonts w:ascii="Times New Roman" w:eastAsia="Times New Roman" w:hAnsi="Times New Roman" w:cs="Times New Roman"/>
          <w:bCs/>
          <w:sz w:val="24"/>
          <w:szCs w:val="24"/>
        </w:rPr>
        <w:t xml:space="preserve"> et al. (2004)</w:t>
      </w:r>
      <w:r w:rsidRPr="00D162A3">
        <w:rPr>
          <w:rFonts w:ascii="Times New Roman" w:eastAsia="Times New Roman" w:hAnsi="Times New Roman" w:cs="Times New Roman"/>
          <w:sz w:val="24"/>
          <w:szCs w:val="24"/>
        </w:rPr>
        <w:t xml:space="preserve"> similarly found that environmental performance positively correlates with financial outcomes. The results are also consistent with </w:t>
      </w:r>
      <w:proofErr w:type="spellStart"/>
      <w:r w:rsidRPr="00D162A3">
        <w:rPr>
          <w:rFonts w:ascii="Times New Roman" w:eastAsia="Times New Roman" w:hAnsi="Times New Roman" w:cs="Times New Roman"/>
          <w:bCs/>
          <w:sz w:val="24"/>
          <w:szCs w:val="24"/>
        </w:rPr>
        <w:t>Gerged</w:t>
      </w:r>
      <w:proofErr w:type="spellEnd"/>
      <w:r w:rsidRPr="00D162A3">
        <w:rPr>
          <w:rFonts w:ascii="Times New Roman" w:eastAsia="Times New Roman" w:hAnsi="Times New Roman" w:cs="Times New Roman"/>
          <w:bCs/>
          <w:sz w:val="24"/>
          <w:szCs w:val="24"/>
        </w:rPr>
        <w:t xml:space="preserve"> et al. (2021)</w:t>
      </w:r>
      <w:r w:rsidRPr="00D162A3">
        <w:rPr>
          <w:rFonts w:ascii="Times New Roman" w:eastAsia="Times New Roman" w:hAnsi="Times New Roman" w:cs="Times New Roman"/>
          <w:sz w:val="24"/>
          <w:szCs w:val="24"/>
        </w:rPr>
        <w:t xml:space="preserve"> and </w:t>
      </w:r>
      <w:r w:rsidRPr="00D162A3">
        <w:rPr>
          <w:rFonts w:ascii="Times New Roman" w:eastAsia="Times New Roman" w:hAnsi="Times New Roman" w:cs="Times New Roman"/>
          <w:bCs/>
          <w:sz w:val="24"/>
          <w:szCs w:val="24"/>
        </w:rPr>
        <w:t>Olayinka and Oluwamayowa (2014)</w:t>
      </w:r>
      <w:r w:rsidRPr="00D162A3">
        <w:rPr>
          <w:rFonts w:ascii="Times New Roman" w:eastAsia="Times New Roman" w:hAnsi="Times New Roman" w:cs="Times New Roman"/>
          <w:sz w:val="24"/>
          <w:szCs w:val="24"/>
        </w:rPr>
        <w:t xml:space="preserve">, who highlighted the financial advantages of green accounting in emerging markets. However, contrasting outcomes were reported by </w:t>
      </w:r>
      <w:r w:rsidRPr="00D162A3">
        <w:rPr>
          <w:rFonts w:ascii="Times New Roman" w:eastAsia="Times New Roman" w:hAnsi="Times New Roman" w:cs="Times New Roman"/>
          <w:bCs/>
          <w:sz w:val="24"/>
          <w:szCs w:val="24"/>
        </w:rPr>
        <w:t xml:space="preserve">Kabir and </w:t>
      </w:r>
      <w:proofErr w:type="spellStart"/>
      <w:r w:rsidRPr="00D162A3">
        <w:rPr>
          <w:rFonts w:ascii="Times New Roman" w:eastAsia="Times New Roman" w:hAnsi="Times New Roman" w:cs="Times New Roman"/>
          <w:bCs/>
          <w:sz w:val="24"/>
          <w:szCs w:val="24"/>
        </w:rPr>
        <w:t>Akinnusi</w:t>
      </w:r>
      <w:proofErr w:type="spellEnd"/>
      <w:r w:rsidRPr="00D162A3">
        <w:rPr>
          <w:rFonts w:ascii="Times New Roman" w:eastAsia="Times New Roman" w:hAnsi="Times New Roman" w:cs="Times New Roman"/>
          <w:bCs/>
          <w:sz w:val="24"/>
          <w:szCs w:val="24"/>
        </w:rPr>
        <w:t xml:space="preserve"> (2012)</w:t>
      </w:r>
      <w:r w:rsidRPr="00D162A3">
        <w:rPr>
          <w:rFonts w:ascii="Times New Roman" w:eastAsia="Times New Roman" w:hAnsi="Times New Roman" w:cs="Times New Roman"/>
          <w:sz w:val="24"/>
          <w:szCs w:val="24"/>
        </w:rPr>
        <w:t xml:space="preserve"> and </w:t>
      </w:r>
      <w:r w:rsidRPr="00D162A3">
        <w:rPr>
          <w:rFonts w:ascii="Times New Roman" w:eastAsia="Times New Roman" w:hAnsi="Times New Roman" w:cs="Times New Roman"/>
          <w:bCs/>
          <w:sz w:val="24"/>
          <w:szCs w:val="24"/>
        </w:rPr>
        <w:t>Deegan and Rankin (1997)</w:t>
      </w:r>
      <w:r w:rsidRPr="00D162A3">
        <w:rPr>
          <w:rFonts w:ascii="Times New Roman" w:eastAsia="Times New Roman" w:hAnsi="Times New Roman" w:cs="Times New Roman"/>
          <w:sz w:val="24"/>
          <w:szCs w:val="24"/>
        </w:rPr>
        <w:t>, where environmental</w:t>
      </w:r>
      <w:r w:rsidR="00FD7697">
        <w:rPr>
          <w:rFonts w:ascii="Times New Roman" w:eastAsia="Times New Roman" w:hAnsi="Times New Roman" w:cs="Times New Roman"/>
          <w:sz w:val="24"/>
          <w:szCs w:val="24"/>
        </w:rPr>
        <w:t xml:space="preserve"> practice </w:t>
      </w:r>
      <w:r w:rsidRPr="00D162A3">
        <w:rPr>
          <w:rFonts w:ascii="Times New Roman" w:eastAsia="Times New Roman" w:hAnsi="Times New Roman" w:cs="Times New Roman"/>
          <w:sz w:val="24"/>
          <w:szCs w:val="24"/>
        </w:rPr>
        <w:t>did not significantly influence financial metrics, suggesting that contextual factors</w:t>
      </w:r>
      <w:r w:rsidR="00C85F28">
        <w:rPr>
          <w:rFonts w:ascii="Times New Roman" w:eastAsia="Times New Roman" w:hAnsi="Times New Roman" w:cs="Times New Roman"/>
          <w:sz w:val="24"/>
          <w:szCs w:val="24"/>
        </w:rPr>
        <w:t xml:space="preserve"> </w:t>
      </w:r>
      <w:r w:rsidRPr="00D162A3">
        <w:rPr>
          <w:rFonts w:ascii="Times New Roman" w:eastAsia="Times New Roman" w:hAnsi="Times New Roman" w:cs="Times New Roman"/>
          <w:sz w:val="24"/>
          <w:szCs w:val="24"/>
        </w:rPr>
        <w:t>such as regulatory enforcement, industry type, or public pressure</w:t>
      </w:r>
      <w:r w:rsidR="00C85F28">
        <w:rPr>
          <w:rFonts w:ascii="Times New Roman" w:eastAsia="Times New Roman" w:hAnsi="Times New Roman" w:cs="Times New Roman"/>
          <w:sz w:val="24"/>
          <w:szCs w:val="24"/>
        </w:rPr>
        <w:t xml:space="preserve"> </w:t>
      </w:r>
      <w:r w:rsidRPr="00D162A3">
        <w:rPr>
          <w:rFonts w:ascii="Times New Roman" w:eastAsia="Times New Roman" w:hAnsi="Times New Roman" w:cs="Times New Roman"/>
          <w:sz w:val="24"/>
          <w:szCs w:val="24"/>
        </w:rPr>
        <w:t>may shape the efficacy of green accounting. This study contributes to the theoretical framework by reinforcing the stakeholder and legitimacy theories</w:t>
      </w:r>
      <w:r w:rsidR="00C85F28">
        <w:rPr>
          <w:rFonts w:ascii="Times New Roman" w:eastAsia="Times New Roman" w:hAnsi="Times New Roman" w:cs="Times New Roman"/>
          <w:sz w:val="24"/>
          <w:szCs w:val="24"/>
        </w:rPr>
        <w:t>.</w:t>
      </w:r>
    </w:p>
    <w:p w14:paraId="68AFAA3D" w14:textId="7D993D06" w:rsidR="00E57B83" w:rsidRPr="00C85F28" w:rsidRDefault="00C85F28" w:rsidP="00E57B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5. </w:t>
      </w:r>
      <w:r w:rsidR="00E57B83" w:rsidRPr="003C6796">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 xml:space="preserve"> and </w:t>
      </w:r>
      <w:r w:rsidRPr="003C6796">
        <w:rPr>
          <w:rFonts w:ascii="Times New Roman" w:eastAsia="Times New Roman" w:hAnsi="Times New Roman" w:cs="Times New Roman"/>
          <w:b/>
          <w:bCs/>
          <w:sz w:val="24"/>
          <w:szCs w:val="24"/>
        </w:rPr>
        <w:t>Recommendations</w:t>
      </w:r>
    </w:p>
    <w:p w14:paraId="19450261" w14:textId="023E649A" w:rsidR="00E57B83" w:rsidRPr="003C6796" w:rsidRDefault="00C85F28" w:rsidP="00E57B83">
      <w:pPr>
        <w:spacing w:before="100" w:beforeAutospacing="1" w:after="100" w:afterAutospacing="1" w:line="240" w:lineRule="auto"/>
        <w:jc w:val="both"/>
        <w:rPr>
          <w:rFonts w:ascii="Times New Roman" w:eastAsia="Times New Roman" w:hAnsi="Times New Roman" w:cs="Times New Roman"/>
          <w:sz w:val="24"/>
          <w:szCs w:val="24"/>
        </w:rPr>
      </w:pPr>
      <w:r w:rsidRPr="00C85F28">
        <w:rPr>
          <w:rFonts w:ascii="Times New Roman" w:eastAsia="Times New Roman" w:hAnsi="Times New Roman" w:cs="Times New Roman"/>
          <w:sz w:val="24"/>
          <w:szCs w:val="24"/>
        </w:rPr>
        <w:t xml:space="preserve">The study concludes that strategic investments in environmental sustainability significantly enhance the financial performance of listed manufacturing firms. Empirical evidence indicates that expenditures on waste management and capital investments in waste treatment facilities exert positive and statistically significant effects on Return on Assets (ROA). Likewise, pollution </w:t>
      </w:r>
      <w:r w:rsidRPr="00C85F28">
        <w:rPr>
          <w:rFonts w:ascii="Times New Roman" w:eastAsia="Times New Roman" w:hAnsi="Times New Roman" w:cs="Times New Roman"/>
          <w:sz w:val="24"/>
          <w:szCs w:val="24"/>
        </w:rPr>
        <w:lastRenderedPageBreak/>
        <w:t>control expenditure and capital investment in pollution control equipment demonstrate a positive association with firm profitability. These findings affirm that proactive environmental practices extend beyond regulatory compliance and function as value-creating strategic assets that strengthen operational efficiency and long-term financial outcomes</w:t>
      </w:r>
      <w:r>
        <w:rPr>
          <w:rFonts w:ascii="Times New Roman" w:eastAsia="Times New Roman" w:hAnsi="Times New Roman" w:cs="Times New Roman"/>
          <w:sz w:val="24"/>
          <w:szCs w:val="24"/>
        </w:rPr>
        <w:t xml:space="preserve">. </w:t>
      </w:r>
      <w:r w:rsidRPr="00C85F28">
        <w:rPr>
          <w:rFonts w:ascii="Times New Roman" w:eastAsia="Times New Roman" w:hAnsi="Times New Roman" w:cs="Times New Roman"/>
          <w:sz w:val="24"/>
          <w:szCs w:val="24"/>
        </w:rPr>
        <w:t xml:space="preserve">In light of these conclusions, the following </w:t>
      </w:r>
      <w:r w:rsidR="00E57B83" w:rsidRPr="003C6796">
        <w:rPr>
          <w:rFonts w:ascii="Times New Roman" w:eastAsia="Times New Roman" w:hAnsi="Times New Roman" w:cs="Times New Roman"/>
          <w:sz w:val="24"/>
          <w:szCs w:val="24"/>
        </w:rPr>
        <w:t>recommendations are proposed:</w:t>
      </w:r>
    </w:p>
    <w:p w14:paraId="07790F25" w14:textId="2FE8A45F"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Regulatory bodies such as the Financial Reporting Council of Nigeria (FRCN) and the Securities and Exchange Commission (SEC) should establish and enforce mandatory guidelines for enviro</w:t>
      </w:r>
      <w:r w:rsidR="003805DD">
        <w:rPr>
          <w:rFonts w:ascii="Times New Roman" w:eastAsia="Times New Roman" w:hAnsi="Times New Roman" w:cs="Times New Roman"/>
          <w:sz w:val="24"/>
          <w:szCs w:val="24"/>
        </w:rPr>
        <w:t xml:space="preserve">nmental accounting </w:t>
      </w:r>
      <w:r w:rsidR="001E4E58">
        <w:rPr>
          <w:rFonts w:ascii="Times New Roman" w:eastAsia="Times New Roman" w:hAnsi="Times New Roman" w:cs="Times New Roman"/>
          <w:sz w:val="24"/>
          <w:szCs w:val="24"/>
        </w:rPr>
        <w:t xml:space="preserve"> practice</w:t>
      </w:r>
      <w:r w:rsidR="003805DD">
        <w:rPr>
          <w:rFonts w:ascii="Times New Roman" w:eastAsia="Times New Roman" w:hAnsi="Times New Roman" w:cs="Times New Roman"/>
          <w:sz w:val="24"/>
          <w:szCs w:val="24"/>
        </w:rPr>
        <w:t>s, as c</w:t>
      </w:r>
      <w:r w:rsidRPr="003C6796">
        <w:rPr>
          <w:rFonts w:ascii="Times New Roman" w:eastAsia="Times New Roman" w:hAnsi="Times New Roman" w:cs="Times New Roman"/>
          <w:sz w:val="24"/>
          <w:szCs w:val="24"/>
        </w:rPr>
        <w:t>lear standards</w:t>
      </w:r>
      <w:r w:rsidR="00C85F28">
        <w:rPr>
          <w:rFonts w:ascii="Times New Roman" w:eastAsia="Times New Roman" w:hAnsi="Times New Roman" w:cs="Times New Roman"/>
          <w:sz w:val="24"/>
          <w:szCs w:val="24"/>
        </w:rPr>
        <w:t xml:space="preserve"> to</w:t>
      </w:r>
      <w:r w:rsidRPr="003C6796">
        <w:rPr>
          <w:rFonts w:ascii="Times New Roman" w:eastAsia="Times New Roman" w:hAnsi="Times New Roman" w:cs="Times New Roman"/>
          <w:sz w:val="24"/>
          <w:szCs w:val="24"/>
        </w:rPr>
        <w:t xml:space="preserve"> </w:t>
      </w:r>
      <w:r w:rsidR="003805DD">
        <w:rPr>
          <w:rFonts w:ascii="Times New Roman" w:eastAsia="Times New Roman" w:hAnsi="Times New Roman" w:cs="Times New Roman"/>
          <w:sz w:val="24"/>
          <w:szCs w:val="24"/>
        </w:rPr>
        <w:t xml:space="preserve">enhance </w:t>
      </w:r>
      <w:r w:rsidRPr="003C6796">
        <w:rPr>
          <w:rFonts w:ascii="Times New Roman" w:eastAsia="Times New Roman" w:hAnsi="Times New Roman" w:cs="Times New Roman"/>
          <w:sz w:val="24"/>
          <w:szCs w:val="24"/>
        </w:rPr>
        <w:t xml:space="preserve"> consistency, transparency, and comparability across firms.</w:t>
      </w:r>
    </w:p>
    <w:p w14:paraId="4A46B1FE" w14:textId="77777777"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Manufacturing companies should integrate environmental considerations into their strategic planning by prioritizing sustainable investments in waste management and pollution control, as these have been empirically shown to improve financial performance.</w:t>
      </w:r>
    </w:p>
    <w:p w14:paraId="152735EB" w14:textId="77777777"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Government and financial institutions should provide tax reliefs, subsidies, or low-interest financing options to firms that invest in environmentally friendly technologies and infrastructure, thereby encouraging wider adoption of green practices.</w:t>
      </w:r>
    </w:p>
    <w:p w14:paraId="308B9D65" w14:textId="77777777" w:rsidR="00E57B83" w:rsidRPr="003C6796" w:rsidRDefault="00E57B83" w:rsidP="003805D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C6796">
        <w:rPr>
          <w:rFonts w:ascii="Times New Roman" w:eastAsia="Times New Roman" w:hAnsi="Times New Roman" w:cs="Times New Roman"/>
          <w:sz w:val="24"/>
          <w:szCs w:val="24"/>
        </w:rPr>
        <w:t>Companies should actively communicate their environmental initiatives and performance to stakeholders, including investors and the public, to build trust, improve corporate image, and attract sustainability-oriented capital.</w:t>
      </w:r>
    </w:p>
    <w:p w14:paraId="7721F3EB" w14:textId="77777777" w:rsidR="00E57B83" w:rsidRPr="00104CE5" w:rsidRDefault="00E57B83" w:rsidP="00E57B83">
      <w:pPr>
        <w:spacing w:before="100" w:beforeAutospacing="1" w:after="100" w:afterAutospacing="1" w:line="240" w:lineRule="auto"/>
        <w:jc w:val="both"/>
        <w:rPr>
          <w:rFonts w:ascii="Times New Roman" w:eastAsia="Times New Roman" w:hAnsi="Times New Roman" w:cs="Times New Roman"/>
          <w:b/>
          <w:sz w:val="24"/>
          <w:szCs w:val="24"/>
        </w:rPr>
      </w:pPr>
      <w:r w:rsidRPr="00104CE5">
        <w:rPr>
          <w:rFonts w:ascii="Times New Roman" w:eastAsia="Times New Roman" w:hAnsi="Times New Roman" w:cs="Times New Roman"/>
          <w:b/>
          <w:sz w:val="24"/>
          <w:szCs w:val="24"/>
        </w:rPr>
        <w:t>References</w:t>
      </w:r>
    </w:p>
    <w:p w14:paraId="6C978278" w14:textId="77777777" w:rsidR="00E57B83" w:rsidRPr="003805DD" w:rsidRDefault="00E57B83" w:rsidP="003805DD">
      <w:pPr>
        <w:pBdr>
          <w:bottom w:val="single" w:sz="6" w:space="1" w:color="auto"/>
        </w:pBdr>
        <w:spacing w:after="0" w:line="240" w:lineRule="auto"/>
        <w:jc w:val="both"/>
        <w:rPr>
          <w:rFonts w:ascii="Times New Roman" w:eastAsia="Times New Roman" w:hAnsi="Times New Roman" w:cs="Times New Roman"/>
          <w:b/>
          <w:vanish/>
          <w:sz w:val="24"/>
          <w:szCs w:val="24"/>
        </w:rPr>
      </w:pPr>
      <w:r w:rsidRPr="003805DD">
        <w:rPr>
          <w:rFonts w:ascii="Times New Roman" w:eastAsia="Times New Roman" w:hAnsi="Times New Roman" w:cs="Times New Roman"/>
          <w:b/>
          <w:vanish/>
          <w:sz w:val="24"/>
          <w:szCs w:val="24"/>
        </w:rPr>
        <w:t>Top of Form</w:t>
      </w:r>
    </w:p>
    <w:p w14:paraId="0B75186D" w14:textId="77777777" w:rsidR="00E57B83" w:rsidRPr="003805DD" w:rsidRDefault="00E57B83" w:rsidP="003805DD">
      <w:pPr>
        <w:pBdr>
          <w:top w:val="single" w:sz="6" w:space="1" w:color="auto"/>
        </w:pBdr>
        <w:spacing w:after="0" w:line="240" w:lineRule="auto"/>
        <w:jc w:val="both"/>
        <w:rPr>
          <w:rFonts w:ascii="Times New Roman" w:eastAsia="Times New Roman" w:hAnsi="Times New Roman" w:cs="Times New Roman"/>
          <w:b/>
          <w:vanish/>
          <w:sz w:val="24"/>
          <w:szCs w:val="24"/>
        </w:rPr>
      </w:pPr>
      <w:r w:rsidRPr="003805DD">
        <w:rPr>
          <w:rFonts w:ascii="Times New Roman" w:eastAsia="Times New Roman" w:hAnsi="Times New Roman" w:cs="Times New Roman"/>
          <w:b/>
          <w:vanish/>
          <w:sz w:val="24"/>
          <w:szCs w:val="24"/>
        </w:rPr>
        <w:t>Bottom of Form</w:t>
      </w:r>
    </w:p>
    <w:p w14:paraId="2636D78E"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ACCA. (2023). </w:t>
      </w:r>
      <w:r w:rsidRPr="003805DD">
        <w:rPr>
          <w:rFonts w:ascii="Times New Roman" w:eastAsia="Times New Roman" w:hAnsi="Times New Roman" w:cs="Times New Roman"/>
          <w:i/>
          <w:iCs/>
          <w:sz w:val="24"/>
          <w:szCs w:val="24"/>
        </w:rPr>
        <w:t>Financial performance indicators and corporate reporting</w:t>
      </w:r>
      <w:r w:rsidRPr="003805DD">
        <w:rPr>
          <w:rFonts w:ascii="Times New Roman" w:eastAsia="Times New Roman" w:hAnsi="Times New Roman" w:cs="Times New Roman"/>
          <w:sz w:val="24"/>
          <w:szCs w:val="24"/>
        </w:rPr>
        <w:t>. Association of Chartered Certified Accountants.</w:t>
      </w:r>
    </w:p>
    <w:p w14:paraId="2CC54F45" w14:textId="77777777" w:rsidR="00E31A81"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Achmad Bagraff, H., &amp; Ahsan, M. (2024). Green accounting, financial performance, and company value: A bibliometric study. </w:t>
      </w:r>
      <w:r w:rsidRPr="003805DD">
        <w:rPr>
          <w:rFonts w:ascii="Times New Roman" w:eastAsia="Times New Roman" w:hAnsi="Times New Roman" w:cs="Times New Roman"/>
          <w:i/>
          <w:iCs/>
          <w:sz w:val="24"/>
          <w:szCs w:val="24"/>
        </w:rPr>
        <w:t>International Journal of Current Science Research and Review, 7</w:t>
      </w:r>
      <w:r w:rsidRPr="003805DD">
        <w:rPr>
          <w:rFonts w:ascii="Times New Roman" w:eastAsia="Times New Roman" w:hAnsi="Times New Roman" w:cs="Times New Roman"/>
          <w:sz w:val="24"/>
          <w:szCs w:val="24"/>
        </w:rPr>
        <w:t xml:space="preserve">(6). </w:t>
      </w:r>
    </w:p>
    <w:p w14:paraId="20F820C7" w14:textId="6180FF0C" w:rsidR="00E57B83" w:rsidRPr="003805DD" w:rsidRDefault="00EB2BD3" w:rsidP="003805DD">
      <w:pPr>
        <w:spacing w:after="0" w:line="240" w:lineRule="auto"/>
        <w:ind w:left="720" w:hanging="720"/>
        <w:jc w:val="both"/>
        <w:rPr>
          <w:rFonts w:ascii="Times New Roman" w:eastAsia="Times New Roman" w:hAnsi="Times New Roman" w:cs="Times New Roman"/>
          <w:sz w:val="24"/>
          <w:szCs w:val="24"/>
        </w:rPr>
      </w:pPr>
      <w:hyperlink r:id="rId7" w:history="1">
        <w:r w:rsidR="00E31A81" w:rsidRPr="00951D08">
          <w:rPr>
            <w:rStyle w:val="Hyperlink"/>
            <w:rFonts w:ascii="Times New Roman" w:eastAsia="Times New Roman" w:hAnsi="Times New Roman" w:cs="Times New Roman"/>
            <w:sz w:val="24"/>
            <w:szCs w:val="24"/>
          </w:rPr>
          <w:t>https://scispace.com/papers/green-accounting-financial-performance-and-company-value-a-3rbdzqolkz</w:t>
        </w:r>
      </w:hyperlink>
    </w:p>
    <w:p w14:paraId="6A0E42FD"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Adams, P., Smith, R., &amp; Taylor, J. (2023). Sustainable transport economics: Challenges and opportunities in the global market. </w:t>
      </w:r>
      <w:r w:rsidRPr="003805DD">
        <w:rPr>
          <w:rFonts w:ascii="Times New Roman" w:eastAsia="Times New Roman" w:hAnsi="Times New Roman" w:cs="Times New Roman"/>
          <w:i/>
          <w:iCs/>
          <w:sz w:val="24"/>
          <w:szCs w:val="24"/>
        </w:rPr>
        <w:t>Journal of Transportation Economics, 58</w:t>
      </w:r>
      <w:r w:rsidRPr="003805DD">
        <w:rPr>
          <w:rFonts w:ascii="Times New Roman" w:eastAsia="Times New Roman" w:hAnsi="Times New Roman" w:cs="Times New Roman"/>
          <w:sz w:val="24"/>
          <w:szCs w:val="24"/>
        </w:rPr>
        <w:t>(3), 204–221.</w:t>
      </w:r>
    </w:p>
    <w:p w14:paraId="402CD5CD"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Adebayo, I. T., &amp; Aworemi, J. R. (2021, August). Transport management practices and firms’ performance in Nigeria. In </w:t>
      </w:r>
      <w:r w:rsidRPr="003805DD">
        <w:rPr>
          <w:rFonts w:ascii="Times New Roman" w:eastAsia="Times New Roman" w:hAnsi="Times New Roman" w:cs="Times New Roman"/>
          <w:i/>
          <w:iCs/>
          <w:sz w:val="24"/>
          <w:szCs w:val="24"/>
        </w:rPr>
        <w:t>Proceedings of the International Conference on Industrial Engineering and Operations Management</w:t>
      </w:r>
      <w:r w:rsidRPr="003805DD">
        <w:rPr>
          <w:rFonts w:ascii="Times New Roman" w:eastAsia="Times New Roman" w:hAnsi="Times New Roman" w:cs="Times New Roman"/>
          <w:sz w:val="24"/>
          <w:szCs w:val="24"/>
        </w:rPr>
        <w:t>, Rome, Italy, 2(3), 2–5.</w:t>
      </w:r>
    </w:p>
    <w:p w14:paraId="1312F6E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Adebayo, S., Olatunji, O., &amp; Kolawole, T. (2023). Green accounting and its impact on financial performance: Evidence from sub-Saharan Africa. </w:t>
      </w:r>
      <w:r w:rsidRPr="003805DD">
        <w:rPr>
          <w:rFonts w:ascii="Times New Roman" w:eastAsia="Times New Roman" w:hAnsi="Times New Roman" w:cs="Times New Roman"/>
          <w:i/>
          <w:iCs/>
          <w:sz w:val="24"/>
          <w:szCs w:val="24"/>
        </w:rPr>
        <w:t>Journal of Sustainability Accounting, 15</w:t>
      </w:r>
      <w:r w:rsidRPr="003805DD">
        <w:rPr>
          <w:rFonts w:ascii="Times New Roman" w:eastAsia="Times New Roman" w:hAnsi="Times New Roman" w:cs="Times New Roman"/>
          <w:sz w:val="24"/>
          <w:szCs w:val="24"/>
        </w:rPr>
        <w:t>(3), 189–204.</w:t>
      </w:r>
    </w:p>
    <w:p w14:paraId="59970F87" w14:textId="49DB7E95"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Adedilan</w:t>
      </w:r>
      <w:proofErr w:type="spellEnd"/>
      <w:r w:rsidRPr="003805DD">
        <w:rPr>
          <w:rFonts w:ascii="Times New Roman" w:eastAsia="Times New Roman" w:hAnsi="Times New Roman" w:cs="Times New Roman"/>
          <w:sz w:val="24"/>
          <w:szCs w:val="24"/>
        </w:rPr>
        <w:t xml:space="preserve">, T., &amp; Alade, J. (2020). Compliance and resource management in environmental waste </w:t>
      </w:r>
      <w:r w:rsidR="001E4E58">
        <w:rPr>
          <w:rFonts w:ascii="Times New Roman" w:eastAsia="Times New Roman" w:hAnsi="Times New Roman" w:cs="Times New Roman"/>
          <w:sz w:val="24"/>
          <w:szCs w:val="24"/>
        </w:rPr>
        <w:t xml:space="preserve"> practice</w:t>
      </w:r>
      <w:r w:rsidRPr="003805DD">
        <w:rPr>
          <w:rFonts w:ascii="Times New Roman" w:eastAsia="Times New Roman" w:hAnsi="Times New Roman" w:cs="Times New Roman"/>
          <w:sz w:val="24"/>
          <w:szCs w:val="24"/>
        </w:rPr>
        <w:t xml:space="preserve">s: Practices in the modern corporate world. </w:t>
      </w:r>
      <w:r w:rsidRPr="003805DD">
        <w:rPr>
          <w:rFonts w:ascii="Times New Roman" w:eastAsia="Times New Roman" w:hAnsi="Times New Roman" w:cs="Times New Roman"/>
          <w:i/>
          <w:iCs/>
          <w:sz w:val="24"/>
          <w:szCs w:val="24"/>
        </w:rPr>
        <w:t>International Journal of Accounting and Financial Studies, 8</w:t>
      </w:r>
      <w:r w:rsidRPr="003805DD">
        <w:rPr>
          <w:rFonts w:ascii="Times New Roman" w:eastAsia="Times New Roman" w:hAnsi="Times New Roman" w:cs="Times New Roman"/>
          <w:sz w:val="24"/>
          <w:szCs w:val="24"/>
        </w:rPr>
        <w:t>(4), 330–345.</w:t>
      </w:r>
    </w:p>
    <w:p w14:paraId="133B8171" w14:textId="029384E6"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Adhania</w:t>
      </w:r>
      <w:proofErr w:type="spellEnd"/>
      <w:r w:rsidRPr="003805DD">
        <w:rPr>
          <w:rFonts w:ascii="Times New Roman" w:eastAsia="Times New Roman" w:hAnsi="Times New Roman" w:cs="Times New Roman"/>
          <w:sz w:val="24"/>
          <w:szCs w:val="24"/>
        </w:rPr>
        <w:t xml:space="preserve">, L., &amp; </w:t>
      </w:r>
      <w:proofErr w:type="spellStart"/>
      <w:r w:rsidRPr="003805DD">
        <w:rPr>
          <w:rFonts w:ascii="Times New Roman" w:eastAsia="Times New Roman" w:hAnsi="Times New Roman" w:cs="Times New Roman"/>
          <w:sz w:val="24"/>
          <w:szCs w:val="24"/>
        </w:rPr>
        <w:t>Nurdiana</w:t>
      </w:r>
      <w:proofErr w:type="spellEnd"/>
      <w:r w:rsidRPr="003805DD">
        <w:rPr>
          <w:rFonts w:ascii="Times New Roman" w:eastAsia="Times New Roman" w:hAnsi="Times New Roman" w:cs="Times New Roman"/>
          <w:sz w:val="24"/>
          <w:szCs w:val="24"/>
        </w:rPr>
        <w:t>, D. (2024). Influence of financial performance, company size and company age on</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of sustainability reports in non-financial companies on IDX 2019–2021. </w:t>
      </w:r>
      <w:r w:rsidRPr="003805DD">
        <w:rPr>
          <w:rFonts w:ascii="Times New Roman" w:eastAsia="Times New Roman" w:hAnsi="Times New Roman" w:cs="Times New Roman"/>
          <w:i/>
          <w:iCs/>
          <w:sz w:val="24"/>
          <w:szCs w:val="24"/>
        </w:rPr>
        <w:t>International Journal of Multidisciplinary Approach Research and Science, 2</w:t>
      </w:r>
      <w:r w:rsidRPr="003805DD">
        <w:rPr>
          <w:rFonts w:ascii="Times New Roman" w:eastAsia="Times New Roman" w:hAnsi="Times New Roman" w:cs="Times New Roman"/>
          <w:sz w:val="24"/>
          <w:szCs w:val="24"/>
        </w:rPr>
        <w:t>(2), 575–585.</w:t>
      </w:r>
    </w:p>
    <w:p w14:paraId="6CE185E5"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lastRenderedPageBreak/>
        <w:t>Adjirackor</w:t>
      </w:r>
      <w:proofErr w:type="spellEnd"/>
      <w:r w:rsidRPr="003805DD">
        <w:rPr>
          <w:rFonts w:ascii="Times New Roman" w:eastAsia="Times New Roman" w:hAnsi="Times New Roman" w:cs="Times New Roman"/>
          <w:sz w:val="24"/>
          <w:szCs w:val="24"/>
        </w:rPr>
        <w:t xml:space="preserve">, T., Mensah, T., &amp; Osei-Bonsu, R. (2023). Financial performance metrics and their impact on corporate growth. </w:t>
      </w:r>
      <w:r w:rsidRPr="003805DD">
        <w:rPr>
          <w:rFonts w:ascii="Times New Roman" w:eastAsia="Times New Roman" w:hAnsi="Times New Roman" w:cs="Times New Roman"/>
          <w:i/>
          <w:iCs/>
          <w:sz w:val="24"/>
          <w:szCs w:val="24"/>
        </w:rPr>
        <w:t>European Journal of Business, Economics and Accountancy, 11</w:t>
      </w:r>
      <w:r w:rsidRPr="003805DD">
        <w:rPr>
          <w:rFonts w:ascii="Times New Roman" w:eastAsia="Times New Roman" w:hAnsi="Times New Roman" w:cs="Times New Roman"/>
          <w:sz w:val="24"/>
          <w:szCs w:val="24"/>
        </w:rPr>
        <w:t>(2), 73–74.</w:t>
      </w:r>
    </w:p>
    <w:p w14:paraId="22DA84B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African Development Bank (AfDB). (2023). </w:t>
      </w:r>
      <w:r w:rsidRPr="003805DD">
        <w:rPr>
          <w:rFonts w:ascii="Times New Roman" w:eastAsia="Times New Roman" w:hAnsi="Times New Roman" w:cs="Times New Roman"/>
          <w:i/>
          <w:iCs/>
          <w:sz w:val="24"/>
          <w:szCs w:val="24"/>
        </w:rPr>
        <w:t>Sustainability practices in the transport sector: Challenges and opportunities in Africa</w:t>
      </w:r>
      <w:r w:rsidRPr="003805DD">
        <w:rPr>
          <w:rFonts w:ascii="Times New Roman" w:eastAsia="Times New Roman" w:hAnsi="Times New Roman" w:cs="Times New Roman"/>
          <w:sz w:val="24"/>
          <w:szCs w:val="24"/>
        </w:rPr>
        <w:t>. Abidjan, Côte d’Ivoire: AfDB.</w:t>
      </w:r>
    </w:p>
    <w:p w14:paraId="342281A7" w14:textId="0C27F719"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Agyemang, O. S., &amp; Ansong, A. (2023). Environmental </w:t>
      </w:r>
      <w:r w:rsidR="00FD7697">
        <w:rPr>
          <w:rFonts w:ascii="Times New Roman" w:eastAsia="Times New Roman" w:hAnsi="Times New Roman" w:cs="Times New Roman"/>
          <w:sz w:val="24"/>
          <w:szCs w:val="24"/>
        </w:rPr>
        <w:t xml:space="preserve">accounting practice </w:t>
      </w:r>
      <w:r w:rsidRPr="003805DD">
        <w:rPr>
          <w:rFonts w:ascii="Times New Roman" w:eastAsia="Times New Roman" w:hAnsi="Times New Roman" w:cs="Times New Roman"/>
          <w:sz w:val="24"/>
          <w:szCs w:val="24"/>
        </w:rPr>
        <w:t xml:space="preserve">and firm performance: Evidence from Ghana. </w:t>
      </w:r>
      <w:r w:rsidRPr="003805DD">
        <w:rPr>
          <w:rFonts w:ascii="Times New Roman" w:eastAsia="Times New Roman" w:hAnsi="Times New Roman" w:cs="Times New Roman"/>
          <w:i/>
          <w:iCs/>
          <w:sz w:val="24"/>
          <w:szCs w:val="24"/>
        </w:rPr>
        <w:t>Journal of Environmental Management, 300</w:t>
      </w:r>
      <w:r w:rsidRPr="003805DD">
        <w:rPr>
          <w:rFonts w:ascii="Times New Roman" w:eastAsia="Times New Roman" w:hAnsi="Times New Roman" w:cs="Times New Roman"/>
          <w:sz w:val="24"/>
          <w:szCs w:val="24"/>
        </w:rPr>
        <w:t>, 113667.</w:t>
      </w:r>
    </w:p>
    <w:p w14:paraId="2AD4B258"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Akanbi, O., Johnson, T., &amp; Smith, A. (2022). The economic impact of the transportation sector: A global perspective. </w:t>
      </w:r>
      <w:r w:rsidRPr="003805DD">
        <w:rPr>
          <w:rFonts w:ascii="Times New Roman" w:eastAsia="Times New Roman" w:hAnsi="Times New Roman" w:cs="Times New Roman"/>
          <w:i/>
          <w:iCs/>
          <w:sz w:val="24"/>
          <w:szCs w:val="24"/>
        </w:rPr>
        <w:t>Journal of Transport Economics, 15</w:t>
      </w:r>
      <w:r w:rsidRPr="003805DD">
        <w:rPr>
          <w:rFonts w:ascii="Times New Roman" w:eastAsia="Times New Roman" w:hAnsi="Times New Roman" w:cs="Times New Roman"/>
          <w:sz w:val="24"/>
          <w:szCs w:val="24"/>
        </w:rPr>
        <w:t>(3), 45–60.</w:t>
      </w:r>
    </w:p>
    <w:p w14:paraId="3CCAA92B"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Akindele, A., Lawal, R., &amp; Bello, Y. (2023). Challenges and opportunities in adopting green accounting practices in Nigeria. </w:t>
      </w:r>
      <w:r w:rsidRPr="003805DD">
        <w:rPr>
          <w:rFonts w:ascii="Times New Roman" w:eastAsia="Times New Roman" w:hAnsi="Times New Roman" w:cs="Times New Roman"/>
          <w:i/>
          <w:iCs/>
          <w:sz w:val="24"/>
          <w:szCs w:val="24"/>
        </w:rPr>
        <w:t>African Journal of Environmental Management, 12</w:t>
      </w:r>
      <w:r w:rsidRPr="003805DD">
        <w:rPr>
          <w:rFonts w:ascii="Times New Roman" w:eastAsia="Times New Roman" w:hAnsi="Times New Roman" w:cs="Times New Roman"/>
          <w:sz w:val="24"/>
          <w:szCs w:val="24"/>
        </w:rPr>
        <w:t>(2), 143–159.</w:t>
      </w:r>
    </w:p>
    <w:p w14:paraId="45C8B03C"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Alhassan, A. L., </w:t>
      </w:r>
      <w:proofErr w:type="spellStart"/>
      <w:r w:rsidRPr="003805DD">
        <w:rPr>
          <w:rFonts w:ascii="Times New Roman" w:eastAsia="Times New Roman" w:hAnsi="Times New Roman" w:cs="Times New Roman"/>
          <w:sz w:val="24"/>
          <w:szCs w:val="24"/>
        </w:rPr>
        <w:t>Ijiri</w:t>
      </w:r>
      <w:proofErr w:type="spellEnd"/>
      <w:r w:rsidRPr="003805DD">
        <w:rPr>
          <w:rFonts w:ascii="Times New Roman" w:eastAsia="Times New Roman" w:hAnsi="Times New Roman" w:cs="Times New Roman"/>
          <w:sz w:val="24"/>
          <w:szCs w:val="24"/>
        </w:rPr>
        <w:t xml:space="preserve">, Y., &amp; Asare, A. T. (2023). Integrating environmental factors into financial accounting: A green accounting framework. </w:t>
      </w:r>
      <w:r w:rsidRPr="003805DD">
        <w:rPr>
          <w:rFonts w:ascii="Times New Roman" w:eastAsia="Times New Roman" w:hAnsi="Times New Roman" w:cs="Times New Roman"/>
          <w:i/>
          <w:iCs/>
          <w:sz w:val="24"/>
          <w:szCs w:val="24"/>
        </w:rPr>
        <w:t>Accounting and Finance Research, 12</w:t>
      </w:r>
      <w:r w:rsidRPr="003805DD">
        <w:rPr>
          <w:rFonts w:ascii="Times New Roman" w:eastAsia="Times New Roman" w:hAnsi="Times New Roman" w:cs="Times New Roman"/>
          <w:sz w:val="24"/>
          <w:szCs w:val="24"/>
        </w:rPr>
        <w:t xml:space="preserve">(3), 45–58. </w:t>
      </w:r>
      <w:hyperlink r:id="rId8" w:tgtFrame="_new" w:history="1">
        <w:r w:rsidRPr="003805DD">
          <w:rPr>
            <w:rFonts w:ascii="Times New Roman" w:eastAsia="Times New Roman" w:hAnsi="Times New Roman" w:cs="Times New Roman"/>
            <w:color w:val="0000FF"/>
            <w:sz w:val="24"/>
            <w:szCs w:val="24"/>
            <w:u w:val="single"/>
          </w:rPr>
          <w:t>https://doi.org/10.5430/afr.v12n3p45</w:t>
        </w:r>
      </w:hyperlink>
    </w:p>
    <w:p w14:paraId="3F1DD0ED"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AllAfrica. (2024). Nigeria's manufacturing sector: Challenges and prospects. </w:t>
      </w:r>
      <w:hyperlink r:id="rId9" w:tgtFrame="_new" w:history="1">
        <w:r w:rsidRPr="003805DD">
          <w:rPr>
            <w:rFonts w:ascii="Times New Roman" w:eastAsia="Times New Roman" w:hAnsi="Times New Roman" w:cs="Times New Roman"/>
            <w:color w:val="0000FF"/>
            <w:sz w:val="24"/>
            <w:szCs w:val="24"/>
            <w:u w:val="single"/>
          </w:rPr>
          <w:t>https://allafrica.com</w:t>
        </w:r>
      </w:hyperlink>
    </w:p>
    <w:p w14:paraId="75E4F9D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Amadi, C. (2025). Regulatory challenges and financial performance in Nigeria’s manufacturing industry. </w:t>
      </w:r>
      <w:r w:rsidRPr="003805DD">
        <w:rPr>
          <w:rFonts w:ascii="Times New Roman" w:eastAsia="Times New Roman" w:hAnsi="Times New Roman" w:cs="Times New Roman"/>
          <w:i/>
          <w:iCs/>
          <w:sz w:val="24"/>
          <w:szCs w:val="24"/>
        </w:rPr>
        <w:t>Journal of Nigerian Business Studies, 12</w:t>
      </w:r>
      <w:r w:rsidRPr="003805DD">
        <w:rPr>
          <w:rFonts w:ascii="Times New Roman" w:eastAsia="Times New Roman" w:hAnsi="Times New Roman" w:cs="Times New Roman"/>
          <w:sz w:val="24"/>
          <w:szCs w:val="24"/>
        </w:rPr>
        <w:t>(1), 45–62.</w:t>
      </w:r>
    </w:p>
    <w:p w14:paraId="6C51ED4B" w14:textId="67B951FB"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Ashworth, G. (2023). The impact of environmental</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on firm value: Evidence from emerging markets. </w:t>
      </w:r>
      <w:r w:rsidRPr="003805DD">
        <w:rPr>
          <w:rFonts w:ascii="Times New Roman" w:eastAsia="Times New Roman" w:hAnsi="Times New Roman" w:cs="Times New Roman"/>
          <w:i/>
          <w:iCs/>
          <w:sz w:val="24"/>
          <w:szCs w:val="24"/>
        </w:rPr>
        <w:t>Journal of Sustainable Finance, 15</w:t>
      </w:r>
      <w:r w:rsidRPr="003805DD">
        <w:rPr>
          <w:rFonts w:ascii="Times New Roman" w:eastAsia="Times New Roman" w:hAnsi="Times New Roman" w:cs="Times New Roman"/>
          <w:sz w:val="24"/>
          <w:szCs w:val="24"/>
        </w:rPr>
        <w:t>(3), 210–230.</w:t>
      </w:r>
    </w:p>
    <w:p w14:paraId="1E095301"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Barney, J. (1991). Firm resources and sustained competitive advantage. </w:t>
      </w:r>
      <w:r w:rsidRPr="003805DD">
        <w:rPr>
          <w:rFonts w:ascii="Times New Roman" w:eastAsia="Times New Roman" w:hAnsi="Times New Roman" w:cs="Times New Roman"/>
          <w:i/>
          <w:iCs/>
          <w:sz w:val="24"/>
          <w:szCs w:val="24"/>
        </w:rPr>
        <w:t>Journal of Management, 17</w:t>
      </w:r>
      <w:r w:rsidRPr="003805DD">
        <w:rPr>
          <w:rFonts w:ascii="Times New Roman" w:eastAsia="Times New Roman" w:hAnsi="Times New Roman" w:cs="Times New Roman"/>
          <w:sz w:val="24"/>
          <w:szCs w:val="24"/>
        </w:rPr>
        <w:t xml:space="preserve">(1), 99–120. </w:t>
      </w:r>
      <w:hyperlink r:id="rId10" w:tgtFrame="_new" w:history="1">
        <w:r w:rsidRPr="003805DD">
          <w:rPr>
            <w:rFonts w:ascii="Times New Roman" w:eastAsia="Times New Roman" w:hAnsi="Times New Roman" w:cs="Times New Roman"/>
            <w:color w:val="0000FF"/>
            <w:sz w:val="24"/>
            <w:szCs w:val="24"/>
            <w:u w:val="single"/>
          </w:rPr>
          <w:t>https://doi.org/10.1177/0149206391011500108</w:t>
        </w:r>
      </w:hyperlink>
    </w:p>
    <w:p w14:paraId="66C2117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Barney, J., &amp; Clark, D. N. (2007). </w:t>
      </w:r>
      <w:r w:rsidRPr="003805DD">
        <w:rPr>
          <w:rFonts w:ascii="Times New Roman" w:eastAsia="Times New Roman" w:hAnsi="Times New Roman" w:cs="Times New Roman"/>
          <w:i/>
          <w:iCs/>
          <w:sz w:val="24"/>
          <w:szCs w:val="24"/>
        </w:rPr>
        <w:t>Resource-based theory: Creating and sustaining competitive advantage</w:t>
      </w:r>
      <w:r w:rsidRPr="003805DD">
        <w:rPr>
          <w:rFonts w:ascii="Times New Roman" w:eastAsia="Times New Roman" w:hAnsi="Times New Roman" w:cs="Times New Roman"/>
          <w:sz w:val="24"/>
          <w:szCs w:val="24"/>
        </w:rPr>
        <w:t>. Oxford University Press.</w:t>
      </w:r>
    </w:p>
    <w:p w14:paraId="3E252D11" w14:textId="2E14E0EB"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Bashir, M., &amp; Umar, A. (2023). Environmental</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practices and corporate sustainability in Nigeria. </w:t>
      </w:r>
      <w:r w:rsidRPr="003805DD">
        <w:rPr>
          <w:rFonts w:ascii="Times New Roman" w:eastAsia="Times New Roman" w:hAnsi="Times New Roman" w:cs="Times New Roman"/>
          <w:i/>
          <w:iCs/>
          <w:sz w:val="24"/>
          <w:szCs w:val="24"/>
        </w:rPr>
        <w:t>International Journal of Environmental Accounting and Management, 11</w:t>
      </w:r>
      <w:r w:rsidRPr="003805DD">
        <w:rPr>
          <w:rFonts w:ascii="Times New Roman" w:eastAsia="Times New Roman" w:hAnsi="Times New Roman" w:cs="Times New Roman"/>
          <w:sz w:val="24"/>
          <w:szCs w:val="24"/>
        </w:rPr>
        <w:t>(2), 89–107.</w:t>
      </w:r>
    </w:p>
    <w:p w14:paraId="333EC46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Bessong</w:t>
      </w:r>
      <w:proofErr w:type="spellEnd"/>
      <w:r w:rsidRPr="003805DD">
        <w:rPr>
          <w:rFonts w:ascii="Times New Roman" w:eastAsia="Times New Roman" w:hAnsi="Times New Roman" w:cs="Times New Roman"/>
          <w:sz w:val="24"/>
          <w:szCs w:val="24"/>
        </w:rPr>
        <w:t xml:space="preserve">, N., Okeke, J., &amp; Ibe, O. (2023). Triple bottom line reporting and corporate transparency in developing economies. </w:t>
      </w:r>
      <w:r w:rsidRPr="003805DD">
        <w:rPr>
          <w:rFonts w:ascii="Times New Roman" w:eastAsia="Times New Roman" w:hAnsi="Times New Roman" w:cs="Times New Roman"/>
          <w:i/>
          <w:iCs/>
          <w:sz w:val="24"/>
          <w:szCs w:val="24"/>
        </w:rPr>
        <w:t>African Journal of Business and Economic Research, 8</w:t>
      </w:r>
      <w:r w:rsidRPr="003805DD">
        <w:rPr>
          <w:rFonts w:ascii="Times New Roman" w:eastAsia="Times New Roman" w:hAnsi="Times New Roman" w:cs="Times New Roman"/>
          <w:sz w:val="24"/>
          <w:szCs w:val="24"/>
        </w:rPr>
        <w:t>(1), 34–50.</w:t>
      </w:r>
    </w:p>
    <w:p w14:paraId="0A01C4D1" w14:textId="0513DE81"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Boiocchi</w:t>
      </w:r>
      <w:proofErr w:type="spellEnd"/>
      <w:r w:rsidRPr="003805DD">
        <w:rPr>
          <w:rFonts w:ascii="Times New Roman" w:eastAsia="Times New Roman" w:hAnsi="Times New Roman" w:cs="Times New Roman"/>
          <w:sz w:val="24"/>
          <w:szCs w:val="24"/>
        </w:rPr>
        <w:t xml:space="preserve">, R., Gomez-Marcos, R., &amp; </w:t>
      </w:r>
      <w:proofErr w:type="spellStart"/>
      <w:r w:rsidRPr="003805DD">
        <w:rPr>
          <w:rFonts w:ascii="Times New Roman" w:eastAsia="Times New Roman" w:hAnsi="Times New Roman" w:cs="Times New Roman"/>
          <w:sz w:val="24"/>
          <w:szCs w:val="24"/>
        </w:rPr>
        <w:t>Lakzian</w:t>
      </w:r>
      <w:proofErr w:type="spellEnd"/>
      <w:r w:rsidRPr="003805DD">
        <w:rPr>
          <w:rFonts w:ascii="Times New Roman" w:eastAsia="Times New Roman" w:hAnsi="Times New Roman" w:cs="Times New Roman"/>
          <w:sz w:val="24"/>
          <w:szCs w:val="24"/>
        </w:rPr>
        <w:t xml:space="preserve">, E. (2023). Green technologies and environmental </w:t>
      </w:r>
      <w:r w:rsidR="001E4E58">
        <w:rPr>
          <w:rFonts w:ascii="Times New Roman" w:eastAsia="Times New Roman" w:hAnsi="Times New Roman" w:cs="Times New Roman"/>
          <w:sz w:val="24"/>
          <w:szCs w:val="24"/>
        </w:rPr>
        <w:t xml:space="preserve"> practice</w:t>
      </w:r>
      <w:r w:rsidRPr="003805DD">
        <w:rPr>
          <w:rFonts w:ascii="Times New Roman" w:eastAsia="Times New Roman" w:hAnsi="Times New Roman" w:cs="Times New Roman"/>
          <w:sz w:val="24"/>
          <w:szCs w:val="24"/>
        </w:rPr>
        <w:t xml:space="preserve">s: A global perspective. </w:t>
      </w:r>
      <w:r w:rsidRPr="003805DD">
        <w:rPr>
          <w:rFonts w:ascii="Times New Roman" w:eastAsia="Times New Roman" w:hAnsi="Times New Roman" w:cs="Times New Roman"/>
          <w:i/>
          <w:iCs/>
          <w:sz w:val="24"/>
          <w:szCs w:val="24"/>
        </w:rPr>
        <w:t>Journal of Cleaner Production, 287</w:t>
      </w:r>
      <w:r w:rsidRPr="003805DD">
        <w:rPr>
          <w:rFonts w:ascii="Times New Roman" w:eastAsia="Times New Roman" w:hAnsi="Times New Roman" w:cs="Times New Roman"/>
          <w:sz w:val="24"/>
          <w:szCs w:val="24"/>
        </w:rPr>
        <w:t xml:space="preserve">, 125456. </w:t>
      </w:r>
      <w:hyperlink r:id="rId11" w:tgtFrame="_new" w:history="1">
        <w:r w:rsidRPr="003805DD">
          <w:rPr>
            <w:rFonts w:ascii="Times New Roman" w:eastAsia="Times New Roman" w:hAnsi="Times New Roman" w:cs="Times New Roman"/>
            <w:color w:val="0000FF"/>
            <w:sz w:val="24"/>
            <w:szCs w:val="24"/>
            <w:u w:val="single"/>
          </w:rPr>
          <w:t>https://doi.org/10.1016/j.jclepro.2020.125456</w:t>
        </w:r>
      </w:hyperlink>
    </w:p>
    <w:p w14:paraId="00E84325" w14:textId="51F26309"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Boluwaji, A., Adeyemi, S., &amp; Kalu, T. (2024). Regulatory impact on environmental</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and firm performance in Nigeria. </w:t>
      </w:r>
      <w:r w:rsidRPr="003805DD">
        <w:rPr>
          <w:rFonts w:ascii="Times New Roman" w:eastAsia="Times New Roman" w:hAnsi="Times New Roman" w:cs="Times New Roman"/>
          <w:i/>
          <w:iCs/>
          <w:sz w:val="24"/>
          <w:szCs w:val="24"/>
        </w:rPr>
        <w:t>Nigerian Journal of Accounting and Finance, 16</w:t>
      </w:r>
      <w:r w:rsidRPr="003805DD">
        <w:rPr>
          <w:rFonts w:ascii="Times New Roman" w:eastAsia="Times New Roman" w:hAnsi="Times New Roman" w:cs="Times New Roman"/>
          <w:sz w:val="24"/>
          <w:szCs w:val="24"/>
        </w:rPr>
        <w:t>(1), 73–90.</w:t>
      </w:r>
    </w:p>
    <w:p w14:paraId="6964A546" w14:textId="46E13463"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Brown, L., &amp; Taylor, S. (2022). Environmental </w:t>
      </w:r>
      <w:r w:rsidR="001E4E58">
        <w:rPr>
          <w:rFonts w:ascii="Times New Roman" w:eastAsia="Times New Roman" w:hAnsi="Times New Roman" w:cs="Times New Roman"/>
          <w:sz w:val="24"/>
          <w:szCs w:val="24"/>
        </w:rPr>
        <w:t xml:space="preserve"> practice</w:t>
      </w:r>
      <w:r w:rsidRPr="003805DD">
        <w:rPr>
          <w:rFonts w:ascii="Times New Roman" w:eastAsia="Times New Roman" w:hAnsi="Times New Roman" w:cs="Times New Roman"/>
          <w:sz w:val="24"/>
          <w:szCs w:val="24"/>
        </w:rPr>
        <w:t xml:space="preserve">s and financial performance: A meta-analysis. </w:t>
      </w:r>
      <w:r w:rsidRPr="003805DD">
        <w:rPr>
          <w:rFonts w:ascii="Times New Roman" w:eastAsia="Times New Roman" w:hAnsi="Times New Roman" w:cs="Times New Roman"/>
          <w:i/>
          <w:iCs/>
          <w:sz w:val="24"/>
          <w:szCs w:val="24"/>
        </w:rPr>
        <w:t>Corporate Social Responsibility and Environmental Management, 29</w:t>
      </w:r>
      <w:r w:rsidRPr="003805DD">
        <w:rPr>
          <w:rFonts w:ascii="Times New Roman" w:eastAsia="Times New Roman" w:hAnsi="Times New Roman" w:cs="Times New Roman"/>
          <w:sz w:val="24"/>
          <w:szCs w:val="24"/>
        </w:rPr>
        <w:t>(4), 1162–1175.</w:t>
      </w:r>
    </w:p>
    <w:p w14:paraId="55256F88"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Chen, Y., &amp; Zhang, W. (2023). Stakeholder theory and environmental reporting in emerging markets. </w:t>
      </w:r>
      <w:r w:rsidRPr="003805DD">
        <w:rPr>
          <w:rFonts w:ascii="Times New Roman" w:eastAsia="Times New Roman" w:hAnsi="Times New Roman" w:cs="Times New Roman"/>
          <w:i/>
          <w:iCs/>
          <w:sz w:val="24"/>
          <w:szCs w:val="24"/>
        </w:rPr>
        <w:t>Sustainability Accounting, Management and Policy Journal, 14</w:t>
      </w:r>
      <w:r w:rsidRPr="003805DD">
        <w:rPr>
          <w:rFonts w:ascii="Times New Roman" w:eastAsia="Times New Roman" w:hAnsi="Times New Roman" w:cs="Times New Roman"/>
          <w:sz w:val="24"/>
          <w:szCs w:val="24"/>
        </w:rPr>
        <w:t>(3), 501–525.</w:t>
      </w:r>
    </w:p>
    <w:p w14:paraId="18349870" w14:textId="4672B71F"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Chen, Y., Wang, H., &amp; Zhao, X. (2023). The effect of sustainability </w:t>
      </w:r>
      <w:r w:rsidR="001E4E58">
        <w:rPr>
          <w:rFonts w:ascii="Times New Roman" w:eastAsia="Times New Roman" w:hAnsi="Times New Roman" w:cs="Times New Roman"/>
          <w:sz w:val="24"/>
          <w:szCs w:val="24"/>
        </w:rPr>
        <w:t xml:space="preserve"> practice</w:t>
      </w:r>
      <w:r w:rsidRPr="003805DD">
        <w:rPr>
          <w:rFonts w:ascii="Times New Roman" w:eastAsia="Times New Roman" w:hAnsi="Times New Roman" w:cs="Times New Roman"/>
          <w:sz w:val="24"/>
          <w:szCs w:val="24"/>
        </w:rPr>
        <w:t xml:space="preserve">s on firm profitability: Evidence from China. </w:t>
      </w:r>
      <w:r w:rsidRPr="003805DD">
        <w:rPr>
          <w:rFonts w:ascii="Times New Roman" w:eastAsia="Times New Roman" w:hAnsi="Times New Roman" w:cs="Times New Roman"/>
          <w:i/>
          <w:iCs/>
          <w:sz w:val="24"/>
          <w:szCs w:val="24"/>
        </w:rPr>
        <w:t>Journal of Business Ethics, 176</w:t>
      </w:r>
      <w:r w:rsidRPr="003805DD">
        <w:rPr>
          <w:rFonts w:ascii="Times New Roman" w:eastAsia="Times New Roman" w:hAnsi="Times New Roman" w:cs="Times New Roman"/>
          <w:sz w:val="24"/>
          <w:szCs w:val="24"/>
        </w:rPr>
        <w:t>(2), 321–337.</w:t>
      </w:r>
    </w:p>
    <w:p w14:paraId="34C8C6F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Chukka, H. G. R., </w:t>
      </w:r>
      <w:proofErr w:type="spellStart"/>
      <w:r w:rsidRPr="003805DD">
        <w:rPr>
          <w:rFonts w:ascii="Times New Roman" w:eastAsia="Times New Roman" w:hAnsi="Times New Roman" w:cs="Times New Roman"/>
          <w:sz w:val="24"/>
          <w:szCs w:val="24"/>
        </w:rPr>
        <w:t>Madem</w:t>
      </w:r>
      <w:proofErr w:type="spellEnd"/>
      <w:r w:rsidRPr="003805DD">
        <w:rPr>
          <w:rFonts w:ascii="Times New Roman" w:eastAsia="Times New Roman" w:hAnsi="Times New Roman" w:cs="Times New Roman"/>
          <w:sz w:val="24"/>
          <w:szCs w:val="24"/>
        </w:rPr>
        <w:t xml:space="preserve">, S., &amp; </w:t>
      </w:r>
      <w:proofErr w:type="spellStart"/>
      <w:r w:rsidRPr="003805DD">
        <w:rPr>
          <w:rFonts w:ascii="Times New Roman" w:eastAsia="Times New Roman" w:hAnsi="Times New Roman" w:cs="Times New Roman"/>
          <w:sz w:val="24"/>
          <w:szCs w:val="24"/>
        </w:rPr>
        <w:t>Konathala</w:t>
      </w:r>
      <w:proofErr w:type="spellEnd"/>
      <w:r w:rsidRPr="003805DD">
        <w:rPr>
          <w:rFonts w:ascii="Times New Roman" w:eastAsia="Times New Roman" w:hAnsi="Times New Roman" w:cs="Times New Roman"/>
          <w:sz w:val="24"/>
          <w:szCs w:val="24"/>
        </w:rPr>
        <w:t xml:space="preserve">, S. K. (2024). Leveraging green accounting for sustainable development. </w:t>
      </w:r>
      <w:r w:rsidRPr="003805DD">
        <w:rPr>
          <w:rFonts w:ascii="Times New Roman" w:eastAsia="Times New Roman" w:hAnsi="Times New Roman" w:cs="Times New Roman"/>
          <w:i/>
          <w:iCs/>
          <w:sz w:val="24"/>
          <w:szCs w:val="24"/>
        </w:rPr>
        <w:t>Advances in Finance, Accounting, and Economics Book Series</w:t>
      </w:r>
      <w:r w:rsidRPr="003805DD">
        <w:rPr>
          <w:rFonts w:ascii="Times New Roman" w:eastAsia="Times New Roman" w:hAnsi="Times New Roman" w:cs="Times New Roman"/>
          <w:sz w:val="24"/>
          <w:szCs w:val="24"/>
        </w:rPr>
        <w:t xml:space="preserve">. </w:t>
      </w:r>
      <w:hyperlink r:id="rId12" w:tgtFrame="_new" w:history="1">
        <w:r w:rsidRPr="003805DD">
          <w:rPr>
            <w:rFonts w:ascii="Times New Roman" w:eastAsia="Times New Roman" w:hAnsi="Times New Roman" w:cs="Times New Roman"/>
            <w:color w:val="0000FF"/>
            <w:sz w:val="24"/>
            <w:szCs w:val="24"/>
            <w:u w:val="single"/>
          </w:rPr>
          <w:t>https://scispace.com/papers/leveraging-green-accounting-for-sustainable-development-4qt4jhemqa52</w:t>
        </w:r>
      </w:hyperlink>
    </w:p>
    <w:p w14:paraId="15860079"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lastRenderedPageBreak/>
        <w:t xml:space="preserve">Chukwu, U., Ugochukwu, N., &amp; Okafor, F. (2023). Green accounting and corporate sustainability: Evidence from Nigerian firms. </w:t>
      </w:r>
      <w:r w:rsidRPr="003805DD">
        <w:rPr>
          <w:rFonts w:ascii="Times New Roman" w:eastAsia="Times New Roman" w:hAnsi="Times New Roman" w:cs="Times New Roman"/>
          <w:i/>
          <w:iCs/>
          <w:sz w:val="24"/>
          <w:szCs w:val="24"/>
        </w:rPr>
        <w:t>Accounting and Finance Review, 18</w:t>
      </w:r>
      <w:r w:rsidRPr="003805DD">
        <w:rPr>
          <w:rFonts w:ascii="Times New Roman" w:eastAsia="Times New Roman" w:hAnsi="Times New Roman" w:cs="Times New Roman"/>
          <w:sz w:val="24"/>
          <w:szCs w:val="24"/>
        </w:rPr>
        <w:t>(1), 77–95.</w:t>
      </w:r>
    </w:p>
    <w:p w14:paraId="50CCD668"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Dura, J., &amp; </w:t>
      </w:r>
      <w:proofErr w:type="spellStart"/>
      <w:r w:rsidRPr="003805DD">
        <w:rPr>
          <w:rFonts w:ascii="Times New Roman" w:eastAsia="Times New Roman" w:hAnsi="Times New Roman" w:cs="Times New Roman"/>
          <w:sz w:val="24"/>
          <w:szCs w:val="24"/>
        </w:rPr>
        <w:t>Suharsono</w:t>
      </w:r>
      <w:proofErr w:type="spellEnd"/>
      <w:r w:rsidRPr="003805DD">
        <w:rPr>
          <w:rFonts w:ascii="Times New Roman" w:eastAsia="Times New Roman" w:hAnsi="Times New Roman" w:cs="Times New Roman"/>
          <w:sz w:val="24"/>
          <w:szCs w:val="24"/>
        </w:rPr>
        <w:t xml:space="preserve">, R. (2022). Application green accounting to sustainable development improve financial performance study in green industry. </w:t>
      </w:r>
      <w:proofErr w:type="spellStart"/>
      <w:r w:rsidRPr="003805DD">
        <w:rPr>
          <w:rFonts w:ascii="Times New Roman" w:eastAsia="Times New Roman" w:hAnsi="Times New Roman" w:cs="Times New Roman"/>
          <w:i/>
          <w:iCs/>
          <w:sz w:val="24"/>
          <w:szCs w:val="24"/>
        </w:rPr>
        <w:t>Jurnal</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Akuntansi</w:t>
      </w:r>
      <w:proofErr w:type="spellEnd"/>
      <w:r w:rsidRPr="003805DD">
        <w:rPr>
          <w:rFonts w:ascii="Times New Roman" w:eastAsia="Times New Roman" w:hAnsi="Times New Roman" w:cs="Times New Roman"/>
          <w:i/>
          <w:iCs/>
          <w:sz w:val="24"/>
          <w:szCs w:val="24"/>
        </w:rPr>
        <w:t xml:space="preserve"> - </w:t>
      </w:r>
      <w:proofErr w:type="spellStart"/>
      <w:r w:rsidRPr="003805DD">
        <w:rPr>
          <w:rFonts w:ascii="Times New Roman" w:eastAsia="Times New Roman" w:hAnsi="Times New Roman" w:cs="Times New Roman"/>
          <w:i/>
          <w:iCs/>
          <w:sz w:val="24"/>
          <w:szCs w:val="24"/>
        </w:rPr>
        <w:t>Fakultas</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Ekonomi</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Universitas</w:t>
      </w:r>
      <w:proofErr w:type="spellEnd"/>
      <w:r w:rsidRPr="003805DD">
        <w:rPr>
          <w:rFonts w:ascii="Times New Roman" w:eastAsia="Times New Roman" w:hAnsi="Times New Roman" w:cs="Times New Roman"/>
          <w:i/>
          <w:iCs/>
          <w:sz w:val="24"/>
          <w:szCs w:val="24"/>
        </w:rPr>
        <w:t xml:space="preserve"> </w:t>
      </w:r>
      <w:proofErr w:type="spellStart"/>
      <w:r w:rsidRPr="003805DD">
        <w:rPr>
          <w:rFonts w:ascii="Times New Roman" w:eastAsia="Times New Roman" w:hAnsi="Times New Roman" w:cs="Times New Roman"/>
          <w:i/>
          <w:iCs/>
          <w:sz w:val="24"/>
          <w:szCs w:val="24"/>
        </w:rPr>
        <w:t>Tarumanagara</w:t>
      </w:r>
      <w:proofErr w:type="spellEnd"/>
      <w:r w:rsidRPr="003805DD">
        <w:rPr>
          <w:rFonts w:ascii="Times New Roman" w:eastAsia="Times New Roman" w:hAnsi="Times New Roman" w:cs="Times New Roman"/>
          <w:i/>
          <w:iCs/>
          <w:sz w:val="24"/>
          <w:szCs w:val="24"/>
        </w:rPr>
        <w:t>, 26</w:t>
      </w:r>
      <w:r w:rsidRPr="003805DD">
        <w:rPr>
          <w:rFonts w:ascii="Times New Roman" w:eastAsia="Times New Roman" w:hAnsi="Times New Roman" w:cs="Times New Roman"/>
          <w:sz w:val="24"/>
          <w:szCs w:val="24"/>
        </w:rPr>
        <w:t xml:space="preserve">(2). </w:t>
      </w:r>
      <w:hyperlink r:id="rId13" w:tgtFrame="_new" w:history="1">
        <w:r w:rsidRPr="003805DD">
          <w:rPr>
            <w:rFonts w:ascii="Times New Roman" w:eastAsia="Times New Roman" w:hAnsi="Times New Roman" w:cs="Times New Roman"/>
            <w:color w:val="0000FF"/>
            <w:sz w:val="24"/>
            <w:szCs w:val="24"/>
            <w:u w:val="single"/>
          </w:rPr>
          <w:t>https://scispace.com/papers/application-green-accounting-to-sustainable-development-9jprpxyx</w:t>
        </w:r>
      </w:hyperlink>
    </w:p>
    <w:p w14:paraId="5D4A3350"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Harif, A., &amp; Natasha, P. (2024). A review on green accounting practices and sustainable financial performance. </w:t>
      </w:r>
      <w:r w:rsidRPr="003805DD">
        <w:rPr>
          <w:rFonts w:ascii="Times New Roman" w:eastAsia="Times New Roman" w:hAnsi="Times New Roman" w:cs="Times New Roman"/>
          <w:i/>
          <w:iCs/>
          <w:sz w:val="24"/>
          <w:szCs w:val="24"/>
        </w:rPr>
        <w:t>Journal of Business Management and Information Systems</w:t>
      </w:r>
      <w:r w:rsidRPr="003805DD">
        <w:rPr>
          <w:rFonts w:ascii="Times New Roman" w:eastAsia="Times New Roman" w:hAnsi="Times New Roman" w:cs="Times New Roman"/>
          <w:sz w:val="24"/>
          <w:szCs w:val="24"/>
        </w:rPr>
        <w:t xml:space="preserve">. </w:t>
      </w:r>
      <w:hyperlink r:id="rId14" w:tgtFrame="_new" w:history="1">
        <w:r w:rsidRPr="003805DD">
          <w:rPr>
            <w:rFonts w:ascii="Times New Roman" w:eastAsia="Times New Roman" w:hAnsi="Times New Roman" w:cs="Times New Roman"/>
            <w:color w:val="0000FF"/>
            <w:sz w:val="24"/>
            <w:szCs w:val="24"/>
            <w:u w:val="single"/>
          </w:rPr>
          <w:t>https://scispace.com/papers/a-review-on-green-accounting-practices-and-sustainable-3okiis0wlu</w:t>
        </w:r>
      </w:hyperlink>
    </w:p>
    <w:p w14:paraId="029F749C" w14:textId="33183B80"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Ibigbami</w:t>
      </w:r>
      <w:proofErr w:type="spellEnd"/>
      <w:r w:rsidRPr="003805DD">
        <w:rPr>
          <w:rFonts w:ascii="Times New Roman" w:eastAsia="Times New Roman" w:hAnsi="Times New Roman" w:cs="Times New Roman"/>
          <w:sz w:val="24"/>
          <w:szCs w:val="24"/>
        </w:rPr>
        <w:t>, A. A., Olaleye, A. O., &amp; Adebayo, T. S. (2023). Environmental waste</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and profitability of agricultural firms in Nigeria. </w:t>
      </w:r>
      <w:r w:rsidRPr="003805DD">
        <w:rPr>
          <w:rFonts w:ascii="Times New Roman" w:eastAsia="Times New Roman" w:hAnsi="Times New Roman" w:cs="Times New Roman"/>
          <w:i/>
          <w:iCs/>
          <w:sz w:val="24"/>
          <w:szCs w:val="24"/>
        </w:rPr>
        <w:t>Nigerian Journal of Accounting and Sustainability, 12</w:t>
      </w:r>
      <w:r w:rsidRPr="003805DD">
        <w:rPr>
          <w:rFonts w:ascii="Times New Roman" w:eastAsia="Times New Roman" w:hAnsi="Times New Roman" w:cs="Times New Roman"/>
          <w:sz w:val="24"/>
          <w:szCs w:val="24"/>
        </w:rPr>
        <w:t>(2), 89–102.</w:t>
      </w:r>
    </w:p>
    <w:p w14:paraId="3A493168"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Ibrahim, A. T., Yusuf, M. A., &amp; Eze, O. R. (2023). Environmental reporting and financial performance of listed manufacturing firms in Nigeria. </w:t>
      </w:r>
      <w:r w:rsidRPr="003805DD">
        <w:rPr>
          <w:rFonts w:ascii="Times New Roman" w:eastAsia="Times New Roman" w:hAnsi="Times New Roman" w:cs="Times New Roman"/>
          <w:i/>
          <w:iCs/>
          <w:sz w:val="24"/>
          <w:szCs w:val="24"/>
        </w:rPr>
        <w:t>International Journal of Accounting and Finance Research, 15</w:t>
      </w:r>
      <w:r w:rsidRPr="003805DD">
        <w:rPr>
          <w:rFonts w:ascii="Times New Roman" w:eastAsia="Times New Roman" w:hAnsi="Times New Roman" w:cs="Times New Roman"/>
          <w:sz w:val="24"/>
          <w:szCs w:val="24"/>
        </w:rPr>
        <w:t>(1), 44–57.</w:t>
      </w:r>
    </w:p>
    <w:p w14:paraId="24F9271F"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Indriastuti</w:t>
      </w:r>
      <w:proofErr w:type="spellEnd"/>
      <w:r w:rsidRPr="003805DD">
        <w:rPr>
          <w:rFonts w:ascii="Times New Roman" w:eastAsia="Times New Roman" w:hAnsi="Times New Roman" w:cs="Times New Roman"/>
          <w:sz w:val="24"/>
          <w:szCs w:val="24"/>
        </w:rPr>
        <w:t xml:space="preserve">, M., &amp; </w:t>
      </w:r>
      <w:proofErr w:type="spellStart"/>
      <w:r w:rsidRPr="003805DD">
        <w:rPr>
          <w:rFonts w:ascii="Times New Roman" w:eastAsia="Times New Roman" w:hAnsi="Times New Roman" w:cs="Times New Roman"/>
          <w:sz w:val="24"/>
          <w:szCs w:val="24"/>
        </w:rPr>
        <w:t>Mutamimah</w:t>
      </w:r>
      <w:proofErr w:type="spellEnd"/>
      <w:r w:rsidRPr="003805DD">
        <w:rPr>
          <w:rFonts w:ascii="Times New Roman" w:eastAsia="Times New Roman" w:hAnsi="Times New Roman" w:cs="Times New Roman"/>
          <w:sz w:val="24"/>
          <w:szCs w:val="24"/>
        </w:rPr>
        <w:t xml:space="preserve">, M. (2023). Green accounting and sustainable performance of micro, small, and medium enterprises: The role of financial performance as mediation. </w:t>
      </w:r>
      <w:r w:rsidRPr="003805DD">
        <w:rPr>
          <w:rFonts w:ascii="Times New Roman" w:eastAsia="Times New Roman" w:hAnsi="Times New Roman" w:cs="Times New Roman"/>
          <w:i/>
          <w:iCs/>
          <w:sz w:val="24"/>
          <w:szCs w:val="24"/>
        </w:rPr>
        <w:t>The Indonesian Journal of Accounting Research, 26</w:t>
      </w:r>
      <w:r w:rsidRPr="003805DD">
        <w:rPr>
          <w:rFonts w:ascii="Times New Roman" w:eastAsia="Times New Roman" w:hAnsi="Times New Roman" w:cs="Times New Roman"/>
          <w:sz w:val="24"/>
          <w:szCs w:val="24"/>
        </w:rPr>
        <w:t xml:space="preserve">(2). </w:t>
      </w:r>
      <w:hyperlink r:id="rId15" w:tgtFrame="_new" w:history="1">
        <w:r w:rsidRPr="003805DD">
          <w:rPr>
            <w:rFonts w:ascii="Times New Roman" w:eastAsia="Times New Roman" w:hAnsi="Times New Roman" w:cs="Times New Roman"/>
            <w:color w:val="0000FF"/>
            <w:sz w:val="24"/>
            <w:szCs w:val="24"/>
            <w:u w:val="single"/>
          </w:rPr>
          <w:t>https://scispace.com/papers/green-accounting-and-sustainable-performance-of-micro-small-4fwuaey8tw</w:t>
        </w:r>
      </w:hyperlink>
    </w:p>
    <w:p w14:paraId="055E8D8F" w14:textId="3A06FE5E"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Jafari, H., &amp; Nikbakht, M. (2023). The impact of environmental waste</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on firm performance: Evidence from Iran. </w:t>
      </w:r>
      <w:r w:rsidRPr="003805DD">
        <w:rPr>
          <w:rFonts w:ascii="Times New Roman" w:eastAsia="Times New Roman" w:hAnsi="Times New Roman" w:cs="Times New Roman"/>
          <w:i/>
          <w:iCs/>
          <w:sz w:val="24"/>
          <w:szCs w:val="24"/>
        </w:rPr>
        <w:t>Journal of Cleaner Production, 415</w:t>
      </w:r>
      <w:r w:rsidRPr="003805DD">
        <w:rPr>
          <w:rFonts w:ascii="Times New Roman" w:eastAsia="Times New Roman" w:hAnsi="Times New Roman" w:cs="Times New Roman"/>
          <w:sz w:val="24"/>
          <w:szCs w:val="24"/>
        </w:rPr>
        <w:t xml:space="preserve">, 137782. </w:t>
      </w:r>
      <w:hyperlink r:id="rId16" w:tgtFrame="_new" w:history="1">
        <w:r w:rsidRPr="003805DD">
          <w:rPr>
            <w:rFonts w:ascii="Times New Roman" w:eastAsia="Times New Roman" w:hAnsi="Times New Roman" w:cs="Times New Roman"/>
            <w:color w:val="0000FF"/>
            <w:sz w:val="24"/>
            <w:szCs w:val="24"/>
            <w:u w:val="single"/>
          </w:rPr>
          <w:t>https://doi.org/10.1016/j.jclepro.2023.137782</w:t>
        </w:r>
      </w:hyperlink>
    </w:p>
    <w:p w14:paraId="17694A65" w14:textId="30226971"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Kim, J. H., &amp; Lee, S. H. (2023). Environmental waste</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and stock performance: Evidence from South Korea. </w:t>
      </w:r>
      <w:r w:rsidRPr="003805DD">
        <w:rPr>
          <w:rFonts w:ascii="Times New Roman" w:eastAsia="Times New Roman" w:hAnsi="Times New Roman" w:cs="Times New Roman"/>
          <w:i/>
          <w:iCs/>
          <w:sz w:val="24"/>
          <w:szCs w:val="24"/>
        </w:rPr>
        <w:t>Asian Journal of Sustainability and Social Responsibility, 8</w:t>
      </w:r>
      <w:r w:rsidRPr="003805DD">
        <w:rPr>
          <w:rFonts w:ascii="Times New Roman" w:eastAsia="Times New Roman" w:hAnsi="Times New Roman" w:cs="Times New Roman"/>
          <w:sz w:val="24"/>
          <w:szCs w:val="24"/>
        </w:rPr>
        <w:t xml:space="preserve">(1), 21–38. </w:t>
      </w:r>
      <w:hyperlink r:id="rId17" w:tgtFrame="_new" w:history="1">
        <w:r w:rsidRPr="003805DD">
          <w:rPr>
            <w:rFonts w:ascii="Times New Roman" w:eastAsia="Times New Roman" w:hAnsi="Times New Roman" w:cs="Times New Roman"/>
            <w:color w:val="0000FF"/>
            <w:sz w:val="24"/>
            <w:szCs w:val="24"/>
            <w:u w:val="single"/>
          </w:rPr>
          <w:t>https://doi.org/10.1007/s41180-023-00123-4</w:t>
        </w:r>
      </w:hyperlink>
    </w:p>
    <w:p w14:paraId="3D57B4F2"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Kolawole, T. O., Oladele, R. O., &amp; Ajayi, K. S. (2023). Environmental accounting practices and financial performance of aviation firms in Nigeria. </w:t>
      </w:r>
      <w:r w:rsidRPr="003805DD">
        <w:rPr>
          <w:rFonts w:ascii="Times New Roman" w:eastAsia="Times New Roman" w:hAnsi="Times New Roman" w:cs="Times New Roman"/>
          <w:i/>
          <w:iCs/>
          <w:sz w:val="24"/>
          <w:szCs w:val="24"/>
        </w:rPr>
        <w:t>African Journal of Business and Economic Research, 18</w:t>
      </w:r>
      <w:r w:rsidRPr="003805DD">
        <w:rPr>
          <w:rFonts w:ascii="Times New Roman" w:eastAsia="Times New Roman" w:hAnsi="Times New Roman" w:cs="Times New Roman"/>
          <w:sz w:val="24"/>
          <w:szCs w:val="24"/>
        </w:rPr>
        <w:t>(2), 55–74.</w:t>
      </w:r>
    </w:p>
    <w:p w14:paraId="68C580DA"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 xml:space="preserve">Liu, Y., &amp; Wang, L. (2023). Environmental waste management and firm financial performance: A longitudinal analysis of Chinese firms. </w:t>
      </w:r>
      <w:r w:rsidRPr="003805DD">
        <w:rPr>
          <w:rFonts w:ascii="Times New Roman" w:eastAsia="Times New Roman" w:hAnsi="Times New Roman" w:cs="Times New Roman"/>
          <w:i/>
          <w:iCs/>
          <w:sz w:val="24"/>
          <w:szCs w:val="24"/>
        </w:rPr>
        <w:t>Sustainability, 15</w:t>
      </w:r>
      <w:r w:rsidRPr="003805DD">
        <w:rPr>
          <w:rFonts w:ascii="Times New Roman" w:eastAsia="Times New Roman" w:hAnsi="Times New Roman" w:cs="Times New Roman"/>
          <w:sz w:val="24"/>
          <w:szCs w:val="24"/>
        </w:rPr>
        <w:t xml:space="preserve">(4), 2149. </w:t>
      </w:r>
      <w:hyperlink r:id="rId18" w:tgtFrame="_new" w:history="1">
        <w:r w:rsidRPr="003805DD">
          <w:rPr>
            <w:rFonts w:ascii="Times New Roman" w:eastAsia="Times New Roman" w:hAnsi="Times New Roman" w:cs="Times New Roman"/>
            <w:color w:val="0000FF"/>
            <w:sz w:val="24"/>
            <w:szCs w:val="24"/>
            <w:u w:val="single"/>
          </w:rPr>
          <w:t>https://doi.org/10.3390/su15042149</w:t>
        </w:r>
      </w:hyperlink>
    </w:p>
    <w:p w14:paraId="7BED1C55" w14:textId="6ABE4F8C"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Matovu, C., &amp; Ssempijja, A. (2023). Environmental</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and financial performance of manufacturing firms in Uganda. </w:t>
      </w:r>
      <w:r w:rsidRPr="003805DD">
        <w:rPr>
          <w:rFonts w:ascii="Times New Roman" w:eastAsia="Times New Roman" w:hAnsi="Times New Roman" w:cs="Times New Roman"/>
          <w:i/>
          <w:iCs/>
          <w:sz w:val="24"/>
          <w:szCs w:val="24"/>
        </w:rPr>
        <w:t>East African Journal of Economics, Finance and Business, 10</w:t>
      </w:r>
      <w:r w:rsidRPr="003805DD">
        <w:rPr>
          <w:rFonts w:ascii="Times New Roman" w:eastAsia="Times New Roman" w:hAnsi="Times New Roman" w:cs="Times New Roman"/>
          <w:sz w:val="24"/>
          <w:szCs w:val="24"/>
        </w:rPr>
        <w:t>(1), 101–118.</w:t>
      </w:r>
    </w:p>
    <w:p w14:paraId="5264F3B8" w14:textId="42AD6A61"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Nguyen, T. D., &amp; Pham, H. L. (2023). The role of waste management</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in enhancing financial performance: Evidence from Vietnam. </w:t>
      </w:r>
      <w:r w:rsidRPr="003805DD">
        <w:rPr>
          <w:rFonts w:ascii="Times New Roman" w:eastAsia="Times New Roman" w:hAnsi="Times New Roman" w:cs="Times New Roman"/>
          <w:i/>
          <w:iCs/>
          <w:sz w:val="24"/>
          <w:szCs w:val="24"/>
        </w:rPr>
        <w:t>Journal of Sustainable Accounting and Management, 9</w:t>
      </w:r>
      <w:r w:rsidRPr="003805DD">
        <w:rPr>
          <w:rFonts w:ascii="Times New Roman" w:eastAsia="Times New Roman" w:hAnsi="Times New Roman" w:cs="Times New Roman"/>
          <w:sz w:val="24"/>
          <w:szCs w:val="24"/>
        </w:rPr>
        <w:t>(1), 33–48.</w:t>
      </w:r>
    </w:p>
    <w:p w14:paraId="05E6CA04" w14:textId="7777777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proofErr w:type="spellStart"/>
      <w:r w:rsidRPr="003805DD">
        <w:rPr>
          <w:rFonts w:ascii="Times New Roman" w:eastAsia="Times New Roman" w:hAnsi="Times New Roman" w:cs="Times New Roman"/>
          <w:sz w:val="24"/>
          <w:szCs w:val="24"/>
        </w:rPr>
        <w:t>Nurshabrina</w:t>
      </w:r>
      <w:proofErr w:type="spellEnd"/>
      <w:r w:rsidRPr="003805DD">
        <w:rPr>
          <w:rFonts w:ascii="Times New Roman" w:eastAsia="Times New Roman" w:hAnsi="Times New Roman" w:cs="Times New Roman"/>
          <w:sz w:val="24"/>
          <w:szCs w:val="24"/>
        </w:rPr>
        <w:t xml:space="preserve">, A. I., Putri, D. A., &amp; </w:t>
      </w:r>
      <w:proofErr w:type="spellStart"/>
      <w:r w:rsidRPr="003805DD">
        <w:rPr>
          <w:rFonts w:ascii="Times New Roman" w:eastAsia="Times New Roman" w:hAnsi="Times New Roman" w:cs="Times New Roman"/>
          <w:sz w:val="24"/>
          <w:szCs w:val="24"/>
        </w:rPr>
        <w:t>Rachmawati</w:t>
      </w:r>
      <w:proofErr w:type="spellEnd"/>
      <w:r w:rsidRPr="003805DD">
        <w:rPr>
          <w:rFonts w:ascii="Times New Roman" w:eastAsia="Times New Roman" w:hAnsi="Times New Roman" w:cs="Times New Roman"/>
          <w:sz w:val="24"/>
          <w:szCs w:val="24"/>
        </w:rPr>
        <w:t xml:space="preserve">, R. (2024). The effect of sustainability report on financial performance of PT Jamkrindo. </w:t>
      </w:r>
      <w:r w:rsidRPr="003805DD">
        <w:rPr>
          <w:rFonts w:ascii="Times New Roman" w:eastAsia="Times New Roman" w:hAnsi="Times New Roman" w:cs="Times New Roman"/>
          <w:i/>
          <w:iCs/>
          <w:sz w:val="24"/>
          <w:szCs w:val="24"/>
        </w:rPr>
        <w:t>Journal of Sustainability and Management Studies, 5</w:t>
      </w:r>
      <w:r w:rsidRPr="003805DD">
        <w:rPr>
          <w:rFonts w:ascii="Times New Roman" w:eastAsia="Times New Roman" w:hAnsi="Times New Roman" w:cs="Times New Roman"/>
          <w:sz w:val="24"/>
          <w:szCs w:val="24"/>
        </w:rPr>
        <w:t>(2), 44–56.</w:t>
      </w:r>
    </w:p>
    <w:p w14:paraId="01E0ABB6" w14:textId="7E7AA6C7" w:rsidR="00E57B83" w:rsidRPr="003805DD" w:rsidRDefault="00E57B83" w:rsidP="003805DD">
      <w:pPr>
        <w:spacing w:after="0" w:line="240" w:lineRule="auto"/>
        <w:ind w:left="720" w:hanging="720"/>
        <w:jc w:val="both"/>
        <w:rPr>
          <w:rFonts w:ascii="Times New Roman" w:eastAsia="Times New Roman" w:hAnsi="Times New Roman" w:cs="Times New Roman"/>
          <w:sz w:val="24"/>
          <w:szCs w:val="24"/>
        </w:rPr>
      </w:pPr>
      <w:r w:rsidRPr="003805DD">
        <w:rPr>
          <w:rFonts w:ascii="Times New Roman" w:eastAsia="Times New Roman" w:hAnsi="Times New Roman" w:cs="Times New Roman"/>
          <w:sz w:val="24"/>
          <w:szCs w:val="24"/>
        </w:rPr>
        <w:t>Okeke, A. E., &amp; Nnadi, O. A. (2023). Environmental waste</w:t>
      </w:r>
      <w:r w:rsidR="00FD7697">
        <w:rPr>
          <w:rFonts w:ascii="Times New Roman" w:eastAsia="Times New Roman" w:hAnsi="Times New Roman" w:cs="Times New Roman"/>
          <w:sz w:val="24"/>
          <w:szCs w:val="24"/>
        </w:rPr>
        <w:t xml:space="preserve"> practice </w:t>
      </w:r>
      <w:r w:rsidRPr="003805DD">
        <w:rPr>
          <w:rFonts w:ascii="Times New Roman" w:eastAsia="Times New Roman" w:hAnsi="Times New Roman" w:cs="Times New Roman"/>
          <w:sz w:val="24"/>
          <w:szCs w:val="24"/>
        </w:rPr>
        <w:t xml:space="preserve">and firm profitability: A Nigerian perspective. </w:t>
      </w:r>
      <w:r w:rsidRPr="003805DD">
        <w:rPr>
          <w:rFonts w:ascii="Times New Roman" w:eastAsia="Times New Roman" w:hAnsi="Times New Roman" w:cs="Times New Roman"/>
          <w:i/>
          <w:iCs/>
          <w:sz w:val="24"/>
          <w:szCs w:val="24"/>
        </w:rPr>
        <w:t>International Journal of Business and Management Research, 11</w:t>
      </w:r>
      <w:r w:rsidRPr="003805DD">
        <w:rPr>
          <w:rFonts w:ascii="Times New Roman" w:eastAsia="Times New Roman" w:hAnsi="Times New Roman" w:cs="Times New Roman"/>
          <w:sz w:val="24"/>
          <w:szCs w:val="24"/>
        </w:rPr>
        <w:t>(3), 77–90.</w:t>
      </w:r>
    </w:p>
    <w:p w14:paraId="232817B2" w14:textId="77777777" w:rsidR="00E57B83" w:rsidRPr="003805DD" w:rsidRDefault="00E57B83" w:rsidP="003805DD">
      <w:pPr>
        <w:pStyle w:val="NormalWeb"/>
        <w:spacing w:before="0" w:beforeAutospacing="0" w:after="0" w:afterAutospacing="0"/>
      </w:pPr>
    </w:p>
    <w:p w14:paraId="5421D272" w14:textId="77777777" w:rsidR="00B70D3A" w:rsidRDefault="00B70D3A" w:rsidP="009C6CAA">
      <w:pPr>
        <w:jc w:val="both"/>
      </w:pPr>
    </w:p>
    <w:sectPr w:rsidR="00B70D3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F1287" w14:textId="77777777" w:rsidR="00EB2BD3" w:rsidRDefault="00EB2BD3" w:rsidP="0056567D">
      <w:pPr>
        <w:spacing w:after="0" w:line="240" w:lineRule="auto"/>
      </w:pPr>
      <w:r>
        <w:separator/>
      </w:r>
    </w:p>
  </w:endnote>
  <w:endnote w:type="continuationSeparator" w:id="0">
    <w:p w14:paraId="7E6E70EE" w14:textId="77777777" w:rsidR="00EB2BD3" w:rsidRDefault="00EB2BD3" w:rsidP="0056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4C93A" w14:textId="77777777" w:rsidR="0056567D" w:rsidRDefault="0056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D4BC" w14:textId="77777777" w:rsidR="0056567D" w:rsidRDefault="00565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B054" w14:textId="77777777" w:rsidR="0056567D" w:rsidRDefault="00565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08296" w14:textId="77777777" w:rsidR="00EB2BD3" w:rsidRDefault="00EB2BD3" w:rsidP="0056567D">
      <w:pPr>
        <w:spacing w:after="0" w:line="240" w:lineRule="auto"/>
      </w:pPr>
      <w:r>
        <w:separator/>
      </w:r>
    </w:p>
  </w:footnote>
  <w:footnote w:type="continuationSeparator" w:id="0">
    <w:p w14:paraId="668E2E11" w14:textId="77777777" w:rsidR="00EB2BD3" w:rsidRDefault="00EB2BD3" w:rsidP="0056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44D03" w14:textId="39126AA0" w:rsidR="0056567D" w:rsidRDefault="0056567D">
    <w:pPr>
      <w:pStyle w:val="Header"/>
    </w:pPr>
    <w:r>
      <w:rPr>
        <w:noProof/>
      </w:rPr>
      <w:pict w14:anchorId="62A0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71084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775A" w14:textId="63D29DE2" w:rsidR="0056567D" w:rsidRDefault="0056567D">
    <w:pPr>
      <w:pStyle w:val="Header"/>
    </w:pPr>
    <w:r>
      <w:rPr>
        <w:noProof/>
      </w:rPr>
      <w:pict w14:anchorId="6AEB6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71084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FF01" w14:textId="32D5B0BC" w:rsidR="0056567D" w:rsidRDefault="0056567D">
    <w:pPr>
      <w:pStyle w:val="Header"/>
    </w:pPr>
    <w:r>
      <w:rPr>
        <w:noProof/>
      </w:rPr>
      <w:pict w14:anchorId="25867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71084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2833"/>
    <w:multiLevelType w:val="multilevel"/>
    <w:tmpl w:val="B4D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50F68"/>
    <w:multiLevelType w:val="singleLevel"/>
    <w:tmpl w:val="88E0685E"/>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3A3F4CD7"/>
    <w:multiLevelType w:val="hybridMultilevel"/>
    <w:tmpl w:val="0E204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066F5"/>
    <w:multiLevelType w:val="multilevel"/>
    <w:tmpl w:val="2FB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A2A4E"/>
    <w:multiLevelType w:val="multilevel"/>
    <w:tmpl w:val="6BF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20E7E"/>
    <w:multiLevelType w:val="hybridMultilevel"/>
    <w:tmpl w:val="476E9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F32C4"/>
    <w:multiLevelType w:val="multilevel"/>
    <w:tmpl w:val="A26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36270"/>
    <w:multiLevelType w:val="multilevel"/>
    <w:tmpl w:val="3BB8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8C2F65"/>
    <w:multiLevelType w:val="multilevel"/>
    <w:tmpl w:val="02F0284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9B317C"/>
    <w:multiLevelType w:val="multilevel"/>
    <w:tmpl w:val="56FA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93AA4"/>
    <w:multiLevelType w:val="hybridMultilevel"/>
    <w:tmpl w:val="D5D04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5"/>
  </w:num>
  <w:num w:numId="5">
    <w:abstractNumId w:val="0"/>
  </w:num>
  <w:num w:numId="6">
    <w:abstractNumId w:val="6"/>
  </w:num>
  <w:num w:numId="7">
    <w:abstractNumId w:val="3"/>
  </w:num>
  <w:num w:numId="8">
    <w:abstractNumId w:val="4"/>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AA"/>
    <w:rsid w:val="00151116"/>
    <w:rsid w:val="00163C53"/>
    <w:rsid w:val="00173902"/>
    <w:rsid w:val="001E4E58"/>
    <w:rsid w:val="002540F8"/>
    <w:rsid w:val="00277090"/>
    <w:rsid w:val="002C6570"/>
    <w:rsid w:val="0036257F"/>
    <w:rsid w:val="003805DD"/>
    <w:rsid w:val="0039711D"/>
    <w:rsid w:val="004F55BD"/>
    <w:rsid w:val="00521074"/>
    <w:rsid w:val="0054602B"/>
    <w:rsid w:val="0056567D"/>
    <w:rsid w:val="008D4D7C"/>
    <w:rsid w:val="00945A78"/>
    <w:rsid w:val="009A2964"/>
    <w:rsid w:val="009C6CAA"/>
    <w:rsid w:val="00B70D3A"/>
    <w:rsid w:val="00B86F0B"/>
    <w:rsid w:val="00C64BAB"/>
    <w:rsid w:val="00C7246D"/>
    <w:rsid w:val="00C85F28"/>
    <w:rsid w:val="00D95B31"/>
    <w:rsid w:val="00E31A81"/>
    <w:rsid w:val="00E57B83"/>
    <w:rsid w:val="00E81F96"/>
    <w:rsid w:val="00EB2BD3"/>
    <w:rsid w:val="00F636F9"/>
    <w:rsid w:val="00FC07C9"/>
    <w:rsid w:val="00FD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BF9A1"/>
  <w15:chartTrackingRefBased/>
  <w15:docId w15:val="{D3990BF8-7935-4F70-A1AC-C289767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CAA"/>
    <w:rPr>
      <w:b/>
      <w:bCs/>
    </w:rPr>
  </w:style>
  <w:style w:type="character" w:styleId="Hyperlink">
    <w:name w:val="Hyperlink"/>
    <w:basedOn w:val="DefaultParagraphFont"/>
    <w:uiPriority w:val="99"/>
    <w:unhideWhenUsed/>
    <w:rsid w:val="00E81F96"/>
    <w:rPr>
      <w:color w:val="0563C1" w:themeColor="hyperlink"/>
      <w:u w:val="single"/>
    </w:rPr>
  </w:style>
  <w:style w:type="paragraph" w:styleId="NoSpacing">
    <w:name w:val="No Spacing"/>
    <w:uiPriority w:val="1"/>
    <w:qFormat/>
    <w:rsid w:val="00E57B83"/>
    <w:pPr>
      <w:spacing w:after="0" w:line="240" w:lineRule="auto"/>
    </w:pPr>
  </w:style>
  <w:style w:type="character" w:styleId="Emphasis">
    <w:name w:val="Emphasis"/>
    <w:basedOn w:val="DefaultParagraphFont"/>
    <w:uiPriority w:val="20"/>
    <w:qFormat/>
    <w:rsid w:val="00E57B83"/>
    <w:rPr>
      <w:i/>
      <w:iCs/>
    </w:rPr>
  </w:style>
  <w:style w:type="paragraph" w:styleId="ListParagraph">
    <w:name w:val="List Paragraph"/>
    <w:basedOn w:val="Normal"/>
    <w:uiPriority w:val="34"/>
    <w:qFormat/>
    <w:rsid w:val="00E57B83"/>
    <w:pPr>
      <w:spacing w:after="0" w:line="240" w:lineRule="auto"/>
      <w:ind w:left="720"/>
      <w:contextualSpacing/>
      <w:jc w:val="both"/>
    </w:pPr>
    <w:rPr>
      <w:rFonts w:ascii="Times New Roman" w:eastAsia="SimSun" w:hAnsi="Times New Roman" w:cs="Times New Roman"/>
      <w:kern w:val="2"/>
      <w:sz w:val="21"/>
      <w:szCs w:val="24"/>
      <w:lang w:val="en-GB" w:eastAsia="en-GB"/>
    </w:rPr>
  </w:style>
  <w:style w:type="table" w:styleId="TableGrid">
    <w:name w:val="Table Grid"/>
    <w:basedOn w:val="TableNormal"/>
    <w:uiPriority w:val="39"/>
    <w:rsid w:val="00E57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1A81"/>
    <w:rPr>
      <w:color w:val="605E5C"/>
      <w:shd w:val="clear" w:color="auto" w:fill="E1DFDD"/>
    </w:rPr>
  </w:style>
  <w:style w:type="paragraph" w:styleId="Header">
    <w:name w:val="header"/>
    <w:basedOn w:val="Normal"/>
    <w:link w:val="HeaderChar"/>
    <w:uiPriority w:val="99"/>
    <w:unhideWhenUsed/>
    <w:rsid w:val="0056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D"/>
  </w:style>
  <w:style w:type="paragraph" w:styleId="Footer">
    <w:name w:val="footer"/>
    <w:basedOn w:val="Normal"/>
    <w:link w:val="FooterChar"/>
    <w:uiPriority w:val="99"/>
    <w:unhideWhenUsed/>
    <w:rsid w:val="0056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6425">
      <w:bodyDiv w:val="1"/>
      <w:marLeft w:val="0"/>
      <w:marRight w:val="0"/>
      <w:marTop w:val="0"/>
      <w:marBottom w:val="0"/>
      <w:divBdr>
        <w:top w:val="none" w:sz="0" w:space="0" w:color="auto"/>
        <w:left w:val="none" w:sz="0" w:space="0" w:color="auto"/>
        <w:bottom w:val="none" w:sz="0" w:space="0" w:color="auto"/>
        <w:right w:val="none" w:sz="0" w:space="0" w:color="auto"/>
      </w:divBdr>
      <w:divsChild>
        <w:div w:id="923298053">
          <w:marLeft w:val="0"/>
          <w:marRight w:val="0"/>
          <w:marTop w:val="0"/>
          <w:marBottom w:val="0"/>
          <w:divBdr>
            <w:top w:val="none" w:sz="0" w:space="0" w:color="auto"/>
            <w:left w:val="none" w:sz="0" w:space="0" w:color="auto"/>
            <w:bottom w:val="none" w:sz="0" w:space="0" w:color="auto"/>
            <w:right w:val="none" w:sz="0" w:space="0" w:color="auto"/>
          </w:divBdr>
          <w:divsChild>
            <w:div w:id="920527932">
              <w:marLeft w:val="0"/>
              <w:marRight w:val="0"/>
              <w:marTop w:val="0"/>
              <w:marBottom w:val="0"/>
              <w:divBdr>
                <w:top w:val="none" w:sz="0" w:space="0" w:color="auto"/>
                <w:left w:val="none" w:sz="0" w:space="0" w:color="auto"/>
                <w:bottom w:val="none" w:sz="0" w:space="0" w:color="auto"/>
                <w:right w:val="none" w:sz="0" w:space="0" w:color="auto"/>
              </w:divBdr>
              <w:divsChild>
                <w:div w:id="546184976">
                  <w:marLeft w:val="0"/>
                  <w:marRight w:val="0"/>
                  <w:marTop w:val="0"/>
                  <w:marBottom w:val="0"/>
                  <w:divBdr>
                    <w:top w:val="none" w:sz="0" w:space="0" w:color="auto"/>
                    <w:left w:val="none" w:sz="0" w:space="0" w:color="auto"/>
                    <w:bottom w:val="none" w:sz="0" w:space="0" w:color="auto"/>
                    <w:right w:val="none" w:sz="0" w:space="0" w:color="auto"/>
                  </w:divBdr>
                  <w:divsChild>
                    <w:div w:id="1310859757">
                      <w:marLeft w:val="0"/>
                      <w:marRight w:val="0"/>
                      <w:marTop w:val="0"/>
                      <w:marBottom w:val="0"/>
                      <w:divBdr>
                        <w:top w:val="none" w:sz="0" w:space="0" w:color="auto"/>
                        <w:left w:val="none" w:sz="0" w:space="0" w:color="auto"/>
                        <w:bottom w:val="none" w:sz="0" w:space="0" w:color="auto"/>
                        <w:right w:val="none" w:sz="0" w:space="0" w:color="auto"/>
                      </w:divBdr>
                      <w:divsChild>
                        <w:div w:id="639456687">
                          <w:marLeft w:val="0"/>
                          <w:marRight w:val="0"/>
                          <w:marTop w:val="0"/>
                          <w:marBottom w:val="0"/>
                          <w:divBdr>
                            <w:top w:val="none" w:sz="0" w:space="0" w:color="auto"/>
                            <w:left w:val="none" w:sz="0" w:space="0" w:color="auto"/>
                            <w:bottom w:val="none" w:sz="0" w:space="0" w:color="auto"/>
                            <w:right w:val="none" w:sz="0" w:space="0" w:color="auto"/>
                          </w:divBdr>
                          <w:divsChild>
                            <w:div w:id="1690329559">
                              <w:marLeft w:val="0"/>
                              <w:marRight w:val="0"/>
                              <w:marTop w:val="0"/>
                              <w:marBottom w:val="0"/>
                              <w:divBdr>
                                <w:top w:val="none" w:sz="0" w:space="0" w:color="auto"/>
                                <w:left w:val="none" w:sz="0" w:space="0" w:color="auto"/>
                                <w:bottom w:val="none" w:sz="0" w:space="0" w:color="auto"/>
                                <w:right w:val="none" w:sz="0" w:space="0" w:color="auto"/>
                              </w:divBdr>
                              <w:divsChild>
                                <w:div w:id="550638">
                                  <w:marLeft w:val="0"/>
                                  <w:marRight w:val="0"/>
                                  <w:marTop w:val="0"/>
                                  <w:marBottom w:val="0"/>
                                  <w:divBdr>
                                    <w:top w:val="none" w:sz="0" w:space="0" w:color="auto"/>
                                    <w:left w:val="none" w:sz="0" w:space="0" w:color="auto"/>
                                    <w:bottom w:val="none" w:sz="0" w:space="0" w:color="auto"/>
                                    <w:right w:val="none" w:sz="0" w:space="0" w:color="auto"/>
                                  </w:divBdr>
                                  <w:divsChild>
                                    <w:div w:id="19355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afr.v12n3p45" TargetMode="External"/><Relationship Id="rId13" Type="http://schemas.openxmlformats.org/officeDocument/2006/relationships/hyperlink" Target="https://scispace.com/papers/application-green-accounting-to-sustainable-development-9jprpxyx" TargetMode="External"/><Relationship Id="rId18" Type="http://schemas.openxmlformats.org/officeDocument/2006/relationships/hyperlink" Target="https://doi.org/10.3390/su1504214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space.com/papers/green-accounting-financial-performance-and-company-value-a-3rbdzqolkz" TargetMode="External"/><Relationship Id="rId12" Type="http://schemas.openxmlformats.org/officeDocument/2006/relationships/hyperlink" Target="https://scispace.com/papers/leveraging-green-accounting-for-sustainable-development-4qt4jhemqa52" TargetMode="External"/><Relationship Id="rId17" Type="http://schemas.openxmlformats.org/officeDocument/2006/relationships/hyperlink" Target="https://doi.org/10.1007/s41180-023-0012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clepro.2023.13778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20.12545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cispace.com/papers/green-accounting-and-sustainable-performance-of-micro-small-4fwuaey8tw" TargetMode="External"/><Relationship Id="rId23" Type="http://schemas.openxmlformats.org/officeDocument/2006/relationships/header" Target="header3.xml"/><Relationship Id="rId10" Type="http://schemas.openxmlformats.org/officeDocument/2006/relationships/hyperlink" Target="https://doi.org/10.1177/014920639101150010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lafrica.com" TargetMode="External"/><Relationship Id="rId14" Type="http://schemas.openxmlformats.org/officeDocument/2006/relationships/hyperlink" Target="https://scispace.com/papers/a-review-on-green-accounting-practices-and-sustainable-3okiis0wl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20</Pages>
  <Words>8491</Words>
  <Characters>48403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16</cp:revision>
  <cp:lastPrinted>2026-03-02T10:31:00Z</cp:lastPrinted>
  <dcterms:created xsi:type="dcterms:W3CDTF">2025-05-23T13:29:00Z</dcterms:created>
  <dcterms:modified xsi:type="dcterms:W3CDTF">2026-03-04T10:12:00Z</dcterms:modified>
</cp:coreProperties>
</file>