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32134B" w:rsidRPr="00A0781F" w:rsidRDefault="0032134B" w:rsidP="0032134B">
      <w:pPr>
        <w:pStyle w:val="Author"/>
        <w:rPr>
          <w:rFonts w:ascii="Arial" w:hAnsi="Arial" w:cs="Arial"/>
          <w:bCs/>
          <w:iCs/>
          <w:kern w:val="28"/>
          <w:sz w:val="20"/>
          <w:lang w:val="sv-SE"/>
        </w:rPr>
      </w:pPr>
      <w:r w:rsidRPr="00A0781F">
        <w:rPr>
          <w:rFonts w:ascii="Arial" w:hAnsi="Arial" w:cs="Arial"/>
          <w:bCs/>
          <w:iCs/>
          <w:kern w:val="28"/>
          <w:sz w:val="20"/>
          <w:lang w:val="id"/>
        </w:rPr>
        <w:t>The Determinants of Investment Intention in Surabaya Capital Market</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uthor"/>
        <w:spacing w:line="240" w:lineRule="auto"/>
        <w:rPr>
          <w:rFonts w:ascii="Arial" w:hAnsi="Arial" w:cs="Arial"/>
        </w:rPr>
      </w:pPr>
    </w:p>
    <w:p w:rsidR="00B01FCD" w:rsidRPr="0032134B" w:rsidRDefault="00B01FCD" w:rsidP="00441B6F">
      <w:pPr>
        <w:pStyle w:val="Affiliation"/>
        <w:spacing w:after="0" w:line="240" w:lineRule="auto"/>
        <w:rPr>
          <w:rFonts w:ascii="Arial" w:hAnsi="Arial" w:cs="Arial"/>
          <w:i/>
        </w:rPr>
      </w:pPr>
    </w:p>
    <w:p w:rsidR="002C57D2" w:rsidRDefault="007D2C8C" w:rsidP="007D2C8C">
      <w:pPr>
        <w:pStyle w:val="Affiliation"/>
        <w:tabs>
          <w:tab w:val="left" w:pos="3235"/>
        </w:tabs>
        <w:spacing w:after="0" w:line="240" w:lineRule="auto"/>
        <w:jc w:val="both"/>
        <w:rPr>
          <w:rFonts w:ascii="Arial" w:hAnsi="Arial" w:cs="Arial"/>
        </w:rPr>
      </w:pPr>
      <w:r>
        <w:rPr>
          <w:rFonts w:ascii="Arial" w:hAnsi="Arial" w:cs="Arial"/>
        </w:rPr>
        <w:tab/>
      </w:r>
    </w:p>
    <w:p w:rsidR="005E0752" w:rsidRPr="00FB3A86" w:rsidRDefault="005E0752" w:rsidP="00441B6F">
      <w:pPr>
        <w:pStyle w:val="Affiliation"/>
        <w:spacing w:after="0" w:line="240" w:lineRule="auto"/>
        <w:jc w:val="both"/>
        <w:rPr>
          <w:rFonts w:ascii="Arial" w:hAnsi="Arial" w:cs="Arial"/>
        </w:rPr>
      </w:pPr>
    </w:p>
    <w:p w:rsidR="00B01FCD" w:rsidRPr="00FB3A86" w:rsidRDefault="00592262" w:rsidP="00441B6F">
      <w:pPr>
        <w:pStyle w:val="Copyright"/>
        <w:spacing w:after="0" w:line="240" w:lineRule="auto"/>
        <w:jc w:val="both"/>
        <w:rPr>
          <w:rFonts w:ascii="Arial" w:hAnsi="Arial" w:cs="Arial"/>
        </w:rPr>
        <w:sectPr w:rsidR="00B01FCD" w:rsidRPr="00FB3A86" w:rsidSect="007468A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szCs w:val="22"/>
              </w:rPr>
            </w:pPr>
            <w:r w:rsidRPr="00E3114E">
              <w:rPr>
                <w:rFonts w:ascii="Arial" w:eastAsia="Calibri" w:hAnsi="Arial" w:cs="Arial"/>
                <w:szCs w:val="22"/>
              </w:rPr>
              <w:t>.</w:t>
            </w:r>
          </w:p>
          <w:p w:rsidR="00E3114E" w:rsidRPr="00E3114E" w:rsidRDefault="00E3114E" w:rsidP="00441B6F">
            <w:pPr>
              <w:pStyle w:val="Body"/>
              <w:spacing w:after="0"/>
              <w:rPr>
                <w:rFonts w:ascii="Arial" w:eastAsia="Calibri" w:hAnsi="Arial" w:cs="Arial"/>
                <w:szCs w:val="22"/>
              </w:rPr>
            </w:pPr>
            <w:r w:rsidRPr="00E3114E">
              <w:rPr>
                <w:rFonts w:ascii="Arial" w:eastAsia="Calibri" w:hAnsi="Arial" w:cs="Arial"/>
                <w:szCs w:val="22"/>
              </w:rPr>
              <w:t>SAMPLE ABSTRACT:</w:t>
            </w:r>
          </w:p>
          <w:p w:rsidR="00E3114E" w:rsidRDefault="00E3114E" w:rsidP="00441B6F">
            <w:pPr>
              <w:pStyle w:val="Body"/>
              <w:spacing w:after="0"/>
              <w:rPr>
                <w:rFonts w:ascii="Arial" w:eastAsia="Calibri" w:hAnsi="Arial" w:cs="Arial"/>
                <w:b/>
                <w:szCs w:val="22"/>
              </w:rPr>
            </w:pP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2134B" w:rsidRPr="0032134B">
              <w:rPr>
                <w:rFonts w:ascii="Arial" w:eastAsia="Calibri" w:hAnsi="Arial" w:cs="Arial"/>
                <w:szCs w:val="22"/>
              </w:rPr>
              <w:t>This research is therefore conducted by testing and analyzing the variables of financial attitude, subjective norms, financial self-efficacy, and financial knowledge on investment intention.</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2134B" w:rsidRPr="0032134B">
              <w:rPr>
                <w:rFonts w:ascii="Arial" w:eastAsia="Calibri" w:hAnsi="Arial" w:cs="Arial"/>
                <w:szCs w:val="22"/>
              </w:rPr>
              <w:t>This research type is comparative causal research. The population was all investors in Surabaya City.</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2134B" w:rsidRPr="0032134B">
              <w:rPr>
                <w:rFonts w:ascii="Arial" w:eastAsia="Calibri" w:hAnsi="Arial" w:cs="Arial"/>
                <w:szCs w:val="22"/>
              </w:rPr>
              <w:t>The sampling technique used accidental sampling. The analysis technique used is structural equation modeling (SEM) with Amos 24 software.</w:t>
            </w:r>
          </w:p>
          <w:p w:rsidR="0032134B"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2134B" w:rsidRPr="0032134B">
              <w:rPr>
                <w:rFonts w:ascii="Arial" w:eastAsia="Calibri" w:hAnsi="Arial" w:cs="Arial"/>
                <w:szCs w:val="22"/>
              </w:rPr>
              <w:t>These tests and analyz</w:t>
            </w:r>
            <w:bookmarkStart w:id="0" w:name="_GoBack"/>
            <w:bookmarkEnd w:id="0"/>
            <w:r w:rsidR="0032134B" w:rsidRPr="0032134B">
              <w:rPr>
                <w:rFonts w:ascii="Arial" w:eastAsia="Calibri" w:hAnsi="Arial" w:cs="Arial"/>
                <w:szCs w:val="22"/>
              </w:rPr>
              <w:t>es are carried out directly and indirectly or through mediated relationships through financial attitude and financial self-efficacy.</w:t>
            </w:r>
          </w:p>
          <w:p w:rsidR="0032134B"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2134B" w:rsidRPr="0032134B">
              <w:rPr>
                <w:rFonts w:ascii="Arial" w:eastAsia="Calibri" w:hAnsi="Arial" w:cs="Arial"/>
                <w:szCs w:val="22"/>
              </w:rPr>
              <w:t>The conclusion is that financial attitude has a positive and significant effect on investment intentions. Subjective norms have a positive and insignificant effect on investment intentions in the capital market. Financial self-efficacy has a positive and insignificant effect on investment intentions in the capital market. Financial knowledge has a positive and significant effect on investment intentions in the capital market. Financial knowledge has a positive and significant effect on financial attitude in the capital market. Personality traits have a positive and insignificant effect on investment intentions in the capital market. Personality traits have a positive and significant effect on financial self-efficacy. Financial knowledge on investment intention mediated by financial attitude has a significant relationship. Personality traits on investment intention mediated by financial self-efficacy are not significant.</w:t>
            </w:r>
          </w:p>
          <w:p w:rsidR="00505F06" w:rsidRPr="00BA1B01" w:rsidRDefault="00BA1B01" w:rsidP="0032134B">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2134B" w:rsidRPr="0032134B">
              <w:rPr>
                <w:rFonts w:ascii="Arial" w:eastAsia="Calibri" w:hAnsi="Arial" w:cs="Arial"/>
                <w:szCs w:val="22"/>
              </w:rPr>
              <w:t>The contributions of this research are expected to facilitate further understanding of the factors that influence investment intentions, especially in Surabaya, and enrich the financial behavior literature with adjustments and additional variables in the Theory of Planned Behavior (TPB) framework.</w:t>
            </w:r>
          </w:p>
        </w:tc>
      </w:tr>
    </w:tbl>
    <w:p w:rsidR="00636EB2" w:rsidRDefault="00636EB2" w:rsidP="00441B6F">
      <w:pPr>
        <w:pStyle w:val="Body"/>
        <w:spacing w:after="0"/>
        <w:rPr>
          <w:rFonts w:ascii="Arial" w:hAnsi="Arial" w:cs="Arial"/>
          <w:i/>
        </w:rPr>
      </w:pPr>
    </w:p>
    <w:p w:rsidR="00790ADA" w:rsidRPr="0032134B" w:rsidRDefault="00A24E7E" w:rsidP="0032134B">
      <w:pPr>
        <w:pStyle w:val="Body"/>
        <w:rPr>
          <w:rFonts w:ascii="Arial" w:hAnsi="Arial" w:cs="Arial"/>
          <w:i/>
          <w:iCs/>
          <w:lang w:val="id-ID"/>
        </w:rPr>
      </w:pPr>
      <w:r>
        <w:rPr>
          <w:rFonts w:ascii="Arial" w:hAnsi="Arial" w:cs="Arial"/>
          <w:i/>
        </w:rPr>
        <w:t xml:space="preserve">Keywords: </w:t>
      </w:r>
      <w:r w:rsidR="0032134B" w:rsidRPr="0032134B">
        <w:rPr>
          <w:rFonts w:ascii="Arial" w:hAnsi="Arial" w:cs="Arial"/>
          <w:i/>
          <w:iCs/>
          <w:lang w:val="id-ID"/>
        </w:rPr>
        <w:t xml:space="preserve">Financial </w:t>
      </w:r>
      <w:proofErr w:type="gramStart"/>
      <w:r w:rsidR="0032134B" w:rsidRPr="0032134B">
        <w:rPr>
          <w:rFonts w:ascii="Arial" w:hAnsi="Arial" w:cs="Arial"/>
          <w:i/>
          <w:iCs/>
          <w:lang w:val="id-ID"/>
        </w:rPr>
        <w:t>Attitude;</w:t>
      </w:r>
      <w:r w:rsidR="0032134B">
        <w:rPr>
          <w:rFonts w:ascii="Arial" w:hAnsi="Arial" w:cs="Arial"/>
          <w:i/>
          <w:iCs/>
        </w:rPr>
        <w:t>,</w:t>
      </w:r>
      <w:proofErr w:type="gramEnd"/>
      <w:r w:rsidR="0032134B" w:rsidRPr="0032134B">
        <w:rPr>
          <w:rFonts w:ascii="Arial" w:hAnsi="Arial" w:cs="Arial"/>
          <w:i/>
          <w:iCs/>
          <w:lang w:val="id-ID"/>
        </w:rPr>
        <w:t>Financial Self-efficacy;Financial Knowledge;Investment Intentions;Personality Traits.</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1844F8" w:rsidRDefault="00790ADA" w:rsidP="00441B6F">
      <w:pPr>
        <w:pStyle w:val="AbstHead"/>
        <w:spacing w:after="0"/>
        <w:jc w:val="both"/>
        <w:rPr>
          <w:rFonts w:ascii="Arial" w:hAnsi="Arial" w:cs="Arial"/>
          <w:b w:val="0"/>
          <w:bCs/>
        </w:rPr>
      </w:pPr>
    </w:p>
    <w:p w:rsidR="001844F8" w:rsidRPr="001844F8" w:rsidRDefault="001844F8" w:rsidP="001844F8">
      <w:pPr>
        <w:pStyle w:val="Body"/>
        <w:rPr>
          <w:rFonts w:ascii="Arial" w:hAnsi="Arial" w:cs="Arial"/>
        </w:rPr>
      </w:pPr>
      <w:r w:rsidRPr="001844F8">
        <w:rPr>
          <w:rFonts w:ascii="Arial" w:hAnsi="Arial" w:cs="Arial"/>
        </w:rPr>
        <w:t xml:space="preserve">Indonesian capital market investors grew 89.58% to 7.3 million SID. This number is the consolidated number of SIDs consisting of investors in shares, debt securities, mutual funds, government securities (SBN) and other types of securities registered at KSEI, with a composition of 3.4 million SIDs who have stock assets, 6.7 million SIDs have mutual fund assets and 607 thousand SIDs have SBN assets. The demographic data for investors in Indonesia is currently dominated by 62.55% men, 59.84% under 30 years old, 32.88% </w:t>
      </w:r>
      <w:r w:rsidRPr="001844F8">
        <w:rPr>
          <w:rFonts w:ascii="Arial" w:hAnsi="Arial" w:cs="Arial"/>
        </w:rPr>
        <w:lastRenderedPageBreak/>
        <w:t xml:space="preserve">private employees, 58.33% undergraduate graduates, 36.25% earning 10-100 million/month and 69.84% live on the island of Java </w:t>
      </w:r>
      <w:r w:rsidRPr="001844F8">
        <w:rPr>
          <w:rFonts w:ascii="Arial" w:hAnsi="Arial" w:cs="Arial"/>
        </w:rPr>
        <w:fldChar w:fldCharType="begin" w:fldLock="1"/>
      </w:r>
      <w:r w:rsidRPr="001844F8">
        <w:rPr>
          <w:rFonts w:ascii="Arial" w:hAnsi="Arial" w:cs="Arial"/>
        </w:rPr>
        <w:instrText>ADDIN CSL_CITATION {"citationItems":[{"id":"ITEM-1","itemData":{"author":[{"dropping-particle":"","family":"KSEI","given":"","non-dropping-particle":"","parse-names":false,"suffix":""}],"id":"ITEM-1","issued":{"date-parts":[["2021"]]},"number-of-pages":"4-7","title":"Bertepatan Dengan Usia 24 Tahun , KSEI Raih Gelar Kustodian Sentral Terbaik dan Sub Registry Terbaik","type":"report"},"uris":["http://www.mendeley.com/documents/?uuid=2b96aadc-9853-43c1-a410-5088d7a39dfe"]}],"mendeley":{"formattedCitation":"(KSEI, 2021)","plainTextFormattedCitation":"(KSEI, 2021)","previouslyFormattedCitation":"(KSEI, 2021)"},"properties":{"noteIndex":0},"schema":"https://github.com/citation-style-language/schema/raw/master/csl-citation.json"}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(KSEI, 2021)</w:t>
      </w:r>
      <w:r w:rsidRPr="001844F8">
        <w:rPr>
          <w:rFonts w:ascii="Arial" w:hAnsi="Arial" w:cs="Arial"/>
        </w:rPr>
        <w:fldChar w:fldCharType="end"/>
      </w:r>
      <w:r w:rsidRPr="001844F8">
        <w:rPr>
          <w:rFonts w:ascii="Arial" w:hAnsi="Arial" w:cs="Arial"/>
        </w:rPr>
        <w:t>.</w:t>
      </w:r>
    </w:p>
    <w:p w:rsidR="001844F8" w:rsidRPr="001844F8" w:rsidRDefault="001844F8" w:rsidP="001844F8">
      <w:pPr>
        <w:pStyle w:val="Body"/>
        <w:jc w:val="center"/>
        <w:rPr>
          <w:rFonts w:ascii="Arial" w:hAnsi="Arial" w:cs="Arial"/>
        </w:rPr>
      </w:pPr>
      <w:r w:rsidRPr="001844F8">
        <w:rPr>
          <w:rFonts w:ascii="Arial" w:hAnsi="Arial" w:cs="Arial"/>
          <w:b/>
          <w:bCs/>
        </w:rPr>
        <w:t xml:space="preserve">Graph </w:t>
      </w:r>
      <w:proofErr w:type="gramStart"/>
      <w:r w:rsidRPr="001844F8">
        <w:rPr>
          <w:rFonts w:ascii="Arial" w:hAnsi="Arial" w:cs="Arial"/>
          <w:b/>
          <w:bCs/>
        </w:rPr>
        <w:t>1.</w:t>
      </w:r>
      <w:r w:rsidRPr="001844F8">
        <w:rPr>
          <w:rFonts w:ascii="Arial" w:hAnsi="Arial" w:cs="Arial"/>
        </w:rPr>
        <w:t>The</w:t>
      </w:r>
      <w:proofErr w:type="gramEnd"/>
      <w:r w:rsidRPr="001844F8">
        <w:rPr>
          <w:rFonts w:ascii="Arial" w:hAnsi="Arial" w:cs="Arial"/>
        </w:rPr>
        <w:t xml:space="preserve"> Number of Capital Market Investors in Indonesia</w:t>
      </w:r>
    </w:p>
    <w:p w:rsidR="001844F8" w:rsidRPr="001844F8" w:rsidRDefault="001844F8" w:rsidP="001844F8">
      <w:pPr>
        <w:pStyle w:val="Body"/>
        <w:jc w:val="center"/>
        <w:rPr>
          <w:rFonts w:ascii="Arial" w:hAnsi="Arial" w:cs="Arial"/>
        </w:rPr>
      </w:pPr>
      <w:r w:rsidRPr="001844F8">
        <w:rPr>
          <w:rFonts w:ascii="Arial" w:hAnsi="Arial" w:cs="Arial"/>
          <w:noProof/>
        </w:rPr>
        <w:drawing>
          <wp:inline distT="0" distB="0" distL="0" distR="0" wp14:anchorId="785B7AAB" wp14:editId="687DE091">
            <wp:extent cx="2464435" cy="140460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13574"/>
                    <a:stretch/>
                  </pic:blipFill>
                  <pic:spPr bwMode="auto">
                    <a:xfrm>
                      <a:off x="0" y="0"/>
                      <a:ext cx="2555313" cy="1456401"/>
                    </a:xfrm>
                    <a:prstGeom prst="rect">
                      <a:avLst/>
                    </a:prstGeom>
                    <a:noFill/>
                    <a:ln>
                      <a:noFill/>
                    </a:ln>
                    <a:extLst>
                      <a:ext uri="{53640926-AAD7-44D8-BBD7-CCE9431645EC}">
                        <a14:shadowObscured xmlns:a14="http://schemas.microsoft.com/office/drawing/2010/main"/>
                      </a:ext>
                    </a:extLst>
                  </pic:spPr>
                </pic:pic>
              </a:graphicData>
            </a:graphic>
          </wp:inline>
        </w:drawing>
      </w:r>
    </w:p>
    <w:p w:rsidR="001844F8" w:rsidRPr="001844F8" w:rsidRDefault="001844F8" w:rsidP="001844F8">
      <w:pPr>
        <w:pStyle w:val="Body"/>
        <w:rPr>
          <w:rFonts w:ascii="Arial" w:hAnsi="Arial" w:cs="Arial"/>
        </w:rPr>
      </w:pPr>
      <w:r w:rsidRPr="001844F8">
        <w:rPr>
          <w:rFonts w:ascii="Arial" w:hAnsi="Arial" w:cs="Arial"/>
        </w:rPr>
        <w:t xml:space="preserve">Source: </w:t>
      </w:r>
      <w:r w:rsidRPr="001844F8">
        <w:rPr>
          <w:rFonts w:ascii="Arial" w:hAnsi="Arial" w:cs="Arial"/>
        </w:rPr>
        <w:fldChar w:fldCharType="begin" w:fldLock="1"/>
      </w:r>
      <w:r w:rsidRPr="001844F8">
        <w:rPr>
          <w:rFonts w:ascii="Arial" w:hAnsi="Arial" w:cs="Arial"/>
        </w:rPr>
        <w:instrText>ADDIN CSL_CITATION {"citationItems":[{"id":"ITEM-1","itemData":{"author":[{"dropping-particle":"","family":"KSEI","given":"","non-dropping-particle":"","parse-names":false,"suffix":""}],"id":"ITEM-1","issued":{"date-parts":[["2021"]]},"number-of-pages":"4-7","title":"Bertepatan Dengan Usia 24 Tahun , KSEI Raih Gelar Kustodian Sentral Terbaik dan Sub Registry Terbaik","type":"report"},"uris":["http://www.mendeley.com/documents/?uuid=2b96aadc-9853-43c1-a410-5088d7a39dfe"]}],"mendeley":{"formattedCitation":"(KSEI, 2021)","plainTextFormattedCitation":"(KSEI, 2021)","previouslyFormattedCitation":"(KSEI, 2021)"},"properties":{"noteIndex":0},"schema":"https://github.com/citation-style-language/schema/raw/master/csl-citation.json"}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(KSEI, 2021)</w:t>
      </w:r>
      <w:r w:rsidRPr="001844F8">
        <w:rPr>
          <w:rFonts w:ascii="Arial" w:hAnsi="Arial" w:cs="Arial"/>
        </w:rPr>
        <w:fldChar w:fldCharType="end"/>
      </w:r>
    </w:p>
    <w:p w:rsidR="001844F8" w:rsidRPr="001844F8" w:rsidRDefault="001844F8" w:rsidP="001844F8">
      <w:pPr>
        <w:pStyle w:val="Body"/>
        <w:rPr>
          <w:rFonts w:ascii="Arial" w:hAnsi="Arial" w:cs="Arial"/>
        </w:rPr>
      </w:pPr>
      <w:r w:rsidRPr="001844F8">
        <w:rPr>
          <w:rFonts w:ascii="Arial" w:hAnsi="Arial" w:cs="Arial"/>
        </w:rPr>
        <w:t xml:space="preserve">There are many reasons for the increase in the number of capital market investors in Indonesia. Firstly, the capital market offers the possibility of "additional income" and getting a return on invested capital. Second, the flexibility of capital market instruments means that one can quickly liquidate the funds they have invested. Lastly is diversity, which means that investors can find assets that suit their investment goals, among the various financial assets available. In addition, there is an increasing trend towards managing one's own pension funds </w:t>
      </w:r>
      <w:r w:rsidRPr="001844F8">
        <w:rPr>
          <w:rFonts w:ascii="Arial" w:hAnsi="Arial" w:cs="Arial"/>
        </w:rPr>
        <w:fldChar w:fldCharType="begin" w:fldLock="1"/>
      </w:r>
      <w:r w:rsidRPr="001844F8">
        <w:rPr>
          <w:rFonts w:ascii="Arial" w:hAnsi="Arial" w:cs="Arial"/>
        </w:rPr>
        <w:instrText>ADDIN CSL_CITATION {"citationItems":[{"id":"ITEM-1","itemData":{"DOI":"10.1016/S0167-4870(03)00056-4","ISSN":"01674870","abstract":"More than 50% of Australians own shares either directly or through managed funds. As the 'baby boomers' age, government policy is encouraging individuals to take responsibility for their own retirement income, suggesting this figure is likely to rise. Despite the importance of individuals' investment decisions, however, we know little about the factors that influence them. The present study uses a conjoint analysis approach, which has previously been used in non-financial product choice research, to investigate the attributes that influence individual investors when they make a decision to buy shares. The results obtained suggest that the majority of individual investors have little interest in speculation and are, by nature, long-term investors. In deciding to buy a particular stock, financial measures, such as dividend and price-earnings ratio are relevant. However, they are less important than the company's management or recent movements in the share's price. © 2003 Elsevier B.V. All rights reserved.","author":[{"dropping-particle":"","family":"Clark-Murphy","given":"Marilyn","non-dropping-particle":"","parse-names":false,"suffix":""},{"dropping-particle":"","family":"Soutar","given":"Geoffrey N.","non-dropping-particle":"","parse-names":false,"suffix":""}],"container-title":"Journal of Economic Psychology","id":"ITEM-1","issue":"4","issued":{"date-parts":[["2004"]]},"page":"539-555","title":"What individual investors value: Some Australian evidence","type":"article-journal","volume":"25"},"uris":["http://www.mendeley.com/documents/?uuid=25cc8067-b4e6-41f7-8326-f9ee193960fa"]}],"mendeley":{"formattedCitation":"(Clark-Murphy &amp; Soutar, 2004)","plainTextFormattedCitation":"(Clark-Murphy &amp; Soutar, 2004)","previouslyFormattedCitation":"(Clark-Murphy &amp; Soutar, 2004)"},"properties":{"noteIndex":0},"schema":"https://github.com/citation-style-language/schema/raw/master/csl-citation.json"}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(Clark-Murphy &amp; Soutar, 2004)</w:t>
      </w:r>
      <w:r w:rsidRPr="001844F8">
        <w:rPr>
          <w:rFonts w:ascii="Arial" w:hAnsi="Arial" w:cs="Arial"/>
        </w:rPr>
        <w:fldChar w:fldCharType="end"/>
      </w:r>
      <w:r w:rsidRPr="001844F8">
        <w:rPr>
          <w:rFonts w:ascii="Arial" w:hAnsi="Arial" w:cs="Arial"/>
        </w:rPr>
        <w:t>. However, this increase is still far from the total population of Indonesia, the total population in Indonesia, the latest data recorded by the Central Statistics Agency (BPS) in 2021 amounted to 272,682.5 thousand people. So, if we calculate the percentage ratio between the number of investors and the population in Indonesia, we only get 2.70%. The small ratio of the number of investors to the population in Indonesia raises the question of what motivates the entry of new investors in the Indonesian capital market.</w:t>
      </w:r>
    </w:p>
    <w:p w:rsidR="001844F8" w:rsidRPr="001844F8" w:rsidRDefault="001844F8" w:rsidP="001844F8">
      <w:pPr>
        <w:pStyle w:val="Body"/>
        <w:rPr>
          <w:rFonts w:ascii="Arial" w:hAnsi="Arial" w:cs="Arial"/>
        </w:rPr>
      </w:pPr>
      <w:r w:rsidRPr="001844F8">
        <w:rPr>
          <w:rFonts w:ascii="Arial" w:hAnsi="Arial" w:cs="Arial"/>
        </w:rPr>
        <w:t xml:space="preserve">Investment intentions to obtain investment decisions in the capital market have always been a difficult topic, requiring clear thinking and a rational mind </w:t>
      </w:r>
      <w:r w:rsidRPr="001844F8">
        <w:rPr>
          <w:rFonts w:ascii="Arial" w:hAnsi="Arial" w:cs="Arial"/>
        </w:rPr>
        <w:fldChar w:fldCharType="begin" w:fldLock="1"/>
      </w:r>
      <w:r w:rsidRPr="001844F8">
        <w:rPr>
          <w:rFonts w:ascii="Arial" w:hAnsi="Arial" w:cs="Arial"/>
        </w:rPr>
        <w:instrText>ADDIN CSL_CITATION {"citationItems":[{"id":"ITEM-1","itemData":{"DOI":"10.1080/15427560.2010.507409","ISSN":"1542-7560","abstract":"The present research aims to show how investors’ affective reactions toward a fund influence their decision to sell the investment. Participants were presented with either a socially respon- sible or a traditional fund. After completing a mental images task, participants were asked to state the price at which they were willing to sell the fund and their confidence in future positive performance. Participants were willing to sell the fund at different prices depending on their affective reactions. The affective reactions also influenced participants’ confidence. Furthermore, we found that the socially responsible fund induced a more positive reaction than the ordinary fund.","author":[{"dropping-particle":"","family":"Rubaltelli","given":"Enrico","non-dropping-particle":"","parse-names":false,"suffix":""},{"dropping-particle":"","family":"Pasini","given":"Giacomo","non-dropping-particle":"","parse-names":false,"suffix":""},{"dropping-particle":"","family":"Rumiati","given":"Rino","non-dropping-particle":"","parse-names":false,"suffix":""},{"dropping-particle":"","family":"Olsen","given":"Robert A.","non-dropping-particle":"","parse-names":false,"suffix":""},{"dropping-particle":"","family":"Slovic","given":"Paul","non-dropping-particle":"","parse-names":false,"suffix":""}],"container-title":"Journal of Behavioral Finance","id":"ITEM-1","issue":"3","issued":{"date-parts":[["2010"]]},"page":"168-176","title":"The Influence of Affective Reactions on Investment Decisions","type":"article-journal","volume":"11"},"uris":["http://www.mendeley.com/documents/?uuid=f0088ac3-71a9-4dd5-8e30-99673113b638"]}],"mendeley":{"formattedCitation":"(Rubaltelli et al., 2010)","plainTextFormattedCitation":"(Rubaltelli et al., 2010)","previouslyFormattedCitation":"(Rubaltelli et al., 2010)"},"properties":{"noteIndex":0},"schema":"https://github.com/citation-style-language/schema/raw/master/csl-citation.json"}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(Rubaltelli et al., 2010)</w:t>
      </w:r>
      <w:r w:rsidRPr="001844F8">
        <w:rPr>
          <w:rFonts w:ascii="Arial" w:hAnsi="Arial" w:cs="Arial"/>
        </w:rPr>
        <w:fldChar w:fldCharType="end"/>
      </w:r>
      <w:r w:rsidRPr="001844F8">
        <w:rPr>
          <w:rFonts w:ascii="Arial" w:hAnsi="Arial" w:cs="Arial"/>
        </w:rPr>
        <w:t xml:space="preserve">. According to the Global Survey of Individual Investors (NATIXIS, 2016) survey, it is stated that around 32 percent of investors generally fail to understand their investment goals and around 30 percent of investors are entangled between their views and the advice of their financial advisor. Additionally, individual investors are misinformed, confused and conflicted between what they want and what they can actually get. Previous studies have shown that individual investors fail to align expected returns with risk tolerance </w:t>
      </w:r>
      <w:r w:rsidRPr="001844F8">
        <w:rPr>
          <w:rFonts w:ascii="Arial" w:hAnsi="Arial" w:cs="Arial"/>
        </w:rPr>
        <w:fldChar w:fldCharType="begin" w:fldLock="1"/>
      </w:r>
      <w:r w:rsidRPr="001844F8">
        <w:rPr>
          <w:rFonts w:ascii="Arial" w:hAnsi="Arial" w:cs="Arial"/>
        </w:rPr>
        <w:instrText>ADDIN CSL_CITATION {"citationItems":[{"id":"ITEM-1","itemData":{"DOI":"10.1111/acfi.12169","ISSN":"1467629X","abstract":"Combining brokerage records and matching monthly survey measurements of a sample of individual investors from the Netherlands for the period April 2008 through March 2009, we examine how individual investors update their beliefs (return expectations and risk perceptions) and preferences (risk tolerance) as a result of their personal return and risk experiences. We find that investors' past returns positively impact return expectations and risk tolerance, and negatively impact risk perceptions. Realised risk, however, has no effect. That is, even in a highly volatile stock market period in which risk appears very salient, investors do not take it into account when updating their beliefs and preferences.","author":[{"dropping-particle":"","family":"Hoffmann","given":"Arvid O.I.","non-dropping-particle":"","parse-names":false,"suffix":""},{"dropping-particle":"","family":"Post","given":"Thomas","non-dropping-particle":"","parse-names":false,"suffix":""}],"container-title":"Accounting and Finance","id":"ITEM-1","issue":"3","issued":{"date-parts":[["2017"]]},"page":"759-788","title":"How return and risk experiences shape investor beliefs and preferences","type":"article-journal","volume":"57"},"uris":["http://www.mendeley.com/documents/?uuid=6ba04b13-3863-4b8c-b533-9d6b9b0cb9e0"]}],"mendeley":{"formattedCitation":"(Hoffmann &amp; Post, 2017)","plainTextFormattedCitation":"(Hoffmann &amp; Post, 2017)","previouslyFormattedCitation":"(Hoffmann &amp; Post, 2017)"},"properties":{"noteIndex":0},"schema":"https://github.com/citation-style-language/schema/raw/master/csl-citation.json"}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(Hoffmann &amp; Post, 2017)</w:t>
      </w:r>
      <w:r w:rsidRPr="001844F8">
        <w:rPr>
          <w:rFonts w:ascii="Arial" w:hAnsi="Arial" w:cs="Arial"/>
        </w:rPr>
        <w:fldChar w:fldCharType="end"/>
      </w:r>
      <w:r w:rsidRPr="001844F8">
        <w:rPr>
          <w:rFonts w:ascii="Arial" w:hAnsi="Arial" w:cs="Arial"/>
        </w:rPr>
        <w:t xml:space="preserve"> and approximately 30 percent of investors believe they can make the right decisions but fail to achieve their investment goals (NATIXIS, 2016). Therefore, investment intentions require special analytical knowledge, in this case financial knowledge, to be confident about the performance of the shares that will be selected in overall stock investment </w:t>
      </w:r>
      <w:r w:rsidRPr="001844F8">
        <w:rPr>
          <w:rFonts w:ascii="Arial" w:hAnsi="Arial" w:cs="Arial"/>
        </w:rPr>
        <w:fldChar w:fldCharType="begin" w:fldLock="1"/>
      </w:r>
      <w:r w:rsidRPr="001844F8">
        <w:rPr>
          <w:rFonts w:ascii="Arial" w:hAnsi="Arial" w:cs="Arial"/>
        </w:rPr>
        <w:instrText>ADDIN CSL_CITATION {"citationItems":[{"id":"ITEM-1","itemData":{"DOI":"10.1108/978-1-78973-559-820201010","author":[{"dropping-particle":"","family":"Baker","given":"H. Kent","non-dropping-particle":"","parse-names":false,"suffix":""},{"dropping-particle":"","family":"Nofsinger","given":"John R.","non-dropping-particle":"","parse-names":false,"suffix":""},{"dropping-particle":"","family":"Puttonen","given":"Vesa","non-dropping-particle":"","parse-names":false,"suffix":""}],"container-title":"The Savvy Investor's Guide to Avoiding Pitfalls, Frauds, and Scams","id":"ITEM-1","issued":{"date-parts":[["2020"]]},"page":"149-177","title":"Other Frauds and Scams that Lure Unsuspecting Investors","type":"article-journal"},"uris":["http://www.mendeley.com/documents/?uuid=9b2af09d-933a-41f1-8e0e-2f26ad36d97b"]}],"mendeley":{"formattedCitation":"(Baker et al., 2020)","plainTextFormattedCitation":"(Baker et al., 2020)","previouslyFormattedCitation":"(Baker et al., 2020)"},"properties":{"noteIndex":0},"schema":"https://github.com/citation-style-language/schema/raw/master/csl-citation.json"}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(Baker et al., 2020)</w:t>
      </w:r>
      <w:r w:rsidRPr="001844F8">
        <w:rPr>
          <w:rFonts w:ascii="Arial" w:hAnsi="Arial" w:cs="Arial"/>
        </w:rPr>
        <w:fldChar w:fldCharType="end"/>
      </w:r>
      <w:r w:rsidRPr="001844F8">
        <w:rPr>
          <w:rFonts w:ascii="Arial" w:hAnsi="Arial" w:cs="Arial"/>
        </w:rPr>
        <w:t>.</w:t>
      </w:r>
    </w:p>
    <w:p w:rsidR="001844F8" w:rsidRPr="001844F8" w:rsidRDefault="001844F8" w:rsidP="001844F8">
      <w:pPr>
        <w:pStyle w:val="Body"/>
        <w:rPr>
          <w:rFonts w:ascii="Arial" w:hAnsi="Arial" w:cs="Arial"/>
        </w:rPr>
      </w:pPr>
      <w:r w:rsidRPr="001844F8">
        <w:rPr>
          <w:rFonts w:ascii="Arial" w:hAnsi="Arial" w:cs="Arial"/>
        </w:rPr>
        <w:t xml:space="preserve">Investment intentions are often influenced by personality traits or a person's way of acting when deciding something. Personality traits are a person's way of acting which is shown or applied in an attitude, character, belief, and so on </w:t>
      </w:r>
      <w:r w:rsidRPr="001844F8">
        <w:rPr>
          <w:rFonts w:ascii="Arial" w:hAnsi="Arial" w:cs="Arial"/>
        </w:rPr>
        <w:fldChar w:fldCharType="begin" w:fldLock="1"/>
      </w:r>
      <w:r w:rsidRPr="001844F8">
        <w:rPr>
          <w:rFonts w:ascii="Arial" w:hAnsi="Arial" w:cs="Arial"/>
        </w:rPr>
        <w:instrText>ADDIN CSL_CITATION {"citationItems":[{"id":"ITEM-1","itemData":{"author":[{"dropping-particle":"","family":"Subiaktono","given":"","non-dropping-particle":"","parse-names":false,"suffix":""}],"container-title":"Jurnal Dinamika Manajemen","id":"ITEM-1","issue":"2","issued":{"date-parts":[["2013"]]},"page":"150-163","title":"PENGARUH PERSONALITY TRAITS TERHADAP PERENCANAAN KEUANGAN KELUARGA","type":"article-journal","volume":"4"},"uris":["http://www.mendeley.com/documents/?uuid=f7b8a558-a0b9-423e-8832-258808099d8b"]}],"mendeley":{"formattedCitation":"(Subiaktono, 2013)","plainTextFormattedCitation":"(Subiaktono, 2013)","previouslyFormattedCitation":"(Subiaktono, 2013)"},"properties":{"noteIndex":0},"schema":"https://github.com/citation-style-language/schema/raw/master/csl-citation.json"}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(Subiaktono, 2013)</w:t>
      </w:r>
      <w:r w:rsidRPr="001844F8">
        <w:rPr>
          <w:rFonts w:ascii="Arial" w:hAnsi="Arial" w:cs="Arial"/>
        </w:rPr>
        <w:fldChar w:fldCharType="end"/>
      </w:r>
      <w:r w:rsidRPr="001844F8">
        <w:rPr>
          <w:rFonts w:ascii="Arial" w:hAnsi="Arial" w:cs="Arial"/>
        </w:rPr>
        <w:t xml:space="preserve">. A person will be better at carrying out financial planning the better the personality traits he has </w:t>
      </w:r>
      <w:r w:rsidRPr="001844F8">
        <w:rPr>
          <w:rFonts w:ascii="Arial" w:hAnsi="Arial" w:cs="Arial"/>
        </w:rPr>
        <w:fldChar w:fldCharType="begin" w:fldLock="1"/>
      </w:r>
      <w:r w:rsidRPr="001844F8">
        <w:rPr>
          <w:rFonts w:ascii="Arial" w:hAnsi="Arial" w:cs="Arial"/>
        </w:rPr>
        <w:instrText>ADDIN CSL_CITATION {"citationItems":[{"id":"ITEM-1","itemData":{"author":[{"dropping-particle":"","family":"Triyonowati","given":"","non-dropping-particle":"","parse-names":false,"suffix":""}],"editor":[{"dropping-particle":"","family":"Kurniawadi","given":"Wahyu","non-dropping-particle":"","parse-names":false,"suffix":""}],"id":"ITEM-1","issued":{"date-parts":[["2022"]]},"number-of-pages":"87","publisher":"Wawasan Ilmu","publisher-place":"Jawa Tengah","title":"Manajemen Keuangan 2 (Lanjutan)","type":"book"},"uris":["http://www.mendeley.com/documents/?uuid=37995a65-542e-46d3-ab5b-2ea548d89111"]}],"mendeley":{"formattedCitation":"(Triyonowati, 2022)","plainTextFormattedCitation":"(Triyonowati, 2022)","previouslyFormattedCitation":"(Triyonowati, 2022)"},"properties":{"noteIndex":0},"schema":"https://github.com/citation-style-language/schema/raw/master/csl-citation.json"}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(Triyonowati, 2022)</w:t>
      </w:r>
      <w:r w:rsidRPr="001844F8">
        <w:rPr>
          <w:rFonts w:ascii="Arial" w:hAnsi="Arial" w:cs="Arial"/>
        </w:rPr>
        <w:fldChar w:fldCharType="end"/>
      </w:r>
      <w:r w:rsidRPr="001844F8">
        <w:rPr>
          <w:rFonts w:ascii="Arial" w:hAnsi="Arial" w:cs="Arial"/>
        </w:rPr>
        <w:t xml:space="preserve">. So, personality traits are one of the factors originating from a person's personality that can influence the way they plan their finances. Personality traits factors are needed by an individual in determining the need to organize good management methods. The personality </w:t>
      </w:r>
      <w:r w:rsidRPr="001844F8">
        <w:rPr>
          <w:rFonts w:ascii="Arial" w:hAnsi="Arial" w:cs="Arial"/>
        </w:rPr>
        <w:lastRenderedPageBreak/>
        <w:t>traits possessed are Preference for Innovation (PI) and risk-taking propensity to enable individuals to have positive confidence in their ability to manage their finances.</w:t>
      </w:r>
    </w:p>
    <w:p w:rsidR="001844F8" w:rsidRPr="001844F8" w:rsidRDefault="001844F8" w:rsidP="001844F8">
      <w:pPr>
        <w:pStyle w:val="Body"/>
        <w:rPr>
          <w:rFonts w:ascii="Arial" w:hAnsi="Arial" w:cs="Arial"/>
        </w:rPr>
      </w:pPr>
      <w:r w:rsidRPr="001844F8">
        <w:rPr>
          <w:rFonts w:ascii="Arial" w:hAnsi="Arial" w:cs="Arial"/>
        </w:rPr>
        <w:t xml:space="preserve">Investment intentions also sometimes come from invitations from friends or family. This invitation is also known as Subjective Norms. Subjective norms are social encouragement from individuals/society to carry out certain actions </w:t>
      </w:r>
      <w:r w:rsidRPr="001844F8">
        <w:rPr>
          <w:rFonts w:ascii="Arial" w:hAnsi="Arial" w:cs="Arial"/>
        </w:rPr>
        <w:fldChar w:fldCharType="begin" w:fldLock="1"/>
      </w:r>
      <w:r w:rsidRPr="001844F8">
        <w:rPr>
          <w:rFonts w:ascii="Arial" w:hAnsi="Arial" w:cs="Arial"/>
        </w:rPr>
        <w:instrText>ADDIN CSL_CITATION {"citationItems":[{"id":"ITEM-1","itemData":{"DOI":"10.3109/01421599109089905","ISSN":"0142159X","PMID":"1805100","abstract":"The College of Medicine and Medical Sciences of the Arabian Gulf University (CMMS-AGU) in Bahrain is, in its innovativeness, unique in the region in that a problem-based strategy is used in the planning and implementation of the curriculum. The first batch of graduates have completed their internship programme in the different countries of the region. This paper presents an evaluative study of the outcome of the programme in relation to the institutional goals. Assessment of the intern's performance in clinical competence, interpersonal relations, self-directed learning, and their relative standing vis-àvis graduates from other schools was done by supervisors. The findings of the study confirm the relative merits of the problem-based curricular strategy in medical education. © 1991 Informa UK Ltd All rights reserved: reproduction in whole or part not permitted.","author":[{"dropping-particle":"","family":"Ajzen","given":"Icek","non-dropping-particle":"","parse-names":false,"suffix":""}],"container-title":"Open University Press","id":"ITEM-1","issue":"4","issued":{"date-parts":[["1991"]]},"number-of-pages":"273-279","title":"ATTITUDES, PERSONALITY AND BEHAIOR","type":"book","volume":"13"},"uris":["http://www.mendeley.com/documents/?uuid=a45d63f5-89fd-4834-bff3-58bdd34a6a26"]}],"mendeley":{"formattedCitation":"(Ajzen, 1991)","plainTextFormattedCitation":"(Ajzen, 1991)","previouslyFormattedCitation":"(Ajzen, 1991)"},"properties":{"noteIndex":0},"schema":"https://github.com/citation-style-language/schema/raw/master/csl-citation.json"}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(Ajzen, 1991)</w:t>
      </w:r>
      <w:r w:rsidRPr="001844F8">
        <w:rPr>
          <w:rFonts w:ascii="Arial" w:hAnsi="Arial" w:cs="Arial"/>
        </w:rPr>
        <w:fldChar w:fldCharType="end"/>
      </w:r>
      <w:r w:rsidRPr="001844F8">
        <w:rPr>
          <w:rFonts w:ascii="Arial" w:hAnsi="Arial" w:cs="Arial"/>
        </w:rPr>
        <w:t xml:space="preserve">. An individual who has an understanding in the financial sector who has invested in shares, then tells his friends about the profits he has obtained, this will also encourage the investment intentions of these friends </w:t>
      </w:r>
      <w:r w:rsidRPr="001844F8">
        <w:rPr>
          <w:rFonts w:ascii="Arial" w:hAnsi="Arial" w:cs="Arial"/>
        </w:rPr>
        <w:fldChar w:fldCharType="begin" w:fldLock="1"/>
      </w:r>
      <w:r w:rsidRPr="001844F8">
        <w:rPr>
          <w:rFonts w:ascii="Arial" w:hAnsi="Arial" w:cs="Arial"/>
        </w:rPr>
        <w:instrText>ADDIN CSL_CITATION {"citationItems":[{"id":"ITEM-1","itemData":{"abstract":"Employing the theory of planned behavior, this study aims to explore factors influencing investment behavior made by individual investors in the Vietnamese stock market. A qualitative approach is thoroughly applied through in-depth interviewing individual investors who have experienced the Vietnamese stock market. The analysis and generalization of data collected from interviews with 20 informants show a supporting evidence for the existence of four psychological factors-overconfidence; excessive optimism; psychology of risk and herd behavior. The study, based on the theory of planned behavior, proposes a suitable conceptual framework to be applied in further research to explain investors' behavior in the Vietnamese stock market. Keywords: Theory of planned behavior, overconfidence, excessive optimism, psychology of risk, herd behavior, individual investor.","author":[{"dropping-particle":"","family":"Phan","given":"Khoa Cuong","non-dropping-particle":"","parse-names":false,"suffix":""},{"dropping-particle":"","family":"Zhou","given":"Jian","non-dropping-particle":"","parse-names":false,"suffix":""}],"container-title":"Research Journal of Social Science &amp; Management","id":"ITEM-1","issue":"12","issued":{"date-parts":[["2014"]]},"page":"46-54","title":"Vietnamese Individual Investors' Behavior in the Stock Market: An Exploratory Study","type":"article-journal","volume":"03"},"uris":["http://www.mendeley.com/documents/?uuid=f55cab8e-476c-49e8-8d06-d1f04a8e1359"]}],"mendeley":{"formattedCitation":"(Phan &amp; Zhou, 2014)","plainTextFormattedCitation":"(Phan &amp; Zhou, 2014)","previouslyFormattedCitation":"(Phan &amp; Zhou, 2014)"},"properties":{"noteIndex":0},"schema":"https://github.com/citation-style-language/schema/raw/master/csl-citation.json"}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(Phan &amp; Zhou, 2014)</w:t>
      </w:r>
      <w:r w:rsidRPr="001844F8">
        <w:rPr>
          <w:rFonts w:ascii="Arial" w:hAnsi="Arial" w:cs="Arial"/>
        </w:rPr>
        <w:fldChar w:fldCharType="end"/>
      </w:r>
      <w:r w:rsidRPr="001844F8">
        <w:rPr>
          <w:rFonts w:ascii="Arial" w:hAnsi="Arial" w:cs="Arial"/>
        </w:rPr>
        <w:t xml:space="preserve">. The logical thinking is that an individual or investor will have high investment intentions when he or she has social encouragement or subjective norms to carry out investment activities. This encouragement can come from friends, family, or lecturers who teach courses on investing. This social encouragement is obtained when someone tells about their success in investing, making profits and reducing risks, then that individual will be encouraged to invest in the capital market. The state of mind of friends who are influenced by opinions and assessments about finances in depth by one individual is the definition of financial attitude </w:t>
      </w:r>
      <w:r w:rsidRPr="001844F8">
        <w:rPr>
          <w:rFonts w:ascii="Arial" w:hAnsi="Arial" w:cs="Arial"/>
        </w:rPr>
        <w:fldChar w:fldCharType="begin" w:fldLock="1"/>
      </w:r>
      <w:r w:rsidRPr="001844F8">
        <w:rPr>
          <w:rFonts w:ascii="Arial" w:hAnsi="Arial" w:cs="Arial"/>
        </w:rPr>
        <w:instrText>ADDIN CSL_CITATION {"citationItems":[{"id":"ITEM-1","itemData":{"DOI":"10.4148/jft.v2i1.451","abstract":"Financial matters have been identified in the literature as a significant source of stress for individuals and families. However, little is known about the psychological issues related to money that may be contributing to individual and family problems. Using a sample of 422 individuals who identified their level of agreement on 72 money-related beliefs, this study identified four distinct money belief patterns. Three of these belief systems were significantly correlated with income and net worth. Demographic features associated with the four money belief scales are provided. The results of this study may be useful for practitioners interested in quickly and accurately identifying money beliefs in their clients that can have a negative impact on financial health.        References           American Psychological Association (2009). Stress in America 2009. Retrieved October 10, 2010 from  http://www.apa.org/news/press/releases/stress-exec-summary.pdf   Bandura, A. (1977). Social Learning Theory. New York: General Learning Press.  Brickman, P., Coates, D., &amp;amp; Janoff-Bulman, R. (1978). Lottery winners and accident victims: Is happiness relative? Journal of Personality &amp;amp; Social Psychology, 36(8), 917-927.  http://dx.doi.org/10.1037/0022-3514.36.8.917  PMid:690806  Csikszentmihalyi, M. (1999). If we are so rich, why aren’t we happy? American Psychologist, 54(10), 821-827.  http://dx.doi.org/10.1037/0003-066X.54.10.821   Diener, E., &amp;amp; Seligman, M. E. P. (2004). Beyond money. Psychological Science in the Public Interest, 5(1), 1-31.  http://dx.doi.org/10.1111/j.0963-7214.2004.00501001.x   Dillman, D. A. (1999). Mail and Internet Surveys: The Tailored Design Method (2 ed.). New York, NY: Wiley.  Dortch, S. (1994). Money and marital discord. American Demographics, 16, 11-14.  Engelberg, E., &amp;amp; Sjöberg, L. (2006). Money attitudes and emotional intelligence. Journal of Applied Social Psychology, 36(8), 2027-2047.  http://dx.doi.org/10.1111/j.0021-9029.2006.00092.x   Engelberg, E., &amp;amp; Sjöberg, L. (2007). Money obsession, social adjustment, and economic risk perception. Journal of Socio-Economics, 36(5), 686-697.  http://dx.doi.org/10.1016/j.socec.2007.01.005   Furnham, A. (1984). Money sides of the coin: The psychology of money usage. Personality and Individual Difference, 5(5), 501-509.  http://dx.doi.org/10.1016/0191-8869(84)90025-4   Furnham, A. (1996). Attitudinal correlates and demographic predictors of monetary beliefs and behaviours. Journa…","author":[{"dropping-particle":"","family":"Klontz","given":"Bradley","non-dropping-particle":"","parse-names":false,"suffix":""},{"dropping-particle":"","family":"Britt","given":"Sonya L","non-dropping-particle":"","parse-names":false,"suffix":""},{"dropping-particle":"","family":"Mentzer","given":"Jennifer","non-dropping-particle":"","parse-names":false,"suffix":""},{"dropping-particle":"","family":"Klontz","given":"Ted","non-dropping-particle":"","parse-names":false,"suffix":""}],"container-title":"Journal of Financial Therapy","id":"ITEM-1","issue":"1","issued":{"date-parts":[["2011"]]},"title":"Money Beliefs and Financial Behaviors: Development of the Klontz Money Script Inventory","type":"article-journal","volume":"2"},"uris":["http://www.mendeley.com/documents/?uuid=38a610b8-99ce-4b52-a4b2-9bf751398e62"]}],"mendeley":{"formattedCitation":"(Klontz et al., 2011)","plainTextFormattedCitation":"(Klontz et al., 2011)","previouslyFormattedCitation":"(Klontz et al., 2011)"},"properties":{"noteIndex":0},"schema":"https://github.com/citation-style-language/schema/raw/master/csl-citation.json"}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(Klontz et al., 2011)</w:t>
      </w:r>
      <w:r w:rsidRPr="001844F8">
        <w:rPr>
          <w:rFonts w:ascii="Arial" w:hAnsi="Arial" w:cs="Arial"/>
        </w:rPr>
        <w:fldChar w:fldCharType="end"/>
      </w:r>
      <w:r w:rsidRPr="001844F8">
        <w:rPr>
          <w:rFonts w:ascii="Arial" w:hAnsi="Arial" w:cs="Arial"/>
        </w:rPr>
        <w:t>.</w:t>
      </w:r>
    </w:p>
    <w:p w:rsidR="001844F8" w:rsidRPr="001844F8" w:rsidRDefault="001844F8" w:rsidP="001844F8">
      <w:pPr>
        <w:pStyle w:val="Body"/>
        <w:rPr>
          <w:rFonts w:ascii="Arial" w:hAnsi="Arial" w:cs="Arial"/>
        </w:rPr>
      </w:pPr>
      <w:r w:rsidRPr="001844F8">
        <w:rPr>
          <w:rFonts w:ascii="Arial" w:hAnsi="Arial" w:cs="Arial"/>
        </w:rPr>
        <w:t xml:space="preserve">Apart from that, individuals with high levels of financial attitude and financial knowledge will tend to have a positive financial attitude towards planning in managing finances </w:t>
      </w:r>
      <w:r w:rsidRPr="001844F8">
        <w:rPr>
          <w:rFonts w:ascii="Arial" w:hAnsi="Arial" w:cs="Arial"/>
        </w:rPr>
        <w:fldChar w:fldCharType="begin" w:fldLock="1"/>
      </w:r>
      <w:r w:rsidRPr="001844F8">
        <w:rPr>
          <w:rFonts w:ascii="Arial" w:hAnsi="Arial" w:cs="Arial"/>
        </w:rPr>
        <w:instrText>ADDIN CSL_CITATION {"citationItems":[{"id":"ITEM-1","itemData":{"DOI":"10.1108/EDI-05-2016-0040","ISSN":"17587093","abstract":"Purpose - The purpose of this paper is to examine the mediating effect of financial self-efficacy (FSE) on the relationship between financial attitude, financial literacy and financial inclusion (FI) among individuals in Uganda. Design/methodology/approach - Using a quantitative approach and cross-sectional research design, a sample of 400 individuals from urban Central and rural Northern Uganda was drawn. Using SPSS and AMOS™21, structural equation models and bootstrapping methods were used to establish the hypothesized relationships and mediation effects between financial attitude, financial literacy and FI. Findings - The results suggested FSE as a mediator of the relationship between financial attitude, financial literacy and FI. Further, there was a significant and insignificant relationship between financial literacy, financial attitude and FI, respectively. Research limitations/implications - The study was assessed using both potential and actual consumers of financial services collectively. However if separately assessed, possibly there would be a variation in perceptions or behavioural responses towards FI. Practical implications - There is a need to develop and sustain high levels of financial confidence among individuals to enable them use formal financial services. Social implications - Possession of financial knowledge, skills, an evaluative judgement with high levels of financial confidence enable individuals make financial decisions that improve their integration into the formal financial system and improved welfare. Originality/value - The results contribute towards the limited empirical and theoretical evidence regarding the mediating role of FSE in explaining the financial behaviour.","author":[{"dropping-particle":"","family":"Mindra","given":"Rachel","non-dropping-particle":"","parse-names":false,"suffix":""},{"dropping-particle":"","family":"Moya","given":"Musa","non-dropping-particle":"","parse-names":false,"suffix":""}],"container-title":"Equality, Diversity and Inclusion","id":"ITEM-1","issue":"2","issued":{"date-parts":[["2017"]]},"page":"128-149","title":"Financial self-efficacy: A mediator in advancing financial inclusion","type":"article-journal","volume":"36"},"uris":["http://www.mendeley.com/documents/?uuid=037c008f-919d-46d1-9790-d74cebe01e2f"]}],"mendeley":{"formattedCitation":"(Mindra &amp; Moya, 2017)","plainTextFormattedCitation":"(Mindra &amp; Moya, 2017)","previouslyFormattedCitation":"(Mindra &amp; Moya, 2017)"},"properties":{"noteIndex":0},"schema":"https://github.com/citation-style-language/schema/raw/master/csl-citation.json"}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(Mindra &amp; Moya, 2017)</w:t>
      </w:r>
      <w:r w:rsidRPr="001844F8">
        <w:rPr>
          <w:rFonts w:ascii="Arial" w:hAnsi="Arial" w:cs="Arial"/>
        </w:rPr>
        <w:fldChar w:fldCharType="end"/>
      </w:r>
      <w:r w:rsidRPr="001844F8">
        <w:rPr>
          <w:rFonts w:ascii="Arial" w:hAnsi="Arial" w:cs="Arial"/>
        </w:rPr>
        <w:t xml:space="preserve">. These financial attitudes include saving, borrowing, using insurance products, influencing financial inclusion, and investing. Therefore, if someone has a favorable attitude towards investment intentions, there is a possibility that they will develop a positive financial attitude towards carrying out these investment intentions. The majority of research has illustrated that financial attitude has a positive and significant impact on investment intentions </w:t>
      </w:r>
      <w:r w:rsidRPr="001844F8">
        <w:rPr>
          <w:rFonts w:ascii="Arial" w:hAnsi="Arial" w:cs="Arial"/>
        </w:rPr>
        <w:fldChar w:fldCharType="begin" w:fldLock="1"/>
      </w:r>
      <w:r w:rsidRPr="001844F8">
        <w:rPr>
          <w:rFonts w:ascii="Arial" w:hAnsi="Arial" w:cs="Arial"/>
        </w:rPr>
        <w:instrText>ADDIN CSL_CITATION {"citationItems":[{"id":"ITEM-1","itemData":{"DOI":"10.1108/17468800710824509","ISSN":"17468817","abstract":"The purpose of this paper is to identify factors that influence the intention to use internet stock trading among investors in Malaysia. A structured questionnaire was used to collect data from investors who are aware of internet stock trading in Malayisa. Out of 300 questionnaire only 144 were usable. Findings show that attitude, subjective norm and perceived behavioral control has a direct positive relationship towards behavioral intention to use internet stock trading. The theory of planned behavior can be used to explain variation in behavioral intention and actual usage. More variations of results could be gained through a wider coverage of respondents. Other factors such as descriptive norm and perceived usefulness should be used to increase the explanatory power of the dependent variable. A comparison of the same study of explanatory power between other intention-based model could give another valuable contribution. This study will provide information on factors that influence and affect investor's intention to use online stock trading. In addition, the result of the study could serve as a guideline by online stock broking organizations in understanding the factors and program that need to be instilled to increase online stock trading among current retail investors and future investors. Not much has been written on understanding intention to use internet stock trading in a developing country. © 2007, Emerald Group Publishing Limited","author":[{"dropping-particle":"","family":"Gopi","given":"M.","non-dropping-particle":"","parse-names":false,"suffix":""},{"dropping-particle":"","family":"Ramayah","given":"T.","non-dropping-particle":"","parse-names":false,"suffix":""}],"container-title":"International Journal of Emerging Markets","id":"ITEM-1","issue":"4","issued":{"date-parts":[["2007"]]},"page":"348-360","title":"Applicability of theory of planned behavior in predicting intention to trade online: Some evidence from a developing country","type":"article-journal","volume":"2"},"uris":["http://www.mendeley.com/documents/?uuid=bac42d23-35c3-4af2-bb42-333831341657"]},{"id":"ITEM-2","itemData":{"abstract":"Employing the theory of planned behavior, this study aims to explore factors influencing investment behavior made by individual investors in the Vietnamese stock market. A qualitative approach is thoroughly applied through in-depth interviewing individual investors who have experienced the Vietnamese stock market. The analysis and generalization of data collected from interviews with 20 informants show a supporting evidence for the existence of four psychological factors-overconfidence; excessive optimism; psychology of risk and herd behavior. The study, based on the theory of planned behavior, proposes a suitable conceptual framework to be applied in further research to explain investors' behavior in the Vietnamese stock market. Keywords: Theory of planned behavior, overconfidence, excessive optimism, psychology of risk, herd behavior, individual investor.","author":[{"dropping-particle":"","family":"Phan","given":"Khoa Cuong","non-dropping-particle":"","parse-names":false,"suffix":""},{"dropping-particle":"","family":"Zhou","given":"Jian","non-dropping-particle":"","parse-names":false,"suffix":""}],"container-title":"Research Journal of Social Science &amp; Management","id":"ITEM-2","issue":"12","issued":{"date-parts":[["2014"]]},"page":"46-54","title":"Vietnamese Individual Investors' Behavior in the Stock Market: An Exploratory Study","type":"article-journal","volume":"03"},"uris":["http://www.mendeley.com/documents/?uuid=f55cab8e-476c-49e8-8d06-d1f04a8e1359"]}],"mendeley":{"formattedCitation":"(Gopi &amp; Ramayah, 2007; Phan &amp; Zhou, 2014)","plainTextFormattedCitation":"(Gopi &amp; Ramayah, 2007; Phan &amp; Zhou, 2014)","previouslyFormattedCitation":"(Gopi &amp; Ramayah, 2007; Phan &amp; Zhou, 2014)"},"properties":{"noteIndex":0},"schema":"https://github.com/citation-style-language/schema/raw/master/csl-citation.json"}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(Gopi &amp; Ramayah, 2007; Phan &amp; Zhou, 2014)</w:t>
      </w:r>
      <w:r w:rsidRPr="001844F8">
        <w:rPr>
          <w:rFonts w:ascii="Arial" w:hAnsi="Arial" w:cs="Arial"/>
        </w:rPr>
        <w:fldChar w:fldCharType="end"/>
      </w:r>
      <w:r w:rsidRPr="001844F8">
        <w:rPr>
          <w:rFonts w:ascii="Arial" w:hAnsi="Arial" w:cs="Arial"/>
        </w:rPr>
        <w:t xml:space="preserve">. An individual's financial attitude also plays an important role in developing the intention to invest, in achieving the desired level of financial stability </w:t>
      </w:r>
      <w:r w:rsidRPr="001844F8">
        <w:rPr>
          <w:rFonts w:ascii="Arial" w:hAnsi="Arial" w:cs="Arial"/>
        </w:rPr>
        <w:fldChar w:fldCharType="begin" w:fldLock="1"/>
      </w:r>
      <w:r w:rsidRPr="001844F8">
        <w:rPr>
          <w:rFonts w:ascii="Arial" w:hAnsi="Arial" w:cs="Arial"/>
        </w:rPr>
        <w:instrText>ADDIN CSL_CITATION {"citationItems":[{"id":"ITEM-1","itemData":{"ISSN":"2010376X","abstract":"The survival of publicly listed companies largely depends on their stocks being liquidly traded. This goal can be achieved when new investors are attracted to invest on companies' stocks. Among different groups of investors, individual investors are generally less able to objectively evaluate companies' risks and returns, and tend to be emotionally biased in their investing decisions. Therefore their decisions may be formed as a result of perceived risks and returns, and influenced by companies' images. This study finds that perceived risk, perceived returns and trust directly affect individual investors' trading decisions while attitude towards brand partially mediates the relationships. This finding suggests that, in courting individual investors, companies still need to perform financially while building a good image can result in their stocks being accepted quicker than the stocks of good performing companies with hidden images.","author":[{"dropping-particle":"","family":"Ali","given":"Azwadi","non-dropping-particle":"","parse-names":false,"suffix":""}],"container-title":"World Academy of Science, Engineering and Technology","id":"ITEM-1","issue":"February","issued":{"date-parts":[["2011"]]},"page":"994-1001","title":"Predicting individual investors' intention to invest: An experimental analysis of attitude as a mediator","type":"article-journal","volume":"50"},"uris":["http://www.mendeley.com/documents/?uuid=5192281d-ca91-4220-a6fb-1ce7cf7d62b8"]}],"mendeley":{"formattedCitation":"(Ali, 2011)","plainTextFormattedCitation":"(Ali, 2011)","previouslyFormattedCitation":"(Ali, 2011)"},"properties":{"noteIndex":0},"schema":"https://github.com/citation-style-language/schema/raw/master/csl-citation.json"}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(Ali, 2011)</w:t>
      </w:r>
      <w:r w:rsidRPr="001844F8">
        <w:rPr>
          <w:rFonts w:ascii="Arial" w:hAnsi="Arial" w:cs="Arial"/>
        </w:rPr>
        <w:fldChar w:fldCharType="end"/>
      </w:r>
      <w:r w:rsidRPr="001844F8">
        <w:rPr>
          <w:rFonts w:ascii="Arial" w:hAnsi="Arial" w:cs="Arial"/>
        </w:rPr>
        <w:t>.</w:t>
      </w:r>
    </w:p>
    <w:p w:rsidR="001844F8" w:rsidRPr="001844F8" w:rsidRDefault="001844F8" w:rsidP="001844F8">
      <w:pPr>
        <w:pStyle w:val="Body"/>
        <w:rPr>
          <w:rFonts w:ascii="Arial" w:hAnsi="Arial" w:cs="Arial"/>
        </w:rPr>
      </w:pPr>
      <w:r w:rsidRPr="001844F8">
        <w:rPr>
          <w:rFonts w:ascii="Arial" w:hAnsi="Arial" w:cs="Arial"/>
        </w:rPr>
        <w:t xml:space="preserve">Beliefs about financial management also have a strong impact on goals and achievements by influencing our personal choices, motivations and emotional reactions to investment intentions. For example, if we tend to avoid risk, then our ability is limited to investment choices that have low risk and vice versa. The level of effort and persistence shown by a person in determining their investment intentions is called financial self-efficacy. Previous research shows that financial self-efficacy can improve the way finances are managed, so that financial satisfaction can be felt </w:t>
      </w:r>
      <w:r w:rsidRPr="001844F8">
        <w:rPr>
          <w:rFonts w:ascii="Arial" w:hAnsi="Arial" w:cs="Arial"/>
        </w:rPr>
        <w:fldChar w:fldCharType="begin" w:fldLock="1"/>
      </w:r>
      <w:r w:rsidRPr="001844F8">
        <w:rPr>
          <w:rFonts w:ascii="Arial" w:hAnsi="Arial" w:cs="Arial"/>
        </w:rPr>
        <w:instrText>ADDIN CSL_CITATION {"citationItems":[{"id":"ITEM-1","itemData":{"abstract":"The purpose of this research was to examine the gender difference in financial efficacy and financial satisfaction, and influence of financial efficacy to financial satisfaction. Based on the result is found that three hypothesis are accepted. These means, there are difference between woman and man in financial efficacy and financial satisfaction. Other result that financial efficacy gave significant impact to financial satisfaction.","author":[{"dropping-particle":"","family":"Sina","given":"Peter Garlans","non-dropping-particle":"","parse-names":false,"suffix":""}],"container-title":"Jurnal Manajemen Maranatha","id":"ITEM-1","issue":"2","issued":{"date-parts":[["2013"]]},"page":"173-184","title":"Financial Efficacy and Financial Satisfaction : Ditinjau dari Perbedaan Gender","type":"article-journal","volume":"12"},"uris":["http://www.mendeley.com/documents/?uuid=54d85fdd-71a8-449f-b5b9-dbe9eb115788"]}],"mendeley":{"formattedCitation":"(Sina, 2013)","plainTextFormattedCitation":"(Sina, 2013)","previouslyFormattedCitation":"(Sina, 2013)"},"properties":{"noteIndex":0},"schema":"https://github.com/citation-style-language/schema/raw/master/csl-citation.json"}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(Sina, 2013)</w:t>
      </w:r>
      <w:r w:rsidRPr="001844F8">
        <w:rPr>
          <w:rFonts w:ascii="Arial" w:hAnsi="Arial" w:cs="Arial"/>
        </w:rPr>
        <w:fldChar w:fldCharType="end"/>
      </w:r>
      <w:r w:rsidRPr="001844F8">
        <w:rPr>
          <w:rFonts w:ascii="Arial" w:hAnsi="Arial" w:cs="Arial"/>
        </w:rPr>
        <w:t xml:space="preserve">. In fact, financial self-efficacy also has an influence on decisions taken in managing teenagers' finances </w:t>
      </w:r>
      <w:r w:rsidRPr="001844F8">
        <w:rPr>
          <w:rFonts w:ascii="Arial" w:hAnsi="Arial" w:cs="Arial"/>
        </w:rPr>
        <w:fldChar w:fldCharType="begin" w:fldLock="1"/>
      </w:r>
      <w:r w:rsidRPr="001844F8">
        <w:rPr>
          <w:rFonts w:ascii="Arial" w:hAnsi="Arial" w:cs="Arial"/>
        </w:rPr>
        <w:instrText>ADDIN CSL_CITATION {"citationItems":[{"id":"ITEM-1","itemData":{"ISSN":"19477910","abstract":"A social constructionist perspective was taken in the current investigation of 5,329 male and female high school students. Gender differences were investigated in financial knowledge, self-efficacy, and behavior after studying a financial planning curriculum. Females gained more knowledge on credit, auto insurance, and investments, although males had more knowledge entering the course. Females believed that managing money affected their future more than males, but males felt more confident making money decisions. After studying the curriculum content, males reported achieving financial goals more than females, whereas females reported using budgets, comparing prices, and discussing money with family more than males. In sum, male teens reinforced their existing knowledge, whereas female teens learned significantly more about finances in areas in which they were unfamiliar with prior to the curriculum. © 2007 Association for Financial Counseling and Planning Education®. All rights of reproduction in any form reserved.","author":[{"dropping-particle":"","family":"Danes","given":"Sharon M.","non-dropping-particle":"","parse-names":false,"suffix":""},{"dropping-particle":"","family":"Haberman","given":"Heather R.","non-dropping-particle":"","parse-names":false,"suffix":""}],"container-title":"Journal of Financial Counseling and Planning","id":"ITEM-1","issue":"2","issued":{"date-parts":[["2007"]]},"page":"48-60","title":"Teen financial knowledge, self-efficacy, and behavior: A gendered view","type":"article-journal","volume":"18"},"uris":["http://www.mendeley.com/documents/?uuid=8b511746-a790-4285-a44c-5e6e5822e13d"]}],"mendeley":{"formattedCitation":"(Danes &amp; Haberman, 2007)","plainTextFormattedCitation":"(Danes &amp; Haberman, 2007)","previouslyFormattedCitation":"(Danes &amp; Haberman, 2007)"},"properties":{"noteIndex":0},"schema":"https://github.com/citation-style-language/schema/raw/master/csl-citation.json"}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(Danes &amp; Haberman, 2007)</w:t>
      </w:r>
      <w:r w:rsidRPr="001844F8">
        <w:rPr>
          <w:rFonts w:ascii="Arial" w:hAnsi="Arial" w:cs="Arial"/>
        </w:rPr>
        <w:fldChar w:fldCharType="end"/>
      </w:r>
      <w:r w:rsidRPr="001844F8">
        <w:rPr>
          <w:rFonts w:ascii="Arial" w:hAnsi="Arial" w:cs="Arial"/>
        </w:rPr>
        <w:t>.</w:t>
      </w:r>
    </w:p>
    <w:p w:rsidR="001844F8" w:rsidRPr="001844F8" w:rsidRDefault="001844F8" w:rsidP="001844F8">
      <w:pPr>
        <w:pStyle w:val="Body"/>
        <w:rPr>
          <w:rFonts w:ascii="Arial" w:hAnsi="Arial" w:cs="Arial"/>
        </w:rPr>
      </w:pPr>
      <w:r w:rsidRPr="001844F8">
        <w:rPr>
          <w:rFonts w:ascii="Arial" w:hAnsi="Arial" w:cs="Arial"/>
        </w:rPr>
        <w:t xml:space="preserve">On the other hand, financial knowledge also has a relationship with finances in everyday life. Financial knowledge is not only able to make someone use money wisely, but can also provide benefits to the economy. A person with a high level of financial knowledge will be better able to make good decisions for their family, and thus be in a position to increase their economic security and well-being. In addition, someone who has a high level of financial knowledge can also make informed choices that are very important for their financial goals. Someone with a high level of financial knowledge will also understand financial matters better and be wiser in terms of their financial behavior </w:t>
      </w:r>
      <w:r w:rsidRPr="001844F8">
        <w:rPr>
          <w:rFonts w:ascii="Arial" w:hAnsi="Arial" w:cs="Arial"/>
        </w:rPr>
        <w:fldChar w:fldCharType="begin" w:fldLock="1"/>
      </w:r>
      <w:r w:rsidRPr="001844F8">
        <w:rPr>
          <w:rFonts w:ascii="Arial" w:hAnsi="Arial" w:cs="Arial"/>
        </w:rPr>
        <w:instrText>ADDIN CSL_CITATION {"citationItems":[{"id":"ITEM-1","itemData":{"DOI":"10.13106/jafeb.2021.vol8.no1.247","ISSN":"22884645","abstract":"The study aims to determine the influence of intellectual capital and education on public financial services in increasing financial inclusion. This study applied a survey technique by selecting respondents according to the purposive sampling method. The number of respondents in this study was 500 people and came from various regions in Indonesia. Data analysis was performed using Structural Equation Modeling (SEM) techniques. The results indicate that intellectual capital has a positive effect on financial inclusion. Conversely, education about public financial services has no influence in increasing financial inclusion. The results of this study indicate that the success of financial inclusion programs in Indonesia is caused more by the role of public intellectual capital. Studies show that the public does not have the courage to be involved in banking institutions because the image of this institution tends to be inflexible in its operations. The results of this study are expected to make a real contribution, especially for the government and banks, that in order to achieve the success of the financial inclusion program in Indonesia; the related parties should educate the public directly to citizens who have not been reached by banking services continuously and with a more down to earth approach.","author":[{"dropping-particle":"","family":"Ilahiyah","given":"Mar’a Elthaf","non-dropping-particle":"","parse-names":false,"suffix":""},{"dropping-particle":"","family":"Soewarno","given":"Noorlailie","non-dropping-particle":"","parse-names":false,"suffix":""},{"dropping-particle":"","family":"Jaya","given":"I. Made Laut Mertha","non-dropping-particle":"","parse-names":false,"suffix":""}],"container-title":"Journal of Asian Finance, Economics and Business","id":"ITEM-1","issue":"1","issued":{"date-parts":[["2021"]]},"page":"247-255","title":"The Effect of Intellectual Capital and Financial Services Knowledge on Financial Inclusion","type":"article-journal","volume":"8"},"uris":["http://www.mendeley.com/documents/?uuid=286c0154-127e-488a-ad02-17076e8b9e63"]}],"mendeley":{"formattedCitation":"(Ilahiyah et al., 2021)","plainTextFormattedCitation":"(Ilahiyah et al., 2021)","previouslyFormattedCitation":"(Ilahiyah et al., 2021)"},"properties":{"noteIndex":0},"schema":"https://github.com/citation-style-language/schema/raw/master/csl-citation.json"}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(Ilahiyah et al., 2021)</w:t>
      </w:r>
      <w:r w:rsidRPr="001844F8">
        <w:rPr>
          <w:rFonts w:ascii="Arial" w:hAnsi="Arial" w:cs="Arial"/>
        </w:rPr>
        <w:fldChar w:fldCharType="end"/>
      </w:r>
      <w:r w:rsidRPr="001844F8">
        <w:rPr>
          <w:rFonts w:ascii="Arial" w:hAnsi="Arial" w:cs="Arial"/>
        </w:rPr>
        <w:t xml:space="preserve">. So, the better the knowledge about finance, the more it triggers someone to make investment intentions. Financial knowledge can be possessed if someone applies financial skills and starts using financial tools. Financial skills are a technique for making decisions regarding financial management, for example preparing a financial budget, weighing and choosing investments, establishing insurance plans, and using credit. Meanwhile, financial tools are tools used when making financial management decisions, for example credit cards, checks, e-money, etc. </w:t>
      </w:r>
      <w:r w:rsidRPr="001844F8">
        <w:rPr>
          <w:rFonts w:ascii="Arial" w:hAnsi="Arial" w:cs="Arial"/>
        </w:rPr>
        <w:fldChar w:fldCharType="begin" w:fldLock="1"/>
      </w:r>
      <w:r w:rsidRPr="001844F8">
        <w:rPr>
          <w:rFonts w:ascii="Arial" w:hAnsi="Arial" w:cs="Arial"/>
        </w:rPr>
        <w:instrText>ADDIN CSL_CITATION {"citationItems":[{"id":"ITEM-1","itemData":{"abstract":"Abstrak: The aim of this study is to test impact locus of control, financial knowledge and income to financial management behavior. Total respondents are 130 respondents. Using regression analysis, the result shows financial knowledge impact financial management behavior but locus of control and personal income don't impact financial management behavior. Because the sample of this research is student and almost of them have income from their parents.","author":[{"dropping-particle":"","family":"Dwinta","given":"Ida dan Cinthia Yohana","non-dropping-particle":"","parse-names":false,"suffix":""}],"container-title":"Jurnal Bisnis Dan Akuntansi","id":"ITEM-1","issue":"3","issued":{"date-parts":[["2010"]]},"page":"131-144","title":"Pengaruh Locus Of Control, Financial Knowledge, Income Terhadap Financial Management Behavior","type":"article-journal","volume":"12"},"uris":["http://www.mendeley.com/documents/?uuid=66ad75e6-09ff-496c-9044-91a652048d2c"]}],"mendeley":{"formattedCitation":"(Dwinta, 2010)","plainTextFormattedCitation":"(Dwinta, 2010)","previouslyFormattedCitation":"(Dwinta, 2010)"},"properties":{"noteIndex":0},"schema":"https://github.com/citation-style-language/schema/raw/master/csl-citation.json"}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(Dwinta, 2010)</w:t>
      </w:r>
      <w:r w:rsidRPr="001844F8">
        <w:rPr>
          <w:rFonts w:ascii="Arial" w:hAnsi="Arial" w:cs="Arial"/>
        </w:rPr>
        <w:fldChar w:fldCharType="end"/>
      </w:r>
      <w:r w:rsidRPr="001844F8">
        <w:rPr>
          <w:rFonts w:ascii="Arial" w:hAnsi="Arial" w:cs="Arial"/>
        </w:rPr>
        <w:t>.</w:t>
      </w:r>
    </w:p>
    <w:p w:rsidR="001844F8" w:rsidRPr="001844F8" w:rsidRDefault="001844F8" w:rsidP="001844F8">
      <w:pPr>
        <w:pStyle w:val="Body"/>
        <w:rPr>
          <w:rFonts w:ascii="Arial" w:hAnsi="Arial" w:cs="Arial"/>
        </w:rPr>
      </w:pPr>
      <w:r w:rsidRPr="001844F8">
        <w:rPr>
          <w:rFonts w:ascii="Arial" w:hAnsi="Arial" w:cs="Arial"/>
        </w:rPr>
        <w:lastRenderedPageBreak/>
        <w:t xml:space="preserve">An individual who wants to avoid financial problems must be willing to increase their level of financial knowledge. Because financial ignorance can have fatal consequences, such as having larger debts and higher loan interest rates than one's financial capabilities </w:t>
      </w:r>
      <w:r w:rsidRPr="001844F8">
        <w:rPr>
          <w:rFonts w:ascii="Arial" w:hAnsi="Arial" w:cs="Arial"/>
        </w:rPr>
        <w:fldChar w:fldCharType="begin" w:fldLock="1"/>
      </w:r>
      <w:r w:rsidRPr="001844F8">
        <w:rPr>
          <w:rFonts w:ascii="Arial" w:hAnsi="Arial" w:cs="Arial"/>
        </w:rPr>
        <w:instrText>ADDIN CSL_CITATION {"citationItems":[{"id":"ITEM-1","itemData":{"abstract":"In this paper, we examine high-cost methods of borrowing in the United States, such as payday loans, pawn shops, auto title loans, refund anticipation loans, and rent-to-own shops, and offer a portrait of borrowers who use these methods. Considering a representative sample of more than 26,000 respondents, we find that about one in four Americans has used one of these methods in the past five years. Moreover, many young adults engage in high-cost borrowing: 34 percent of young respondents (aged 18–34) and 43 percent of young respondents with a high school degree have used one of these methods. Using well-tested questions to measure financial literacy, we document that most high-cost borrowers display very low levels of financial literacy, i.e., they lack numeracy and do not possess knowledge of basic financial concepts. Most importantly, we find that those who are more financially literate are much less likely to have engaged in high-cost borrowing. Our empirical work shows that it is not only the shocks inflicted by the financial crisis or the structure of the financial system but that the level of financial literacy also plays a role in explaining why so many individuals have made use of high-cost borrowing methods.","author":[{"dropping-particle":"","family":"Lusardi","given":"Annamaria","non-dropping-particle":"","parse-names":false,"suffix":""},{"dropping-particle":"","family":"Scheresberg","given":"Carlo de Bassa","non-dropping-particle":"","parse-names":false,"suffix":""}],"container-title":"National Bureau of Economic Research","id":"ITEM-1","issued":{"date-parts":[["2013"]]},"page":"1-41","title":"Financial lteracy and high-cost borrowing in the united states","type":"article-journal"},"uris":["http://www.mendeley.com/documents/?uuid=f937b849-72cc-41b4-bd5c-6d406cf9333f"]},{"id":"ITEM-2","itemData":{"DOI":"10.1017/S1474747215000232","ISBN":"1474747215000","ISSN":"14753022","abstract":"We analyze a national sample of Americans with respect to their debt literacy, financial experiences, and their judgments about the extent of their indebtedness. Debt literacy is a component of broader financial understanding that measures knowledge about debt and self-assessed financial knowledge. Financial experiences are the participants' reported experiences with traditional borrowing, alternative borrowing, and investing. Overindebtedness is a self-reported measure. Debt literacy is low, with only about one-third of the population grasping the basics of interest compounding. Even after controlling for demographics, we find a relationship between debt literacy and both financial experiences and debt loads. Individuals with lower levels of debt literacy tend to transact in high-cost manners, incurring higher fees and using high-cost borrowing. We provide a rough estimate of the national implications of debt ignorance on credit card costs by consumers. Less knowledgeable individuals also report that their debt loads are excessive or that they are unable to judge their debt position.","author":[{"dropping-particle":"","family":"Lusardi","given":"Annamaria","non-dropping-particle":"","parse-names":false,"suffix":""},{"dropping-particle":"","family":"Tufano","given":"Peter","non-dropping-particle":"","parse-names":false,"suffix":""}],"container-title":"Journal of Pension Economics and Finance","id":"ITEM-2","issue":"4","issued":{"date-parts":[["2015"]]},"number-of-pages":"332-368","title":"Debt literacy, financial experiences, and overindebtedness","type":"book","volume":"14"},"uris":["http://www.mendeley.com/documents/?uuid=af24282b-0025-4729-921c-22da49925684"]}],"mendeley":{"formattedCitation":"(Lusardi &amp; Scheresberg, 2013; Lusardi &amp; Tufano, 2015)","plainTextFormattedCitation":"(Lusardi &amp; Scheresberg, 2013; Lusardi &amp; Tufano, 2015)","previouslyFormattedCitation":"(Lusardi &amp; Scheresberg, 2013; Lusardi &amp; Tufano, 2015)"},"properties":{"noteIndex":0},"schema":"https://github.com/citation-style-language/schema/raw/master/csl-citation.json"}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(Lusardi &amp; Scheresberg, 2013; Lusardi &amp; Tufano, 2015)</w:t>
      </w:r>
      <w:r w:rsidRPr="001844F8">
        <w:rPr>
          <w:rFonts w:ascii="Arial" w:hAnsi="Arial" w:cs="Arial"/>
        </w:rPr>
        <w:fldChar w:fldCharType="end"/>
      </w:r>
      <w:r w:rsidRPr="001844F8">
        <w:rPr>
          <w:rFonts w:ascii="Arial" w:hAnsi="Arial" w:cs="Arial"/>
        </w:rPr>
        <w:t xml:space="preserve">. Increasing financial knowledge can also help achieve a quality standard of living and avoid financial problems, provided that it must be based on good financial knowledge in every decision making such as increasing financial literacy </w:t>
      </w:r>
      <w:r w:rsidRPr="001844F8">
        <w:rPr>
          <w:rFonts w:ascii="Arial" w:hAnsi="Arial" w:cs="Arial"/>
        </w:rPr>
        <w:fldChar w:fldCharType="begin" w:fldLock="1"/>
      </w:r>
      <w:r w:rsidRPr="001844F8">
        <w:rPr>
          <w:rFonts w:ascii="Arial" w:hAnsi="Arial" w:cs="Arial"/>
        </w:rPr>
        <w:instrText>ADDIN CSL_CITATION {"citationItems":[{"id":"ITEM-1","itemData":{"DOI":"10.1108/EDI-05-2016-0040","ISSN":"17587093","abstract":"Purpose - The purpose of this paper is to examine the mediating effect of financial self-efficacy (FSE) on the relationship between financial attitude, financial literacy and financial inclusion (FI) among individuals in Uganda. Design/methodology/approach - Using a quantitative approach and cross-sectional research design, a sample of 400 individuals from urban Central and rural Northern Uganda was drawn. Using SPSS and AMOS™21, structural equation models and bootstrapping methods were used to establish the hypothesized relationships and mediation effects between financial attitude, financial literacy and FI. Findings - The results suggested FSE as a mediator of the relationship between financial attitude, financial literacy and FI. Further, there was a significant and insignificant relationship between financial literacy, financial attitude and FI, respectively. Research limitations/implications - The study was assessed using both potential and actual consumers of financial services collectively. However if separately assessed, possibly there would be a variation in perceptions or behavioural responses towards FI. Practical implications - There is a need to develop and sustain high levels of financial confidence among individuals to enable them use formal financial services. Social implications - Possession of financial knowledge, skills, an evaluative judgement with high levels of financial confidence enable individuals make financial decisions that improve their integration into the formal financial system and improved welfare. Originality/value - The results contribute towards the limited empirical and theoretical evidence regarding the mediating role of FSE in explaining the financial behaviour.","author":[{"dropping-particle":"","family":"Mindra","given":"Rachel","non-dropping-particle":"","parse-names":false,"suffix":""},{"dropping-particle":"","family":"Moya","given":"Musa","non-dropping-particle":"","parse-names":false,"suffix":""}],"container-title":"Equality, Diversity and Inclusion","id":"ITEM-1","issue":"2","issued":{"date-parts":[["2017"]]},"page":"128-149","title":"Financial self-efficacy: A mediator in advancing financial inclusion","type":"article-journal","volume":"36"},"uris":["http://www.mendeley.com/documents/?uuid=037c008f-919d-46d1-9790-d74cebe01e2f"]}],"mendeley":{"formattedCitation":"(Mindra &amp; Moya, 2017)","plainTextFormattedCitation":"(Mindra &amp; Moya, 2017)","previouslyFormattedCitation":"(Mindra &amp; Moya, 2017)"},"properties":{"noteIndex":0},"schema":"https://github.com/citation-style-language/schema/raw/master/csl-citation.json"}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(Mindra &amp; Moya, 2017)</w:t>
      </w:r>
      <w:r w:rsidRPr="001844F8">
        <w:rPr>
          <w:rFonts w:ascii="Arial" w:hAnsi="Arial" w:cs="Arial"/>
        </w:rPr>
        <w:fldChar w:fldCharType="end"/>
      </w:r>
      <w:r w:rsidRPr="001844F8">
        <w:rPr>
          <w:rFonts w:ascii="Arial" w:hAnsi="Arial" w:cs="Arial"/>
        </w:rPr>
        <w:t xml:space="preserve">. So, by having financial knowledge an individual can have a good financial attitude. According to </w:t>
      </w:r>
      <w:r w:rsidRPr="001844F8">
        <w:rPr>
          <w:rFonts w:ascii="Arial" w:hAnsi="Arial" w:cs="Arial"/>
        </w:rPr>
        <w:fldChar w:fldCharType="begin" w:fldLock="1"/>
      </w:r>
      <w:r w:rsidRPr="001844F8">
        <w:rPr>
          <w:rFonts w:ascii="Arial" w:hAnsi="Arial" w:cs="Arial"/>
        </w:rPr>
        <w:instrText>ADDIN CSL_CITATION {"citationItems":[{"id":"ITEM-1","itemData":{"DOI":"10.1017/S1474747211000448","ISSN":"14753022","abstract":"In an increasingly risky and globalized marketplace, people must be able to make well-informed financial decisions. New international research demonstrates that financial illiteracy is widespread in both well-developed and rapidly changing markets. Women are less financially literate than men, the young and the old are less financially literate than the middle-aged, and more educated people are more financially knowledgeable. Most importantly, the financially literate are more likely to plan for retirement. Instrumental variables estimates show that the effects of financial literacy on retirement planning tend to be underestimated. In sum, around the world, financial literacy is critical to retirement security. © 2011, Cambridge University Press. All rights reserved.","author":[{"dropping-particle":"","family":"Klapper","given":"Leora","non-dropping-particle":"","parse-names":false,"suffix":""},{"dropping-particle":"","family":"Lusardi","given":"Annamaria","non-dropping-particle":"","parse-names":false,"suffix":""},{"dropping-particle":"van","family":"Oudheusden","given":"Peter","non-dropping-particle":"","parse-names":false,"suffix":""}],"container-title":"Journal of Pension Economics and Finance","id":"ITEM-1","issue":"4","issued":{"date-parts":[["2011"]]},"page":"497-508","title":"Financial literacy around the world: An overview","type":"article-journal","volume":"10"},"uris":["http://www.mendeley.com/documents/?uuid=1d3f3c47-aa72-48d8-849c-95367017e19e"]}],"mendeley":{"formattedCitation":"(Klapper et al., 2011)","plainTextFormattedCitation":"(Klapper et al., 2011)","previouslyFormattedCitation":"(Klapper et al., 2011)"},"properties":{"noteIndex":0},"schema":"https://github.com/citation-style-language/schema/raw/master/csl-citation.json"}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(Klapper et al., 2011)</w:t>
      </w:r>
      <w:r w:rsidRPr="001844F8">
        <w:rPr>
          <w:rFonts w:ascii="Arial" w:hAnsi="Arial" w:cs="Arial"/>
        </w:rPr>
        <w:fldChar w:fldCharType="end"/>
      </w:r>
      <w:r w:rsidRPr="001844F8">
        <w:rPr>
          <w:rFonts w:ascii="Arial" w:hAnsi="Arial" w:cs="Arial"/>
        </w:rPr>
        <w:t>, individuals with knowledge of four basic financial concepts, namely, numeracy, risk diversification, inflation and compound interest, are said to be financially literate.</w:t>
      </w:r>
    </w:p>
    <w:p w:rsidR="001844F8" w:rsidRPr="001844F8" w:rsidRDefault="001844F8" w:rsidP="001844F8">
      <w:pPr>
        <w:pStyle w:val="Body"/>
        <w:rPr>
          <w:rFonts w:ascii="Arial" w:hAnsi="Arial" w:cs="Arial"/>
        </w:rPr>
      </w:pPr>
      <w:r w:rsidRPr="001844F8">
        <w:rPr>
          <w:rFonts w:ascii="Arial" w:hAnsi="Arial" w:cs="Arial"/>
        </w:rPr>
        <w:t xml:space="preserve">The majority of the Indonesian population or around 68% want a better old age (retirement), this is in accordance with the results of the survey The Future of Retirement: Bridging the Gap </w:t>
      </w:r>
      <w:r w:rsidRPr="001844F8">
        <w:rPr>
          <w:rFonts w:ascii="Arial" w:hAnsi="Arial" w:cs="Arial"/>
        </w:rPr>
        <w:fldChar w:fldCharType="begin" w:fldLock="1"/>
      </w:r>
      <w:r w:rsidRPr="001844F8">
        <w:rPr>
          <w:rFonts w:ascii="Arial" w:hAnsi="Arial" w:cs="Arial"/>
        </w:rPr>
        <w:instrText>ADDIN CSL_CITATION {"citationItems":[{"id":"ITEM-1","itemData":{"author":[{"dropping-particle":"","family":"HSBC","given":"","non-dropping-particle":"","parse-names":false,"suffix":""}],"id":"ITEM-1","issued":{"date-parts":[["2019"]]},"number-of-pages":"1-2","title":"Sebanyak 9 dari 10 orang Indonesia Belum Siap Menjadi Crazy Rich Retiree","type":"report"},"uris":["http://www.mendeley.com/documents/?uuid=19c9acac-a257-4281-8bee-12d568a2760b"]}],"mendeley":{"formattedCitation":"(HSBC, 2019)","plainTextFormattedCitation":"(HSBC, 2019)","previouslyFormattedCitation":"(HSBC, 2019)"},"properties":{"noteIndex":0},"schema":"https://github.com/citation-style-language/schema/raw/master/csl-citation.json"}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(HSBC, 2019)</w:t>
      </w:r>
      <w:r w:rsidRPr="001844F8">
        <w:rPr>
          <w:rFonts w:ascii="Arial" w:hAnsi="Arial" w:cs="Arial"/>
        </w:rPr>
        <w:fldChar w:fldCharType="end"/>
      </w:r>
      <w:r w:rsidRPr="001844F8">
        <w:rPr>
          <w:rFonts w:ascii="Arial" w:hAnsi="Arial" w:cs="Arial"/>
        </w:rPr>
        <w:t xml:space="preserve">.However, this must be planned carefully from early on. Unfortunately, this awareness usually arises when someone is approaching retirement. Even, in fact, only a small portion of the Indonesian population invests, where the average investor in Indonesia has not yet reached 1 percent of the total population, so it is necessary to conduct further studies regarding investment intentions in Indonesia. Therefore, this research was carried out by testing and analyzing the variables financial attitude, subjective norms, financial self-efficacy, and financial knowledge on investment intentions. This test and analysis </w:t>
      </w:r>
      <w:proofErr w:type="gramStart"/>
      <w:r w:rsidRPr="001844F8">
        <w:rPr>
          <w:rFonts w:ascii="Arial" w:hAnsi="Arial" w:cs="Arial"/>
        </w:rPr>
        <w:t>is</w:t>
      </w:r>
      <w:proofErr w:type="gramEnd"/>
      <w:r w:rsidRPr="001844F8">
        <w:rPr>
          <w:rFonts w:ascii="Arial" w:hAnsi="Arial" w:cs="Arial"/>
        </w:rPr>
        <w:t xml:space="preserve"> carried out directly and indirectly or through a mediated relationship through financial attitude and financial self-efficacy. This research focuses on analyzing investment intentions within the framework of the Theory of Planned Behavior (TPB). So, we will also explore how variables such as financial attitude, financial self-efficacy, subjective norms, financial knowledge, and personality traits influence investment intentions. It is hoped that the contribution of this research will facilitate further understanding of the factors that influence investment intentions, especially in Surabaya, as well as enrich the financial behavior literature by adjusting and adding variables within the TPB framework. Apart from that, it is also hoped that it can provide a clear view of the parameters and limitations applied in research regarding investment intentions. Therefore, a hypothesis is formulated as follows:</w:t>
      </w:r>
    </w:p>
    <w:p w:rsidR="001844F8" w:rsidRPr="001844F8" w:rsidRDefault="001844F8" w:rsidP="001844F8">
      <w:pPr>
        <w:pStyle w:val="Body"/>
        <w:rPr>
          <w:rFonts w:ascii="Arial" w:hAnsi="Arial" w:cs="Arial"/>
          <w:i/>
          <w:iCs/>
        </w:rPr>
      </w:pPr>
      <w:r w:rsidRPr="001844F8">
        <w:rPr>
          <w:rFonts w:ascii="Arial" w:hAnsi="Arial" w:cs="Arial"/>
          <w:i/>
          <w:iCs/>
        </w:rPr>
        <w:t>H1: Financial Attitude has a significant influence on Investment Intentions</w:t>
      </w:r>
    </w:p>
    <w:p w:rsidR="001844F8" w:rsidRPr="001844F8" w:rsidRDefault="001844F8" w:rsidP="001844F8">
      <w:pPr>
        <w:pStyle w:val="Body"/>
        <w:rPr>
          <w:rFonts w:ascii="Arial" w:hAnsi="Arial" w:cs="Arial"/>
          <w:i/>
          <w:iCs/>
        </w:rPr>
      </w:pPr>
      <w:r w:rsidRPr="001844F8">
        <w:rPr>
          <w:rFonts w:ascii="Arial" w:hAnsi="Arial" w:cs="Arial"/>
          <w:i/>
          <w:iCs/>
        </w:rPr>
        <w:t>H2: Subjective Norms have a significant influence on Investment Intentions</w:t>
      </w:r>
    </w:p>
    <w:p w:rsidR="001844F8" w:rsidRPr="001844F8" w:rsidRDefault="001844F8" w:rsidP="001844F8">
      <w:pPr>
        <w:pStyle w:val="Body"/>
        <w:rPr>
          <w:rFonts w:ascii="Arial" w:hAnsi="Arial" w:cs="Arial"/>
          <w:i/>
          <w:iCs/>
        </w:rPr>
      </w:pPr>
      <w:r w:rsidRPr="001844F8">
        <w:rPr>
          <w:rFonts w:ascii="Arial" w:hAnsi="Arial" w:cs="Arial"/>
          <w:i/>
          <w:iCs/>
        </w:rPr>
        <w:t>H3: Financial self-efficacy has a significant influence on investment intentions</w:t>
      </w:r>
    </w:p>
    <w:p w:rsidR="001844F8" w:rsidRPr="001844F8" w:rsidRDefault="001844F8" w:rsidP="001844F8">
      <w:pPr>
        <w:pStyle w:val="Body"/>
        <w:rPr>
          <w:rFonts w:ascii="Arial" w:hAnsi="Arial" w:cs="Arial"/>
          <w:i/>
          <w:iCs/>
        </w:rPr>
      </w:pPr>
      <w:r w:rsidRPr="001844F8">
        <w:rPr>
          <w:rFonts w:ascii="Arial" w:hAnsi="Arial" w:cs="Arial"/>
          <w:i/>
          <w:iCs/>
        </w:rPr>
        <w:t>H4: Financial Knowledge has a significant influence on Investment Intentions</w:t>
      </w:r>
    </w:p>
    <w:p w:rsidR="001844F8" w:rsidRPr="001844F8" w:rsidRDefault="001844F8" w:rsidP="001844F8">
      <w:pPr>
        <w:pStyle w:val="Body"/>
        <w:rPr>
          <w:rFonts w:ascii="Arial" w:hAnsi="Arial" w:cs="Arial"/>
          <w:i/>
          <w:iCs/>
        </w:rPr>
      </w:pPr>
      <w:r w:rsidRPr="001844F8">
        <w:rPr>
          <w:rFonts w:ascii="Arial" w:hAnsi="Arial" w:cs="Arial"/>
          <w:i/>
          <w:iCs/>
        </w:rPr>
        <w:t>H5: Financial Knowledge has a significant influence on Financial Attitude</w:t>
      </w:r>
    </w:p>
    <w:p w:rsidR="001844F8" w:rsidRPr="001844F8" w:rsidRDefault="001844F8" w:rsidP="001844F8">
      <w:pPr>
        <w:pStyle w:val="Body"/>
        <w:rPr>
          <w:rFonts w:ascii="Arial" w:hAnsi="Arial" w:cs="Arial"/>
          <w:i/>
          <w:iCs/>
        </w:rPr>
      </w:pPr>
      <w:r w:rsidRPr="001844F8">
        <w:rPr>
          <w:rFonts w:ascii="Arial" w:hAnsi="Arial" w:cs="Arial"/>
          <w:i/>
          <w:iCs/>
        </w:rPr>
        <w:t>H6: Personality Traits Have a Significant Influence on Investment Intentions</w:t>
      </w:r>
    </w:p>
    <w:p w:rsidR="001844F8" w:rsidRPr="001844F8" w:rsidRDefault="001844F8" w:rsidP="001844F8">
      <w:pPr>
        <w:pStyle w:val="Body"/>
        <w:rPr>
          <w:rFonts w:ascii="Arial" w:hAnsi="Arial" w:cs="Arial"/>
          <w:i/>
          <w:iCs/>
        </w:rPr>
      </w:pPr>
      <w:r w:rsidRPr="001844F8">
        <w:rPr>
          <w:rFonts w:ascii="Arial" w:hAnsi="Arial" w:cs="Arial"/>
          <w:i/>
          <w:iCs/>
        </w:rPr>
        <w:t>H7: Personality Traits have a significant influence on financial self-efficacy</w:t>
      </w:r>
    </w:p>
    <w:p w:rsidR="001844F8" w:rsidRPr="001844F8" w:rsidRDefault="001844F8" w:rsidP="001844F8">
      <w:pPr>
        <w:pStyle w:val="Body"/>
        <w:rPr>
          <w:rFonts w:ascii="Arial" w:hAnsi="Arial" w:cs="Arial"/>
          <w:i/>
          <w:iCs/>
        </w:rPr>
      </w:pPr>
      <w:r w:rsidRPr="001844F8">
        <w:rPr>
          <w:rFonts w:ascii="Arial" w:hAnsi="Arial" w:cs="Arial"/>
          <w:i/>
          <w:iCs/>
        </w:rPr>
        <w:t>H8: Financial Knowledge has a significant influence on Investment Intentions which is mediated by Financial Attitude</w:t>
      </w:r>
    </w:p>
    <w:p w:rsidR="001844F8" w:rsidRPr="001844F8" w:rsidRDefault="001844F8" w:rsidP="001844F8">
      <w:pPr>
        <w:pStyle w:val="Body"/>
        <w:rPr>
          <w:rFonts w:ascii="Arial" w:hAnsi="Arial" w:cs="Arial"/>
          <w:i/>
          <w:iCs/>
        </w:rPr>
      </w:pPr>
      <w:r w:rsidRPr="001844F8">
        <w:rPr>
          <w:rFonts w:ascii="Arial" w:hAnsi="Arial" w:cs="Arial"/>
          <w:i/>
          <w:iCs/>
        </w:rPr>
        <w:t>H9: Personality Traits have a significant influence on investment intentions which are mediated by financial self-efficacy</w:t>
      </w:r>
    </w:p>
    <w:p w:rsidR="001844F8" w:rsidRPr="001844F8" w:rsidRDefault="001844F8" w:rsidP="001844F8">
      <w:pPr>
        <w:pStyle w:val="Body"/>
        <w:rPr>
          <w:rFonts w:ascii="Arial" w:hAnsi="Arial" w:cs="Arial"/>
        </w:rPr>
      </w:pPr>
      <w:r w:rsidRPr="001844F8">
        <w:rPr>
          <w:rFonts w:ascii="Arial" w:hAnsi="Arial" w:cs="Arial"/>
        </w:rPr>
        <w:t xml:space="preserve"> </w:t>
      </w:r>
    </w:p>
    <w:p w:rsidR="001844F8" w:rsidRPr="001844F8" w:rsidRDefault="001844F8" w:rsidP="001844F8">
      <w:pPr>
        <w:pStyle w:val="Body"/>
        <w:rPr>
          <w:rFonts w:ascii="Arial" w:hAnsi="Arial" w:cs="Arial"/>
        </w:rPr>
      </w:pPr>
      <w:r w:rsidRPr="001844F8">
        <w:rPr>
          <w:rFonts w:ascii="Arial" w:hAnsi="Arial" w:cs="Arial"/>
          <w:noProof/>
        </w:rPr>
        <w:lastRenderedPageBreak/>
        <w:drawing>
          <wp:inline distT="0" distB="0" distL="0" distR="0" wp14:anchorId="401D0167" wp14:editId="33CBA762">
            <wp:extent cx="1657350" cy="1432515"/>
            <wp:effectExtent l="0" t="0" r="0" b="0"/>
            <wp:docPr id="622805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1134" cy="1453072"/>
                    </a:xfrm>
                    <a:prstGeom prst="rect">
                      <a:avLst/>
                    </a:prstGeom>
                    <a:noFill/>
                    <a:ln>
                      <a:noFill/>
                    </a:ln>
                  </pic:spPr>
                </pic:pic>
              </a:graphicData>
            </a:graphic>
          </wp:inline>
        </w:drawing>
      </w:r>
    </w:p>
    <w:p w:rsidR="001844F8" w:rsidRPr="001844F8" w:rsidRDefault="001844F8" w:rsidP="001844F8">
      <w:pPr>
        <w:pStyle w:val="Body"/>
        <w:rPr>
          <w:rFonts w:ascii="Arial" w:hAnsi="Arial" w:cs="Arial"/>
        </w:rPr>
      </w:pPr>
      <w:r w:rsidRPr="001844F8">
        <w:rPr>
          <w:rFonts w:ascii="Arial" w:hAnsi="Arial" w:cs="Arial"/>
          <w:b/>
          <w:bCs/>
        </w:rPr>
        <w:t xml:space="preserve">Figure 1 </w:t>
      </w:r>
      <w:r w:rsidRPr="001844F8">
        <w:rPr>
          <w:rFonts w:ascii="Arial" w:hAnsi="Arial" w:cs="Arial"/>
        </w:rPr>
        <w:t>Conceptual Framework of Research</w:t>
      </w:r>
    </w:p>
    <w:p w:rsidR="001844F8" w:rsidRPr="001844F8" w:rsidRDefault="001844F8" w:rsidP="001844F8">
      <w:pPr>
        <w:pStyle w:val="Body"/>
        <w:spacing w:after="0"/>
        <w:rPr>
          <w:rFonts w:ascii="Arial" w:hAnsi="Arial" w:cs="Arial"/>
          <w:b/>
        </w:rPr>
      </w:pPr>
      <w:r>
        <w:rPr>
          <w:rFonts w:ascii="Arial" w:hAnsi="Arial" w:cs="Arial"/>
          <w:b/>
        </w:rPr>
        <w:t>2.</w:t>
      </w:r>
      <w:r w:rsidRPr="001844F8">
        <w:rPr>
          <w:rFonts w:ascii="Arial" w:hAnsi="Arial" w:cs="Arial"/>
          <w:b/>
        </w:rPr>
        <w:t>METHODS</w:t>
      </w:r>
    </w:p>
    <w:p w:rsidR="001844F8" w:rsidRPr="001844F8" w:rsidRDefault="001844F8" w:rsidP="001844F8">
      <w:pPr>
        <w:pStyle w:val="Body"/>
        <w:rPr>
          <w:rFonts w:ascii="Arial" w:hAnsi="Arial" w:cs="Arial"/>
        </w:rPr>
      </w:pPr>
      <w:r w:rsidRPr="001844F8">
        <w:rPr>
          <w:rFonts w:ascii="Arial" w:hAnsi="Arial" w:cs="Arial"/>
        </w:rPr>
        <w:t xml:space="preserve">The type of research used in this research is comparative causal research in the form of a cause-and-effect relationship between two or more </w:t>
      </w:r>
      <w:proofErr w:type="gramStart"/>
      <w:r w:rsidRPr="001844F8">
        <w:rPr>
          <w:rFonts w:ascii="Arial" w:hAnsi="Arial" w:cs="Arial"/>
        </w:rPr>
        <w:t>variables</w:t>
      </w:r>
      <w:r w:rsidRPr="001844F8">
        <w:rPr>
          <w:rFonts w:ascii="Arial" w:hAnsi="Arial" w:cs="Arial"/>
          <w:lang w:val="en-AU"/>
        </w:rPr>
        <w:t>.</w:t>
      </w:r>
      <w:r w:rsidRPr="001844F8">
        <w:rPr>
          <w:rFonts w:ascii="Arial" w:hAnsi="Arial" w:cs="Arial"/>
        </w:rPr>
        <w:t>The</w:t>
      </w:r>
      <w:proofErr w:type="gramEnd"/>
      <w:r w:rsidRPr="001844F8">
        <w:rPr>
          <w:rFonts w:ascii="Arial" w:hAnsi="Arial" w:cs="Arial"/>
        </w:rPr>
        <w:t xml:space="preserve"> population in this research is all investors in the city of Surabaya, whose number is unlimited. The selection of investors as a population is because they understand the concept of investment and have invested in the Indonesian capital market, so that the data collected will not cause bias in the results of this research data test. Meanwhile, the sampling technique used in this research is Accidental Sampling. Accidental Sampling is a technique for determining samples that coincidentally meet researchers and can be used as samples, if it is deemed that the person they meet by chance is suitable as a data source </w:t>
      </w:r>
      <w:r w:rsidRPr="001844F8">
        <w:rPr>
          <w:rFonts w:ascii="Arial" w:hAnsi="Arial" w:cs="Arial"/>
        </w:rPr>
        <w:fldChar w:fldCharType="begin" w:fldLock="1"/>
      </w:r>
      <w:r w:rsidRPr="001844F8">
        <w:rPr>
          <w:rFonts w:ascii="Arial" w:hAnsi="Arial" w:cs="Arial"/>
        </w:rPr>
        <w:instrText>ADDIN CSL_CITATION {"citationItems":[{"id":"ITEM-1","itemData":{"author":[{"dropping-particle":"","family":"Sugiyono","given":"","non-dropping-particle":"","parse-names":false,"suffix":""}],"id":"ITEM-1","issued":{"date-parts":[["2018"]]},"publisher":"Alfabeta","publisher-place":"Bandung","title":"Metode Penelitian Kuantitatif, Kualitatif, dan R&amp;D","type":"book"},"uris":["http://www.mendeley.com/documents/?uuid=0da7d4e4-1331-4a63-b35f-5f598bc4a562"]}],"mendeley":{"formattedCitation":"(Sugiyono, 2018)","plainTextFormattedCitation":"(Sugiyono, 2018)","previouslyFormattedCitation":"(Sugiyono, 2018)"},"properties":{"noteIndex":0},"schema":"https://github.com/citation-style-language/schema/raw/master/csl-citation.json"}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(Sugiyono, 2018)</w:t>
      </w:r>
      <w:r w:rsidRPr="001844F8">
        <w:rPr>
          <w:rFonts w:ascii="Arial" w:hAnsi="Arial" w:cs="Arial"/>
        </w:rPr>
        <w:fldChar w:fldCharType="end"/>
      </w:r>
      <w:r w:rsidRPr="001844F8">
        <w:rPr>
          <w:rFonts w:ascii="Arial" w:hAnsi="Arial" w:cs="Arial"/>
        </w:rPr>
        <w:t>. Sampling was carried out by visiting investors' gathering places during investor forum activities at the IDX East Java representative office or at the Stock Exchange Investment Gallery in the Surabaya City area and then by chance meeting investors at the forum with the following respondent criteria:</w:t>
      </w:r>
    </w:p>
    <w:p w:rsidR="001844F8" w:rsidRPr="001844F8" w:rsidRDefault="001844F8" w:rsidP="007418CF">
      <w:pPr>
        <w:pStyle w:val="Body"/>
        <w:numPr>
          <w:ilvl w:val="1"/>
          <w:numId w:val="2"/>
        </w:numPr>
        <w:rPr>
          <w:rFonts w:ascii="Arial" w:hAnsi="Arial" w:cs="Arial"/>
        </w:rPr>
      </w:pPr>
      <w:r w:rsidRPr="001844F8">
        <w:rPr>
          <w:rFonts w:ascii="Arial" w:hAnsi="Arial" w:cs="Arial"/>
        </w:rPr>
        <w:t>Respondents who already have a Single Investor Identification (SID) because they have invested in the Indonesian capital market</w:t>
      </w:r>
    </w:p>
    <w:p w:rsidR="001844F8" w:rsidRPr="001844F8" w:rsidRDefault="001844F8" w:rsidP="007418CF">
      <w:pPr>
        <w:pStyle w:val="Body"/>
        <w:numPr>
          <w:ilvl w:val="1"/>
          <w:numId w:val="2"/>
        </w:numPr>
        <w:rPr>
          <w:rFonts w:ascii="Arial" w:hAnsi="Arial" w:cs="Arial"/>
        </w:rPr>
      </w:pPr>
      <w:r w:rsidRPr="001844F8">
        <w:rPr>
          <w:rFonts w:ascii="Arial" w:hAnsi="Arial" w:cs="Arial"/>
        </w:rPr>
        <w:t>Respondents who have attended the Capital Market Seminar &gt; 1 time</w:t>
      </w:r>
    </w:p>
    <w:p w:rsidR="001844F8" w:rsidRPr="001844F8" w:rsidRDefault="001844F8" w:rsidP="001844F8">
      <w:pPr>
        <w:pStyle w:val="Body"/>
        <w:rPr>
          <w:rFonts w:ascii="Arial" w:hAnsi="Arial" w:cs="Arial"/>
        </w:rPr>
      </w:pPr>
      <w:r w:rsidRPr="001844F8">
        <w:rPr>
          <w:rFonts w:ascii="Arial" w:hAnsi="Arial" w:cs="Arial"/>
        </w:rPr>
        <w:t xml:space="preserve">Researchers chose a minimum sample size for time efficiency in research. Choosing the minimum amount is permissible because it complies with </w:t>
      </w:r>
      <w:r w:rsidRPr="001844F8">
        <w:rPr>
          <w:rFonts w:ascii="Arial" w:hAnsi="Arial" w:cs="Arial"/>
        </w:rPr>
        <w:fldChar w:fldCharType="begin" w:fldLock="1"/>
      </w:r>
      <w:r w:rsidRPr="001844F8">
        <w:rPr>
          <w:rFonts w:ascii="Arial" w:hAnsi="Arial" w:cs="Arial"/>
        </w:rPr>
        <w:instrText>ADDIN CSL_CITATION {"citationItems":[{"id":"ITEM-1","itemData":{"author":[{"dropping-particle":"","family":"Hair","given":"J.F.","non-dropping-particle":"","parse-names":false,"suffix":""},{"dropping-particle":"","family":"Black","given":"W.C.","non-dropping-particle":"","parse-names":false,"suffix":""},{"dropping-particle":"","family":"Babin","given":"B.J.","non-dropping-particle":"","parse-names":false,"suffix":""},{"dropping-particle":"","family":"Anderson","given":"R.E.","non-dropping-particle":"","parse-names":false,"suffix":""},{"dropping-particle":"","family":"Tatham","given":"R.L.","non-dropping-particle":"","parse-names":false,"suffix":""}],"container-title":"Prentice Hall, Upper Saddle River.","id":"ITEM-1","issue":"3","issued":{"date-parts":[["1998"]]},"page":"207-219","title":"Multivariate Data Analysis","type":"article-journal","volume":"5"},"uris":["http://www.mendeley.com/documents/?uuid=a973d2fc-cd86-4603-8ec5-fc8dbb2cd531"]}],"mendeley":{"formattedCitation":"(Hair et al., 1998)","plainTextFormattedCitation":"(Hair et al., 1998)","previouslyFormattedCitation":"(Hair et al., 1998)"},"properties":{"noteIndex":0},"schema":"https://github.com/citation-style-language/schema/raw/master/csl-citation.json"}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(Hair et al., 1998)</w:t>
      </w:r>
      <w:r w:rsidRPr="001844F8">
        <w:rPr>
          <w:rFonts w:ascii="Arial" w:hAnsi="Arial" w:cs="Arial"/>
        </w:rPr>
        <w:fldChar w:fldCharType="end"/>
      </w:r>
      <w:r w:rsidRPr="001844F8">
        <w:rPr>
          <w:rFonts w:ascii="Arial" w:hAnsi="Arial" w:cs="Arial"/>
        </w:rPr>
        <w:t xml:space="preserve">. The sample size for analysis using Structural equation modeling (SEM) which uses the Maximum Likelihood Estimation (MLE) model is 100 – 200 samples </w:t>
      </w:r>
      <w:r w:rsidRPr="001844F8">
        <w:rPr>
          <w:rFonts w:ascii="Arial" w:hAnsi="Arial" w:cs="Arial"/>
        </w:rPr>
        <w:fldChar w:fldCharType="begin" w:fldLock="1"/>
      </w:r>
      <w:r w:rsidRPr="001844F8">
        <w:rPr>
          <w:rFonts w:ascii="Arial" w:hAnsi="Arial" w:cs="Arial"/>
        </w:rPr>
        <w:instrText>ADDIN CSL_CITATION {"citationItems":[{"id":"ITEM-1","itemData":{"author":[{"dropping-particle":"","family":"Hair","given":"J.F.","non-dropping-particle":"","parse-names":false,"suffix":""},{"dropping-particle":"","family":"Black","given":"W.C.","non-dropping-particle":"","parse-names":false,"suffix":""},{"dropping-particle":"","family":"Babin","given":"B.J.","non-dropping-particle":"","parse-names":false,"suffix":""},{"dropping-particle":"","family":"Anderson","given":"R.E.","non-dropping-particle":"","parse-names":false,"suffix":""},{"dropping-particle":"","family":"Tatham","given":"R.L.","non-dropping-particle":"","parse-names":false,"suffix":""}],"container-title":"Prentice Hall, Upper Saddle River.","id":"ITEM-1","issue":"3","issued":{"date-parts":[["1998"]]},"page":"207-219","title":"Multivariate Data Analysis","type":"article-journal","volume":"5"},"uris":["http://www.mendeley.com/documents/?uuid=a973d2fc-cd86-4603-8ec5-fc8dbb2cd531"]}],"mendeley":{"formattedCitation":"(Hair et al., 1998)","plainTextFormattedCitation":"(Hair et al., 1998)","previouslyFormattedCitation":"(Hair et al., 1998)"},"properties":{"noteIndex":0},"schema":"https://github.com/citation-style-language/schema/raw/master/csl-citation.json"}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(Hair et al., 1998)</w:t>
      </w:r>
      <w:r w:rsidRPr="001844F8">
        <w:rPr>
          <w:rFonts w:ascii="Arial" w:hAnsi="Arial" w:cs="Arial"/>
        </w:rPr>
        <w:fldChar w:fldCharType="end"/>
      </w:r>
      <w:r w:rsidRPr="001844F8">
        <w:rPr>
          <w:rFonts w:ascii="Arial" w:hAnsi="Arial" w:cs="Arial"/>
        </w:rPr>
        <w:t>. The researcher's sample size was determined as 135 respondents and has entered the size range that can be used in SEM analysis.</w:t>
      </w:r>
    </w:p>
    <w:p w:rsidR="001844F8" w:rsidRPr="001844F8" w:rsidRDefault="001844F8" w:rsidP="001844F8">
      <w:pPr>
        <w:pStyle w:val="Body"/>
        <w:rPr>
          <w:rFonts w:ascii="Arial" w:hAnsi="Arial" w:cs="Arial"/>
        </w:rPr>
      </w:pPr>
      <w:r w:rsidRPr="001844F8">
        <w:rPr>
          <w:rFonts w:ascii="Arial" w:hAnsi="Arial" w:cs="Arial"/>
        </w:rPr>
        <w:t>The data collected in this research is primary data. The research instrument used in this research was a questionnaire. The questionnaire requires a measurement scale. In this research, the scale used to measure the research variables is the Likert scale. The questionnaire design in this research is as follows.</w:t>
      </w:r>
    </w:p>
    <w:p w:rsidR="001844F8" w:rsidRPr="001844F8" w:rsidRDefault="001844F8" w:rsidP="001844F8">
      <w:pPr>
        <w:pStyle w:val="Body"/>
        <w:rPr>
          <w:rFonts w:ascii="Arial" w:hAnsi="Arial" w:cs="Arial"/>
          <w:lang w:val="de-DE"/>
        </w:rPr>
      </w:pPr>
      <w:r w:rsidRPr="001844F8">
        <w:rPr>
          <w:rFonts w:ascii="Arial" w:hAnsi="Arial" w:cs="Arial"/>
          <w:b/>
          <w:bCs/>
        </w:rPr>
        <w:t>Table 1</w:t>
      </w:r>
      <w:r w:rsidRPr="001844F8">
        <w:rPr>
          <w:rFonts w:ascii="Arial" w:hAnsi="Arial" w:cs="Arial"/>
        </w:rPr>
        <w:t xml:space="preserve">. </w:t>
      </w:r>
      <w:r w:rsidRPr="001844F8">
        <w:rPr>
          <w:rFonts w:ascii="Arial" w:hAnsi="Arial" w:cs="Arial"/>
          <w:lang w:val="de-DE"/>
        </w:rPr>
        <w:t>Research questionnaire design</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06"/>
        <w:gridCol w:w="2561"/>
        <w:gridCol w:w="1505"/>
        <w:gridCol w:w="2952"/>
      </w:tblGrid>
      <w:tr w:rsidR="001844F8" w:rsidRPr="001844F8" w:rsidTr="00A6061B">
        <w:trPr>
          <w:trHeight w:val="340"/>
          <w:tblHeader/>
        </w:trPr>
        <w:tc>
          <w:tcPr>
            <w:tcW w:w="835" w:type="pct"/>
            <w:tcBorders>
              <w:top w:val="single" w:sz="12" w:space="0" w:color="auto"/>
              <w:bottom w:val="single" w:sz="12" w:space="0" w:color="auto"/>
            </w:tcBorders>
            <w:vAlign w:val="center"/>
          </w:tcPr>
          <w:p w:rsidR="001844F8" w:rsidRPr="001844F8" w:rsidRDefault="001844F8" w:rsidP="001844F8">
            <w:pPr>
              <w:pStyle w:val="Body"/>
              <w:rPr>
                <w:rFonts w:ascii="Arial" w:hAnsi="Arial" w:cs="Arial"/>
                <w:b/>
                <w:bCs/>
                <w:lang w:val="id-ID"/>
              </w:rPr>
            </w:pPr>
            <w:r w:rsidRPr="001844F8">
              <w:rPr>
                <w:rFonts w:ascii="Arial" w:hAnsi="Arial" w:cs="Arial"/>
                <w:b/>
                <w:bCs/>
                <w:lang w:val="id-ID"/>
              </w:rPr>
              <w:t>Variable</w:t>
            </w:r>
          </w:p>
        </w:tc>
        <w:tc>
          <w:tcPr>
            <w:tcW w:w="1520" w:type="pct"/>
            <w:tcBorders>
              <w:top w:val="single" w:sz="12" w:space="0" w:color="auto"/>
              <w:bottom w:val="single" w:sz="12" w:space="0" w:color="auto"/>
            </w:tcBorders>
            <w:vAlign w:val="center"/>
          </w:tcPr>
          <w:p w:rsidR="001844F8" w:rsidRPr="001844F8" w:rsidRDefault="001844F8" w:rsidP="001844F8">
            <w:pPr>
              <w:pStyle w:val="Body"/>
              <w:rPr>
                <w:rFonts w:ascii="Arial" w:hAnsi="Arial" w:cs="Arial"/>
                <w:b/>
                <w:bCs/>
                <w:lang w:val="id-ID"/>
              </w:rPr>
            </w:pPr>
            <w:r w:rsidRPr="001844F8">
              <w:rPr>
                <w:rFonts w:ascii="Arial" w:hAnsi="Arial" w:cs="Arial"/>
                <w:b/>
                <w:bCs/>
                <w:lang w:val="id-ID"/>
              </w:rPr>
              <w:t>Indicator</w:t>
            </w:r>
          </w:p>
        </w:tc>
        <w:tc>
          <w:tcPr>
            <w:tcW w:w="893" w:type="pct"/>
            <w:tcBorders>
              <w:top w:val="single" w:sz="12" w:space="0" w:color="auto"/>
              <w:bottom w:val="single" w:sz="12" w:space="0" w:color="auto"/>
            </w:tcBorders>
          </w:tcPr>
          <w:p w:rsidR="001844F8" w:rsidRPr="001844F8" w:rsidRDefault="001844F8" w:rsidP="001844F8">
            <w:pPr>
              <w:pStyle w:val="Body"/>
              <w:rPr>
                <w:rFonts w:ascii="Arial" w:hAnsi="Arial" w:cs="Arial"/>
                <w:b/>
                <w:bCs/>
                <w:lang w:val="id-ID"/>
              </w:rPr>
            </w:pPr>
            <w:r w:rsidRPr="001844F8">
              <w:rPr>
                <w:rFonts w:ascii="Arial" w:hAnsi="Arial" w:cs="Arial"/>
                <w:b/>
                <w:bCs/>
                <w:lang w:val="id-ID"/>
              </w:rPr>
              <w:t>Source</w:t>
            </w:r>
          </w:p>
        </w:tc>
        <w:tc>
          <w:tcPr>
            <w:tcW w:w="1752" w:type="pct"/>
            <w:tcBorders>
              <w:top w:val="single" w:sz="12" w:space="0" w:color="auto"/>
              <w:bottom w:val="single" w:sz="12" w:space="0" w:color="auto"/>
            </w:tcBorders>
            <w:vAlign w:val="center"/>
          </w:tcPr>
          <w:p w:rsidR="001844F8" w:rsidRPr="001844F8" w:rsidRDefault="001844F8" w:rsidP="001844F8">
            <w:pPr>
              <w:pStyle w:val="Body"/>
              <w:rPr>
                <w:rFonts w:ascii="Arial" w:hAnsi="Arial" w:cs="Arial"/>
                <w:b/>
                <w:bCs/>
                <w:lang w:val="id-ID"/>
              </w:rPr>
            </w:pPr>
            <w:r w:rsidRPr="001844F8">
              <w:rPr>
                <w:rFonts w:ascii="Arial" w:hAnsi="Arial" w:cs="Arial"/>
                <w:b/>
                <w:bCs/>
                <w:lang w:val="id-ID"/>
              </w:rPr>
              <w:t>Keywords</w:t>
            </w:r>
          </w:p>
        </w:tc>
      </w:tr>
      <w:tr w:rsidR="001844F8" w:rsidRPr="001844F8" w:rsidTr="00A6061B">
        <w:trPr>
          <w:trHeight w:val="111"/>
        </w:trPr>
        <w:tc>
          <w:tcPr>
            <w:tcW w:w="835" w:type="pct"/>
            <w:vMerge w:val="restart"/>
            <w:tcBorders>
              <w:top w:val="single" w:sz="1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i/>
                <w:iCs/>
                <w:lang w:val="id-ID"/>
              </w:rPr>
              <w:t xml:space="preserve">Personality </w:t>
            </w:r>
            <w:r w:rsidRPr="001844F8">
              <w:rPr>
                <w:rFonts w:ascii="Arial" w:hAnsi="Arial" w:cs="Arial"/>
                <w:i/>
                <w:iCs/>
                <w:lang w:val="id-ID"/>
              </w:rPr>
              <w:lastRenderedPageBreak/>
              <w:t>Traits</w:t>
            </w:r>
          </w:p>
        </w:tc>
        <w:tc>
          <w:tcPr>
            <w:tcW w:w="1520" w:type="pct"/>
            <w:tcBorders>
              <w:top w:val="single" w:sz="1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lastRenderedPageBreak/>
              <w:t>Creative</w:t>
            </w:r>
          </w:p>
        </w:tc>
        <w:tc>
          <w:tcPr>
            <w:tcW w:w="893" w:type="pct"/>
            <w:vMerge w:val="restart"/>
            <w:tcBorders>
              <w:top w:val="single" w:sz="1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fldChar w:fldCharType="begin" w:fldLock="1"/>
            </w:r>
            <w:r w:rsidRPr="001844F8">
              <w:rPr>
                <w:rFonts w:ascii="Arial" w:hAnsi="Arial" w:cs="Arial"/>
                <w:lang w:val="id-ID"/>
              </w:rPr>
              <w:instrText>ADDIN CSL_CITATION {"citationItems":[{"id":"ITEM-1","itemData":{"DOI":"10.1108/IJBM-08-2017-0167","ISSN":"02652323","abstract":"Purpose: The purpose of this paper is to understand investment intention of prospective individual investors in a developing country (i.e. India) by using the “Theory of Planned Behaviour” (TPB) (where perceived behavioural control has been replaced with financial self-efficacy, FSE) and two additional constructs, i.e. financial knowledge and personality traits (i.e. risk-taking propensity and preference for innovation) have been introduced. Design/methodology/approach: The study uses quantitative and cross-sectional approach wherein questionnaire based survey was done to collect responses from prospective individual investors (920 usable responses). AMOS and SPSS have been used to establish the hypothesised relationship between the constructs. Findings: The results of the study suggested that attitude was responsible for partial mediation between the relationship of financial knowledge and investment intention, whereas financial self-efficacy was exerting a dual role on the relationship between personality traits and investment intention. Subjective norms, on the other hand, exerted a weak positive effect on investment intention. Research limitations/implications: This study is limited to measure the investment intention in financial markets in case of prospective individual investors; it does not incorporate the actual investment behaviour, the study also fails to include demographic factors which play a vital role in investment decision making. Furthermore, the study has only considered objective dimension of financial knowledge. Practical implications: The findings will be useful for financial service providers who need to enhance the FSE and financial knowledge and design a “behavioural portfolio” according the personality traits of their clients. Social implications: The up-liftment of financial confidence among individuals in order to motivate them to participate in financial markets and enjoy “short-cuts” towards financial success. Originality/value: This study is one of the initial attempts in the context of the Indian Stock Market to introduce FSE as a dual (both mediating and moderating) construct between personality traits and investment intention using TPB, moreover, this study also provides the necessary impetus to analyse the relationship between financial knowledge and investment intention with attitude as the mediating variable.","author":[{"dropping-particle":"","family":"Akhtar","given":"Fatima","non-dropping-particle":"","parse-names":false,"suffix":""},{"dropping-particle":"","family":"Das","given":"Niladri","non-dropping-particle":"","parse-names":false,"suffix":""}],"container-title":"International Journal of Bank Marketing","id":"ITEM-1","issue":"1","issued":{"date-parts":[["2019"]]},"page":"97-119","title":"Predictors of investment intention in Indian stock markets: Extending the theory of planned behaviour","type":"article-journal","volume":"37"},"uris":["http://www.mendeley.com/documents/?uuid=1a236fdb-18fd-4a12-b3cd-9143bd5ea03b"]}],"mendeley":{"formattedCitation":"(Akhtar &amp; Das, 2019)","plainTextFormattedCitation":"(Akhtar &amp; Das, 2019)","previouslyFormattedCitation":"(Akhtar &amp; Das, 2019)"},"properties":{"noteIndex":0},"schema":"https://github.com/citation-style-language/schema/raw/master/csl-citation.json"}</w:instrText>
            </w:r>
            <w:r w:rsidRPr="001844F8">
              <w:rPr>
                <w:rFonts w:ascii="Arial" w:hAnsi="Arial" w:cs="Arial"/>
                <w:lang w:val="id-ID"/>
              </w:rPr>
              <w:fldChar w:fldCharType="separate"/>
            </w:r>
            <w:r w:rsidRPr="001844F8">
              <w:rPr>
                <w:rFonts w:ascii="Arial" w:hAnsi="Arial" w:cs="Arial"/>
                <w:lang w:val="id-ID"/>
              </w:rPr>
              <w:t xml:space="preserve">(Akhtar &amp; </w:t>
            </w:r>
            <w:r w:rsidRPr="001844F8">
              <w:rPr>
                <w:rFonts w:ascii="Arial" w:hAnsi="Arial" w:cs="Arial"/>
                <w:lang w:val="id-ID"/>
              </w:rPr>
              <w:lastRenderedPageBreak/>
              <w:t>Das, 2019)</w:t>
            </w:r>
            <w:r w:rsidRPr="001844F8">
              <w:rPr>
                <w:rFonts w:ascii="Arial" w:hAnsi="Arial" w:cs="Arial"/>
              </w:rPr>
              <w:fldChar w:fldCharType="end"/>
            </w:r>
          </w:p>
        </w:tc>
        <w:tc>
          <w:tcPr>
            <w:tcW w:w="1752" w:type="pct"/>
            <w:tcBorders>
              <w:top w:val="single" w:sz="1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lastRenderedPageBreak/>
              <w:t>Creative activity</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Intelligent</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Avoid plagiarism</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Productive</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rPr>
            </w:pPr>
            <w:r w:rsidRPr="001844F8">
              <w:rPr>
                <w:rFonts w:ascii="Arial" w:hAnsi="Arial" w:cs="Arial"/>
              </w:rPr>
              <w:t>Try and find new activities</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Be alert and careful</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Stick to company fundamentals</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rPr>
            </w:pPr>
            <w:r w:rsidRPr="001844F8">
              <w:rPr>
                <w:rFonts w:ascii="Arial" w:hAnsi="Arial" w:cs="Arial"/>
              </w:rPr>
              <w:t>Brave and not careful</w:t>
            </w:r>
          </w:p>
        </w:tc>
        <w:tc>
          <w:tcPr>
            <w:tcW w:w="893" w:type="pct"/>
            <w:vMerge/>
          </w:tcPr>
          <w:p w:rsidR="001844F8" w:rsidRPr="001844F8" w:rsidRDefault="001844F8" w:rsidP="001844F8">
            <w:pPr>
              <w:pStyle w:val="Body"/>
              <w:rPr>
                <w:rFonts w:ascii="Arial" w:hAnsi="Arial" w:cs="Arial"/>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Speculative</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Conservative</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Investment activities have meaning for me</w:t>
            </w:r>
          </w:p>
        </w:tc>
      </w:tr>
      <w:tr w:rsidR="001844F8" w:rsidRPr="001844F8" w:rsidTr="00A6061B">
        <w:trPr>
          <w:trHeight w:val="340"/>
        </w:trPr>
        <w:tc>
          <w:tcPr>
            <w:tcW w:w="835" w:type="pct"/>
            <w:vMerge w:val="restar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i/>
                <w:iCs/>
                <w:lang w:val="id-ID"/>
              </w:rPr>
              <w:t>Financial Knowledge</w:t>
            </w:r>
          </w:p>
        </w:tc>
        <w:tc>
          <w:tcPr>
            <w:tcW w:w="1520" w:type="pc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Risk diversification</w:t>
            </w:r>
          </w:p>
        </w:tc>
        <w:tc>
          <w:tcPr>
            <w:tcW w:w="893" w:type="pct"/>
            <w:vMerge w:val="restar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fldChar w:fldCharType="begin" w:fldLock="1"/>
            </w:r>
            <w:r w:rsidRPr="001844F8">
              <w:rPr>
                <w:rFonts w:ascii="Arial" w:hAnsi="Arial" w:cs="Arial"/>
                <w:lang w:val="id-ID"/>
              </w:rPr>
              <w:instrText>ADDIN CSL_CITATION {"citationItems":[{"id":"ITEM-1","itemData":{"ISBN":"9780226473093","author":[{"dropping-particle":"","family":"Klapper","given":"Leora","non-dropping-particle":"","parse-names":false,"suffix":""},{"dropping-particle":"","family":"Amit","given":"Raphael","non-dropping-particle":"","parse-names":false,"suffix":""},{"dropping-particle":"","family":"Guillen","given":"Mauro F.","non-dropping-particle":"","parse-names":false,"suffix":""}],"container-title":"National Bureau of Economic Research","id":"ITEM-1","issue":"May","issued":{"date-parts":[["2010"]]},"number-of-pages":"129-158","title":"International Differences in Entreprenuership: Enterpreneurship and firm formation across countries.","type":"book"},"uris":["http://www.mendeley.com/documents/?uuid=f891b5fa-50cb-4b98-b35b-47d64241500b"]}],"mendeley":{"formattedCitation":"(Klapper et al., 2010)","plainTextFormattedCitation":"(Klapper et al., 2010)","previouslyFormattedCitation":"(Klapper et al., 2010)"},"properties":{"noteIndex":0},"schema":"https://github.com/citation-style-language/schema/raw/master/csl-citation.json"}</w:instrText>
            </w:r>
            <w:r w:rsidRPr="001844F8">
              <w:rPr>
                <w:rFonts w:ascii="Arial" w:hAnsi="Arial" w:cs="Arial"/>
                <w:lang w:val="id-ID"/>
              </w:rPr>
              <w:fldChar w:fldCharType="separate"/>
            </w:r>
            <w:r w:rsidRPr="001844F8">
              <w:rPr>
                <w:rFonts w:ascii="Arial" w:hAnsi="Arial" w:cs="Arial"/>
                <w:lang w:val="id-ID"/>
              </w:rPr>
              <w:t>(Klapper et al., 2010)</w:t>
            </w:r>
            <w:r w:rsidRPr="001844F8">
              <w:rPr>
                <w:rFonts w:ascii="Arial" w:hAnsi="Arial" w:cs="Arial"/>
              </w:rPr>
              <w:fldChar w:fldCharType="end"/>
            </w:r>
          </w:p>
        </w:tc>
        <w:tc>
          <w:tcPr>
            <w:tcW w:w="1752" w:type="pc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Has several investment products</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Inflation</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Understand the concept of Inflation</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Flower</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Understand the concept of interest</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tcBorders>
              <w:bottom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Compound Interest</w:t>
            </w:r>
          </w:p>
        </w:tc>
        <w:tc>
          <w:tcPr>
            <w:tcW w:w="893" w:type="pct"/>
            <w:vMerge/>
            <w:tcBorders>
              <w:bottom w:val="single" w:sz="2" w:space="0" w:color="auto"/>
            </w:tcBorders>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rPr>
            </w:pPr>
            <w:r w:rsidRPr="001844F8">
              <w:rPr>
                <w:rFonts w:ascii="Arial" w:hAnsi="Arial" w:cs="Arial"/>
              </w:rPr>
              <w:t>Understand the concept of Compound Interest</w:t>
            </w:r>
          </w:p>
        </w:tc>
      </w:tr>
      <w:tr w:rsidR="001844F8" w:rsidRPr="001844F8" w:rsidTr="00A6061B">
        <w:trPr>
          <w:trHeight w:val="340"/>
        </w:trPr>
        <w:tc>
          <w:tcPr>
            <w:tcW w:w="835" w:type="pct"/>
            <w:vMerge w:val="restar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Attitude</w:t>
            </w:r>
          </w:p>
        </w:tc>
        <w:tc>
          <w:tcPr>
            <w:tcW w:w="1520" w:type="pct"/>
            <w:tcBorders>
              <w:top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Practical wealth development</w:t>
            </w:r>
          </w:p>
        </w:tc>
        <w:tc>
          <w:tcPr>
            <w:tcW w:w="893" w:type="pct"/>
            <w:vMerge w:val="restart"/>
            <w:tcBorders>
              <w:top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fldChar w:fldCharType="begin" w:fldLock="1"/>
            </w:r>
            <w:r w:rsidRPr="001844F8">
              <w:rPr>
                <w:rFonts w:ascii="Arial" w:hAnsi="Arial" w:cs="Arial"/>
                <w:lang w:val="id-ID"/>
              </w:rPr>
              <w:instrText>ADDIN CSL_CITATION {"citationItems":[{"id":"ITEM-1","itemData":{"DOI":"10.33087/ekonomis.v7i1.818","abstract":"This study aims to determine the effect of investment motivation, financial literacy, and family environment on millennial children's investment interest. The research method uses quantitative. The population in this study were millennial children aged 20-40 years. The sample used in this study were 100 employees. The sampling technique is based on 25 times the number of variables used, namely 3 independent variables and 1 dependent variable. The tests used in this research are validity, reliability, normality, heteroscedasticity, multicollinearity, multiple linear regression analysis, partial test, simultaneous test, and coefficient of determination test. The results showed that the investment motivation variable partially had a positive and significant effect on millennial children's investment interest, but the financial literacy and family environment variables partially had no significant effect on investment interest. Simultaneously, the variables of investment motivation, financial literacy, and family environment have a positive and significant effect on millennial children's investment interest","author":[{"dropping-particle":"","family":"Seni","given":"Ni Nyoman Anggar","non-dropping-particle":"","parse-names":false,"suffix":""},{"dropping-particle":"","family":"Ratnadi","given":"Ni Made Dwi","non-dropping-particle":"","parse-names":false,"suffix":""}],"container-title":"Ekonomis: Journal of Economics and Business","id":"ITEM-1","issue":"1","issued":{"date-parts":[["2023"]]},"page":"226","title":"THEORY OF PLANNED BEHAVIOR UNTUK MEMPREDIKSI NIAT BERINVESTASI","type":"article-journal","volume":"7"},"uris":["http://www.mendeley.com/documents/?uuid=a2c33078-82b8-4132-bc0d-c9f69b3c6c91"]}],"mendeley":{"formattedCitation":"(Seni &amp; Ratnadi, 2023)","plainTextFormattedCitation":"(Seni &amp; Ratnadi, 2023)","previouslyFormattedCitation":"(Seni &amp; Ratnadi, 2023)"},"properties":{"noteIndex":0},"schema":"https://github.com/citation-style-language/schema/raw/master/csl-citation.json"}</w:instrText>
            </w:r>
            <w:r w:rsidRPr="001844F8">
              <w:rPr>
                <w:rFonts w:ascii="Arial" w:hAnsi="Arial" w:cs="Arial"/>
                <w:lang w:val="id-ID"/>
              </w:rPr>
              <w:fldChar w:fldCharType="separate"/>
            </w:r>
            <w:r w:rsidRPr="001844F8">
              <w:rPr>
                <w:rFonts w:ascii="Arial" w:hAnsi="Arial" w:cs="Arial"/>
                <w:lang w:val="id-ID"/>
              </w:rPr>
              <w:t>(Seni &amp; Ratnadi, 2023)</w:t>
            </w:r>
            <w:r w:rsidRPr="001844F8">
              <w:rPr>
                <w:rFonts w:ascii="Arial" w:hAnsi="Arial" w:cs="Arial"/>
              </w:rPr>
              <w:fldChar w:fldCharType="end"/>
            </w:r>
          </w:p>
        </w:tc>
        <w:tc>
          <w:tcPr>
            <w:tcW w:w="1752" w:type="pct"/>
            <w:vAlign w:val="center"/>
          </w:tcPr>
          <w:p w:rsidR="001844F8" w:rsidRPr="001844F8" w:rsidRDefault="001844F8" w:rsidP="001844F8">
            <w:pPr>
              <w:pStyle w:val="Body"/>
              <w:rPr>
                <w:rFonts w:ascii="Arial" w:hAnsi="Arial" w:cs="Arial"/>
              </w:rPr>
            </w:pPr>
            <w:r w:rsidRPr="001844F8">
              <w:rPr>
                <w:rFonts w:ascii="Arial" w:hAnsi="Arial" w:cs="Arial"/>
              </w:rPr>
              <w:t>Investing is the same as getting rich</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rPr>
            </w:pPr>
          </w:p>
        </w:tc>
        <w:tc>
          <w:tcPr>
            <w:tcW w:w="1520" w:type="pct"/>
            <w:vAlign w:val="center"/>
          </w:tcPr>
          <w:p w:rsidR="001844F8" w:rsidRPr="001844F8" w:rsidRDefault="001844F8" w:rsidP="001844F8">
            <w:pPr>
              <w:pStyle w:val="Body"/>
              <w:rPr>
                <w:rFonts w:ascii="Arial" w:hAnsi="Arial" w:cs="Arial"/>
              </w:rPr>
            </w:pPr>
            <w:r w:rsidRPr="001844F8">
              <w:rPr>
                <w:rFonts w:ascii="Arial" w:hAnsi="Arial" w:cs="Arial"/>
              </w:rPr>
              <w:t>Advantages over other instruments</w:t>
            </w:r>
          </w:p>
        </w:tc>
        <w:tc>
          <w:tcPr>
            <w:tcW w:w="893" w:type="pct"/>
            <w:vMerge/>
          </w:tcPr>
          <w:p w:rsidR="001844F8" w:rsidRPr="001844F8" w:rsidRDefault="001844F8" w:rsidP="001844F8">
            <w:pPr>
              <w:pStyle w:val="Body"/>
              <w:rPr>
                <w:rFonts w:ascii="Arial" w:hAnsi="Arial" w:cs="Arial"/>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Comparing investment returns with other instruments</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Pension</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Old age insurance</w:t>
            </w:r>
          </w:p>
        </w:tc>
      </w:tr>
      <w:tr w:rsidR="001844F8" w:rsidRPr="001844F8" w:rsidTr="00A6061B">
        <w:trPr>
          <w:trHeight w:val="340"/>
        </w:trPr>
        <w:tc>
          <w:tcPr>
            <w:tcW w:w="835" w:type="pct"/>
            <w:vMerge/>
            <w:tcBorders>
              <w:bottom w:val="single" w:sz="2" w:space="0" w:color="auto"/>
            </w:tcBorders>
            <w:vAlign w:val="center"/>
          </w:tcPr>
          <w:p w:rsidR="001844F8" w:rsidRPr="001844F8" w:rsidRDefault="001844F8" w:rsidP="001844F8">
            <w:pPr>
              <w:pStyle w:val="Body"/>
              <w:rPr>
                <w:rFonts w:ascii="Arial" w:hAnsi="Arial" w:cs="Arial"/>
                <w:lang w:val="id-ID"/>
              </w:rPr>
            </w:pPr>
          </w:p>
        </w:tc>
        <w:tc>
          <w:tcPr>
            <w:tcW w:w="1520" w:type="pct"/>
            <w:tcBorders>
              <w:bottom w:val="single" w:sz="2" w:space="0" w:color="auto"/>
            </w:tcBorders>
            <w:vAlign w:val="center"/>
          </w:tcPr>
          <w:p w:rsidR="001844F8" w:rsidRPr="001844F8" w:rsidRDefault="001844F8" w:rsidP="001844F8">
            <w:pPr>
              <w:pStyle w:val="Body"/>
              <w:rPr>
                <w:rFonts w:ascii="Arial" w:hAnsi="Arial" w:cs="Arial"/>
              </w:rPr>
            </w:pPr>
            <w:r w:rsidRPr="001844F8">
              <w:rPr>
                <w:rFonts w:ascii="Arial" w:hAnsi="Arial" w:cs="Arial"/>
              </w:rPr>
              <w:t>Unpredictable and difficult to understand</w:t>
            </w:r>
          </w:p>
        </w:tc>
        <w:tc>
          <w:tcPr>
            <w:tcW w:w="893" w:type="pct"/>
            <w:vMerge/>
            <w:tcBorders>
              <w:bottom w:val="single" w:sz="2" w:space="0" w:color="auto"/>
            </w:tcBorders>
          </w:tcPr>
          <w:p w:rsidR="001844F8" w:rsidRPr="001844F8" w:rsidRDefault="001844F8" w:rsidP="001844F8">
            <w:pPr>
              <w:pStyle w:val="Body"/>
              <w:rPr>
                <w:rFonts w:ascii="Arial" w:hAnsi="Arial" w:cs="Arial"/>
              </w:rPr>
            </w:pPr>
          </w:p>
        </w:tc>
        <w:tc>
          <w:tcPr>
            <w:tcW w:w="1752" w:type="pct"/>
            <w:tcBorders>
              <w:bottom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Investment risk</w:t>
            </w:r>
          </w:p>
        </w:tc>
      </w:tr>
      <w:tr w:rsidR="001844F8" w:rsidRPr="001844F8" w:rsidTr="00A6061B">
        <w:trPr>
          <w:trHeight w:val="340"/>
        </w:trPr>
        <w:tc>
          <w:tcPr>
            <w:tcW w:w="835" w:type="pct"/>
            <w:vMerge w:val="restart"/>
            <w:tcBorders>
              <w:top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Subjective norms</w:t>
            </w:r>
          </w:p>
        </w:tc>
        <w:tc>
          <w:tcPr>
            <w:tcW w:w="1520" w:type="pct"/>
            <w:tcBorders>
              <w:top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Friend</w:t>
            </w:r>
          </w:p>
        </w:tc>
        <w:tc>
          <w:tcPr>
            <w:tcW w:w="893" w:type="pct"/>
            <w:vMerge w:val="restart"/>
            <w:tcBorders>
              <w:top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fldChar w:fldCharType="begin" w:fldLock="1"/>
            </w:r>
            <w:r w:rsidRPr="001844F8">
              <w:rPr>
                <w:rFonts w:ascii="Arial" w:hAnsi="Arial" w:cs="Arial"/>
                <w:lang w:val="id-ID"/>
              </w:rPr>
              <w:instrText>ADDIN CSL_CITATION {"citationItems":[{"id":"ITEM-1","itemData":{"DOI":"10.33087/ekonomis.v7i1.818","abstract":"This study aims to determine the effect of investment motivation, financial literacy, and family environment on millennial children's investment interest. The research method uses quantitative. The population in this study were millennial children aged 20-40 years. The sample used in this study were 100 employees. The sampling technique is based on 25 times the number of variables used, namely 3 independent variables and 1 dependent variable. The tests used in this research are validity, reliability, normality, heteroscedasticity, multicollinearity, multiple linear regression analysis, partial test, simultaneous test, and coefficient of determination test. The results showed that the investment motivation variable partially had a positive and significant effect on millennial children's investment interest, but the financial literacy and family environment variables partially had no significant effect on investment interest. Simultaneously, the variables of investment motivation, financial literacy, and family environment have a positive and significant effect on millennial children's investment interest","author":[{"dropping-particle":"","family":"Seni","given":"Ni Nyoman Anggar","non-dropping-particle":"","parse-names":false,"suffix":""},{"dropping-particle":"","family":"Ratnadi","given":"Ni Made Dwi","non-dropping-particle":"","parse-names":false,"suffix":""}],"container-title":"Ekonomis: Journal of Economics and Business","id":"ITEM-1","issue":"1","issued":{"date-parts":[["2023"]]},"page":"226","title":"THEORY OF PLANNED BEHAVIOR UNTUK MEMPREDIKSI NIAT BERINVESTASI","type":"article-journal","volume":"7"},"uris":["http://www.mendeley.com/documents/?uuid=a2c33078-82b8-4132-bc0d-c9f69b3c6c91"]}],"mendeley":{"formattedCitation":"(Seni &amp; Ratnadi, 2023)","plainTextFormattedCitation":"(Seni &amp; Ratnadi, 2023)","previouslyFormattedCitation":"(Seni &amp; Ratnadi, 2023)"},"properties":{"noteIndex":0},"schema":"https://github.com/citation-style-language/schema/raw/master/csl-citation.json"}</w:instrText>
            </w:r>
            <w:r w:rsidRPr="001844F8">
              <w:rPr>
                <w:rFonts w:ascii="Arial" w:hAnsi="Arial" w:cs="Arial"/>
                <w:lang w:val="id-ID"/>
              </w:rPr>
              <w:fldChar w:fldCharType="separate"/>
            </w:r>
            <w:r w:rsidRPr="001844F8">
              <w:rPr>
                <w:rFonts w:ascii="Arial" w:hAnsi="Arial" w:cs="Arial"/>
                <w:lang w:val="id-ID"/>
              </w:rPr>
              <w:t>(Seni &amp; Ratnadi, 2023)</w:t>
            </w:r>
            <w:r w:rsidRPr="001844F8">
              <w:rPr>
                <w:rFonts w:ascii="Arial" w:hAnsi="Arial" w:cs="Arial"/>
              </w:rPr>
              <w:fldChar w:fldCharType="end"/>
            </w:r>
          </w:p>
        </w:tc>
        <w:tc>
          <w:tcPr>
            <w:tcW w:w="1752" w:type="pct"/>
            <w:tcBorders>
              <w:top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Invite a friend</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Parent</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Invite parents</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You</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Invite me</w:t>
            </w:r>
          </w:p>
        </w:tc>
      </w:tr>
      <w:tr w:rsidR="001844F8" w:rsidRPr="001844F8" w:rsidTr="00A6061B">
        <w:trPr>
          <w:trHeight w:val="340"/>
        </w:trPr>
        <w:tc>
          <w:tcPr>
            <w:tcW w:w="835" w:type="pct"/>
            <w:vMerge/>
            <w:tcBorders>
              <w:bottom w:val="single" w:sz="2" w:space="0" w:color="auto"/>
            </w:tcBorders>
            <w:vAlign w:val="center"/>
          </w:tcPr>
          <w:p w:rsidR="001844F8" w:rsidRPr="001844F8" w:rsidRDefault="001844F8" w:rsidP="001844F8">
            <w:pPr>
              <w:pStyle w:val="Body"/>
              <w:rPr>
                <w:rFonts w:ascii="Arial" w:hAnsi="Arial" w:cs="Arial"/>
                <w:lang w:val="id-ID"/>
              </w:rPr>
            </w:pPr>
          </w:p>
        </w:tc>
        <w:tc>
          <w:tcPr>
            <w:tcW w:w="1520" w:type="pct"/>
            <w:tcBorders>
              <w:bottom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i/>
                <w:iCs/>
                <w:lang w:val="id-ID"/>
              </w:rPr>
              <w:t>Influencers</w:t>
            </w:r>
            <w:r w:rsidRPr="001844F8">
              <w:rPr>
                <w:rFonts w:ascii="Arial" w:hAnsi="Arial" w:cs="Arial"/>
                <w:lang w:val="id-ID"/>
              </w:rPr>
              <w:t>Share</w:t>
            </w:r>
          </w:p>
        </w:tc>
        <w:tc>
          <w:tcPr>
            <w:tcW w:w="893" w:type="pct"/>
            <w:vMerge/>
            <w:tcBorders>
              <w:bottom w:val="single" w:sz="2" w:space="0" w:color="auto"/>
            </w:tcBorders>
          </w:tcPr>
          <w:p w:rsidR="001844F8" w:rsidRPr="001844F8" w:rsidRDefault="001844F8" w:rsidP="001844F8">
            <w:pPr>
              <w:pStyle w:val="Body"/>
              <w:rPr>
                <w:rFonts w:ascii="Arial" w:hAnsi="Arial" w:cs="Arial"/>
                <w:lang w:val="id-ID"/>
              </w:rPr>
            </w:pPr>
          </w:p>
        </w:tc>
        <w:tc>
          <w:tcPr>
            <w:tcW w:w="1752" w:type="pct"/>
            <w:tcBorders>
              <w:bottom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Invite Influencers to Share Shares on Social Media</w:t>
            </w:r>
          </w:p>
        </w:tc>
      </w:tr>
      <w:tr w:rsidR="001844F8" w:rsidRPr="001844F8" w:rsidTr="00A6061B">
        <w:trPr>
          <w:trHeight w:val="340"/>
        </w:trPr>
        <w:tc>
          <w:tcPr>
            <w:tcW w:w="835" w:type="pct"/>
            <w:vMerge w:val="restart"/>
            <w:tcBorders>
              <w:top w:val="single" w:sz="2" w:space="0" w:color="auto"/>
              <w:bottom w:val="single" w:sz="1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lastRenderedPageBreak/>
              <w:t>FSE</w:t>
            </w:r>
          </w:p>
        </w:tc>
        <w:tc>
          <w:tcPr>
            <w:tcW w:w="1520" w:type="pct"/>
            <w:tcBorders>
              <w:top w:val="single" w:sz="2" w:space="0" w:color="auto"/>
              <w:bottom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Stick to a spending plan</w:t>
            </w:r>
          </w:p>
        </w:tc>
        <w:tc>
          <w:tcPr>
            <w:tcW w:w="893" w:type="pct"/>
            <w:vMerge w:val="restart"/>
            <w:tcBorders>
              <w:top w:val="single" w:sz="2" w:space="0" w:color="auto"/>
              <w:bottom w:val="single" w:sz="1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fldChar w:fldCharType="begin" w:fldLock="1"/>
            </w:r>
            <w:r w:rsidRPr="001844F8">
              <w:rPr>
                <w:rFonts w:ascii="Arial" w:hAnsi="Arial" w:cs="Arial"/>
                <w:lang w:val="id-ID"/>
              </w:rPr>
              <w:instrText>ADDIN CSL_CITATION {"citationItems":[{"id":"ITEM-1","itemData":{"ISSN":"19477910","abstract":"This study developed a 6-item Financial Self-Efficacy Scale for use by researchers, educators, counselors, and advisors. Bandura's concept of self-efficacy and Prochaska's Transtheoretical Model of Behavior Change provided the theoretical framework. Scale items were adapted from Schwarzer and Jerusalem's (1995) General Self-Efficacy Scale. Psychometrics were measured using a sample of 726 university employees. Alpha reliability was.76. One-way ANOVA compared self-efficacy scores to respondents' assessment of their investment sophistication. Factor analysis resulted in a coherent factor with loadings ranging from.574 to.759. In addition to providing researchers with a means to measure behavioral aspects of financial management, a financial self-efficacy scale can help educators and counselors better understand, guide, and motivate their students and clients. © 2011 Association for Financial Counseling and Planning Education®. All rights of reproduction in any form reserved.","author":[{"dropping-particle":"","family":"Lown","given":"Jean M.","non-dropping-particle":"","parse-names":false,"suffix":""}],"container-title":"Journal of Financial Counseling and Planning","id":"ITEM-1","issue":"2","issued":{"date-parts":[["2011"]]},"page":"54-63","title":"Conference paper: Development and validation of a Financial Self-Efficacy Scale","type":"paper-conference","volume":"22"},"uris":["http://www.mendeley.com/documents/?uuid=bf0d3e4c-50cd-45d9-8060-b6ef19c5fbe1"]}],"mendeley":{"formattedCitation":"(Lown, 2011)","plainTextFormattedCitation":"(Lown, 2011)","previouslyFormattedCitation":"(Lown, 2011)"},"properties":{"noteIndex":0},"schema":"https://github.com/citation-style-language/schema/raw/master/csl-citation.json"}</w:instrText>
            </w:r>
            <w:r w:rsidRPr="001844F8">
              <w:rPr>
                <w:rFonts w:ascii="Arial" w:hAnsi="Arial" w:cs="Arial"/>
                <w:lang w:val="id-ID"/>
              </w:rPr>
              <w:fldChar w:fldCharType="separate"/>
            </w:r>
            <w:r w:rsidRPr="001844F8">
              <w:rPr>
                <w:rFonts w:ascii="Arial" w:hAnsi="Arial" w:cs="Arial"/>
                <w:lang w:val="id-ID"/>
              </w:rPr>
              <w:t>(Lown, 2011)</w:t>
            </w:r>
            <w:r w:rsidRPr="001844F8">
              <w:rPr>
                <w:rFonts w:ascii="Arial" w:hAnsi="Arial" w:cs="Arial"/>
              </w:rPr>
              <w:fldChar w:fldCharType="end"/>
            </w:r>
          </w:p>
        </w:tc>
        <w:tc>
          <w:tcPr>
            <w:tcW w:w="1752" w:type="pct"/>
            <w:tcBorders>
              <w:top w:val="single" w:sz="2" w:space="0" w:color="auto"/>
              <w:bottom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Consistent</w:t>
            </w:r>
          </w:p>
        </w:tc>
      </w:tr>
      <w:tr w:rsidR="001844F8" w:rsidRPr="001844F8" w:rsidTr="00A6061B">
        <w:trPr>
          <w:trHeight w:val="340"/>
        </w:trPr>
        <w:tc>
          <w:tcPr>
            <w:tcW w:w="835" w:type="pct"/>
            <w:vMerge/>
            <w:tcBorders>
              <w:top w:val="single" w:sz="12" w:space="0" w:color="auto"/>
            </w:tcBorders>
            <w:vAlign w:val="center"/>
          </w:tcPr>
          <w:p w:rsidR="001844F8" w:rsidRPr="001844F8" w:rsidRDefault="001844F8" w:rsidP="001844F8">
            <w:pPr>
              <w:pStyle w:val="Body"/>
              <w:rPr>
                <w:rFonts w:ascii="Arial" w:hAnsi="Arial" w:cs="Arial"/>
                <w:lang w:val="id-ID"/>
              </w:rPr>
            </w:pPr>
          </w:p>
        </w:tc>
        <w:tc>
          <w:tcPr>
            <w:tcW w:w="1520" w:type="pc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Progress towards goals</w:t>
            </w:r>
          </w:p>
        </w:tc>
        <w:tc>
          <w:tcPr>
            <w:tcW w:w="893" w:type="pct"/>
            <w:vMerge/>
            <w:tcBorders>
              <w:top w:val="single" w:sz="12" w:space="0" w:color="auto"/>
            </w:tcBorders>
          </w:tcPr>
          <w:p w:rsidR="001844F8" w:rsidRPr="001844F8" w:rsidRDefault="001844F8" w:rsidP="001844F8">
            <w:pPr>
              <w:pStyle w:val="Body"/>
              <w:rPr>
                <w:rFonts w:ascii="Arial" w:hAnsi="Arial" w:cs="Arial"/>
                <w:lang w:val="id-ID"/>
              </w:rPr>
            </w:pPr>
          </w:p>
        </w:tc>
        <w:tc>
          <w:tcPr>
            <w:tcW w:w="1752" w:type="pc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Focus on objectives</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rPr>
            </w:pPr>
            <w:r w:rsidRPr="001844F8">
              <w:rPr>
                <w:rFonts w:ascii="Arial" w:hAnsi="Arial" w:cs="Arial"/>
              </w:rPr>
              <w:t>Use credit for unexpected expenses</w:t>
            </w:r>
          </w:p>
        </w:tc>
        <w:tc>
          <w:tcPr>
            <w:tcW w:w="893" w:type="pct"/>
            <w:vMerge/>
          </w:tcPr>
          <w:p w:rsidR="001844F8" w:rsidRPr="001844F8" w:rsidRDefault="001844F8" w:rsidP="001844F8">
            <w:pPr>
              <w:pStyle w:val="Body"/>
              <w:rPr>
                <w:rFonts w:ascii="Arial" w:hAnsi="Arial" w:cs="Arial"/>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Credit for emergency funds</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rPr>
            </w:pPr>
            <w:r w:rsidRPr="001844F8">
              <w:rPr>
                <w:rFonts w:ascii="Arial" w:hAnsi="Arial" w:cs="Arial"/>
              </w:rPr>
              <w:t>Dealing with unexpected financial events</w:t>
            </w:r>
          </w:p>
        </w:tc>
        <w:tc>
          <w:tcPr>
            <w:tcW w:w="893" w:type="pct"/>
            <w:vMerge/>
          </w:tcPr>
          <w:p w:rsidR="001844F8" w:rsidRPr="001844F8" w:rsidRDefault="001844F8" w:rsidP="001844F8">
            <w:pPr>
              <w:pStyle w:val="Body"/>
              <w:rPr>
                <w:rFonts w:ascii="Arial" w:hAnsi="Arial" w:cs="Arial"/>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Ability to face financial difficulties</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rPr>
            </w:pPr>
            <w:r w:rsidRPr="001844F8">
              <w:rPr>
                <w:rFonts w:ascii="Arial" w:hAnsi="Arial" w:cs="Arial"/>
              </w:rPr>
              <w:t>Lack of confidence in managing finances</w:t>
            </w:r>
          </w:p>
        </w:tc>
        <w:tc>
          <w:tcPr>
            <w:tcW w:w="893" w:type="pct"/>
            <w:vMerge/>
          </w:tcPr>
          <w:p w:rsidR="001844F8" w:rsidRPr="001844F8" w:rsidRDefault="001844F8" w:rsidP="001844F8">
            <w:pPr>
              <w:pStyle w:val="Body"/>
              <w:rPr>
                <w:rFonts w:ascii="Arial" w:hAnsi="Arial" w:cs="Arial"/>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Believe in yourself</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Worried about retirement money</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Pension funds</w:t>
            </w:r>
          </w:p>
        </w:tc>
      </w:tr>
      <w:tr w:rsidR="001844F8" w:rsidRPr="001844F8" w:rsidTr="00A6061B">
        <w:trPr>
          <w:trHeight w:val="340"/>
        </w:trPr>
        <w:tc>
          <w:tcPr>
            <w:tcW w:w="835" w:type="pct"/>
            <w:vMerge w:val="restar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Investment Intentions</w:t>
            </w:r>
          </w:p>
        </w:tc>
        <w:tc>
          <w:tcPr>
            <w:tcW w:w="1520" w:type="pc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Interest</w:t>
            </w:r>
          </w:p>
        </w:tc>
        <w:tc>
          <w:tcPr>
            <w:tcW w:w="893" w:type="pct"/>
            <w:vMerge w:val="restar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fldChar w:fldCharType="begin" w:fldLock="1"/>
            </w:r>
            <w:r w:rsidRPr="001844F8">
              <w:rPr>
                <w:rFonts w:ascii="Arial" w:hAnsi="Arial" w:cs="Arial"/>
                <w:lang w:val="id-ID"/>
              </w:rPr>
              <w:instrText>ADDIN CSL_CITATION {"citationItems":[{"id":"ITEM-1","itemData":{"DOI":"10.32534/jv.v15i2.1175","ISSN":"1979-0643","abstract":"Tujuan penelitian ini adalah untuk mengetahui minat berinvestasi pada mahasiswa Universitas Swadaya Gunung Jati Cirebon yang dalam perkembangannya kini terdapat Galeri Investasi yang diperuntukkan dalam memperkenalkan Pasar Modal kepada kalangan akademisi termasuk mahasiswa. Metode yang digunakan dalam penelitian ini adalah metode survey dengan pendekatan kuantitatif. Sampel penelitian ini 75 responden dari mahasiswa akuntansi angkatan 2018 Universitas Swadaya Gunung Jati Cirebon. Hasil penelitian ini menunjukkan bahwa pengetahuan investasi berpengaruh signifikan terhadap minat berinvestasi, dengan nilai signifikansi 0,008&lt;0,1. Motivasi investasi berpengaruh signifikan terhadap minat berinvestasi, dengan nilai signifikansi 0,002 &lt;0,1. Pengetahuan investasi dan Motivasi investasi berpengaruh signifikan secara bersama-sama terhadap minat berinvestasi, dengan nilai signifikansi 0,000&lt;0,1.\r Kata Kunci : Pengetahuan Investasi; Motivasi Investasi; Minat Investasi.","author":[{"dropping-particle":"","family":"Bakhri","given":"Syaeful","non-dropping-particle":"","parse-names":false,"suffix":""},{"dropping-particle":"","family":"Aziz","given":"Abdul","non-dropping-particle":"","parse-names":false,"suffix":""},{"dropping-particle":"","family":"Sarinah","given":"Ririn","non-dropping-particle":"","parse-names":false,"suffix":""}],"container-title":"Value : Jurnal Manajemen dan Akuntansi","id":"ITEM-1","issue":"2","issued":{"date-parts":[["2020"]]},"page":"60-73","title":"Pengetahuan dan Motivasi untuk Menumbuhkan Minat Berinvestasi pada Mahasiswa","type":"article-journal","volume":"15"},"uris":["http://www.mendeley.com/documents/?uuid=b34ea804-a211-43fb-a89c-bf6be9bb1d65"]}],"mendeley":{"formattedCitation":"(Bakhri et al., 2020)","plainTextFormattedCitation":"(Bakhri et al., 2020)","previouslyFormattedCitation":"(Bakhri et al., 2020)"},"properties":{"noteIndex":0},"schema":"https://github.com/citation-style-language/schema/raw/master/csl-citation.json"}</w:instrText>
            </w:r>
            <w:r w:rsidRPr="001844F8">
              <w:rPr>
                <w:rFonts w:ascii="Arial" w:hAnsi="Arial" w:cs="Arial"/>
                <w:lang w:val="id-ID"/>
              </w:rPr>
              <w:fldChar w:fldCharType="separate"/>
            </w:r>
            <w:r w:rsidRPr="001844F8">
              <w:rPr>
                <w:rFonts w:ascii="Arial" w:hAnsi="Arial" w:cs="Arial"/>
                <w:lang w:val="id-ID"/>
              </w:rPr>
              <w:t>(Bakhri et al., 2020)</w:t>
            </w:r>
            <w:r w:rsidRPr="001844F8">
              <w:rPr>
                <w:rFonts w:ascii="Arial" w:hAnsi="Arial" w:cs="Arial"/>
              </w:rPr>
              <w:fldChar w:fldCharType="end"/>
            </w:r>
          </w:p>
        </w:tc>
        <w:tc>
          <w:tcPr>
            <w:tcW w:w="1752" w:type="pc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Enjoy studying capital markets</w:t>
            </w:r>
          </w:p>
        </w:tc>
      </w:tr>
      <w:tr w:rsidR="001844F8" w:rsidRPr="001844F8" w:rsidTr="00A6061B">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Desire</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Want to invest in the capital market</w:t>
            </w:r>
          </w:p>
        </w:tc>
      </w:tr>
      <w:tr w:rsidR="001844F8" w:rsidRPr="001844F8" w:rsidTr="00A6061B">
        <w:trPr>
          <w:trHeight w:val="340"/>
        </w:trPr>
        <w:tc>
          <w:tcPr>
            <w:tcW w:w="835" w:type="pct"/>
            <w:vMerge/>
            <w:tcBorders>
              <w:bottom w:val="single" w:sz="12" w:space="0" w:color="auto"/>
            </w:tcBorders>
            <w:vAlign w:val="center"/>
          </w:tcPr>
          <w:p w:rsidR="001844F8" w:rsidRPr="001844F8" w:rsidRDefault="001844F8" w:rsidP="001844F8">
            <w:pPr>
              <w:pStyle w:val="Body"/>
              <w:rPr>
                <w:rFonts w:ascii="Arial" w:hAnsi="Arial" w:cs="Arial"/>
                <w:lang w:val="id-ID"/>
              </w:rPr>
            </w:pPr>
          </w:p>
        </w:tc>
        <w:tc>
          <w:tcPr>
            <w:tcW w:w="1520" w:type="pct"/>
            <w:tcBorders>
              <w:bottom w:val="single" w:sz="1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Confidence</w:t>
            </w:r>
          </w:p>
        </w:tc>
        <w:tc>
          <w:tcPr>
            <w:tcW w:w="893" w:type="pct"/>
            <w:vMerge/>
            <w:tcBorders>
              <w:bottom w:val="single" w:sz="12" w:space="0" w:color="auto"/>
            </w:tcBorders>
          </w:tcPr>
          <w:p w:rsidR="001844F8" w:rsidRPr="001844F8" w:rsidRDefault="001844F8" w:rsidP="001844F8">
            <w:pPr>
              <w:pStyle w:val="Body"/>
              <w:rPr>
                <w:rFonts w:ascii="Arial" w:hAnsi="Arial" w:cs="Arial"/>
                <w:lang w:val="id-ID"/>
              </w:rPr>
            </w:pPr>
          </w:p>
        </w:tc>
        <w:tc>
          <w:tcPr>
            <w:tcW w:w="1752" w:type="pct"/>
            <w:tcBorders>
              <w:bottom w:val="single" w:sz="12" w:space="0" w:color="auto"/>
            </w:tcBorders>
            <w:vAlign w:val="center"/>
          </w:tcPr>
          <w:p w:rsidR="001844F8" w:rsidRPr="001844F8" w:rsidRDefault="001844F8" w:rsidP="001844F8">
            <w:pPr>
              <w:pStyle w:val="Body"/>
              <w:rPr>
                <w:rFonts w:ascii="Arial" w:hAnsi="Arial" w:cs="Arial"/>
              </w:rPr>
            </w:pPr>
            <w:r w:rsidRPr="001844F8">
              <w:rPr>
                <w:rFonts w:ascii="Arial" w:hAnsi="Arial" w:cs="Arial"/>
              </w:rPr>
              <w:t>Convinced that investing in the capital market provides benefits</w:t>
            </w:r>
          </w:p>
        </w:tc>
      </w:tr>
    </w:tbl>
    <w:p w:rsidR="001844F8" w:rsidRPr="001844F8" w:rsidRDefault="001844F8" w:rsidP="001844F8">
      <w:pPr>
        <w:pStyle w:val="Body"/>
        <w:rPr>
          <w:rFonts w:ascii="Arial" w:hAnsi="Arial" w:cs="Arial"/>
          <w:lang w:val="de-DE"/>
        </w:rPr>
      </w:pPr>
      <w:r w:rsidRPr="001844F8">
        <w:rPr>
          <w:rFonts w:ascii="Arial" w:hAnsi="Arial" w:cs="Arial"/>
        </w:rPr>
        <w:t xml:space="preserve">The analysis technique used in this research is structural equation modeling (SEM) using the Amos 24 software program. </w:t>
      </w:r>
      <w:r w:rsidRPr="001844F8">
        <w:rPr>
          <w:rFonts w:ascii="Arial" w:hAnsi="Arial" w:cs="Arial"/>
          <w:lang w:val="de-DE"/>
        </w:rPr>
        <w:t>The steps used in SEM modeling are as follows:</w:t>
      </w:r>
    </w:p>
    <w:p w:rsidR="001844F8" w:rsidRPr="001844F8" w:rsidRDefault="001844F8" w:rsidP="007418CF">
      <w:pPr>
        <w:pStyle w:val="Body"/>
        <w:numPr>
          <w:ilvl w:val="0"/>
          <w:numId w:val="3"/>
        </w:numPr>
        <w:rPr>
          <w:rFonts w:ascii="Arial" w:hAnsi="Arial" w:cs="Arial"/>
        </w:rPr>
      </w:pPr>
      <w:r w:rsidRPr="001844F8">
        <w:rPr>
          <w:rFonts w:ascii="Arial" w:hAnsi="Arial" w:cs="Arial"/>
        </w:rPr>
        <w:t>Step 1 = Path Diagram Construction and Mathematical Conversion</w:t>
      </w:r>
    </w:p>
    <w:p w:rsidR="001844F8" w:rsidRPr="001844F8" w:rsidRDefault="001844F8" w:rsidP="001844F8">
      <w:pPr>
        <w:pStyle w:val="Body"/>
        <w:rPr>
          <w:rFonts w:ascii="Arial" w:hAnsi="Arial" w:cs="Arial"/>
        </w:rPr>
      </w:pPr>
      <w:r w:rsidRPr="001844F8">
        <w:rPr>
          <w:rFonts w:ascii="Arial" w:hAnsi="Arial" w:cs="Arial"/>
        </w:rPr>
        <w:t xml:space="preserve">Researchers identify or develop a model that is supported by strong theoretical justification. Then the theoretical model that the researcher has built is described </w:t>
      </w:r>
      <w:proofErr w:type="spellStart"/>
      <w:r w:rsidRPr="001844F8">
        <w:rPr>
          <w:rFonts w:ascii="Arial" w:hAnsi="Arial" w:cs="Arial"/>
        </w:rPr>
        <w:t>ina</w:t>
      </w:r>
      <w:proofErr w:type="spellEnd"/>
      <w:r w:rsidRPr="001844F8">
        <w:rPr>
          <w:rFonts w:ascii="Arial" w:hAnsi="Arial" w:cs="Arial"/>
        </w:rPr>
        <w:t xml:space="preserve"> path diagram (path diagram) to make it easier to see causal relationships between exogenous variables and endogenous variables.</w:t>
      </w:r>
    </w:p>
    <w:p w:rsidR="001844F8" w:rsidRPr="001844F8" w:rsidRDefault="001844F8" w:rsidP="007418CF">
      <w:pPr>
        <w:pStyle w:val="Body"/>
        <w:numPr>
          <w:ilvl w:val="0"/>
          <w:numId w:val="3"/>
        </w:numPr>
        <w:rPr>
          <w:rFonts w:ascii="Arial" w:hAnsi="Arial" w:cs="Arial"/>
        </w:rPr>
      </w:pPr>
      <w:r w:rsidRPr="001844F8">
        <w:rPr>
          <w:rFonts w:ascii="Arial" w:hAnsi="Arial" w:cs="Arial"/>
        </w:rPr>
        <w:t>Step 2 = Confirmatory Factor Analysis (CFA)</w:t>
      </w:r>
    </w:p>
    <w:p w:rsidR="001844F8" w:rsidRPr="001844F8" w:rsidRDefault="001844F8" w:rsidP="001844F8">
      <w:pPr>
        <w:pStyle w:val="Body"/>
        <w:rPr>
          <w:rFonts w:ascii="Arial" w:hAnsi="Arial" w:cs="Arial"/>
        </w:rPr>
      </w:pPr>
      <w:r w:rsidRPr="001844F8">
        <w:rPr>
          <w:rFonts w:ascii="Arial" w:hAnsi="Arial" w:cs="Arial"/>
        </w:rPr>
        <w:t xml:space="preserve">One of the main benefits of CFA is the ability to assess the construct validity of the proposed measurement theory. Construct validity measures the extent to which the indicator size is able to reflect its theoretical latent construct. </w:t>
      </w:r>
      <w:proofErr w:type="gramStart"/>
      <w:r w:rsidRPr="001844F8">
        <w:rPr>
          <w:rFonts w:ascii="Arial" w:hAnsi="Arial" w:cs="Arial"/>
        </w:rPr>
        <w:t>So</w:t>
      </w:r>
      <w:proofErr w:type="gramEnd"/>
      <w:r w:rsidRPr="001844F8">
        <w:rPr>
          <w:rFonts w:ascii="Arial" w:hAnsi="Arial" w:cs="Arial"/>
        </w:rPr>
        <w:t xml:space="preserve"> construct validity provides confidence that the indicator measures taken from the sample describe the actual scores in the population (</w:t>
      </w:r>
      <w:proofErr w:type="spellStart"/>
      <w:r w:rsidRPr="001844F8">
        <w:rPr>
          <w:rFonts w:ascii="Arial" w:hAnsi="Arial" w:cs="Arial"/>
        </w:rPr>
        <w:t>Ghozali</w:t>
      </w:r>
      <w:proofErr w:type="spellEnd"/>
      <w:r w:rsidRPr="001844F8">
        <w:rPr>
          <w:rFonts w:ascii="Arial" w:hAnsi="Arial" w:cs="Arial"/>
        </w:rPr>
        <w:t xml:space="preserve">, 2008). There are two measures of construct validity, namely: Convergent Validity and Construct Reliability. Convergent Validity to measure construct validity can be seen from the factor loading value. The criteria used to demonstrate high construct validity or Convergent Validity are that the factor loading must be significant and the standardized loading estimate value ≥ 0.50. Meanwhile, Reliability is an indicator of Convergent Validity. </w:t>
      </w:r>
      <w:r w:rsidRPr="001844F8">
        <w:rPr>
          <w:rFonts w:ascii="Arial" w:hAnsi="Arial" w:cs="Arial"/>
        </w:rPr>
        <w:lastRenderedPageBreak/>
        <w:t xml:space="preserve">Many use </w:t>
      </w:r>
      <w:proofErr w:type="spellStart"/>
      <w:r w:rsidRPr="001844F8">
        <w:rPr>
          <w:rFonts w:ascii="Arial" w:hAnsi="Arial" w:cs="Arial"/>
        </w:rPr>
        <w:t>Cronch</w:t>
      </w:r>
      <w:proofErr w:type="spellEnd"/>
      <w:r w:rsidRPr="001844F8">
        <w:rPr>
          <w:rFonts w:ascii="Arial" w:hAnsi="Arial" w:cs="Arial"/>
        </w:rPr>
        <w:t xml:space="preserve"> Alpha (CA) as a measure of reliability, but in </w:t>
      </w:r>
      <w:proofErr w:type="gramStart"/>
      <w:r w:rsidRPr="001844F8">
        <w:rPr>
          <w:rFonts w:ascii="Arial" w:hAnsi="Arial" w:cs="Arial"/>
        </w:rPr>
        <w:t>reality</w:t>
      </w:r>
      <w:proofErr w:type="gramEnd"/>
      <w:r w:rsidRPr="001844F8">
        <w:rPr>
          <w:rFonts w:ascii="Arial" w:hAnsi="Arial" w:cs="Arial"/>
        </w:rPr>
        <w:t xml:space="preserve"> CA provides lower reliability (under estimate) compared to construct reliability. The amount of good construct reliability is above 0.70, while reliability of 0.60 – 0.70 is still acceptable provided that the validity of the indicators in the model is good </w:t>
      </w:r>
      <w:r w:rsidRPr="001844F8">
        <w:rPr>
          <w:rFonts w:ascii="Arial" w:hAnsi="Arial" w:cs="Arial"/>
        </w:rPr>
        <w:fldChar w:fldCharType="begin" w:fldLock="1"/>
      </w:r>
      <w:r w:rsidRPr="001844F8">
        <w:rPr>
          <w:rFonts w:ascii="Arial" w:hAnsi="Arial" w:cs="Arial"/>
        </w:rPr>
        <w:instrText>ADDIN CSL_CITATION {"citationItems":[{"id":"ITEM-1","itemData":{"author":[{"dropping-particle":"","family":"Ghozali","given":"Imam","non-dropping-particle":"","parse-names":false,"suffix":""}],"edition":"II","id":"ITEM-1","issued":{"date-parts":[["2008"]]},"publisher":"Universitas Diponegoro Semarang","publisher-place":"Semarang","title":"Structural Equation Modelling","type":"book"},"uris":["http://www.mendeley.com/documents/?uuid=99abf3e3-99f1-4baa-883e-8ac5e3d423a9"]}],"mendeley":{"formattedCitation":"(Ghozali, 2008)","plainTextFormattedCitation":"(Ghozali, 2008)","previouslyFormattedCitation":"(Ghozali, 2008)"},"properties":{"noteIndex":0},"schema":"https://github.com/citation-style-language/schema/raw/master/csl-citation.json"}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(Ghozali, 2008)</w:t>
      </w:r>
      <w:r w:rsidRPr="001844F8">
        <w:rPr>
          <w:rFonts w:ascii="Arial" w:hAnsi="Arial" w:cs="Arial"/>
        </w:rPr>
        <w:fldChar w:fldCharType="end"/>
      </w:r>
      <w:r w:rsidRPr="001844F8">
        <w:rPr>
          <w:rFonts w:ascii="Arial" w:hAnsi="Arial" w:cs="Arial"/>
        </w:rPr>
        <w:t>.</w:t>
      </w:r>
    </w:p>
    <w:p w:rsidR="001844F8" w:rsidRPr="001844F8" w:rsidRDefault="001844F8" w:rsidP="007418CF">
      <w:pPr>
        <w:pStyle w:val="Body"/>
        <w:numPr>
          <w:ilvl w:val="0"/>
          <w:numId w:val="3"/>
        </w:numPr>
        <w:rPr>
          <w:rFonts w:ascii="Arial" w:hAnsi="Arial" w:cs="Arial"/>
        </w:rPr>
      </w:pPr>
      <w:r w:rsidRPr="001844F8">
        <w:rPr>
          <w:rFonts w:ascii="Arial" w:hAnsi="Arial" w:cs="Arial"/>
        </w:rPr>
        <w:t>Step 3 = SEM Evaluation</w:t>
      </w:r>
    </w:p>
    <w:p w:rsidR="001844F8" w:rsidRPr="001844F8" w:rsidRDefault="001844F8" w:rsidP="001844F8">
      <w:pPr>
        <w:pStyle w:val="Body"/>
        <w:rPr>
          <w:rFonts w:ascii="Arial" w:hAnsi="Arial" w:cs="Arial"/>
        </w:rPr>
      </w:pPr>
      <w:r w:rsidRPr="001844F8">
        <w:rPr>
          <w:rFonts w:ascii="Arial" w:hAnsi="Arial" w:cs="Arial"/>
        </w:rPr>
        <w:t>SEM evaluation is used to test model fit which can be assessed based on testing various fit indices obtained from AMOS based on evaluating the fulfillment of SEM assumptions, namely normality assumptions, outlier assumptions, and multicollinearity and singularity assumptions.</w:t>
      </w:r>
    </w:p>
    <w:p w:rsidR="001844F8" w:rsidRPr="001844F8" w:rsidRDefault="001844F8" w:rsidP="007418CF">
      <w:pPr>
        <w:pStyle w:val="Body"/>
        <w:numPr>
          <w:ilvl w:val="0"/>
          <w:numId w:val="3"/>
        </w:numPr>
        <w:rPr>
          <w:rFonts w:ascii="Arial" w:hAnsi="Arial" w:cs="Arial"/>
        </w:rPr>
      </w:pPr>
      <w:r w:rsidRPr="001844F8">
        <w:rPr>
          <w:rFonts w:ascii="Arial" w:hAnsi="Arial" w:cs="Arial"/>
        </w:rPr>
        <w:t>Step 4 = Evaluate the Feasibility of the Goodness of Fit Model</w:t>
      </w:r>
    </w:p>
    <w:p w:rsidR="001844F8" w:rsidRPr="001844F8" w:rsidRDefault="001844F8" w:rsidP="001844F8">
      <w:pPr>
        <w:pStyle w:val="Body"/>
        <w:rPr>
          <w:rFonts w:ascii="Arial" w:hAnsi="Arial" w:cs="Arial"/>
          <w:b/>
          <w:bCs/>
          <w:i/>
        </w:rPr>
      </w:pPr>
      <w:bookmarkStart w:id="1" w:name="_Hlk86241856"/>
      <w:r w:rsidRPr="001844F8">
        <w:rPr>
          <w:rFonts w:ascii="Arial" w:hAnsi="Arial" w:cs="Arial"/>
          <w:b/>
          <w:bCs/>
          <w:iCs/>
        </w:rPr>
        <w:t xml:space="preserve">Table </w:t>
      </w:r>
      <w:proofErr w:type="gramStart"/>
      <w:r w:rsidRPr="001844F8">
        <w:rPr>
          <w:rFonts w:ascii="Arial" w:hAnsi="Arial" w:cs="Arial"/>
          <w:b/>
          <w:bCs/>
          <w:iCs/>
        </w:rPr>
        <w:t>2.</w:t>
      </w:r>
      <w:r w:rsidRPr="001844F8">
        <w:rPr>
          <w:rFonts w:ascii="Arial" w:hAnsi="Arial" w:cs="Arial"/>
          <w:b/>
          <w:bCs/>
          <w:i/>
        </w:rPr>
        <w:t>Goodness</w:t>
      </w:r>
      <w:proofErr w:type="gramEnd"/>
      <w:r w:rsidRPr="001844F8">
        <w:rPr>
          <w:rFonts w:ascii="Arial" w:hAnsi="Arial" w:cs="Arial"/>
          <w:b/>
          <w:bCs/>
          <w:i/>
        </w:rPr>
        <w:t xml:space="preserve"> of Fit Statistics</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4552"/>
        <w:gridCol w:w="2073"/>
      </w:tblGrid>
      <w:tr w:rsidR="001844F8" w:rsidRPr="001844F8" w:rsidTr="00A6061B">
        <w:trPr>
          <w:trHeight w:val="46"/>
          <w:tblHeader/>
          <w:jc w:val="center"/>
        </w:trPr>
        <w:tc>
          <w:tcPr>
            <w:tcW w:w="0" w:type="auto"/>
            <w:tcBorders>
              <w:top w:val="single" w:sz="12" w:space="0" w:color="auto"/>
              <w:bottom w:val="single" w:sz="12" w:space="0" w:color="auto"/>
            </w:tcBorders>
          </w:tcPr>
          <w:bookmarkEnd w:id="1"/>
          <w:p w:rsidR="001844F8" w:rsidRPr="001844F8" w:rsidRDefault="001844F8" w:rsidP="001844F8">
            <w:pPr>
              <w:pStyle w:val="Body"/>
              <w:rPr>
                <w:rFonts w:ascii="Arial" w:hAnsi="Arial" w:cs="Arial"/>
                <w:b/>
              </w:rPr>
            </w:pPr>
            <w:r w:rsidRPr="001844F8">
              <w:rPr>
                <w:rFonts w:ascii="Arial" w:hAnsi="Arial" w:cs="Arial"/>
                <w:b/>
              </w:rPr>
              <w:t>Statistics</w:t>
            </w:r>
          </w:p>
        </w:tc>
        <w:tc>
          <w:tcPr>
            <w:tcW w:w="0" w:type="auto"/>
            <w:tcBorders>
              <w:top w:val="single" w:sz="12" w:space="0" w:color="auto"/>
              <w:bottom w:val="single" w:sz="12" w:space="0" w:color="auto"/>
            </w:tcBorders>
          </w:tcPr>
          <w:p w:rsidR="001844F8" w:rsidRPr="001844F8" w:rsidRDefault="001844F8" w:rsidP="001844F8">
            <w:pPr>
              <w:pStyle w:val="Body"/>
              <w:rPr>
                <w:rFonts w:ascii="Arial" w:hAnsi="Arial" w:cs="Arial"/>
                <w:b/>
              </w:rPr>
            </w:pPr>
            <w:r w:rsidRPr="001844F8">
              <w:rPr>
                <w:rFonts w:ascii="Arial" w:hAnsi="Arial" w:cs="Arial"/>
                <w:b/>
              </w:rPr>
              <w:t>Fit Criteria</w:t>
            </w:r>
          </w:p>
        </w:tc>
      </w:tr>
      <w:tr w:rsidR="001844F8" w:rsidRPr="001844F8" w:rsidTr="00A6061B">
        <w:trPr>
          <w:trHeight w:val="46"/>
          <w:jc w:val="center"/>
        </w:trPr>
        <w:tc>
          <w:tcPr>
            <w:tcW w:w="0" w:type="auto"/>
            <w:tcBorders>
              <w:top w:val="single" w:sz="12" w:space="0" w:color="auto"/>
            </w:tcBorders>
          </w:tcPr>
          <w:p w:rsidR="001844F8" w:rsidRPr="001844F8" w:rsidRDefault="001844F8" w:rsidP="001844F8">
            <w:pPr>
              <w:pStyle w:val="Body"/>
              <w:rPr>
                <w:rFonts w:ascii="Arial" w:hAnsi="Arial" w:cs="Arial"/>
                <w:i/>
                <w:vertAlign w:val="superscript"/>
              </w:rPr>
            </w:pPr>
            <w:r w:rsidRPr="001844F8">
              <w:rPr>
                <w:rFonts w:ascii="Arial" w:hAnsi="Arial" w:cs="Arial"/>
                <w:i/>
              </w:rPr>
              <w:t>X2 Chi Square</w:t>
            </w:r>
          </w:p>
        </w:tc>
        <w:tc>
          <w:tcPr>
            <w:tcW w:w="0" w:type="auto"/>
            <w:tcBorders>
              <w:top w:val="single" w:sz="12" w:space="0" w:color="auto"/>
            </w:tcBorders>
          </w:tcPr>
          <w:p w:rsidR="001844F8" w:rsidRPr="001844F8" w:rsidRDefault="001844F8" w:rsidP="001844F8">
            <w:pPr>
              <w:pStyle w:val="Body"/>
              <w:rPr>
                <w:rFonts w:ascii="Arial" w:hAnsi="Arial" w:cs="Arial"/>
              </w:rPr>
            </w:pPr>
            <w:r w:rsidRPr="001844F8">
              <w:rPr>
                <w:rFonts w:ascii="Arial" w:hAnsi="Arial" w:cs="Arial"/>
              </w:rPr>
              <w:t>Expected to be small</w:t>
            </w:r>
          </w:p>
        </w:tc>
      </w:tr>
      <w:tr w:rsidR="001844F8" w:rsidRPr="001844F8" w:rsidTr="00A6061B">
        <w:trPr>
          <w:trHeight w:val="46"/>
          <w:jc w:val="center"/>
        </w:trPr>
        <w:tc>
          <w:tcPr>
            <w:tcW w:w="0" w:type="auto"/>
          </w:tcPr>
          <w:p w:rsidR="001844F8" w:rsidRPr="001844F8" w:rsidRDefault="001844F8" w:rsidP="001844F8">
            <w:pPr>
              <w:pStyle w:val="Body"/>
              <w:rPr>
                <w:rFonts w:ascii="Arial" w:hAnsi="Arial" w:cs="Arial"/>
                <w:i/>
              </w:rPr>
            </w:pPr>
            <w:r w:rsidRPr="001844F8">
              <w:rPr>
                <w:rFonts w:ascii="Arial" w:hAnsi="Arial" w:cs="Arial"/>
                <w:i/>
              </w:rPr>
              <w:t>Significant probability</w:t>
            </w:r>
          </w:p>
        </w:tc>
        <w:tc>
          <w:tcPr>
            <w:tcW w:w="0" w:type="auto"/>
          </w:tcPr>
          <w:p w:rsidR="001844F8" w:rsidRPr="001844F8" w:rsidRDefault="001844F8" w:rsidP="001844F8">
            <w:pPr>
              <w:pStyle w:val="Body"/>
              <w:rPr>
                <w:rFonts w:ascii="Arial" w:hAnsi="Arial" w:cs="Arial"/>
              </w:rPr>
            </w:pPr>
            <w:r w:rsidRPr="001844F8">
              <w:rPr>
                <w:rFonts w:ascii="Arial" w:hAnsi="Arial" w:cs="Arial"/>
              </w:rPr>
              <w:t>≥ 0.05</w:t>
            </w:r>
          </w:p>
        </w:tc>
      </w:tr>
      <w:tr w:rsidR="001844F8" w:rsidRPr="001844F8" w:rsidTr="00A6061B">
        <w:trPr>
          <w:trHeight w:val="46"/>
          <w:jc w:val="center"/>
        </w:trPr>
        <w:tc>
          <w:tcPr>
            <w:tcW w:w="0" w:type="auto"/>
          </w:tcPr>
          <w:p w:rsidR="001844F8" w:rsidRPr="001844F8" w:rsidRDefault="001844F8" w:rsidP="001844F8">
            <w:pPr>
              <w:pStyle w:val="Body"/>
              <w:rPr>
                <w:rFonts w:ascii="Arial" w:hAnsi="Arial" w:cs="Arial"/>
                <w:i/>
              </w:rPr>
            </w:pPr>
            <w:r w:rsidRPr="001844F8">
              <w:rPr>
                <w:rFonts w:ascii="Arial" w:hAnsi="Arial" w:cs="Arial"/>
                <w:i/>
              </w:rPr>
              <w:t>Root mean square error approximation (</w:t>
            </w:r>
            <w:r w:rsidRPr="001844F8">
              <w:rPr>
                <w:rFonts w:ascii="Arial" w:hAnsi="Arial" w:cs="Arial"/>
              </w:rPr>
              <w:t>RMSEA)</w:t>
            </w:r>
          </w:p>
        </w:tc>
        <w:tc>
          <w:tcPr>
            <w:tcW w:w="0" w:type="auto"/>
          </w:tcPr>
          <w:p w:rsidR="001844F8" w:rsidRPr="001844F8" w:rsidRDefault="001844F8" w:rsidP="001844F8">
            <w:pPr>
              <w:pStyle w:val="Body"/>
              <w:rPr>
                <w:rFonts w:ascii="Arial" w:hAnsi="Arial" w:cs="Arial"/>
              </w:rPr>
            </w:pPr>
            <w:r w:rsidRPr="001844F8">
              <w:rPr>
                <w:rFonts w:ascii="Arial" w:hAnsi="Arial" w:cs="Arial"/>
              </w:rPr>
              <w:t>≤ 0.08</w:t>
            </w:r>
          </w:p>
        </w:tc>
      </w:tr>
      <w:tr w:rsidR="001844F8" w:rsidRPr="001844F8" w:rsidTr="00A6061B">
        <w:trPr>
          <w:trHeight w:val="46"/>
          <w:jc w:val="center"/>
        </w:trPr>
        <w:tc>
          <w:tcPr>
            <w:tcW w:w="0" w:type="auto"/>
          </w:tcPr>
          <w:p w:rsidR="001844F8" w:rsidRPr="001844F8" w:rsidRDefault="001844F8" w:rsidP="001844F8">
            <w:pPr>
              <w:pStyle w:val="Body"/>
              <w:rPr>
                <w:rFonts w:ascii="Arial" w:hAnsi="Arial" w:cs="Arial"/>
                <w:i/>
              </w:rPr>
            </w:pPr>
            <w:r w:rsidRPr="001844F8">
              <w:rPr>
                <w:rFonts w:ascii="Arial" w:hAnsi="Arial" w:cs="Arial"/>
                <w:i/>
              </w:rPr>
              <w:t>Goodness of fit index (</w:t>
            </w:r>
            <w:r w:rsidRPr="001844F8">
              <w:rPr>
                <w:rFonts w:ascii="Arial" w:hAnsi="Arial" w:cs="Arial"/>
              </w:rPr>
              <w:t>GFI)</w:t>
            </w:r>
          </w:p>
        </w:tc>
        <w:tc>
          <w:tcPr>
            <w:tcW w:w="0" w:type="auto"/>
          </w:tcPr>
          <w:p w:rsidR="001844F8" w:rsidRPr="001844F8" w:rsidRDefault="001844F8" w:rsidP="001844F8">
            <w:pPr>
              <w:pStyle w:val="Body"/>
              <w:rPr>
                <w:rFonts w:ascii="Arial" w:hAnsi="Arial" w:cs="Arial"/>
              </w:rPr>
            </w:pPr>
            <w:r w:rsidRPr="001844F8">
              <w:rPr>
                <w:rFonts w:ascii="Arial" w:hAnsi="Arial" w:cs="Arial"/>
              </w:rPr>
              <w:t>≥ 0.90</w:t>
            </w:r>
          </w:p>
        </w:tc>
      </w:tr>
      <w:tr w:rsidR="001844F8" w:rsidRPr="001844F8" w:rsidTr="00A6061B">
        <w:trPr>
          <w:trHeight w:val="46"/>
          <w:jc w:val="center"/>
        </w:trPr>
        <w:tc>
          <w:tcPr>
            <w:tcW w:w="0" w:type="auto"/>
          </w:tcPr>
          <w:p w:rsidR="001844F8" w:rsidRPr="001844F8" w:rsidRDefault="001844F8" w:rsidP="001844F8">
            <w:pPr>
              <w:pStyle w:val="Body"/>
              <w:rPr>
                <w:rFonts w:ascii="Arial" w:hAnsi="Arial" w:cs="Arial"/>
                <w:i/>
              </w:rPr>
            </w:pPr>
            <w:r w:rsidRPr="001844F8">
              <w:rPr>
                <w:rFonts w:ascii="Arial" w:hAnsi="Arial" w:cs="Arial"/>
                <w:i/>
              </w:rPr>
              <w:t xml:space="preserve">Adjusted goodness of fit </w:t>
            </w:r>
            <w:proofErr w:type="gramStart"/>
            <w:r w:rsidRPr="001844F8">
              <w:rPr>
                <w:rFonts w:ascii="Arial" w:hAnsi="Arial" w:cs="Arial"/>
                <w:i/>
              </w:rPr>
              <w:t>index</w:t>
            </w:r>
            <w:r w:rsidRPr="001844F8">
              <w:rPr>
                <w:rFonts w:ascii="Arial" w:hAnsi="Arial" w:cs="Arial"/>
              </w:rPr>
              <w:t>(</w:t>
            </w:r>
            <w:proofErr w:type="gramEnd"/>
            <w:r w:rsidRPr="001844F8">
              <w:rPr>
                <w:rFonts w:ascii="Arial" w:hAnsi="Arial" w:cs="Arial"/>
              </w:rPr>
              <w:t>AGFI)</w:t>
            </w:r>
          </w:p>
        </w:tc>
        <w:tc>
          <w:tcPr>
            <w:tcW w:w="0" w:type="auto"/>
          </w:tcPr>
          <w:p w:rsidR="001844F8" w:rsidRPr="001844F8" w:rsidRDefault="001844F8" w:rsidP="001844F8">
            <w:pPr>
              <w:pStyle w:val="Body"/>
              <w:rPr>
                <w:rFonts w:ascii="Arial" w:hAnsi="Arial" w:cs="Arial"/>
              </w:rPr>
            </w:pPr>
            <w:r w:rsidRPr="001844F8">
              <w:rPr>
                <w:rFonts w:ascii="Arial" w:hAnsi="Arial" w:cs="Arial"/>
              </w:rPr>
              <w:t>≥ 0.90</w:t>
            </w:r>
          </w:p>
        </w:tc>
      </w:tr>
      <w:tr w:rsidR="001844F8" w:rsidRPr="001844F8" w:rsidTr="00A6061B">
        <w:trPr>
          <w:trHeight w:val="46"/>
          <w:jc w:val="center"/>
        </w:trPr>
        <w:tc>
          <w:tcPr>
            <w:tcW w:w="0" w:type="auto"/>
            <w:tcBorders>
              <w:bottom w:val="single" w:sz="12" w:space="0" w:color="auto"/>
            </w:tcBorders>
          </w:tcPr>
          <w:p w:rsidR="001844F8" w:rsidRPr="001844F8" w:rsidRDefault="001844F8" w:rsidP="001844F8">
            <w:pPr>
              <w:pStyle w:val="Body"/>
              <w:rPr>
                <w:rFonts w:ascii="Arial" w:hAnsi="Arial" w:cs="Arial"/>
                <w:i/>
              </w:rPr>
            </w:pPr>
            <w:r w:rsidRPr="001844F8">
              <w:rPr>
                <w:rFonts w:ascii="Arial" w:hAnsi="Arial" w:cs="Arial"/>
                <w:i/>
              </w:rPr>
              <w:t>Tucker Lewis Index (TLI)</w:t>
            </w:r>
          </w:p>
        </w:tc>
        <w:tc>
          <w:tcPr>
            <w:tcW w:w="0" w:type="auto"/>
            <w:tcBorders>
              <w:bottom w:val="single" w:sz="12" w:space="0" w:color="auto"/>
            </w:tcBorders>
          </w:tcPr>
          <w:p w:rsidR="001844F8" w:rsidRPr="001844F8" w:rsidRDefault="001844F8" w:rsidP="001844F8">
            <w:pPr>
              <w:pStyle w:val="Body"/>
              <w:rPr>
                <w:rFonts w:ascii="Arial" w:hAnsi="Arial" w:cs="Arial"/>
              </w:rPr>
            </w:pPr>
            <w:r w:rsidRPr="001844F8">
              <w:rPr>
                <w:rFonts w:ascii="Arial" w:hAnsi="Arial" w:cs="Arial"/>
              </w:rPr>
              <w:t>≥ 0.90</w:t>
            </w:r>
          </w:p>
        </w:tc>
      </w:tr>
    </w:tbl>
    <w:p w:rsidR="001844F8" w:rsidRPr="001844F8" w:rsidRDefault="001844F8" w:rsidP="001844F8">
      <w:pPr>
        <w:pStyle w:val="Body"/>
        <w:rPr>
          <w:rFonts w:ascii="Arial" w:hAnsi="Arial" w:cs="Arial"/>
        </w:rPr>
      </w:pPr>
      <w:r w:rsidRPr="001844F8">
        <w:rPr>
          <w:rFonts w:ascii="Arial" w:hAnsi="Arial" w:cs="Arial"/>
        </w:rPr>
        <w:t xml:space="preserve">Source: </w:t>
      </w:r>
      <w:r w:rsidRPr="001844F8">
        <w:rPr>
          <w:rFonts w:ascii="Arial" w:hAnsi="Arial" w:cs="Arial"/>
        </w:rPr>
        <w:fldChar w:fldCharType="begin" w:fldLock="1"/>
      </w:r>
      <w:r w:rsidRPr="001844F8">
        <w:rPr>
          <w:rFonts w:ascii="Arial" w:hAnsi="Arial" w:cs="Arial"/>
        </w:rPr>
        <w:instrText>ADDIN CSL_CITATION {"citationItems":[{"id":"ITEM-1","itemData":{"author":[{"dropping-particle":"","family":"Ghozali","given":"Imam","non-dropping-particle":"","parse-names":false,"suffix":""}],"edition":"II","id":"ITEM-1","issued":{"date-parts":[["2008"]]},"publisher":"Universitas Diponegoro Semarang","publisher-place":"Semarang","title":"Structural Equation Modelling","type":"book"},"uris":["http://www.mendeley.com/documents/?uuid=99abf3e3-99f1-4baa-883e-8ac5e3d423a9"]}],"mendeley":{"formattedCitation":"(Ghozali, 2008)","plainTextFormattedCitation":"(Ghozali, 2008)","previouslyFormattedCitation":"(Ghozali, 2008)"},"properties":{"noteIndex":0},"schema":"https://github.com/citation-style-language/schema/raw/master/csl-citation.json"}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(Ghozali, 2008)</w:t>
      </w:r>
      <w:r w:rsidRPr="001844F8">
        <w:rPr>
          <w:rFonts w:ascii="Arial" w:hAnsi="Arial" w:cs="Arial"/>
        </w:rPr>
        <w:fldChar w:fldCharType="end"/>
      </w:r>
      <w:r w:rsidRPr="001844F8">
        <w:rPr>
          <w:rFonts w:ascii="Arial" w:hAnsi="Arial" w:cs="Arial"/>
        </w:rPr>
        <w:t>.</w:t>
      </w:r>
    </w:p>
    <w:p w:rsidR="001844F8" w:rsidRPr="001844F8" w:rsidRDefault="001844F8" w:rsidP="007418CF">
      <w:pPr>
        <w:pStyle w:val="Body"/>
        <w:numPr>
          <w:ilvl w:val="0"/>
          <w:numId w:val="3"/>
        </w:numPr>
        <w:rPr>
          <w:rFonts w:ascii="Arial" w:hAnsi="Arial" w:cs="Arial"/>
        </w:rPr>
      </w:pPr>
      <w:r w:rsidRPr="001844F8">
        <w:rPr>
          <w:rFonts w:ascii="Arial" w:hAnsi="Arial" w:cs="Arial"/>
        </w:rPr>
        <w:t>Step 5 = Hypothesis Test</w:t>
      </w:r>
    </w:p>
    <w:p w:rsidR="001844F8" w:rsidRPr="001844F8" w:rsidRDefault="001844F8" w:rsidP="001844F8">
      <w:pPr>
        <w:pStyle w:val="Body"/>
        <w:rPr>
          <w:rFonts w:ascii="Arial" w:hAnsi="Arial" w:cs="Arial"/>
        </w:rPr>
      </w:pPr>
      <w:r w:rsidRPr="001844F8">
        <w:rPr>
          <w:rFonts w:ascii="Arial" w:hAnsi="Arial" w:cs="Arial"/>
        </w:rPr>
        <w:t xml:space="preserve">To test hypotheses 1 (one) to 7 (seven) use the </w:t>
      </w:r>
      <w:proofErr w:type="spellStart"/>
      <w:r w:rsidRPr="001844F8">
        <w:rPr>
          <w:rFonts w:ascii="Arial" w:hAnsi="Arial" w:cs="Arial"/>
        </w:rPr>
        <w:t>Casuallity</w:t>
      </w:r>
      <w:proofErr w:type="spellEnd"/>
      <w:r w:rsidRPr="001844F8">
        <w:rPr>
          <w:rFonts w:ascii="Arial" w:hAnsi="Arial" w:cs="Arial"/>
        </w:rPr>
        <w:t xml:space="preserve"> Test which aims to see the relationship between variables which can be seen in the Standardize Reg column. Weight (λ) which provides the regression coefficient value (β), as well as the basis for decision making by looking at the P value (Probability of significance) </w:t>
      </w:r>
      <w:r w:rsidRPr="001844F8">
        <w:rPr>
          <w:rFonts w:ascii="Arial" w:hAnsi="Arial" w:cs="Arial"/>
        </w:rPr>
        <w:fldChar w:fldCharType="begin" w:fldLock="1"/>
      </w:r>
      <w:r w:rsidRPr="001844F8">
        <w:rPr>
          <w:rFonts w:ascii="Arial" w:hAnsi="Arial" w:cs="Arial"/>
        </w:rPr>
        <w:instrText>ADDIN CSL_CITATION {"citationItems":[{"id":"ITEM-1","itemData":{"author":[{"dropping-particle":"","family":"Ghozali","given":"Imam","non-dropping-particle":"","parse-names":false,"suffix":""}],"edition":"II","id":"ITEM-1","issued":{"date-parts":[["2008"]]},"publisher":"Universitas Diponegoro Semarang","publisher-place":"Semarang","title":"Structural Equation Modelling","type":"book"},"uris":["http://www.mendeley.com/documents/?uuid=99abf3e3-99f1-4baa-883e-8ac5e3d423a9"]}],"mendeley":{"formattedCitation":"(Ghozali, 2008)","plainTextFormattedCitation":"(Ghozali, 2008)","previouslyFormattedCitation":"(Ghozali, 2008)"},"properties":{"noteIndex":0},"schema":"https://github.com/citation-style-language/schema/raw/master/csl-citation.json"}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(Ghozali, 2008)</w:t>
      </w:r>
      <w:r w:rsidRPr="001844F8">
        <w:rPr>
          <w:rFonts w:ascii="Arial" w:hAnsi="Arial" w:cs="Arial"/>
        </w:rPr>
        <w:fldChar w:fldCharType="end"/>
      </w:r>
      <w:r w:rsidRPr="001844F8">
        <w:rPr>
          <w:rFonts w:ascii="Arial" w:hAnsi="Arial" w:cs="Arial"/>
        </w:rPr>
        <w:t xml:space="preserve"> on the AMOS 24 output as follows:</w:t>
      </w:r>
    </w:p>
    <w:p w:rsidR="001844F8" w:rsidRPr="001844F8" w:rsidRDefault="001844F8" w:rsidP="007418CF">
      <w:pPr>
        <w:pStyle w:val="Body"/>
        <w:numPr>
          <w:ilvl w:val="1"/>
          <w:numId w:val="4"/>
        </w:numPr>
        <w:rPr>
          <w:rFonts w:ascii="Arial" w:hAnsi="Arial" w:cs="Arial"/>
        </w:rPr>
      </w:pPr>
      <w:r w:rsidRPr="001844F8">
        <w:rPr>
          <w:rFonts w:ascii="Arial" w:hAnsi="Arial" w:cs="Arial"/>
        </w:rPr>
        <w:t>If the P value ≤ 0.05, then the hypothesis is accepted.</w:t>
      </w:r>
    </w:p>
    <w:p w:rsidR="001844F8" w:rsidRPr="001844F8" w:rsidRDefault="001844F8" w:rsidP="007418CF">
      <w:pPr>
        <w:pStyle w:val="Body"/>
        <w:numPr>
          <w:ilvl w:val="1"/>
          <w:numId w:val="4"/>
        </w:numPr>
        <w:rPr>
          <w:rFonts w:ascii="Arial" w:hAnsi="Arial" w:cs="Arial"/>
        </w:rPr>
      </w:pPr>
      <w:r w:rsidRPr="001844F8">
        <w:rPr>
          <w:rFonts w:ascii="Arial" w:hAnsi="Arial" w:cs="Arial"/>
        </w:rPr>
        <w:t>If the P value &gt; 0.05, then the hypothesis is rejected.</w:t>
      </w:r>
    </w:p>
    <w:p w:rsidR="001844F8" w:rsidRPr="001844F8" w:rsidRDefault="001844F8" w:rsidP="001844F8">
      <w:pPr>
        <w:pStyle w:val="Body"/>
        <w:rPr>
          <w:rFonts w:ascii="Arial" w:hAnsi="Arial" w:cs="Arial"/>
        </w:rPr>
      </w:pPr>
      <w:r w:rsidRPr="001844F8">
        <w:rPr>
          <w:rFonts w:ascii="Arial" w:hAnsi="Arial" w:cs="Arial"/>
        </w:rPr>
        <w:t>Meanwhile, testing hypotheses 8 (eight) and 9 (nine) uses the Sobel Test which aims to test intervening relationships. The test method is the Sobel Test which uses the direct path coefficient that has been obtained in the structural equation modeling analysis technique used in this research. The formula for testing intervening relationships is as follows:</w:t>
      </w:r>
    </w:p>
    <w:p w:rsidR="001844F8" w:rsidRPr="001844F8" w:rsidRDefault="001844F8" w:rsidP="001844F8">
      <w:pPr>
        <w:pStyle w:val="Body"/>
        <w:rPr>
          <w:rFonts w:ascii="Arial" w:hAnsi="Arial" w:cs="Arial"/>
        </w:rPr>
      </w:pPr>
      <w:r w:rsidRPr="001844F8">
        <w:rPr>
          <w:rFonts w:ascii="Arial" w:hAnsi="Arial" w:cs="Arial"/>
        </w:rPr>
        <w:t xml:space="preserve"> </w:t>
      </w:r>
      <m:oMath>
        <m:r>
          <w:rPr>
            <w:rFonts w:ascii="Cambria Math" w:hAnsi="Cambria Math" w:cs="Arial"/>
          </w:rPr>
          <m:t xml:space="preserve">z-value= </m:t>
        </m:r>
        <m:f>
          <m:fPr>
            <m:ctrlPr>
              <w:rPr>
                <w:rFonts w:ascii="Cambria Math" w:hAnsi="Cambria Math" w:cs="Arial"/>
                <w:i/>
              </w:rPr>
            </m:ctrlPr>
          </m:fPr>
          <m:num>
            <m:r>
              <w:rPr>
                <w:rFonts w:ascii="Cambria Math" w:hAnsi="Cambria Math" w:cs="Arial"/>
              </w:rPr>
              <m:t>ab</m:t>
            </m:r>
          </m:num>
          <m:den>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Sa</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Sb</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Sa</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Sb</m:t>
                    </m:r>
                  </m:e>
                  <m:sup>
                    <m:r>
                      <w:rPr>
                        <w:rFonts w:ascii="Cambria Math" w:hAnsi="Cambria Math" w:cs="Arial"/>
                      </w:rPr>
                      <m:t>2</m:t>
                    </m:r>
                  </m:sup>
                </m:sSup>
              </m:e>
            </m:rad>
          </m:den>
        </m:f>
      </m:oMath>
    </w:p>
    <w:p w:rsidR="001844F8" w:rsidRPr="001844F8" w:rsidRDefault="001844F8" w:rsidP="001844F8">
      <w:pPr>
        <w:pStyle w:val="Body"/>
        <w:rPr>
          <w:rFonts w:ascii="Arial" w:hAnsi="Arial" w:cs="Arial"/>
        </w:rPr>
      </w:pPr>
      <w:r w:rsidRPr="001844F8">
        <w:rPr>
          <w:rFonts w:ascii="Arial" w:hAnsi="Arial" w:cs="Arial"/>
        </w:rPr>
        <w:lastRenderedPageBreak/>
        <w:t>Information:</w:t>
      </w:r>
    </w:p>
    <w:p w:rsidR="001844F8" w:rsidRPr="001844F8" w:rsidRDefault="001844F8" w:rsidP="007418CF">
      <w:pPr>
        <w:pStyle w:val="Body"/>
        <w:numPr>
          <w:ilvl w:val="0"/>
          <w:numId w:val="6"/>
        </w:numPr>
        <w:rPr>
          <w:rFonts w:ascii="Arial" w:hAnsi="Arial" w:cs="Arial"/>
        </w:rPr>
      </w:pPr>
      <w:r w:rsidRPr="001844F8">
        <w:rPr>
          <w:rFonts w:ascii="Arial" w:hAnsi="Arial" w:cs="Arial"/>
        </w:rPr>
        <w:t>Z-Value is the significance of the indirect influence of the independent variable on the dependent variable through the intervening variable</w:t>
      </w:r>
    </w:p>
    <w:p w:rsidR="001844F8" w:rsidRPr="001844F8" w:rsidRDefault="001844F8" w:rsidP="007418CF">
      <w:pPr>
        <w:pStyle w:val="Body"/>
        <w:numPr>
          <w:ilvl w:val="0"/>
          <w:numId w:val="6"/>
        </w:numPr>
        <w:rPr>
          <w:rFonts w:ascii="Arial" w:hAnsi="Arial" w:cs="Arial"/>
        </w:rPr>
      </w:pPr>
      <w:r w:rsidRPr="001844F8">
        <w:rPr>
          <w:rFonts w:ascii="Arial" w:hAnsi="Arial" w:cs="Arial"/>
        </w:rPr>
        <w:t>a is the coefficient of the relationship between the independent variable and the dependent variable</w:t>
      </w:r>
    </w:p>
    <w:p w:rsidR="001844F8" w:rsidRPr="001844F8" w:rsidRDefault="001844F8" w:rsidP="007418CF">
      <w:pPr>
        <w:pStyle w:val="Body"/>
        <w:numPr>
          <w:ilvl w:val="0"/>
          <w:numId w:val="6"/>
        </w:numPr>
        <w:rPr>
          <w:rFonts w:ascii="Arial" w:hAnsi="Arial" w:cs="Arial"/>
        </w:rPr>
      </w:pPr>
      <w:r w:rsidRPr="001844F8">
        <w:rPr>
          <w:rFonts w:ascii="Arial" w:hAnsi="Arial" w:cs="Arial"/>
        </w:rPr>
        <w:t>b is the coefficient of the relationship between the intervening variable and the dependent variable</w:t>
      </w:r>
    </w:p>
    <w:p w:rsidR="001844F8" w:rsidRPr="001844F8" w:rsidRDefault="001844F8" w:rsidP="007418CF">
      <w:pPr>
        <w:pStyle w:val="Body"/>
        <w:numPr>
          <w:ilvl w:val="0"/>
          <w:numId w:val="6"/>
        </w:numPr>
        <w:rPr>
          <w:rFonts w:ascii="Arial" w:hAnsi="Arial" w:cs="Arial"/>
        </w:rPr>
      </w:pPr>
      <w:r w:rsidRPr="001844F8">
        <w:rPr>
          <w:rFonts w:ascii="Arial" w:hAnsi="Arial" w:cs="Arial"/>
        </w:rPr>
        <w:t>Sa is the standard error of path a</w:t>
      </w:r>
    </w:p>
    <w:p w:rsidR="001844F8" w:rsidRPr="001844F8" w:rsidRDefault="001844F8" w:rsidP="007418CF">
      <w:pPr>
        <w:pStyle w:val="Body"/>
        <w:numPr>
          <w:ilvl w:val="0"/>
          <w:numId w:val="6"/>
        </w:numPr>
        <w:rPr>
          <w:rFonts w:ascii="Arial" w:hAnsi="Arial" w:cs="Arial"/>
        </w:rPr>
      </w:pPr>
      <w:r w:rsidRPr="001844F8">
        <w:rPr>
          <w:rFonts w:ascii="Arial" w:hAnsi="Arial" w:cs="Arial"/>
        </w:rPr>
        <w:t>Sb is the standard error of path b</w:t>
      </w:r>
    </w:p>
    <w:p w:rsidR="001844F8" w:rsidRPr="001844F8" w:rsidRDefault="001844F8" w:rsidP="001844F8">
      <w:pPr>
        <w:pStyle w:val="Body"/>
        <w:rPr>
          <w:rFonts w:ascii="Arial" w:hAnsi="Arial" w:cs="Arial"/>
        </w:rPr>
      </w:pPr>
      <w:r w:rsidRPr="001844F8">
        <w:rPr>
          <w:rFonts w:ascii="Arial" w:hAnsi="Arial" w:cs="Arial"/>
        </w:rPr>
        <w:t>The results of calculations using the Sobel Test formula will produce a Z count value. The Z count value is used as a basis for seeing the significance level of the intervening relationship being tested. In this research, researchers used an online calculator so that to test the Sobel Test, it was enough to look at the P value (Probability of Significance) with the following criteria:</w:t>
      </w:r>
    </w:p>
    <w:p w:rsidR="001844F8" w:rsidRPr="001844F8" w:rsidRDefault="001844F8" w:rsidP="007418CF">
      <w:pPr>
        <w:pStyle w:val="Body"/>
        <w:numPr>
          <w:ilvl w:val="0"/>
          <w:numId w:val="5"/>
        </w:numPr>
        <w:rPr>
          <w:rFonts w:ascii="Arial" w:hAnsi="Arial" w:cs="Arial"/>
        </w:rPr>
      </w:pPr>
      <w:r w:rsidRPr="001844F8">
        <w:rPr>
          <w:rFonts w:ascii="Arial" w:hAnsi="Arial" w:cs="Arial"/>
        </w:rPr>
        <w:t>If the P value ≤ 0.05, then the hypothesis is accepted.</w:t>
      </w:r>
    </w:p>
    <w:p w:rsidR="001844F8" w:rsidRPr="001844F8" w:rsidRDefault="001844F8" w:rsidP="007418CF">
      <w:pPr>
        <w:pStyle w:val="Body"/>
        <w:numPr>
          <w:ilvl w:val="0"/>
          <w:numId w:val="5"/>
        </w:numPr>
        <w:rPr>
          <w:rFonts w:ascii="Arial" w:hAnsi="Arial" w:cs="Arial"/>
        </w:rPr>
      </w:pPr>
      <w:r w:rsidRPr="001844F8">
        <w:rPr>
          <w:rFonts w:ascii="Arial" w:hAnsi="Arial" w:cs="Arial"/>
        </w:rPr>
        <w:t>If the P value &gt; 0.05, then the hypothesis is rejected.</w:t>
      </w:r>
    </w:p>
    <w:p w:rsidR="001844F8" w:rsidRPr="001844F8" w:rsidRDefault="001844F8" w:rsidP="001844F8">
      <w:pPr>
        <w:pStyle w:val="Body"/>
        <w:rPr>
          <w:rFonts w:ascii="Arial" w:hAnsi="Arial" w:cs="Arial"/>
        </w:rPr>
      </w:pPr>
    </w:p>
    <w:p w:rsidR="001844F8" w:rsidRPr="001844F8" w:rsidRDefault="001844F8" w:rsidP="001844F8">
      <w:pPr>
        <w:pStyle w:val="Body"/>
        <w:spacing w:after="0"/>
        <w:rPr>
          <w:rFonts w:ascii="Arial" w:hAnsi="Arial" w:cs="Arial"/>
          <w:b/>
        </w:rPr>
      </w:pPr>
      <w:r>
        <w:rPr>
          <w:rFonts w:ascii="Arial" w:hAnsi="Arial" w:cs="Arial"/>
          <w:b/>
        </w:rPr>
        <w:t>3.</w:t>
      </w:r>
      <w:r w:rsidRPr="001844F8">
        <w:rPr>
          <w:rFonts w:ascii="Arial" w:hAnsi="Arial" w:cs="Arial"/>
          <w:b/>
        </w:rPr>
        <w:t>RESULTS AND DISCUSSIONS</w:t>
      </w:r>
    </w:p>
    <w:p w:rsidR="001844F8" w:rsidRPr="001844F8" w:rsidRDefault="001844F8" w:rsidP="001844F8">
      <w:pPr>
        <w:pStyle w:val="Body"/>
        <w:rPr>
          <w:rFonts w:ascii="Arial" w:hAnsi="Arial" w:cs="Arial"/>
          <w:b/>
          <w:lang w:val="id-ID"/>
        </w:rPr>
      </w:pPr>
      <w:r w:rsidRPr="001844F8">
        <w:rPr>
          <w:rFonts w:ascii="Arial" w:hAnsi="Arial" w:cs="Arial"/>
          <w:b/>
          <w:lang w:val="id-ID"/>
        </w:rPr>
        <w:t>Results</w:t>
      </w:r>
    </w:p>
    <w:p w:rsidR="001844F8" w:rsidRPr="001844F8" w:rsidRDefault="001844F8" w:rsidP="001844F8">
      <w:pPr>
        <w:pStyle w:val="Body"/>
        <w:rPr>
          <w:rFonts w:ascii="Arial" w:hAnsi="Arial" w:cs="Arial"/>
        </w:rPr>
      </w:pPr>
      <w:r w:rsidRPr="001844F8">
        <w:rPr>
          <w:rFonts w:ascii="Arial" w:hAnsi="Arial" w:cs="Arial"/>
        </w:rPr>
        <w:t>The following are the results of the analysis of the characteristics of investor respondents in Surabaya based on gender as follows:</w:t>
      </w:r>
    </w:p>
    <w:p w:rsidR="001844F8" w:rsidRPr="001844F8" w:rsidRDefault="001844F8" w:rsidP="001844F8">
      <w:pPr>
        <w:pStyle w:val="Body"/>
        <w:rPr>
          <w:rFonts w:ascii="Arial" w:hAnsi="Arial" w:cs="Arial"/>
          <w:b/>
          <w:bCs/>
          <w:iCs/>
          <w:lang w:val="de-DE"/>
        </w:rPr>
      </w:pPr>
      <w:bookmarkStart w:id="2" w:name="_Toc86238595"/>
      <w:bookmarkStart w:id="3" w:name="_Toc86238757"/>
      <w:bookmarkStart w:id="4" w:name="_Toc86240578"/>
      <w:bookmarkStart w:id="5" w:name="_Toc86240816"/>
      <w:bookmarkStart w:id="6" w:name="_Toc86354653"/>
      <w:bookmarkStart w:id="7" w:name="_Toc86767420"/>
      <w:bookmarkStart w:id="8" w:name="_Toc89343796"/>
      <w:bookmarkStart w:id="9" w:name="_Toc89344228"/>
      <w:bookmarkStart w:id="10" w:name="_Toc147172590"/>
      <w:bookmarkStart w:id="11" w:name="_Toc147173049"/>
      <w:bookmarkStart w:id="12" w:name="_Toc147173217"/>
      <w:bookmarkStart w:id="13" w:name="_Toc147830019"/>
      <w:bookmarkStart w:id="14" w:name="_Toc147830241"/>
      <w:bookmarkStart w:id="15" w:name="_Toc153835410"/>
      <w:bookmarkStart w:id="16" w:name="_Toc153853375"/>
      <w:bookmarkStart w:id="17" w:name="_Toc153854649"/>
      <w:bookmarkStart w:id="18" w:name="_Toc154131991"/>
      <w:bookmarkStart w:id="19" w:name="_Toc154134751"/>
      <w:bookmarkStart w:id="20" w:name="_Toc154135192"/>
      <w:bookmarkStart w:id="21" w:name="_Toc154135443"/>
      <w:bookmarkStart w:id="22" w:name="_Toc159492652"/>
      <w:r w:rsidRPr="001844F8">
        <w:rPr>
          <w:rFonts w:ascii="Arial" w:hAnsi="Arial" w:cs="Arial"/>
          <w:b/>
          <w:bCs/>
          <w:lang w:val="de-DE"/>
        </w:rPr>
        <w:t>Table 3.</w:t>
      </w:r>
      <w:bookmarkStart w:id="23" w:name="_Hlk8623906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1844F8">
        <w:rPr>
          <w:rFonts w:ascii="Arial" w:hAnsi="Arial" w:cs="Arial"/>
          <w:iCs/>
          <w:lang w:val="de-DE"/>
        </w:rPr>
        <w:t>Characteristics Based on Gender</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372"/>
        <w:gridCol w:w="2379"/>
      </w:tblGrid>
      <w:tr w:rsidR="001844F8" w:rsidRPr="001844F8" w:rsidTr="00A6061B">
        <w:tc>
          <w:tcPr>
            <w:tcW w:w="2794" w:type="dxa"/>
            <w:tcBorders>
              <w:top w:val="single" w:sz="4" w:space="0" w:color="auto"/>
              <w:bottom w:val="single" w:sz="4" w:space="0" w:color="auto"/>
            </w:tcBorders>
            <w:vAlign w:val="center"/>
          </w:tcPr>
          <w:bookmarkEnd w:id="23"/>
          <w:p w:rsidR="001844F8" w:rsidRPr="001844F8" w:rsidRDefault="001844F8" w:rsidP="001844F8">
            <w:pPr>
              <w:pStyle w:val="Body"/>
              <w:rPr>
                <w:rFonts w:ascii="Arial" w:hAnsi="Arial" w:cs="Arial"/>
                <w:b/>
                <w:lang w:val="id-ID"/>
              </w:rPr>
            </w:pPr>
            <w:r w:rsidRPr="001844F8">
              <w:rPr>
                <w:rFonts w:ascii="Arial" w:hAnsi="Arial" w:cs="Arial"/>
                <w:b/>
                <w:lang w:val="id-ID"/>
              </w:rPr>
              <w:t>Gender</w:t>
            </w:r>
          </w:p>
        </w:tc>
        <w:tc>
          <w:tcPr>
            <w:tcW w:w="2372"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Amount</w:t>
            </w:r>
          </w:p>
        </w:tc>
        <w:tc>
          <w:tcPr>
            <w:tcW w:w="2379"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Percentage</w:t>
            </w:r>
          </w:p>
        </w:tc>
      </w:tr>
      <w:tr w:rsidR="001844F8" w:rsidRPr="001844F8" w:rsidTr="00A6061B">
        <w:tc>
          <w:tcPr>
            <w:tcW w:w="2794" w:type="dxa"/>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Man</w:t>
            </w:r>
          </w:p>
        </w:tc>
        <w:tc>
          <w:tcPr>
            <w:tcW w:w="2372" w:type="dxa"/>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70 people</w:t>
            </w:r>
          </w:p>
        </w:tc>
        <w:tc>
          <w:tcPr>
            <w:tcW w:w="2379" w:type="dxa"/>
            <w:tcBorders>
              <w:top w:val="single" w:sz="4" w:space="0" w:color="auto"/>
            </w:tcBorders>
            <w:vAlign w:val="bottom"/>
          </w:tcPr>
          <w:p w:rsidR="001844F8" w:rsidRPr="001844F8" w:rsidRDefault="001844F8" w:rsidP="001844F8">
            <w:pPr>
              <w:pStyle w:val="Body"/>
              <w:rPr>
                <w:rFonts w:ascii="Arial" w:hAnsi="Arial" w:cs="Arial"/>
                <w:lang w:val="id-ID"/>
              </w:rPr>
            </w:pPr>
            <w:r w:rsidRPr="001844F8">
              <w:rPr>
                <w:rFonts w:ascii="Arial" w:hAnsi="Arial" w:cs="Arial"/>
                <w:lang w:val="id-ID"/>
              </w:rPr>
              <w:t>51.85%</w:t>
            </w:r>
          </w:p>
        </w:tc>
      </w:tr>
      <w:tr w:rsidR="001844F8" w:rsidRPr="001844F8" w:rsidTr="00A6061B">
        <w:tc>
          <w:tcPr>
            <w:tcW w:w="2794" w:type="dxa"/>
            <w:tcBorders>
              <w:bottom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Woman</w:t>
            </w:r>
          </w:p>
        </w:tc>
        <w:tc>
          <w:tcPr>
            <w:tcW w:w="2372" w:type="dxa"/>
            <w:tcBorders>
              <w:bottom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65 people</w:t>
            </w:r>
          </w:p>
        </w:tc>
        <w:tc>
          <w:tcPr>
            <w:tcW w:w="2379" w:type="dxa"/>
            <w:tcBorders>
              <w:bottom w:val="single" w:sz="4" w:space="0" w:color="auto"/>
            </w:tcBorders>
            <w:vAlign w:val="bottom"/>
          </w:tcPr>
          <w:p w:rsidR="001844F8" w:rsidRPr="001844F8" w:rsidRDefault="001844F8" w:rsidP="001844F8">
            <w:pPr>
              <w:pStyle w:val="Body"/>
              <w:rPr>
                <w:rFonts w:ascii="Arial" w:hAnsi="Arial" w:cs="Arial"/>
                <w:lang w:val="id-ID"/>
              </w:rPr>
            </w:pPr>
            <w:r w:rsidRPr="001844F8">
              <w:rPr>
                <w:rFonts w:ascii="Arial" w:hAnsi="Arial" w:cs="Arial"/>
                <w:lang w:val="id-ID"/>
              </w:rPr>
              <w:t>48.15%</w:t>
            </w:r>
          </w:p>
        </w:tc>
      </w:tr>
      <w:tr w:rsidR="001844F8" w:rsidRPr="001844F8" w:rsidTr="00A6061B">
        <w:tc>
          <w:tcPr>
            <w:tcW w:w="2794"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Total</w:t>
            </w:r>
          </w:p>
        </w:tc>
        <w:tc>
          <w:tcPr>
            <w:tcW w:w="2372"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135</w:t>
            </w:r>
          </w:p>
        </w:tc>
        <w:tc>
          <w:tcPr>
            <w:tcW w:w="2379"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100%</w:t>
            </w:r>
          </w:p>
        </w:tc>
      </w:tr>
    </w:tbl>
    <w:p w:rsidR="001844F8" w:rsidRPr="001844F8" w:rsidRDefault="001844F8" w:rsidP="001844F8">
      <w:pPr>
        <w:pStyle w:val="Body"/>
        <w:rPr>
          <w:rFonts w:ascii="Arial" w:hAnsi="Arial" w:cs="Arial"/>
          <w:b/>
          <w:bCs/>
          <w:lang w:val="sv-SE"/>
        </w:rPr>
      </w:pPr>
    </w:p>
    <w:p w:rsidR="001844F8" w:rsidRPr="001844F8" w:rsidRDefault="001844F8" w:rsidP="001844F8">
      <w:pPr>
        <w:pStyle w:val="Body"/>
        <w:rPr>
          <w:rFonts w:ascii="Arial" w:hAnsi="Arial" w:cs="Arial"/>
          <w:lang w:val="en-ID"/>
        </w:rPr>
      </w:pPr>
      <w:bookmarkStart w:id="24" w:name="_Toc86238597"/>
      <w:bookmarkStart w:id="25" w:name="_Toc86238759"/>
      <w:bookmarkStart w:id="26" w:name="_Toc86240580"/>
      <w:bookmarkStart w:id="27" w:name="_Toc86240818"/>
      <w:bookmarkStart w:id="28" w:name="_Toc86354655"/>
      <w:bookmarkStart w:id="29" w:name="_Toc86767422"/>
      <w:bookmarkStart w:id="30" w:name="_Toc89343798"/>
      <w:bookmarkStart w:id="31" w:name="_Toc89344230"/>
      <w:bookmarkStart w:id="32" w:name="_Toc147172592"/>
      <w:bookmarkStart w:id="33" w:name="_Toc147173051"/>
      <w:bookmarkStart w:id="34" w:name="_Toc147173219"/>
      <w:bookmarkStart w:id="35" w:name="_Toc147830021"/>
      <w:bookmarkStart w:id="36" w:name="_Toc147830243"/>
      <w:bookmarkStart w:id="37" w:name="_Toc153835412"/>
      <w:bookmarkStart w:id="38" w:name="_Toc153853377"/>
      <w:bookmarkStart w:id="39" w:name="_Toc153854651"/>
      <w:bookmarkStart w:id="40" w:name="_Toc154131993"/>
      <w:bookmarkStart w:id="41" w:name="_Toc154134753"/>
      <w:bookmarkStart w:id="42" w:name="_Toc154135194"/>
      <w:bookmarkStart w:id="43" w:name="_Toc154135445"/>
      <w:bookmarkStart w:id="44" w:name="_Toc159492654"/>
      <w:r w:rsidRPr="001844F8">
        <w:rPr>
          <w:rFonts w:ascii="Arial" w:hAnsi="Arial" w:cs="Arial"/>
          <w:b/>
          <w:bCs/>
          <w:lang w:val="en-ID"/>
        </w:rPr>
        <w:t>Table 4.</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1844F8">
        <w:rPr>
          <w:rFonts w:ascii="Arial" w:hAnsi="Arial" w:cs="Arial"/>
          <w:b/>
          <w:bCs/>
          <w:lang w:val="en-ID"/>
        </w:rPr>
        <w:t xml:space="preserve"> </w:t>
      </w:r>
      <w:r w:rsidRPr="001844F8">
        <w:rPr>
          <w:rFonts w:ascii="Arial" w:hAnsi="Arial" w:cs="Arial"/>
          <w:iCs/>
          <w:lang w:val="en-ID"/>
        </w:rPr>
        <w:t>Characteristics Based on Age</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372"/>
        <w:gridCol w:w="2379"/>
      </w:tblGrid>
      <w:tr w:rsidR="001844F8" w:rsidRPr="001844F8" w:rsidTr="00A6061B">
        <w:tc>
          <w:tcPr>
            <w:tcW w:w="2794"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Age</w:t>
            </w:r>
          </w:p>
        </w:tc>
        <w:tc>
          <w:tcPr>
            <w:tcW w:w="2372"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Amount</w:t>
            </w:r>
          </w:p>
        </w:tc>
        <w:tc>
          <w:tcPr>
            <w:tcW w:w="2379"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Percentage</w:t>
            </w:r>
          </w:p>
        </w:tc>
      </w:tr>
      <w:tr w:rsidR="001844F8" w:rsidRPr="001844F8" w:rsidTr="00A6061B">
        <w:tc>
          <w:tcPr>
            <w:tcW w:w="2794" w:type="dxa"/>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17 – 25 Years</w:t>
            </w:r>
          </w:p>
        </w:tc>
        <w:tc>
          <w:tcPr>
            <w:tcW w:w="2372" w:type="dxa"/>
            <w:tcBorders>
              <w:top w:val="single" w:sz="4" w:space="0" w:color="auto"/>
            </w:tcBorders>
            <w:vAlign w:val="bottom"/>
          </w:tcPr>
          <w:p w:rsidR="001844F8" w:rsidRPr="001844F8" w:rsidRDefault="001844F8" w:rsidP="001844F8">
            <w:pPr>
              <w:pStyle w:val="Body"/>
              <w:rPr>
                <w:rFonts w:ascii="Arial" w:hAnsi="Arial" w:cs="Arial"/>
                <w:lang w:val="id-ID"/>
              </w:rPr>
            </w:pPr>
            <w:r w:rsidRPr="001844F8">
              <w:rPr>
                <w:rFonts w:ascii="Arial" w:hAnsi="Arial" w:cs="Arial"/>
                <w:lang w:val="id-ID"/>
              </w:rPr>
              <w:t>49</w:t>
            </w:r>
          </w:p>
        </w:tc>
        <w:tc>
          <w:tcPr>
            <w:tcW w:w="2379" w:type="dxa"/>
            <w:tcBorders>
              <w:top w:val="single" w:sz="4" w:space="0" w:color="auto"/>
            </w:tcBorders>
            <w:vAlign w:val="bottom"/>
          </w:tcPr>
          <w:p w:rsidR="001844F8" w:rsidRPr="001844F8" w:rsidRDefault="001844F8" w:rsidP="001844F8">
            <w:pPr>
              <w:pStyle w:val="Body"/>
              <w:rPr>
                <w:rFonts w:ascii="Arial" w:hAnsi="Arial" w:cs="Arial"/>
                <w:lang w:val="id-ID"/>
              </w:rPr>
            </w:pPr>
            <w:r w:rsidRPr="001844F8">
              <w:rPr>
                <w:rFonts w:ascii="Arial" w:hAnsi="Arial" w:cs="Arial"/>
                <w:lang w:val="id-ID"/>
              </w:rPr>
              <w:t>36.3%</w:t>
            </w:r>
          </w:p>
        </w:tc>
      </w:tr>
      <w:tr w:rsidR="001844F8" w:rsidRPr="001844F8" w:rsidTr="00A6061B">
        <w:tc>
          <w:tcPr>
            <w:tcW w:w="2794" w:type="dxa"/>
            <w:vAlign w:val="center"/>
          </w:tcPr>
          <w:p w:rsidR="001844F8" w:rsidRPr="001844F8" w:rsidRDefault="001844F8" w:rsidP="001844F8">
            <w:pPr>
              <w:pStyle w:val="Body"/>
              <w:rPr>
                <w:rFonts w:ascii="Arial" w:hAnsi="Arial" w:cs="Arial"/>
                <w:lang w:val="id-ID"/>
              </w:rPr>
            </w:pPr>
            <w:r w:rsidRPr="001844F8">
              <w:rPr>
                <w:rFonts w:ascii="Arial" w:hAnsi="Arial" w:cs="Arial"/>
                <w:lang w:val="id-ID"/>
              </w:rPr>
              <w:lastRenderedPageBreak/>
              <w:t>26 – 30 Years</w:t>
            </w:r>
          </w:p>
        </w:tc>
        <w:tc>
          <w:tcPr>
            <w:tcW w:w="2372" w:type="dxa"/>
            <w:vAlign w:val="bottom"/>
          </w:tcPr>
          <w:p w:rsidR="001844F8" w:rsidRPr="001844F8" w:rsidRDefault="001844F8" w:rsidP="001844F8">
            <w:pPr>
              <w:pStyle w:val="Body"/>
              <w:rPr>
                <w:rFonts w:ascii="Arial" w:hAnsi="Arial" w:cs="Arial"/>
                <w:lang w:val="id-ID"/>
              </w:rPr>
            </w:pPr>
            <w:r w:rsidRPr="001844F8">
              <w:rPr>
                <w:rFonts w:ascii="Arial" w:hAnsi="Arial" w:cs="Arial"/>
                <w:lang w:val="id-ID"/>
              </w:rPr>
              <w:t>32</w:t>
            </w:r>
          </w:p>
        </w:tc>
        <w:tc>
          <w:tcPr>
            <w:tcW w:w="2379" w:type="dxa"/>
            <w:vAlign w:val="bottom"/>
          </w:tcPr>
          <w:p w:rsidR="001844F8" w:rsidRPr="001844F8" w:rsidRDefault="001844F8" w:rsidP="001844F8">
            <w:pPr>
              <w:pStyle w:val="Body"/>
              <w:rPr>
                <w:rFonts w:ascii="Arial" w:hAnsi="Arial" w:cs="Arial"/>
                <w:lang w:val="id-ID"/>
              </w:rPr>
            </w:pPr>
            <w:r w:rsidRPr="001844F8">
              <w:rPr>
                <w:rFonts w:ascii="Arial" w:hAnsi="Arial" w:cs="Arial"/>
                <w:lang w:val="id-ID"/>
              </w:rPr>
              <w:t>23.7%</w:t>
            </w:r>
          </w:p>
        </w:tc>
      </w:tr>
      <w:tr w:rsidR="001844F8" w:rsidRPr="001844F8" w:rsidTr="00A6061B">
        <w:tc>
          <w:tcPr>
            <w:tcW w:w="2794" w:type="dxa"/>
            <w:vAlign w:val="center"/>
          </w:tcPr>
          <w:p w:rsidR="001844F8" w:rsidRPr="001844F8" w:rsidRDefault="001844F8" w:rsidP="001844F8">
            <w:pPr>
              <w:pStyle w:val="Body"/>
              <w:rPr>
                <w:rFonts w:ascii="Arial" w:hAnsi="Arial" w:cs="Arial"/>
                <w:lang w:val="id-ID"/>
              </w:rPr>
            </w:pPr>
            <w:r w:rsidRPr="001844F8">
              <w:rPr>
                <w:rFonts w:ascii="Arial" w:hAnsi="Arial" w:cs="Arial"/>
                <w:lang w:val="id-ID"/>
              </w:rPr>
              <w:t>31- 35 Years</w:t>
            </w:r>
          </w:p>
        </w:tc>
        <w:tc>
          <w:tcPr>
            <w:tcW w:w="2372" w:type="dxa"/>
            <w:vAlign w:val="bottom"/>
          </w:tcPr>
          <w:p w:rsidR="001844F8" w:rsidRPr="001844F8" w:rsidRDefault="001844F8" w:rsidP="001844F8">
            <w:pPr>
              <w:pStyle w:val="Body"/>
              <w:rPr>
                <w:rFonts w:ascii="Arial" w:hAnsi="Arial" w:cs="Arial"/>
                <w:lang w:val="id-ID"/>
              </w:rPr>
            </w:pPr>
            <w:r w:rsidRPr="001844F8">
              <w:rPr>
                <w:rFonts w:ascii="Arial" w:hAnsi="Arial" w:cs="Arial"/>
                <w:lang w:val="id-ID"/>
              </w:rPr>
              <w:t>30</w:t>
            </w:r>
          </w:p>
        </w:tc>
        <w:tc>
          <w:tcPr>
            <w:tcW w:w="2379" w:type="dxa"/>
            <w:vAlign w:val="bottom"/>
          </w:tcPr>
          <w:p w:rsidR="001844F8" w:rsidRPr="001844F8" w:rsidRDefault="001844F8" w:rsidP="001844F8">
            <w:pPr>
              <w:pStyle w:val="Body"/>
              <w:rPr>
                <w:rFonts w:ascii="Arial" w:hAnsi="Arial" w:cs="Arial"/>
                <w:lang w:val="id-ID"/>
              </w:rPr>
            </w:pPr>
            <w:r w:rsidRPr="001844F8">
              <w:rPr>
                <w:rFonts w:ascii="Arial" w:hAnsi="Arial" w:cs="Arial"/>
                <w:lang w:val="id-ID"/>
              </w:rPr>
              <w:t>22.2%</w:t>
            </w:r>
          </w:p>
        </w:tc>
      </w:tr>
      <w:tr w:rsidR="001844F8" w:rsidRPr="001844F8" w:rsidTr="00A6061B">
        <w:tc>
          <w:tcPr>
            <w:tcW w:w="2794" w:type="dxa"/>
            <w:tcBorders>
              <w:bottom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&gt; 36 Years</w:t>
            </w:r>
          </w:p>
        </w:tc>
        <w:tc>
          <w:tcPr>
            <w:tcW w:w="2372" w:type="dxa"/>
            <w:tcBorders>
              <w:bottom w:val="single" w:sz="4" w:space="0" w:color="auto"/>
            </w:tcBorders>
            <w:vAlign w:val="bottom"/>
          </w:tcPr>
          <w:p w:rsidR="001844F8" w:rsidRPr="001844F8" w:rsidRDefault="001844F8" w:rsidP="001844F8">
            <w:pPr>
              <w:pStyle w:val="Body"/>
              <w:rPr>
                <w:rFonts w:ascii="Arial" w:hAnsi="Arial" w:cs="Arial"/>
                <w:lang w:val="id-ID"/>
              </w:rPr>
            </w:pPr>
            <w:r w:rsidRPr="001844F8">
              <w:rPr>
                <w:rFonts w:ascii="Arial" w:hAnsi="Arial" w:cs="Arial"/>
                <w:lang w:val="id-ID"/>
              </w:rPr>
              <w:t>24</w:t>
            </w:r>
          </w:p>
        </w:tc>
        <w:tc>
          <w:tcPr>
            <w:tcW w:w="2379" w:type="dxa"/>
            <w:tcBorders>
              <w:bottom w:val="single" w:sz="4" w:space="0" w:color="auto"/>
            </w:tcBorders>
            <w:vAlign w:val="bottom"/>
          </w:tcPr>
          <w:p w:rsidR="001844F8" w:rsidRPr="001844F8" w:rsidRDefault="001844F8" w:rsidP="001844F8">
            <w:pPr>
              <w:pStyle w:val="Body"/>
              <w:rPr>
                <w:rFonts w:ascii="Arial" w:hAnsi="Arial" w:cs="Arial"/>
                <w:lang w:val="id-ID"/>
              </w:rPr>
            </w:pPr>
            <w:r w:rsidRPr="001844F8">
              <w:rPr>
                <w:rFonts w:ascii="Arial" w:hAnsi="Arial" w:cs="Arial"/>
                <w:lang w:val="id-ID"/>
              </w:rPr>
              <w:t>17.8%</w:t>
            </w:r>
          </w:p>
        </w:tc>
      </w:tr>
      <w:tr w:rsidR="001844F8" w:rsidRPr="001844F8" w:rsidTr="00A6061B">
        <w:tc>
          <w:tcPr>
            <w:tcW w:w="2794"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Total</w:t>
            </w:r>
          </w:p>
        </w:tc>
        <w:tc>
          <w:tcPr>
            <w:tcW w:w="2372"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135</w:t>
            </w:r>
          </w:p>
        </w:tc>
        <w:tc>
          <w:tcPr>
            <w:tcW w:w="2379"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100%</w:t>
            </w:r>
          </w:p>
        </w:tc>
      </w:tr>
    </w:tbl>
    <w:p w:rsidR="001844F8" w:rsidRPr="001844F8" w:rsidRDefault="001844F8" w:rsidP="001844F8">
      <w:pPr>
        <w:pStyle w:val="Body"/>
        <w:rPr>
          <w:rFonts w:ascii="Arial" w:hAnsi="Arial" w:cs="Arial"/>
          <w:b/>
          <w:bCs/>
          <w:lang w:val="sv-SE"/>
        </w:rPr>
      </w:pPr>
      <w:r w:rsidRPr="001844F8">
        <w:rPr>
          <w:rFonts w:ascii="Arial" w:hAnsi="Arial" w:cs="Arial"/>
          <w:b/>
          <w:bCs/>
          <w:lang w:val="sv-SE"/>
        </w:rPr>
        <w:t>Source: Test Data, 2024.</w:t>
      </w:r>
    </w:p>
    <w:p w:rsidR="001844F8" w:rsidRPr="001844F8" w:rsidRDefault="001844F8" w:rsidP="001844F8">
      <w:pPr>
        <w:pStyle w:val="Body"/>
        <w:rPr>
          <w:rFonts w:ascii="Arial" w:hAnsi="Arial" w:cs="Arial"/>
          <w:b/>
          <w:bCs/>
          <w:lang w:val="sv-SE"/>
        </w:rPr>
      </w:pPr>
      <w:r w:rsidRPr="001844F8">
        <w:rPr>
          <w:rFonts w:ascii="Arial" w:hAnsi="Arial" w:cs="Arial"/>
          <w:lang w:val="sv-SE"/>
        </w:rPr>
        <w:t>From tables 3 and 4, data was obtained for 135 respondents with composition based on gender, namely 70 respondents or 51.85% were male and 65 respondents or 48.15% were female. Respondents were also divided into four age categories, namely 17-25 years old, 26-30 years old, 31-35 years old, and over 36 years old. Of the 135 respondents obtained, the composition of respondents based on age was explained as follows: 49 respondents or 36.3% were aged 17-25 years, 32 respondents or23.7%aged 26-30 years, 30 respondents or22.2%aged 31-35 years and aged over 36 years there were 24 respondents or 17.8%.</w:t>
      </w:r>
    </w:p>
    <w:p w:rsidR="001844F8" w:rsidRPr="001844F8" w:rsidRDefault="001844F8" w:rsidP="007418CF">
      <w:pPr>
        <w:pStyle w:val="Body"/>
        <w:numPr>
          <w:ilvl w:val="0"/>
          <w:numId w:val="10"/>
        </w:numPr>
        <w:rPr>
          <w:rFonts w:ascii="Arial" w:hAnsi="Arial" w:cs="Arial"/>
          <w:b/>
          <w:bCs/>
        </w:rPr>
      </w:pPr>
      <w:bookmarkStart w:id="45" w:name="_Toc147830037"/>
      <w:bookmarkStart w:id="46" w:name="_Toc147830259"/>
      <w:bookmarkStart w:id="47" w:name="_Toc154134769"/>
      <w:bookmarkStart w:id="48" w:name="_Toc154135210"/>
      <w:bookmarkStart w:id="49" w:name="_Toc154135461"/>
      <w:bookmarkStart w:id="50" w:name="_Toc159492670"/>
      <w:r w:rsidRPr="001844F8">
        <w:rPr>
          <w:rFonts w:ascii="Arial" w:hAnsi="Arial" w:cs="Arial"/>
          <w:b/>
          <w:bCs/>
        </w:rPr>
        <w:t>Path Diagram Construction Results and Mathematical Conversion</w:t>
      </w:r>
      <w:bookmarkEnd w:id="45"/>
      <w:bookmarkEnd w:id="46"/>
      <w:bookmarkEnd w:id="47"/>
      <w:bookmarkEnd w:id="48"/>
      <w:bookmarkEnd w:id="49"/>
      <w:bookmarkEnd w:id="50"/>
    </w:p>
    <w:p w:rsidR="001844F8" w:rsidRPr="001844F8" w:rsidRDefault="001844F8" w:rsidP="001844F8">
      <w:pPr>
        <w:pStyle w:val="Body"/>
        <w:rPr>
          <w:rFonts w:ascii="Arial" w:hAnsi="Arial" w:cs="Arial"/>
        </w:rPr>
      </w:pPr>
      <w:r w:rsidRPr="001844F8">
        <w:rPr>
          <w:rFonts w:ascii="Arial" w:hAnsi="Arial" w:cs="Arial"/>
        </w:rPr>
        <w:t>The results of the Path Diagram Construction and Mathematical Conversion of research variables consisting of Exogenous variables and Endogenous variables are conceptualized into the research model, as follows.</w:t>
      </w:r>
    </w:p>
    <w:p w:rsidR="001844F8" w:rsidRPr="001844F8" w:rsidRDefault="001844F8" w:rsidP="001844F8">
      <w:pPr>
        <w:pStyle w:val="Body"/>
        <w:rPr>
          <w:rFonts w:ascii="Arial" w:hAnsi="Arial" w:cs="Arial"/>
          <w:lang w:val="de-DE"/>
        </w:rPr>
      </w:pPr>
      <w:r w:rsidRPr="001844F8">
        <w:rPr>
          <w:rFonts w:ascii="Arial" w:hAnsi="Arial" w:cs="Arial"/>
          <w:noProof/>
        </w:rPr>
        <w:drawing>
          <wp:inline distT="0" distB="0" distL="0" distR="0" wp14:anchorId="26E121B6" wp14:editId="25D7050E">
            <wp:extent cx="3601566" cy="2674062"/>
            <wp:effectExtent l="0" t="0" r="0" b="0"/>
            <wp:docPr id="438480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80902" name=""/>
                    <pic:cNvPicPr/>
                  </pic:nvPicPr>
                  <pic:blipFill>
                    <a:blip r:embed="rId16"/>
                    <a:stretch>
                      <a:fillRect/>
                    </a:stretch>
                  </pic:blipFill>
                  <pic:spPr>
                    <a:xfrm>
                      <a:off x="0" y="0"/>
                      <a:ext cx="3614205" cy="2683446"/>
                    </a:xfrm>
                    <a:prstGeom prst="rect">
                      <a:avLst/>
                    </a:prstGeom>
                  </pic:spPr>
                </pic:pic>
              </a:graphicData>
            </a:graphic>
          </wp:inline>
        </w:drawing>
      </w:r>
    </w:p>
    <w:p w:rsidR="001844F8" w:rsidRPr="001844F8" w:rsidRDefault="001844F8" w:rsidP="001844F8">
      <w:pPr>
        <w:pStyle w:val="Body"/>
        <w:rPr>
          <w:rFonts w:ascii="Arial" w:hAnsi="Arial" w:cs="Arial"/>
        </w:rPr>
      </w:pPr>
      <w:r w:rsidRPr="001844F8">
        <w:rPr>
          <w:rFonts w:ascii="Arial" w:hAnsi="Arial" w:cs="Arial"/>
          <w:b/>
          <w:bCs/>
        </w:rPr>
        <w:t xml:space="preserve">Figure 2. </w:t>
      </w:r>
      <w:r w:rsidRPr="001844F8">
        <w:rPr>
          <w:rFonts w:ascii="Arial" w:hAnsi="Arial" w:cs="Arial"/>
        </w:rPr>
        <w:t>Research Structural Model</w:t>
      </w:r>
    </w:p>
    <w:p w:rsidR="001844F8" w:rsidRPr="001844F8" w:rsidRDefault="001844F8" w:rsidP="001844F8">
      <w:pPr>
        <w:pStyle w:val="Body"/>
        <w:rPr>
          <w:rFonts w:ascii="Arial" w:hAnsi="Arial" w:cs="Arial"/>
        </w:rPr>
      </w:pPr>
      <w:r w:rsidRPr="001844F8">
        <w:rPr>
          <w:rFonts w:ascii="Arial" w:hAnsi="Arial" w:cs="Arial"/>
        </w:rPr>
        <w:t>This model describes the relationship between exogenous variables, namely personality traits, financial knowledge, and subjective norms, and endogenous variables, namely financial self-efficacy, financial attitude, and investment intentions. Based on the path diagram construct above, then change the path diagram into a structural equation and measurement model. The structural equations of this path diagram model are expressed in 3 groups as follows:</w:t>
      </w:r>
    </w:p>
    <w:p w:rsidR="001844F8" w:rsidRPr="001844F8" w:rsidRDefault="001844F8" w:rsidP="007418CF">
      <w:pPr>
        <w:pStyle w:val="Body"/>
        <w:numPr>
          <w:ilvl w:val="0"/>
          <w:numId w:val="8"/>
        </w:numPr>
        <w:rPr>
          <w:rFonts w:ascii="Arial" w:hAnsi="Arial" w:cs="Arial"/>
        </w:rPr>
      </w:pPr>
      <w:r w:rsidRPr="001844F8">
        <w:rPr>
          <w:rFonts w:ascii="Arial" w:hAnsi="Arial" w:cs="Arial"/>
        </w:rPr>
        <w:lastRenderedPageBreak/>
        <w:t>Group 1 describes the Variables</w:t>
      </w:r>
    </w:p>
    <w:p w:rsidR="001844F8" w:rsidRPr="001844F8" w:rsidRDefault="001844F8" w:rsidP="001844F8">
      <w:pPr>
        <w:pStyle w:val="Body"/>
        <w:rPr>
          <w:rFonts w:ascii="Arial" w:hAnsi="Arial" w:cs="Arial"/>
          <w:vertAlign w:val="subscript"/>
        </w:rPr>
      </w:pPr>
      <w:r w:rsidRPr="001844F8">
        <w:rPr>
          <w:rFonts w:ascii="Arial" w:hAnsi="Arial" w:cs="Arial"/>
        </w:rPr>
        <w:t>FSE = β1 PT + z1</w:t>
      </w:r>
    </w:p>
    <w:p w:rsidR="001844F8" w:rsidRPr="001844F8" w:rsidRDefault="001844F8" w:rsidP="007418CF">
      <w:pPr>
        <w:pStyle w:val="Body"/>
        <w:numPr>
          <w:ilvl w:val="0"/>
          <w:numId w:val="8"/>
        </w:numPr>
        <w:rPr>
          <w:rFonts w:ascii="Arial" w:hAnsi="Arial" w:cs="Arial"/>
        </w:rPr>
      </w:pPr>
      <w:r w:rsidRPr="001844F8">
        <w:rPr>
          <w:rFonts w:ascii="Arial" w:hAnsi="Arial" w:cs="Arial"/>
        </w:rPr>
        <w:t>Group 2 describes the Variables</w:t>
      </w:r>
    </w:p>
    <w:p w:rsidR="001844F8" w:rsidRPr="001844F8" w:rsidRDefault="001844F8" w:rsidP="001844F8">
      <w:pPr>
        <w:pStyle w:val="Body"/>
        <w:rPr>
          <w:rFonts w:ascii="Arial" w:hAnsi="Arial" w:cs="Arial"/>
          <w:vertAlign w:val="subscript"/>
        </w:rPr>
      </w:pPr>
      <w:r w:rsidRPr="001844F8">
        <w:rPr>
          <w:rFonts w:ascii="Arial" w:hAnsi="Arial" w:cs="Arial"/>
        </w:rPr>
        <w:t>NI = β1 PT + β1 FSE + β1 NS + β1 FK + β1 FA + z2</w:t>
      </w:r>
    </w:p>
    <w:p w:rsidR="001844F8" w:rsidRPr="001844F8" w:rsidRDefault="001844F8" w:rsidP="007418CF">
      <w:pPr>
        <w:pStyle w:val="Body"/>
        <w:numPr>
          <w:ilvl w:val="0"/>
          <w:numId w:val="8"/>
        </w:numPr>
        <w:rPr>
          <w:rFonts w:ascii="Arial" w:hAnsi="Arial" w:cs="Arial"/>
        </w:rPr>
      </w:pPr>
      <w:r w:rsidRPr="001844F8">
        <w:rPr>
          <w:rFonts w:ascii="Arial" w:hAnsi="Arial" w:cs="Arial"/>
        </w:rPr>
        <w:t>Group 3 describes the Variables</w:t>
      </w:r>
    </w:p>
    <w:p w:rsidR="001844F8" w:rsidRPr="001844F8" w:rsidRDefault="001844F8" w:rsidP="001844F8">
      <w:pPr>
        <w:pStyle w:val="Body"/>
        <w:rPr>
          <w:rFonts w:ascii="Arial" w:hAnsi="Arial" w:cs="Arial"/>
          <w:vertAlign w:val="subscript"/>
        </w:rPr>
      </w:pPr>
      <w:r w:rsidRPr="001844F8">
        <w:rPr>
          <w:rFonts w:ascii="Arial" w:hAnsi="Arial" w:cs="Arial"/>
        </w:rPr>
        <w:t>FA = β1 FK + z3</w:t>
      </w:r>
    </w:p>
    <w:p w:rsidR="001844F8" w:rsidRPr="001844F8" w:rsidRDefault="001844F8" w:rsidP="001844F8">
      <w:pPr>
        <w:pStyle w:val="Body"/>
        <w:rPr>
          <w:rFonts w:ascii="Arial" w:hAnsi="Arial" w:cs="Arial"/>
        </w:rPr>
      </w:pPr>
      <w:r w:rsidRPr="001844F8">
        <w:rPr>
          <w:rFonts w:ascii="Arial" w:hAnsi="Arial" w:cs="Arial"/>
        </w:rPr>
        <w:t>Information:</w:t>
      </w:r>
    </w:p>
    <w:p w:rsidR="001844F8" w:rsidRPr="001844F8" w:rsidRDefault="001844F8" w:rsidP="007418CF">
      <w:pPr>
        <w:pStyle w:val="Body"/>
        <w:numPr>
          <w:ilvl w:val="0"/>
          <w:numId w:val="7"/>
        </w:numPr>
        <w:rPr>
          <w:rFonts w:ascii="Arial" w:hAnsi="Arial" w:cs="Arial"/>
        </w:rPr>
      </w:pPr>
      <w:r w:rsidRPr="001844F8">
        <w:rPr>
          <w:rFonts w:ascii="Arial" w:hAnsi="Arial" w:cs="Arial"/>
        </w:rPr>
        <w:t>NI</w:t>
      </w:r>
      <w:r w:rsidRPr="001844F8">
        <w:rPr>
          <w:rFonts w:ascii="Arial" w:hAnsi="Arial" w:cs="Arial"/>
        </w:rPr>
        <w:tab/>
        <w:t>= Investment Intention</w:t>
      </w:r>
    </w:p>
    <w:p w:rsidR="001844F8" w:rsidRPr="001844F8" w:rsidRDefault="001844F8" w:rsidP="007418CF">
      <w:pPr>
        <w:pStyle w:val="Body"/>
        <w:numPr>
          <w:ilvl w:val="0"/>
          <w:numId w:val="7"/>
        </w:numPr>
        <w:rPr>
          <w:rFonts w:ascii="Arial" w:hAnsi="Arial" w:cs="Arial"/>
        </w:rPr>
      </w:pPr>
      <w:r w:rsidRPr="001844F8">
        <w:rPr>
          <w:rFonts w:ascii="Arial" w:hAnsi="Arial" w:cs="Arial"/>
        </w:rPr>
        <w:t>PT</w:t>
      </w:r>
      <w:r w:rsidRPr="001844F8">
        <w:rPr>
          <w:rFonts w:ascii="Arial" w:hAnsi="Arial" w:cs="Arial"/>
        </w:rPr>
        <w:tab/>
        <w:t>=</w:t>
      </w:r>
      <w:r w:rsidRPr="001844F8">
        <w:rPr>
          <w:rFonts w:ascii="Arial" w:hAnsi="Arial" w:cs="Arial"/>
          <w:i/>
          <w:iCs/>
        </w:rPr>
        <w:t>Personality Traits</w:t>
      </w:r>
    </w:p>
    <w:p w:rsidR="001844F8" w:rsidRPr="001844F8" w:rsidRDefault="001844F8" w:rsidP="007418CF">
      <w:pPr>
        <w:pStyle w:val="Body"/>
        <w:numPr>
          <w:ilvl w:val="0"/>
          <w:numId w:val="7"/>
        </w:numPr>
        <w:rPr>
          <w:rFonts w:ascii="Arial" w:hAnsi="Arial" w:cs="Arial"/>
        </w:rPr>
      </w:pPr>
      <w:r w:rsidRPr="001844F8">
        <w:rPr>
          <w:rFonts w:ascii="Arial" w:hAnsi="Arial" w:cs="Arial"/>
        </w:rPr>
        <w:t>FSE</w:t>
      </w:r>
      <w:r w:rsidRPr="001844F8">
        <w:rPr>
          <w:rFonts w:ascii="Arial" w:hAnsi="Arial" w:cs="Arial"/>
        </w:rPr>
        <w:tab/>
        <w:t>=</w:t>
      </w:r>
      <w:r w:rsidRPr="001844F8">
        <w:rPr>
          <w:rFonts w:ascii="Arial" w:hAnsi="Arial" w:cs="Arial"/>
          <w:i/>
          <w:iCs/>
        </w:rPr>
        <w:t>Financial self-efficacy</w:t>
      </w:r>
    </w:p>
    <w:p w:rsidR="001844F8" w:rsidRPr="001844F8" w:rsidRDefault="001844F8" w:rsidP="007418CF">
      <w:pPr>
        <w:pStyle w:val="Body"/>
        <w:numPr>
          <w:ilvl w:val="0"/>
          <w:numId w:val="7"/>
        </w:numPr>
        <w:rPr>
          <w:rFonts w:ascii="Arial" w:hAnsi="Arial" w:cs="Arial"/>
        </w:rPr>
      </w:pPr>
      <w:r w:rsidRPr="001844F8">
        <w:rPr>
          <w:rFonts w:ascii="Arial" w:hAnsi="Arial" w:cs="Arial"/>
        </w:rPr>
        <w:t>NS</w:t>
      </w:r>
      <w:r w:rsidRPr="001844F8">
        <w:rPr>
          <w:rFonts w:ascii="Arial" w:hAnsi="Arial" w:cs="Arial"/>
        </w:rPr>
        <w:tab/>
        <w:t>= Norm Subjective</w:t>
      </w:r>
    </w:p>
    <w:p w:rsidR="001844F8" w:rsidRPr="001844F8" w:rsidRDefault="001844F8" w:rsidP="007418CF">
      <w:pPr>
        <w:pStyle w:val="Body"/>
        <w:numPr>
          <w:ilvl w:val="0"/>
          <w:numId w:val="7"/>
        </w:numPr>
        <w:rPr>
          <w:rFonts w:ascii="Arial" w:hAnsi="Arial" w:cs="Arial"/>
        </w:rPr>
      </w:pPr>
      <w:r w:rsidRPr="001844F8">
        <w:rPr>
          <w:rFonts w:ascii="Arial" w:hAnsi="Arial" w:cs="Arial"/>
        </w:rPr>
        <w:t>FK</w:t>
      </w:r>
      <w:r w:rsidRPr="001844F8">
        <w:rPr>
          <w:rFonts w:ascii="Arial" w:hAnsi="Arial" w:cs="Arial"/>
        </w:rPr>
        <w:tab/>
        <w:t>=</w:t>
      </w:r>
      <w:r w:rsidRPr="001844F8">
        <w:rPr>
          <w:rFonts w:ascii="Arial" w:hAnsi="Arial" w:cs="Arial"/>
          <w:i/>
          <w:iCs/>
        </w:rPr>
        <w:t>Financial Knowledge</w:t>
      </w:r>
    </w:p>
    <w:p w:rsidR="001844F8" w:rsidRPr="001844F8" w:rsidRDefault="001844F8" w:rsidP="007418CF">
      <w:pPr>
        <w:pStyle w:val="Body"/>
        <w:numPr>
          <w:ilvl w:val="0"/>
          <w:numId w:val="7"/>
        </w:numPr>
        <w:rPr>
          <w:rFonts w:ascii="Arial" w:hAnsi="Arial" w:cs="Arial"/>
        </w:rPr>
      </w:pPr>
      <w:proofErr w:type="gramStart"/>
      <w:r w:rsidRPr="001844F8">
        <w:rPr>
          <w:rFonts w:ascii="Arial" w:hAnsi="Arial" w:cs="Arial"/>
        </w:rPr>
        <w:t>F.A</w:t>
      </w:r>
      <w:proofErr w:type="gramEnd"/>
      <w:r w:rsidRPr="001844F8">
        <w:rPr>
          <w:rFonts w:ascii="Arial" w:hAnsi="Arial" w:cs="Arial"/>
        </w:rPr>
        <w:tab/>
        <w:t>=</w:t>
      </w:r>
      <w:r w:rsidRPr="001844F8">
        <w:rPr>
          <w:rFonts w:ascii="Arial" w:hAnsi="Arial" w:cs="Arial"/>
          <w:i/>
          <w:iCs/>
        </w:rPr>
        <w:t>Financial Attitude</w:t>
      </w:r>
    </w:p>
    <w:p w:rsidR="001844F8" w:rsidRPr="001844F8" w:rsidRDefault="001844F8" w:rsidP="007418CF">
      <w:pPr>
        <w:pStyle w:val="Body"/>
        <w:numPr>
          <w:ilvl w:val="0"/>
          <w:numId w:val="7"/>
        </w:numPr>
        <w:rPr>
          <w:rFonts w:ascii="Arial" w:hAnsi="Arial" w:cs="Arial"/>
        </w:rPr>
      </w:pPr>
      <w:r w:rsidRPr="001844F8">
        <w:rPr>
          <w:rFonts w:ascii="Arial" w:hAnsi="Arial" w:cs="Arial"/>
        </w:rPr>
        <w:t>z1,2,3</w:t>
      </w:r>
      <w:r w:rsidRPr="001844F8">
        <w:rPr>
          <w:rFonts w:ascii="Arial" w:hAnsi="Arial" w:cs="Arial"/>
        </w:rPr>
        <w:tab/>
        <w:t>=</w:t>
      </w:r>
      <w:r w:rsidRPr="001844F8">
        <w:rPr>
          <w:rFonts w:ascii="Arial" w:hAnsi="Arial" w:cs="Arial"/>
          <w:i/>
          <w:iCs/>
        </w:rPr>
        <w:t>Error</w:t>
      </w:r>
    </w:p>
    <w:p w:rsidR="001844F8" w:rsidRPr="001844F8" w:rsidRDefault="001844F8" w:rsidP="001844F8">
      <w:pPr>
        <w:pStyle w:val="Body"/>
        <w:rPr>
          <w:rFonts w:ascii="Arial" w:hAnsi="Arial" w:cs="Arial"/>
        </w:rPr>
      </w:pPr>
      <w:r w:rsidRPr="001844F8">
        <w:rPr>
          <w:rFonts w:ascii="Arial" w:hAnsi="Arial" w:cs="Arial"/>
        </w:rPr>
        <w:t>Meanwhile, the specifications for the measurement model are as follows:</w:t>
      </w:r>
    </w:p>
    <w:p w:rsidR="001844F8" w:rsidRPr="001844F8" w:rsidRDefault="001844F8" w:rsidP="007418CF">
      <w:pPr>
        <w:pStyle w:val="Body"/>
        <w:numPr>
          <w:ilvl w:val="0"/>
          <w:numId w:val="9"/>
        </w:numPr>
        <w:rPr>
          <w:rFonts w:ascii="Arial" w:hAnsi="Arial" w:cs="Arial"/>
        </w:rPr>
      </w:pPr>
      <w:r w:rsidRPr="001844F8">
        <w:rPr>
          <w:rFonts w:ascii="Arial" w:hAnsi="Arial" w:cs="Arial"/>
        </w:rPr>
        <w:t>The Exogenous Construct of Personality Traits</w:t>
      </w:r>
    </w:p>
    <w:p w:rsidR="001844F8" w:rsidRPr="001844F8" w:rsidRDefault="001844F8" w:rsidP="001844F8">
      <w:pPr>
        <w:pStyle w:val="Body"/>
        <w:rPr>
          <w:rFonts w:ascii="Arial" w:hAnsi="Arial" w:cs="Arial"/>
          <w:lang w:val="de-DE"/>
        </w:rPr>
      </w:pPr>
      <w:r w:rsidRPr="001844F8">
        <w:rPr>
          <w:rFonts w:ascii="Arial" w:hAnsi="Arial" w:cs="Arial"/>
          <w:lang w:val="de-DE"/>
        </w:rPr>
        <w:t xml:space="preserve">PT1 = </w:t>
      </w:r>
      <w:r w:rsidRPr="001844F8">
        <w:rPr>
          <w:rFonts w:ascii="Arial" w:hAnsi="Arial" w:cs="Arial"/>
        </w:rPr>
        <w:t>λ</w:t>
      </w:r>
      <w:r w:rsidRPr="001844F8">
        <w:rPr>
          <w:rFonts w:ascii="Arial" w:hAnsi="Arial" w:cs="Arial"/>
          <w:lang w:val="de-DE"/>
        </w:rPr>
        <w:t>1PT + e1</w:t>
      </w:r>
    </w:p>
    <w:p w:rsidR="001844F8" w:rsidRPr="001844F8" w:rsidRDefault="001844F8" w:rsidP="001844F8">
      <w:pPr>
        <w:pStyle w:val="Body"/>
        <w:rPr>
          <w:rFonts w:ascii="Arial" w:hAnsi="Arial" w:cs="Arial"/>
          <w:lang w:val="de-DE"/>
        </w:rPr>
      </w:pPr>
      <w:r w:rsidRPr="001844F8">
        <w:rPr>
          <w:rFonts w:ascii="Arial" w:hAnsi="Arial" w:cs="Arial"/>
          <w:lang w:val="de-DE"/>
        </w:rPr>
        <w:t>PT2 = λ2PT + e2</w:t>
      </w:r>
    </w:p>
    <w:p w:rsidR="001844F8" w:rsidRPr="001844F8" w:rsidRDefault="001844F8" w:rsidP="001844F8">
      <w:pPr>
        <w:pStyle w:val="Body"/>
        <w:rPr>
          <w:rFonts w:ascii="Arial" w:hAnsi="Arial" w:cs="Arial"/>
          <w:lang w:val="de-DE"/>
        </w:rPr>
      </w:pPr>
      <w:r w:rsidRPr="001844F8">
        <w:rPr>
          <w:rFonts w:ascii="Arial" w:hAnsi="Arial" w:cs="Arial"/>
          <w:lang w:val="de-DE"/>
        </w:rPr>
        <w:t>PT3 = λ3PT + e3</w:t>
      </w:r>
    </w:p>
    <w:p w:rsidR="001844F8" w:rsidRPr="001844F8" w:rsidRDefault="001844F8" w:rsidP="001844F8">
      <w:pPr>
        <w:pStyle w:val="Body"/>
        <w:rPr>
          <w:rFonts w:ascii="Arial" w:hAnsi="Arial" w:cs="Arial"/>
          <w:lang w:val="de-DE"/>
        </w:rPr>
      </w:pPr>
      <w:r w:rsidRPr="001844F8">
        <w:rPr>
          <w:rFonts w:ascii="Arial" w:hAnsi="Arial" w:cs="Arial"/>
          <w:lang w:val="de-DE"/>
        </w:rPr>
        <w:t>PT4 = λ4PT + e4</w:t>
      </w:r>
    </w:p>
    <w:p w:rsidR="001844F8" w:rsidRPr="001844F8" w:rsidRDefault="001844F8" w:rsidP="001844F8">
      <w:pPr>
        <w:pStyle w:val="Body"/>
        <w:rPr>
          <w:rFonts w:ascii="Arial" w:hAnsi="Arial" w:cs="Arial"/>
          <w:lang w:val="de-DE"/>
        </w:rPr>
      </w:pPr>
      <w:r w:rsidRPr="001844F8">
        <w:rPr>
          <w:rFonts w:ascii="Arial" w:hAnsi="Arial" w:cs="Arial"/>
          <w:lang w:val="de-DE"/>
        </w:rPr>
        <w:t>PT5 = λ5PT + e5</w:t>
      </w:r>
    </w:p>
    <w:p w:rsidR="001844F8" w:rsidRPr="001844F8" w:rsidRDefault="001844F8" w:rsidP="001844F8">
      <w:pPr>
        <w:pStyle w:val="Body"/>
        <w:rPr>
          <w:rFonts w:ascii="Arial" w:hAnsi="Arial" w:cs="Arial"/>
          <w:lang w:val="de-DE"/>
        </w:rPr>
      </w:pPr>
      <w:r w:rsidRPr="001844F8">
        <w:rPr>
          <w:rFonts w:ascii="Arial" w:hAnsi="Arial" w:cs="Arial"/>
          <w:lang w:val="de-DE"/>
        </w:rPr>
        <w:t>PT6 = λ6PT + e6</w:t>
      </w:r>
    </w:p>
    <w:p w:rsidR="001844F8" w:rsidRPr="001844F8" w:rsidRDefault="001844F8" w:rsidP="007418CF">
      <w:pPr>
        <w:pStyle w:val="Body"/>
        <w:numPr>
          <w:ilvl w:val="0"/>
          <w:numId w:val="9"/>
        </w:numPr>
        <w:rPr>
          <w:rFonts w:ascii="Arial" w:hAnsi="Arial" w:cs="Arial"/>
        </w:rPr>
      </w:pPr>
      <w:r w:rsidRPr="001844F8">
        <w:rPr>
          <w:rFonts w:ascii="Arial" w:hAnsi="Arial" w:cs="Arial"/>
        </w:rPr>
        <w:t>The Exogenous Construct of Subjective Norms</w:t>
      </w:r>
    </w:p>
    <w:p w:rsidR="001844F8" w:rsidRPr="001844F8" w:rsidRDefault="001844F8" w:rsidP="001844F8">
      <w:pPr>
        <w:pStyle w:val="Body"/>
        <w:rPr>
          <w:rFonts w:ascii="Arial" w:hAnsi="Arial" w:cs="Arial"/>
          <w:lang w:val="de-DE"/>
        </w:rPr>
      </w:pPr>
      <w:r w:rsidRPr="001844F8">
        <w:rPr>
          <w:rFonts w:ascii="Arial" w:hAnsi="Arial" w:cs="Arial"/>
          <w:lang w:val="de-DE"/>
        </w:rPr>
        <w:t>NS1 = λ1NS + e7</w:t>
      </w:r>
    </w:p>
    <w:p w:rsidR="001844F8" w:rsidRPr="001844F8" w:rsidRDefault="001844F8" w:rsidP="001844F8">
      <w:pPr>
        <w:pStyle w:val="Body"/>
        <w:rPr>
          <w:rFonts w:ascii="Arial" w:hAnsi="Arial" w:cs="Arial"/>
          <w:lang w:val="de-DE"/>
        </w:rPr>
      </w:pPr>
      <w:r w:rsidRPr="001844F8">
        <w:rPr>
          <w:rFonts w:ascii="Arial" w:hAnsi="Arial" w:cs="Arial"/>
          <w:lang w:val="de-DE"/>
        </w:rPr>
        <w:t>NS2 = λ2NS + e8</w:t>
      </w:r>
    </w:p>
    <w:p w:rsidR="001844F8" w:rsidRPr="001844F8" w:rsidRDefault="001844F8" w:rsidP="001844F8">
      <w:pPr>
        <w:pStyle w:val="Body"/>
        <w:rPr>
          <w:rFonts w:ascii="Arial" w:hAnsi="Arial" w:cs="Arial"/>
          <w:lang w:val="de-DE"/>
        </w:rPr>
      </w:pPr>
      <w:r w:rsidRPr="001844F8">
        <w:rPr>
          <w:rFonts w:ascii="Arial" w:hAnsi="Arial" w:cs="Arial"/>
          <w:lang w:val="de-DE"/>
        </w:rPr>
        <w:t>NS3 = λ3NS + e9</w:t>
      </w:r>
    </w:p>
    <w:p w:rsidR="001844F8" w:rsidRPr="001844F8" w:rsidRDefault="001844F8" w:rsidP="001844F8">
      <w:pPr>
        <w:pStyle w:val="Body"/>
        <w:rPr>
          <w:rFonts w:ascii="Arial" w:hAnsi="Arial" w:cs="Arial"/>
          <w:lang w:val="de-DE"/>
        </w:rPr>
      </w:pPr>
      <w:r w:rsidRPr="001844F8">
        <w:rPr>
          <w:rFonts w:ascii="Arial" w:hAnsi="Arial" w:cs="Arial"/>
          <w:lang w:val="de-DE"/>
        </w:rPr>
        <w:lastRenderedPageBreak/>
        <w:t>NS4 = λ4NS + e10</w:t>
      </w:r>
    </w:p>
    <w:p w:rsidR="001844F8" w:rsidRPr="001844F8" w:rsidRDefault="001844F8" w:rsidP="007418CF">
      <w:pPr>
        <w:pStyle w:val="Body"/>
        <w:numPr>
          <w:ilvl w:val="0"/>
          <w:numId w:val="9"/>
        </w:numPr>
        <w:rPr>
          <w:rFonts w:ascii="Arial" w:hAnsi="Arial" w:cs="Arial"/>
          <w:lang w:val="de-DE"/>
        </w:rPr>
      </w:pPr>
      <w:r w:rsidRPr="001844F8">
        <w:rPr>
          <w:rFonts w:ascii="Arial" w:hAnsi="Arial" w:cs="Arial"/>
          <w:lang w:val="de-DE"/>
        </w:rPr>
        <w:t>Exogenous Construct of Financial Knowledge</w:t>
      </w:r>
    </w:p>
    <w:p w:rsidR="001844F8" w:rsidRPr="001844F8" w:rsidRDefault="001844F8" w:rsidP="001844F8">
      <w:pPr>
        <w:pStyle w:val="Body"/>
        <w:rPr>
          <w:rFonts w:ascii="Arial" w:hAnsi="Arial" w:cs="Arial"/>
          <w:lang w:val="de-DE"/>
        </w:rPr>
      </w:pPr>
      <w:r w:rsidRPr="001844F8">
        <w:rPr>
          <w:rFonts w:ascii="Arial" w:hAnsi="Arial" w:cs="Arial"/>
          <w:lang w:val="de-DE"/>
        </w:rPr>
        <w:t>FK1 = λ1FK + e11</w:t>
      </w:r>
    </w:p>
    <w:p w:rsidR="001844F8" w:rsidRPr="001844F8" w:rsidRDefault="001844F8" w:rsidP="001844F8">
      <w:pPr>
        <w:pStyle w:val="Body"/>
        <w:rPr>
          <w:rFonts w:ascii="Arial" w:hAnsi="Arial" w:cs="Arial"/>
          <w:lang w:val="de-DE"/>
        </w:rPr>
      </w:pPr>
      <w:r w:rsidRPr="001844F8">
        <w:rPr>
          <w:rFonts w:ascii="Arial" w:hAnsi="Arial" w:cs="Arial"/>
          <w:lang w:val="de-DE"/>
        </w:rPr>
        <w:t>FK2 = λ2FK + e12</w:t>
      </w:r>
    </w:p>
    <w:p w:rsidR="001844F8" w:rsidRPr="001844F8" w:rsidRDefault="001844F8" w:rsidP="001844F8">
      <w:pPr>
        <w:pStyle w:val="Body"/>
        <w:rPr>
          <w:rFonts w:ascii="Arial" w:hAnsi="Arial" w:cs="Arial"/>
          <w:lang w:val="de-DE"/>
        </w:rPr>
      </w:pPr>
      <w:r w:rsidRPr="001844F8">
        <w:rPr>
          <w:rFonts w:ascii="Arial" w:hAnsi="Arial" w:cs="Arial"/>
          <w:lang w:val="de-DE"/>
        </w:rPr>
        <w:t>FK3 = λ3FK + e13</w:t>
      </w:r>
    </w:p>
    <w:p w:rsidR="001844F8" w:rsidRPr="001844F8" w:rsidRDefault="001844F8" w:rsidP="001844F8">
      <w:pPr>
        <w:pStyle w:val="Body"/>
        <w:rPr>
          <w:rFonts w:ascii="Arial" w:hAnsi="Arial" w:cs="Arial"/>
          <w:lang w:val="de-DE"/>
        </w:rPr>
      </w:pPr>
      <w:r w:rsidRPr="001844F8">
        <w:rPr>
          <w:rFonts w:ascii="Arial" w:hAnsi="Arial" w:cs="Arial"/>
          <w:lang w:val="de-DE"/>
        </w:rPr>
        <w:t>FK4 = λ4FK + e14</w:t>
      </w:r>
    </w:p>
    <w:p w:rsidR="001844F8" w:rsidRPr="001844F8" w:rsidRDefault="001844F8" w:rsidP="007418CF">
      <w:pPr>
        <w:pStyle w:val="Body"/>
        <w:numPr>
          <w:ilvl w:val="0"/>
          <w:numId w:val="9"/>
        </w:numPr>
        <w:rPr>
          <w:rFonts w:ascii="Arial" w:hAnsi="Arial" w:cs="Arial"/>
          <w:lang w:val="de-DE"/>
        </w:rPr>
      </w:pPr>
      <w:r w:rsidRPr="001844F8">
        <w:rPr>
          <w:rFonts w:ascii="Arial" w:hAnsi="Arial" w:cs="Arial"/>
          <w:lang w:val="de-DE"/>
        </w:rPr>
        <w:t>Endogenous Construct of Financial Attitude</w:t>
      </w:r>
    </w:p>
    <w:p w:rsidR="001844F8" w:rsidRPr="001844F8" w:rsidRDefault="001844F8" w:rsidP="001844F8">
      <w:pPr>
        <w:pStyle w:val="Body"/>
        <w:rPr>
          <w:rFonts w:ascii="Arial" w:hAnsi="Arial" w:cs="Arial"/>
          <w:lang w:val="de-DE"/>
        </w:rPr>
      </w:pPr>
      <w:r w:rsidRPr="001844F8">
        <w:rPr>
          <w:rFonts w:ascii="Arial" w:hAnsi="Arial" w:cs="Arial"/>
          <w:lang w:val="de-DE"/>
        </w:rPr>
        <w:t>FA1 = λ1FA + e15</w:t>
      </w:r>
    </w:p>
    <w:p w:rsidR="001844F8" w:rsidRPr="001844F8" w:rsidRDefault="001844F8" w:rsidP="001844F8">
      <w:pPr>
        <w:pStyle w:val="Body"/>
        <w:rPr>
          <w:rFonts w:ascii="Arial" w:hAnsi="Arial" w:cs="Arial"/>
          <w:lang w:val="de-DE"/>
        </w:rPr>
      </w:pPr>
      <w:r w:rsidRPr="001844F8">
        <w:rPr>
          <w:rFonts w:ascii="Arial" w:hAnsi="Arial" w:cs="Arial"/>
          <w:lang w:val="de-DE"/>
        </w:rPr>
        <w:t>FA2 = λ2FA + e16</w:t>
      </w:r>
    </w:p>
    <w:p w:rsidR="001844F8" w:rsidRPr="001844F8" w:rsidRDefault="001844F8" w:rsidP="001844F8">
      <w:pPr>
        <w:pStyle w:val="Body"/>
        <w:rPr>
          <w:rFonts w:ascii="Arial" w:hAnsi="Arial" w:cs="Arial"/>
          <w:lang w:val="de-DE"/>
        </w:rPr>
      </w:pPr>
      <w:r w:rsidRPr="001844F8">
        <w:rPr>
          <w:rFonts w:ascii="Arial" w:hAnsi="Arial" w:cs="Arial"/>
          <w:lang w:val="de-DE"/>
        </w:rPr>
        <w:t>FA3 = λ3FA + e17</w:t>
      </w:r>
    </w:p>
    <w:p w:rsidR="001844F8" w:rsidRPr="001844F8" w:rsidRDefault="001844F8" w:rsidP="001844F8">
      <w:pPr>
        <w:pStyle w:val="Body"/>
        <w:rPr>
          <w:rFonts w:ascii="Arial" w:hAnsi="Arial" w:cs="Arial"/>
          <w:lang w:val="de-DE"/>
        </w:rPr>
      </w:pPr>
      <w:r w:rsidRPr="001844F8">
        <w:rPr>
          <w:rFonts w:ascii="Arial" w:hAnsi="Arial" w:cs="Arial"/>
          <w:lang w:val="de-DE"/>
        </w:rPr>
        <w:t>FA4 = λ4FA + e18</w:t>
      </w:r>
    </w:p>
    <w:p w:rsidR="001844F8" w:rsidRPr="001844F8" w:rsidRDefault="001844F8" w:rsidP="007418CF">
      <w:pPr>
        <w:pStyle w:val="Body"/>
        <w:numPr>
          <w:ilvl w:val="0"/>
          <w:numId w:val="9"/>
        </w:numPr>
        <w:rPr>
          <w:rFonts w:ascii="Arial" w:hAnsi="Arial" w:cs="Arial"/>
          <w:i/>
          <w:iCs/>
        </w:rPr>
      </w:pPr>
      <w:r w:rsidRPr="001844F8">
        <w:rPr>
          <w:rFonts w:ascii="Arial" w:hAnsi="Arial" w:cs="Arial"/>
        </w:rPr>
        <w:t>The Endogenous Construct of Financial Self-Efficacy</w:t>
      </w:r>
    </w:p>
    <w:p w:rsidR="001844F8" w:rsidRPr="001844F8" w:rsidRDefault="001844F8" w:rsidP="001844F8">
      <w:pPr>
        <w:pStyle w:val="Body"/>
        <w:rPr>
          <w:rFonts w:ascii="Arial" w:hAnsi="Arial" w:cs="Arial"/>
          <w:lang w:val="de-DE"/>
        </w:rPr>
      </w:pPr>
      <w:r w:rsidRPr="001844F8">
        <w:rPr>
          <w:rFonts w:ascii="Arial" w:hAnsi="Arial" w:cs="Arial"/>
          <w:lang w:val="de-DE"/>
        </w:rPr>
        <w:t>FSE1 = λ1FSE + e19</w:t>
      </w:r>
    </w:p>
    <w:p w:rsidR="001844F8" w:rsidRPr="001844F8" w:rsidRDefault="001844F8" w:rsidP="001844F8">
      <w:pPr>
        <w:pStyle w:val="Body"/>
        <w:rPr>
          <w:rFonts w:ascii="Arial" w:hAnsi="Arial" w:cs="Arial"/>
          <w:lang w:val="de-DE"/>
        </w:rPr>
      </w:pPr>
      <w:r w:rsidRPr="001844F8">
        <w:rPr>
          <w:rFonts w:ascii="Arial" w:hAnsi="Arial" w:cs="Arial"/>
          <w:lang w:val="de-DE"/>
        </w:rPr>
        <w:t>FSE2 = λ2FSE + e20</w:t>
      </w:r>
    </w:p>
    <w:p w:rsidR="001844F8" w:rsidRPr="001844F8" w:rsidRDefault="001844F8" w:rsidP="001844F8">
      <w:pPr>
        <w:pStyle w:val="Body"/>
        <w:rPr>
          <w:rFonts w:ascii="Arial" w:hAnsi="Arial" w:cs="Arial"/>
          <w:lang w:val="de-DE"/>
        </w:rPr>
      </w:pPr>
      <w:r w:rsidRPr="001844F8">
        <w:rPr>
          <w:rFonts w:ascii="Arial" w:hAnsi="Arial" w:cs="Arial"/>
          <w:lang w:val="de-DE"/>
        </w:rPr>
        <w:t>FSE3 = λ3FSE + e21</w:t>
      </w:r>
    </w:p>
    <w:p w:rsidR="001844F8" w:rsidRPr="001844F8" w:rsidRDefault="001844F8" w:rsidP="001844F8">
      <w:pPr>
        <w:pStyle w:val="Body"/>
        <w:rPr>
          <w:rFonts w:ascii="Arial" w:hAnsi="Arial" w:cs="Arial"/>
          <w:lang w:val="de-DE"/>
        </w:rPr>
      </w:pPr>
      <w:r w:rsidRPr="001844F8">
        <w:rPr>
          <w:rFonts w:ascii="Arial" w:hAnsi="Arial" w:cs="Arial"/>
          <w:lang w:val="de-DE"/>
        </w:rPr>
        <w:t>FES4 = λ4FSE + e22</w:t>
      </w:r>
    </w:p>
    <w:p w:rsidR="001844F8" w:rsidRPr="001844F8" w:rsidRDefault="001844F8" w:rsidP="001844F8">
      <w:pPr>
        <w:pStyle w:val="Body"/>
        <w:rPr>
          <w:rFonts w:ascii="Arial" w:hAnsi="Arial" w:cs="Arial"/>
          <w:lang w:val="de-DE"/>
        </w:rPr>
      </w:pPr>
      <w:r w:rsidRPr="001844F8">
        <w:rPr>
          <w:rFonts w:ascii="Arial" w:hAnsi="Arial" w:cs="Arial"/>
          <w:lang w:val="de-DE"/>
        </w:rPr>
        <w:t>FSE5 = λ5FSE + e23</w:t>
      </w:r>
    </w:p>
    <w:p w:rsidR="001844F8" w:rsidRPr="001844F8" w:rsidRDefault="001844F8" w:rsidP="001844F8">
      <w:pPr>
        <w:pStyle w:val="Body"/>
        <w:rPr>
          <w:rFonts w:ascii="Arial" w:hAnsi="Arial" w:cs="Arial"/>
          <w:lang w:val="de-DE"/>
        </w:rPr>
      </w:pPr>
      <w:r w:rsidRPr="001844F8">
        <w:rPr>
          <w:rFonts w:ascii="Arial" w:hAnsi="Arial" w:cs="Arial"/>
          <w:lang w:val="de-DE"/>
        </w:rPr>
        <w:t>FSE6 = λ6FSE + e24</w:t>
      </w:r>
    </w:p>
    <w:p w:rsidR="001844F8" w:rsidRPr="001844F8" w:rsidRDefault="001844F8" w:rsidP="007418CF">
      <w:pPr>
        <w:pStyle w:val="Body"/>
        <w:numPr>
          <w:ilvl w:val="0"/>
          <w:numId w:val="9"/>
        </w:numPr>
        <w:rPr>
          <w:rFonts w:ascii="Arial" w:hAnsi="Arial" w:cs="Arial"/>
        </w:rPr>
      </w:pPr>
      <w:r w:rsidRPr="001844F8">
        <w:rPr>
          <w:rFonts w:ascii="Arial" w:hAnsi="Arial" w:cs="Arial"/>
        </w:rPr>
        <w:t>The Endogenous Construct of Investment Intentions</w:t>
      </w:r>
    </w:p>
    <w:p w:rsidR="001844F8" w:rsidRPr="001844F8" w:rsidRDefault="001844F8" w:rsidP="001844F8">
      <w:pPr>
        <w:pStyle w:val="Body"/>
        <w:rPr>
          <w:rFonts w:ascii="Arial" w:hAnsi="Arial" w:cs="Arial"/>
          <w:lang w:val="de-DE"/>
        </w:rPr>
      </w:pPr>
      <w:r w:rsidRPr="001844F8">
        <w:rPr>
          <w:rFonts w:ascii="Arial" w:hAnsi="Arial" w:cs="Arial"/>
          <w:lang w:val="de-DE"/>
        </w:rPr>
        <w:t>NI1 = λ1NI + e25</w:t>
      </w:r>
    </w:p>
    <w:p w:rsidR="001844F8" w:rsidRPr="001844F8" w:rsidRDefault="001844F8" w:rsidP="001844F8">
      <w:pPr>
        <w:pStyle w:val="Body"/>
        <w:rPr>
          <w:rFonts w:ascii="Arial" w:hAnsi="Arial" w:cs="Arial"/>
          <w:lang w:val="de-DE"/>
        </w:rPr>
      </w:pPr>
      <w:r w:rsidRPr="001844F8">
        <w:rPr>
          <w:rFonts w:ascii="Arial" w:hAnsi="Arial" w:cs="Arial"/>
          <w:lang w:val="de-DE"/>
        </w:rPr>
        <w:t>NI2 = λ2NI + e26</w:t>
      </w:r>
    </w:p>
    <w:p w:rsidR="001844F8" w:rsidRPr="001844F8" w:rsidRDefault="001844F8" w:rsidP="001844F8">
      <w:pPr>
        <w:pStyle w:val="Body"/>
        <w:rPr>
          <w:rFonts w:ascii="Arial" w:hAnsi="Arial" w:cs="Arial"/>
          <w:lang w:val="de-DE"/>
        </w:rPr>
      </w:pPr>
      <w:r w:rsidRPr="001844F8">
        <w:rPr>
          <w:rFonts w:ascii="Arial" w:hAnsi="Arial" w:cs="Arial"/>
          <w:lang w:val="de-DE"/>
        </w:rPr>
        <w:t>NI3 = λ3NI + e27</w:t>
      </w:r>
    </w:p>
    <w:p w:rsidR="001844F8" w:rsidRPr="001844F8" w:rsidRDefault="001844F8" w:rsidP="001844F8">
      <w:pPr>
        <w:pStyle w:val="Body"/>
        <w:rPr>
          <w:rFonts w:ascii="Arial" w:hAnsi="Arial" w:cs="Arial"/>
          <w:b/>
          <w:bCs/>
          <w:lang w:val="sv-SE"/>
        </w:rPr>
      </w:pPr>
    </w:p>
    <w:p w:rsidR="001844F8" w:rsidRPr="001844F8" w:rsidRDefault="001844F8" w:rsidP="007418CF">
      <w:pPr>
        <w:pStyle w:val="Body"/>
        <w:numPr>
          <w:ilvl w:val="0"/>
          <w:numId w:val="10"/>
        </w:numPr>
        <w:rPr>
          <w:rFonts w:ascii="Arial" w:hAnsi="Arial" w:cs="Arial"/>
          <w:b/>
          <w:bCs/>
          <w:lang w:val="en-ID"/>
        </w:rPr>
      </w:pPr>
      <w:bookmarkStart w:id="51" w:name="_Toc147830038"/>
      <w:bookmarkStart w:id="52" w:name="_Toc147830260"/>
      <w:bookmarkStart w:id="53" w:name="_Toc154134771"/>
      <w:bookmarkStart w:id="54" w:name="_Toc154135212"/>
      <w:bookmarkStart w:id="55" w:name="_Toc154135463"/>
      <w:bookmarkStart w:id="56" w:name="_Toc159492672"/>
      <w:proofErr w:type="spellStart"/>
      <w:r w:rsidRPr="001844F8">
        <w:rPr>
          <w:rFonts w:ascii="Arial" w:hAnsi="Arial" w:cs="Arial"/>
          <w:b/>
          <w:bCs/>
          <w:lang w:val="en-ID"/>
        </w:rPr>
        <w:t>Results</w:t>
      </w:r>
      <w:r w:rsidRPr="001844F8">
        <w:rPr>
          <w:rFonts w:ascii="Arial" w:hAnsi="Arial" w:cs="Arial"/>
          <w:b/>
          <w:bCs/>
          <w:i/>
          <w:iCs/>
          <w:lang w:val="en-ID"/>
        </w:rPr>
        <w:t>Confirmatory</w:t>
      </w:r>
      <w:proofErr w:type="spellEnd"/>
      <w:r w:rsidRPr="001844F8">
        <w:rPr>
          <w:rFonts w:ascii="Arial" w:hAnsi="Arial" w:cs="Arial"/>
          <w:b/>
          <w:bCs/>
          <w:i/>
          <w:iCs/>
          <w:lang w:val="en-ID"/>
        </w:rPr>
        <w:t xml:space="preserve"> Factor Analysis (CFA)</w:t>
      </w:r>
      <w:bookmarkEnd w:id="51"/>
      <w:bookmarkEnd w:id="52"/>
      <w:bookmarkEnd w:id="53"/>
      <w:bookmarkEnd w:id="54"/>
      <w:bookmarkEnd w:id="55"/>
      <w:bookmarkEnd w:id="56"/>
    </w:p>
    <w:p w:rsidR="001844F8" w:rsidRPr="001844F8" w:rsidRDefault="001844F8" w:rsidP="001844F8">
      <w:pPr>
        <w:pStyle w:val="Body"/>
        <w:rPr>
          <w:rFonts w:ascii="Arial" w:hAnsi="Arial" w:cs="Arial"/>
        </w:rPr>
      </w:pPr>
      <w:r w:rsidRPr="001844F8">
        <w:rPr>
          <w:rFonts w:ascii="Arial" w:hAnsi="Arial" w:cs="Arial"/>
        </w:rPr>
        <w:t xml:space="preserve">The second stage is Confirmatory Factor Analysis. CFA was conducted to assess the construct validity of the proposed measurement theory. There are two measures of construct validity, namely Convergent Validity with standardized loading estimate criteria ≥ 0.50 and </w:t>
      </w:r>
      <w:r w:rsidRPr="001844F8">
        <w:rPr>
          <w:rFonts w:ascii="Arial" w:hAnsi="Arial" w:cs="Arial"/>
        </w:rPr>
        <w:lastRenderedPageBreak/>
        <w:t>Construct Reliability with Cronbach Alpha (CA) criteria ≥ 0.70. The following are the CFA test results for each variable.</w:t>
      </w:r>
    </w:p>
    <w:p w:rsidR="001844F8" w:rsidRPr="001844F8" w:rsidRDefault="001844F8" w:rsidP="007418CF">
      <w:pPr>
        <w:pStyle w:val="Body"/>
        <w:numPr>
          <w:ilvl w:val="0"/>
          <w:numId w:val="11"/>
        </w:numPr>
        <w:rPr>
          <w:rFonts w:ascii="Arial" w:hAnsi="Arial" w:cs="Arial"/>
          <w:i/>
          <w:iCs/>
        </w:rPr>
      </w:pPr>
      <w:r w:rsidRPr="001844F8">
        <w:rPr>
          <w:rFonts w:ascii="Arial" w:hAnsi="Arial" w:cs="Arial"/>
        </w:rPr>
        <w:t>CFA Personality Traits</w:t>
      </w:r>
    </w:p>
    <w:p w:rsidR="001844F8" w:rsidRPr="001844F8" w:rsidRDefault="001844F8" w:rsidP="001844F8">
      <w:pPr>
        <w:pStyle w:val="Body"/>
        <w:rPr>
          <w:rFonts w:ascii="Arial" w:hAnsi="Arial" w:cs="Arial"/>
          <w:b/>
          <w:bCs/>
          <w:lang w:val="en-ID"/>
        </w:rPr>
      </w:pPr>
      <w:bookmarkStart w:id="57" w:name="_Toc147172609"/>
      <w:bookmarkStart w:id="58" w:name="_Toc147173068"/>
      <w:bookmarkStart w:id="59" w:name="_Toc147173236"/>
      <w:bookmarkStart w:id="60" w:name="_Toc147830039"/>
      <w:bookmarkStart w:id="61" w:name="_Toc147830261"/>
      <w:bookmarkStart w:id="62" w:name="_Toc153835430"/>
      <w:bookmarkStart w:id="63" w:name="_Toc153853395"/>
      <w:bookmarkStart w:id="64" w:name="_Toc153854669"/>
      <w:bookmarkStart w:id="65" w:name="_Toc154132012"/>
      <w:bookmarkStart w:id="66" w:name="_Toc154134772"/>
      <w:bookmarkStart w:id="67" w:name="_Toc154135213"/>
      <w:bookmarkStart w:id="68" w:name="_Toc154135464"/>
      <w:bookmarkStart w:id="69" w:name="_Toc159492673"/>
      <w:r w:rsidRPr="001844F8">
        <w:rPr>
          <w:rFonts w:ascii="Arial" w:hAnsi="Arial" w:cs="Arial"/>
          <w:b/>
          <w:bCs/>
          <w:lang w:val="en-ID"/>
        </w:rPr>
        <w:t>Table 5.</w:t>
      </w:r>
      <w:bookmarkEnd w:id="57"/>
      <w:bookmarkEnd w:id="58"/>
      <w:bookmarkEnd w:id="59"/>
      <w:bookmarkEnd w:id="60"/>
      <w:bookmarkEnd w:id="61"/>
      <w:bookmarkEnd w:id="62"/>
      <w:bookmarkEnd w:id="63"/>
      <w:bookmarkEnd w:id="64"/>
      <w:bookmarkEnd w:id="65"/>
      <w:bookmarkEnd w:id="66"/>
      <w:bookmarkEnd w:id="67"/>
      <w:bookmarkEnd w:id="68"/>
      <w:bookmarkEnd w:id="69"/>
      <w:r w:rsidRPr="001844F8">
        <w:rPr>
          <w:rFonts w:ascii="Arial" w:hAnsi="Arial" w:cs="Arial"/>
          <w:lang w:val="en-ID"/>
        </w:rPr>
        <w:t>Validity of CFA Personality Traits</w:t>
      </w:r>
    </w:p>
    <w:tbl>
      <w:tblPr>
        <w:tblW w:w="4303"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14"/>
        <w:gridCol w:w="842"/>
        <w:gridCol w:w="870"/>
        <w:gridCol w:w="1056"/>
        <w:gridCol w:w="922"/>
        <w:gridCol w:w="956"/>
        <w:gridCol w:w="890"/>
      </w:tblGrid>
      <w:tr w:rsidR="001844F8" w:rsidRPr="001844F8" w:rsidTr="00A6061B">
        <w:trPr>
          <w:trHeight w:val="173"/>
          <w:tblHeader/>
          <w:jc w:val="center"/>
        </w:trPr>
        <w:tc>
          <w:tcPr>
            <w:tcW w:w="1182" w:type="pct"/>
            <w:vMerge w:val="restart"/>
            <w:noWrap/>
            <w:vAlign w:val="center"/>
            <w:hideMark/>
          </w:tcPr>
          <w:p w:rsidR="001844F8" w:rsidRPr="001844F8" w:rsidRDefault="001844F8" w:rsidP="001844F8">
            <w:pPr>
              <w:pStyle w:val="Body"/>
              <w:rPr>
                <w:rFonts w:ascii="Arial" w:hAnsi="Arial" w:cs="Arial"/>
              </w:rPr>
            </w:pPr>
            <w:r w:rsidRPr="001844F8">
              <w:rPr>
                <w:rFonts w:ascii="Arial" w:hAnsi="Arial" w:cs="Arial"/>
              </w:rPr>
              <w:t>Indicator</w:t>
            </w:r>
          </w:p>
        </w:tc>
        <w:tc>
          <w:tcPr>
            <w:tcW w:w="1909" w:type="pct"/>
            <w:gridSpan w:val="3"/>
            <w:noWrap/>
            <w:vAlign w:val="bottom"/>
            <w:hideMark/>
          </w:tcPr>
          <w:p w:rsidR="001844F8" w:rsidRPr="001844F8" w:rsidRDefault="001844F8" w:rsidP="001844F8">
            <w:pPr>
              <w:pStyle w:val="Body"/>
              <w:rPr>
                <w:rFonts w:ascii="Arial" w:hAnsi="Arial" w:cs="Arial"/>
              </w:rPr>
            </w:pPr>
            <w:r w:rsidRPr="001844F8">
              <w:rPr>
                <w:rFonts w:ascii="Arial" w:hAnsi="Arial" w:cs="Arial"/>
              </w:rPr>
              <w:t>CFA PT</w:t>
            </w:r>
          </w:p>
        </w:tc>
        <w:tc>
          <w:tcPr>
            <w:tcW w:w="1909" w:type="pct"/>
            <w:gridSpan w:val="3"/>
            <w:noWrap/>
            <w:vAlign w:val="bottom"/>
            <w:hideMark/>
          </w:tcPr>
          <w:p w:rsidR="001844F8" w:rsidRPr="001844F8" w:rsidRDefault="001844F8" w:rsidP="001844F8">
            <w:pPr>
              <w:pStyle w:val="Body"/>
              <w:rPr>
                <w:rFonts w:ascii="Arial" w:hAnsi="Arial" w:cs="Arial"/>
              </w:rPr>
            </w:pPr>
            <w:r w:rsidRPr="001844F8">
              <w:rPr>
                <w:rFonts w:ascii="Arial" w:hAnsi="Arial" w:cs="Arial"/>
              </w:rPr>
              <w:t>CFA PT (elimination)</w:t>
            </w:r>
          </w:p>
        </w:tc>
      </w:tr>
      <w:tr w:rsidR="001844F8" w:rsidRPr="001844F8" w:rsidTr="00A6061B">
        <w:trPr>
          <w:trHeight w:val="263"/>
          <w:tblHeader/>
          <w:jc w:val="center"/>
        </w:trPr>
        <w:tc>
          <w:tcPr>
            <w:tcW w:w="1182" w:type="pct"/>
            <w:vMerge/>
            <w:vAlign w:val="center"/>
            <w:hideMark/>
          </w:tcPr>
          <w:p w:rsidR="001844F8" w:rsidRPr="001844F8" w:rsidRDefault="001844F8" w:rsidP="001844F8">
            <w:pPr>
              <w:pStyle w:val="Body"/>
              <w:rPr>
                <w:rFonts w:ascii="Arial" w:hAnsi="Arial" w:cs="Arial"/>
              </w:rPr>
            </w:pPr>
          </w:p>
        </w:tc>
        <w:tc>
          <w:tcPr>
            <w:tcW w:w="581" w:type="pct"/>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728" w:type="pct"/>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c>
          <w:tcPr>
            <w:tcW w:w="636" w:type="pct"/>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659" w:type="pct"/>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614" w:type="pct"/>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r>
      <w:tr w:rsidR="001844F8" w:rsidRPr="001844F8" w:rsidTr="00A6061B">
        <w:trPr>
          <w:trHeight w:val="315"/>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PT6</w:t>
            </w:r>
          </w:p>
        </w:tc>
        <w:tc>
          <w:tcPr>
            <w:tcW w:w="581" w:type="pct"/>
            <w:vAlign w:val="center"/>
            <w:hideMark/>
          </w:tcPr>
          <w:p w:rsidR="001844F8" w:rsidRPr="001844F8" w:rsidRDefault="001844F8" w:rsidP="001844F8">
            <w:pPr>
              <w:pStyle w:val="Body"/>
              <w:rPr>
                <w:rFonts w:ascii="Arial" w:hAnsi="Arial" w:cs="Arial"/>
              </w:rPr>
            </w:pPr>
            <w:r w:rsidRPr="001844F8">
              <w:rPr>
                <w:rFonts w:ascii="Arial" w:hAnsi="Arial" w:cs="Arial"/>
              </w:rPr>
              <w:t>0.491</w:t>
            </w: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0.241</w:t>
            </w:r>
          </w:p>
        </w:tc>
        <w:tc>
          <w:tcPr>
            <w:tcW w:w="728" w:type="pct"/>
            <w:vAlign w:val="center"/>
            <w:hideMark/>
          </w:tcPr>
          <w:p w:rsidR="001844F8" w:rsidRPr="001844F8" w:rsidRDefault="001844F8" w:rsidP="001844F8">
            <w:pPr>
              <w:pStyle w:val="Body"/>
              <w:rPr>
                <w:rFonts w:ascii="Arial" w:hAnsi="Arial" w:cs="Arial"/>
              </w:rPr>
            </w:pPr>
            <w:r w:rsidRPr="001844F8">
              <w:rPr>
                <w:rFonts w:ascii="Arial" w:hAnsi="Arial" w:cs="Arial"/>
              </w:rPr>
              <w:t>0.759</w:t>
            </w:r>
          </w:p>
        </w:tc>
        <w:tc>
          <w:tcPr>
            <w:tcW w:w="636" w:type="pct"/>
            <w:vAlign w:val="center"/>
            <w:hideMark/>
          </w:tcPr>
          <w:p w:rsidR="001844F8" w:rsidRPr="001844F8" w:rsidRDefault="001844F8" w:rsidP="001844F8">
            <w:pPr>
              <w:pStyle w:val="Body"/>
              <w:rPr>
                <w:rFonts w:ascii="Arial" w:hAnsi="Arial" w:cs="Arial"/>
              </w:rPr>
            </w:pPr>
          </w:p>
        </w:tc>
        <w:tc>
          <w:tcPr>
            <w:tcW w:w="659" w:type="pct"/>
            <w:vAlign w:val="center"/>
            <w:hideMark/>
          </w:tcPr>
          <w:p w:rsidR="001844F8" w:rsidRPr="001844F8" w:rsidRDefault="001844F8" w:rsidP="001844F8">
            <w:pPr>
              <w:pStyle w:val="Body"/>
              <w:rPr>
                <w:rFonts w:ascii="Arial" w:hAnsi="Arial" w:cs="Arial"/>
              </w:rPr>
            </w:pPr>
          </w:p>
        </w:tc>
        <w:tc>
          <w:tcPr>
            <w:tcW w:w="614" w:type="pct"/>
            <w:vAlign w:val="center"/>
            <w:hideMark/>
          </w:tcPr>
          <w:p w:rsidR="001844F8" w:rsidRPr="001844F8" w:rsidRDefault="001844F8" w:rsidP="001844F8">
            <w:pPr>
              <w:pStyle w:val="Body"/>
              <w:rPr>
                <w:rFonts w:ascii="Arial" w:hAnsi="Arial" w:cs="Arial"/>
              </w:rPr>
            </w:pPr>
          </w:p>
        </w:tc>
      </w:tr>
      <w:tr w:rsidR="001844F8" w:rsidRPr="001844F8" w:rsidTr="00A6061B">
        <w:trPr>
          <w:trHeight w:val="315"/>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PT5</w:t>
            </w:r>
          </w:p>
        </w:tc>
        <w:tc>
          <w:tcPr>
            <w:tcW w:w="581" w:type="pct"/>
            <w:vAlign w:val="center"/>
            <w:hideMark/>
          </w:tcPr>
          <w:p w:rsidR="001844F8" w:rsidRPr="001844F8" w:rsidRDefault="001844F8" w:rsidP="001844F8">
            <w:pPr>
              <w:pStyle w:val="Body"/>
              <w:rPr>
                <w:rFonts w:ascii="Arial" w:hAnsi="Arial" w:cs="Arial"/>
              </w:rPr>
            </w:pPr>
            <w:r w:rsidRPr="001844F8">
              <w:rPr>
                <w:rFonts w:ascii="Arial" w:hAnsi="Arial" w:cs="Arial"/>
              </w:rPr>
              <w:t>0.589</w:t>
            </w: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0.347</w:t>
            </w:r>
          </w:p>
        </w:tc>
        <w:tc>
          <w:tcPr>
            <w:tcW w:w="728" w:type="pct"/>
            <w:vAlign w:val="center"/>
            <w:hideMark/>
          </w:tcPr>
          <w:p w:rsidR="001844F8" w:rsidRPr="001844F8" w:rsidRDefault="001844F8" w:rsidP="001844F8">
            <w:pPr>
              <w:pStyle w:val="Body"/>
              <w:rPr>
                <w:rFonts w:ascii="Arial" w:hAnsi="Arial" w:cs="Arial"/>
              </w:rPr>
            </w:pPr>
            <w:r w:rsidRPr="001844F8">
              <w:rPr>
                <w:rFonts w:ascii="Arial" w:hAnsi="Arial" w:cs="Arial"/>
              </w:rPr>
              <w:t>0.653</w:t>
            </w:r>
          </w:p>
        </w:tc>
        <w:tc>
          <w:tcPr>
            <w:tcW w:w="636" w:type="pct"/>
            <w:vAlign w:val="center"/>
            <w:hideMark/>
          </w:tcPr>
          <w:p w:rsidR="001844F8" w:rsidRPr="001844F8" w:rsidRDefault="001844F8" w:rsidP="001844F8">
            <w:pPr>
              <w:pStyle w:val="Body"/>
              <w:rPr>
                <w:rFonts w:ascii="Arial" w:hAnsi="Arial" w:cs="Arial"/>
              </w:rPr>
            </w:pPr>
            <w:r w:rsidRPr="001844F8">
              <w:rPr>
                <w:rFonts w:ascii="Arial" w:hAnsi="Arial" w:cs="Arial"/>
              </w:rPr>
              <w:t>0.521</w:t>
            </w:r>
          </w:p>
        </w:tc>
        <w:tc>
          <w:tcPr>
            <w:tcW w:w="659" w:type="pct"/>
            <w:noWrap/>
            <w:vAlign w:val="center"/>
            <w:hideMark/>
          </w:tcPr>
          <w:p w:rsidR="001844F8" w:rsidRPr="001844F8" w:rsidRDefault="001844F8" w:rsidP="001844F8">
            <w:pPr>
              <w:pStyle w:val="Body"/>
              <w:rPr>
                <w:rFonts w:ascii="Arial" w:hAnsi="Arial" w:cs="Arial"/>
              </w:rPr>
            </w:pPr>
            <w:r w:rsidRPr="001844F8">
              <w:rPr>
                <w:rFonts w:ascii="Arial" w:hAnsi="Arial" w:cs="Arial"/>
              </w:rPr>
              <w:t>0.271</w:t>
            </w:r>
          </w:p>
        </w:tc>
        <w:tc>
          <w:tcPr>
            <w:tcW w:w="614" w:type="pct"/>
            <w:vAlign w:val="center"/>
            <w:hideMark/>
          </w:tcPr>
          <w:p w:rsidR="001844F8" w:rsidRPr="001844F8" w:rsidRDefault="001844F8" w:rsidP="001844F8">
            <w:pPr>
              <w:pStyle w:val="Body"/>
              <w:rPr>
                <w:rFonts w:ascii="Arial" w:hAnsi="Arial" w:cs="Arial"/>
              </w:rPr>
            </w:pPr>
            <w:r w:rsidRPr="001844F8">
              <w:rPr>
                <w:rFonts w:ascii="Arial" w:hAnsi="Arial" w:cs="Arial"/>
              </w:rPr>
              <w:t>0.729</w:t>
            </w:r>
          </w:p>
        </w:tc>
      </w:tr>
      <w:tr w:rsidR="001844F8" w:rsidRPr="001844F8" w:rsidTr="00A6061B">
        <w:trPr>
          <w:trHeight w:val="315"/>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PT4</w:t>
            </w:r>
          </w:p>
        </w:tc>
        <w:tc>
          <w:tcPr>
            <w:tcW w:w="581" w:type="pct"/>
            <w:vAlign w:val="center"/>
            <w:hideMark/>
          </w:tcPr>
          <w:p w:rsidR="001844F8" w:rsidRPr="001844F8" w:rsidRDefault="001844F8" w:rsidP="001844F8">
            <w:pPr>
              <w:pStyle w:val="Body"/>
              <w:rPr>
                <w:rFonts w:ascii="Arial" w:hAnsi="Arial" w:cs="Arial"/>
              </w:rPr>
            </w:pPr>
            <w:r w:rsidRPr="001844F8">
              <w:rPr>
                <w:rFonts w:ascii="Arial" w:hAnsi="Arial" w:cs="Arial"/>
              </w:rPr>
              <w:t>0.708</w:t>
            </w: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0.501</w:t>
            </w:r>
          </w:p>
        </w:tc>
        <w:tc>
          <w:tcPr>
            <w:tcW w:w="728" w:type="pct"/>
            <w:vAlign w:val="center"/>
            <w:hideMark/>
          </w:tcPr>
          <w:p w:rsidR="001844F8" w:rsidRPr="001844F8" w:rsidRDefault="001844F8" w:rsidP="001844F8">
            <w:pPr>
              <w:pStyle w:val="Body"/>
              <w:rPr>
                <w:rFonts w:ascii="Arial" w:hAnsi="Arial" w:cs="Arial"/>
              </w:rPr>
            </w:pPr>
            <w:r w:rsidRPr="001844F8">
              <w:rPr>
                <w:rFonts w:ascii="Arial" w:hAnsi="Arial" w:cs="Arial"/>
              </w:rPr>
              <w:t>0.499</w:t>
            </w:r>
          </w:p>
        </w:tc>
        <w:tc>
          <w:tcPr>
            <w:tcW w:w="636" w:type="pct"/>
            <w:vAlign w:val="center"/>
            <w:hideMark/>
          </w:tcPr>
          <w:p w:rsidR="001844F8" w:rsidRPr="001844F8" w:rsidRDefault="001844F8" w:rsidP="001844F8">
            <w:pPr>
              <w:pStyle w:val="Body"/>
              <w:rPr>
                <w:rFonts w:ascii="Arial" w:hAnsi="Arial" w:cs="Arial"/>
              </w:rPr>
            </w:pPr>
            <w:r w:rsidRPr="001844F8">
              <w:rPr>
                <w:rFonts w:ascii="Arial" w:hAnsi="Arial" w:cs="Arial"/>
              </w:rPr>
              <w:t>0.766</w:t>
            </w:r>
          </w:p>
        </w:tc>
        <w:tc>
          <w:tcPr>
            <w:tcW w:w="659" w:type="pct"/>
            <w:noWrap/>
            <w:vAlign w:val="center"/>
            <w:hideMark/>
          </w:tcPr>
          <w:p w:rsidR="001844F8" w:rsidRPr="001844F8" w:rsidRDefault="001844F8" w:rsidP="001844F8">
            <w:pPr>
              <w:pStyle w:val="Body"/>
              <w:rPr>
                <w:rFonts w:ascii="Arial" w:hAnsi="Arial" w:cs="Arial"/>
              </w:rPr>
            </w:pPr>
            <w:r w:rsidRPr="001844F8">
              <w:rPr>
                <w:rFonts w:ascii="Arial" w:hAnsi="Arial" w:cs="Arial"/>
              </w:rPr>
              <w:t>0.587</w:t>
            </w:r>
          </w:p>
        </w:tc>
        <w:tc>
          <w:tcPr>
            <w:tcW w:w="614" w:type="pct"/>
            <w:vAlign w:val="center"/>
            <w:hideMark/>
          </w:tcPr>
          <w:p w:rsidR="001844F8" w:rsidRPr="001844F8" w:rsidRDefault="001844F8" w:rsidP="001844F8">
            <w:pPr>
              <w:pStyle w:val="Body"/>
              <w:rPr>
                <w:rFonts w:ascii="Arial" w:hAnsi="Arial" w:cs="Arial"/>
              </w:rPr>
            </w:pPr>
            <w:r w:rsidRPr="001844F8">
              <w:rPr>
                <w:rFonts w:ascii="Arial" w:hAnsi="Arial" w:cs="Arial"/>
              </w:rPr>
              <w:t>0.413</w:t>
            </w:r>
          </w:p>
        </w:tc>
      </w:tr>
      <w:tr w:rsidR="001844F8" w:rsidRPr="001844F8" w:rsidTr="00A6061B">
        <w:trPr>
          <w:trHeight w:val="315"/>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PT3</w:t>
            </w:r>
          </w:p>
        </w:tc>
        <w:tc>
          <w:tcPr>
            <w:tcW w:w="581" w:type="pct"/>
            <w:vAlign w:val="center"/>
            <w:hideMark/>
          </w:tcPr>
          <w:p w:rsidR="001844F8" w:rsidRPr="001844F8" w:rsidRDefault="001844F8" w:rsidP="001844F8">
            <w:pPr>
              <w:pStyle w:val="Body"/>
              <w:rPr>
                <w:rFonts w:ascii="Arial" w:hAnsi="Arial" w:cs="Arial"/>
              </w:rPr>
            </w:pPr>
            <w:r w:rsidRPr="001844F8">
              <w:rPr>
                <w:rFonts w:ascii="Arial" w:hAnsi="Arial" w:cs="Arial"/>
              </w:rPr>
              <w:t>0.784</w:t>
            </w: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0.615</w:t>
            </w:r>
          </w:p>
        </w:tc>
        <w:tc>
          <w:tcPr>
            <w:tcW w:w="728" w:type="pct"/>
            <w:vAlign w:val="center"/>
            <w:hideMark/>
          </w:tcPr>
          <w:p w:rsidR="001844F8" w:rsidRPr="001844F8" w:rsidRDefault="001844F8" w:rsidP="001844F8">
            <w:pPr>
              <w:pStyle w:val="Body"/>
              <w:rPr>
                <w:rFonts w:ascii="Arial" w:hAnsi="Arial" w:cs="Arial"/>
              </w:rPr>
            </w:pPr>
            <w:r w:rsidRPr="001844F8">
              <w:rPr>
                <w:rFonts w:ascii="Arial" w:hAnsi="Arial" w:cs="Arial"/>
              </w:rPr>
              <w:t>0.385</w:t>
            </w:r>
          </w:p>
        </w:tc>
        <w:tc>
          <w:tcPr>
            <w:tcW w:w="636" w:type="pct"/>
            <w:vAlign w:val="center"/>
            <w:hideMark/>
          </w:tcPr>
          <w:p w:rsidR="001844F8" w:rsidRPr="001844F8" w:rsidRDefault="001844F8" w:rsidP="001844F8">
            <w:pPr>
              <w:pStyle w:val="Body"/>
              <w:rPr>
                <w:rFonts w:ascii="Arial" w:hAnsi="Arial" w:cs="Arial"/>
              </w:rPr>
            </w:pPr>
            <w:r w:rsidRPr="001844F8">
              <w:rPr>
                <w:rFonts w:ascii="Arial" w:hAnsi="Arial" w:cs="Arial"/>
              </w:rPr>
              <w:t>0.793</w:t>
            </w:r>
          </w:p>
        </w:tc>
        <w:tc>
          <w:tcPr>
            <w:tcW w:w="659" w:type="pct"/>
            <w:noWrap/>
            <w:vAlign w:val="center"/>
            <w:hideMark/>
          </w:tcPr>
          <w:p w:rsidR="001844F8" w:rsidRPr="001844F8" w:rsidRDefault="001844F8" w:rsidP="001844F8">
            <w:pPr>
              <w:pStyle w:val="Body"/>
              <w:rPr>
                <w:rFonts w:ascii="Arial" w:hAnsi="Arial" w:cs="Arial"/>
              </w:rPr>
            </w:pPr>
            <w:r w:rsidRPr="001844F8">
              <w:rPr>
                <w:rFonts w:ascii="Arial" w:hAnsi="Arial" w:cs="Arial"/>
              </w:rPr>
              <w:t>0.629</w:t>
            </w:r>
          </w:p>
        </w:tc>
        <w:tc>
          <w:tcPr>
            <w:tcW w:w="614" w:type="pct"/>
            <w:vAlign w:val="center"/>
            <w:hideMark/>
          </w:tcPr>
          <w:p w:rsidR="001844F8" w:rsidRPr="001844F8" w:rsidRDefault="001844F8" w:rsidP="001844F8">
            <w:pPr>
              <w:pStyle w:val="Body"/>
              <w:rPr>
                <w:rFonts w:ascii="Arial" w:hAnsi="Arial" w:cs="Arial"/>
              </w:rPr>
            </w:pPr>
            <w:r w:rsidRPr="001844F8">
              <w:rPr>
                <w:rFonts w:ascii="Arial" w:hAnsi="Arial" w:cs="Arial"/>
              </w:rPr>
              <w:t>0.371</w:t>
            </w:r>
          </w:p>
        </w:tc>
      </w:tr>
      <w:tr w:rsidR="001844F8" w:rsidRPr="001844F8" w:rsidTr="00A6061B">
        <w:trPr>
          <w:trHeight w:val="315"/>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PT2</w:t>
            </w:r>
          </w:p>
        </w:tc>
        <w:tc>
          <w:tcPr>
            <w:tcW w:w="581" w:type="pct"/>
            <w:vAlign w:val="center"/>
            <w:hideMark/>
          </w:tcPr>
          <w:p w:rsidR="001844F8" w:rsidRPr="001844F8" w:rsidRDefault="001844F8" w:rsidP="001844F8">
            <w:pPr>
              <w:pStyle w:val="Body"/>
              <w:rPr>
                <w:rFonts w:ascii="Arial" w:hAnsi="Arial" w:cs="Arial"/>
              </w:rPr>
            </w:pPr>
            <w:r w:rsidRPr="001844F8">
              <w:rPr>
                <w:rFonts w:ascii="Arial" w:hAnsi="Arial" w:cs="Arial"/>
              </w:rPr>
              <w:t>0.437</w:t>
            </w: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0.191</w:t>
            </w:r>
          </w:p>
        </w:tc>
        <w:tc>
          <w:tcPr>
            <w:tcW w:w="728" w:type="pct"/>
            <w:vAlign w:val="center"/>
            <w:hideMark/>
          </w:tcPr>
          <w:p w:rsidR="001844F8" w:rsidRPr="001844F8" w:rsidRDefault="001844F8" w:rsidP="001844F8">
            <w:pPr>
              <w:pStyle w:val="Body"/>
              <w:rPr>
                <w:rFonts w:ascii="Arial" w:hAnsi="Arial" w:cs="Arial"/>
              </w:rPr>
            </w:pPr>
            <w:r w:rsidRPr="001844F8">
              <w:rPr>
                <w:rFonts w:ascii="Arial" w:hAnsi="Arial" w:cs="Arial"/>
              </w:rPr>
              <w:t>0.809</w:t>
            </w:r>
          </w:p>
        </w:tc>
        <w:tc>
          <w:tcPr>
            <w:tcW w:w="636" w:type="pct"/>
            <w:vAlign w:val="center"/>
            <w:hideMark/>
          </w:tcPr>
          <w:p w:rsidR="001844F8" w:rsidRPr="001844F8" w:rsidRDefault="001844F8" w:rsidP="001844F8">
            <w:pPr>
              <w:pStyle w:val="Body"/>
              <w:rPr>
                <w:rFonts w:ascii="Arial" w:hAnsi="Arial" w:cs="Arial"/>
              </w:rPr>
            </w:pPr>
          </w:p>
        </w:tc>
        <w:tc>
          <w:tcPr>
            <w:tcW w:w="659" w:type="pct"/>
            <w:vAlign w:val="center"/>
            <w:hideMark/>
          </w:tcPr>
          <w:p w:rsidR="001844F8" w:rsidRPr="001844F8" w:rsidRDefault="001844F8" w:rsidP="001844F8">
            <w:pPr>
              <w:pStyle w:val="Body"/>
              <w:rPr>
                <w:rFonts w:ascii="Arial" w:hAnsi="Arial" w:cs="Arial"/>
              </w:rPr>
            </w:pPr>
          </w:p>
        </w:tc>
        <w:tc>
          <w:tcPr>
            <w:tcW w:w="614" w:type="pct"/>
            <w:vAlign w:val="center"/>
            <w:hideMark/>
          </w:tcPr>
          <w:p w:rsidR="001844F8" w:rsidRPr="001844F8" w:rsidRDefault="001844F8" w:rsidP="001844F8">
            <w:pPr>
              <w:pStyle w:val="Body"/>
              <w:rPr>
                <w:rFonts w:ascii="Arial" w:hAnsi="Arial" w:cs="Arial"/>
              </w:rPr>
            </w:pPr>
          </w:p>
        </w:tc>
      </w:tr>
      <w:tr w:rsidR="001844F8" w:rsidRPr="001844F8" w:rsidTr="00A6061B">
        <w:trPr>
          <w:trHeight w:val="249"/>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PT1</w:t>
            </w:r>
          </w:p>
        </w:tc>
        <w:tc>
          <w:tcPr>
            <w:tcW w:w="581" w:type="pct"/>
            <w:vAlign w:val="center"/>
            <w:hideMark/>
          </w:tcPr>
          <w:p w:rsidR="001844F8" w:rsidRPr="001844F8" w:rsidRDefault="001844F8" w:rsidP="001844F8">
            <w:pPr>
              <w:pStyle w:val="Body"/>
              <w:rPr>
                <w:rFonts w:ascii="Arial" w:hAnsi="Arial" w:cs="Arial"/>
              </w:rPr>
            </w:pPr>
            <w:r w:rsidRPr="001844F8">
              <w:rPr>
                <w:rFonts w:ascii="Arial" w:hAnsi="Arial" w:cs="Arial"/>
              </w:rPr>
              <w:t>0.265</w:t>
            </w: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0.070</w:t>
            </w:r>
          </w:p>
        </w:tc>
        <w:tc>
          <w:tcPr>
            <w:tcW w:w="728" w:type="pct"/>
            <w:vAlign w:val="center"/>
            <w:hideMark/>
          </w:tcPr>
          <w:p w:rsidR="001844F8" w:rsidRPr="001844F8" w:rsidRDefault="001844F8" w:rsidP="001844F8">
            <w:pPr>
              <w:pStyle w:val="Body"/>
              <w:rPr>
                <w:rFonts w:ascii="Arial" w:hAnsi="Arial" w:cs="Arial"/>
              </w:rPr>
            </w:pPr>
            <w:r w:rsidRPr="001844F8">
              <w:rPr>
                <w:rFonts w:ascii="Arial" w:hAnsi="Arial" w:cs="Arial"/>
              </w:rPr>
              <w:t>0.930</w:t>
            </w:r>
          </w:p>
        </w:tc>
        <w:tc>
          <w:tcPr>
            <w:tcW w:w="636" w:type="pct"/>
            <w:vAlign w:val="center"/>
            <w:hideMark/>
          </w:tcPr>
          <w:p w:rsidR="001844F8" w:rsidRPr="001844F8" w:rsidRDefault="001844F8" w:rsidP="001844F8">
            <w:pPr>
              <w:pStyle w:val="Body"/>
              <w:rPr>
                <w:rFonts w:ascii="Arial" w:hAnsi="Arial" w:cs="Arial"/>
              </w:rPr>
            </w:pPr>
          </w:p>
        </w:tc>
        <w:tc>
          <w:tcPr>
            <w:tcW w:w="659" w:type="pct"/>
            <w:vAlign w:val="center"/>
            <w:hideMark/>
          </w:tcPr>
          <w:p w:rsidR="001844F8" w:rsidRPr="001844F8" w:rsidRDefault="001844F8" w:rsidP="001844F8">
            <w:pPr>
              <w:pStyle w:val="Body"/>
              <w:rPr>
                <w:rFonts w:ascii="Arial" w:hAnsi="Arial" w:cs="Arial"/>
              </w:rPr>
            </w:pPr>
          </w:p>
        </w:tc>
        <w:tc>
          <w:tcPr>
            <w:tcW w:w="614" w:type="pct"/>
            <w:vAlign w:val="center"/>
            <w:hideMark/>
          </w:tcPr>
          <w:p w:rsidR="001844F8" w:rsidRPr="001844F8" w:rsidRDefault="001844F8" w:rsidP="001844F8">
            <w:pPr>
              <w:pStyle w:val="Body"/>
              <w:rPr>
                <w:rFonts w:ascii="Arial" w:hAnsi="Arial" w:cs="Arial"/>
              </w:rPr>
            </w:pPr>
          </w:p>
        </w:tc>
      </w:tr>
      <w:tr w:rsidR="001844F8" w:rsidRPr="001844F8" w:rsidTr="00A6061B">
        <w:trPr>
          <w:trHeight w:val="211"/>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Sum of Std Loading</w:t>
            </w:r>
          </w:p>
        </w:tc>
        <w:tc>
          <w:tcPr>
            <w:tcW w:w="581" w:type="pct"/>
            <w:noWrap/>
            <w:vAlign w:val="center"/>
            <w:hideMark/>
          </w:tcPr>
          <w:p w:rsidR="001844F8" w:rsidRPr="001844F8" w:rsidRDefault="001844F8" w:rsidP="001844F8">
            <w:pPr>
              <w:pStyle w:val="Body"/>
              <w:rPr>
                <w:rFonts w:ascii="Arial" w:hAnsi="Arial" w:cs="Arial"/>
              </w:rPr>
            </w:pPr>
            <w:r w:rsidRPr="001844F8">
              <w:rPr>
                <w:rFonts w:ascii="Arial" w:hAnsi="Arial" w:cs="Arial"/>
              </w:rPr>
              <w:t>3,274</w:t>
            </w:r>
          </w:p>
        </w:tc>
        <w:tc>
          <w:tcPr>
            <w:tcW w:w="600" w:type="pct"/>
            <w:noWrap/>
            <w:vAlign w:val="center"/>
            <w:hideMark/>
          </w:tcPr>
          <w:p w:rsidR="001844F8" w:rsidRPr="001844F8" w:rsidRDefault="001844F8" w:rsidP="001844F8">
            <w:pPr>
              <w:pStyle w:val="Body"/>
              <w:rPr>
                <w:rFonts w:ascii="Arial" w:hAnsi="Arial" w:cs="Arial"/>
              </w:rPr>
            </w:pPr>
          </w:p>
        </w:tc>
        <w:tc>
          <w:tcPr>
            <w:tcW w:w="728" w:type="pct"/>
            <w:noWrap/>
            <w:vAlign w:val="center"/>
            <w:hideMark/>
          </w:tcPr>
          <w:p w:rsidR="001844F8" w:rsidRPr="001844F8" w:rsidRDefault="001844F8" w:rsidP="001844F8">
            <w:pPr>
              <w:pStyle w:val="Body"/>
              <w:rPr>
                <w:rFonts w:ascii="Arial" w:hAnsi="Arial" w:cs="Arial"/>
              </w:rPr>
            </w:pPr>
          </w:p>
        </w:tc>
        <w:tc>
          <w:tcPr>
            <w:tcW w:w="636" w:type="pct"/>
            <w:noWrap/>
            <w:vAlign w:val="center"/>
            <w:hideMark/>
          </w:tcPr>
          <w:p w:rsidR="001844F8" w:rsidRPr="001844F8" w:rsidRDefault="001844F8" w:rsidP="001844F8">
            <w:pPr>
              <w:pStyle w:val="Body"/>
              <w:rPr>
                <w:rFonts w:ascii="Arial" w:hAnsi="Arial" w:cs="Arial"/>
              </w:rPr>
            </w:pPr>
            <w:r w:rsidRPr="001844F8">
              <w:rPr>
                <w:rFonts w:ascii="Arial" w:hAnsi="Arial" w:cs="Arial"/>
              </w:rPr>
              <w:t>2.08</w:t>
            </w:r>
          </w:p>
        </w:tc>
        <w:tc>
          <w:tcPr>
            <w:tcW w:w="659" w:type="pct"/>
            <w:noWrap/>
            <w:vAlign w:val="center"/>
            <w:hideMark/>
          </w:tcPr>
          <w:p w:rsidR="001844F8" w:rsidRPr="001844F8" w:rsidRDefault="001844F8" w:rsidP="001844F8">
            <w:pPr>
              <w:pStyle w:val="Body"/>
              <w:rPr>
                <w:rFonts w:ascii="Arial" w:hAnsi="Arial" w:cs="Arial"/>
              </w:rPr>
            </w:pPr>
          </w:p>
        </w:tc>
        <w:tc>
          <w:tcPr>
            <w:tcW w:w="614" w:type="pct"/>
            <w:noWrap/>
            <w:vAlign w:val="center"/>
            <w:hideMark/>
          </w:tcPr>
          <w:p w:rsidR="001844F8" w:rsidRPr="001844F8" w:rsidRDefault="001844F8" w:rsidP="001844F8">
            <w:pPr>
              <w:pStyle w:val="Body"/>
              <w:rPr>
                <w:rFonts w:ascii="Arial" w:hAnsi="Arial" w:cs="Arial"/>
              </w:rPr>
            </w:pPr>
          </w:p>
        </w:tc>
      </w:tr>
      <w:tr w:rsidR="001844F8" w:rsidRPr="001844F8" w:rsidTr="00A6061B">
        <w:trPr>
          <w:trHeight w:val="327"/>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Sum of Std Loading2</w:t>
            </w:r>
          </w:p>
        </w:tc>
        <w:tc>
          <w:tcPr>
            <w:tcW w:w="581" w:type="pct"/>
            <w:noWrap/>
            <w:vAlign w:val="center"/>
            <w:hideMark/>
          </w:tcPr>
          <w:p w:rsidR="001844F8" w:rsidRPr="001844F8" w:rsidRDefault="001844F8" w:rsidP="001844F8">
            <w:pPr>
              <w:pStyle w:val="Body"/>
              <w:rPr>
                <w:rFonts w:ascii="Arial" w:hAnsi="Arial" w:cs="Arial"/>
              </w:rPr>
            </w:pP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1,965</w:t>
            </w:r>
          </w:p>
        </w:tc>
        <w:tc>
          <w:tcPr>
            <w:tcW w:w="728" w:type="pct"/>
            <w:noWrap/>
            <w:vAlign w:val="center"/>
            <w:hideMark/>
          </w:tcPr>
          <w:p w:rsidR="001844F8" w:rsidRPr="001844F8" w:rsidRDefault="001844F8" w:rsidP="001844F8">
            <w:pPr>
              <w:pStyle w:val="Body"/>
              <w:rPr>
                <w:rFonts w:ascii="Arial" w:hAnsi="Arial" w:cs="Arial"/>
              </w:rPr>
            </w:pPr>
          </w:p>
        </w:tc>
        <w:tc>
          <w:tcPr>
            <w:tcW w:w="636" w:type="pct"/>
            <w:noWrap/>
            <w:vAlign w:val="center"/>
            <w:hideMark/>
          </w:tcPr>
          <w:p w:rsidR="001844F8" w:rsidRPr="001844F8" w:rsidRDefault="001844F8" w:rsidP="001844F8">
            <w:pPr>
              <w:pStyle w:val="Body"/>
              <w:rPr>
                <w:rFonts w:ascii="Arial" w:hAnsi="Arial" w:cs="Arial"/>
              </w:rPr>
            </w:pPr>
          </w:p>
        </w:tc>
        <w:tc>
          <w:tcPr>
            <w:tcW w:w="659" w:type="pct"/>
            <w:noWrap/>
            <w:vAlign w:val="center"/>
            <w:hideMark/>
          </w:tcPr>
          <w:p w:rsidR="001844F8" w:rsidRPr="001844F8" w:rsidRDefault="001844F8" w:rsidP="001844F8">
            <w:pPr>
              <w:pStyle w:val="Body"/>
              <w:rPr>
                <w:rFonts w:ascii="Arial" w:hAnsi="Arial" w:cs="Arial"/>
              </w:rPr>
            </w:pPr>
            <w:r w:rsidRPr="001844F8">
              <w:rPr>
                <w:rFonts w:ascii="Arial" w:hAnsi="Arial" w:cs="Arial"/>
              </w:rPr>
              <w:t>1,487</w:t>
            </w:r>
          </w:p>
        </w:tc>
        <w:tc>
          <w:tcPr>
            <w:tcW w:w="614" w:type="pct"/>
            <w:noWrap/>
            <w:vAlign w:val="center"/>
            <w:hideMark/>
          </w:tcPr>
          <w:p w:rsidR="001844F8" w:rsidRPr="001844F8" w:rsidRDefault="001844F8" w:rsidP="001844F8">
            <w:pPr>
              <w:pStyle w:val="Body"/>
              <w:rPr>
                <w:rFonts w:ascii="Arial" w:hAnsi="Arial" w:cs="Arial"/>
              </w:rPr>
            </w:pPr>
          </w:p>
        </w:tc>
      </w:tr>
      <w:tr w:rsidR="001844F8" w:rsidRPr="001844F8" w:rsidTr="00A6061B">
        <w:trPr>
          <w:trHeight w:val="315"/>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Sum error</w:t>
            </w:r>
          </w:p>
        </w:tc>
        <w:tc>
          <w:tcPr>
            <w:tcW w:w="581" w:type="pct"/>
            <w:noWrap/>
            <w:vAlign w:val="center"/>
            <w:hideMark/>
          </w:tcPr>
          <w:p w:rsidR="001844F8" w:rsidRPr="001844F8" w:rsidRDefault="001844F8" w:rsidP="001844F8">
            <w:pPr>
              <w:pStyle w:val="Body"/>
              <w:rPr>
                <w:rFonts w:ascii="Arial" w:hAnsi="Arial" w:cs="Arial"/>
              </w:rPr>
            </w:pPr>
          </w:p>
        </w:tc>
        <w:tc>
          <w:tcPr>
            <w:tcW w:w="600" w:type="pct"/>
            <w:noWrap/>
            <w:vAlign w:val="center"/>
            <w:hideMark/>
          </w:tcPr>
          <w:p w:rsidR="001844F8" w:rsidRPr="001844F8" w:rsidRDefault="001844F8" w:rsidP="001844F8">
            <w:pPr>
              <w:pStyle w:val="Body"/>
              <w:rPr>
                <w:rFonts w:ascii="Arial" w:hAnsi="Arial" w:cs="Arial"/>
              </w:rPr>
            </w:pPr>
          </w:p>
        </w:tc>
        <w:tc>
          <w:tcPr>
            <w:tcW w:w="728" w:type="pct"/>
            <w:noWrap/>
            <w:vAlign w:val="center"/>
            <w:hideMark/>
          </w:tcPr>
          <w:p w:rsidR="001844F8" w:rsidRPr="001844F8" w:rsidRDefault="001844F8" w:rsidP="001844F8">
            <w:pPr>
              <w:pStyle w:val="Body"/>
              <w:rPr>
                <w:rFonts w:ascii="Arial" w:hAnsi="Arial" w:cs="Arial"/>
              </w:rPr>
            </w:pPr>
            <w:r w:rsidRPr="001844F8">
              <w:rPr>
                <w:rFonts w:ascii="Arial" w:hAnsi="Arial" w:cs="Arial"/>
              </w:rPr>
              <w:t>4.03488</w:t>
            </w:r>
          </w:p>
        </w:tc>
        <w:tc>
          <w:tcPr>
            <w:tcW w:w="636" w:type="pct"/>
            <w:noWrap/>
            <w:vAlign w:val="center"/>
            <w:hideMark/>
          </w:tcPr>
          <w:p w:rsidR="001844F8" w:rsidRPr="001844F8" w:rsidRDefault="001844F8" w:rsidP="001844F8">
            <w:pPr>
              <w:pStyle w:val="Body"/>
              <w:rPr>
                <w:rFonts w:ascii="Arial" w:hAnsi="Arial" w:cs="Arial"/>
              </w:rPr>
            </w:pPr>
          </w:p>
        </w:tc>
        <w:tc>
          <w:tcPr>
            <w:tcW w:w="659" w:type="pct"/>
            <w:noWrap/>
            <w:vAlign w:val="center"/>
            <w:hideMark/>
          </w:tcPr>
          <w:p w:rsidR="001844F8" w:rsidRPr="001844F8" w:rsidRDefault="001844F8" w:rsidP="001844F8">
            <w:pPr>
              <w:pStyle w:val="Body"/>
              <w:rPr>
                <w:rFonts w:ascii="Arial" w:hAnsi="Arial" w:cs="Arial"/>
              </w:rPr>
            </w:pPr>
          </w:p>
        </w:tc>
        <w:tc>
          <w:tcPr>
            <w:tcW w:w="614" w:type="pct"/>
            <w:noWrap/>
            <w:vAlign w:val="center"/>
            <w:hideMark/>
          </w:tcPr>
          <w:p w:rsidR="001844F8" w:rsidRPr="001844F8" w:rsidRDefault="001844F8" w:rsidP="001844F8">
            <w:pPr>
              <w:pStyle w:val="Body"/>
              <w:rPr>
                <w:rFonts w:ascii="Arial" w:hAnsi="Arial" w:cs="Arial"/>
              </w:rPr>
            </w:pPr>
            <w:r w:rsidRPr="001844F8">
              <w:rPr>
                <w:rFonts w:ascii="Arial" w:hAnsi="Arial" w:cs="Arial"/>
              </w:rPr>
              <w:t>1.51295</w:t>
            </w:r>
          </w:p>
        </w:tc>
      </w:tr>
      <w:tr w:rsidR="001844F8" w:rsidRPr="001844F8" w:rsidTr="00A6061B">
        <w:trPr>
          <w:trHeight w:val="299"/>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Construct Reliability</w:t>
            </w:r>
          </w:p>
        </w:tc>
        <w:tc>
          <w:tcPr>
            <w:tcW w:w="581" w:type="pct"/>
            <w:noWrap/>
            <w:vAlign w:val="center"/>
            <w:hideMark/>
          </w:tcPr>
          <w:p w:rsidR="001844F8" w:rsidRPr="001844F8" w:rsidRDefault="001844F8" w:rsidP="001844F8">
            <w:pPr>
              <w:pStyle w:val="Body"/>
              <w:rPr>
                <w:rFonts w:ascii="Arial" w:hAnsi="Arial" w:cs="Arial"/>
              </w:rPr>
            </w:pPr>
            <w:r w:rsidRPr="001844F8">
              <w:rPr>
                <w:rFonts w:ascii="Arial" w:hAnsi="Arial" w:cs="Arial"/>
              </w:rPr>
              <w:t>0.727</w:t>
            </w:r>
          </w:p>
        </w:tc>
        <w:tc>
          <w:tcPr>
            <w:tcW w:w="600" w:type="pct"/>
            <w:noWrap/>
            <w:vAlign w:val="center"/>
            <w:hideMark/>
          </w:tcPr>
          <w:p w:rsidR="001844F8" w:rsidRPr="001844F8" w:rsidRDefault="001844F8" w:rsidP="001844F8">
            <w:pPr>
              <w:pStyle w:val="Body"/>
              <w:rPr>
                <w:rFonts w:ascii="Arial" w:hAnsi="Arial" w:cs="Arial"/>
              </w:rPr>
            </w:pPr>
          </w:p>
        </w:tc>
        <w:tc>
          <w:tcPr>
            <w:tcW w:w="728" w:type="pct"/>
            <w:noWrap/>
            <w:vAlign w:val="center"/>
            <w:hideMark/>
          </w:tcPr>
          <w:p w:rsidR="001844F8" w:rsidRPr="001844F8" w:rsidRDefault="001844F8" w:rsidP="001844F8">
            <w:pPr>
              <w:pStyle w:val="Body"/>
              <w:rPr>
                <w:rFonts w:ascii="Arial" w:hAnsi="Arial" w:cs="Arial"/>
              </w:rPr>
            </w:pPr>
          </w:p>
        </w:tc>
        <w:tc>
          <w:tcPr>
            <w:tcW w:w="636" w:type="pct"/>
            <w:noWrap/>
            <w:vAlign w:val="center"/>
            <w:hideMark/>
          </w:tcPr>
          <w:p w:rsidR="001844F8" w:rsidRPr="001844F8" w:rsidRDefault="001844F8" w:rsidP="001844F8">
            <w:pPr>
              <w:pStyle w:val="Body"/>
              <w:rPr>
                <w:rFonts w:ascii="Arial" w:hAnsi="Arial" w:cs="Arial"/>
              </w:rPr>
            </w:pPr>
            <w:r w:rsidRPr="001844F8">
              <w:rPr>
                <w:rFonts w:ascii="Arial" w:hAnsi="Arial" w:cs="Arial"/>
              </w:rPr>
              <w:t>0.741</w:t>
            </w:r>
          </w:p>
        </w:tc>
        <w:tc>
          <w:tcPr>
            <w:tcW w:w="659" w:type="pct"/>
            <w:noWrap/>
            <w:vAlign w:val="center"/>
            <w:hideMark/>
          </w:tcPr>
          <w:p w:rsidR="001844F8" w:rsidRPr="001844F8" w:rsidRDefault="001844F8" w:rsidP="001844F8">
            <w:pPr>
              <w:pStyle w:val="Body"/>
              <w:rPr>
                <w:rFonts w:ascii="Arial" w:hAnsi="Arial" w:cs="Arial"/>
              </w:rPr>
            </w:pPr>
          </w:p>
        </w:tc>
        <w:tc>
          <w:tcPr>
            <w:tcW w:w="614" w:type="pct"/>
            <w:noWrap/>
            <w:vAlign w:val="center"/>
            <w:hideMark/>
          </w:tcPr>
          <w:p w:rsidR="001844F8" w:rsidRPr="001844F8" w:rsidRDefault="001844F8" w:rsidP="001844F8">
            <w:pPr>
              <w:pStyle w:val="Body"/>
              <w:rPr>
                <w:rFonts w:ascii="Arial" w:hAnsi="Arial" w:cs="Arial"/>
              </w:rPr>
            </w:pP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In Table 5 it can be seen that the initial indicators still have loading factors with a value of &lt;0.5, namely the PT6 indicator is 0.491, PT2 is 0.437 and PT1 is 0.265. These indicators will be eliminated so that all indicators have a loading factor value of &gt; 0.5. So, it can be concluded that all indicators are valid. Furthermore, the Reliability test was obtained at 0.741. This value is greater than 0.70, which means that the variable is consistent.</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1"/>
        </w:numPr>
        <w:rPr>
          <w:rFonts w:ascii="Arial" w:hAnsi="Arial" w:cs="Arial"/>
          <w:i/>
          <w:iCs/>
        </w:rPr>
      </w:pPr>
      <w:r w:rsidRPr="001844F8">
        <w:rPr>
          <w:rFonts w:ascii="Arial" w:hAnsi="Arial" w:cs="Arial"/>
        </w:rPr>
        <w:t>CFA Subjective Norms</w:t>
      </w:r>
    </w:p>
    <w:p w:rsidR="001844F8" w:rsidRPr="001844F8" w:rsidRDefault="001844F8" w:rsidP="001844F8">
      <w:pPr>
        <w:pStyle w:val="Body"/>
        <w:rPr>
          <w:rFonts w:ascii="Arial" w:hAnsi="Arial" w:cs="Arial"/>
          <w:lang w:val="en-ID"/>
        </w:rPr>
      </w:pPr>
      <w:bookmarkStart w:id="70" w:name="_Toc147172610"/>
      <w:bookmarkStart w:id="71" w:name="_Toc147173069"/>
      <w:bookmarkStart w:id="72" w:name="_Toc147173237"/>
      <w:bookmarkStart w:id="73" w:name="_Toc147830040"/>
      <w:bookmarkStart w:id="74" w:name="_Toc147830262"/>
      <w:bookmarkStart w:id="75" w:name="_Toc153835431"/>
      <w:bookmarkStart w:id="76" w:name="_Toc153853396"/>
      <w:bookmarkStart w:id="77" w:name="_Toc153854670"/>
      <w:bookmarkStart w:id="78" w:name="_Toc154132013"/>
      <w:bookmarkStart w:id="79" w:name="_Toc154134773"/>
      <w:bookmarkStart w:id="80" w:name="_Toc154135214"/>
      <w:bookmarkStart w:id="81" w:name="_Toc154135465"/>
      <w:bookmarkStart w:id="82" w:name="_Toc159492674"/>
      <w:r w:rsidRPr="001844F8">
        <w:rPr>
          <w:rFonts w:ascii="Arial" w:hAnsi="Arial" w:cs="Arial"/>
          <w:b/>
          <w:bCs/>
          <w:lang w:val="en-ID"/>
        </w:rPr>
        <w:t>Table 6.</w:t>
      </w:r>
      <w:bookmarkEnd w:id="70"/>
      <w:bookmarkEnd w:id="71"/>
      <w:bookmarkEnd w:id="72"/>
      <w:bookmarkEnd w:id="73"/>
      <w:bookmarkEnd w:id="74"/>
      <w:bookmarkEnd w:id="75"/>
      <w:bookmarkEnd w:id="76"/>
      <w:bookmarkEnd w:id="77"/>
      <w:bookmarkEnd w:id="78"/>
      <w:bookmarkEnd w:id="79"/>
      <w:bookmarkEnd w:id="80"/>
      <w:bookmarkEnd w:id="81"/>
      <w:bookmarkEnd w:id="82"/>
      <w:r w:rsidRPr="001844F8">
        <w:rPr>
          <w:rFonts w:ascii="Arial" w:hAnsi="Arial" w:cs="Arial"/>
          <w:lang w:val="en-ID"/>
        </w:rPr>
        <w:t>Validity of CFA Subjective Norms</w:t>
      </w:r>
    </w:p>
    <w:tbl>
      <w:tblPr>
        <w:tblW w:w="7512" w:type="dxa"/>
        <w:jc w:val="center"/>
        <w:tblLook w:val="04A0" w:firstRow="1" w:lastRow="0" w:firstColumn="1" w:lastColumn="0" w:noHBand="0" w:noVBand="1"/>
      </w:tblPr>
      <w:tblGrid>
        <w:gridCol w:w="1296"/>
        <w:gridCol w:w="1016"/>
        <w:gridCol w:w="1096"/>
        <w:gridCol w:w="996"/>
        <w:gridCol w:w="1016"/>
        <w:gridCol w:w="1096"/>
        <w:gridCol w:w="996"/>
      </w:tblGrid>
      <w:tr w:rsidR="001844F8" w:rsidRPr="001844F8" w:rsidTr="00A6061B">
        <w:trPr>
          <w:trHeight w:val="183"/>
          <w:tblHeader/>
          <w:jc w:val="center"/>
        </w:trPr>
        <w:tc>
          <w:tcPr>
            <w:tcW w:w="1296" w:type="dxa"/>
            <w:vMerge w:val="restart"/>
            <w:tcBorders>
              <w:top w:val="single" w:sz="4" w:space="0" w:color="auto"/>
              <w:left w:val="nil"/>
              <w:bottom w:val="single" w:sz="4" w:space="0" w:color="000000"/>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Indicator</w:t>
            </w:r>
          </w:p>
        </w:tc>
        <w:tc>
          <w:tcPr>
            <w:tcW w:w="3108" w:type="dxa"/>
            <w:gridSpan w:val="3"/>
            <w:tcBorders>
              <w:top w:val="single" w:sz="4" w:space="0" w:color="auto"/>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CFA NS</w:t>
            </w:r>
          </w:p>
        </w:tc>
        <w:tc>
          <w:tcPr>
            <w:tcW w:w="3108" w:type="dxa"/>
            <w:gridSpan w:val="3"/>
            <w:tcBorders>
              <w:top w:val="single" w:sz="4" w:space="0" w:color="auto"/>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CFA NS (elimination)</w:t>
            </w:r>
          </w:p>
        </w:tc>
      </w:tr>
      <w:tr w:rsidR="001844F8" w:rsidRPr="001844F8" w:rsidTr="00A6061B">
        <w:trPr>
          <w:trHeight w:val="271"/>
          <w:tblHeader/>
          <w:jc w:val="center"/>
        </w:trPr>
        <w:tc>
          <w:tcPr>
            <w:tcW w:w="1296" w:type="dxa"/>
            <w:vMerge/>
            <w:tcBorders>
              <w:top w:val="single" w:sz="4" w:space="0" w:color="auto"/>
              <w:left w:val="nil"/>
              <w:bottom w:val="single" w:sz="4" w:space="0" w:color="000000"/>
              <w:right w:val="nil"/>
            </w:tcBorders>
            <w:vAlign w:val="center"/>
            <w:hideMark/>
          </w:tcPr>
          <w:p w:rsidR="001844F8" w:rsidRPr="001844F8" w:rsidRDefault="001844F8" w:rsidP="001844F8">
            <w:pPr>
              <w:pStyle w:val="Body"/>
              <w:rPr>
                <w:rFonts w:ascii="Arial" w:hAnsi="Arial" w:cs="Arial"/>
              </w:rPr>
            </w:pP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r>
      <w:tr w:rsidR="001844F8" w:rsidRPr="001844F8" w:rsidTr="00A6061B">
        <w:trPr>
          <w:trHeight w:val="275"/>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NS4</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0.415</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0.172</w:t>
            </w: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0.828</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c>
          <w:tcPr>
            <w:tcW w:w="10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r>
      <w:tr w:rsidR="001844F8" w:rsidRPr="001844F8" w:rsidTr="00A6061B">
        <w:trPr>
          <w:trHeight w:val="279"/>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NS3</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0.652</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0.425</w:t>
            </w: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0.575</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0.616</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0.379</w:t>
            </w: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0.621</w:t>
            </w:r>
          </w:p>
        </w:tc>
      </w:tr>
      <w:tr w:rsidR="001844F8" w:rsidRPr="001844F8" w:rsidTr="00A6061B">
        <w:trPr>
          <w:trHeight w:val="269"/>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NS2</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0.672</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0.452</w:t>
            </w: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0.548</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0.667</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0.445</w:t>
            </w: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0.555</w:t>
            </w:r>
          </w:p>
        </w:tc>
      </w:tr>
      <w:tr w:rsidR="001844F8" w:rsidRPr="001844F8" w:rsidTr="00A6061B">
        <w:trPr>
          <w:trHeight w:val="315"/>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NS1</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0.754</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0.569</w:t>
            </w: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0.431</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0.791</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0.626</w:t>
            </w: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0.374</w:t>
            </w:r>
          </w:p>
        </w:tc>
      </w:tr>
      <w:tr w:rsidR="001844F8" w:rsidRPr="001844F8" w:rsidTr="00A6061B">
        <w:trPr>
          <w:trHeight w:val="630"/>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w:t>
            </w: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2,493</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2,074</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A6061B">
        <w:trPr>
          <w:trHeight w:val="690"/>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Loading2</w:t>
            </w: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1,617</w:t>
            </w: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1,450</w:t>
            </w: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A6061B">
        <w:trPr>
          <w:trHeight w:val="315"/>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error</w:t>
            </w: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2.38257</w:t>
            </w: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1.54997</w:t>
            </w:r>
          </w:p>
        </w:tc>
      </w:tr>
      <w:tr w:rsidR="001844F8" w:rsidRPr="001844F8" w:rsidTr="00A6061B">
        <w:trPr>
          <w:trHeight w:val="630"/>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Construct Reliability</w:t>
            </w: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0.723</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0.735</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In Table 6 it can be seen that the initial indicator still has a loading factor with a value of &lt;0.5, namely the NS4 indicator is 0.415. These indicators will also be eliminated so that all indicators have a loading factor value of &gt; 0.5. So, it can be concluded that all indicators are valid. Furthermore, the Reliability test was obtained at 0.735. This value is greater than 0.70, which means that the variable is consistent.</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1"/>
        </w:numPr>
        <w:rPr>
          <w:rFonts w:ascii="Arial" w:hAnsi="Arial" w:cs="Arial"/>
          <w:i/>
          <w:iCs/>
        </w:rPr>
      </w:pPr>
      <w:r w:rsidRPr="001844F8">
        <w:rPr>
          <w:rFonts w:ascii="Arial" w:hAnsi="Arial" w:cs="Arial"/>
        </w:rPr>
        <w:t>CFA Financial Knowledge</w:t>
      </w:r>
    </w:p>
    <w:p w:rsidR="001844F8" w:rsidRPr="001844F8" w:rsidRDefault="001844F8" w:rsidP="001844F8">
      <w:pPr>
        <w:pStyle w:val="Body"/>
        <w:rPr>
          <w:rFonts w:ascii="Arial" w:hAnsi="Arial" w:cs="Arial"/>
          <w:lang w:val="en-ID"/>
        </w:rPr>
      </w:pPr>
      <w:bookmarkStart w:id="83" w:name="_Toc147172611"/>
      <w:bookmarkStart w:id="84" w:name="_Toc147173070"/>
      <w:bookmarkStart w:id="85" w:name="_Toc147173238"/>
      <w:bookmarkStart w:id="86" w:name="_Toc147830041"/>
      <w:bookmarkStart w:id="87" w:name="_Toc147830263"/>
      <w:bookmarkStart w:id="88" w:name="_Toc153835432"/>
      <w:bookmarkStart w:id="89" w:name="_Toc153853397"/>
      <w:bookmarkStart w:id="90" w:name="_Toc153854671"/>
      <w:bookmarkStart w:id="91" w:name="_Toc154132014"/>
      <w:bookmarkStart w:id="92" w:name="_Toc154134774"/>
      <w:bookmarkStart w:id="93" w:name="_Toc154135215"/>
      <w:bookmarkStart w:id="94" w:name="_Toc154135466"/>
      <w:bookmarkStart w:id="95" w:name="_Toc159492675"/>
      <w:r w:rsidRPr="001844F8">
        <w:rPr>
          <w:rFonts w:ascii="Arial" w:hAnsi="Arial" w:cs="Arial"/>
          <w:b/>
          <w:bCs/>
          <w:lang w:val="en-ID"/>
        </w:rPr>
        <w:t>Table 7.</w:t>
      </w:r>
      <w:bookmarkEnd w:id="83"/>
      <w:bookmarkEnd w:id="84"/>
      <w:bookmarkEnd w:id="85"/>
      <w:bookmarkEnd w:id="86"/>
      <w:bookmarkEnd w:id="87"/>
      <w:bookmarkEnd w:id="88"/>
      <w:bookmarkEnd w:id="89"/>
      <w:bookmarkEnd w:id="90"/>
      <w:bookmarkEnd w:id="91"/>
      <w:bookmarkEnd w:id="92"/>
      <w:bookmarkEnd w:id="93"/>
      <w:bookmarkEnd w:id="94"/>
      <w:bookmarkEnd w:id="95"/>
      <w:r w:rsidRPr="001844F8">
        <w:rPr>
          <w:rFonts w:ascii="Arial" w:hAnsi="Arial" w:cs="Arial"/>
          <w:lang w:val="en-ID"/>
        </w:rPr>
        <w:t>Validity of CFA Financial Knowledge</w:t>
      </w:r>
    </w:p>
    <w:tbl>
      <w:tblPr>
        <w:tblW w:w="5000" w:type="pct"/>
        <w:jc w:val="center"/>
        <w:tblLook w:val="04A0" w:firstRow="1" w:lastRow="0" w:firstColumn="1" w:lastColumn="0" w:noHBand="0" w:noVBand="1"/>
      </w:tblPr>
      <w:tblGrid>
        <w:gridCol w:w="3487"/>
        <w:gridCol w:w="1597"/>
        <w:gridCol w:w="1712"/>
        <w:gridCol w:w="1628"/>
      </w:tblGrid>
      <w:tr w:rsidR="001844F8" w:rsidRPr="001844F8" w:rsidTr="00A6061B">
        <w:trPr>
          <w:trHeight w:val="195"/>
          <w:tblHeader/>
          <w:jc w:val="center"/>
        </w:trPr>
        <w:tc>
          <w:tcPr>
            <w:tcW w:w="2070" w:type="pct"/>
            <w:vMerge w:val="restart"/>
            <w:tcBorders>
              <w:top w:val="single" w:sz="4" w:space="0" w:color="auto"/>
              <w:left w:val="nil"/>
              <w:bottom w:val="single" w:sz="4" w:space="0" w:color="000000"/>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Indicator</w:t>
            </w:r>
          </w:p>
        </w:tc>
        <w:tc>
          <w:tcPr>
            <w:tcW w:w="2930" w:type="pct"/>
            <w:gridSpan w:val="3"/>
            <w:tcBorders>
              <w:top w:val="single" w:sz="4" w:space="0" w:color="auto"/>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CFA FK</w:t>
            </w:r>
          </w:p>
        </w:tc>
      </w:tr>
      <w:tr w:rsidR="001844F8" w:rsidRPr="001844F8" w:rsidTr="00A6061B">
        <w:trPr>
          <w:trHeight w:val="143"/>
          <w:tblHeader/>
          <w:jc w:val="center"/>
        </w:trPr>
        <w:tc>
          <w:tcPr>
            <w:tcW w:w="2070" w:type="pct"/>
            <w:vMerge/>
            <w:tcBorders>
              <w:top w:val="single" w:sz="4" w:space="0" w:color="auto"/>
              <w:left w:val="nil"/>
              <w:bottom w:val="single" w:sz="4" w:space="0" w:color="000000"/>
              <w:right w:val="nil"/>
            </w:tcBorders>
            <w:vAlign w:val="center"/>
            <w:hideMark/>
          </w:tcPr>
          <w:p w:rsidR="001844F8" w:rsidRPr="001844F8" w:rsidRDefault="001844F8" w:rsidP="001844F8">
            <w:pPr>
              <w:pStyle w:val="Body"/>
              <w:rPr>
                <w:rFonts w:ascii="Arial" w:hAnsi="Arial" w:cs="Arial"/>
              </w:rPr>
            </w:pPr>
          </w:p>
        </w:tc>
        <w:tc>
          <w:tcPr>
            <w:tcW w:w="94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96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r>
      <w:tr w:rsidR="001844F8" w:rsidRPr="001844F8" w:rsidTr="00A6061B">
        <w:trPr>
          <w:trHeight w:val="315"/>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FK4</w:t>
            </w:r>
          </w:p>
        </w:tc>
        <w:tc>
          <w:tcPr>
            <w:tcW w:w="94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0.722</w:t>
            </w: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0.521</w:t>
            </w:r>
          </w:p>
        </w:tc>
        <w:tc>
          <w:tcPr>
            <w:tcW w:w="96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0.479</w:t>
            </w:r>
          </w:p>
        </w:tc>
      </w:tr>
      <w:tr w:rsidR="001844F8" w:rsidRPr="001844F8" w:rsidTr="00A6061B">
        <w:trPr>
          <w:trHeight w:val="315"/>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FK3</w:t>
            </w:r>
          </w:p>
        </w:tc>
        <w:tc>
          <w:tcPr>
            <w:tcW w:w="94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0.975</w:t>
            </w: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0.951</w:t>
            </w:r>
          </w:p>
        </w:tc>
        <w:tc>
          <w:tcPr>
            <w:tcW w:w="96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0.049</w:t>
            </w:r>
          </w:p>
        </w:tc>
      </w:tr>
      <w:tr w:rsidR="001844F8" w:rsidRPr="001844F8" w:rsidTr="00A6061B">
        <w:trPr>
          <w:trHeight w:val="315"/>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FK2</w:t>
            </w:r>
          </w:p>
        </w:tc>
        <w:tc>
          <w:tcPr>
            <w:tcW w:w="94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0.586</w:t>
            </w: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0.343</w:t>
            </w:r>
          </w:p>
        </w:tc>
        <w:tc>
          <w:tcPr>
            <w:tcW w:w="96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0.657</w:t>
            </w:r>
          </w:p>
        </w:tc>
      </w:tr>
      <w:tr w:rsidR="001844F8" w:rsidRPr="001844F8" w:rsidTr="00A6061B">
        <w:trPr>
          <w:trHeight w:val="315"/>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FK1</w:t>
            </w:r>
          </w:p>
        </w:tc>
        <w:tc>
          <w:tcPr>
            <w:tcW w:w="94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0.751</w:t>
            </w: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0.564</w:t>
            </w:r>
          </w:p>
        </w:tc>
        <w:tc>
          <w:tcPr>
            <w:tcW w:w="96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0.436</w:t>
            </w:r>
          </w:p>
        </w:tc>
      </w:tr>
      <w:tr w:rsidR="001844F8" w:rsidRPr="001844F8" w:rsidTr="00A6061B">
        <w:trPr>
          <w:trHeight w:val="630"/>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w:t>
            </w:r>
          </w:p>
        </w:tc>
        <w:tc>
          <w:tcPr>
            <w:tcW w:w="94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3,034</w:t>
            </w: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6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A6061B">
        <w:trPr>
          <w:trHeight w:val="690"/>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lastRenderedPageBreak/>
              <w:t>Sum of Std Loading2</w:t>
            </w:r>
          </w:p>
        </w:tc>
        <w:tc>
          <w:tcPr>
            <w:tcW w:w="94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2,379</w:t>
            </w:r>
          </w:p>
        </w:tc>
        <w:tc>
          <w:tcPr>
            <w:tcW w:w="96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A6061B">
        <w:trPr>
          <w:trHeight w:val="315"/>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error</w:t>
            </w:r>
          </w:p>
        </w:tc>
        <w:tc>
          <w:tcPr>
            <w:tcW w:w="94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6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1.62069</w:t>
            </w:r>
          </w:p>
        </w:tc>
      </w:tr>
      <w:tr w:rsidR="001844F8" w:rsidRPr="001844F8" w:rsidTr="00A6061B">
        <w:trPr>
          <w:trHeight w:val="630"/>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Construct Reliability</w:t>
            </w:r>
          </w:p>
        </w:tc>
        <w:tc>
          <w:tcPr>
            <w:tcW w:w="94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0.850</w:t>
            </w: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6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 xml:space="preserve">In Table 7 it can be seen that all indicators obtained have a loading factor value of &gt; 0.5. </w:t>
      </w:r>
      <w:proofErr w:type="gramStart"/>
      <w:r w:rsidRPr="001844F8">
        <w:rPr>
          <w:rFonts w:ascii="Arial" w:hAnsi="Arial" w:cs="Arial"/>
        </w:rPr>
        <w:t>So</w:t>
      </w:r>
      <w:proofErr w:type="gramEnd"/>
      <w:r w:rsidRPr="001844F8">
        <w:rPr>
          <w:rFonts w:ascii="Arial" w:hAnsi="Arial" w:cs="Arial"/>
        </w:rPr>
        <w:t xml:space="preserve"> it can be concluded that all indicators are valid. Furthermore, the Reliability test was obtained at 0.850. This value is greater than 0.70, which means that the variable is consistent.</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1"/>
        </w:numPr>
        <w:rPr>
          <w:rFonts w:ascii="Arial" w:hAnsi="Arial" w:cs="Arial"/>
          <w:i/>
          <w:iCs/>
        </w:rPr>
      </w:pPr>
      <w:r w:rsidRPr="001844F8">
        <w:rPr>
          <w:rFonts w:ascii="Arial" w:hAnsi="Arial" w:cs="Arial"/>
        </w:rPr>
        <w:t>CFA Financial Attitude</w:t>
      </w:r>
    </w:p>
    <w:p w:rsidR="001844F8" w:rsidRPr="001844F8" w:rsidRDefault="001844F8" w:rsidP="001844F8">
      <w:pPr>
        <w:pStyle w:val="Body"/>
        <w:rPr>
          <w:rFonts w:ascii="Arial" w:hAnsi="Arial" w:cs="Arial"/>
          <w:lang w:val="en-ID"/>
        </w:rPr>
      </w:pPr>
      <w:bookmarkStart w:id="96" w:name="_Toc147172612"/>
      <w:bookmarkStart w:id="97" w:name="_Toc147173071"/>
      <w:bookmarkStart w:id="98" w:name="_Toc147173239"/>
      <w:bookmarkStart w:id="99" w:name="_Toc147830042"/>
      <w:bookmarkStart w:id="100" w:name="_Toc147830264"/>
      <w:bookmarkStart w:id="101" w:name="_Toc153835433"/>
      <w:bookmarkStart w:id="102" w:name="_Toc153853398"/>
      <w:bookmarkStart w:id="103" w:name="_Toc153854672"/>
      <w:bookmarkStart w:id="104" w:name="_Toc154132015"/>
      <w:bookmarkStart w:id="105" w:name="_Toc154134775"/>
      <w:bookmarkStart w:id="106" w:name="_Toc154135216"/>
      <w:bookmarkStart w:id="107" w:name="_Toc154135467"/>
      <w:bookmarkStart w:id="108" w:name="_Toc159492676"/>
      <w:r w:rsidRPr="001844F8">
        <w:rPr>
          <w:rFonts w:ascii="Arial" w:hAnsi="Arial" w:cs="Arial"/>
          <w:b/>
          <w:bCs/>
          <w:lang w:val="en-ID"/>
        </w:rPr>
        <w:t>Table 8.</w:t>
      </w:r>
      <w:bookmarkEnd w:id="96"/>
      <w:bookmarkEnd w:id="97"/>
      <w:bookmarkEnd w:id="98"/>
      <w:bookmarkEnd w:id="99"/>
      <w:bookmarkEnd w:id="100"/>
      <w:bookmarkEnd w:id="101"/>
      <w:bookmarkEnd w:id="102"/>
      <w:bookmarkEnd w:id="103"/>
      <w:bookmarkEnd w:id="104"/>
      <w:bookmarkEnd w:id="105"/>
      <w:bookmarkEnd w:id="106"/>
      <w:bookmarkEnd w:id="107"/>
      <w:bookmarkEnd w:id="108"/>
      <w:r w:rsidRPr="001844F8">
        <w:rPr>
          <w:rFonts w:ascii="Arial" w:hAnsi="Arial" w:cs="Arial"/>
          <w:lang w:val="en-ID"/>
        </w:rPr>
        <w:t>Validity of CFA Financial Attitude</w:t>
      </w:r>
    </w:p>
    <w:tbl>
      <w:tblPr>
        <w:tblW w:w="5000" w:type="pct"/>
        <w:jc w:val="center"/>
        <w:tblLook w:val="04A0" w:firstRow="1" w:lastRow="0" w:firstColumn="1" w:lastColumn="0" w:noHBand="0" w:noVBand="1"/>
      </w:tblPr>
      <w:tblGrid>
        <w:gridCol w:w="2478"/>
        <w:gridCol w:w="1943"/>
        <w:gridCol w:w="2096"/>
        <w:gridCol w:w="1907"/>
      </w:tblGrid>
      <w:tr w:rsidR="001844F8" w:rsidRPr="001844F8" w:rsidTr="00A6061B">
        <w:trPr>
          <w:trHeight w:val="315"/>
          <w:tblHeader/>
          <w:jc w:val="center"/>
        </w:trPr>
        <w:tc>
          <w:tcPr>
            <w:tcW w:w="1471" w:type="pct"/>
            <w:vMerge w:val="restart"/>
            <w:tcBorders>
              <w:top w:val="single" w:sz="4" w:space="0" w:color="auto"/>
              <w:left w:val="nil"/>
              <w:bottom w:val="single" w:sz="4" w:space="0" w:color="000000"/>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Indicator</w:t>
            </w:r>
          </w:p>
        </w:tc>
        <w:tc>
          <w:tcPr>
            <w:tcW w:w="3529" w:type="pct"/>
            <w:gridSpan w:val="3"/>
            <w:tcBorders>
              <w:top w:val="single" w:sz="4" w:space="0" w:color="auto"/>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CFA FA</w:t>
            </w:r>
          </w:p>
        </w:tc>
      </w:tr>
      <w:tr w:rsidR="001844F8" w:rsidRPr="001844F8" w:rsidTr="00A6061B">
        <w:trPr>
          <w:trHeight w:val="375"/>
          <w:tblHeader/>
          <w:jc w:val="center"/>
        </w:trPr>
        <w:tc>
          <w:tcPr>
            <w:tcW w:w="1471" w:type="pct"/>
            <w:vMerge/>
            <w:tcBorders>
              <w:top w:val="single" w:sz="4" w:space="0" w:color="auto"/>
              <w:left w:val="nil"/>
              <w:bottom w:val="single" w:sz="4" w:space="0" w:color="000000"/>
              <w:right w:val="nil"/>
            </w:tcBorders>
            <w:vAlign w:val="center"/>
            <w:hideMark/>
          </w:tcPr>
          <w:p w:rsidR="001844F8" w:rsidRPr="001844F8" w:rsidRDefault="001844F8" w:rsidP="001844F8">
            <w:pPr>
              <w:pStyle w:val="Body"/>
              <w:rPr>
                <w:rFonts w:ascii="Arial" w:hAnsi="Arial" w:cs="Arial"/>
              </w:rPr>
            </w:pPr>
          </w:p>
        </w:tc>
        <w:tc>
          <w:tcPr>
            <w:tcW w:w="1153"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113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r>
      <w:tr w:rsidR="001844F8" w:rsidRPr="001844F8" w:rsidTr="00A6061B">
        <w:trPr>
          <w:trHeight w:val="315"/>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FA4</w:t>
            </w:r>
          </w:p>
        </w:tc>
        <w:tc>
          <w:tcPr>
            <w:tcW w:w="115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0.631</w:t>
            </w: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0.398</w:t>
            </w:r>
          </w:p>
        </w:tc>
        <w:tc>
          <w:tcPr>
            <w:tcW w:w="113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0.602</w:t>
            </w:r>
          </w:p>
        </w:tc>
      </w:tr>
      <w:tr w:rsidR="001844F8" w:rsidRPr="001844F8" w:rsidTr="00A6061B">
        <w:trPr>
          <w:trHeight w:val="315"/>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FA3</w:t>
            </w:r>
          </w:p>
        </w:tc>
        <w:tc>
          <w:tcPr>
            <w:tcW w:w="115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0.708</w:t>
            </w: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0.501</w:t>
            </w:r>
          </w:p>
        </w:tc>
        <w:tc>
          <w:tcPr>
            <w:tcW w:w="113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0.499</w:t>
            </w:r>
          </w:p>
        </w:tc>
      </w:tr>
      <w:tr w:rsidR="001844F8" w:rsidRPr="001844F8" w:rsidTr="00A6061B">
        <w:trPr>
          <w:trHeight w:val="315"/>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FA2</w:t>
            </w:r>
          </w:p>
        </w:tc>
        <w:tc>
          <w:tcPr>
            <w:tcW w:w="115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0.577</w:t>
            </w: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0.333</w:t>
            </w:r>
          </w:p>
        </w:tc>
        <w:tc>
          <w:tcPr>
            <w:tcW w:w="113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0.667</w:t>
            </w:r>
          </w:p>
        </w:tc>
      </w:tr>
      <w:tr w:rsidR="001844F8" w:rsidRPr="001844F8" w:rsidTr="00A6061B">
        <w:trPr>
          <w:trHeight w:val="315"/>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FA1</w:t>
            </w:r>
          </w:p>
        </w:tc>
        <w:tc>
          <w:tcPr>
            <w:tcW w:w="115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0.533</w:t>
            </w: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0.284</w:t>
            </w:r>
          </w:p>
        </w:tc>
        <w:tc>
          <w:tcPr>
            <w:tcW w:w="113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0.716</w:t>
            </w:r>
          </w:p>
        </w:tc>
      </w:tr>
      <w:tr w:rsidR="001844F8" w:rsidRPr="001844F8" w:rsidTr="00A6061B">
        <w:trPr>
          <w:trHeight w:val="630"/>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w:t>
            </w:r>
          </w:p>
        </w:tc>
        <w:tc>
          <w:tcPr>
            <w:tcW w:w="1153"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2,449</w:t>
            </w: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3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A6061B">
        <w:trPr>
          <w:trHeight w:val="690"/>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Loading2</w:t>
            </w:r>
          </w:p>
        </w:tc>
        <w:tc>
          <w:tcPr>
            <w:tcW w:w="1153"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1,516</w:t>
            </w:r>
          </w:p>
        </w:tc>
        <w:tc>
          <w:tcPr>
            <w:tcW w:w="113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A6061B">
        <w:trPr>
          <w:trHeight w:val="315"/>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error</w:t>
            </w:r>
          </w:p>
        </w:tc>
        <w:tc>
          <w:tcPr>
            <w:tcW w:w="1153"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3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2.48356</w:t>
            </w:r>
          </w:p>
        </w:tc>
      </w:tr>
      <w:tr w:rsidR="001844F8" w:rsidRPr="001844F8" w:rsidTr="00A6061B">
        <w:trPr>
          <w:trHeight w:val="630"/>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Construct Reliability</w:t>
            </w:r>
          </w:p>
        </w:tc>
        <w:tc>
          <w:tcPr>
            <w:tcW w:w="1153"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0.707</w:t>
            </w: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3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 xml:space="preserve">In Table 8 it can be seen that all indicators obtained have a loading factor value of &gt; 0.5. </w:t>
      </w:r>
      <w:proofErr w:type="gramStart"/>
      <w:r w:rsidRPr="001844F8">
        <w:rPr>
          <w:rFonts w:ascii="Arial" w:hAnsi="Arial" w:cs="Arial"/>
        </w:rPr>
        <w:t>So</w:t>
      </w:r>
      <w:proofErr w:type="gramEnd"/>
      <w:r w:rsidRPr="001844F8">
        <w:rPr>
          <w:rFonts w:ascii="Arial" w:hAnsi="Arial" w:cs="Arial"/>
        </w:rPr>
        <w:t xml:space="preserve"> it can be concluded that all indicators are valid. Furthermore, the Reliability test was </w:t>
      </w:r>
      <w:r w:rsidRPr="001844F8">
        <w:rPr>
          <w:rFonts w:ascii="Arial" w:hAnsi="Arial" w:cs="Arial"/>
        </w:rPr>
        <w:lastRenderedPageBreak/>
        <w:t>obtained at 0.707. This value is greater than 0.70, which means that the variable is consistent.</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1"/>
        </w:numPr>
        <w:rPr>
          <w:rFonts w:ascii="Arial" w:hAnsi="Arial" w:cs="Arial"/>
          <w:i/>
          <w:iCs/>
        </w:rPr>
      </w:pPr>
      <w:r w:rsidRPr="001844F8">
        <w:rPr>
          <w:rFonts w:ascii="Arial" w:hAnsi="Arial" w:cs="Arial"/>
        </w:rPr>
        <w:t>CFA Financial Self-Efficacy</w:t>
      </w:r>
    </w:p>
    <w:p w:rsidR="001844F8" w:rsidRPr="001844F8" w:rsidRDefault="001844F8" w:rsidP="001844F8">
      <w:pPr>
        <w:pStyle w:val="Body"/>
        <w:rPr>
          <w:rFonts w:ascii="Arial" w:hAnsi="Arial" w:cs="Arial"/>
          <w:lang w:val="en-ID"/>
        </w:rPr>
      </w:pPr>
      <w:bookmarkStart w:id="109" w:name="_Toc147172613"/>
      <w:bookmarkStart w:id="110" w:name="_Toc147173072"/>
      <w:bookmarkStart w:id="111" w:name="_Toc147173240"/>
      <w:bookmarkStart w:id="112" w:name="_Toc147830043"/>
      <w:bookmarkStart w:id="113" w:name="_Toc147830265"/>
      <w:bookmarkStart w:id="114" w:name="_Toc153835434"/>
      <w:bookmarkStart w:id="115" w:name="_Toc153853399"/>
      <w:bookmarkStart w:id="116" w:name="_Toc153854673"/>
      <w:bookmarkStart w:id="117" w:name="_Toc154132016"/>
      <w:bookmarkStart w:id="118" w:name="_Toc154134776"/>
      <w:bookmarkStart w:id="119" w:name="_Toc154135217"/>
      <w:bookmarkStart w:id="120" w:name="_Toc154135468"/>
      <w:bookmarkStart w:id="121" w:name="_Toc159492677"/>
      <w:r w:rsidRPr="001844F8">
        <w:rPr>
          <w:rFonts w:ascii="Arial" w:hAnsi="Arial" w:cs="Arial"/>
          <w:b/>
          <w:bCs/>
          <w:lang w:val="en-ID"/>
        </w:rPr>
        <w:t>Table 9.</w:t>
      </w:r>
      <w:bookmarkEnd w:id="109"/>
      <w:bookmarkEnd w:id="110"/>
      <w:bookmarkEnd w:id="111"/>
      <w:bookmarkEnd w:id="112"/>
      <w:bookmarkEnd w:id="113"/>
      <w:bookmarkEnd w:id="114"/>
      <w:bookmarkEnd w:id="115"/>
      <w:bookmarkEnd w:id="116"/>
      <w:bookmarkEnd w:id="117"/>
      <w:bookmarkEnd w:id="118"/>
      <w:bookmarkEnd w:id="119"/>
      <w:bookmarkEnd w:id="120"/>
      <w:bookmarkEnd w:id="121"/>
      <w:r w:rsidRPr="001844F8">
        <w:rPr>
          <w:rFonts w:ascii="Arial" w:hAnsi="Arial" w:cs="Arial"/>
          <w:lang w:val="en-ID"/>
        </w:rPr>
        <w:t>Validity of CFA Financial Self-Efficacy</w:t>
      </w:r>
    </w:p>
    <w:tbl>
      <w:tblPr>
        <w:tblW w:w="5000" w:type="pct"/>
        <w:tblLook w:val="04A0" w:firstRow="1" w:lastRow="0" w:firstColumn="1" w:lastColumn="0" w:noHBand="0" w:noVBand="1"/>
      </w:tblPr>
      <w:tblGrid>
        <w:gridCol w:w="1420"/>
        <w:gridCol w:w="1169"/>
        <w:gridCol w:w="1176"/>
        <w:gridCol w:w="1171"/>
        <w:gridCol w:w="1156"/>
        <w:gridCol w:w="1176"/>
        <w:gridCol w:w="1156"/>
      </w:tblGrid>
      <w:tr w:rsidR="001844F8" w:rsidRPr="001844F8" w:rsidTr="00A6061B">
        <w:trPr>
          <w:trHeight w:val="261"/>
          <w:tblHeader/>
        </w:trPr>
        <w:tc>
          <w:tcPr>
            <w:tcW w:w="843" w:type="pct"/>
            <w:vMerge w:val="restart"/>
            <w:tcBorders>
              <w:top w:val="single" w:sz="4" w:space="0" w:color="auto"/>
              <w:left w:val="nil"/>
              <w:bottom w:val="single" w:sz="4" w:space="0" w:color="000000"/>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Indicator</w:t>
            </w:r>
          </w:p>
        </w:tc>
        <w:tc>
          <w:tcPr>
            <w:tcW w:w="2087" w:type="pct"/>
            <w:gridSpan w:val="3"/>
            <w:tcBorders>
              <w:top w:val="single" w:sz="4" w:space="0" w:color="auto"/>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CFA FSE</w:t>
            </w:r>
          </w:p>
        </w:tc>
        <w:tc>
          <w:tcPr>
            <w:tcW w:w="2070" w:type="pct"/>
            <w:gridSpan w:val="3"/>
            <w:tcBorders>
              <w:top w:val="single" w:sz="4" w:space="0" w:color="auto"/>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CFA FSE (elimination)</w:t>
            </w:r>
          </w:p>
        </w:tc>
      </w:tr>
      <w:tr w:rsidR="001844F8" w:rsidRPr="001844F8" w:rsidTr="00A6061B">
        <w:trPr>
          <w:trHeight w:val="123"/>
          <w:tblHeader/>
        </w:trPr>
        <w:tc>
          <w:tcPr>
            <w:tcW w:w="843" w:type="pct"/>
            <w:vMerge/>
            <w:tcBorders>
              <w:top w:val="single" w:sz="4" w:space="0" w:color="auto"/>
              <w:left w:val="nil"/>
              <w:bottom w:val="single" w:sz="4" w:space="0" w:color="000000"/>
              <w:right w:val="nil"/>
            </w:tcBorders>
            <w:vAlign w:val="center"/>
            <w:hideMark/>
          </w:tcPr>
          <w:p w:rsidR="001844F8" w:rsidRPr="001844F8" w:rsidRDefault="001844F8" w:rsidP="001844F8">
            <w:pPr>
              <w:pStyle w:val="Body"/>
              <w:rPr>
                <w:rFonts w:ascii="Arial" w:hAnsi="Arial" w:cs="Arial"/>
              </w:rPr>
            </w:pP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r>
      <w:tr w:rsidR="001844F8" w:rsidRPr="001844F8" w:rsidTr="00A6061B">
        <w:trPr>
          <w:trHeight w:val="315"/>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FSE1</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0.262</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0.069</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0.931</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c>
          <w:tcPr>
            <w:tcW w:w="69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r>
      <w:tr w:rsidR="001844F8" w:rsidRPr="001844F8" w:rsidTr="00A6061B">
        <w:trPr>
          <w:trHeight w:val="315"/>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FSE2</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0.815</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0.664</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0.336</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0.833</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0.694</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0.306</w:t>
            </w:r>
          </w:p>
        </w:tc>
      </w:tr>
      <w:tr w:rsidR="001844F8" w:rsidRPr="001844F8" w:rsidTr="00A6061B">
        <w:trPr>
          <w:trHeight w:val="315"/>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FSE3</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0.849</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0.721</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0.279</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0.874</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0.764</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0.236</w:t>
            </w:r>
          </w:p>
        </w:tc>
      </w:tr>
      <w:tr w:rsidR="001844F8" w:rsidRPr="001844F8" w:rsidTr="00A6061B">
        <w:trPr>
          <w:trHeight w:val="315"/>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FSE4</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0.458</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0.210</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0.790</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r>
      <w:tr w:rsidR="001844F8" w:rsidRPr="001844F8" w:rsidTr="00A6061B">
        <w:trPr>
          <w:trHeight w:val="315"/>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FSE5</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0.574</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0.329</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0.671</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0.539</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0.291</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0.709</w:t>
            </w:r>
          </w:p>
        </w:tc>
      </w:tr>
      <w:tr w:rsidR="001844F8" w:rsidRPr="001844F8" w:rsidTr="00A6061B">
        <w:trPr>
          <w:trHeight w:val="315"/>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FSE6</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0.640</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0.410</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0.590</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0.591</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0.349</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0.651</w:t>
            </w:r>
          </w:p>
        </w:tc>
      </w:tr>
      <w:tr w:rsidR="001844F8" w:rsidRPr="001844F8" w:rsidTr="00A6061B">
        <w:trPr>
          <w:trHeight w:val="630"/>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w:t>
            </w: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3,598</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2,837</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A6061B">
        <w:trPr>
          <w:trHeight w:val="690"/>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Loading2</w:t>
            </w: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2,403</w:t>
            </w: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2,098</w:t>
            </w: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A6061B">
        <w:trPr>
          <w:trHeight w:val="315"/>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error</w:t>
            </w: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3.59749</w:t>
            </w: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1.90243</w:t>
            </w:r>
          </w:p>
        </w:tc>
      </w:tr>
      <w:tr w:rsidR="001844F8" w:rsidRPr="001844F8" w:rsidTr="00A6061B">
        <w:trPr>
          <w:trHeight w:val="630"/>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Construct Reliability</w:t>
            </w: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0.783</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0.809</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In Table 9 it can be seen that the initial indicators still have loading factors with a value of &lt;0.5, namely the FSE1 indicator is 0.262 and FSE4 is 0.458. These indicators must be eliminated so that all indicators have a loading factor value of &gt; 0.5. So, it can be concluded that all indicators are valid. Furthermore, the Reliability test was obtained at 0.809. This value is greater than 0.70, which means that the variable is consistent.</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1"/>
        </w:numPr>
        <w:rPr>
          <w:rFonts w:ascii="Arial" w:hAnsi="Arial" w:cs="Arial"/>
          <w:i/>
          <w:iCs/>
        </w:rPr>
      </w:pPr>
      <w:r w:rsidRPr="001844F8">
        <w:rPr>
          <w:rFonts w:ascii="Arial" w:hAnsi="Arial" w:cs="Arial"/>
        </w:rPr>
        <w:t>Investment Intention CFA</w:t>
      </w:r>
    </w:p>
    <w:p w:rsidR="001844F8" w:rsidRPr="001844F8" w:rsidRDefault="001844F8" w:rsidP="001844F8">
      <w:pPr>
        <w:pStyle w:val="Body"/>
        <w:rPr>
          <w:rFonts w:ascii="Arial" w:hAnsi="Arial" w:cs="Arial"/>
          <w:lang w:val="en-ID"/>
        </w:rPr>
      </w:pPr>
      <w:bookmarkStart w:id="122" w:name="_Toc147172614"/>
      <w:bookmarkStart w:id="123" w:name="_Toc147173073"/>
      <w:bookmarkStart w:id="124" w:name="_Toc147173241"/>
      <w:bookmarkStart w:id="125" w:name="_Toc147830044"/>
      <w:bookmarkStart w:id="126" w:name="_Toc147830266"/>
      <w:bookmarkStart w:id="127" w:name="_Toc153835435"/>
      <w:bookmarkStart w:id="128" w:name="_Toc153853400"/>
      <w:bookmarkStart w:id="129" w:name="_Toc153854674"/>
      <w:bookmarkStart w:id="130" w:name="_Toc154132017"/>
      <w:bookmarkStart w:id="131" w:name="_Toc154134777"/>
      <w:bookmarkStart w:id="132" w:name="_Toc154135218"/>
      <w:bookmarkStart w:id="133" w:name="_Toc154135469"/>
      <w:bookmarkStart w:id="134" w:name="_Toc159492678"/>
      <w:r w:rsidRPr="001844F8">
        <w:rPr>
          <w:rFonts w:ascii="Arial" w:hAnsi="Arial" w:cs="Arial"/>
          <w:b/>
          <w:bCs/>
          <w:lang w:val="en-ID"/>
        </w:rPr>
        <w:t>Table 10.</w:t>
      </w:r>
      <w:bookmarkEnd w:id="122"/>
      <w:bookmarkEnd w:id="123"/>
      <w:bookmarkEnd w:id="124"/>
      <w:bookmarkEnd w:id="125"/>
      <w:bookmarkEnd w:id="126"/>
      <w:bookmarkEnd w:id="127"/>
      <w:bookmarkEnd w:id="128"/>
      <w:bookmarkEnd w:id="129"/>
      <w:bookmarkEnd w:id="130"/>
      <w:bookmarkEnd w:id="131"/>
      <w:bookmarkEnd w:id="132"/>
      <w:bookmarkEnd w:id="133"/>
      <w:bookmarkEnd w:id="134"/>
      <w:r w:rsidRPr="001844F8">
        <w:rPr>
          <w:rFonts w:ascii="Arial" w:hAnsi="Arial" w:cs="Arial"/>
          <w:lang w:val="en-ID"/>
        </w:rPr>
        <w:t>Validity of Investment Intention CFA</w:t>
      </w:r>
    </w:p>
    <w:tbl>
      <w:tblPr>
        <w:tblW w:w="5000" w:type="pct"/>
        <w:jc w:val="center"/>
        <w:tblLook w:val="04A0" w:firstRow="1" w:lastRow="0" w:firstColumn="1" w:lastColumn="0" w:noHBand="0" w:noVBand="1"/>
      </w:tblPr>
      <w:tblGrid>
        <w:gridCol w:w="2425"/>
        <w:gridCol w:w="1996"/>
        <w:gridCol w:w="2007"/>
        <w:gridCol w:w="1996"/>
      </w:tblGrid>
      <w:tr w:rsidR="001844F8" w:rsidRPr="001844F8" w:rsidTr="00A6061B">
        <w:trPr>
          <w:trHeight w:val="315"/>
          <w:tblHeader/>
          <w:jc w:val="center"/>
        </w:trPr>
        <w:tc>
          <w:tcPr>
            <w:tcW w:w="1439" w:type="pct"/>
            <w:vMerge w:val="restart"/>
            <w:tcBorders>
              <w:top w:val="single" w:sz="4" w:space="0" w:color="auto"/>
              <w:left w:val="nil"/>
              <w:bottom w:val="single" w:sz="4" w:space="0" w:color="000000"/>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Indicator</w:t>
            </w:r>
          </w:p>
        </w:tc>
        <w:tc>
          <w:tcPr>
            <w:tcW w:w="3561" w:type="pct"/>
            <w:gridSpan w:val="3"/>
            <w:tcBorders>
              <w:top w:val="single" w:sz="4" w:space="0" w:color="auto"/>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CFA NI</w:t>
            </w:r>
          </w:p>
        </w:tc>
      </w:tr>
      <w:tr w:rsidR="001844F8" w:rsidRPr="001844F8" w:rsidTr="00A6061B">
        <w:trPr>
          <w:trHeight w:val="375"/>
          <w:tblHeader/>
          <w:jc w:val="center"/>
        </w:trPr>
        <w:tc>
          <w:tcPr>
            <w:tcW w:w="1439" w:type="pct"/>
            <w:vMerge/>
            <w:tcBorders>
              <w:top w:val="single" w:sz="4" w:space="0" w:color="auto"/>
              <w:left w:val="nil"/>
              <w:bottom w:val="single" w:sz="4" w:space="0" w:color="000000"/>
              <w:right w:val="nil"/>
            </w:tcBorders>
            <w:vAlign w:val="center"/>
            <w:hideMark/>
          </w:tcPr>
          <w:p w:rsidR="001844F8" w:rsidRPr="001844F8" w:rsidRDefault="001844F8" w:rsidP="001844F8">
            <w:pPr>
              <w:pStyle w:val="Body"/>
              <w:rPr>
                <w:rFonts w:ascii="Arial" w:hAnsi="Arial" w:cs="Arial"/>
              </w:rPr>
            </w:pPr>
          </w:p>
        </w:tc>
        <w:tc>
          <w:tcPr>
            <w:tcW w:w="118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Loading</w:t>
            </w:r>
          </w:p>
        </w:tc>
        <w:tc>
          <w:tcPr>
            <w:tcW w:w="1191"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Loading2</w:t>
            </w:r>
          </w:p>
        </w:tc>
        <w:tc>
          <w:tcPr>
            <w:tcW w:w="118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error</w:t>
            </w:r>
          </w:p>
        </w:tc>
      </w:tr>
      <w:tr w:rsidR="001844F8" w:rsidRPr="001844F8" w:rsidTr="00A6061B">
        <w:trPr>
          <w:trHeight w:val="315"/>
          <w:jc w:val="center"/>
        </w:trPr>
        <w:tc>
          <w:tcPr>
            <w:tcW w:w="14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NI1</w:t>
            </w:r>
          </w:p>
        </w:tc>
        <w:tc>
          <w:tcPr>
            <w:tcW w:w="118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0.693</w:t>
            </w:r>
          </w:p>
        </w:tc>
        <w:tc>
          <w:tcPr>
            <w:tcW w:w="119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0.480</w:t>
            </w:r>
          </w:p>
        </w:tc>
        <w:tc>
          <w:tcPr>
            <w:tcW w:w="118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0.520</w:t>
            </w:r>
          </w:p>
        </w:tc>
      </w:tr>
      <w:tr w:rsidR="001844F8" w:rsidRPr="001844F8" w:rsidTr="00A6061B">
        <w:trPr>
          <w:trHeight w:val="315"/>
          <w:jc w:val="center"/>
        </w:trPr>
        <w:tc>
          <w:tcPr>
            <w:tcW w:w="14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NI2</w:t>
            </w:r>
          </w:p>
        </w:tc>
        <w:tc>
          <w:tcPr>
            <w:tcW w:w="118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0.836</w:t>
            </w:r>
          </w:p>
        </w:tc>
        <w:tc>
          <w:tcPr>
            <w:tcW w:w="119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0.699</w:t>
            </w:r>
          </w:p>
        </w:tc>
        <w:tc>
          <w:tcPr>
            <w:tcW w:w="118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0.301</w:t>
            </w:r>
          </w:p>
        </w:tc>
      </w:tr>
      <w:tr w:rsidR="001844F8" w:rsidRPr="001844F8" w:rsidTr="00A6061B">
        <w:trPr>
          <w:trHeight w:val="315"/>
          <w:jc w:val="center"/>
        </w:trPr>
        <w:tc>
          <w:tcPr>
            <w:tcW w:w="14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NI3</w:t>
            </w:r>
          </w:p>
        </w:tc>
        <w:tc>
          <w:tcPr>
            <w:tcW w:w="118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0.769</w:t>
            </w:r>
          </w:p>
        </w:tc>
        <w:tc>
          <w:tcPr>
            <w:tcW w:w="119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0.591</w:t>
            </w:r>
          </w:p>
        </w:tc>
        <w:tc>
          <w:tcPr>
            <w:tcW w:w="118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0.409</w:t>
            </w:r>
          </w:p>
        </w:tc>
      </w:tr>
      <w:tr w:rsidR="001844F8" w:rsidRPr="001844F8" w:rsidTr="00A6061B">
        <w:trPr>
          <w:trHeight w:val="630"/>
          <w:jc w:val="center"/>
        </w:trPr>
        <w:tc>
          <w:tcPr>
            <w:tcW w:w="14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w:t>
            </w:r>
          </w:p>
        </w:tc>
        <w:tc>
          <w:tcPr>
            <w:tcW w:w="118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2,298</w:t>
            </w:r>
          </w:p>
        </w:tc>
        <w:tc>
          <w:tcPr>
            <w:tcW w:w="119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8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A6061B">
        <w:trPr>
          <w:trHeight w:val="690"/>
          <w:jc w:val="center"/>
        </w:trPr>
        <w:tc>
          <w:tcPr>
            <w:tcW w:w="14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Loading2</w:t>
            </w:r>
          </w:p>
        </w:tc>
        <w:tc>
          <w:tcPr>
            <w:tcW w:w="118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9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1,771</w:t>
            </w:r>
          </w:p>
        </w:tc>
        <w:tc>
          <w:tcPr>
            <w:tcW w:w="118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A6061B">
        <w:trPr>
          <w:trHeight w:val="315"/>
          <w:jc w:val="center"/>
        </w:trPr>
        <w:tc>
          <w:tcPr>
            <w:tcW w:w="14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error</w:t>
            </w:r>
          </w:p>
        </w:tc>
        <w:tc>
          <w:tcPr>
            <w:tcW w:w="118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9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8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1.22949</w:t>
            </w:r>
          </w:p>
        </w:tc>
      </w:tr>
      <w:tr w:rsidR="001844F8" w:rsidRPr="001844F8" w:rsidTr="00A6061B">
        <w:trPr>
          <w:trHeight w:val="630"/>
          <w:jc w:val="center"/>
        </w:trPr>
        <w:tc>
          <w:tcPr>
            <w:tcW w:w="14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Construct Reliability</w:t>
            </w:r>
          </w:p>
        </w:tc>
        <w:tc>
          <w:tcPr>
            <w:tcW w:w="118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0.811</w:t>
            </w:r>
          </w:p>
        </w:tc>
        <w:tc>
          <w:tcPr>
            <w:tcW w:w="119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8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In Table 10 it can be seen that all indicators obtained have a loading factor value of &gt; 0.5. So, it can be concluded that all indicators are valid. Furthermore, the Reliability test was obtained at 0.811. This value is greater than 0.70, which means that the variable is consistent.</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0"/>
        </w:numPr>
        <w:rPr>
          <w:rFonts w:ascii="Arial" w:hAnsi="Arial" w:cs="Arial"/>
          <w:lang w:val="en-ID"/>
        </w:rPr>
      </w:pPr>
      <w:bookmarkStart w:id="135" w:name="_Toc147172817"/>
      <w:bookmarkStart w:id="136" w:name="_Toc147173074"/>
      <w:bookmarkStart w:id="137" w:name="_Toc147173242"/>
      <w:bookmarkStart w:id="138" w:name="_Toc147830045"/>
      <w:bookmarkStart w:id="139" w:name="_Toc147830267"/>
      <w:bookmarkStart w:id="140" w:name="_Toc154134778"/>
      <w:bookmarkStart w:id="141" w:name="_Toc154135219"/>
      <w:bookmarkStart w:id="142" w:name="_Toc154135470"/>
      <w:bookmarkStart w:id="143" w:name="_Toc159492679"/>
      <w:bookmarkStart w:id="144" w:name="_Toc86238440"/>
      <w:bookmarkStart w:id="145" w:name="_Toc86238628"/>
      <w:bookmarkStart w:id="146" w:name="_Toc86241816"/>
      <w:bookmarkStart w:id="147" w:name="_Toc86354686"/>
      <w:bookmarkStart w:id="148" w:name="_Toc86767453"/>
      <w:r w:rsidRPr="001844F8">
        <w:rPr>
          <w:rFonts w:ascii="Arial" w:hAnsi="Arial" w:cs="Arial"/>
          <w:lang w:val="en-ID"/>
        </w:rPr>
        <w:t>SEM Evaluation Results</w:t>
      </w:r>
      <w:bookmarkEnd w:id="135"/>
      <w:bookmarkEnd w:id="136"/>
      <w:bookmarkEnd w:id="137"/>
      <w:bookmarkEnd w:id="138"/>
      <w:bookmarkEnd w:id="139"/>
      <w:bookmarkEnd w:id="140"/>
      <w:bookmarkEnd w:id="141"/>
      <w:bookmarkEnd w:id="142"/>
      <w:bookmarkEnd w:id="143"/>
    </w:p>
    <w:p w:rsidR="001844F8" w:rsidRPr="001844F8" w:rsidRDefault="001844F8" w:rsidP="007418CF">
      <w:pPr>
        <w:pStyle w:val="Body"/>
        <w:numPr>
          <w:ilvl w:val="0"/>
          <w:numId w:val="12"/>
        </w:numPr>
        <w:rPr>
          <w:rFonts w:ascii="Arial" w:hAnsi="Arial" w:cs="Arial"/>
          <w:lang w:val="en-ID"/>
        </w:rPr>
      </w:pPr>
      <w:bookmarkStart w:id="149" w:name="_Toc147172818"/>
      <w:bookmarkStart w:id="150" w:name="_Toc147173075"/>
      <w:bookmarkStart w:id="151" w:name="_Toc147173243"/>
      <w:bookmarkStart w:id="152" w:name="_Toc147830046"/>
      <w:bookmarkStart w:id="153" w:name="_Toc147830268"/>
      <w:bookmarkStart w:id="154" w:name="_Toc154134779"/>
      <w:bookmarkStart w:id="155" w:name="_Toc154135220"/>
      <w:bookmarkStart w:id="156" w:name="_Toc154135471"/>
      <w:bookmarkStart w:id="157" w:name="_Toc159492680"/>
      <w:r w:rsidRPr="001844F8">
        <w:rPr>
          <w:rFonts w:ascii="Arial" w:hAnsi="Arial" w:cs="Arial"/>
          <w:lang w:val="en-ID"/>
        </w:rPr>
        <w:t>Assumption of Normality</w:t>
      </w:r>
      <w:bookmarkEnd w:id="149"/>
      <w:bookmarkEnd w:id="150"/>
      <w:bookmarkEnd w:id="151"/>
      <w:bookmarkEnd w:id="152"/>
      <w:bookmarkEnd w:id="153"/>
      <w:bookmarkEnd w:id="154"/>
      <w:bookmarkEnd w:id="155"/>
      <w:bookmarkEnd w:id="156"/>
      <w:bookmarkEnd w:id="157"/>
    </w:p>
    <w:p w:rsidR="001844F8" w:rsidRPr="001844F8" w:rsidRDefault="001844F8" w:rsidP="001844F8">
      <w:pPr>
        <w:pStyle w:val="Body"/>
        <w:rPr>
          <w:rFonts w:ascii="Arial" w:hAnsi="Arial" w:cs="Arial"/>
        </w:rPr>
      </w:pPr>
      <w:r w:rsidRPr="001844F8">
        <w:rPr>
          <w:rFonts w:ascii="Arial" w:hAnsi="Arial" w:cs="Arial"/>
          <w:b/>
        </w:rPr>
        <w:t xml:space="preserve"> </w:t>
      </w:r>
      <w:r w:rsidRPr="001844F8">
        <w:rPr>
          <w:rFonts w:ascii="Arial" w:hAnsi="Arial" w:cs="Arial"/>
        </w:rPr>
        <w:t>Univariate normality testing by observing the skewness value of the data used, if the CR value for data skewness is between -2.58 ≤ CR ≤ 2.58 at a significance level of 0.01, then the research data used can be said to be normal. The results of the multivariate normality test of the data after modification are as follows:</w:t>
      </w:r>
    </w:p>
    <w:p w:rsidR="001844F8" w:rsidRPr="001844F8" w:rsidRDefault="001844F8" w:rsidP="001844F8">
      <w:pPr>
        <w:pStyle w:val="Body"/>
        <w:rPr>
          <w:rFonts w:ascii="Arial" w:hAnsi="Arial" w:cs="Arial"/>
          <w:lang w:val="en-ID"/>
        </w:rPr>
      </w:pPr>
      <w:bookmarkStart w:id="158" w:name="_Toc89343854"/>
      <w:bookmarkStart w:id="159" w:name="_Toc89344286"/>
      <w:bookmarkStart w:id="160" w:name="_Toc147172617"/>
      <w:bookmarkStart w:id="161" w:name="_Toc147173076"/>
      <w:bookmarkStart w:id="162" w:name="_Toc147173244"/>
      <w:bookmarkStart w:id="163" w:name="_Toc147830047"/>
      <w:bookmarkStart w:id="164" w:name="_Toc147830269"/>
      <w:bookmarkStart w:id="165" w:name="_Toc153835438"/>
      <w:bookmarkStart w:id="166" w:name="_Toc153853403"/>
      <w:bookmarkStart w:id="167" w:name="_Toc153854677"/>
      <w:bookmarkStart w:id="168" w:name="_Toc154134780"/>
      <w:bookmarkStart w:id="169" w:name="_Toc154135221"/>
      <w:bookmarkStart w:id="170" w:name="_Toc154135472"/>
      <w:bookmarkStart w:id="171" w:name="_Toc159492681"/>
      <w:r w:rsidRPr="001844F8">
        <w:rPr>
          <w:rFonts w:ascii="Arial" w:hAnsi="Arial" w:cs="Arial"/>
          <w:b/>
          <w:bCs/>
          <w:lang w:val="en-ID"/>
        </w:rPr>
        <w:t>Table 11.</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1844F8">
        <w:rPr>
          <w:rFonts w:ascii="Arial" w:hAnsi="Arial" w:cs="Arial"/>
          <w:lang w:val="en-ID"/>
        </w:rPr>
        <w:t>Assessment Of Normality</w:t>
      </w:r>
    </w:p>
    <w:tbl>
      <w:tblPr>
        <w:tblW w:w="0" w:type="auto"/>
        <w:jc w:val="center"/>
        <w:tblBorders>
          <w:top w:val="single" w:sz="6" w:space="0" w:color="auto"/>
          <w:bottom w:val="single" w:sz="6" w:space="0" w:color="auto"/>
          <w:insideH w:val="single" w:sz="6" w:space="0" w:color="auto"/>
        </w:tblBorders>
        <w:tblCellMar>
          <w:top w:w="15" w:type="dxa"/>
          <w:left w:w="15" w:type="dxa"/>
          <w:bottom w:w="15" w:type="dxa"/>
          <w:right w:w="15" w:type="dxa"/>
        </w:tblCellMar>
        <w:tblLook w:val="04A0" w:firstRow="1" w:lastRow="0" w:firstColumn="1" w:lastColumn="0" w:noHBand="0" w:noVBand="1"/>
      </w:tblPr>
      <w:tblGrid>
        <w:gridCol w:w="1303"/>
        <w:gridCol w:w="781"/>
        <w:gridCol w:w="781"/>
        <w:gridCol w:w="848"/>
        <w:gridCol w:w="848"/>
        <w:gridCol w:w="970"/>
        <w:gridCol w:w="848"/>
      </w:tblGrid>
      <w:tr w:rsidR="001844F8" w:rsidRPr="001844F8" w:rsidTr="00A6061B">
        <w:trPr>
          <w:tblHeade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Variables</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min</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max</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skew</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roofErr w:type="spellStart"/>
            <w:r w:rsidRPr="001844F8">
              <w:rPr>
                <w:rFonts w:ascii="Arial" w:hAnsi="Arial" w:cs="Arial"/>
              </w:rPr>
              <w:t>cr</w:t>
            </w:r>
            <w:proofErr w:type="spellEnd"/>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kurtosis</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roofErr w:type="spellStart"/>
            <w:r w:rsidRPr="001844F8">
              <w:rPr>
                <w:rFonts w:ascii="Arial" w:hAnsi="Arial" w:cs="Arial"/>
              </w:rPr>
              <w:t>cr</w:t>
            </w:r>
            <w:proofErr w:type="spellEnd"/>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NI3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-,922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,667</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NI2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-,635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-3,012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,308</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NI1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-,367</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-1,742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-,680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-1,612</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FSE6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-,355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-1,684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-,595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-1,411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FSE5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-1,954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-.025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-,058</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lastRenderedPageBreak/>
              <w:t>FSE3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-,556</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-2,638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1,385</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FSE2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-,687</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-3,258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,752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1,784</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-,713</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-3,384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,734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1,741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-2,607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,932</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-,808</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-,299</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-,708</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,676</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-,694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-1,646</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FK1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-,439</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-2,082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-,670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-1,589</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FK2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-1,143</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-,603</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-1,431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FK3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-1,036</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-4,916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1,646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3,904</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FK4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-,498</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-2,361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-,674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-1,598</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NS1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-,882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-4,181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1,143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2,710</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NS2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-2,756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,360</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NS3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-,448</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-1,063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PT3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-,947</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-1,190</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PT4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-,197</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-,934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-1,021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PT5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-,921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-,306</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-,725</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Multivariate</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16,510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3,086</w:t>
            </w: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 xml:space="preserve">In Table 11 it can be seen that the value for multivariate normal is 3.086. This value is still outside the range -2.58 ≤ </w:t>
      </w:r>
      <w:proofErr w:type="spellStart"/>
      <w:r w:rsidRPr="001844F8">
        <w:rPr>
          <w:rFonts w:ascii="Arial" w:hAnsi="Arial" w:cs="Arial"/>
        </w:rPr>
        <w:t>cr</w:t>
      </w:r>
      <w:proofErr w:type="spellEnd"/>
      <w:r w:rsidRPr="001844F8">
        <w:rPr>
          <w:rFonts w:ascii="Arial" w:hAnsi="Arial" w:cs="Arial"/>
        </w:rPr>
        <w:t xml:space="preserve"> ≤ 2.58, so it can be indicated that the data still does not meet the assumption of normal multivariate, so elimination must be carried out for several indicators, namely FK3 and FSE2, so that the following results are obtained.</w:t>
      </w:r>
      <w:bookmarkStart w:id="172" w:name="_Hlk147087403"/>
      <w:bookmarkEnd w:id="172"/>
    </w:p>
    <w:p w:rsidR="001844F8" w:rsidRPr="001844F8" w:rsidRDefault="001844F8" w:rsidP="001844F8">
      <w:pPr>
        <w:pStyle w:val="Body"/>
        <w:rPr>
          <w:rFonts w:ascii="Arial" w:hAnsi="Arial" w:cs="Arial"/>
          <w:lang w:val="en-ID"/>
        </w:rPr>
      </w:pPr>
      <w:bookmarkStart w:id="173" w:name="_Toc147172618"/>
      <w:bookmarkStart w:id="174" w:name="_Toc147173077"/>
      <w:bookmarkStart w:id="175" w:name="_Toc147173245"/>
      <w:bookmarkStart w:id="176" w:name="_Toc147830048"/>
      <w:bookmarkStart w:id="177" w:name="_Toc147830270"/>
      <w:bookmarkStart w:id="178" w:name="_Toc153835439"/>
      <w:bookmarkStart w:id="179" w:name="_Toc153853404"/>
      <w:bookmarkStart w:id="180" w:name="_Toc153854678"/>
      <w:bookmarkStart w:id="181" w:name="_Toc154134781"/>
      <w:bookmarkStart w:id="182" w:name="_Toc154135222"/>
      <w:bookmarkStart w:id="183" w:name="_Toc154135473"/>
      <w:bookmarkStart w:id="184" w:name="_Toc159492682"/>
      <w:r w:rsidRPr="001844F8">
        <w:rPr>
          <w:rFonts w:ascii="Arial" w:hAnsi="Arial" w:cs="Arial"/>
          <w:b/>
          <w:bCs/>
          <w:lang w:val="en-ID"/>
        </w:rPr>
        <w:t>Table 12.</w:t>
      </w:r>
      <w:bookmarkEnd w:id="173"/>
      <w:bookmarkEnd w:id="174"/>
      <w:bookmarkEnd w:id="175"/>
      <w:bookmarkEnd w:id="176"/>
      <w:bookmarkEnd w:id="177"/>
      <w:bookmarkEnd w:id="178"/>
      <w:bookmarkEnd w:id="179"/>
      <w:bookmarkEnd w:id="180"/>
      <w:bookmarkEnd w:id="181"/>
      <w:bookmarkEnd w:id="182"/>
      <w:bookmarkEnd w:id="183"/>
      <w:bookmarkEnd w:id="184"/>
      <w:r w:rsidRPr="001844F8">
        <w:rPr>
          <w:rFonts w:ascii="Arial" w:hAnsi="Arial" w:cs="Arial"/>
          <w:lang w:val="en-ID"/>
        </w:rPr>
        <w:t>Assessment Of Normality After Elimination</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3"/>
        <w:gridCol w:w="781"/>
        <w:gridCol w:w="781"/>
        <w:gridCol w:w="736"/>
        <w:gridCol w:w="848"/>
        <w:gridCol w:w="970"/>
        <w:gridCol w:w="848"/>
      </w:tblGrid>
      <w:tr w:rsidR="001844F8" w:rsidRPr="001844F8" w:rsidTr="00A6061B">
        <w:trPr>
          <w:tblHeader/>
          <w:jc w:val="cent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Variables</w:t>
            </w:r>
          </w:p>
        </w:tc>
        <w:tc>
          <w:tcPr>
            <w:tcW w:w="0" w:type="auto"/>
            <w:tcBorders>
              <w:bottom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min</w:t>
            </w:r>
          </w:p>
        </w:tc>
        <w:tc>
          <w:tcPr>
            <w:tcW w:w="0" w:type="auto"/>
            <w:tcBorders>
              <w:bottom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max</w:t>
            </w:r>
          </w:p>
        </w:tc>
        <w:tc>
          <w:tcPr>
            <w:tcW w:w="0" w:type="auto"/>
            <w:tcBorders>
              <w:bottom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skew</w:t>
            </w:r>
          </w:p>
        </w:tc>
        <w:tc>
          <w:tcPr>
            <w:tcW w:w="0" w:type="auto"/>
            <w:tcBorders>
              <w:bottom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roofErr w:type="spellStart"/>
            <w:r w:rsidRPr="001844F8">
              <w:rPr>
                <w:rFonts w:ascii="Arial" w:hAnsi="Arial" w:cs="Arial"/>
              </w:rPr>
              <w:t>cr</w:t>
            </w:r>
            <w:proofErr w:type="spellEnd"/>
          </w:p>
        </w:tc>
        <w:tc>
          <w:tcPr>
            <w:tcW w:w="0" w:type="auto"/>
            <w:tcBorders>
              <w:bottom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kurtosis</w:t>
            </w:r>
          </w:p>
        </w:tc>
        <w:tc>
          <w:tcPr>
            <w:tcW w:w="0" w:type="auto"/>
            <w:tcBorders>
              <w:bottom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roofErr w:type="spellStart"/>
            <w:r w:rsidRPr="001844F8">
              <w:rPr>
                <w:rFonts w:ascii="Arial" w:hAnsi="Arial" w:cs="Arial"/>
              </w:rPr>
              <w:t>cr</w:t>
            </w:r>
            <w:proofErr w:type="spellEnd"/>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lastRenderedPageBreak/>
              <w:t>NI3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-,922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,667</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NI2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-,635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-3,012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,308</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NI1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-,367</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-1,742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-,680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-1,612</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FSE6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-,355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-1,684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-,595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-1,411</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FSE5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-1,954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-.025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-,058</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FSE3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-,556</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-2,638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1,385</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-,713</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-3,384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,734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1,741</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-2,607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,932</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-,808</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-,299</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-,708</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,676</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-,694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-1,646</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FK1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-,439</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-2,082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-,670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-1,589</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FK2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-1,143</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-,603</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-1,431</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FK4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-,498</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-2,361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-,674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-1,598</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NS1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-,882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-4,181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1,143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2,710</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NS2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-2,756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,360</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NS3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-,448</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-1,063</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PT3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-,947</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-1,190</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PT4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-,197</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-,934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-1,021</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PT5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-,921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-,306</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-,725</w:t>
            </w:r>
          </w:p>
        </w:tc>
      </w:tr>
      <w:tr w:rsidR="001844F8" w:rsidRPr="001844F8" w:rsidTr="00A6061B">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Multivariate</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10,973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2,257</w:t>
            </w: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 xml:space="preserve">In table 12 it can be seen that the value for multivariate normal is 2.257. This value is in the range -2.58 ≤ </w:t>
      </w:r>
      <w:proofErr w:type="spellStart"/>
      <w:r w:rsidRPr="001844F8">
        <w:rPr>
          <w:rFonts w:ascii="Arial" w:hAnsi="Arial" w:cs="Arial"/>
        </w:rPr>
        <w:t>cr</w:t>
      </w:r>
      <w:proofErr w:type="spellEnd"/>
      <w:r w:rsidRPr="001844F8">
        <w:rPr>
          <w:rFonts w:ascii="Arial" w:hAnsi="Arial" w:cs="Arial"/>
        </w:rPr>
        <w:t xml:space="preserve"> ≤ 2.58, so it can be indicated that the data meets the normal multivariate assumptions.</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2"/>
        </w:numPr>
        <w:rPr>
          <w:rFonts w:ascii="Arial" w:hAnsi="Arial" w:cs="Arial"/>
          <w:bCs/>
          <w:lang w:val="en-ID"/>
        </w:rPr>
      </w:pPr>
      <w:bookmarkStart w:id="185" w:name="_Toc147172821"/>
      <w:bookmarkStart w:id="186" w:name="_Toc147173078"/>
      <w:bookmarkStart w:id="187" w:name="_Toc147173246"/>
      <w:bookmarkStart w:id="188" w:name="_Toc147830049"/>
      <w:bookmarkStart w:id="189" w:name="_Toc147830271"/>
      <w:bookmarkStart w:id="190" w:name="_Toc154134782"/>
      <w:bookmarkStart w:id="191" w:name="_Toc154135223"/>
      <w:bookmarkStart w:id="192" w:name="_Toc154135474"/>
      <w:bookmarkStart w:id="193" w:name="_Toc159492683"/>
      <w:r w:rsidRPr="001844F8">
        <w:rPr>
          <w:rFonts w:ascii="Arial" w:hAnsi="Arial" w:cs="Arial"/>
          <w:bCs/>
          <w:lang w:val="en-ID"/>
        </w:rPr>
        <w:lastRenderedPageBreak/>
        <w:t>Outlier Assumption</w:t>
      </w:r>
      <w:bookmarkEnd w:id="185"/>
      <w:bookmarkEnd w:id="186"/>
      <w:bookmarkEnd w:id="187"/>
      <w:bookmarkEnd w:id="188"/>
      <w:bookmarkEnd w:id="189"/>
      <w:bookmarkEnd w:id="190"/>
      <w:bookmarkEnd w:id="191"/>
      <w:bookmarkEnd w:id="192"/>
      <w:bookmarkEnd w:id="193"/>
    </w:p>
    <w:p w:rsidR="001844F8" w:rsidRPr="001844F8" w:rsidRDefault="001844F8" w:rsidP="001844F8">
      <w:pPr>
        <w:pStyle w:val="Body"/>
        <w:rPr>
          <w:rFonts w:ascii="Arial" w:hAnsi="Arial" w:cs="Arial"/>
        </w:rPr>
      </w:pPr>
      <w:bookmarkStart w:id="194" w:name="_Toc89343856"/>
      <w:bookmarkStart w:id="195" w:name="_Toc89344288"/>
      <w:r w:rsidRPr="001844F8">
        <w:rPr>
          <w:rFonts w:ascii="Arial" w:hAnsi="Arial" w:cs="Arial"/>
        </w:rPr>
        <w:t xml:space="preserve">Detection of multivariate outliers is carried out by paying attention to the </w:t>
      </w:r>
      <w:proofErr w:type="spellStart"/>
      <w:r w:rsidRPr="001844F8">
        <w:rPr>
          <w:rFonts w:ascii="Arial" w:hAnsi="Arial" w:cs="Arial"/>
        </w:rPr>
        <w:t>mahalanobis</w:t>
      </w:r>
      <w:proofErr w:type="spellEnd"/>
      <w:r w:rsidRPr="001844F8">
        <w:rPr>
          <w:rFonts w:ascii="Arial" w:hAnsi="Arial" w:cs="Arial"/>
        </w:rPr>
        <w:t xml:space="preserve"> distance value. If there is something greater than the Chi-Square value in the degrees of freedom equal to the number of variables and at a significance level of 0.001 then the data indicates the existence of Multivariate Outliers and vice versa, the following are the results of the outlier assumption.</w:t>
      </w:r>
    </w:p>
    <w:p w:rsidR="001844F8" w:rsidRPr="001844F8" w:rsidRDefault="001844F8" w:rsidP="001844F8">
      <w:pPr>
        <w:pStyle w:val="Body"/>
        <w:rPr>
          <w:rFonts w:ascii="Arial" w:hAnsi="Arial" w:cs="Arial"/>
          <w:lang w:val="en-ID"/>
        </w:rPr>
      </w:pPr>
      <w:bookmarkStart w:id="196" w:name="_Toc147172620"/>
      <w:bookmarkStart w:id="197" w:name="_Toc147173079"/>
      <w:bookmarkStart w:id="198" w:name="_Toc147173247"/>
      <w:bookmarkStart w:id="199" w:name="_Toc147830050"/>
      <w:bookmarkStart w:id="200" w:name="_Toc147830272"/>
      <w:bookmarkStart w:id="201" w:name="_Toc153835441"/>
      <w:bookmarkStart w:id="202" w:name="_Toc153853406"/>
      <w:bookmarkStart w:id="203" w:name="_Toc153854680"/>
      <w:bookmarkStart w:id="204" w:name="_Toc154134783"/>
      <w:bookmarkStart w:id="205" w:name="_Toc154135224"/>
      <w:bookmarkStart w:id="206" w:name="_Toc154135475"/>
      <w:bookmarkStart w:id="207" w:name="_Toc159492684"/>
      <w:r w:rsidRPr="001844F8">
        <w:rPr>
          <w:rFonts w:ascii="Arial" w:hAnsi="Arial" w:cs="Arial"/>
          <w:b/>
          <w:bCs/>
          <w:lang w:val="en-ID"/>
        </w:rPr>
        <w:t>Table 13.</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1844F8">
        <w:rPr>
          <w:rFonts w:ascii="Arial" w:hAnsi="Arial" w:cs="Arial"/>
          <w:lang w:val="en-ID"/>
        </w:rPr>
        <w:t>Multivariate Evaluation of Outliers</w:t>
      </w:r>
    </w:p>
    <w:tbl>
      <w:tblPr>
        <w:tblW w:w="0" w:type="auto"/>
        <w:jc w:val="center"/>
        <w:tblBorders>
          <w:top w:val="single" w:sz="6" w:space="0" w:color="auto"/>
          <w:bottom w:val="single" w:sz="6" w:space="0" w:color="auto"/>
          <w:insideH w:val="single" w:sz="6" w:space="0" w:color="auto"/>
        </w:tblBorders>
        <w:tblCellMar>
          <w:top w:w="15" w:type="dxa"/>
          <w:left w:w="15" w:type="dxa"/>
          <w:bottom w:w="15" w:type="dxa"/>
          <w:right w:w="15" w:type="dxa"/>
        </w:tblCellMar>
        <w:tblLook w:val="04A0" w:firstRow="1" w:lastRow="0" w:firstColumn="1" w:lastColumn="0" w:noHBand="0" w:noVBand="1"/>
      </w:tblPr>
      <w:tblGrid>
        <w:gridCol w:w="2093"/>
        <w:gridCol w:w="2371"/>
        <w:gridCol w:w="670"/>
        <w:gridCol w:w="670"/>
      </w:tblGrid>
      <w:tr w:rsidR="001844F8" w:rsidRPr="001844F8" w:rsidTr="00A6061B">
        <w:trPr>
          <w:tblHeade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Observation number</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roofErr w:type="spellStart"/>
            <w:r w:rsidRPr="001844F8">
              <w:rPr>
                <w:rFonts w:ascii="Arial" w:hAnsi="Arial" w:cs="Arial"/>
              </w:rPr>
              <w:t>Mahalanobis</w:t>
            </w:r>
            <w:proofErr w:type="spellEnd"/>
            <w:r w:rsidRPr="001844F8">
              <w:rPr>
                <w:rFonts w:ascii="Arial" w:hAnsi="Arial" w:cs="Arial"/>
              </w:rPr>
              <w:t xml:space="preserve"> d-squared</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p2</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45,089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,001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,086</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37,358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,007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,252</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34,488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,016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,370</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33,172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,023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,375</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31,804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,033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,458</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31,002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,040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,464</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29,795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,054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,607</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29,205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,063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,618</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28,417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,076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,701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28,233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,079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,631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28,208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,080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,512</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28,134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,081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27,564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,092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,477</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27,482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,094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,390</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27,405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,096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,309</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27,251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,099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26,986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,250</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26,464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,324</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lastRenderedPageBreak/>
              <w:t>118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25,827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,461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25,528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,481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25,508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25,473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,318</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25,050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25,020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,319</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25,011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,245</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24,585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,324</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24,126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,434</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24,047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,384</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23,843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23,807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,328</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23,663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23,535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23,249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22,893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,428</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22,842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,375</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22,819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22,630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,327</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22,528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22,418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,284</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21,951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,435</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21,898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,388</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lastRenderedPageBreak/>
              <w:t>116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21,775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,378</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21,668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,360</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21,626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21,484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,314</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21,438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,272</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20,960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,339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20,875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,418</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20,698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,354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20,635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,357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,407</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20,317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,513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20,287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,459</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20,109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,388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,489</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20,023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,468</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19,842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,404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,502</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19,825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,405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,442</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19,758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,409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19,587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,420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19,483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,426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,432</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19,459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,428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,379</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19,148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,492</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19,144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,426</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19,039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,454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,419</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18,992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,457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,380</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lastRenderedPageBreak/>
              <w:t>73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18,948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,460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,340</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18,895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,464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,307</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18,642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,480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,385</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18,601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,483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18,586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,484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,290</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18,498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,489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,277</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18,447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,493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,247</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18,344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,242</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17,989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,523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,374</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17,797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,536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,423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17,719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,541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,403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17,525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,456</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17,515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,394</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17,325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,568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17,286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,571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,400</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17,277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,571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,339</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17,162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,579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17,112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,308</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17,046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,284</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,590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,250</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16,802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,603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,297</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16,532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,622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16,403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,630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,403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lastRenderedPageBreak/>
              <w:t>123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16,275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,639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,414</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16,275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,639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,346</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16,194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,328</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16,067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,653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,337</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16,066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,653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,274</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15,907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,663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,299</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15,441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,694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,521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15,273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,705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,557</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15,259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,706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,491</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14,581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,749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,820</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14,266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,768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,894</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14,186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,773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,883</w:t>
            </w:r>
          </w:p>
        </w:tc>
      </w:tr>
      <w:tr w:rsidR="001844F8" w:rsidRPr="001844F8" w:rsidTr="00A6061B">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13,896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,790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,931</w:t>
            </w: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b/>
        </w:rPr>
      </w:pPr>
      <w:r w:rsidRPr="001844F8">
        <w:rPr>
          <w:rFonts w:ascii="Arial" w:hAnsi="Arial" w:cs="Arial"/>
        </w:rPr>
        <w:t xml:space="preserve">Table 13 shows data with probability (p), namely p1 or p2, whose value is more than 0.05 with the largest </w:t>
      </w:r>
      <w:proofErr w:type="spellStart"/>
      <w:r w:rsidRPr="001844F8">
        <w:rPr>
          <w:rFonts w:ascii="Arial" w:hAnsi="Arial" w:cs="Arial"/>
        </w:rPr>
        <w:t>Mahalanobis</w:t>
      </w:r>
      <w:proofErr w:type="spellEnd"/>
      <w:r w:rsidRPr="001844F8">
        <w:rPr>
          <w:rFonts w:ascii="Arial" w:hAnsi="Arial" w:cs="Arial"/>
        </w:rPr>
        <w:t xml:space="preserve"> distance being 45.089. This value is less than the table chi square value (19; 0.001) = 98.32423, so it can be indicated that there is no case. outliers in the data.</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2"/>
        </w:numPr>
        <w:rPr>
          <w:rFonts w:ascii="Arial" w:hAnsi="Arial" w:cs="Arial"/>
          <w:bCs/>
          <w:lang w:val="en-ID"/>
        </w:rPr>
      </w:pPr>
      <w:bookmarkStart w:id="208" w:name="_Toc147172823"/>
      <w:bookmarkStart w:id="209" w:name="_Toc147173080"/>
      <w:bookmarkStart w:id="210" w:name="_Toc147173248"/>
      <w:bookmarkStart w:id="211" w:name="_Toc147830051"/>
      <w:bookmarkStart w:id="212" w:name="_Toc147830273"/>
      <w:bookmarkStart w:id="213" w:name="_Toc154134784"/>
      <w:bookmarkStart w:id="214" w:name="_Toc154135225"/>
      <w:bookmarkStart w:id="215" w:name="_Toc154135476"/>
      <w:bookmarkStart w:id="216" w:name="_Toc159492685"/>
      <w:r w:rsidRPr="001844F8">
        <w:rPr>
          <w:rFonts w:ascii="Arial" w:hAnsi="Arial" w:cs="Arial"/>
          <w:bCs/>
          <w:lang w:val="en-ID"/>
        </w:rPr>
        <w:t>Multicollinearity and Singularity Assumptions</w:t>
      </w:r>
      <w:bookmarkEnd w:id="208"/>
      <w:bookmarkEnd w:id="209"/>
      <w:bookmarkEnd w:id="210"/>
      <w:bookmarkEnd w:id="211"/>
      <w:bookmarkEnd w:id="212"/>
      <w:bookmarkEnd w:id="213"/>
      <w:bookmarkEnd w:id="214"/>
      <w:bookmarkEnd w:id="215"/>
      <w:bookmarkEnd w:id="216"/>
    </w:p>
    <w:p w:rsidR="001844F8" w:rsidRPr="001844F8" w:rsidRDefault="001844F8" w:rsidP="001844F8">
      <w:pPr>
        <w:pStyle w:val="Body"/>
        <w:rPr>
          <w:rFonts w:ascii="Arial" w:hAnsi="Arial" w:cs="Arial"/>
        </w:rPr>
      </w:pPr>
      <w:r w:rsidRPr="001844F8">
        <w:rPr>
          <w:rFonts w:ascii="Arial" w:hAnsi="Arial" w:cs="Arial"/>
        </w:rPr>
        <w:t>The results of data processing determine the determinant value of the sample covariance matrix which is 0.0000000. This shows that there is multicollinearity in the data, so a composite variable must be created. After creating composite variables, the results showed that there was an increase in the Determinant of sample covariance matrix value, namely 0.00609, so it could be indicated that there were no cases of multicollinearity in the variables.</w:t>
      </w:r>
    </w:p>
    <w:p w:rsidR="001844F8" w:rsidRPr="001844F8" w:rsidRDefault="001844F8" w:rsidP="001844F8">
      <w:pPr>
        <w:pStyle w:val="Body"/>
        <w:rPr>
          <w:rFonts w:ascii="Arial" w:hAnsi="Arial" w:cs="Arial"/>
        </w:rPr>
      </w:pPr>
      <w:r w:rsidRPr="001844F8">
        <w:rPr>
          <w:rFonts w:ascii="Arial" w:hAnsi="Arial" w:cs="Arial"/>
          <w:noProof/>
        </w:rPr>
        <w:lastRenderedPageBreak/>
        <w:drawing>
          <wp:inline distT="0" distB="0" distL="0" distR="0" wp14:anchorId="44E9BDEE" wp14:editId="5628371D">
            <wp:extent cx="3198414" cy="2419020"/>
            <wp:effectExtent l="0" t="0" r="2540" b="635"/>
            <wp:docPr id="2129153976" name="Picture 212915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119" t="2155" r="8232" b="5117"/>
                    <a:stretch/>
                  </pic:blipFill>
                  <pic:spPr bwMode="auto">
                    <a:xfrm>
                      <a:off x="0" y="0"/>
                      <a:ext cx="3285191" cy="2484651"/>
                    </a:xfrm>
                    <a:prstGeom prst="rect">
                      <a:avLst/>
                    </a:prstGeom>
                    <a:ln>
                      <a:noFill/>
                    </a:ln>
                    <a:extLst>
                      <a:ext uri="{53640926-AAD7-44D8-BBD7-CCE9431645EC}">
                        <a14:shadowObscured xmlns:a14="http://schemas.microsoft.com/office/drawing/2010/main"/>
                      </a:ext>
                    </a:extLst>
                  </pic:spPr>
                </pic:pic>
              </a:graphicData>
            </a:graphic>
          </wp:inline>
        </w:drawing>
      </w:r>
    </w:p>
    <w:p w:rsidR="001844F8" w:rsidRPr="001844F8" w:rsidRDefault="001844F8" w:rsidP="001844F8">
      <w:pPr>
        <w:pStyle w:val="Body"/>
        <w:rPr>
          <w:rFonts w:ascii="Arial" w:hAnsi="Arial" w:cs="Arial"/>
        </w:rPr>
      </w:pPr>
      <w:r w:rsidRPr="001844F8">
        <w:rPr>
          <w:rFonts w:ascii="Arial" w:hAnsi="Arial" w:cs="Arial"/>
          <w:b/>
          <w:bCs/>
        </w:rPr>
        <w:t xml:space="preserve">Figure </w:t>
      </w:r>
      <w:proofErr w:type="gramStart"/>
      <w:r w:rsidRPr="001844F8">
        <w:rPr>
          <w:rFonts w:ascii="Arial" w:hAnsi="Arial" w:cs="Arial"/>
          <w:b/>
          <w:bCs/>
        </w:rPr>
        <w:t>3.</w:t>
      </w:r>
      <w:r w:rsidRPr="001844F8">
        <w:rPr>
          <w:rFonts w:ascii="Arial" w:hAnsi="Arial" w:cs="Arial"/>
        </w:rPr>
        <w:t>Structural</w:t>
      </w:r>
      <w:proofErr w:type="gramEnd"/>
      <w:r w:rsidRPr="001844F8">
        <w:rPr>
          <w:rFonts w:ascii="Arial" w:hAnsi="Arial" w:cs="Arial"/>
        </w:rPr>
        <w:t xml:space="preserve"> Model Before Making a Composite Model</w:t>
      </w:r>
    </w:p>
    <w:p w:rsidR="001844F8" w:rsidRPr="001844F8" w:rsidRDefault="001844F8" w:rsidP="001844F8">
      <w:pPr>
        <w:pStyle w:val="Body"/>
        <w:rPr>
          <w:rFonts w:ascii="Arial" w:hAnsi="Arial" w:cs="Arial"/>
        </w:rPr>
      </w:pPr>
      <w:r w:rsidRPr="001844F8">
        <w:rPr>
          <w:rFonts w:ascii="Arial" w:hAnsi="Arial" w:cs="Arial"/>
        </w:rPr>
        <w:t>The process of making composites is carried out by simplifying latent variables that have several indicators into one composite indicator, then calculating them. Then, each composite indicator will produce one composite factor loading value (</w:t>
      </w:r>
      <w:r w:rsidRPr="001844F8">
        <w:rPr>
          <w:rFonts w:ascii="Cambria Math" w:hAnsi="Cambria Math" w:cs="Cambria Math"/>
        </w:rPr>
        <w:t>𝛌</w:t>
      </w:r>
      <w:r w:rsidRPr="001844F8">
        <w:rPr>
          <w:rFonts w:ascii="Arial" w:hAnsi="Arial" w:cs="Arial"/>
        </w:rPr>
        <w:t>c) and error variance composite (</w:t>
      </w:r>
      <w:r w:rsidRPr="001844F8">
        <w:rPr>
          <w:rFonts w:ascii="Cambria Math" w:hAnsi="Cambria Math" w:cs="Cambria Math"/>
        </w:rPr>
        <w:t>𝞗</w:t>
      </w:r>
      <w:r w:rsidRPr="001844F8">
        <w:rPr>
          <w:rFonts w:ascii="Arial" w:hAnsi="Arial" w:cs="Arial"/>
        </w:rPr>
        <w:t>c). Next, these values ​​will be used as constraints for each composite indicator, below are the results.</w:t>
      </w:r>
    </w:p>
    <w:p w:rsidR="001844F8" w:rsidRPr="001844F8" w:rsidRDefault="001844F8" w:rsidP="001844F8">
      <w:pPr>
        <w:pStyle w:val="Body"/>
        <w:rPr>
          <w:rFonts w:ascii="Arial" w:hAnsi="Arial" w:cs="Arial"/>
        </w:rPr>
      </w:pPr>
    </w:p>
    <w:p w:rsidR="001844F8" w:rsidRPr="001844F8" w:rsidRDefault="001844F8" w:rsidP="001844F8">
      <w:pPr>
        <w:pStyle w:val="Body"/>
        <w:rPr>
          <w:rFonts w:ascii="Arial" w:hAnsi="Arial" w:cs="Arial"/>
          <w:lang w:val="en-ID"/>
        </w:rPr>
      </w:pPr>
      <w:bookmarkStart w:id="217" w:name="_Toc147172623"/>
      <w:bookmarkStart w:id="218" w:name="_Toc147173082"/>
      <w:bookmarkStart w:id="219" w:name="_Toc147173250"/>
      <w:bookmarkStart w:id="220" w:name="_Toc147830053"/>
      <w:bookmarkStart w:id="221" w:name="_Toc147830275"/>
      <w:bookmarkStart w:id="222" w:name="_Toc153835444"/>
      <w:bookmarkStart w:id="223" w:name="_Toc153853409"/>
      <w:bookmarkStart w:id="224" w:name="_Toc153854683"/>
      <w:bookmarkStart w:id="225" w:name="_Toc154134786"/>
      <w:bookmarkStart w:id="226" w:name="_Toc154135227"/>
      <w:bookmarkStart w:id="227" w:name="_Toc154135478"/>
      <w:bookmarkStart w:id="228" w:name="_Toc159492687"/>
      <w:r w:rsidRPr="001844F8">
        <w:rPr>
          <w:rFonts w:ascii="Arial" w:hAnsi="Arial" w:cs="Arial"/>
          <w:b/>
          <w:bCs/>
          <w:lang w:val="en-ID"/>
        </w:rPr>
        <w:t>Table 14</w:t>
      </w:r>
      <w:bookmarkEnd w:id="217"/>
      <w:bookmarkEnd w:id="218"/>
      <w:bookmarkEnd w:id="219"/>
      <w:bookmarkEnd w:id="220"/>
      <w:bookmarkEnd w:id="221"/>
      <w:bookmarkEnd w:id="222"/>
      <w:bookmarkEnd w:id="223"/>
      <w:bookmarkEnd w:id="224"/>
      <w:bookmarkEnd w:id="225"/>
      <w:bookmarkEnd w:id="226"/>
      <w:bookmarkEnd w:id="227"/>
      <w:bookmarkEnd w:id="228"/>
      <w:r w:rsidRPr="001844F8">
        <w:rPr>
          <w:rFonts w:ascii="Arial" w:hAnsi="Arial" w:cs="Arial"/>
          <w:lang w:val="en-ID"/>
        </w:rPr>
        <w:t>Composite factor loading value and composite variance error</w:t>
      </w:r>
    </w:p>
    <w:tbl>
      <w:tblPr>
        <w:tblStyle w:val="TableGrid"/>
        <w:tblW w:w="0" w:type="auto"/>
        <w:jc w:val="center"/>
        <w:tblBorders>
          <w:top w:val="single" w:sz="6" w:space="0" w:color="auto"/>
          <w:left w:val="none" w:sz="0" w:space="0" w:color="auto"/>
          <w:bottom w:val="single" w:sz="6" w:space="0" w:color="auto"/>
          <w:right w:val="none" w:sz="0" w:space="0" w:color="auto"/>
          <w:insideH w:val="single" w:sz="6" w:space="0" w:color="auto"/>
          <w:insideV w:val="none" w:sz="0" w:space="0" w:color="auto"/>
        </w:tblBorders>
        <w:tblLook w:val="04A0" w:firstRow="1" w:lastRow="0" w:firstColumn="1" w:lastColumn="0" w:noHBand="0" w:noVBand="1"/>
      </w:tblPr>
      <w:tblGrid>
        <w:gridCol w:w="1450"/>
        <w:gridCol w:w="828"/>
        <w:gridCol w:w="828"/>
        <w:gridCol w:w="939"/>
        <w:gridCol w:w="828"/>
        <w:gridCol w:w="939"/>
        <w:gridCol w:w="939"/>
      </w:tblGrid>
      <w:tr w:rsidR="001844F8" w:rsidRPr="001844F8" w:rsidTr="00A6061B">
        <w:trPr>
          <w:jc w:val="center"/>
        </w:trPr>
        <w:tc>
          <w:tcPr>
            <w:tcW w:w="1450" w:type="dxa"/>
          </w:tcPr>
          <w:p w:rsidR="001844F8" w:rsidRPr="001844F8" w:rsidRDefault="001844F8" w:rsidP="001844F8">
            <w:pPr>
              <w:pStyle w:val="Body"/>
              <w:rPr>
                <w:rFonts w:ascii="Arial" w:hAnsi="Arial" w:cs="Arial"/>
                <w:lang w:val="id-ID"/>
              </w:rPr>
            </w:pPr>
            <w:r w:rsidRPr="001844F8">
              <w:rPr>
                <w:rFonts w:ascii="Arial" w:hAnsi="Arial" w:cs="Arial"/>
                <w:lang w:val="id-ID"/>
              </w:rPr>
              <w:t>Variable</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PT</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NS</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FK</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F.A</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FSE</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NI</w:t>
            </w:r>
          </w:p>
        </w:tc>
      </w:tr>
      <w:tr w:rsidR="001844F8" w:rsidRPr="001844F8" w:rsidTr="00A6061B">
        <w:trPr>
          <w:jc w:val="center"/>
        </w:trPr>
        <w:tc>
          <w:tcPr>
            <w:tcW w:w="1450" w:type="dxa"/>
          </w:tcPr>
          <w:p w:rsidR="001844F8" w:rsidRPr="001844F8" w:rsidRDefault="001844F8" w:rsidP="001844F8">
            <w:pPr>
              <w:pStyle w:val="Body"/>
              <w:rPr>
                <w:rFonts w:ascii="Arial" w:hAnsi="Arial" w:cs="Arial"/>
                <w:lang w:val="id-ID"/>
              </w:rPr>
            </w:pPr>
            <w:r w:rsidRPr="001844F8">
              <w:rPr>
                <w:rFonts w:ascii="Arial" w:hAnsi="Arial" w:cs="Arial"/>
                <w:lang w:val="id-ID"/>
              </w:rPr>
              <w:t>Loading Factor Composite</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0.527</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0.482</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0.319</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0.326</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0.382</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0.374</w:t>
            </w:r>
          </w:p>
          <w:p w:rsidR="001844F8" w:rsidRPr="001844F8" w:rsidRDefault="001844F8" w:rsidP="001844F8">
            <w:pPr>
              <w:pStyle w:val="Body"/>
              <w:rPr>
                <w:rFonts w:ascii="Arial" w:hAnsi="Arial" w:cs="Arial"/>
                <w:lang w:val="id-ID"/>
              </w:rPr>
            </w:pPr>
          </w:p>
        </w:tc>
      </w:tr>
      <w:tr w:rsidR="001844F8" w:rsidRPr="001844F8" w:rsidTr="00A6061B">
        <w:trPr>
          <w:jc w:val="center"/>
        </w:trPr>
        <w:tc>
          <w:tcPr>
            <w:tcW w:w="1450" w:type="dxa"/>
          </w:tcPr>
          <w:p w:rsidR="001844F8" w:rsidRPr="001844F8" w:rsidRDefault="001844F8" w:rsidP="001844F8">
            <w:pPr>
              <w:pStyle w:val="Body"/>
              <w:rPr>
                <w:rFonts w:ascii="Arial" w:hAnsi="Arial" w:cs="Arial"/>
                <w:lang w:val="id-ID"/>
              </w:rPr>
            </w:pPr>
            <w:r w:rsidRPr="001844F8">
              <w:rPr>
                <w:rFonts w:ascii="Arial" w:hAnsi="Arial" w:cs="Arial"/>
                <w:lang w:val="id-ID"/>
              </w:rPr>
              <w:t>Error Variance Composite</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0.05</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0.05</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0.0017</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0.005</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0.0012</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0.0017</w:t>
            </w:r>
          </w:p>
        </w:tc>
      </w:tr>
    </w:tbl>
    <w:p w:rsidR="001844F8" w:rsidRPr="001844F8" w:rsidRDefault="001844F8" w:rsidP="001844F8">
      <w:pPr>
        <w:pStyle w:val="Body"/>
        <w:rPr>
          <w:rFonts w:ascii="Arial" w:hAnsi="Arial" w:cs="Arial"/>
        </w:rPr>
      </w:pPr>
      <w:r w:rsidRPr="001844F8">
        <w:rPr>
          <w:rFonts w:ascii="Arial" w:hAnsi="Arial" w:cs="Arial"/>
          <w:noProof/>
        </w:rPr>
        <w:lastRenderedPageBreak/>
        <w:drawing>
          <wp:inline distT="0" distB="0" distL="0" distR="0" wp14:anchorId="5FD743B4" wp14:editId="604D2702">
            <wp:extent cx="3051422" cy="2105025"/>
            <wp:effectExtent l="19050" t="19050" r="15875" b="9525"/>
            <wp:docPr id="1095071749" name="Picture 109507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74996" cy="2121287"/>
                    </a:xfrm>
                    <a:prstGeom prst="rect">
                      <a:avLst/>
                    </a:prstGeom>
                    <a:ln>
                      <a:solidFill>
                        <a:schemeClr val="tx1"/>
                      </a:solidFill>
                    </a:ln>
                  </pic:spPr>
                </pic:pic>
              </a:graphicData>
            </a:graphic>
          </wp:inline>
        </w:drawing>
      </w:r>
    </w:p>
    <w:p w:rsidR="001844F8" w:rsidRPr="001844F8" w:rsidRDefault="001844F8" w:rsidP="001844F8">
      <w:pPr>
        <w:pStyle w:val="Body"/>
        <w:rPr>
          <w:rFonts w:ascii="Arial" w:hAnsi="Arial" w:cs="Arial"/>
          <w:lang w:val="en-ID"/>
        </w:rPr>
      </w:pPr>
      <w:bookmarkStart w:id="229" w:name="_Toc147172624"/>
      <w:bookmarkStart w:id="230" w:name="_Toc147172826"/>
      <w:bookmarkStart w:id="231" w:name="_Toc147173251"/>
      <w:bookmarkStart w:id="232" w:name="_Toc147830054"/>
      <w:bookmarkStart w:id="233" w:name="_Toc147830276"/>
      <w:bookmarkStart w:id="234" w:name="_Toc153835445"/>
      <w:bookmarkStart w:id="235" w:name="_Toc153853410"/>
      <w:bookmarkStart w:id="236" w:name="_Toc153854684"/>
      <w:bookmarkStart w:id="237" w:name="_Toc154134787"/>
      <w:bookmarkStart w:id="238" w:name="_Toc154135228"/>
      <w:bookmarkStart w:id="239" w:name="_Toc154135479"/>
      <w:bookmarkStart w:id="240" w:name="_Toc159492688"/>
      <w:r w:rsidRPr="001844F8">
        <w:rPr>
          <w:rFonts w:ascii="Arial" w:hAnsi="Arial" w:cs="Arial"/>
          <w:b/>
          <w:bCs/>
          <w:lang w:val="en-ID"/>
        </w:rPr>
        <w:t>Figure 4.</w:t>
      </w:r>
      <w:bookmarkEnd w:id="229"/>
      <w:bookmarkEnd w:id="230"/>
      <w:bookmarkEnd w:id="231"/>
      <w:bookmarkEnd w:id="232"/>
      <w:bookmarkEnd w:id="233"/>
      <w:bookmarkEnd w:id="234"/>
      <w:bookmarkEnd w:id="235"/>
      <w:bookmarkEnd w:id="236"/>
      <w:bookmarkEnd w:id="237"/>
      <w:bookmarkEnd w:id="238"/>
      <w:bookmarkEnd w:id="239"/>
      <w:bookmarkEnd w:id="240"/>
      <w:r w:rsidRPr="001844F8">
        <w:rPr>
          <w:rFonts w:ascii="Arial" w:hAnsi="Arial" w:cs="Arial"/>
          <w:lang w:val="en-ID"/>
        </w:rPr>
        <w:t>Composite Model Before Modification</w:t>
      </w:r>
    </w:p>
    <w:p w:rsidR="001844F8" w:rsidRPr="001844F8" w:rsidRDefault="001844F8" w:rsidP="007418CF">
      <w:pPr>
        <w:pStyle w:val="Body"/>
        <w:numPr>
          <w:ilvl w:val="0"/>
          <w:numId w:val="10"/>
        </w:numPr>
        <w:rPr>
          <w:rFonts w:ascii="Arial" w:hAnsi="Arial" w:cs="Arial"/>
          <w:lang w:val="en-ID"/>
        </w:rPr>
      </w:pPr>
      <w:bookmarkStart w:id="241" w:name="_Toc147172827"/>
      <w:bookmarkStart w:id="242" w:name="_Toc147173084"/>
      <w:bookmarkStart w:id="243" w:name="_Toc147173252"/>
      <w:bookmarkStart w:id="244" w:name="_Toc147830055"/>
      <w:bookmarkStart w:id="245" w:name="_Toc147830277"/>
      <w:bookmarkStart w:id="246" w:name="_Toc154134788"/>
      <w:bookmarkStart w:id="247" w:name="_Toc154135229"/>
      <w:bookmarkStart w:id="248" w:name="_Toc154135480"/>
      <w:bookmarkStart w:id="249" w:name="_Toc159492689"/>
      <w:r w:rsidRPr="001844F8">
        <w:rPr>
          <w:rFonts w:ascii="Arial" w:hAnsi="Arial" w:cs="Arial"/>
          <w:lang w:val="en-ID"/>
        </w:rPr>
        <w:t>Results of the Goodness of Fit Model Feasibility Evaluation</w:t>
      </w:r>
      <w:bookmarkEnd w:id="144"/>
      <w:bookmarkEnd w:id="145"/>
      <w:bookmarkEnd w:id="146"/>
      <w:bookmarkEnd w:id="147"/>
      <w:bookmarkEnd w:id="148"/>
      <w:bookmarkEnd w:id="241"/>
      <w:bookmarkEnd w:id="242"/>
      <w:bookmarkEnd w:id="243"/>
      <w:bookmarkEnd w:id="244"/>
      <w:bookmarkEnd w:id="245"/>
      <w:bookmarkEnd w:id="246"/>
      <w:bookmarkEnd w:id="247"/>
      <w:bookmarkEnd w:id="248"/>
      <w:bookmarkEnd w:id="249"/>
    </w:p>
    <w:p w:rsidR="001844F8" w:rsidRPr="001844F8" w:rsidRDefault="001844F8" w:rsidP="001844F8">
      <w:pPr>
        <w:pStyle w:val="Body"/>
        <w:rPr>
          <w:rFonts w:ascii="Arial" w:hAnsi="Arial" w:cs="Arial"/>
        </w:rPr>
      </w:pPr>
      <w:r w:rsidRPr="001844F8">
        <w:rPr>
          <w:rFonts w:ascii="Arial" w:hAnsi="Arial" w:cs="Arial"/>
        </w:rPr>
        <w:t>The results of the data processing analysis after the composite model was carried out showed that all the constructs used to form a research model, in the full SEM model analysis process, did not meet the goodness of fit criteria that had been determined as shown in the following table:</w:t>
      </w:r>
    </w:p>
    <w:p w:rsidR="001844F8" w:rsidRPr="001844F8" w:rsidRDefault="001844F8" w:rsidP="001844F8">
      <w:pPr>
        <w:pStyle w:val="Body"/>
        <w:rPr>
          <w:rFonts w:ascii="Arial" w:hAnsi="Arial" w:cs="Arial"/>
          <w:lang w:val="en-ID"/>
        </w:rPr>
      </w:pPr>
      <w:bookmarkStart w:id="250" w:name="_Toc147172626"/>
      <w:bookmarkStart w:id="251" w:name="_Toc147173085"/>
      <w:bookmarkStart w:id="252" w:name="_Toc147173253"/>
      <w:bookmarkStart w:id="253" w:name="_Toc147830056"/>
      <w:bookmarkStart w:id="254" w:name="_Toc147830278"/>
      <w:bookmarkStart w:id="255" w:name="_Toc153835447"/>
      <w:bookmarkStart w:id="256" w:name="_Toc153854686"/>
      <w:bookmarkStart w:id="257" w:name="_Toc154134789"/>
      <w:bookmarkStart w:id="258" w:name="_Toc154135230"/>
      <w:bookmarkStart w:id="259" w:name="_Toc154135481"/>
      <w:bookmarkStart w:id="260" w:name="_Toc159492690"/>
      <w:r w:rsidRPr="001844F8">
        <w:rPr>
          <w:rFonts w:ascii="Arial" w:hAnsi="Arial" w:cs="Arial"/>
          <w:b/>
          <w:bCs/>
          <w:lang w:val="en-ID"/>
        </w:rPr>
        <w:t>Table 15</w:t>
      </w:r>
      <w:bookmarkEnd w:id="250"/>
      <w:bookmarkEnd w:id="251"/>
      <w:bookmarkEnd w:id="252"/>
      <w:bookmarkEnd w:id="253"/>
      <w:bookmarkEnd w:id="254"/>
      <w:bookmarkEnd w:id="255"/>
      <w:bookmarkEnd w:id="256"/>
      <w:bookmarkEnd w:id="257"/>
      <w:bookmarkEnd w:id="258"/>
      <w:bookmarkEnd w:id="259"/>
      <w:bookmarkEnd w:id="260"/>
      <w:r w:rsidRPr="001844F8">
        <w:rPr>
          <w:rFonts w:ascii="Arial" w:hAnsi="Arial" w:cs="Arial"/>
          <w:lang w:val="en-ID"/>
        </w:rPr>
        <w:t>. Goodness of Fit Statistics of Composite Models</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2106"/>
        <w:gridCol w:w="2073"/>
        <w:gridCol w:w="1659"/>
        <w:gridCol w:w="1796"/>
      </w:tblGrid>
      <w:tr w:rsidR="001844F8" w:rsidRPr="001844F8" w:rsidTr="00A6061B">
        <w:trPr>
          <w:trHeight w:val="46"/>
          <w:tblHeader/>
          <w:jc w:val="center"/>
        </w:trPr>
        <w:tc>
          <w:tcPr>
            <w:tcW w:w="0" w:type="auto"/>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Statistics</w:t>
            </w:r>
          </w:p>
        </w:tc>
        <w:tc>
          <w:tcPr>
            <w:tcW w:w="0" w:type="auto"/>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Fit Criteria</w:t>
            </w:r>
          </w:p>
        </w:tc>
        <w:tc>
          <w:tcPr>
            <w:tcW w:w="1659" w:type="dxa"/>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Analysis Results</w:t>
            </w:r>
          </w:p>
        </w:tc>
        <w:tc>
          <w:tcPr>
            <w:tcW w:w="1796" w:type="dxa"/>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Model Evaluation</w:t>
            </w:r>
          </w:p>
        </w:tc>
      </w:tr>
      <w:tr w:rsidR="001844F8" w:rsidRPr="001844F8" w:rsidTr="00A6061B">
        <w:trPr>
          <w:trHeight w:val="46"/>
          <w:jc w:val="center"/>
        </w:trPr>
        <w:tc>
          <w:tcPr>
            <w:tcW w:w="0" w:type="auto"/>
            <w:tcBorders>
              <w:top w:val="single" w:sz="12" w:space="0" w:color="auto"/>
            </w:tcBorders>
          </w:tcPr>
          <w:p w:rsidR="001844F8" w:rsidRPr="001844F8" w:rsidRDefault="001844F8" w:rsidP="001844F8">
            <w:pPr>
              <w:pStyle w:val="Body"/>
              <w:rPr>
                <w:rFonts w:ascii="Arial" w:hAnsi="Arial" w:cs="Arial"/>
                <w:i/>
                <w:vertAlign w:val="superscript"/>
              </w:rPr>
            </w:pPr>
            <w:r w:rsidRPr="001844F8">
              <w:rPr>
                <w:rFonts w:ascii="Arial" w:hAnsi="Arial" w:cs="Arial"/>
                <w:i/>
              </w:rPr>
              <w:t>X2 Chi Square</w:t>
            </w:r>
          </w:p>
        </w:tc>
        <w:tc>
          <w:tcPr>
            <w:tcW w:w="0" w:type="auto"/>
            <w:tcBorders>
              <w:top w:val="single" w:sz="12" w:space="0" w:color="auto"/>
            </w:tcBorders>
          </w:tcPr>
          <w:p w:rsidR="001844F8" w:rsidRPr="001844F8" w:rsidRDefault="001844F8" w:rsidP="001844F8">
            <w:pPr>
              <w:pStyle w:val="Body"/>
              <w:rPr>
                <w:rFonts w:ascii="Arial" w:hAnsi="Arial" w:cs="Arial"/>
              </w:rPr>
            </w:pPr>
            <w:r w:rsidRPr="001844F8">
              <w:rPr>
                <w:rFonts w:ascii="Arial" w:hAnsi="Arial" w:cs="Arial"/>
              </w:rPr>
              <w:t>Expected to be small</w:t>
            </w:r>
          </w:p>
        </w:tc>
        <w:tc>
          <w:tcPr>
            <w:tcW w:w="1659" w:type="dxa"/>
            <w:tcBorders>
              <w:top w:val="single" w:sz="12" w:space="0" w:color="auto"/>
            </w:tcBorders>
          </w:tcPr>
          <w:p w:rsidR="001844F8" w:rsidRPr="001844F8" w:rsidRDefault="001844F8" w:rsidP="001844F8">
            <w:pPr>
              <w:pStyle w:val="Body"/>
              <w:rPr>
                <w:rFonts w:ascii="Arial" w:hAnsi="Arial" w:cs="Arial"/>
              </w:rPr>
            </w:pPr>
            <w:r w:rsidRPr="001844F8">
              <w:rPr>
                <w:rFonts w:ascii="Arial" w:hAnsi="Arial" w:cs="Arial"/>
              </w:rPr>
              <w:t>52,006</w:t>
            </w:r>
          </w:p>
        </w:tc>
        <w:tc>
          <w:tcPr>
            <w:tcW w:w="1796" w:type="dxa"/>
            <w:tcBorders>
              <w:top w:val="single" w:sz="12" w:space="0" w:color="auto"/>
            </w:tcBorders>
          </w:tcPr>
          <w:p w:rsidR="001844F8" w:rsidRPr="001844F8" w:rsidRDefault="001844F8" w:rsidP="001844F8">
            <w:pPr>
              <w:pStyle w:val="Body"/>
              <w:rPr>
                <w:rFonts w:ascii="Arial" w:hAnsi="Arial" w:cs="Arial"/>
              </w:rPr>
            </w:pPr>
            <w:r w:rsidRPr="001844F8">
              <w:rPr>
                <w:rFonts w:ascii="Arial" w:hAnsi="Arial" w:cs="Arial"/>
              </w:rPr>
              <w:t>Unfulfilled</w:t>
            </w:r>
          </w:p>
        </w:tc>
      </w:tr>
      <w:tr w:rsidR="001844F8" w:rsidRPr="001844F8" w:rsidTr="00A6061B">
        <w:trPr>
          <w:trHeight w:val="46"/>
          <w:jc w:val="center"/>
        </w:trPr>
        <w:tc>
          <w:tcPr>
            <w:tcW w:w="0" w:type="auto"/>
          </w:tcPr>
          <w:p w:rsidR="001844F8" w:rsidRPr="001844F8" w:rsidRDefault="001844F8" w:rsidP="001844F8">
            <w:pPr>
              <w:pStyle w:val="Body"/>
              <w:rPr>
                <w:rFonts w:ascii="Arial" w:hAnsi="Arial" w:cs="Arial"/>
                <w:i/>
              </w:rPr>
            </w:pPr>
            <w:r w:rsidRPr="001844F8">
              <w:rPr>
                <w:rFonts w:ascii="Arial" w:hAnsi="Arial" w:cs="Arial"/>
                <w:i/>
              </w:rPr>
              <w:t>Significant probability</w:t>
            </w:r>
          </w:p>
        </w:tc>
        <w:tc>
          <w:tcPr>
            <w:tcW w:w="0" w:type="auto"/>
          </w:tcPr>
          <w:p w:rsidR="001844F8" w:rsidRPr="001844F8" w:rsidRDefault="001844F8" w:rsidP="001844F8">
            <w:pPr>
              <w:pStyle w:val="Body"/>
              <w:rPr>
                <w:rFonts w:ascii="Arial" w:hAnsi="Arial" w:cs="Arial"/>
              </w:rPr>
            </w:pPr>
            <w:r w:rsidRPr="001844F8">
              <w:rPr>
                <w:rFonts w:ascii="Arial" w:hAnsi="Arial" w:cs="Arial"/>
              </w:rPr>
              <w:t>≥ 0.05</w:t>
            </w:r>
          </w:p>
        </w:tc>
        <w:tc>
          <w:tcPr>
            <w:tcW w:w="1659" w:type="dxa"/>
          </w:tcPr>
          <w:p w:rsidR="001844F8" w:rsidRPr="001844F8" w:rsidRDefault="001844F8" w:rsidP="001844F8">
            <w:pPr>
              <w:pStyle w:val="Body"/>
              <w:rPr>
                <w:rFonts w:ascii="Arial" w:hAnsi="Arial" w:cs="Arial"/>
              </w:rPr>
            </w:pPr>
            <w:r w:rsidRPr="001844F8">
              <w:rPr>
                <w:rFonts w:ascii="Arial" w:hAnsi="Arial" w:cs="Arial"/>
              </w:rPr>
              <w:t>0,000</w:t>
            </w:r>
          </w:p>
        </w:tc>
        <w:tc>
          <w:tcPr>
            <w:tcW w:w="1796" w:type="dxa"/>
          </w:tcPr>
          <w:p w:rsidR="001844F8" w:rsidRPr="001844F8" w:rsidRDefault="001844F8" w:rsidP="001844F8">
            <w:pPr>
              <w:pStyle w:val="Body"/>
              <w:rPr>
                <w:rFonts w:ascii="Arial" w:hAnsi="Arial" w:cs="Arial"/>
              </w:rPr>
            </w:pPr>
            <w:r w:rsidRPr="001844F8">
              <w:rPr>
                <w:rFonts w:ascii="Arial" w:hAnsi="Arial" w:cs="Arial"/>
              </w:rPr>
              <w:t>Unfulfilled</w:t>
            </w:r>
          </w:p>
        </w:tc>
      </w:tr>
      <w:tr w:rsidR="001844F8" w:rsidRPr="001844F8" w:rsidTr="00A6061B">
        <w:trPr>
          <w:trHeight w:val="46"/>
          <w:jc w:val="center"/>
        </w:trPr>
        <w:tc>
          <w:tcPr>
            <w:tcW w:w="0" w:type="auto"/>
          </w:tcPr>
          <w:p w:rsidR="001844F8" w:rsidRPr="001844F8" w:rsidRDefault="001844F8" w:rsidP="001844F8">
            <w:pPr>
              <w:pStyle w:val="Body"/>
              <w:rPr>
                <w:rFonts w:ascii="Arial" w:hAnsi="Arial" w:cs="Arial"/>
                <w:iCs/>
              </w:rPr>
            </w:pPr>
            <w:r w:rsidRPr="001844F8">
              <w:rPr>
                <w:rFonts w:ascii="Arial" w:hAnsi="Arial" w:cs="Arial"/>
                <w:iCs/>
              </w:rPr>
              <w:t>RMSEA</w:t>
            </w:r>
          </w:p>
        </w:tc>
        <w:tc>
          <w:tcPr>
            <w:tcW w:w="0" w:type="auto"/>
          </w:tcPr>
          <w:p w:rsidR="001844F8" w:rsidRPr="001844F8" w:rsidRDefault="001844F8" w:rsidP="001844F8">
            <w:pPr>
              <w:pStyle w:val="Body"/>
              <w:rPr>
                <w:rFonts w:ascii="Arial" w:hAnsi="Arial" w:cs="Arial"/>
              </w:rPr>
            </w:pPr>
            <w:r w:rsidRPr="001844F8">
              <w:rPr>
                <w:rFonts w:ascii="Arial" w:hAnsi="Arial" w:cs="Arial"/>
              </w:rPr>
              <w:t>≤ 0.08</w:t>
            </w:r>
          </w:p>
        </w:tc>
        <w:tc>
          <w:tcPr>
            <w:tcW w:w="1659" w:type="dxa"/>
          </w:tcPr>
          <w:p w:rsidR="001844F8" w:rsidRPr="001844F8" w:rsidRDefault="001844F8" w:rsidP="001844F8">
            <w:pPr>
              <w:pStyle w:val="Body"/>
              <w:rPr>
                <w:rFonts w:ascii="Arial" w:hAnsi="Arial" w:cs="Arial"/>
              </w:rPr>
            </w:pPr>
            <w:r w:rsidRPr="001844F8">
              <w:rPr>
                <w:rFonts w:ascii="Arial" w:hAnsi="Arial" w:cs="Arial"/>
              </w:rPr>
              <w:t>0.167</w:t>
            </w:r>
          </w:p>
        </w:tc>
        <w:tc>
          <w:tcPr>
            <w:tcW w:w="1796" w:type="dxa"/>
          </w:tcPr>
          <w:p w:rsidR="001844F8" w:rsidRPr="001844F8" w:rsidRDefault="001844F8" w:rsidP="001844F8">
            <w:pPr>
              <w:pStyle w:val="Body"/>
              <w:rPr>
                <w:rFonts w:ascii="Arial" w:hAnsi="Arial" w:cs="Arial"/>
              </w:rPr>
            </w:pPr>
            <w:r w:rsidRPr="001844F8">
              <w:rPr>
                <w:rFonts w:ascii="Arial" w:hAnsi="Arial" w:cs="Arial"/>
              </w:rPr>
              <w:t>Unfulfilled</w:t>
            </w:r>
          </w:p>
        </w:tc>
      </w:tr>
      <w:tr w:rsidR="001844F8" w:rsidRPr="001844F8" w:rsidTr="00A6061B">
        <w:trPr>
          <w:trHeight w:val="46"/>
          <w:jc w:val="center"/>
        </w:trPr>
        <w:tc>
          <w:tcPr>
            <w:tcW w:w="0" w:type="auto"/>
          </w:tcPr>
          <w:p w:rsidR="001844F8" w:rsidRPr="001844F8" w:rsidRDefault="001844F8" w:rsidP="001844F8">
            <w:pPr>
              <w:pStyle w:val="Body"/>
              <w:rPr>
                <w:rFonts w:ascii="Arial" w:hAnsi="Arial" w:cs="Arial"/>
                <w:iCs/>
              </w:rPr>
            </w:pPr>
            <w:r w:rsidRPr="001844F8">
              <w:rPr>
                <w:rFonts w:ascii="Arial" w:hAnsi="Arial" w:cs="Arial"/>
                <w:iCs/>
              </w:rPr>
              <w:t>GFI</w:t>
            </w:r>
          </w:p>
        </w:tc>
        <w:tc>
          <w:tcPr>
            <w:tcW w:w="0" w:type="auto"/>
          </w:tcPr>
          <w:p w:rsidR="001844F8" w:rsidRPr="001844F8" w:rsidRDefault="001844F8" w:rsidP="001844F8">
            <w:pPr>
              <w:pStyle w:val="Body"/>
              <w:rPr>
                <w:rFonts w:ascii="Arial" w:hAnsi="Arial" w:cs="Arial"/>
              </w:rPr>
            </w:pPr>
            <w:r w:rsidRPr="001844F8">
              <w:rPr>
                <w:rFonts w:ascii="Arial" w:hAnsi="Arial" w:cs="Arial"/>
              </w:rPr>
              <w:t>≥ 0.90</w:t>
            </w:r>
          </w:p>
        </w:tc>
        <w:tc>
          <w:tcPr>
            <w:tcW w:w="1659" w:type="dxa"/>
          </w:tcPr>
          <w:p w:rsidR="001844F8" w:rsidRPr="001844F8" w:rsidRDefault="001844F8" w:rsidP="001844F8">
            <w:pPr>
              <w:pStyle w:val="Body"/>
              <w:rPr>
                <w:rFonts w:ascii="Arial" w:hAnsi="Arial" w:cs="Arial"/>
              </w:rPr>
            </w:pPr>
            <w:r w:rsidRPr="001844F8">
              <w:rPr>
                <w:rFonts w:ascii="Arial" w:hAnsi="Arial" w:cs="Arial"/>
              </w:rPr>
              <w:t>0.889</w:t>
            </w:r>
          </w:p>
        </w:tc>
        <w:tc>
          <w:tcPr>
            <w:tcW w:w="1796" w:type="dxa"/>
          </w:tcPr>
          <w:p w:rsidR="001844F8" w:rsidRPr="001844F8" w:rsidRDefault="001844F8" w:rsidP="001844F8">
            <w:pPr>
              <w:pStyle w:val="Body"/>
              <w:rPr>
                <w:rFonts w:ascii="Arial" w:hAnsi="Arial" w:cs="Arial"/>
              </w:rPr>
            </w:pPr>
            <w:r w:rsidRPr="001844F8">
              <w:rPr>
                <w:rFonts w:ascii="Arial" w:hAnsi="Arial" w:cs="Arial"/>
              </w:rPr>
              <w:t>Unfulfilled</w:t>
            </w:r>
          </w:p>
        </w:tc>
      </w:tr>
      <w:tr w:rsidR="001844F8" w:rsidRPr="001844F8" w:rsidTr="00A6061B">
        <w:trPr>
          <w:trHeight w:val="46"/>
          <w:jc w:val="center"/>
        </w:trPr>
        <w:tc>
          <w:tcPr>
            <w:tcW w:w="0" w:type="auto"/>
          </w:tcPr>
          <w:p w:rsidR="001844F8" w:rsidRPr="001844F8" w:rsidRDefault="001844F8" w:rsidP="001844F8">
            <w:pPr>
              <w:pStyle w:val="Body"/>
              <w:rPr>
                <w:rFonts w:ascii="Arial" w:hAnsi="Arial" w:cs="Arial"/>
              </w:rPr>
            </w:pPr>
            <w:r w:rsidRPr="001844F8">
              <w:rPr>
                <w:rFonts w:ascii="Arial" w:hAnsi="Arial" w:cs="Arial"/>
              </w:rPr>
              <w:t>AGFI</w:t>
            </w:r>
          </w:p>
        </w:tc>
        <w:tc>
          <w:tcPr>
            <w:tcW w:w="0" w:type="auto"/>
          </w:tcPr>
          <w:p w:rsidR="001844F8" w:rsidRPr="001844F8" w:rsidRDefault="001844F8" w:rsidP="001844F8">
            <w:pPr>
              <w:pStyle w:val="Body"/>
              <w:rPr>
                <w:rFonts w:ascii="Arial" w:hAnsi="Arial" w:cs="Arial"/>
              </w:rPr>
            </w:pPr>
            <w:r w:rsidRPr="001844F8">
              <w:rPr>
                <w:rFonts w:ascii="Arial" w:hAnsi="Arial" w:cs="Arial"/>
              </w:rPr>
              <w:t>≥ 0.90</w:t>
            </w:r>
          </w:p>
        </w:tc>
        <w:tc>
          <w:tcPr>
            <w:tcW w:w="1659" w:type="dxa"/>
          </w:tcPr>
          <w:p w:rsidR="001844F8" w:rsidRPr="001844F8" w:rsidRDefault="001844F8" w:rsidP="001844F8">
            <w:pPr>
              <w:pStyle w:val="Body"/>
              <w:rPr>
                <w:rFonts w:ascii="Arial" w:hAnsi="Arial" w:cs="Arial"/>
              </w:rPr>
            </w:pPr>
            <w:r w:rsidRPr="001844F8">
              <w:rPr>
                <w:rFonts w:ascii="Arial" w:hAnsi="Arial" w:cs="Arial"/>
              </w:rPr>
              <w:t>0.788</w:t>
            </w:r>
          </w:p>
        </w:tc>
        <w:tc>
          <w:tcPr>
            <w:tcW w:w="1796" w:type="dxa"/>
          </w:tcPr>
          <w:p w:rsidR="001844F8" w:rsidRPr="001844F8" w:rsidRDefault="001844F8" w:rsidP="001844F8">
            <w:pPr>
              <w:pStyle w:val="Body"/>
              <w:rPr>
                <w:rFonts w:ascii="Arial" w:hAnsi="Arial" w:cs="Arial"/>
              </w:rPr>
            </w:pPr>
            <w:r w:rsidRPr="001844F8">
              <w:rPr>
                <w:rFonts w:ascii="Arial" w:hAnsi="Arial" w:cs="Arial"/>
              </w:rPr>
              <w:t>Unfulfilled</w:t>
            </w:r>
          </w:p>
        </w:tc>
      </w:tr>
      <w:tr w:rsidR="001844F8" w:rsidRPr="001844F8" w:rsidTr="00A6061B">
        <w:trPr>
          <w:trHeight w:val="46"/>
          <w:jc w:val="center"/>
        </w:trPr>
        <w:tc>
          <w:tcPr>
            <w:tcW w:w="0" w:type="auto"/>
            <w:tcBorders>
              <w:bottom w:val="single" w:sz="12" w:space="0" w:color="auto"/>
            </w:tcBorders>
          </w:tcPr>
          <w:p w:rsidR="001844F8" w:rsidRPr="001844F8" w:rsidRDefault="001844F8" w:rsidP="001844F8">
            <w:pPr>
              <w:pStyle w:val="Body"/>
              <w:rPr>
                <w:rFonts w:ascii="Arial" w:hAnsi="Arial" w:cs="Arial"/>
                <w:iCs/>
              </w:rPr>
            </w:pPr>
            <w:r w:rsidRPr="001844F8">
              <w:rPr>
                <w:rFonts w:ascii="Arial" w:hAnsi="Arial" w:cs="Arial"/>
                <w:iCs/>
              </w:rPr>
              <w:t>TLI</w:t>
            </w:r>
          </w:p>
        </w:tc>
        <w:tc>
          <w:tcPr>
            <w:tcW w:w="0" w:type="auto"/>
            <w:tcBorders>
              <w:bottom w:val="single" w:sz="12" w:space="0" w:color="auto"/>
            </w:tcBorders>
          </w:tcPr>
          <w:p w:rsidR="001844F8" w:rsidRPr="001844F8" w:rsidRDefault="001844F8" w:rsidP="001844F8">
            <w:pPr>
              <w:pStyle w:val="Body"/>
              <w:rPr>
                <w:rFonts w:ascii="Arial" w:hAnsi="Arial" w:cs="Arial"/>
              </w:rPr>
            </w:pPr>
            <w:r w:rsidRPr="001844F8">
              <w:rPr>
                <w:rFonts w:ascii="Arial" w:hAnsi="Arial" w:cs="Arial"/>
              </w:rPr>
              <w:t>≥ 0.90</w:t>
            </w:r>
          </w:p>
        </w:tc>
        <w:tc>
          <w:tcPr>
            <w:tcW w:w="1659" w:type="dxa"/>
            <w:tcBorders>
              <w:bottom w:val="single" w:sz="12" w:space="0" w:color="auto"/>
            </w:tcBorders>
          </w:tcPr>
          <w:p w:rsidR="001844F8" w:rsidRPr="001844F8" w:rsidRDefault="001844F8" w:rsidP="001844F8">
            <w:pPr>
              <w:pStyle w:val="Body"/>
              <w:rPr>
                <w:rFonts w:ascii="Arial" w:hAnsi="Arial" w:cs="Arial"/>
              </w:rPr>
            </w:pPr>
            <w:r w:rsidRPr="001844F8">
              <w:rPr>
                <w:rFonts w:ascii="Arial" w:hAnsi="Arial" w:cs="Arial"/>
              </w:rPr>
              <w:t>0.267</w:t>
            </w:r>
          </w:p>
        </w:tc>
        <w:tc>
          <w:tcPr>
            <w:tcW w:w="1796" w:type="dxa"/>
            <w:tcBorders>
              <w:bottom w:val="single" w:sz="12" w:space="0" w:color="auto"/>
            </w:tcBorders>
          </w:tcPr>
          <w:p w:rsidR="001844F8" w:rsidRPr="001844F8" w:rsidRDefault="001844F8" w:rsidP="001844F8">
            <w:pPr>
              <w:pStyle w:val="Body"/>
              <w:rPr>
                <w:rFonts w:ascii="Arial" w:hAnsi="Arial" w:cs="Arial"/>
              </w:rPr>
            </w:pPr>
            <w:r w:rsidRPr="001844F8">
              <w:rPr>
                <w:rFonts w:ascii="Arial" w:hAnsi="Arial" w:cs="Arial"/>
              </w:rPr>
              <w:t>Unfulfilled</w:t>
            </w: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 xml:space="preserve">Based on table </w:t>
      </w:r>
      <w:r w:rsidR="00CF480C">
        <w:rPr>
          <w:rFonts w:ascii="Arial" w:hAnsi="Arial" w:cs="Arial"/>
        </w:rPr>
        <w:t>15</w:t>
      </w:r>
      <w:r w:rsidRPr="001844F8">
        <w:rPr>
          <w:rFonts w:ascii="Arial" w:hAnsi="Arial" w:cs="Arial"/>
        </w:rPr>
        <w:t>, the composite model does not meet the goodness of fit criteria so modifications must be made to the model. Modifications are carried out by making correlations at the highest Modification Indicator values, so that the following model is obtained.</w:t>
      </w:r>
    </w:p>
    <w:p w:rsidR="001844F8" w:rsidRPr="001844F8" w:rsidRDefault="001844F8" w:rsidP="001844F8">
      <w:pPr>
        <w:pStyle w:val="Body"/>
        <w:rPr>
          <w:rFonts w:ascii="Arial" w:hAnsi="Arial" w:cs="Arial"/>
        </w:rPr>
      </w:pPr>
      <w:r w:rsidRPr="001844F8">
        <w:rPr>
          <w:rFonts w:ascii="Arial" w:hAnsi="Arial" w:cs="Arial"/>
          <w:noProof/>
        </w:rPr>
        <w:lastRenderedPageBreak/>
        <w:drawing>
          <wp:inline distT="0" distB="0" distL="0" distR="0" wp14:anchorId="0ADE50AC" wp14:editId="0DC97AE7">
            <wp:extent cx="4143375" cy="2897323"/>
            <wp:effectExtent l="19050" t="19050" r="9525" b="17780"/>
            <wp:docPr id="899858870" name="Picture 899858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400" t="1980" r="3068" b="3597"/>
                    <a:stretch/>
                  </pic:blipFill>
                  <pic:spPr bwMode="auto">
                    <a:xfrm>
                      <a:off x="0" y="0"/>
                      <a:ext cx="4154865" cy="2905357"/>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1844F8" w:rsidRPr="001844F8" w:rsidRDefault="001844F8" w:rsidP="001844F8">
      <w:pPr>
        <w:pStyle w:val="Body"/>
        <w:rPr>
          <w:rFonts w:ascii="Arial" w:hAnsi="Arial" w:cs="Arial"/>
          <w:lang w:val="en-ID"/>
        </w:rPr>
      </w:pPr>
      <w:r w:rsidRPr="001844F8">
        <w:rPr>
          <w:rFonts w:ascii="Arial" w:hAnsi="Arial" w:cs="Arial"/>
          <w:b/>
          <w:bCs/>
          <w:lang w:val="en-ID"/>
        </w:rPr>
        <w:t>Figure 5.</w:t>
      </w:r>
      <w:r w:rsidRPr="001844F8">
        <w:rPr>
          <w:rFonts w:ascii="Arial" w:hAnsi="Arial" w:cs="Arial"/>
          <w:lang w:val="en-ID"/>
        </w:rPr>
        <w:t>Composite Model After Modification</w:t>
      </w:r>
    </w:p>
    <w:p w:rsidR="001844F8" w:rsidRPr="001844F8" w:rsidRDefault="001844F8" w:rsidP="001844F8">
      <w:pPr>
        <w:pStyle w:val="Body"/>
        <w:rPr>
          <w:rFonts w:ascii="Arial" w:hAnsi="Arial" w:cs="Arial"/>
        </w:rPr>
      </w:pPr>
    </w:p>
    <w:p w:rsidR="001844F8" w:rsidRPr="001844F8" w:rsidRDefault="001844F8" w:rsidP="001844F8">
      <w:pPr>
        <w:pStyle w:val="Body"/>
        <w:rPr>
          <w:rFonts w:ascii="Arial" w:hAnsi="Arial" w:cs="Arial"/>
          <w:lang w:val="en-ID"/>
        </w:rPr>
      </w:pPr>
      <w:bookmarkStart w:id="261" w:name="_Toc147172628"/>
      <w:bookmarkStart w:id="262" w:name="_Toc147173087"/>
      <w:bookmarkStart w:id="263" w:name="_Toc147173255"/>
      <w:bookmarkStart w:id="264" w:name="_Toc147830058"/>
      <w:bookmarkStart w:id="265" w:name="_Toc147830280"/>
      <w:bookmarkStart w:id="266" w:name="_Toc153835449"/>
      <w:bookmarkStart w:id="267" w:name="_Toc153854688"/>
      <w:bookmarkStart w:id="268" w:name="_Toc154134791"/>
      <w:bookmarkStart w:id="269" w:name="_Toc154135232"/>
      <w:bookmarkStart w:id="270" w:name="_Toc154135483"/>
      <w:bookmarkStart w:id="271" w:name="_Toc159492692"/>
      <w:r w:rsidRPr="001844F8">
        <w:rPr>
          <w:rFonts w:ascii="Arial" w:hAnsi="Arial" w:cs="Arial"/>
          <w:b/>
          <w:bCs/>
          <w:lang w:val="en-ID"/>
        </w:rPr>
        <w:t>Table 16.</w:t>
      </w:r>
      <w:bookmarkEnd w:id="261"/>
      <w:bookmarkEnd w:id="262"/>
      <w:bookmarkEnd w:id="263"/>
      <w:bookmarkEnd w:id="264"/>
      <w:bookmarkEnd w:id="265"/>
      <w:bookmarkEnd w:id="266"/>
      <w:bookmarkEnd w:id="267"/>
      <w:bookmarkEnd w:id="268"/>
      <w:bookmarkEnd w:id="269"/>
      <w:bookmarkEnd w:id="270"/>
      <w:bookmarkEnd w:id="271"/>
      <w:r w:rsidRPr="001844F8">
        <w:rPr>
          <w:rFonts w:ascii="Arial" w:hAnsi="Arial" w:cs="Arial"/>
          <w:b/>
          <w:bCs/>
          <w:lang w:val="en-ID"/>
        </w:rPr>
        <w:t xml:space="preserve"> </w:t>
      </w:r>
      <w:r w:rsidRPr="001844F8">
        <w:rPr>
          <w:rFonts w:ascii="Arial" w:hAnsi="Arial" w:cs="Arial"/>
          <w:lang w:val="en-ID"/>
        </w:rPr>
        <w:t>Goodness of Fit Statistics Modification</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2106"/>
        <w:gridCol w:w="2073"/>
        <w:gridCol w:w="1329"/>
        <w:gridCol w:w="2126"/>
      </w:tblGrid>
      <w:tr w:rsidR="001844F8" w:rsidRPr="001844F8" w:rsidTr="00A6061B">
        <w:trPr>
          <w:trHeight w:val="46"/>
          <w:tblHeader/>
          <w:jc w:val="center"/>
        </w:trPr>
        <w:tc>
          <w:tcPr>
            <w:tcW w:w="0" w:type="auto"/>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Statistics</w:t>
            </w:r>
          </w:p>
        </w:tc>
        <w:tc>
          <w:tcPr>
            <w:tcW w:w="0" w:type="auto"/>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Fit Criteria</w:t>
            </w:r>
          </w:p>
        </w:tc>
        <w:tc>
          <w:tcPr>
            <w:tcW w:w="1329" w:type="dxa"/>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Analysis Results</w:t>
            </w:r>
          </w:p>
        </w:tc>
        <w:tc>
          <w:tcPr>
            <w:tcW w:w="2126" w:type="dxa"/>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Model Evaluation</w:t>
            </w:r>
          </w:p>
        </w:tc>
      </w:tr>
      <w:tr w:rsidR="001844F8" w:rsidRPr="001844F8" w:rsidTr="00A6061B">
        <w:trPr>
          <w:trHeight w:val="46"/>
          <w:jc w:val="center"/>
        </w:trPr>
        <w:tc>
          <w:tcPr>
            <w:tcW w:w="0" w:type="auto"/>
            <w:tcBorders>
              <w:top w:val="single" w:sz="12" w:space="0" w:color="auto"/>
            </w:tcBorders>
          </w:tcPr>
          <w:p w:rsidR="001844F8" w:rsidRPr="001844F8" w:rsidRDefault="001844F8" w:rsidP="001844F8">
            <w:pPr>
              <w:pStyle w:val="Body"/>
              <w:rPr>
                <w:rFonts w:ascii="Arial" w:hAnsi="Arial" w:cs="Arial"/>
                <w:i/>
                <w:vertAlign w:val="superscript"/>
              </w:rPr>
            </w:pPr>
            <w:r w:rsidRPr="001844F8">
              <w:rPr>
                <w:rFonts w:ascii="Arial" w:hAnsi="Arial" w:cs="Arial"/>
                <w:i/>
              </w:rPr>
              <w:t>X2 Chi Square</w:t>
            </w:r>
          </w:p>
        </w:tc>
        <w:tc>
          <w:tcPr>
            <w:tcW w:w="0" w:type="auto"/>
            <w:tcBorders>
              <w:top w:val="single" w:sz="12" w:space="0" w:color="auto"/>
            </w:tcBorders>
          </w:tcPr>
          <w:p w:rsidR="001844F8" w:rsidRPr="001844F8" w:rsidRDefault="001844F8" w:rsidP="001844F8">
            <w:pPr>
              <w:pStyle w:val="Body"/>
              <w:rPr>
                <w:rFonts w:ascii="Arial" w:hAnsi="Arial" w:cs="Arial"/>
              </w:rPr>
            </w:pPr>
            <w:r w:rsidRPr="001844F8">
              <w:rPr>
                <w:rFonts w:ascii="Arial" w:hAnsi="Arial" w:cs="Arial"/>
              </w:rPr>
              <w:t>Expected to be small</w:t>
            </w:r>
          </w:p>
        </w:tc>
        <w:tc>
          <w:tcPr>
            <w:tcW w:w="1329" w:type="dxa"/>
            <w:tcBorders>
              <w:top w:val="single" w:sz="12" w:space="0" w:color="auto"/>
            </w:tcBorders>
          </w:tcPr>
          <w:p w:rsidR="001844F8" w:rsidRPr="001844F8" w:rsidRDefault="001844F8" w:rsidP="001844F8">
            <w:pPr>
              <w:pStyle w:val="Body"/>
              <w:rPr>
                <w:rFonts w:ascii="Arial" w:hAnsi="Arial" w:cs="Arial"/>
              </w:rPr>
            </w:pPr>
            <w:r w:rsidRPr="001844F8">
              <w:rPr>
                <w:rFonts w:ascii="Arial" w:hAnsi="Arial" w:cs="Arial"/>
              </w:rPr>
              <w:t>11,837</w:t>
            </w:r>
          </w:p>
        </w:tc>
        <w:tc>
          <w:tcPr>
            <w:tcW w:w="2126" w:type="dxa"/>
            <w:tcBorders>
              <w:top w:val="single" w:sz="12" w:space="0" w:color="auto"/>
            </w:tcBorders>
          </w:tcPr>
          <w:p w:rsidR="001844F8" w:rsidRPr="001844F8" w:rsidRDefault="001844F8" w:rsidP="001844F8">
            <w:pPr>
              <w:pStyle w:val="Body"/>
              <w:rPr>
                <w:rFonts w:ascii="Arial" w:hAnsi="Arial" w:cs="Arial"/>
              </w:rPr>
            </w:pPr>
            <w:r w:rsidRPr="001844F8">
              <w:rPr>
                <w:rFonts w:ascii="Arial" w:hAnsi="Arial" w:cs="Arial"/>
              </w:rPr>
              <w:t>Fulfilled</w:t>
            </w:r>
          </w:p>
        </w:tc>
      </w:tr>
      <w:tr w:rsidR="001844F8" w:rsidRPr="001844F8" w:rsidTr="00A6061B">
        <w:trPr>
          <w:trHeight w:val="46"/>
          <w:jc w:val="center"/>
        </w:trPr>
        <w:tc>
          <w:tcPr>
            <w:tcW w:w="0" w:type="auto"/>
          </w:tcPr>
          <w:p w:rsidR="001844F8" w:rsidRPr="001844F8" w:rsidRDefault="001844F8" w:rsidP="001844F8">
            <w:pPr>
              <w:pStyle w:val="Body"/>
              <w:rPr>
                <w:rFonts w:ascii="Arial" w:hAnsi="Arial" w:cs="Arial"/>
                <w:i/>
              </w:rPr>
            </w:pPr>
            <w:r w:rsidRPr="001844F8">
              <w:rPr>
                <w:rFonts w:ascii="Arial" w:hAnsi="Arial" w:cs="Arial"/>
                <w:i/>
              </w:rPr>
              <w:t>Significant probability</w:t>
            </w:r>
          </w:p>
        </w:tc>
        <w:tc>
          <w:tcPr>
            <w:tcW w:w="0" w:type="auto"/>
          </w:tcPr>
          <w:p w:rsidR="001844F8" w:rsidRPr="001844F8" w:rsidRDefault="001844F8" w:rsidP="001844F8">
            <w:pPr>
              <w:pStyle w:val="Body"/>
              <w:rPr>
                <w:rFonts w:ascii="Arial" w:hAnsi="Arial" w:cs="Arial"/>
              </w:rPr>
            </w:pPr>
            <w:r w:rsidRPr="001844F8">
              <w:rPr>
                <w:rFonts w:ascii="Arial" w:hAnsi="Arial" w:cs="Arial"/>
              </w:rPr>
              <w:t>≥ 0.05</w:t>
            </w:r>
          </w:p>
        </w:tc>
        <w:tc>
          <w:tcPr>
            <w:tcW w:w="1329" w:type="dxa"/>
          </w:tcPr>
          <w:p w:rsidR="001844F8" w:rsidRPr="001844F8" w:rsidRDefault="001844F8" w:rsidP="001844F8">
            <w:pPr>
              <w:pStyle w:val="Body"/>
              <w:rPr>
                <w:rFonts w:ascii="Arial" w:hAnsi="Arial" w:cs="Arial"/>
              </w:rPr>
            </w:pPr>
            <w:r w:rsidRPr="001844F8">
              <w:rPr>
                <w:rFonts w:ascii="Arial" w:hAnsi="Arial" w:cs="Arial"/>
              </w:rPr>
              <w:t>0.159</w:t>
            </w:r>
          </w:p>
        </w:tc>
        <w:tc>
          <w:tcPr>
            <w:tcW w:w="2126" w:type="dxa"/>
          </w:tcPr>
          <w:p w:rsidR="001844F8" w:rsidRPr="001844F8" w:rsidRDefault="001844F8" w:rsidP="001844F8">
            <w:pPr>
              <w:pStyle w:val="Body"/>
              <w:rPr>
                <w:rFonts w:ascii="Arial" w:hAnsi="Arial" w:cs="Arial"/>
              </w:rPr>
            </w:pPr>
            <w:r w:rsidRPr="001844F8">
              <w:rPr>
                <w:rFonts w:ascii="Arial" w:hAnsi="Arial" w:cs="Arial"/>
              </w:rPr>
              <w:t>Fulfilled</w:t>
            </w:r>
          </w:p>
        </w:tc>
      </w:tr>
      <w:tr w:rsidR="001844F8" w:rsidRPr="001844F8" w:rsidTr="00A6061B">
        <w:trPr>
          <w:trHeight w:val="46"/>
          <w:jc w:val="center"/>
        </w:trPr>
        <w:tc>
          <w:tcPr>
            <w:tcW w:w="0" w:type="auto"/>
          </w:tcPr>
          <w:p w:rsidR="001844F8" w:rsidRPr="001844F8" w:rsidRDefault="001844F8" w:rsidP="001844F8">
            <w:pPr>
              <w:pStyle w:val="Body"/>
              <w:rPr>
                <w:rFonts w:ascii="Arial" w:hAnsi="Arial" w:cs="Arial"/>
                <w:iCs/>
              </w:rPr>
            </w:pPr>
            <w:r w:rsidRPr="001844F8">
              <w:rPr>
                <w:rFonts w:ascii="Arial" w:hAnsi="Arial" w:cs="Arial"/>
                <w:iCs/>
              </w:rPr>
              <w:t>RMSEA</w:t>
            </w:r>
          </w:p>
        </w:tc>
        <w:tc>
          <w:tcPr>
            <w:tcW w:w="0" w:type="auto"/>
          </w:tcPr>
          <w:p w:rsidR="001844F8" w:rsidRPr="001844F8" w:rsidRDefault="001844F8" w:rsidP="001844F8">
            <w:pPr>
              <w:pStyle w:val="Body"/>
              <w:rPr>
                <w:rFonts w:ascii="Arial" w:hAnsi="Arial" w:cs="Arial"/>
              </w:rPr>
            </w:pPr>
            <w:r w:rsidRPr="001844F8">
              <w:rPr>
                <w:rFonts w:ascii="Arial" w:hAnsi="Arial" w:cs="Arial"/>
              </w:rPr>
              <w:t>≤ 0.08</w:t>
            </w:r>
          </w:p>
        </w:tc>
        <w:tc>
          <w:tcPr>
            <w:tcW w:w="1329" w:type="dxa"/>
          </w:tcPr>
          <w:p w:rsidR="001844F8" w:rsidRPr="001844F8" w:rsidRDefault="001844F8" w:rsidP="001844F8">
            <w:pPr>
              <w:pStyle w:val="Body"/>
              <w:rPr>
                <w:rFonts w:ascii="Arial" w:hAnsi="Arial" w:cs="Arial"/>
              </w:rPr>
            </w:pPr>
            <w:r w:rsidRPr="001844F8">
              <w:rPr>
                <w:rFonts w:ascii="Arial" w:hAnsi="Arial" w:cs="Arial"/>
              </w:rPr>
              <w:t>0.060</w:t>
            </w:r>
          </w:p>
        </w:tc>
        <w:tc>
          <w:tcPr>
            <w:tcW w:w="2126" w:type="dxa"/>
          </w:tcPr>
          <w:p w:rsidR="001844F8" w:rsidRPr="001844F8" w:rsidRDefault="001844F8" w:rsidP="001844F8">
            <w:pPr>
              <w:pStyle w:val="Body"/>
              <w:rPr>
                <w:rFonts w:ascii="Arial" w:hAnsi="Arial" w:cs="Arial"/>
              </w:rPr>
            </w:pPr>
            <w:r w:rsidRPr="001844F8">
              <w:rPr>
                <w:rFonts w:ascii="Arial" w:hAnsi="Arial" w:cs="Arial"/>
              </w:rPr>
              <w:t>Fulfilled</w:t>
            </w:r>
          </w:p>
        </w:tc>
      </w:tr>
      <w:tr w:rsidR="001844F8" w:rsidRPr="001844F8" w:rsidTr="00A6061B">
        <w:trPr>
          <w:trHeight w:val="46"/>
          <w:jc w:val="center"/>
        </w:trPr>
        <w:tc>
          <w:tcPr>
            <w:tcW w:w="0" w:type="auto"/>
          </w:tcPr>
          <w:p w:rsidR="001844F8" w:rsidRPr="001844F8" w:rsidRDefault="001844F8" w:rsidP="001844F8">
            <w:pPr>
              <w:pStyle w:val="Body"/>
              <w:rPr>
                <w:rFonts w:ascii="Arial" w:hAnsi="Arial" w:cs="Arial"/>
                <w:iCs/>
              </w:rPr>
            </w:pPr>
            <w:r w:rsidRPr="001844F8">
              <w:rPr>
                <w:rFonts w:ascii="Arial" w:hAnsi="Arial" w:cs="Arial"/>
                <w:iCs/>
              </w:rPr>
              <w:t>GFI</w:t>
            </w:r>
          </w:p>
        </w:tc>
        <w:tc>
          <w:tcPr>
            <w:tcW w:w="0" w:type="auto"/>
          </w:tcPr>
          <w:p w:rsidR="001844F8" w:rsidRPr="001844F8" w:rsidRDefault="001844F8" w:rsidP="001844F8">
            <w:pPr>
              <w:pStyle w:val="Body"/>
              <w:rPr>
                <w:rFonts w:ascii="Arial" w:hAnsi="Arial" w:cs="Arial"/>
              </w:rPr>
            </w:pPr>
            <w:r w:rsidRPr="001844F8">
              <w:rPr>
                <w:rFonts w:ascii="Arial" w:hAnsi="Arial" w:cs="Arial"/>
              </w:rPr>
              <w:t>≥ 0.90</w:t>
            </w:r>
          </w:p>
        </w:tc>
        <w:tc>
          <w:tcPr>
            <w:tcW w:w="1329" w:type="dxa"/>
          </w:tcPr>
          <w:p w:rsidR="001844F8" w:rsidRPr="001844F8" w:rsidRDefault="001844F8" w:rsidP="001844F8">
            <w:pPr>
              <w:pStyle w:val="Body"/>
              <w:rPr>
                <w:rFonts w:ascii="Arial" w:hAnsi="Arial" w:cs="Arial"/>
              </w:rPr>
            </w:pPr>
            <w:r w:rsidRPr="001844F8">
              <w:rPr>
                <w:rFonts w:ascii="Arial" w:hAnsi="Arial" w:cs="Arial"/>
              </w:rPr>
              <w:t>0.970</w:t>
            </w:r>
          </w:p>
        </w:tc>
        <w:tc>
          <w:tcPr>
            <w:tcW w:w="2126" w:type="dxa"/>
          </w:tcPr>
          <w:p w:rsidR="001844F8" w:rsidRPr="001844F8" w:rsidRDefault="001844F8" w:rsidP="001844F8">
            <w:pPr>
              <w:pStyle w:val="Body"/>
              <w:rPr>
                <w:rFonts w:ascii="Arial" w:hAnsi="Arial" w:cs="Arial"/>
              </w:rPr>
            </w:pPr>
            <w:r w:rsidRPr="001844F8">
              <w:rPr>
                <w:rFonts w:ascii="Arial" w:hAnsi="Arial" w:cs="Arial"/>
              </w:rPr>
              <w:t>Fulfilled</w:t>
            </w:r>
          </w:p>
        </w:tc>
      </w:tr>
      <w:tr w:rsidR="001844F8" w:rsidRPr="001844F8" w:rsidTr="00A6061B">
        <w:trPr>
          <w:trHeight w:val="46"/>
          <w:jc w:val="center"/>
        </w:trPr>
        <w:tc>
          <w:tcPr>
            <w:tcW w:w="0" w:type="auto"/>
          </w:tcPr>
          <w:p w:rsidR="001844F8" w:rsidRPr="001844F8" w:rsidRDefault="001844F8" w:rsidP="001844F8">
            <w:pPr>
              <w:pStyle w:val="Body"/>
              <w:rPr>
                <w:rFonts w:ascii="Arial" w:hAnsi="Arial" w:cs="Arial"/>
              </w:rPr>
            </w:pPr>
            <w:r w:rsidRPr="001844F8">
              <w:rPr>
                <w:rFonts w:ascii="Arial" w:hAnsi="Arial" w:cs="Arial"/>
              </w:rPr>
              <w:t>AGFI</w:t>
            </w:r>
          </w:p>
        </w:tc>
        <w:tc>
          <w:tcPr>
            <w:tcW w:w="0" w:type="auto"/>
          </w:tcPr>
          <w:p w:rsidR="001844F8" w:rsidRPr="001844F8" w:rsidRDefault="001844F8" w:rsidP="001844F8">
            <w:pPr>
              <w:pStyle w:val="Body"/>
              <w:rPr>
                <w:rFonts w:ascii="Arial" w:hAnsi="Arial" w:cs="Arial"/>
              </w:rPr>
            </w:pPr>
            <w:r w:rsidRPr="001844F8">
              <w:rPr>
                <w:rFonts w:ascii="Arial" w:hAnsi="Arial" w:cs="Arial"/>
              </w:rPr>
              <w:t>≥ 0.90</w:t>
            </w:r>
          </w:p>
        </w:tc>
        <w:tc>
          <w:tcPr>
            <w:tcW w:w="1329" w:type="dxa"/>
          </w:tcPr>
          <w:p w:rsidR="001844F8" w:rsidRPr="001844F8" w:rsidRDefault="001844F8" w:rsidP="001844F8">
            <w:pPr>
              <w:pStyle w:val="Body"/>
              <w:rPr>
                <w:rFonts w:ascii="Arial" w:hAnsi="Arial" w:cs="Arial"/>
              </w:rPr>
            </w:pPr>
            <w:r w:rsidRPr="001844F8">
              <w:rPr>
                <w:rFonts w:ascii="Arial" w:hAnsi="Arial" w:cs="Arial"/>
              </w:rPr>
              <w:t>0.922</w:t>
            </w:r>
          </w:p>
        </w:tc>
        <w:tc>
          <w:tcPr>
            <w:tcW w:w="2126" w:type="dxa"/>
          </w:tcPr>
          <w:p w:rsidR="001844F8" w:rsidRPr="001844F8" w:rsidRDefault="001844F8" w:rsidP="001844F8">
            <w:pPr>
              <w:pStyle w:val="Body"/>
              <w:rPr>
                <w:rFonts w:ascii="Arial" w:hAnsi="Arial" w:cs="Arial"/>
              </w:rPr>
            </w:pPr>
            <w:r w:rsidRPr="001844F8">
              <w:rPr>
                <w:rFonts w:ascii="Arial" w:hAnsi="Arial" w:cs="Arial"/>
              </w:rPr>
              <w:t>Fulfilled</w:t>
            </w:r>
          </w:p>
        </w:tc>
      </w:tr>
      <w:tr w:rsidR="001844F8" w:rsidRPr="001844F8" w:rsidTr="00A6061B">
        <w:trPr>
          <w:trHeight w:val="46"/>
          <w:jc w:val="center"/>
        </w:trPr>
        <w:tc>
          <w:tcPr>
            <w:tcW w:w="0" w:type="auto"/>
            <w:tcBorders>
              <w:bottom w:val="single" w:sz="12" w:space="0" w:color="auto"/>
            </w:tcBorders>
          </w:tcPr>
          <w:p w:rsidR="001844F8" w:rsidRPr="001844F8" w:rsidRDefault="001844F8" w:rsidP="001844F8">
            <w:pPr>
              <w:pStyle w:val="Body"/>
              <w:rPr>
                <w:rFonts w:ascii="Arial" w:hAnsi="Arial" w:cs="Arial"/>
                <w:iCs/>
              </w:rPr>
            </w:pPr>
            <w:r w:rsidRPr="001844F8">
              <w:rPr>
                <w:rFonts w:ascii="Arial" w:hAnsi="Arial" w:cs="Arial"/>
                <w:iCs/>
              </w:rPr>
              <w:t>TLI</w:t>
            </w:r>
          </w:p>
        </w:tc>
        <w:tc>
          <w:tcPr>
            <w:tcW w:w="0" w:type="auto"/>
            <w:tcBorders>
              <w:bottom w:val="single" w:sz="12" w:space="0" w:color="auto"/>
            </w:tcBorders>
          </w:tcPr>
          <w:p w:rsidR="001844F8" w:rsidRPr="001844F8" w:rsidRDefault="001844F8" w:rsidP="001844F8">
            <w:pPr>
              <w:pStyle w:val="Body"/>
              <w:rPr>
                <w:rFonts w:ascii="Arial" w:hAnsi="Arial" w:cs="Arial"/>
              </w:rPr>
            </w:pPr>
            <w:r w:rsidRPr="001844F8">
              <w:rPr>
                <w:rFonts w:ascii="Arial" w:hAnsi="Arial" w:cs="Arial"/>
              </w:rPr>
              <w:t>≥ 0.90</w:t>
            </w:r>
          </w:p>
        </w:tc>
        <w:tc>
          <w:tcPr>
            <w:tcW w:w="1329" w:type="dxa"/>
            <w:tcBorders>
              <w:bottom w:val="single" w:sz="12" w:space="0" w:color="auto"/>
            </w:tcBorders>
          </w:tcPr>
          <w:p w:rsidR="001844F8" w:rsidRPr="001844F8" w:rsidRDefault="001844F8" w:rsidP="001844F8">
            <w:pPr>
              <w:pStyle w:val="Body"/>
              <w:rPr>
                <w:rFonts w:ascii="Arial" w:hAnsi="Arial" w:cs="Arial"/>
              </w:rPr>
            </w:pPr>
            <w:r w:rsidRPr="001844F8">
              <w:rPr>
                <w:rFonts w:ascii="Arial" w:hAnsi="Arial" w:cs="Arial"/>
              </w:rPr>
              <w:t>0.906</w:t>
            </w:r>
          </w:p>
        </w:tc>
        <w:tc>
          <w:tcPr>
            <w:tcW w:w="2126" w:type="dxa"/>
            <w:tcBorders>
              <w:bottom w:val="single" w:sz="12" w:space="0" w:color="auto"/>
            </w:tcBorders>
          </w:tcPr>
          <w:p w:rsidR="001844F8" w:rsidRPr="001844F8" w:rsidRDefault="001844F8" w:rsidP="001844F8">
            <w:pPr>
              <w:pStyle w:val="Body"/>
              <w:rPr>
                <w:rFonts w:ascii="Arial" w:hAnsi="Arial" w:cs="Arial"/>
              </w:rPr>
            </w:pPr>
            <w:r w:rsidRPr="001844F8">
              <w:rPr>
                <w:rFonts w:ascii="Arial" w:hAnsi="Arial" w:cs="Arial"/>
              </w:rPr>
              <w:t>Fulfilled</w:t>
            </w: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0"/>
        </w:numPr>
        <w:rPr>
          <w:rFonts w:ascii="Arial" w:hAnsi="Arial" w:cs="Arial"/>
          <w:lang w:val="en-ID"/>
        </w:rPr>
      </w:pPr>
      <w:bookmarkStart w:id="272" w:name="_Toc147172831"/>
      <w:bookmarkStart w:id="273" w:name="_Toc147173088"/>
      <w:bookmarkStart w:id="274" w:name="_Toc147173256"/>
      <w:bookmarkStart w:id="275" w:name="_Toc147830059"/>
      <w:bookmarkStart w:id="276" w:name="_Toc147830281"/>
      <w:bookmarkStart w:id="277" w:name="_Toc154134792"/>
      <w:bookmarkStart w:id="278" w:name="_Toc154135233"/>
      <w:bookmarkStart w:id="279" w:name="_Toc154135484"/>
      <w:bookmarkStart w:id="280" w:name="_Toc159492693"/>
      <w:r w:rsidRPr="001844F8">
        <w:rPr>
          <w:rFonts w:ascii="Arial" w:hAnsi="Arial" w:cs="Arial"/>
          <w:lang w:val="en-ID"/>
        </w:rPr>
        <w:t>Hypothesis Testing Results</w:t>
      </w:r>
      <w:bookmarkEnd w:id="272"/>
      <w:bookmarkEnd w:id="273"/>
      <w:bookmarkEnd w:id="274"/>
      <w:bookmarkEnd w:id="275"/>
      <w:bookmarkEnd w:id="276"/>
      <w:bookmarkEnd w:id="277"/>
      <w:bookmarkEnd w:id="278"/>
      <w:bookmarkEnd w:id="279"/>
      <w:bookmarkEnd w:id="280"/>
    </w:p>
    <w:p w:rsidR="001844F8" w:rsidRPr="001844F8" w:rsidRDefault="001844F8" w:rsidP="001844F8">
      <w:pPr>
        <w:pStyle w:val="Body"/>
        <w:rPr>
          <w:rFonts w:ascii="Arial" w:hAnsi="Arial" w:cs="Arial"/>
        </w:rPr>
      </w:pPr>
      <w:r w:rsidRPr="001844F8">
        <w:rPr>
          <w:rFonts w:ascii="Arial" w:hAnsi="Arial" w:cs="Arial"/>
        </w:rPr>
        <w:t>The hypothesis test carried out in this research used AMOS 24 software by looking at the output results of standardized regression weights based on the Probability (P) value. If the probability value is ≤ 0.05, then the hypothesis is accepted, conversely if the probability value is &gt; 0.05 then the hypothesis is rejected.</w:t>
      </w:r>
    </w:p>
    <w:p w:rsidR="001844F8" w:rsidRPr="001844F8" w:rsidRDefault="001844F8" w:rsidP="001844F8">
      <w:pPr>
        <w:pStyle w:val="Body"/>
        <w:rPr>
          <w:rFonts w:ascii="Arial" w:hAnsi="Arial" w:cs="Arial"/>
          <w:lang w:val="en-ID"/>
        </w:rPr>
      </w:pPr>
      <w:bookmarkStart w:id="281" w:name="_Toc86189062"/>
      <w:bookmarkStart w:id="282" w:name="_Toc86238636"/>
      <w:bookmarkStart w:id="283" w:name="_Toc86238798"/>
      <w:bookmarkStart w:id="284" w:name="_Toc86240619"/>
      <w:bookmarkStart w:id="285" w:name="_Toc86240857"/>
      <w:bookmarkStart w:id="286" w:name="_Toc86354694"/>
      <w:bookmarkStart w:id="287" w:name="_Toc86767461"/>
      <w:bookmarkStart w:id="288" w:name="_Toc89343861"/>
      <w:bookmarkStart w:id="289" w:name="_Toc89344293"/>
      <w:bookmarkStart w:id="290" w:name="_Toc147172630"/>
      <w:bookmarkStart w:id="291" w:name="_Toc147173089"/>
      <w:bookmarkStart w:id="292" w:name="_Toc147173257"/>
      <w:bookmarkStart w:id="293" w:name="_Toc147830060"/>
      <w:bookmarkStart w:id="294" w:name="_Toc147830282"/>
      <w:bookmarkStart w:id="295" w:name="_Toc153835451"/>
      <w:bookmarkStart w:id="296" w:name="_Toc153854690"/>
      <w:bookmarkStart w:id="297" w:name="_Toc154134793"/>
      <w:bookmarkStart w:id="298" w:name="_Toc154135234"/>
      <w:bookmarkStart w:id="299" w:name="_Toc154135485"/>
      <w:bookmarkStart w:id="300" w:name="_Toc159492694"/>
      <w:r w:rsidRPr="001844F8">
        <w:rPr>
          <w:rFonts w:ascii="Arial" w:hAnsi="Arial" w:cs="Arial"/>
          <w:b/>
          <w:bCs/>
          <w:lang w:val="en-ID"/>
        </w:rPr>
        <w:lastRenderedPageBreak/>
        <w:t>Table 17.</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1844F8">
        <w:rPr>
          <w:rFonts w:ascii="Arial" w:hAnsi="Arial" w:cs="Arial"/>
          <w:b/>
          <w:bCs/>
          <w:lang w:val="en-ID"/>
        </w:rPr>
        <w:t xml:space="preserve"> </w:t>
      </w:r>
      <w:r w:rsidRPr="001844F8">
        <w:rPr>
          <w:rFonts w:ascii="Arial" w:hAnsi="Arial" w:cs="Arial"/>
          <w:lang w:val="en-ID"/>
        </w:rPr>
        <w:t>Standardized Regression Weights</w:t>
      </w:r>
    </w:p>
    <w:tbl>
      <w:tblPr>
        <w:tblW w:w="5000" w:type="pct"/>
        <w:jc w:val="center"/>
        <w:tblLook w:val="04A0" w:firstRow="1" w:lastRow="0" w:firstColumn="1" w:lastColumn="0" w:noHBand="0" w:noVBand="1"/>
      </w:tblPr>
      <w:tblGrid>
        <w:gridCol w:w="1465"/>
        <w:gridCol w:w="1245"/>
        <w:gridCol w:w="1205"/>
        <w:gridCol w:w="1205"/>
        <w:gridCol w:w="1058"/>
        <w:gridCol w:w="2246"/>
      </w:tblGrid>
      <w:tr w:rsidR="001844F8" w:rsidRPr="001844F8" w:rsidTr="00A6061B">
        <w:trPr>
          <w:trHeight w:val="315"/>
          <w:jc w:val="center"/>
        </w:trPr>
        <w:tc>
          <w:tcPr>
            <w:tcW w:w="870" w:type="pct"/>
            <w:tcBorders>
              <w:top w:val="single" w:sz="4" w:space="0" w:color="auto"/>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Influence</w:t>
            </w:r>
          </w:p>
        </w:tc>
        <w:tc>
          <w:tcPr>
            <w:tcW w:w="739" w:type="pct"/>
            <w:tcBorders>
              <w:top w:val="single" w:sz="4" w:space="0" w:color="auto"/>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Estimate</w:t>
            </w:r>
          </w:p>
        </w:tc>
        <w:tc>
          <w:tcPr>
            <w:tcW w:w="715" w:type="pct"/>
            <w:tcBorders>
              <w:top w:val="single" w:sz="4" w:space="0" w:color="auto"/>
              <w:left w:val="nil"/>
              <w:bottom w:val="single" w:sz="4" w:space="0" w:color="auto"/>
              <w:right w:val="nil"/>
            </w:tcBorders>
            <w:noWrap/>
            <w:vAlign w:val="bottom"/>
            <w:hideMark/>
          </w:tcPr>
          <w:p w:rsidR="001844F8" w:rsidRPr="001844F8" w:rsidRDefault="001844F8" w:rsidP="001844F8">
            <w:pPr>
              <w:pStyle w:val="Body"/>
              <w:rPr>
                <w:rFonts w:ascii="Arial" w:hAnsi="Arial" w:cs="Arial"/>
              </w:rPr>
            </w:pPr>
            <w:proofErr w:type="gramStart"/>
            <w:r w:rsidRPr="001844F8">
              <w:rPr>
                <w:rFonts w:ascii="Arial" w:hAnsi="Arial" w:cs="Arial"/>
              </w:rPr>
              <w:t>S.E</w:t>
            </w:r>
            <w:proofErr w:type="gramEnd"/>
          </w:p>
        </w:tc>
        <w:tc>
          <w:tcPr>
            <w:tcW w:w="715" w:type="pct"/>
            <w:tcBorders>
              <w:top w:val="single" w:sz="4" w:space="0" w:color="auto"/>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CR</w:t>
            </w:r>
          </w:p>
        </w:tc>
        <w:tc>
          <w:tcPr>
            <w:tcW w:w="628" w:type="pct"/>
            <w:tcBorders>
              <w:top w:val="single" w:sz="4" w:space="0" w:color="auto"/>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P</w:t>
            </w:r>
          </w:p>
        </w:tc>
        <w:tc>
          <w:tcPr>
            <w:tcW w:w="1335" w:type="pct"/>
            <w:tcBorders>
              <w:top w:val="single" w:sz="4" w:space="0" w:color="auto"/>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Information</w:t>
            </w:r>
          </w:p>
        </w:tc>
      </w:tr>
      <w:tr w:rsidR="001844F8" w:rsidRPr="001844F8" w:rsidTr="00A6061B">
        <w:trPr>
          <w:trHeight w:val="315"/>
          <w:jc w:val="center"/>
        </w:trPr>
        <w:tc>
          <w:tcPr>
            <w:tcW w:w="870"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FA → NI</w:t>
            </w:r>
          </w:p>
        </w:tc>
        <w:tc>
          <w:tcPr>
            <w:tcW w:w="739"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0.447</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0.128</w:t>
            </w:r>
          </w:p>
        </w:tc>
        <w:tc>
          <w:tcPr>
            <w:tcW w:w="71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3,508</w:t>
            </w:r>
          </w:p>
        </w:tc>
        <w:tc>
          <w:tcPr>
            <w:tcW w:w="62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w:t>
            </w:r>
          </w:p>
        </w:tc>
        <w:tc>
          <w:tcPr>
            <w:tcW w:w="133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Significant</w:t>
            </w:r>
          </w:p>
        </w:tc>
      </w:tr>
      <w:tr w:rsidR="001844F8" w:rsidRPr="001844F8" w:rsidTr="00A6061B">
        <w:trPr>
          <w:trHeight w:val="315"/>
          <w:jc w:val="center"/>
        </w:trPr>
        <w:tc>
          <w:tcPr>
            <w:tcW w:w="870"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NS → NI</w:t>
            </w:r>
          </w:p>
        </w:tc>
        <w:tc>
          <w:tcPr>
            <w:tcW w:w="739"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-0.168</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0.107</w:t>
            </w:r>
          </w:p>
        </w:tc>
        <w:tc>
          <w:tcPr>
            <w:tcW w:w="71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-1,568</w:t>
            </w:r>
          </w:p>
        </w:tc>
        <w:tc>
          <w:tcPr>
            <w:tcW w:w="62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0.117</w:t>
            </w:r>
          </w:p>
        </w:tc>
        <w:tc>
          <w:tcPr>
            <w:tcW w:w="133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Not significant</w:t>
            </w:r>
          </w:p>
        </w:tc>
      </w:tr>
      <w:tr w:rsidR="001844F8" w:rsidRPr="001844F8" w:rsidTr="00A6061B">
        <w:trPr>
          <w:trHeight w:val="315"/>
          <w:jc w:val="center"/>
        </w:trPr>
        <w:tc>
          <w:tcPr>
            <w:tcW w:w="870"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FSE → NI</w:t>
            </w:r>
          </w:p>
        </w:tc>
        <w:tc>
          <w:tcPr>
            <w:tcW w:w="7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0.105</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0.118</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0.891</w:t>
            </w:r>
          </w:p>
        </w:tc>
        <w:tc>
          <w:tcPr>
            <w:tcW w:w="62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0.373</w:t>
            </w:r>
          </w:p>
        </w:tc>
        <w:tc>
          <w:tcPr>
            <w:tcW w:w="133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Not significant</w:t>
            </w:r>
          </w:p>
        </w:tc>
      </w:tr>
      <w:tr w:rsidR="001844F8" w:rsidRPr="001844F8" w:rsidTr="00A6061B">
        <w:trPr>
          <w:trHeight w:val="315"/>
          <w:jc w:val="center"/>
        </w:trPr>
        <w:tc>
          <w:tcPr>
            <w:tcW w:w="870"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FK → NI</w:t>
            </w:r>
          </w:p>
        </w:tc>
        <w:tc>
          <w:tcPr>
            <w:tcW w:w="7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0.441</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0.094</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4,677</w:t>
            </w:r>
          </w:p>
        </w:tc>
        <w:tc>
          <w:tcPr>
            <w:tcW w:w="62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w:t>
            </w:r>
          </w:p>
        </w:tc>
        <w:tc>
          <w:tcPr>
            <w:tcW w:w="133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Significant</w:t>
            </w:r>
          </w:p>
        </w:tc>
      </w:tr>
      <w:tr w:rsidR="001844F8" w:rsidRPr="001844F8" w:rsidTr="00A6061B">
        <w:trPr>
          <w:trHeight w:val="315"/>
          <w:jc w:val="center"/>
        </w:trPr>
        <w:tc>
          <w:tcPr>
            <w:tcW w:w="870"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FK → FA</w:t>
            </w:r>
          </w:p>
        </w:tc>
        <w:tc>
          <w:tcPr>
            <w:tcW w:w="7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0.161</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0.068</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2,383</w:t>
            </w:r>
          </w:p>
        </w:tc>
        <w:tc>
          <w:tcPr>
            <w:tcW w:w="62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0.017</w:t>
            </w:r>
          </w:p>
        </w:tc>
        <w:tc>
          <w:tcPr>
            <w:tcW w:w="133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Significant</w:t>
            </w:r>
          </w:p>
        </w:tc>
      </w:tr>
      <w:tr w:rsidR="001844F8" w:rsidRPr="001844F8" w:rsidTr="00A6061B">
        <w:trPr>
          <w:trHeight w:val="315"/>
          <w:jc w:val="center"/>
        </w:trPr>
        <w:tc>
          <w:tcPr>
            <w:tcW w:w="870"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PT → NI</w:t>
            </w:r>
          </w:p>
        </w:tc>
        <w:tc>
          <w:tcPr>
            <w:tcW w:w="7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0.231</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0.139</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1,665</w:t>
            </w:r>
          </w:p>
        </w:tc>
        <w:tc>
          <w:tcPr>
            <w:tcW w:w="62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0.096</w:t>
            </w:r>
          </w:p>
        </w:tc>
        <w:tc>
          <w:tcPr>
            <w:tcW w:w="133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Not significant</w:t>
            </w:r>
          </w:p>
        </w:tc>
      </w:tr>
      <w:tr w:rsidR="001844F8" w:rsidRPr="001844F8" w:rsidTr="00A6061B">
        <w:trPr>
          <w:trHeight w:val="315"/>
          <w:jc w:val="center"/>
        </w:trPr>
        <w:tc>
          <w:tcPr>
            <w:tcW w:w="870"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PT → FSE</w:t>
            </w:r>
          </w:p>
        </w:tc>
        <w:tc>
          <w:tcPr>
            <w:tcW w:w="7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0.367</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0.100</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3,674</w:t>
            </w:r>
          </w:p>
        </w:tc>
        <w:tc>
          <w:tcPr>
            <w:tcW w:w="62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w:t>
            </w:r>
          </w:p>
        </w:tc>
        <w:tc>
          <w:tcPr>
            <w:tcW w:w="133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Significant</w:t>
            </w: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lang w:val="en-ID"/>
        </w:rPr>
      </w:pPr>
      <w:bookmarkStart w:id="301" w:name="_Toc86238453"/>
      <w:bookmarkStart w:id="302" w:name="_Toc86238641"/>
      <w:bookmarkStart w:id="303" w:name="_Toc86241829"/>
      <w:bookmarkStart w:id="304" w:name="_Toc86354699"/>
      <w:bookmarkStart w:id="305" w:name="_Toc86767466"/>
      <w:bookmarkStart w:id="306" w:name="_Toc147172833"/>
      <w:bookmarkStart w:id="307" w:name="_Toc147173090"/>
      <w:bookmarkStart w:id="308" w:name="_Toc147173258"/>
      <w:bookmarkStart w:id="309" w:name="_Toc147830061"/>
      <w:bookmarkStart w:id="310" w:name="_Toc147830283"/>
      <w:bookmarkStart w:id="311" w:name="_Toc154134794"/>
      <w:bookmarkStart w:id="312" w:name="_Toc154135235"/>
      <w:bookmarkStart w:id="313" w:name="_Toc154135486"/>
      <w:bookmarkStart w:id="314" w:name="_Toc159492695"/>
      <w:r w:rsidRPr="001844F8">
        <w:rPr>
          <w:rFonts w:ascii="Arial" w:hAnsi="Arial" w:cs="Arial"/>
          <w:lang w:val="en-ID"/>
        </w:rPr>
        <w:t>The results of the 1st Hypothesis test show that the financial attitude variable has a significant effect on investment intentions, with a probability value of 0.000 &lt; 0.05. Thus hypothesis 1 is accepted. The results of the 2nd Hypothesis test show that the subjective norm variable has no significant effect on investment intentions with a probability value of 0.117 &gt; 0.05. These results show that subjective norms have a negative and insignificant effect on investment intentions. Thus hypothesis 2 is rejected. The results of the 3rd Hypothesis test show that financial self-efficacy does not have a significant effect on investment intentions. with a probability value of 0.373 &gt; 0.05. These results state that hypothesis 3 is rejected. The results of the 4th Hypothesis test show that financial knowledge has a significant effect on investment intentions. With a probability value of 0.017 &lt;0.05. These results state that hypothesis 4 is accepted. The results of the 5th Hypothesis test show that financial knowledge has a significant effect on financial attitude with a probability value of 0.000 &lt; 0.05. Thus hypothesis 5 is declared accepted. The results of the 6th Hypothesis test show that personality traits have no effect</w:t>
      </w:r>
      <w:bookmarkStart w:id="315" w:name="_Hlk155337761"/>
      <w:bookmarkStart w:id="316" w:name="_Toc86238454"/>
      <w:bookmarkStart w:id="317" w:name="_Toc86238642"/>
      <w:bookmarkStart w:id="318" w:name="_Toc86241830"/>
      <w:bookmarkStart w:id="319" w:name="_Toc86354700"/>
      <w:bookmarkStart w:id="320" w:name="_Toc86767467"/>
      <w:bookmarkStart w:id="321" w:name="_Toc147172834"/>
      <w:bookmarkStart w:id="322" w:name="_Toc147173091"/>
      <w:bookmarkStart w:id="323" w:name="_Toc147173259"/>
      <w:bookmarkStart w:id="324" w:name="_Toc147830062"/>
      <w:bookmarkStart w:id="325" w:name="_Toc147830284"/>
      <w:bookmarkStart w:id="326" w:name="_Toc154134795"/>
      <w:bookmarkStart w:id="327" w:name="_Toc154135236"/>
      <w:bookmarkStart w:id="328" w:name="_Toc154135487"/>
      <w:bookmarkStart w:id="329" w:name="_Toc159492696"/>
      <w:bookmarkStart w:id="330" w:name="_Hlk155337780"/>
      <w:bookmarkStart w:id="331" w:name="_Toc86238455"/>
      <w:bookmarkStart w:id="332" w:name="_Toc86238643"/>
      <w:bookmarkStart w:id="333" w:name="_Toc86241831"/>
      <w:bookmarkStart w:id="334" w:name="_Toc86354701"/>
      <w:bookmarkStart w:id="335" w:name="_Toc86767468"/>
      <w:bookmarkStart w:id="336" w:name="_Toc147172835"/>
      <w:bookmarkStart w:id="337" w:name="_Toc147173092"/>
      <w:bookmarkStart w:id="338" w:name="_Toc147173260"/>
      <w:bookmarkStart w:id="339" w:name="_Toc147830063"/>
      <w:bookmarkStart w:id="340" w:name="_Toc147830285"/>
      <w:bookmarkStart w:id="341" w:name="_Toc154134796"/>
      <w:bookmarkStart w:id="342" w:name="_Toc154135237"/>
      <w:bookmarkStart w:id="343" w:name="_Toc154135488"/>
      <w:bookmarkStart w:id="344" w:name="_Toc159492697"/>
      <w:bookmarkStart w:id="345" w:name="_Toc86238456"/>
      <w:bookmarkStart w:id="346" w:name="_Toc86238644"/>
      <w:bookmarkStart w:id="347" w:name="_Toc86241832"/>
      <w:bookmarkStart w:id="348" w:name="_Toc86354702"/>
      <w:bookmarkStart w:id="349" w:name="_Toc86767469"/>
      <w:bookmarkStart w:id="350" w:name="_Toc147172836"/>
      <w:bookmarkStart w:id="351" w:name="_Toc147173093"/>
      <w:bookmarkStart w:id="352" w:name="_Toc147173261"/>
      <w:bookmarkStart w:id="353" w:name="_Toc147830064"/>
      <w:bookmarkStart w:id="354" w:name="_Toc147830286"/>
      <w:bookmarkStart w:id="355" w:name="_Toc154134797"/>
      <w:bookmarkStart w:id="356" w:name="_Toc154135238"/>
      <w:bookmarkStart w:id="357" w:name="_Toc154135489"/>
      <w:bookmarkStart w:id="358" w:name="_Toc159492698"/>
      <w:bookmarkStart w:id="359" w:name="_Toc147172837"/>
      <w:bookmarkStart w:id="360" w:name="_Toc147173094"/>
      <w:bookmarkStart w:id="361" w:name="_Toc147173262"/>
      <w:bookmarkStart w:id="362" w:name="_Toc147830065"/>
      <w:bookmarkStart w:id="363" w:name="_Toc147830287"/>
      <w:bookmarkStart w:id="364" w:name="_Toc154134798"/>
      <w:bookmarkStart w:id="365" w:name="_Toc154135239"/>
      <w:bookmarkStart w:id="366" w:name="_Toc154135490"/>
      <w:bookmarkStart w:id="367" w:name="_Toc159492699"/>
      <w:bookmarkStart w:id="368" w:name="_Toc86238457"/>
      <w:bookmarkStart w:id="369" w:name="_Toc86238645"/>
      <w:bookmarkStart w:id="370" w:name="_Toc86241833"/>
      <w:bookmarkStart w:id="371" w:name="_Toc86354703"/>
      <w:bookmarkStart w:id="372" w:name="_Toc86767470"/>
      <w:bookmarkStart w:id="373" w:name="_Toc147172838"/>
      <w:bookmarkStart w:id="374" w:name="_Toc147173095"/>
      <w:bookmarkStart w:id="375" w:name="_Toc147173263"/>
      <w:bookmarkStart w:id="376" w:name="_Toc147830066"/>
      <w:bookmarkStart w:id="377" w:name="_Toc147830288"/>
      <w:bookmarkStart w:id="378" w:name="_Toc154134799"/>
      <w:bookmarkStart w:id="379" w:name="_Toc154135240"/>
      <w:bookmarkStart w:id="380" w:name="_Toc154135491"/>
      <w:bookmarkStart w:id="381" w:name="_Toc1594927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1844F8">
        <w:rPr>
          <w:rFonts w:ascii="Arial" w:hAnsi="Arial" w:cs="Arial"/>
          <w:lang w:val="en-ID"/>
        </w:rPr>
        <w:t xml:space="preserve"> spirit is significant for investment intentions, with a probability value of 0.096 &gt; 0.05. These results indicate that hypothesis 6 is rejected. The results of the 7th Hypothesis test show that personality traits have a significant influence on financial self-efficacy with a probability value of 0.000 &lt; 0.05. These results conclude that hypothesis 7 is accepted.</w:t>
      </w:r>
      <w:bookmarkStart w:id="382" w:name="_Toc147172839"/>
      <w:bookmarkStart w:id="383" w:name="_Toc147173096"/>
      <w:bookmarkStart w:id="384" w:name="_Toc147173264"/>
      <w:bookmarkStart w:id="385" w:name="_Toc147830067"/>
      <w:bookmarkStart w:id="386" w:name="_Toc147830289"/>
      <w:bookmarkStart w:id="387" w:name="_Toc154134800"/>
      <w:bookmarkStart w:id="388" w:name="_Toc154135241"/>
      <w:bookmarkStart w:id="389" w:name="_Toc154135492"/>
      <w:bookmarkStart w:id="390" w:name="_Toc159492701"/>
      <w:bookmarkEnd w:id="382"/>
      <w:bookmarkEnd w:id="383"/>
      <w:bookmarkEnd w:id="384"/>
      <w:bookmarkEnd w:id="385"/>
      <w:bookmarkEnd w:id="386"/>
      <w:bookmarkEnd w:id="387"/>
      <w:bookmarkEnd w:id="388"/>
      <w:bookmarkEnd w:id="389"/>
      <w:bookmarkEnd w:id="390"/>
    </w:p>
    <w:p w:rsidR="001844F8" w:rsidRPr="001844F8" w:rsidRDefault="001844F8" w:rsidP="001844F8">
      <w:pPr>
        <w:pStyle w:val="Body"/>
        <w:rPr>
          <w:rFonts w:ascii="Arial" w:hAnsi="Arial" w:cs="Arial"/>
          <w:lang w:val="en-ID"/>
        </w:rPr>
      </w:pPr>
      <w:r w:rsidRPr="001844F8">
        <w:rPr>
          <w:rFonts w:ascii="Arial" w:hAnsi="Arial" w:cs="Arial"/>
          <w:lang w:val="en-ID"/>
        </w:rPr>
        <w:t xml:space="preserve">Meanwhile, testing the 8th and 9th hypotheses in this study used </w:t>
      </w:r>
      <w:proofErr w:type="spellStart"/>
      <w:r w:rsidRPr="001844F8">
        <w:rPr>
          <w:rFonts w:ascii="Arial" w:hAnsi="Arial" w:cs="Arial"/>
          <w:lang w:val="en-ID"/>
        </w:rPr>
        <w:t>sobel</w:t>
      </w:r>
      <w:proofErr w:type="spellEnd"/>
      <w:r w:rsidRPr="001844F8">
        <w:rPr>
          <w:rFonts w:ascii="Arial" w:hAnsi="Arial" w:cs="Arial"/>
          <w:lang w:val="en-ID"/>
        </w:rPr>
        <w:t xml:space="preserve"> test analysis. Sobel test analysis is used to determine the influence of financial knowledge on investment intentions which is mediated by financial attitude (Sobel test 1) and the influence of personality traits on investment intentions which is mediated by financial self-efficacy (Sobel test 2) using an online calculator. The results of the </w:t>
      </w:r>
      <w:proofErr w:type="spellStart"/>
      <w:r w:rsidRPr="001844F8">
        <w:rPr>
          <w:rFonts w:ascii="Arial" w:hAnsi="Arial" w:cs="Arial"/>
          <w:lang w:val="en-ID"/>
        </w:rPr>
        <w:t>sobel</w:t>
      </w:r>
      <w:proofErr w:type="spellEnd"/>
      <w:r w:rsidRPr="001844F8">
        <w:rPr>
          <w:rFonts w:ascii="Arial" w:hAnsi="Arial" w:cs="Arial"/>
          <w:lang w:val="en-ID"/>
        </w:rPr>
        <w:t xml:space="preserve"> test that has been carried out appear in table 18 and table 19 as follows.</w:t>
      </w:r>
    </w:p>
    <w:p w:rsidR="001844F8" w:rsidRPr="001844F8" w:rsidRDefault="001844F8" w:rsidP="001844F8">
      <w:pPr>
        <w:pStyle w:val="Body"/>
        <w:rPr>
          <w:rFonts w:ascii="Arial" w:hAnsi="Arial" w:cs="Arial"/>
        </w:rPr>
      </w:pPr>
      <w:r w:rsidRPr="001844F8">
        <w:rPr>
          <w:rFonts w:ascii="Arial" w:hAnsi="Arial" w:cs="Arial"/>
          <w:noProof/>
        </w:rPr>
        <w:lastRenderedPageBreak/>
        <w:drawing>
          <wp:inline distT="0" distB="0" distL="0" distR="0" wp14:anchorId="057CAE0A" wp14:editId="1B2D5900">
            <wp:extent cx="4438499" cy="1028700"/>
            <wp:effectExtent l="0" t="0" r="635" b="0"/>
            <wp:docPr id="298488215" name="Picture 298488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161" t="4633" r="1487" b="5439"/>
                    <a:stretch/>
                  </pic:blipFill>
                  <pic:spPr bwMode="auto">
                    <a:xfrm>
                      <a:off x="0" y="0"/>
                      <a:ext cx="4543318" cy="1052994"/>
                    </a:xfrm>
                    <a:prstGeom prst="rect">
                      <a:avLst/>
                    </a:prstGeom>
                    <a:ln>
                      <a:noFill/>
                    </a:ln>
                    <a:extLst>
                      <a:ext uri="{53640926-AAD7-44D8-BBD7-CCE9431645EC}">
                        <a14:shadowObscured xmlns:a14="http://schemas.microsoft.com/office/drawing/2010/main"/>
                      </a:ext>
                    </a:extLst>
                  </pic:spPr>
                </pic:pic>
              </a:graphicData>
            </a:graphic>
          </wp:inline>
        </w:drawing>
      </w:r>
    </w:p>
    <w:p w:rsidR="001844F8" w:rsidRPr="001844F8" w:rsidRDefault="001844F8" w:rsidP="001844F8">
      <w:pPr>
        <w:pStyle w:val="Body"/>
        <w:rPr>
          <w:rFonts w:ascii="Arial" w:hAnsi="Arial" w:cs="Arial"/>
          <w:lang w:val="en-ID"/>
        </w:rPr>
      </w:pPr>
      <w:r w:rsidRPr="001844F8">
        <w:rPr>
          <w:rFonts w:ascii="Arial" w:hAnsi="Arial" w:cs="Arial"/>
          <w:b/>
          <w:bCs/>
          <w:lang w:val="en-ID"/>
        </w:rPr>
        <w:t>Table 18.</w:t>
      </w:r>
      <w:r w:rsidRPr="001844F8">
        <w:rPr>
          <w:rFonts w:ascii="Arial" w:hAnsi="Arial" w:cs="Arial"/>
          <w:lang w:val="en-ID"/>
        </w:rPr>
        <w:t>Sobel Test 1</w:t>
      </w:r>
    </w:p>
    <w:p w:rsidR="001844F8" w:rsidRPr="001844F8" w:rsidRDefault="001844F8" w:rsidP="001844F8">
      <w:pPr>
        <w:pStyle w:val="Body"/>
        <w:rPr>
          <w:rFonts w:ascii="Arial" w:hAnsi="Arial" w:cs="Arial"/>
        </w:rPr>
      </w:pPr>
    </w:p>
    <w:p w:rsidR="001844F8" w:rsidRPr="001844F8" w:rsidRDefault="001844F8" w:rsidP="001844F8">
      <w:pPr>
        <w:pStyle w:val="Body"/>
        <w:rPr>
          <w:rFonts w:ascii="Arial" w:hAnsi="Arial" w:cs="Arial"/>
        </w:rPr>
      </w:pPr>
      <w:r w:rsidRPr="001844F8">
        <w:rPr>
          <w:rFonts w:ascii="Arial" w:hAnsi="Arial" w:cs="Arial"/>
        </w:rPr>
        <w:t>In table 18, it is found that the significance level or probability value for Sobel Test 1 is 0.0487 &lt; 0.05. This result means that financial attitude can mediate the influence of financial knowledge on investment intentions. Thus hypothesis 8 is accepted.</w:t>
      </w:r>
    </w:p>
    <w:p w:rsidR="001844F8" w:rsidRPr="001844F8" w:rsidRDefault="001844F8" w:rsidP="001844F8">
      <w:pPr>
        <w:pStyle w:val="Body"/>
        <w:rPr>
          <w:rFonts w:ascii="Arial" w:hAnsi="Arial" w:cs="Arial"/>
        </w:rPr>
      </w:pPr>
      <w:r w:rsidRPr="001844F8">
        <w:rPr>
          <w:rFonts w:ascii="Arial" w:hAnsi="Arial" w:cs="Arial"/>
          <w:noProof/>
        </w:rPr>
        <w:drawing>
          <wp:inline distT="0" distB="0" distL="0" distR="0" wp14:anchorId="35BC24A6" wp14:editId="0DD6D15E">
            <wp:extent cx="5295900" cy="1238250"/>
            <wp:effectExtent l="0" t="0" r="0" b="0"/>
            <wp:docPr id="246097474" name="Picture 246097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3497" r="1744" b="5586"/>
                    <a:stretch/>
                  </pic:blipFill>
                  <pic:spPr bwMode="auto">
                    <a:xfrm>
                      <a:off x="0" y="0"/>
                      <a:ext cx="5316526" cy="1243073"/>
                    </a:xfrm>
                    <a:prstGeom prst="rect">
                      <a:avLst/>
                    </a:prstGeom>
                    <a:ln>
                      <a:noFill/>
                    </a:ln>
                    <a:extLst>
                      <a:ext uri="{53640926-AAD7-44D8-BBD7-CCE9431645EC}">
                        <a14:shadowObscured xmlns:a14="http://schemas.microsoft.com/office/drawing/2010/main"/>
                      </a:ext>
                    </a:extLst>
                  </pic:spPr>
                </pic:pic>
              </a:graphicData>
            </a:graphic>
          </wp:inline>
        </w:drawing>
      </w:r>
    </w:p>
    <w:p w:rsidR="001844F8" w:rsidRPr="001844F8" w:rsidRDefault="001844F8" w:rsidP="001844F8">
      <w:pPr>
        <w:pStyle w:val="Body"/>
        <w:rPr>
          <w:rFonts w:ascii="Arial" w:hAnsi="Arial" w:cs="Arial"/>
          <w:lang w:val="en-ID"/>
        </w:rPr>
      </w:pPr>
      <w:r w:rsidRPr="001844F8">
        <w:rPr>
          <w:rFonts w:ascii="Arial" w:hAnsi="Arial" w:cs="Arial"/>
          <w:b/>
          <w:bCs/>
          <w:lang w:val="en-ID"/>
        </w:rPr>
        <w:t>Table 19.</w:t>
      </w:r>
      <w:r w:rsidRPr="001844F8">
        <w:rPr>
          <w:rFonts w:ascii="Arial" w:hAnsi="Arial" w:cs="Arial"/>
          <w:lang w:val="en-ID"/>
        </w:rPr>
        <w:t>Sobel Test 2</w:t>
      </w:r>
    </w:p>
    <w:p w:rsidR="001844F8" w:rsidRPr="001844F8" w:rsidRDefault="001844F8" w:rsidP="001844F8">
      <w:pPr>
        <w:pStyle w:val="Body"/>
        <w:rPr>
          <w:rFonts w:ascii="Arial" w:hAnsi="Arial" w:cs="Arial"/>
        </w:rPr>
      </w:pPr>
      <w:r w:rsidRPr="001844F8">
        <w:rPr>
          <w:rFonts w:ascii="Arial" w:hAnsi="Arial" w:cs="Arial"/>
        </w:rPr>
        <w:t>In table 19, it is found that the significance level or probability value for Sobel Test 2 is 0.3906 &gt; 0.05. This result means that financial self-efficacy traits cannot mediate the influence of personality on investment intentions. Thus hypothesis 9 is rejected.</w:t>
      </w:r>
    </w:p>
    <w:p w:rsidR="001844F8" w:rsidRPr="001844F8" w:rsidRDefault="001844F8" w:rsidP="001844F8">
      <w:pPr>
        <w:pStyle w:val="Body"/>
        <w:rPr>
          <w:rFonts w:ascii="Arial" w:hAnsi="Arial" w:cs="Arial"/>
          <w:b/>
          <w:bCs/>
        </w:rPr>
      </w:pPr>
    </w:p>
    <w:p w:rsidR="001844F8" w:rsidRPr="001844F8" w:rsidRDefault="001844F8" w:rsidP="001844F8">
      <w:pPr>
        <w:pStyle w:val="Body"/>
        <w:rPr>
          <w:rFonts w:ascii="Arial" w:hAnsi="Arial" w:cs="Arial"/>
          <w:b/>
          <w:bCs/>
          <w:lang w:val="sv-SE"/>
        </w:rPr>
      </w:pPr>
      <w:r w:rsidRPr="001844F8">
        <w:rPr>
          <w:rFonts w:ascii="Arial" w:hAnsi="Arial" w:cs="Arial"/>
          <w:b/>
          <w:bCs/>
          <w:lang w:val="sv-SE"/>
        </w:rPr>
        <w:t>Discussion</w:t>
      </w:r>
    </w:p>
    <w:p w:rsidR="001844F8" w:rsidRPr="001844F8" w:rsidRDefault="001844F8" w:rsidP="001844F8">
      <w:pPr>
        <w:pStyle w:val="Body"/>
        <w:rPr>
          <w:rFonts w:ascii="Arial" w:hAnsi="Arial" w:cs="Arial"/>
        </w:rPr>
      </w:pPr>
      <w:r w:rsidRPr="001844F8">
        <w:rPr>
          <w:rFonts w:ascii="Arial" w:hAnsi="Arial" w:cs="Arial"/>
        </w:rPr>
        <w:t xml:space="preserve">The results of the first test show that financial attitude has a positive and significant effect on investment intentions. These results reflect that the higher the financial attitude, the greater the intention to invest in the capital market. These results are in line with research conducted by </w:t>
      </w:r>
      <w:r w:rsidRPr="001844F8">
        <w:rPr>
          <w:rFonts w:ascii="Arial" w:hAnsi="Arial" w:cs="Arial"/>
        </w:rPr>
        <w:fldChar w:fldCharType="begin" w:fldLock="1"/>
      </w:r>
      <w:r w:rsidRPr="001844F8">
        <w:rPr>
          <w:rFonts w:ascii="Arial" w:hAnsi="Arial" w:cs="Arial"/>
        </w:rPr>
        <w:instrText>ADDIN CSL_CITATION {"citationItems":[{"id":"ITEM-1","itemData":{"DOI":"10.1108/IJBM-08-2017-0167","ISSN":"02652323","abstract":"Purpose: The purpose of this paper is to understand investment intention of prospective individual investors in a developing country (i.e. India) by using the “Theory of Planned Behaviour” (TPB) (where perceived behavioural control has been replaced with financial self-efficacy, FSE) and two additional constructs, i.e. financial knowledge and personality traits (i.e. risk-taking propensity and preference for innovation) have been introduced. Design/methodology/approach: The study uses quantitative and cross-sectional approach wherein questionnaire based survey was done to collect responses from prospective individual investors (920 usable responses). AMOS and SPSS have been used to establish the hypothesised relationship between the constructs. Findings: The results of the study suggested that attitude was responsible for partial mediation between the relationship of financial knowledge and investment intention, whereas financial self-efficacy was exerting a dual role on the relationship between personality traits and investment intention. Subjective norms, on the other hand, exerted a weak positive effect on investment intention. Research limitations/implications: This study is limited to measure the investment intention in financial markets in case of prospective individual investors; it does not incorporate the actual investment behaviour, the study also fails to include demographic factors which play a vital role in investment decision making. Furthermore, the study has only considered objective dimension of financial knowledge. Practical implications: The findings will be useful for financial service providers who need to enhance the FSE and financial knowledge and design a “behavioural portfolio” according the personality traits of their clients. Social implications: The up-liftment of financial confidence among individuals in order to motivate them to participate in financial markets and enjoy “short-cuts” towards financial success. Originality/value: This study is one of the initial attempts in the context of the Indian Stock Market to introduce FSE as a dual (both mediating and moderating) construct between personality traits and investment intention using TPB, moreover, this study also provides the necessary impetus to analyse the relationship between financial knowledge and investment intention with attitude as the mediating variable.","author":[{"dropping-particle":"","family":"Akhtar","given":"Fatima","non-dropping-particle":"","parse-names":false,"suffix":""},{"dropping-particle":"","family":"Das","given":"Niladri","non-dropping-particle":"","parse-names":false,"suffix":""}],"container-title":"International Journal of Bank Marketing","id":"ITEM-1","issue":"1","issued":{"date-parts":[["2019"]]},"page":"97-119","title":"Predictors of investment intention in Indian stock markets: Extending the theory of planned behaviour","type":"article-journal","volume":"37"},"uris":["http://www.mendeley.com/documents/?uuid=1a236fdb-18fd-4a12-b3cd-9143bd5ea03b"]},{"id":"ITEM-2","itemData":{"DOI":"10.1108/17468800710824509","ISSN":"17468817","abstract":"The purpose of this paper is to identify factors that influence the intention to use internet stock trading among investors in Malaysia. A structured questionnaire was used to collect data from investors who are aware of internet stock trading in Malayisa. Out of 300 questionnaire only 144 were usable. Findings show that attitude, subjective norm and perceived behavioral control has a direct positive relationship towards behavioral intention to use internet stock trading. The theory of planned behavior can be used to explain variation in behavioral intention and actual usage. More variations of results could be gained through a wider coverage of respondents. Other factors such as descriptive norm and perceived usefulness should be used to increase the explanatory power of the dependent variable. A comparison of the same study of explanatory power between other intention-based model could give another valuable contribution. This study will provide information on factors that influence and affect investor's intention to use online stock trading. In addition, the result of the study could serve as a guideline by online stock broking organizations in understanding the factors and program that need to be instilled to increase online stock trading among current retail investors and future investors. Not much has been written on understanding intention to use internet stock trading in a developing country. © 2007, Emerald Group Publishing Limited","author":[{"dropping-particle":"","family":"Gopi","given":"M.","non-dropping-particle":"","parse-names":false,"suffix":""},{"dropping-particle":"","family":"Ramayah","given":"T.","non-dropping-particle":"","parse-names":false,"suffix":""}],"container-title":"International Journal of Emerging Markets","id":"ITEM-2","issue":"4","issued":{"date-parts":[["2007"]]},"page":"348-360","title":"Applicability of theory of planned behavior in predicting intention to trade online: Some evidence from a developing country","type":"article-journal","volume":"2"},"uris":["http://www.mendeley.com/documents/?uuid=bac42d23-35c3-4af2-bb42-333831341657"]}],"mendeley":{"formattedCitation":"(Akhtar &amp; Das, 2019; Gopi &amp; Ramayah, 2007)","plainTextFormattedCitation":"(Akhtar &amp; Das, 2019; Gopi &amp; Ramayah, 2007)","previouslyFormattedCitation":"(Akhtar &amp; Das, 2019; Gopi &amp; Ramayah, 2007)"},"properties":{"noteIndex":0},"schema":"https://github.com/citation-style-language/schema/raw/master/csl-citation.json"}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(Akhtar &amp; Das, 2019; Gopi &amp; Ramayah, 2007)</w:t>
      </w:r>
      <w:r w:rsidRPr="001844F8">
        <w:rPr>
          <w:rFonts w:ascii="Arial" w:hAnsi="Arial" w:cs="Arial"/>
        </w:rPr>
        <w:fldChar w:fldCharType="end"/>
      </w:r>
      <w:r w:rsidRPr="001844F8">
        <w:rPr>
          <w:rFonts w:ascii="Arial" w:hAnsi="Arial" w:cs="Arial"/>
        </w:rPr>
        <w:t xml:space="preserve">. The research results are also not in line with </w:t>
      </w:r>
      <w:r w:rsidRPr="001844F8">
        <w:rPr>
          <w:rFonts w:ascii="Arial" w:hAnsi="Arial" w:cs="Arial"/>
        </w:rPr>
        <w:fldChar w:fldCharType="begin" w:fldLock="1"/>
      </w:r>
      <w:r w:rsidRPr="001844F8">
        <w:rPr>
          <w:rFonts w:ascii="Arial" w:hAnsi="Arial" w:cs="Arial"/>
        </w:rPr>
        <w:instrText>ADDIN CSL_CITATION {"citationItems":[{"id":"ITEM-1","itemData":{"abstract":"Purpose - The purpose of this study is to investigate behavioral factors influencing investment intentions. Design/methodology/approach – A descriptive quantitative study was conducted utilizing an online questionnaire with a total of 121 respondents. Findings - The results of the study indicated that Subjective Norm, Perceived Behavioral Control, and Perceived Consumer Effectiveness are positively related to Intention to Invest. Attitude and Perceived Risk did not reach statistical significance and no conclusions could therefore be drawn regarding the concepts. Research limitations/implications - The greatest limitation of the study is that it measures intention and not actual behavior which could be of more value, both from a theoretical and managerial perspective. The implication of the study is that it contributes to the Socially Responsible Investment literature from the intentional perspective and that it considers Generation Y, two aspects that have previously been neglected. The study further provides companies operating in SRI industry with a framework to use when acquiring customers within Generation Y. Originality/value - As recent Socially Responsible Investment research has focused almost exclusively on financial performance this study offers value in that it instead explains behavioral factors influencing the Intention to Invest. It further focuses on Generation Y which is the upcoming generation when it comes to investing that has to a large extent been neglected in the SRI literature.","author":[{"dropping-particle":"","family":"Jensen","given":"Christoffer","non-dropping-particle":"","parse-names":false,"suffix":""},{"dropping-particle":"","family":"Huynh","given":"Ronny","non-dropping-particle":"","parse-names":false,"suffix":""},{"dropping-particle":"","family":"Sandberg","given":"Pontus","non-dropping-particle":"","parse-names":false,"suffix":""}],"id":"ITEM-1","issued":{"date-parts":[["2016"]]},"number-of-pages":"52","title":"“Doing good while doing well” : An investigation of Generation Y’s intention to invest socially responsibly","type":"report"},"uris":["http://www.mendeley.com/documents/?uuid=70163e76-51da-4168-b336-51bc14636bd9"]}],"mendeley":{"formattedCitation":"(Jensen et al., 2016)","plainTextFormattedCitation":"(Jensen et al., 2016)","previouslyFormattedCitation":"(Jensen et al., 2016)"},"properties":{"noteIndex":0},"schema":"https://github.com/citation-style-language/schema/raw/master/csl-citation.json"}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(Jensen et al., 2016)</w:t>
      </w:r>
      <w:r w:rsidRPr="001844F8">
        <w:rPr>
          <w:rFonts w:ascii="Arial" w:hAnsi="Arial" w:cs="Arial"/>
        </w:rPr>
        <w:fldChar w:fldCharType="end"/>
      </w:r>
      <w:r w:rsidRPr="001844F8">
        <w:rPr>
          <w:rFonts w:ascii="Arial" w:hAnsi="Arial" w:cs="Arial"/>
        </w:rPr>
        <w:t xml:space="preserve"> which states that financial attitude has a negative influence on investment intentions.</w:t>
      </w:r>
      <w:bookmarkStart w:id="391" w:name="_Hlk155337801"/>
      <w:bookmarkEnd w:id="391"/>
    </w:p>
    <w:p w:rsidR="001844F8" w:rsidRPr="001844F8" w:rsidRDefault="001844F8" w:rsidP="001844F8">
      <w:pPr>
        <w:pStyle w:val="Body"/>
        <w:rPr>
          <w:rFonts w:ascii="Arial" w:hAnsi="Arial" w:cs="Arial"/>
        </w:rPr>
      </w:pPr>
      <w:r w:rsidRPr="001844F8">
        <w:rPr>
          <w:rFonts w:ascii="Arial" w:hAnsi="Arial" w:cs="Arial"/>
          <w:i/>
          <w:iCs/>
        </w:rPr>
        <w:t xml:space="preserve">Financial </w:t>
      </w:r>
      <w:proofErr w:type="spellStart"/>
      <w:r w:rsidRPr="001844F8">
        <w:rPr>
          <w:rFonts w:ascii="Arial" w:hAnsi="Arial" w:cs="Arial"/>
          <w:i/>
          <w:iCs/>
        </w:rPr>
        <w:t>attitude</w:t>
      </w:r>
      <w:r w:rsidRPr="001844F8">
        <w:rPr>
          <w:rFonts w:ascii="Arial" w:hAnsi="Arial" w:cs="Arial"/>
        </w:rPr>
        <w:t>is</w:t>
      </w:r>
      <w:proofErr w:type="spellEnd"/>
      <w:r w:rsidRPr="001844F8">
        <w:rPr>
          <w:rFonts w:ascii="Arial" w:hAnsi="Arial" w:cs="Arial"/>
        </w:rPr>
        <w:t xml:space="preserve"> a person's assessment, opinion, or state of mind regarding finances which is applied to his or her attitude </w:t>
      </w:r>
      <w:r w:rsidRPr="001844F8">
        <w:rPr>
          <w:rFonts w:ascii="Arial" w:hAnsi="Arial" w:cs="Arial"/>
        </w:rPr>
        <w:fldChar w:fldCharType="begin" w:fldLock="1"/>
      </w:r>
      <w:r w:rsidRPr="001844F8">
        <w:rPr>
          <w:rFonts w:ascii="Arial" w:hAnsi="Arial" w:cs="Arial"/>
        </w:rPr>
        <w:instrText>ADDIN CSL_CITATION {"citationItems":[{"id":"ITEM-1","itemData":{"DOI":"10.4148/jft.v2i1.451","abstract":"Financial matters have been identified in the literature as a significant source of stress for individuals and families. However, little is known about the psychological issues related to money that may be contributing to individual and family problems. Using a sample of 422 individuals who identified their level of agreement on 72 money-related beliefs, this study identified four distinct money belief patterns. Three of these belief systems were significantly correlated with income and net worth. Demographic features associated with the four money belief scales are provided. The results of this study may be useful for practitioners interested in quickly and accurately identifying money beliefs in their clients that can have a negative impact on financial health.        References           American Psychological Association (2009). Stress in America 2009. Retrieved October 10, 2010 from  http://www.apa.org/news/press/releases/stress-exec-summary.pdf   Bandura, A. (1977). Social Learning Theory. New York: General Learning Press.  Brickman, P., Coates, D., &amp;amp; Janoff-Bulman, R. (1978). Lottery winners and accident victims: Is happiness relative? Journal of Personality &amp;amp; Social Psychology, 36(8), 917-927.  http://dx.doi.org/10.1037/0022-3514.36.8.917  PMid:690806  Csikszentmihalyi, M. (1999). If we are so rich, why aren’t we happy? American Psychologist, 54(10), 821-827.  http://dx.doi.org/10.1037/0003-066X.54.10.821   Diener, E., &amp;amp; Seligman, M. E. P. (2004). Beyond money. Psychological Science in the Public Interest, 5(1), 1-31.  http://dx.doi.org/10.1111/j.0963-7214.2004.00501001.x   Dillman, D. A. (1999). Mail and Internet Surveys: The Tailored Design Method (2 ed.). New York, NY: Wiley.  Dortch, S. (1994). Money and marital discord. American Demographics, 16, 11-14.  Engelberg, E., &amp;amp; Sjöberg, L. (2006). Money attitudes and emotional intelligence. Journal of Applied Social Psychology, 36(8), 2027-2047.  http://dx.doi.org/10.1111/j.0021-9029.2006.00092.x   Engelberg, E., &amp;amp; Sjöberg, L. (2007). Money obsession, social adjustment, and economic risk perception. Journal of Socio-Economics, 36(5), 686-697.  http://dx.doi.org/10.1016/j.socec.2007.01.005   Furnham, A. (1984). Money sides of the coin: The psychology of money usage. Personality and Individual Difference, 5(5), 501-509.  http://dx.doi.org/10.1016/0191-8869(84)90025-4   Furnham, A. (1996). Attitudinal correlates and demographic predictors of monetary beliefs and behaviours. Journa…","author":[{"dropping-particle":"","family":"Klontz","given":"Bradley","non-dropping-particle":"","parse-names":false,"suffix":""},{"dropping-particle":"","family":"Britt","given":"Sonya L","non-dropping-particle":"","parse-names":false,"suffix":""},{"dropping-particle":"","family":"Mentzer","given":"Jennifer","non-dropping-particle":"","parse-names":false,"suffix":""},{"dropping-particle":"","family":"Klontz","given":"Ted","non-dropping-particle":"","parse-names":false,"suffix":""}],"container-title":"Journal of Financial Therapy","id":"ITEM-1","issue":"1","issued":{"date-parts":[["2011"]]},"title":"Money Beliefs and Financial Behaviors: Development of the Klontz Money Script Inventory","type":"article-journal","volume":"2"},"uris":["http://www.mendeley.com/documents/?uuid=38a610b8-99ce-4b52-a4b2-9bf751398e62"]}],"mendeley":{"formattedCitation":"(Klontz et al., 2011)","plainTextFormattedCitation":"(Klontz et al., 2011)","previouslyFormattedCitation":"(Klontz et al., 2011)"},"properties":{"noteIndex":0},"schema":"https://github.com/citation-style-language/schema/raw/master/csl-citation.json"}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(Klontz et al., 2011)</w:t>
      </w:r>
      <w:r w:rsidRPr="001844F8">
        <w:rPr>
          <w:rFonts w:ascii="Arial" w:hAnsi="Arial" w:cs="Arial"/>
        </w:rPr>
        <w:fldChar w:fldCharType="end"/>
      </w:r>
      <w:r w:rsidRPr="001844F8">
        <w:rPr>
          <w:rFonts w:ascii="Arial" w:hAnsi="Arial" w:cs="Arial"/>
        </w:rPr>
        <w:t>. When an individual is obsessed with money, the individual will think about how to get money and how to use the money they have. With this positive outlook, it will encourage individual investment intentions to have a perception of their finances in the future. The better an individual's attitude towards their personal finances, the better the individual will be at carrying out financial management. So, when making investments, individuals will be careful because they must have different preferences based on return and risk to minimize failure or loss in terms of finances in order to get maximum profits. Obtaining maximum profits will make individuals have greater investment intentions.</w:t>
      </w:r>
    </w:p>
    <w:p w:rsidR="001844F8" w:rsidRPr="001844F8" w:rsidRDefault="001844F8" w:rsidP="001844F8">
      <w:pPr>
        <w:pStyle w:val="Body"/>
        <w:rPr>
          <w:rFonts w:ascii="Arial" w:hAnsi="Arial" w:cs="Arial"/>
        </w:rPr>
      </w:pPr>
      <w:r w:rsidRPr="001844F8">
        <w:rPr>
          <w:rFonts w:ascii="Arial" w:hAnsi="Arial" w:cs="Arial"/>
        </w:rPr>
        <w:lastRenderedPageBreak/>
        <w:t xml:space="preserve">The results of the second test show that subjective norms have a negative and insignificant effect on investment intentions in the capital market. This condition shows that the higher the level of subjective norms, the lower the investment intention in the stock market. Subjective Norms are factors originating from outside the individual which contain a person's perception of whether other people will approve or disapprove of a behavior displayed. If an investor's attitude towards decision making does not have support from friends or relatives or other associates, then the individual's investment intentions can change in a contradictory way. On the other hand, currently individuals can also easily use technology to carry out analysis, resulting in a high level of caution regarding investment intentions. Although, many stock influencers create content that contains many invitations to buy certain shares with the promise that these shares will rise, individuals are now smarter not to easily believe these invitations. This is what causes subjective norms to have a negative and insignificant effect on investment intentions. </w:t>
      </w:r>
    </w:p>
    <w:p w:rsidR="001844F8" w:rsidRPr="001844F8" w:rsidRDefault="001844F8" w:rsidP="001844F8">
      <w:pPr>
        <w:pStyle w:val="Body"/>
        <w:rPr>
          <w:rFonts w:ascii="Arial" w:hAnsi="Arial" w:cs="Arial"/>
        </w:rPr>
      </w:pPr>
      <w:r w:rsidRPr="001844F8">
        <w:rPr>
          <w:rFonts w:ascii="Arial" w:hAnsi="Arial" w:cs="Arial"/>
        </w:rPr>
        <w:t xml:space="preserve">The results of the third test show that the effect is not significant, indicating that whether someone is strong or weak in their ability to manage their finances does not influence their investment intentions, because in investing a person needs a lot of information related to investment instruments. These results are not in line with research conducted by </w:t>
      </w:r>
      <w:r w:rsidRPr="001844F8">
        <w:rPr>
          <w:rFonts w:ascii="Arial" w:hAnsi="Arial" w:cs="Arial"/>
        </w:rPr>
        <w:fldChar w:fldCharType="begin" w:fldLock="1"/>
      </w:r>
      <w:r w:rsidRPr="001844F8">
        <w:rPr>
          <w:rFonts w:ascii="Arial" w:hAnsi="Arial" w:cs="Arial"/>
        </w:rPr>
        <w:instrText>ADDIN CSL_CITATION {"citationItems":[{"id":"ITEM-1","itemData":{"DOI":"10.24912/jmk.v4i3.19694","abstract":"Tujuan penelitian ini adalah untuk menganalisis pengaruh sikap keuangan, efikasi keuangan diri, dan persepsi risiko terhadap niat investasi. Subjek penelitian ini adalah generasi milenial di Jabodetabek. Teknik sampel yang digunakan yaitu purposive sampling. Data dikumpulkan dengan menyebarkan kuesioner secara online menggunakan google form. Analisis data menggunakan SEM-PLS. Jumlah sampel sebanyak 302 responden. Hasil penelitian ini menunjukkan bahwa Sikap Keuangan dan Persepsi Risiko berpengaruh positif signifikan terhadap Niat Investasi. Sedangkan Efikasi Keuangan Diri tidak berpengaruh signifikan terhadap Niat Investasi.\r  \r The purpose of this research is to analyze the influence of financial attitude, financial self-efficacy, and risk perception on investment intention. This study will examine millennials in Jabodetabek as a sample. Sampling technique is done by using non-probability sampling which specifically speaking is purposive sampling. This observation was done by giving online questionnaires using google form and processed by SmartPLS 3.3.3 program, the observation eventually gained 302 respondents. The result of this study reveals that financial attitude and risk perception do affect positive significantly on investment intention. Meanwhile, financial self-efficacy has no significant positive effect on investment intention.","author":[{"dropping-particle":"","family":"Laurency","given":"Jesyca Syabilla","non-dropping-particle":"","parse-names":false,"suffix":""},{"dropping-particle":"","family":"Arifin","given":"Agus Zainul","non-dropping-particle":"","parse-names":false,"suffix":""}],"container-title":"Jurnal Manajerial Dan Kewirausahaan","id":"ITEM-1","issue":"3","issued":{"date-parts":[["2022"]]},"page":"617-626","title":"Pengaruh Financial Attitude, Financial Self-Efficacy, dan Risk Perception terhadap Investment Intention","type":"article-journal","volume":"4"},"uris":["http://www.mendeley.com/documents/?uuid=a2e40548-e3ea-4995-a90d-3b9ed00bb4d4"]},{"id":"ITEM-2","itemData":{"abstract":"Keywords Theory of planned behavior, Intention to invest, Investment Many studies have been conducted to apply the theory of planned behavior in the context of finance and investment, however, previous research focused on people that close related with the behavior of investment itself. This paper tested the applicability of the theory of planned behavior in predicting intention to invest using samples 359 civil servant in Indonesia. Result from data analysis using partial least square (PLS) have shown that attitudes toward investment and subjective norms have significantly influenced the intention to invest, while data of the other antecedent, self-efficacy,have failed to show significant influence.","author":[{"dropping-particle":"","family":"Citra","given":"Mery","non-dropping-particle":"","parse-names":false,"suffix":""},{"dropping-particle":"","family":"Rahmat","given":"Sondari","non-dropping-particle":"","parse-names":false,"suffix":""}],"container-title":"International Academic Research Journal of Business and Technology 1(2) 2015 Page 137-141","id":"ITEM-2","issue":"2","issued":{"date-parts":[["2015"]]},"page":"137-141","title":"Using Theory of Planned Behavior in Predicting Intention to Invest : Case of Indonesia","type":"article-journal","volume":"1"},"uris":["http://www.mendeley.com/documents/?uuid=8bdb8531-2573-4d82-953a-55a654a0a1a6"]}],"mendeley":{"formattedCitation":"(Citra &amp; Rahmat, 2015; Laurency &amp; Arifin, 2022)","plainTextFormattedCitation":"(Citra &amp; Rahmat, 2015; Laurency &amp; Arifin, 2022)","previouslyFormattedCitation":"(Citra &amp; Rahmat, 2015; Laurency &amp; Arifin, 2022)"},"properties":{"noteIndex":0},"schema":"https://github.com/citation-style-language/schema/raw/master/csl-citation.json"}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(Citra &amp; Rahmat, 2015; Laurency &amp; Arifin, 2022)</w:t>
      </w:r>
      <w:r w:rsidRPr="001844F8">
        <w:rPr>
          <w:rFonts w:ascii="Arial" w:hAnsi="Arial" w:cs="Arial"/>
        </w:rPr>
        <w:fldChar w:fldCharType="end"/>
      </w:r>
      <w:r w:rsidRPr="001844F8">
        <w:rPr>
          <w:rFonts w:ascii="Arial" w:hAnsi="Arial" w:cs="Arial"/>
        </w:rPr>
        <w:t>.</w:t>
      </w:r>
    </w:p>
    <w:p w:rsidR="001844F8" w:rsidRPr="001844F8" w:rsidRDefault="001844F8" w:rsidP="001844F8">
      <w:pPr>
        <w:pStyle w:val="Body"/>
        <w:rPr>
          <w:rFonts w:ascii="Arial" w:hAnsi="Arial" w:cs="Arial"/>
        </w:rPr>
      </w:pPr>
      <w:r w:rsidRPr="001844F8">
        <w:rPr>
          <w:rFonts w:ascii="Arial" w:hAnsi="Arial" w:cs="Arial"/>
        </w:rPr>
        <w:t xml:space="preserve">The results of the fourth test show that financial knowledge has a significant positive effect on investment intentions in the capital market. This condition reflects that the higher the level of financial knowledge, the greater the investment intention. This means that the more knowledge related to finance, the better the financial decisions made, so it is more likely that they will demonstrate responsible financial management behavior </w:t>
      </w:r>
      <w:r w:rsidRPr="001844F8">
        <w:rPr>
          <w:rFonts w:ascii="Arial" w:hAnsi="Arial" w:cs="Arial"/>
        </w:rPr>
        <w:fldChar w:fldCharType="begin" w:fldLock="1"/>
      </w:r>
      <w:r w:rsidRPr="001844F8">
        <w:rPr>
          <w:rFonts w:ascii="Arial" w:hAnsi="Arial" w:cs="Arial"/>
        </w:rPr>
        <w:instrText>ADDIN CSL_CITATION {"citationItems":[{"id":"ITEM-1","itemData":{"DOI":"10.15408/ess.v9i2.13576","ISSN":"2087-2038","abstract":"The purpose of this study is to know the impact of financial inclusion on public financial services education through financial technology. This research was conducted in Sleman Regency because the area was quite large in Yogyakarta, and was ranked third. This type of research is quantitative research. Data collection methods used are questionnaires and literature studies. Data analyses used in this study are the validity test, reliability test, descriptive statistical test, and SEM (Structural Equation Modeling) analysis test. The results of this study found that financial inclusion has been proven to have no impact on public financial services education. However, financial inclusion has proven to have a significant impact on financial technology in Sleman Regency in 2018. In addition, financial inclusion through financial technology has also proven to have a positive impact on public financial service education in Sleman Regency in 2018.","author":[{"dropping-particle":"","family":"Jaya","given":"I Made Laut Mertha","non-dropping-particle":"","parse-names":false,"suffix":""}],"container-title":"Esensi: Jurnal Bisnis dan Manajemen","id":"ITEM-1","issue":"2","issued":{"date-parts":[["2019"]]},"page":"155-174","title":"The Impact of Financial Inclusion on Public Financial Services Education through Financial Technology in Sleman Regency, Indonesia","type":"article-journal","volume":"9"},"uris":["http://www.mendeley.com/documents/?uuid=667cb54e-0a5f-4a8d-b605-ff5e9099f59a"]}],"mendeley":{"formattedCitation":"(Jaya, 2019)","plainTextFormattedCitation":"(Jaya, 2019)"},"properties":{"noteIndex":0},"schema":"https://github.com/citation-style-language/schema/raw/master/csl-citation.json"}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(Jaya, 2019)</w:t>
      </w:r>
      <w:r w:rsidRPr="001844F8">
        <w:rPr>
          <w:rFonts w:ascii="Arial" w:hAnsi="Arial" w:cs="Arial"/>
        </w:rPr>
        <w:fldChar w:fldCharType="end"/>
      </w:r>
      <w:r w:rsidRPr="001844F8">
        <w:rPr>
          <w:rFonts w:ascii="Arial" w:hAnsi="Arial" w:cs="Arial"/>
        </w:rPr>
        <w:t xml:space="preserve">. Someone with higher financial knowledge is able to make good decisions for their family, and thus is in a position to increase their economic security and well-being, besides that someone who has high financial knowledge can also make informed choices that are very important for their financial goals. The research results are in line with </w:t>
      </w:r>
      <w:r w:rsidRPr="001844F8">
        <w:rPr>
          <w:rFonts w:ascii="Arial" w:hAnsi="Arial" w:cs="Arial"/>
        </w:rPr>
        <w:fldChar w:fldCharType="begin" w:fldLock="1"/>
      </w:r>
      <w:r w:rsidRPr="001844F8">
        <w:rPr>
          <w:rFonts w:ascii="Arial" w:hAnsi="Arial" w:cs="Arial"/>
        </w:rPr>
        <w:instrText>ADDIN CSL_CITATION {"citationItems":[{"id":"ITEM-1","itemData":{"DOI":"10.1108/IJBM-08-2017-0167","ISSN":"02652323","abstract":"Purpose: The purpose of this paper is to understand investment intention of prospective individual investors in a developing country (i.e. India) by using the “Theory of Planned Behaviour” (TPB) (where perceived behavioural control has been replaced with financial self-efficacy, FSE) and two additional constructs, i.e. financial knowledge and personality traits (i.e. risk-taking propensity and preference for innovation) have been introduced. Design/methodology/approach: The study uses quantitative and cross-sectional approach wherein questionnaire based survey was done to collect responses from prospective individual investors (920 usable responses). AMOS and SPSS have been used to establish the hypothesised relationship between the constructs. Findings: The results of the study suggested that attitude was responsible for partial mediation between the relationship of financial knowledge and investment intention, whereas financial self-efficacy was exerting a dual role on the relationship between personality traits and investment intention. Subjective norms, on the other hand, exerted a weak positive effect on investment intention. Research limitations/implications: This study is limited to measure the investment intention in financial markets in case of prospective individual investors; it does not incorporate the actual investment behaviour, the study also fails to include demographic factors which play a vital role in investment decision making. Furthermore, the study has only considered objective dimension of financial knowledge. Practical implications: The findings will be useful for financial service providers who need to enhance the FSE and financial knowledge and design a “behavioural portfolio” according the personality traits of their clients. Social implications: The up-liftment of financial confidence among individuals in order to motivate them to participate in financial markets and enjoy “short-cuts” towards financial success. Originality/value: This study is one of the initial attempts in the context of the Indian Stock Market to introduce FSE as a dual (both mediating and moderating) construct between personality traits and investment intention using TPB, moreover, this study also provides the necessary impetus to analyse the relationship between financial knowledge and investment intention with attitude as the mediating variable.","author":[{"dropping-particle":"","family":"Akhtar","given":"Fatima","non-dropping-particle":"","parse-names":false,"suffix":""},{"dropping-particle":"","family":"Das","given":"Niladri","non-dropping-particle":"","parse-names":false,"suffix":""}],"container-title":"International Journal of Bank Marketing","id":"ITEM-1","issue":"1","issued":{"date-parts":[["2019"]]},"page":"97-119","title":"Predictors of investment intention in Indian stock markets: Extending the theory of planned behaviour","type":"article-journal","volume":"37"},"uris":["http://www.mendeley.com/documents/?uuid=1a236fdb-18fd-4a12-b3cd-9143bd5ea03b"]}],"mendeley":{"formattedCitation":"(Akhtar &amp; Das, 2019)","plainTextFormattedCitation":"(Akhtar &amp; Das, 2019)","previouslyFormattedCitation":"(Akhtar &amp; Das, 2019)"},"properties":{"noteIndex":0},"schema":"https://github.com/citation-style-language/schema/raw/master/csl-citation.json"}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(Akhtar &amp; Das, 2019)</w:t>
      </w:r>
      <w:r w:rsidRPr="001844F8">
        <w:rPr>
          <w:rFonts w:ascii="Arial" w:hAnsi="Arial" w:cs="Arial"/>
        </w:rPr>
        <w:fldChar w:fldCharType="end"/>
      </w:r>
      <w:r w:rsidRPr="001844F8">
        <w:rPr>
          <w:rFonts w:ascii="Arial" w:hAnsi="Arial" w:cs="Arial"/>
        </w:rPr>
        <w:t>.</w:t>
      </w:r>
    </w:p>
    <w:p w:rsidR="001844F8" w:rsidRPr="001844F8" w:rsidRDefault="001844F8" w:rsidP="001844F8">
      <w:pPr>
        <w:pStyle w:val="Body"/>
        <w:rPr>
          <w:rFonts w:ascii="Arial" w:hAnsi="Arial" w:cs="Arial"/>
        </w:rPr>
      </w:pPr>
      <w:bookmarkStart w:id="392" w:name="_Toc86238469"/>
      <w:bookmarkStart w:id="393" w:name="_Toc86238657"/>
      <w:bookmarkStart w:id="394" w:name="_Toc86241845"/>
      <w:bookmarkStart w:id="395" w:name="_Toc86354715"/>
      <w:bookmarkStart w:id="396" w:name="_Toc86767482"/>
      <w:r w:rsidRPr="001844F8">
        <w:rPr>
          <w:rFonts w:ascii="Arial" w:hAnsi="Arial" w:cs="Arial"/>
        </w:rPr>
        <w:t xml:space="preserve">The results of the fifth test show that financial knowledge has a significant positive effect on financial attitude. This condition also reflects that the higher the level of financial knowledge, the more financial attitude will improve. Individuals with a high level of financial attitude are more likely to have a positive attitude towards planning in managing finances </w:t>
      </w:r>
      <w:r w:rsidRPr="001844F8">
        <w:rPr>
          <w:rFonts w:ascii="Arial" w:hAnsi="Arial" w:cs="Arial"/>
        </w:rPr>
        <w:fldChar w:fldCharType="begin" w:fldLock="1"/>
      </w:r>
      <w:r w:rsidRPr="001844F8">
        <w:rPr>
          <w:rFonts w:ascii="Arial" w:hAnsi="Arial" w:cs="Arial"/>
        </w:rPr>
        <w:instrText>ADDIN CSL_CITATION {"citationItems":[{"id":"ITEM-1","itemData":{"DOI":"10.1108/EDI-05-2016-0040","ISSN":"17587093","abstract":"Purpose - The purpose of this paper is to examine the mediating effect of financial self-efficacy (FSE) on the relationship between financial attitude, financial literacy and financial inclusion (FI) among individuals in Uganda. Design/methodology/approach - Using a quantitative approach and cross-sectional research design, a sample of 400 individuals from urban Central and rural Northern Uganda was drawn. Using SPSS and AMOS™21, structural equation models and bootstrapping methods were used to establish the hypothesized relationships and mediation effects between financial attitude, financial literacy and FI. Findings - The results suggested FSE as a mediator of the relationship between financial attitude, financial literacy and FI. Further, there was a significant and insignificant relationship between financial literacy, financial attitude and FI, respectively. Research limitations/implications - The study was assessed using both potential and actual consumers of financial services collectively. However if separately assessed, possibly there would be a variation in perceptions or behavioural responses towards FI. Practical implications - There is a need to develop and sustain high levels of financial confidence among individuals to enable them use formal financial services. Social implications - Possession of financial knowledge, skills, an evaluative judgement with high levels of financial confidence enable individuals make financial decisions that improve their integration into the formal financial system and improved welfare. Originality/value - The results contribute towards the limited empirical and theoretical evidence regarding the mediating role of FSE in explaining the financial behaviour.","author":[{"dropping-particle":"","family":"Mindra","given":"Rachel","non-dropping-particle":"","parse-names":false,"suffix":""},{"dropping-particle":"","family":"Moya","given":"Musa","non-dropping-particle":"","parse-names":false,"suffix":""}],"container-title":"Equality, Diversity and Inclusion","id":"ITEM-1","issue":"2","issued":{"date-parts":[["2017"]]},"page":"128-149","title":"Financial self-efficacy: A mediator in advancing financial inclusion","type":"article-journal","volume":"36"},"uris":["http://www.mendeley.com/documents/?uuid=037c008f-919d-46d1-9790-d74cebe01e2f"]}],"mendeley":{"formattedCitation":"(Mindra &amp; Moya, 2017)","plainTextFormattedCitation":"(Mindra &amp; Moya, 2017)","previouslyFormattedCitation":"(Mindra &amp; Moya, 2017)"},"properties":{"noteIndex":0},"schema":"https://github.com/citation-style-language/schema/raw/master/csl-citation.json"}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(Mindra &amp; Moya, 2017)</w:t>
      </w:r>
      <w:r w:rsidRPr="001844F8">
        <w:rPr>
          <w:rFonts w:ascii="Arial" w:hAnsi="Arial" w:cs="Arial"/>
        </w:rPr>
        <w:fldChar w:fldCharType="end"/>
      </w:r>
      <w:r w:rsidRPr="001844F8">
        <w:rPr>
          <w:rFonts w:ascii="Arial" w:hAnsi="Arial" w:cs="Arial"/>
        </w:rPr>
        <w:t xml:space="preserve">. So, by having financial knowledge an individual can have a good financial attitude. This results in individuals becoming more aware of the benefits and risks in the capital market thereby reducing negative views, which means that the individual's financial attitude has improved. The research results are in line with </w:t>
      </w:r>
      <w:r w:rsidRPr="001844F8">
        <w:rPr>
          <w:rFonts w:ascii="Arial" w:hAnsi="Arial" w:cs="Arial"/>
        </w:rPr>
        <w:fldChar w:fldCharType="begin" w:fldLock="1"/>
      </w:r>
      <w:r w:rsidRPr="001844F8">
        <w:rPr>
          <w:rFonts w:ascii="Arial" w:hAnsi="Arial" w:cs="Arial"/>
        </w:rPr>
        <w:instrText>ADDIN CSL_CITATION {"citationItems":[{"id":"ITEM-1","itemData":{"abstract":"3 A B S T R A C T The ability to manage finances is able to have an affect the financial condition of individuals and business organizations in the future. The study aims to determine the impact of financial knowledge on financial behavior and the role of financial attitude on financial behavior and also its role as a mediator between the relationship of financial knowledge and financial behavior. This study was conducted by collecting and analyzing journals related to the research objectives. Based on the literature study conducted, financial knowledge has an effect on financial attitude and financial behavior. Financial attitude has a positive impact on financial behavior and positively moderates the relationship between financial knowledge and financial behavior. A B S T R A K Kemampuan dalam mengelola keuangan dapat berpengaruh terhadap kondisi finansial individu maupun organisasi bisnis di masa mendatang. Studi bertujuan untuk mengetahui dampak dari financial knowledge terhadap financial behavior dan peran financial attitude terhadap financial behavior dan juga perannya sebagai mediasi antara hubungan financial knowledge dan financial behavior. Studi ini dilakukan dengan mengumpulkan dan menganalisis jurnal yang berhubungan dengan tujuan penelitian. Berdasarkan studi literatur yang dilakukan, financial knowledge berpengaruh terhadap financial attitude dan financial behavior. Financial attitude memiliki dampak positif terhadap financial behavior dan secara positif memoderasi hubungan antara financial knowledge dan financial behavior.","author":[{"dropping-particle":"","family":"Sandi Kemal","given":"","non-dropping-particle":"","parse-names":false,"suffix":""},{"dropping-particle":"","family":"Saparila Worokinasih","given":"","non-dropping-particle":"","parse-names":false,"suffix":""},{"dropping-particle":"","family":"Ari Darmawan","given":"","non-dropping-particle":"","parse-names":false,"suffix":""}],"container-title":"Jurnal Administrasi Bisnis","id":"ITEM-1","issued":{"date-parts":[["2020"]]},"page":"140-150","title":"Pengaruh Financial Knowledge dan Financial Attitude Terhadap Financial Behavior Pada Youth Entrepreneur Kota Malang","type":"article-journal"},"uris":["http://www.mendeley.com/documents/?uuid=7c681483-3810-41fb-84bc-bd9dc5bb7919"]}],"mendeley":{"formattedCitation":"(Sandi Kemal et al., 2020)","plainTextFormattedCitation":"(Sandi Kemal et al., 2020)","previouslyFormattedCitation":"(Sandi Kemal et al., 2020)"},"properties":{"noteIndex":0},"schema":"https://github.com/citation-style-language/schema/raw/master/csl-citation.json"}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(Sandi Kemal et al., 2020)</w:t>
      </w:r>
      <w:r w:rsidRPr="001844F8">
        <w:rPr>
          <w:rFonts w:ascii="Arial" w:hAnsi="Arial" w:cs="Arial"/>
        </w:rPr>
        <w:fldChar w:fldCharType="end"/>
      </w:r>
      <w:r w:rsidRPr="001844F8">
        <w:rPr>
          <w:rFonts w:ascii="Arial" w:hAnsi="Arial" w:cs="Arial"/>
        </w:rPr>
        <w:t>.</w:t>
      </w:r>
      <w:bookmarkEnd w:id="392"/>
      <w:bookmarkEnd w:id="393"/>
      <w:bookmarkEnd w:id="394"/>
      <w:bookmarkEnd w:id="395"/>
      <w:bookmarkEnd w:id="396"/>
    </w:p>
    <w:p w:rsidR="001844F8" w:rsidRPr="001844F8" w:rsidRDefault="001844F8" w:rsidP="001844F8">
      <w:pPr>
        <w:pStyle w:val="Body"/>
        <w:rPr>
          <w:rFonts w:ascii="Arial" w:hAnsi="Arial" w:cs="Arial"/>
        </w:rPr>
      </w:pPr>
      <w:r w:rsidRPr="001844F8">
        <w:rPr>
          <w:rFonts w:ascii="Arial" w:hAnsi="Arial" w:cs="Arial"/>
        </w:rPr>
        <w:t xml:space="preserve">The results of the sixth test show that personality traits have a positive and insignificant effect on investment intentions in the capital market. This means that a person's personality is not enough to increase investment intentions in the capital market and an analysis process is needed first. So, according to research results, personality traits have no significant effect on investment intentions. The results of this research are in line with </w:t>
      </w:r>
      <w:r w:rsidRPr="001844F8">
        <w:rPr>
          <w:rFonts w:ascii="Arial" w:hAnsi="Arial" w:cs="Arial"/>
        </w:rPr>
        <w:fldChar w:fldCharType="begin" w:fldLock="1"/>
      </w:r>
      <w:r w:rsidRPr="001844F8">
        <w:rPr>
          <w:rFonts w:ascii="Arial" w:hAnsi="Arial" w:cs="Arial"/>
        </w:rPr>
        <w:instrText>ADDIN CSL_CITATION {"citationItems":[{"id":"ITEM-1","itemData":{"DOI":"10.1108/IJBM-08-2017-0167","ISSN":"02652323","abstract":"Purpose: The purpose of this paper is to understand investment intention of prospective individual investors in a developing country (i.e. India) by using the “Theory of Planned Behaviour” (TPB) (where perceived behavioural control has been replaced with financial self-efficacy, FSE) and two additional constructs, i.e. financial knowledge and personality traits (i.e. risk-taking propensity and preference for innovation) have been introduced. Design/methodology/approach: The study uses quantitative and cross-sectional approach wherein questionnaire based survey was done to collect responses from prospective individual investors (920 usable responses). AMOS and SPSS have been used to establish the hypothesised relationship between the constructs. Findings: The results of the study suggested that attitude was responsible for partial mediation between the relationship of financial knowledge and investment intention, whereas financial self-efficacy was exerting a dual role on the relationship between personality traits and investment intention. Subjective norms, on the other hand, exerted a weak positive effect on investment intention. Research limitations/implications: This study is limited to measure the investment intention in financial markets in case of prospective individual investors; it does not incorporate the actual investment behaviour, the study also fails to include demographic factors which play a vital role in investment decision making. Furthermore, the study has only considered objective dimension of financial knowledge. Practical implications: The findings will be useful for financial service providers who need to enhance the FSE and financial knowledge and design a “behavioural portfolio” according the personality traits of their clients. Social implications: The up-liftment of financial confidence among individuals in order to motivate them to participate in financial markets and enjoy “short-cuts” towards financial success. Originality/value: This study is one of the initial attempts in the context of the Indian Stock Market to introduce FSE as a dual (both mediating and moderating) construct between personality traits and investment intention using TPB, moreover, this study also provides the necessary impetus to analyse the relationship between financial knowledge and investment intention with attitude as the mediating variable.","author":[{"dropping-particle":"","family":"Akhtar","given":"Fatima","non-dropping-particle":"","parse-names":false,"suffix":""},{"dropping-particle":"","family":"Das","given":"Niladri","non-dropping-particle":"","parse-names":false,"suffix":""}],"container-title":"International Journal of Bank Marketing","id":"ITEM-1","issue":"1","issued":{"date-parts":[["2019"]]},"page":"97-119","title":"Predictors of investment intention in Indian stock markets: Extending the theory of planned behaviour","type":"article-journal","volume":"37"},"uris":["http://www.mendeley.com/documents/?uuid=1a236fdb-18fd-4a12-b3cd-9143bd5ea03b"]},{"id":"ITEM-2","itemData":{"abstract":"Purpose - The purpose of this study is to investigate behavioral factors influencing investment intentions. Design/methodology/approach – A descriptive quantitative study was conducted utilizing an online questionnaire with a total of 121 respondents. Findings - The results of the study indicated that Subjective Norm, Perceived Behavioral Control, and Perceived Consumer Effectiveness are positively related to Intention to Invest. Attitude and Perceived Risk did not reach statistical significance and no conclusions could therefore be drawn regarding the concepts. Research limitations/implications - The greatest limitation of the study is that it measures intention and not actual behavior which could be of more value, both from a theoretical and managerial perspective. The implication of the study is that it contributes to the Socially Responsible Investment literature from the intentional perspective and that it considers Generation Y, two aspects that have previously been neglected. The study further provides companies operating in SRI industry with a framework to use when acquiring customers within Generation Y. Originality/value - As recent Socially Responsible Investment research has focused almost exclusively on financial performance this study offers value in that it instead explains behavioral factors influencing the Intention to Invest. It further focuses on Generation Y which is the upcoming generation when it comes to investing that has to a large extent been neglected in the SRI literature.","author":[{"dropping-particle":"","family":"Jensen","given":"Christoffer","non-dropping-particle":"","parse-names":false,"suffix":""},{"dropping-particle":"","family":"Huynh","given":"Ronny","non-dropping-particle":"","parse-names":false,"suffix":""},{"dropping-particle":"","family":"Sandberg","given":"Pontus","non-dropping-particle":"","parse-names":false,"suffix":""}],"id":"ITEM-2","issued":{"date-parts":[["2016"]]},"number-of-pages":"52","title":"“Doing good while doing well” : An investigation of Generation Y’s intention to invest socially responsibly","type":"report"},"uris":["http://www.mendeley.com/documents/?uuid=70163e76-51da-4168-b336-51bc14636bd9"]}],"mendeley":{"formattedCitation":"(Akhtar &amp; Das, 2019; Jensen et al., 2016)","plainTextFormattedCitation":"(Akhtar &amp; Das, 2019; Jensen et al., 2016)","previouslyFormattedCitation":"(Akhtar &amp; Das, 2019; Jensen et al., 2016)"},"properties":{"noteIndex":0},"schema":"https://github.com/citation-style-language/schema/raw/master/csl-citation.json"}</w:instrText>
      </w:r>
      <w:r w:rsidRPr="001844F8">
        <w:rPr>
          <w:rFonts w:ascii="Arial" w:hAnsi="Arial" w:cs="Arial"/>
        </w:rPr>
        <w:fldChar w:fldCharType="separate"/>
      </w:r>
      <w:r w:rsidRPr="001844F8">
        <w:rPr>
          <w:rFonts w:ascii="Arial" w:hAnsi="Arial" w:cs="Arial"/>
          <w:lang w:val="de-DE"/>
        </w:rPr>
        <w:t>(Akhtar &amp; Das, 2019; Jensen et al., 2016)</w:t>
      </w:r>
      <w:r w:rsidRPr="001844F8">
        <w:rPr>
          <w:rFonts w:ascii="Arial" w:hAnsi="Arial" w:cs="Arial"/>
        </w:rPr>
        <w:fldChar w:fldCharType="end"/>
      </w:r>
      <w:r w:rsidRPr="001844F8">
        <w:rPr>
          <w:rFonts w:ascii="Arial" w:hAnsi="Arial" w:cs="Arial"/>
        </w:rPr>
        <w:t>.</w:t>
      </w:r>
    </w:p>
    <w:p w:rsidR="001844F8" w:rsidRPr="001844F8" w:rsidRDefault="001844F8" w:rsidP="001844F8">
      <w:pPr>
        <w:pStyle w:val="Body"/>
        <w:rPr>
          <w:rFonts w:ascii="Arial" w:hAnsi="Arial" w:cs="Arial"/>
        </w:rPr>
      </w:pPr>
      <w:bookmarkStart w:id="397" w:name="_Toc86238470"/>
      <w:bookmarkStart w:id="398" w:name="_Toc86238658"/>
      <w:bookmarkStart w:id="399" w:name="_Toc86241846"/>
      <w:bookmarkStart w:id="400" w:name="_Toc86354716"/>
      <w:bookmarkStart w:id="401" w:name="_Toc86767483"/>
      <w:r w:rsidRPr="001844F8">
        <w:rPr>
          <w:rFonts w:ascii="Arial" w:hAnsi="Arial" w:cs="Arial"/>
        </w:rPr>
        <w:t xml:space="preserve">The results of the seventh test show that personality traits have a positive and significant effect on financial self-efficacy in the capital market. This condition indicates that the higher the personality traits, the more financial self-efficacy will increase. This is because people who like innovation and risk have trust or confidence in their ability to achieve their financial goals, so they have great opportunities in the capital market by managing minimal risks and innovation to move money into shares that have a better chance of getting maximum profits. This condition can certainly increase investment intentions. The research results are in line </w:t>
      </w:r>
      <w:r w:rsidRPr="001844F8">
        <w:rPr>
          <w:rFonts w:ascii="Arial" w:hAnsi="Arial" w:cs="Arial"/>
        </w:rPr>
        <w:lastRenderedPageBreak/>
        <w:t xml:space="preserve">with </w:t>
      </w:r>
      <w:r w:rsidRPr="001844F8">
        <w:rPr>
          <w:rFonts w:ascii="Arial" w:hAnsi="Arial" w:cs="Arial"/>
        </w:rPr>
        <w:fldChar w:fldCharType="begin" w:fldLock="1"/>
      </w:r>
      <w:r w:rsidRPr="001844F8">
        <w:rPr>
          <w:rFonts w:ascii="Arial" w:hAnsi="Arial" w:cs="Arial"/>
        </w:rPr>
        <w:instrText>ADDIN CSL_CITATION {"citationItems":[{"id":"ITEM-1","itemData":{"DOI":"10.1108/IJBM-08-2017-0167","ISSN":"02652323","abstract":"Purpose: The purpose of this paper is to understand investment intention of prospective individual investors in a developing country (i.e. India) by using the “Theory of Planned Behaviour” (TPB) (where perceived behavioural control has been replaced with financial self-efficacy, FSE) and two additional constructs, i.e. financial knowledge and personality traits (i.e. risk-taking propensity and preference for innovation) have been introduced. Design/methodology/approach: The study uses quantitative and cross-sectional approach wherein questionnaire based survey was done to collect responses from prospective individual investors (920 usable responses). AMOS and SPSS have been used to establish the hypothesised relationship between the constructs. Findings: The results of the study suggested that attitude was responsible for partial mediation between the relationship of financial knowledge and investment intention, whereas financial self-efficacy was exerting a dual role on the relationship between personality traits and investment intention. Subjective norms, on the other hand, exerted a weak positive effect on investment intention. Research limitations/implications: This study is limited to measure the investment intention in financial markets in case of prospective individual investors; it does not incorporate the actual investment behaviour, the study also fails to include demographic factors which play a vital role in investment decision making. Furthermore, the study has only considered objective dimension of financial knowledge. Practical implications: The findings will be useful for financial service providers who need to enhance the FSE and financial knowledge and design a “behavioural portfolio” according the personality traits of their clients. Social implications: The up-liftment of financial confidence among individuals in order to motivate them to participate in financial markets and enjoy “short-cuts” towards financial success. Originality/value: This study is one of the initial attempts in the context of the Indian Stock Market to introduce FSE as a dual (both mediating and moderating) construct between personality traits and investment intention using TPB, moreover, this study also provides the necessary impetus to analyse the relationship between financial knowledge and investment intention with attitude as the mediating variable.","author":[{"dropping-particle":"","family":"Akhtar","given":"Fatima","non-dropping-particle":"","parse-names":false,"suffix":""},{"dropping-particle":"","family":"Das","given":"Niladri","non-dropping-particle":"","parse-names":false,"suffix":""}],"container-title":"International Journal of Bank Marketing","id":"ITEM-1","issue":"1","issued":{"date-parts":[["2019"]]},"page":"97-119","title":"Predictors of investment intention in Indian stock markets: Extending the theory of planned behaviour","type":"article-journal","volume":"37"},"uris":["http://www.mendeley.com/documents/?uuid=1a236fdb-18fd-4a12-b3cd-9143bd5ea03b"]}],"mendeley":{"formattedCitation":"(Akhtar &amp; Das, 2019)","plainTextFormattedCitation":"(Akhtar &amp; Das, 2019)","previouslyFormattedCitation":"(Akhtar &amp; Das, 2019)"},"properties":{"noteIndex":0},"schema":"https://github.com/citation-style-language/schema/raw/master/csl-citation.json"}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(Akhtar &amp; Das, 2019)</w:t>
      </w:r>
      <w:r w:rsidRPr="001844F8">
        <w:rPr>
          <w:rFonts w:ascii="Arial" w:hAnsi="Arial" w:cs="Arial"/>
        </w:rPr>
        <w:fldChar w:fldCharType="end"/>
      </w:r>
      <w:r w:rsidRPr="001844F8">
        <w:rPr>
          <w:rFonts w:ascii="Arial" w:hAnsi="Arial" w:cs="Arial"/>
        </w:rPr>
        <w:t xml:space="preserve">  who stated that personality traits have a significant effect on financial self-efficacy in the capital market</w:t>
      </w:r>
      <w:bookmarkEnd w:id="397"/>
      <w:bookmarkEnd w:id="398"/>
      <w:bookmarkEnd w:id="399"/>
      <w:bookmarkEnd w:id="400"/>
      <w:bookmarkEnd w:id="401"/>
    </w:p>
    <w:p w:rsidR="001844F8" w:rsidRPr="001844F8" w:rsidRDefault="001844F8" w:rsidP="001844F8">
      <w:pPr>
        <w:pStyle w:val="Body"/>
        <w:rPr>
          <w:rFonts w:ascii="Arial" w:hAnsi="Arial" w:cs="Arial"/>
        </w:rPr>
      </w:pPr>
      <w:r w:rsidRPr="001844F8">
        <w:rPr>
          <w:rFonts w:ascii="Arial" w:hAnsi="Arial" w:cs="Arial"/>
        </w:rPr>
        <w:t xml:space="preserve">The results of the eighth test show that the financial attitude variable can mediate the relationship between financial knowledge and investment intentions. Financial knowledge possessed by a person can be a tool in making decisions related to finance, so that it becomes quite important for his life </w:t>
      </w:r>
      <w:r w:rsidRPr="001844F8">
        <w:rPr>
          <w:rFonts w:ascii="Arial" w:hAnsi="Arial" w:cs="Arial"/>
        </w:rPr>
        <w:fldChar w:fldCharType="begin" w:fldLock="1"/>
      </w:r>
      <w:r w:rsidRPr="001844F8">
        <w:rPr>
          <w:rFonts w:ascii="Arial" w:hAnsi="Arial" w:cs="Arial"/>
        </w:rPr>
        <w:instrText>ADDIN CSL_CITATION {"citationItems":[{"id":"ITEM-1","itemData":{"DOI":"10.1017/S1474747211000448","ISSN":"14753022","abstract":"In an increasingly risky and globalized marketplace, people must be able to make well-informed financial decisions. New international research demonstrates that financial illiteracy is widespread in both well-developed and rapidly changing markets. Women are less financially literate than men, the young and the old are less financially literate than the middle-aged, and more educated people are more financially knowledgeable. Most importantly, the financially literate are more likely to plan for retirement. Instrumental variables estimates show that the effects of financial literacy on retirement planning tend to be underestimated. In sum, around the world, financial literacy is critical to retirement security. © 2011, Cambridge University Press. All rights reserved.","author":[{"dropping-particle":"","family":"Klapper","given":"Leora","non-dropping-particle":"","parse-names":false,"suffix":""},{"dropping-particle":"","family":"Lusardi","given":"Annamaria","non-dropping-particle":"","parse-names":false,"suffix":""},{"dropping-particle":"van","family":"Oudheusden","given":"Peter","non-dropping-particle":"","parse-names":false,"suffix":""}],"container-title":"Journal of Pension Economics and Finance","id":"ITEM-1","issue":"4","issued":{"date-parts":[["2011"]]},"page":"497-508","title":"Financial literacy around the world: An overview","type":"article-journal","volume":"10"},"uris":["http://www.mendeley.com/documents/?uuid=1d3f3c47-aa72-48d8-849c-95367017e19e"]}],"mendeley":{"formattedCitation":"(Klapper et al., 2011)","plainTextFormattedCitation":"(Klapper et al., 2011)","previouslyFormattedCitation":"(Klapper et al., 2011)"},"properties":{"noteIndex":0},"schema":"https://github.com/citation-style-language/schema/raw/master/csl-citation.json"}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(Klapper et al., 2011)</w:t>
      </w:r>
      <w:r w:rsidRPr="001844F8">
        <w:rPr>
          <w:rFonts w:ascii="Arial" w:hAnsi="Arial" w:cs="Arial"/>
        </w:rPr>
        <w:fldChar w:fldCharType="end"/>
      </w:r>
      <w:r w:rsidRPr="001844F8">
        <w:rPr>
          <w:rFonts w:ascii="Arial" w:hAnsi="Arial" w:cs="Arial"/>
        </w:rPr>
        <w:t xml:space="preserve">. These people are also more likely to diversify risks by spreading their funds across different financial assets </w:t>
      </w:r>
      <w:r w:rsidRPr="001844F8">
        <w:rPr>
          <w:rFonts w:ascii="Arial" w:hAnsi="Arial" w:cs="Arial"/>
        </w:rPr>
        <w:fldChar w:fldCharType="begin" w:fldLock="1"/>
      </w:r>
      <w:r w:rsidRPr="001844F8">
        <w:rPr>
          <w:rFonts w:ascii="Arial" w:hAnsi="Arial" w:cs="Arial"/>
        </w:rPr>
        <w:instrText>ADDIN CSL_CITATION {"citationItems":[{"id":"ITEM-1","itemData":{"DOI":"10.1080/14697680902878105","ISSN":"14697688","abstract":"We use a survey of individual investors disclosed by the Portuguese Securities Commission (CMVM) in May 2005 to study the impact of investors' levels of financial literacy on portfolio diversification. We consider distinct aspects of financial literacy, and control for socioeconomic and behavioral differences among individual groups of investors. Our results suggest that investors' educational levels and their financial knowledge have a positive impact on investor diversification. The information sources used by retail investors to gather information on markets and financial products also have a significant impact on the number of different assets included in a portfolio. © 2010 Taylor &amp; Francis.","author":[{"dropping-particle":"","family":"Abreu","given":"Margarida","non-dropping-particle":"","parse-names":false,"suffix":""},{"dropping-particle":"","family":"Mendes","given":"Victor","non-dropping-particle":"","parse-names":false,"suffix":""}],"container-title":"Quantitative Finance","id":"ITEM-1","issue":"5","issued":{"date-parts":[["2010"]]},"page":"515-528","title":"Financial literacy and portfolio diversification","type":"article-journal","volume":"10"},"uris":["http://www.mendeley.com/documents/?uuid=b65cda99-f387-4ba7-8793-dfedd1ffec38"]}],"mendeley":{"formattedCitation":"(Abreu &amp; Mendes, 2010)","plainTextFormattedCitation":"(Abreu &amp; Mendes, 2010)","previouslyFormattedCitation":"(Abreu &amp; Mendes, 2010)"},"properties":{"noteIndex":0},"schema":"https://github.com/citation-style-language/schema/raw/master/csl-citation.json"}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(Abreu &amp; Mendes, 2010)</w:t>
      </w:r>
      <w:r w:rsidRPr="001844F8">
        <w:rPr>
          <w:rFonts w:ascii="Arial" w:hAnsi="Arial" w:cs="Arial"/>
        </w:rPr>
        <w:fldChar w:fldCharType="end"/>
      </w:r>
      <w:r w:rsidRPr="001844F8">
        <w:rPr>
          <w:rFonts w:ascii="Arial" w:hAnsi="Arial" w:cs="Arial"/>
        </w:rPr>
        <w:t xml:space="preserve">. The more knowledge related to finance, the better the financial decisions made, so it is likely that a person's financial attitude will become more responsible. Individuals with a high level of financial attitude are more likely to have a positive attitude towards planning in managing finances </w:t>
      </w:r>
      <w:r w:rsidRPr="001844F8">
        <w:rPr>
          <w:rFonts w:ascii="Arial" w:hAnsi="Arial" w:cs="Arial"/>
        </w:rPr>
        <w:fldChar w:fldCharType="begin" w:fldLock="1"/>
      </w:r>
      <w:r w:rsidRPr="001844F8">
        <w:rPr>
          <w:rFonts w:ascii="Arial" w:hAnsi="Arial" w:cs="Arial"/>
        </w:rPr>
        <w:instrText>ADDIN CSL_CITATION {"citationItems":[{"id":"ITEM-1","itemData":{"DOI":"10.1108/EDI-05-2016-0040","ISSN":"17587093","abstract":"Purpose - The purpose of this paper is to examine the mediating effect of financial self-efficacy (FSE) on the relationship between financial attitude, financial literacy and financial inclusion (FI) among individuals in Uganda. Design/methodology/approach - Using a quantitative approach and cross-sectional research design, a sample of 400 individuals from urban Central and rural Northern Uganda was drawn. Using SPSS and AMOS™21, structural equation models and bootstrapping methods were used to establish the hypothesized relationships and mediation effects between financial attitude, financial literacy and FI. Findings - The results suggested FSE as a mediator of the relationship between financial attitude, financial literacy and FI. Further, there was a significant and insignificant relationship between financial literacy, financial attitude and FI, respectively. Research limitations/implications - The study was assessed using both potential and actual consumers of financial services collectively. However if separately assessed, possibly there would be a variation in perceptions or behavioural responses towards FI. Practical implications - There is a need to develop and sustain high levels of financial confidence among individuals to enable them use formal financial services. Social implications - Possession of financial knowledge, skills, an evaluative judgement with high levels of financial confidence enable individuals make financial decisions that improve their integration into the formal financial system and improved welfare. Originality/value - The results contribute towards the limited empirical and theoretical evidence regarding the mediating role of FSE in explaining the financial behaviour.","author":[{"dropping-particle":"","family":"Mindra","given":"Rachel","non-dropping-particle":"","parse-names":false,"suffix":""},{"dropping-particle":"","family":"Moya","given":"Musa","non-dropping-particle":"","parse-names":false,"suffix":""}],"container-title":"Equality, Diversity and Inclusion","id":"ITEM-1","issue":"2","issued":{"date-parts":[["2017"]]},"page":"128-149","title":"Financial self-efficacy: A mediator in advancing financial inclusion","type":"article-journal","volume":"36"},"uris":["http://www.mendeley.com/documents/?uuid=037c008f-919d-46d1-9790-d74cebe01e2f"]}],"mendeley":{"formattedCitation":"(Mindra &amp; Moya, 2017)","plainTextFormattedCitation":"(Mindra &amp; Moya, 2017)","previouslyFormattedCitation":"(Mindra &amp; Moya, 2017)"},"properties":{"noteIndex":0},"schema":"https://github.com/citation-style-language/schema/raw/master/csl-citation.json"}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(Mindra &amp; Moya, 2017)</w:t>
      </w:r>
      <w:r w:rsidRPr="001844F8">
        <w:rPr>
          <w:rFonts w:ascii="Arial" w:hAnsi="Arial" w:cs="Arial"/>
        </w:rPr>
        <w:fldChar w:fldCharType="end"/>
      </w:r>
      <w:r w:rsidRPr="001844F8">
        <w:rPr>
          <w:rFonts w:ascii="Arial" w:hAnsi="Arial" w:cs="Arial"/>
        </w:rPr>
        <w:t xml:space="preserve">. A person with high financial knowledge also has a tendency to organize, manage and know the risks that will be faced in investing by having a good financial attitude, namely a positive state of mind, opinions and judgments about finances. So, having a better plan for managing finances will increase investment intentions in the capital market. The research results are in line with </w:t>
      </w:r>
      <w:r w:rsidRPr="001844F8">
        <w:rPr>
          <w:rFonts w:ascii="Arial" w:hAnsi="Arial" w:cs="Arial"/>
        </w:rPr>
        <w:fldChar w:fldCharType="begin" w:fldLock="1"/>
      </w:r>
      <w:r w:rsidRPr="001844F8">
        <w:rPr>
          <w:rFonts w:ascii="Arial" w:hAnsi="Arial" w:cs="Arial"/>
        </w:rPr>
        <w:instrText>ADDIN CSL_CITATION {"citationItems":[{"id":"ITEM-1","itemData":{"DOI":"10.1108/IJBM-08-2017-0167","ISSN":"02652323","abstract":"Purpose: The purpose of this paper is to understand investment intention of prospective individual investors in a developing country (i.e. India) by using the “Theory of Planned Behaviour” (TPB) (where perceived behavioural control has been replaced with financial self-efficacy, FSE) and two additional constructs, i.e. financial knowledge and personality traits (i.e. risk-taking propensity and preference for innovation) have been introduced. Design/methodology/approach: The study uses quantitative and cross-sectional approach wherein questionnaire based survey was done to collect responses from prospective individual investors (920 usable responses). AMOS and SPSS have been used to establish the hypothesised relationship between the constructs. Findings: The results of the study suggested that attitude was responsible for partial mediation between the relationship of financial knowledge and investment intention, whereas financial self-efficacy was exerting a dual role on the relationship between personality traits and investment intention. Subjective norms, on the other hand, exerted a weak positive effect on investment intention. Research limitations/implications: This study is limited to measure the investment intention in financial markets in case of prospective individual investors; it does not incorporate the actual investment behaviour, the study also fails to include demographic factors which play a vital role in investment decision making. Furthermore, the study has only considered objective dimension of financial knowledge. Practical implications: The findings will be useful for financial service providers who need to enhance the FSE and financial knowledge and design a “behavioural portfolio” according the personality traits of their clients. Social implications: The up-liftment of financial confidence among individuals in order to motivate them to participate in financial markets and enjoy “short-cuts” towards financial success. Originality/value: This study is one of the initial attempts in the context of the Indian Stock Market to introduce FSE as a dual (both mediating and moderating) construct between personality traits and investment intention using TPB, moreover, this study also provides the necessary impetus to analyse the relationship between financial knowledge and investment intention with attitude as the mediating variable.","author":[{"dropping-particle":"","family":"Akhtar","given":"Fatima","non-dropping-particle":"","parse-names":false,"suffix":""},{"dropping-particle":"","family":"Das","given":"Niladri","non-dropping-particle":"","parse-names":false,"suffix":""}],"container-title":"International Journal of Bank Marketing","id":"ITEM-1","issue":"1","issued":{"date-parts":[["2019"]]},"page":"97-119","title":"Predictors of investment intention in Indian stock markets: Extending the theory of planned behaviour","type":"article-journal","volume":"37"},"uris":["http://www.mendeley.com/documents/?uuid=1a236fdb-18fd-4a12-b3cd-9143bd5ea03b"]}],"mendeley":{"formattedCitation":"(Akhtar &amp; Das, 2019)","plainTextFormattedCitation":"(Akhtar &amp; Das, 2019)","previouslyFormattedCitation":"(Akhtar &amp; Das, 2019)"},"properties":{"noteIndex":0},"schema":"https://github.com/citation-style-language/schema/raw/master/csl-citation.json"}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(Akhtar &amp; Das, 2019)</w:t>
      </w:r>
      <w:r w:rsidRPr="001844F8">
        <w:rPr>
          <w:rFonts w:ascii="Arial" w:hAnsi="Arial" w:cs="Arial"/>
        </w:rPr>
        <w:fldChar w:fldCharType="end"/>
      </w:r>
      <w:r w:rsidRPr="001844F8">
        <w:rPr>
          <w:rFonts w:ascii="Arial" w:hAnsi="Arial" w:cs="Arial"/>
        </w:rPr>
        <w:t xml:space="preserve">. The results of the ninth test show that financial self-efficacy cannot mediate the relationship between personality traits and investment intentions. This means that a person's personality is different, so it cannot encourage individuals to take opportunities in decision-making situations in the capital market </w:t>
      </w:r>
      <w:r w:rsidRPr="001844F8">
        <w:rPr>
          <w:rFonts w:ascii="Arial" w:hAnsi="Arial" w:cs="Arial"/>
        </w:rPr>
        <w:fldChar w:fldCharType="begin" w:fldLock="1"/>
      </w:r>
      <w:r w:rsidRPr="001844F8">
        <w:rPr>
          <w:rFonts w:ascii="Arial" w:hAnsi="Arial" w:cs="Arial"/>
        </w:rPr>
        <w:instrText>ADDIN CSL_CITATION {"citationItems":[{"id":"ITEM-1","itemData":{"DOI":"10.1108/IJBM-08-2017-0167","ISSN":"02652323","abstract":"Purpose: The purpose of this paper is to understand investment intention of prospective individual investors in a developing country (i.e. India) by using the “Theory of Planned Behaviour” (TPB) (where perceived behavioural control has been replaced with financial self-efficacy, FSE) and two additional constructs, i.e. financial knowledge and personality traits (i.e. risk-taking propensity and preference for innovation) have been introduced. Design/methodology/approach: The study uses quantitative and cross-sectional approach wherein questionnaire based survey was done to collect responses from prospective individual investors (920 usable responses). AMOS and SPSS have been used to establish the hypothesised relationship between the constructs. Findings: The results of the study suggested that attitude was responsible for partial mediation between the relationship of financial knowledge and investment intention, whereas financial self-efficacy was exerting a dual role on the relationship between personality traits and investment intention. Subjective norms, on the other hand, exerted a weak positive effect on investment intention. Research limitations/implications: This study is limited to measure the investment intention in financial markets in case of prospective individual investors; it does not incorporate the actual investment behaviour, the study also fails to include demographic factors which play a vital role in investment decision making. Furthermore, the study has only considered objective dimension of financial knowledge. Practical implications: The findings will be useful for financial service providers who need to enhance the FSE and financial knowledge and design a “behavioural portfolio” according the personality traits of their clients. Social implications: The up-liftment of financial confidence among individuals in order to motivate them to participate in financial markets and enjoy “short-cuts” towards financial success. Originality/value: This study is one of the initial attempts in the context of the Indian Stock Market to introduce FSE as a dual (both mediating and moderating) construct between personality traits and investment intention using TPB, moreover, this study also provides the necessary impetus to analyse the relationship between financial knowledge and investment intention with attitude as the mediating variable.","author":[{"dropping-particle":"","family":"Akhtar","given":"Fatima","non-dropping-particle":"","parse-names":false,"suffix":""},{"dropping-particle":"","family":"Das","given":"Niladri","non-dropping-particle":"","parse-names":false,"suffix":""}],"container-title":"International Journal of Bank Marketing","id":"ITEM-1","issue":"1","issued":{"date-parts":[["2019"]]},"page":"97-119","title":"Predictors of investment intention in Indian stock markets: Extending the theory of planned behaviour","type":"article-journal","volume":"37"},"uris":["http://www.mendeley.com/documents/?uuid=1a236fdb-18fd-4a12-b3cd-9143bd5ea03b"]}],"mendeley":{"formattedCitation":"(Akhtar &amp; Das, 2019)","plainTextFormattedCitation":"(Akhtar &amp; Das, 2019)","previouslyFormattedCitation":"(Akhtar &amp; Das, 2019)"},"properties":{"noteIndex":0},"schema":"https://github.com/citation-style-language/schema/raw/master/csl-citation.json"}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(Akhtar &amp; Das, 2019)</w:t>
      </w:r>
      <w:r w:rsidRPr="001844F8">
        <w:rPr>
          <w:rFonts w:ascii="Arial" w:hAnsi="Arial" w:cs="Arial"/>
        </w:rPr>
        <w:fldChar w:fldCharType="end"/>
      </w:r>
      <w:r w:rsidRPr="001844F8">
        <w:rPr>
          <w:rFonts w:ascii="Arial" w:hAnsi="Arial" w:cs="Arial"/>
        </w:rPr>
        <w:t xml:space="preserve">. </w:t>
      </w:r>
    </w:p>
    <w:p w:rsidR="001844F8" w:rsidRPr="001844F8" w:rsidRDefault="001844F8" w:rsidP="001844F8">
      <w:pPr>
        <w:pStyle w:val="Body"/>
        <w:rPr>
          <w:rFonts w:ascii="Arial" w:hAnsi="Arial" w:cs="Arial"/>
          <w:lang w:val="en-AU"/>
        </w:rPr>
      </w:pPr>
    </w:p>
    <w:p w:rsidR="001844F8" w:rsidRPr="001844F8" w:rsidRDefault="001844F8" w:rsidP="001844F8">
      <w:pPr>
        <w:pStyle w:val="Body"/>
        <w:spacing w:after="0"/>
        <w:rPr>
          <w:rFonts w:ascii="Arial" w:hAnsi="Arial" w:cs="Arial"/>
          <w:b/>
        </w:rPr>
      </w:pPr>
      <w:r>
        <w:rPr>
          <w:rFonts w:ascii="Arial" w:hAnsi="Arial" w:cs="Arial"/>
          <w:b/>
        </w:rPr>
        <w:t>5.</w:t>
      </w:r>
      <w:r w:rsidRPr="001844F8">
        <w:rPr>
          <w:rFonts w:ascii="Arial" w:hAnsi="Arial" w:cs="Arial"/>
          <w:b/>
        </w:rPr>
        <w:t>CONCLUSION</w:t>
      </w:r>
    </w:p>
    <w:p w:rsidR="001844F8" w:rsidRPr="001844F8" w:rsidRDefault="001844F8" w:rsidP="001844F8">
      <w:pPr>
        <w:pStyle w:val="Body"/>
        <w:rPr>
          <w:rFonts w:ascii="Arial" w:hAnsi="Arial" w:cs="Arial"/>
        </w:rPr>
      </w:pPr>
      <w:r w:rsidRPr="001844F8">
        <w:rPr>
          <w:rFonts w:ascii="Arial" w:hAnsi="Arial" w:cs="Arial"/>
        </w:rPr>
        <w:t>Based on the analysis and discussion that has been carried out, the conclusion of this research is that financial attitude has a positive and significant effect on investment intentions. Subjective norms have a positive and insignificant effect on investment intentions in the capital market. Financial self-efficacy has a positive and insignificant effect on investment intentions in the capital market. Financial knowledge has a positive and significant effect on investment intentions in the capital market. Financial knowledge has a positive and significant effect on financial attitude in the capital market. Personality traits have a positive and insignificant effect on investment intentions in the capital market. Personality traits have a positive and significant effect on financial self-efficacy. There is a significant relationship between financial knowledge and investment intentions, mediated by financial attitude. The relationship between personality traits and investment intentions, mediated by financial self-efficacy, is not significant.</w:t>
      </w:r>
    </w:p>
    <w:p w:rsidR="001844F8" w:rsidRPr="001844F8" w:rsidRDefault="001844F8" w:rsidP="001844F8">
      <w:pPr>
        <w:pStyle w:val="Body"/>
        <w:rPr>
          <w:rFonts w:ascii="Arial" w:hAnsi="Arial" w:cs="Arial"/>
          <w:lang w:val="fi-FI"/>
        </w:rPr>
      </w:pPr>
      <w:r w:rsidRPr="001844F8">
        <w:rPr>
          <w:rFonts w:ascii="Arial" w:hAnsi="Arial" w:cs="Arial"/>
          <w:bCs/>
          <w:lang w:val="fi-FI"/>
        </w:rPr>
        <w:t>This research is far from perfect, and has limitations, including h</w:t>
      </w:r>
      <w:r w:rsidRPr="001844F8">
        <w:rPr>
          <w:rFonts w:ascii="Arial" w:hAnsi="Arial" w:cs="Arial"/>
        </w:rPr>
        <w:t>The results of this research cannot be directly generalized to the investor population outside Surabaya, considering that the research focus is only on respondents in the Surabaya area. There is dependency on subjective responses, including dependency on respondents' subjective responses, which can be influenced by factors such as honesty and self-perception. The capital market context is frequently changing, where rapid changes are also influenced by economic conditions and the capital market. Thus, it can affect the validity and relevance of research results over time. Therefore, it is recommended for future researchers to conduct further research and apply these findings to support an in-depth understanding of investment behavior. As well as adding other variables such as demographic factors to get more representative results. Meanwhile, suggestions to the government and capital market regulators are to consider developing policies that support potential new investors through financial education to provide support to motivate greater participation in the capital market.</w:t>
      </w:r>
    </w:p>
    <w:p w:rsidR="001844F8" w:rsidRPr="001844F8" w:rsidRDefault="001844F8" w:rsidP="001844F8">
      <w:pPr>
        <w:pStyle w:val="Body"/>
        <w:rPr>
          <w:rFonts w:ascii="Arial" w:hAnsi="Arial" w:cs="Arial"/>
          <w:bCs/>
          <w:lang w:val="fi-FI"/>
        </w:rPr>
      </w:pPr>
    </w:p>
    <w:p w:rsidR="001844F8" w:rsidRPr="001844F8" w:rsidRDefault="001844F8" w:rsidP="001844F8">
      <w:pPr>
        <w:pStyle w:val="Body"/>
        <w:spacing w:after="0"/>
        <w:rPr>
          <w:rFonts w:ascii="Arial" w:hAnsi="Arial" w:cs="Arial"/>
          <w:b/>
        </w:rPr>
      </w:pPr>
      <w:r>
        <w:rPr>
          <w:rFonts w:ascii="Arial" w:hAnsi="Arial" w:cs="Arial"/>
          <w:b/>
        </w:rPr>
        <w:lastRenderedPageBreak/>
        <w:t>6.</w:t>
      </w:r>
      <w:r w:rsidRPr="001844F8">
        <w:rPr>
          <w:rFonts w:ascii="Arial" w:hAnsi="Arial" w:cs="Arial"/>
          <w:b/>
        </w:rPr>
        <w:t>REFERENCES</w:t>
      </w:r>
    </w:p>
    <w:sdt>
      <w:sdtPr>
        <w:rPr>
          <w:rFonts w:ascii="Arial" w:hAnsi="Arial" w:cs="Arial"/>
        </w:rPr>
        <w:id w:val="-991794098"/>
        <w:bibliography/>
      </w:sdtPr>
      <w:sdtEndPr/>
      <w:sdtContent>
        <w:p w:rsidR="001844F8" w:rsidRPr="001844F8" w:rsidRDefault="001844F8" w:rsidP="001844F8">
          <w:pPr>
            <w:pStyle w:val="Body"/>
            <w:rPr>
              <w:rFonts w:ascii="Arial" w:hAnsi="Arial" w:cs="Arial"/>
            </w:rPr>
          </w:pPr>
          <w:r w:rsidRPr="001844F8">
            <w:rPr>
              <w:rFonts w:ascii="Arial" w:hAnsi="Arial" w:cs="Arial"/>
            </w:rPr>
            <w:fldChar w:fldCharType="begin" w:fldLock="1"/>
          </w:r>
          <w:r w:rsidRPr="001844F8">
            <w:rPr>
              <w:rFonts w:ascii="Arial" w:hAnsi="Arial" w:cs="Arial"/>
            </w:rPr>
            <w:instrText xml:space="preserve">ADDIN Mendeley Bibliography CSL_BIBLIOGRAPHY </w:instrText>
          </w:r>
          <w:r w:rsidRPr="001844F8">
            <w:rPr>
              <w:rFonts w:ascii="Arial" w:hAnsi="Arial" w:cs="Arial"/>
            </w:rPr>
            <w:fldChar w:fldCharType="separate"/>
          </w:r>
          <w:r w:rsidRPr="001844F8">
            <w:rPr>
              <w:rFonts w:ascii="Arial" w:hAnsi="Arial" w:cs="Arial"/>
            </w:rPr>
            <w:t xml:space="preserve">Abreu, M., &amp; Mendes, V. (2010). Financial literacy and portfolio diversification. </w:t>
          </w:r>
          <w:r w:rsidRPr="001844F8">
            <w:rPr>
              <w:rFonts w:ascii="Arial" w:hAnsi="Arial" w:cs="Arial"/>
              <w:i/>
              <w:iCs/>
            </w:rPr>
            <w:t>Quantitative Finance</w:t>
          </w:r>
          <w:r w:rsidRPr="001844F8">
            <w:rPr>
              <w:rFonts w:ascii="Arial" w:hAnsi="Arial" w:cs="Arial"/>
            </w:rPr>
            <w:t xml:space="preserve">, </w:t>
          </w:r>
          <w:r w:rsidRPr="001844F8">
            <w:rPr>
              <w:rFonts w:ascii="Arial" w:hAnsi="Arial" w:cs="Arial"/>
              <w:i/>
              <w:iCs/>
            </w:rPr>
            <w:t>10</w:t>
          </w:r>
          <w:r w:rsidRPr="001844F8">
            <w:rPr>
              <w:rFonts w:ascii="Arial" w:hAnsi="Arial" w:cs="Arial"/>
            </w:rPr>
            <w:t>(5), 515–528. https://doi.org/10.1080/14697680902878105</w:t>
          </w:r>
        </w:p>
        <w:p w:rsidR="001844F8" w:rsidRPr="001844F8" w:rsidRDefault="001844F8" w:rsidP="001844F8">
          <w:pPr>
            <w:pStyle w:val="Body"/>
            <w:rPr>
              <w:rFonts w:ascii="Arial" w:hAnsi="Arial" w:cs="Arial"/>
            </w:rPr>
          </w:pPr>
          <w:r w:rsidRPr="001844F8">
            <w:rPr>
              <w:rFonts w:ascii="Arial" w:hAnsi="Arial" w:cs="Arial"/>
            </w:rPr>
            <w:t xml:space="preserve">Ajzen, I. (1991). ATTITUDES, PERSONALITY AND BEHAIOR. In </w:t>
          </w:r>
          <w:r w:rsidRPr="001844F8">
            <w:rPr>
              <w:rFonts w:ascii="Arial" w:hAnsi="Arial" w:cs="Arial"/>
              <w:i/>
              <w:iCs/>
            </w:rPr>
            <w:t>Open University Press</w:t>
          </w:r>
          <w:r w:rsidRPr="001844F8">
            <w:rPr>
              <w:rFonts w:ascii="Arial" w:hAnsi="Arial" w:cs="Arial"/>
            </w:rPr>
            <w:t xml:space="preserve"> (Vol. 13, Issue 4). https://doi.org/10.3109/01421599109089905</w:t>
          </w:r>
        </w:p>
        <w:p w:rsidR="001844F8" w:rsidRPr="001844F8" w:rsidRDefault="001844F8" w:rsidP="001844F8">
          <w:pPr>
            <w:pStyle w:val="Body"/>
            <w:rPr>
              <w:rFonts w:ascii="Arial" w:hAnsi="Arial" w:cs="Arial"/>
            </w:rPr>
          </w:pPr>
          <w:r w:rsidRPr="001844F8">
            <w:rPr>
              <w:rFonts w:ascii="Arial" w:hAnsi="Arial" w:cs="Arial"/>
            </w:rPr>
            <w:t xml:space="preserve">Akhtar, F., &amp; Das, N. (2019). Predictors of investment intention in Indian stock markets: Extending the theory of planned behaviour. </w:t>
          </w:r>
          <w:r w:rsidRPr="001844F8">
            <w:rPr>
              <w:rFonts w:ascii="Arial" w:hAnsi="Arial" w:cs="Arial"/>
              <w:i/>
              <w:iCs/>
            </w:rPr>
            <w:t>International Journal of Bank Marketing</w:t>
          </w:r>
          <w:r w:rsidRPr="001844F8">
            <w:rPr>
              <w:rFonts w:ascii="Arial" w:hAnsi="Arial" w:cs="Arial"/>
            </w:rPr>
            <w:t xml:space="preserve">, </w:t>
          </w:r>
          <w:r w:rsidRPr="001844F8">
            <w:rPr>
              <w:rFonts w:ascii="Arial" w:hAnsi="Arial" w:cs="Arial"/>
              <w:i/>
              <w:iCs/>
            </w:rPr>
            <w:t>37</w:t>
          </w:r>
          <w:r w:rsidRPr="001844F8">
            <w:rPr>
              <w:rFonts w:ascii="Arial" w:hAnsi="Arial" w:cs="Arial"/>
            </w:rPr>
            <w:t>(1), 97–119. https://doi.org/10.1108/IJBM-08-2017-0167</w:t>
          </w:r>
        </w:p>
        <w:p w:rsidR="001844F8" w:rsidRPr="001844F8" w:rsidRDefault="001844F8" w:rsidP="001844F8">
          <w:pPr>
            <w:pStyle w:val="Body"/>
            <w:rPr>
              <w:rFonts w:ascii="Arial" w:hAnsi="Arial" w:cs="Arial"/>
            </w:rPr>
          </w:pPr>
          <w:r w:rsidRPr="001844F8">
            <w:rPr>
              <w:rFonts w:ascii="Arial" w:hAnsi="Arial" w:cs="Arial"/>
            </w:rPr>
            <w:t xml:space="preserve">Ali, A. (2011). Predicting individual investors’ intention to invest: An experimental analysis of attitude as a mediator. </w:t>
          </w:r>
          <w:r w:rsidRPr="001844F8">
            <w:rPr>
              <w:rFonts w:ascii="Arial" w:hAnsi="Arial" w:cs="Arial"/>
              <w:i/>
              <w:iCs/>
            </w:rPr>
            <w:t>World Academy of Science, Engineering and Technology</w:t>
          </w:r>
          <w:r w:rsidRPr="001844F8">
            <w:rPr>
              <w:rFonts w:ascii="Arial" w:hAnsi="Arial" w:cs="Arial"/>
            </w:rPr>
            <w:t xml:space="preserve">, </w:t>
          </w:r>
          <w:r w:rsidRPr="001844F8">
            <w:rPr>
              <w:rFonts w:ascii="Arial" w:hAnsi="Arial" w:cs="Arial"/>
              <w:i/>
              <w:iCs/>
            </w:rPr>
            <w:t>50</w:t>
          </w:r>
          <w:r w:rsidRPr="001844F8">
            <w:rPr>
              <w:rFonts w:ascii="Arial" w:hAnsi="Arial" w:cs="Arial"/>
            </w:rPr>
            <w:t>(February), 994–1001.</w:t>
          </w:r>
        </w:p>
        <w:p w:rsidR="001844F8" w:rsidRPr="001844F8" w:rsidRDefault="001844F8" w:rsidP="001844F8">
          <w:pPr>
            <w:pStyle w:val="Body"/>
            <w:rPr>
              <w:rFonts w:ascii="Arial" w:hAnsi="Arial" w:cs="Arial"/>
            </w:rPr>
          </w:pPr>
          <w:r w:rsidRPr="001844F8">
            <w:rPr>
              <w:rFonts w:ascii="Arial" w:hAnsi="Arial" w:cs="Arial"/>
            </w:rPr>
            <w:t xml:space="preserve">Baker, H. K., Nofsinger, J. R., &amp; Puttonen, V. (2020). Other Frauds and Scams that Lure Unsuspecting Investors. </w:t>
          </w:r>
          <w:r w:rsidRPr="001844F8">
            <w:rPr>
              <w:rFonts w:ascii="Arial" w:hAnsi="Arial" w:cs="Arial"/>
              <w:i/>
              <w:iCs/>
            </w:rPr>
            <w:t>The Savvy Investor’s Guide to Avoiding Pitfalls, Frauds, and Scams</w:t>
          </w:r>
          <w:r w:rsidRPr="001844F8">
            <w:rPr>
              <w:rFonts w:ascii="Arial" w:hAnsi="Arial" w:cs="Arial"/>
            </w:rPr>
            <w:t>, 149–177. https://doi.org/10.1108/978-1-78973-559-820201010</w:t>
          </w:r>
        </w:p>
        <w:p w:rsidR="001844F8" w:rsidRPr="001844F8" w:rsidRDefault="001844F8" w:rsidP="001844F8">
          <w:pPr>
            <w:pStyle w:val="Body"/>
            <w:rPr>
              <w:rFonts w:ascii="Arial" w:hAnsi="Arial" w:cs="Arial"/>
              <w:lang w:val="de-DE"/>
            </w:rPr>
          </w:pPr>
          <w:r w:rsidRPr="001844F8">
            <w:rPr>
              <w:rFonts w:ascii="Arial" w:hAnsi="Arial" w:cs="Arial"/>
            </w:rPr>
            <w:t xml:space="preserve">Bakhri, S., Aziz, A., &amp; Sarinah, R. (2020). Pengetahuan dan Motivasi untuk Menumbuhkan Minat Berinvestasi pada Mahasiswa. </w:t>
          </w:r>
          <w:r w:rsidRPr="001844F8">
            <w:rPr>
              <w:rFonts w:ascii="Arial" w:hAnsi="Arial" w:cs="Arial"/>
              <w:i/>
              <w:iCs/>
              <w:lang w:val="de-DE"/>
            </w:rPr>
            <w:t>Value : Jurnal Manajemen Dan Akuntansi</w:t>
          </w:r>
          <w:r w:rsidRPr="001844F8">
            <w:rPr>
              <w:rFonts w:ascii="Arial" w:hAnsi="Arial" w:cs="Arial"/>
              <w:lang w:val="de-DE"/>
            </w:rPr>
            <w:t xml:space="preserve">, </w:t>
          </w:r>
          <w:r w:rsidRPr="001844F8">
            <w:rPr>
              <w:rFonts w:ascii="Arial" w:hAnsi="Arial" w:cs="Arial"/>
              <w:i/>
              <w:iCs/>
              <w:lang w:val="de-DE"/>
            </w:rPr>
            <w:t>15</w:t>
          </w:r>
          <w:r w:rsidRPr="001844F8">
            <w:rPr>
              <w:rFonts w:ascii="Arial" w:hAnsi="Arial" w:cs="Arial"/>
              <w:lang w:val="de-DE"/>
            </w:rPr>
            <w:t>(2), 60–73. https://doi.org/10.32534/jv.v15i2.1175</w:t>
          </w:r>
        </w:p>
        <w:p w:rsidR="001844F8" w:rsidRPr="001844F8" w:rsidRDefault="001844F8" w:rsidP="001844F8">
          <w:pPr>
            <w:pStyle w:val="Body"/>
            <w:rPr>
              <w:rFonts w:ascii="Arial" w:hAnsi="Arial" w:cs="Arial"/>
            </w:rPr>
          </w:pPr>
          <w:r w:rsidRPr="001844F8">
            <w:rPr>
              <w:rFonts w:ascii="Arial" w:hAnsi="Arial" w:cs="Arial"/>
              <w:lang w:val="de-DE"/>
            </w:rPr>
            <w:t xml:space="preserve">Citra, M., &amp; Rahmat, S. (2015). </w:t>
          </w:r>
          <w:r w:rsidRPr="001844F8">
            <w:rPr>
              <w:rFonts w:ascii="Arial" w:hAnsi="Arial" w:cs="Arial"/>
            </w:rPr>
            <w:t xml:space="preserve">Using Theory of Planned Behavior in Predicting Intention to Invest : Case of Indonesia. </w:t>
          </w:r>
          <w:r w:rsidRPr="001844F8">
            <w:rPr>
              <w:rFonts w:ascii="Arial" w:hAnsi="Arial" w:cs="Arial"/>
              <w:i/>
              <w:iCs/>
            </w:rPr>
            <w:t>International Academic Research Journal of Business and Technology 1(2) 2015 Page 137-141</w:t>
          </w:r>
          <w:r w:rsidRPr="001844F8">
            <w:rPr>
              <w:rFonts w:ascii="Arial" w:hAnsi="Arial" w:cs="Arial"/>
            </w:rPr>
            <w:t xml:space="preserve">, </w:t>
          </w:r>
          <w:r w:rsidRPr="001844F8">
            <w:rPr>
              <w:rFonts w:ascii="Arial" w:hAnsi="Arial" w:cs="Arial"/>
              <w:i/>
              <w:iCs/>
            </w:rPr>
            <w:t>1</w:t>
          </w:r>
          <w:r w:rsidRPr="001844F8">
            <w:rPr>
              <w:rFonts w:ascii="Arial" w:hAnsi="Arial" w:cs="Arial"/>
            </w:rPr>
            <w:t>(2), 137–141. http://s3.amazonaws.com/academia.edu.documents/45973157/IBTC2015-p137-141.pdf?AWSAccessKeyId=AKIAJ56TQJRTWSMTNPEA&amp;Expires=1473238789&amp;Signature=LOnYcRcmKt39IuoYbkq2d5KpZRA%3D&amp;response-content-disposition=inline%3B filename%3DUsing_Theory_of_Planned_Behavior_in_Pred.pdf</w:t>
          </w:r>
        </w:p>
        <w:p w:rsidR="001844F8" w:rsidRPr="001844F8" w:rsidRDefault="001844F8" w:rsidP="001844F8">
          <w:pPr>
            <w:pStyle w:val="Body"/>
            <w:rPr>
              <w:rFonts w:ascii="Arial" w:hAnsi="Arial" w:cs="Arial"/>
            </w:rPr>
          </w:pPr>
          <w:r w:rsidRPr="001844F8">
            <w:rPr>
              <w:rFonts w:ascii="Arial" w:hAnsi="Arial" w:cs="Arial"/>
            </w:rPr>
            <w:t xml:space="preserve">Clark-Murphy, M., &amp; Soutar, G. N. (2004). What individual investors value: Some Australian evidence. </w:t>
          </w:r>
          <w:r w:rsidRPr="001844F8">
            <w:rPr>
              <w:rFonts w:ascii="Arial" w:hAnsi="Arial" w:cs="Arial"/>
              <w:i/>
              <w:iCs/>
            </w:rPr>
            <w:t>Journal of Economic Psychology</w:t>
          </w:r>
          <w:r w:rsidRPr="001844F8">
            <w:rPr>
              <w:rFonts w:ascii="Arial" w:hAnsi="Arial" w:cs="Arial"/>
            </w:rPr>
            <w:t xml:space="preserve">, </w:t>
          </w:r>
          <w:r w:rsidRPr="001844F8">
            <w:rPr>
              <w:rFonts w:ascii="Arial" w:hAnsi="Arial" w:cs="Arial"/>
              <w:i/>
              <w:iCs/>
            </w:rPr>
            <w:t>25</w:t>
          </w:r>
          <w:r w:rsidRPr="001844F8">
            <w:rPr>
              <w:rFonts w:ascii="Arial" w:hAnsi="Arial" w:cs="Arial"/>
            </w:rPr>
            <w:t>(4), 539–555. https://doi.org/10.1016/S0167-4870(03)00056-4</w:t>
          </w:r>
        </w:p>
        <w:p w:rsidR="001844F8" w:rsidRPr="001844F8" w:rsidRDefault="001844F8" w:rsidP="001844F8">
          <w:pPr>
            <w:pStyle w:val="Body"/>
            <w:rPr>
              <w:rFonts w:ascii="Arial" w:hAnsi="Arial" w:cs="Arial"/>
            </w:rPr>
          </w:pPr>
          <w:r w:rsidRPr="001844F8">
            <w:rPr>
              <w:rFonts w:ascii="Arial" w:hAnsi="Arial" w:cs="Arial"/>
            </w:rPr>
            <w:t xml:space="preserve">Danes, S. M., &amp; Haberman, H. R. (2007). Teen financial knowledge, self-efficacy, and behavior: A gendered view. </w:t>
          </w:r>
          <w:r w:rsidRPr="001844F8">
            <w:rPr>
              <w:rFonts w:ascii="Arial" w:hAnsi="Arial" w:cs="Arial"/>
              <w:i/>
              <w:iCs/>
            </w:rPr>
            <w:t>Journal of Financial Counseling and Planning</w:t>
          </w:r>
          <w:r w:rsidRPr="001844F8">
            <w:rPr>
              <w:rFonts w:ascii="Arial" w:hAnsi="Arial" w:cs="Arial"/>
            </w:rPr>
            <w:t xml:space="preserve">, </w:t>
          </w:r>
          <w:r w:rsidRPr="001844F8">
            <w:rPr>
              <w:rFonts w:ascii="Arial" w:hAnsi="Arial" w:cs="Arial"/>
              <w:i/>
              <w:iCs/>
            </w:rPr>
            <w:t>18</w:t>
          </w:r>
          <w:r w:rsidRPr="001844F8">
            <w:rPr>
              <w:rFonts w:ascii="Arial" w:hAnsi="Arial" w:cs="Arial"/>
            </w:rPr>
            <w:t>(2), 48–60.</w:t>
          </w:r>
        </w:p>
        <w:p w:rsidR="001844F8" w:rsidRPr="001844F8" w:rsidRDefault="001844F8" w:rsidP="001844F8">
          <w:pPr>
            <w:pStyle w:val="Body"/>
            <w:rPr>
              <w:rFonts w:ascii="Arial" w:hAnsi="Arial" w:cs="Arial"/>
            </w:rPr>
          </w:pPr>
          <w:r w:rsidRPr="001844F8">
            <w:rPr>
              <w:rFonts w:ascii="Arial" w:hAnsi="Arial" w:cs="Arial"/>
            </w:rPr>
            <w:t xml:space="preserve">Dwinta, I. dan C. Y. (2010). Pengaruh Locus Of Control, Financial Knowledge, Income Terhadap Financial Management Behavior. </w:t>
          </w:r>
          <w:r w:rsidRPr="001844F8">
            <w:rPr>
              <w:rFonts w:ascii="Arial" w:hAnsi="Arial" w:cs="Arial"/>
              <w:i/>
              <w:iCs/>
            </w:rPr>
            <w:t>Jurnal Bisnis Dan Akuntansi</w:t>
          </w:r>
          <w:r w:rsidRPr="001844F8">
            <w:rPr>
              <w:rFonts w:ascii="Arial" w:hAnsi="Arial" w:cs="Arial"/>
            </w:rPr>
            <w:t xml:space="preserve">, </w:t>
          </w:r>
          <w:r w:rsidRPr="001844F8">
            <w:rPr>
              <w:rFonts w:ascii="Arial" w:hAnsi="Arial" w:cs="Arial"/>
              <w:i/>
              <w:iCs/>
            </w:rPr>
            <w:t>12</w:t>
          </w:r>
          <w:r w:rsidRPr="001844F8">
            <w:rPr>
              <w:rFonts w:ascii="Arial" w:hAnsi="Arial" w:cs="Arial"/>
            </w:rPr>
            <w:t>(3), 131–144.</w:t>
          </w:r>
        </w:p>
        <w:p w:rsidR="001844F8" w:rsidRPr="001844F8" w:rsidRDefault="001844F8" w:rsidP="001844F8">
          <w:pPr>
            <w:pStyle w:val="Body"/>
            <w:rPr>
              <w:rFonts w:ascii="Arial" w:hAnsi="Arial" w:cs="Arial"/>
            </w:rPr>
          </w:pPr>
          <w:r w:rsidRPr="001844F8">
            <w:rPr>
              <w:rFonts w:ascii="Arial" w:hAnsi="Arial" w:cs="Arial"/>
            </w:rPr>
            <w:t xml:space="preserve">Ghozali, I. (2008). </w:t>
          </w:r>
          <w:r w:rsidRPr="001844F8">
            <w:rPr>
              <w:rFonts w:ascii="Arial" w:hAnsi="Arial" w:cs="Arial"/>
              <w:i/>
              <w:iCs/>
            </w:rPr>
            <w:t>Structural Equation Modelling</w:t>
          </w:r>
          <w:r w:rsidRPr="001844F8">
            <w:rPr>
              <w:rFonts w:ascii="Arial" w:hAnsi="Arial" w:cs="Arial"/>
            </w:rPr>
            <w:t xml:space="preserve"> (II). Universitas Diponegoro Semarang.</w:t>
          </w:r>
        </w:p>
        <w:p w:rsidR="001844F8" w:rsidRPr="001844F8" w:rsidRDefault="001844F8" w:rsidP="001844F8">
          <w:pPr>
            <w:pStyle w:val="Body"/>
            <w:rPr>
              <w:rFonts w:ascii="Arial" w:hAnsi="Arial" w:cs="Arial"/>
            </w:rPr>
          </w:pPr>
          <w:r w:rsidRPr="001844F8">
            <w:rPr>
              <w:rFonts w:ascii="Arial" w:hAnsi="Arial" w:cs="Arial"/>
            </w:rPr>
            <w:t xml:space="preserve">Gopi, M., &amp; Ramayah, T. (2007). Applicability of theory of planned behavior in predicting intention to trade online: Some evidence from a developing country. </w:t>
          </w:r>
          <w:r w:rsidRPr="001844F8">
            <w:rPr>
              <w:rFonts w:ascii="Arial" w:hAnsi="Arial" w:cs="Arial"/>
              <w:i/>
              <w:iCs/>
            </w:rPr>
            <w:t>International Journal of Emerging Markets</w:t>
          </w:r>
          <w:r w:rsidRPr="001844F8">
            <w:rPr>
              <w:rFonts w:ascii="Arial" w:hAnsi="Arial" w:cs="Arial"/>
            </w:rPr>
            <w:t xml:space="preserve">, </w:t>
          </w:r>
          <w:r w:rsidRPr="001844F8">
            <w:rPr>
              <w:rFonts w:ascii="Arial" w:hAnsi="Arial" w:cs="Arial"/>
              <w:i/>
              <w:iCs/>
            </w:rPr>
            <w:t>2</w:t>
          </w:r>
          <w:r w:rsidRPr="001844F8">
            <w:rPr>
              <w:rFonts w:ascii="Arial" w:hAnsi="Arial" w:cs="Arial"/>
            </w:rPr>
            <w:t>(4), 348–360. https://doi.org/10.1108/17468800710824509</w:t>
          </w:r>
        </w:p>
        <w:p w:rsidR="001844F8" w:rsidRPr="001844F8" w:rsidRDefault="001844F8" w:rsidP="001844F8">
          <w:pPr>
            <w:pStyle w:val="Body"/>
            <w:rPr>
              <w:rFonts w:ascii="Arial" w:hAnsi="Arial" w:cs="Arial"/>
            </w:rPr>
          </w:pPr>
          <w:r w:rsidRPr="001844F8">
            <w:rPr>
              <w:rFonts w:ascii="Arial" w:hAnsi="Arial" w:cs="Arial"/>
            </w:rPr>
            <w:t xml:space="preserve">Hair, J. F., Black, W. C., Babin, B. J., Anderson, R. E., &amp; Tatham, R. L. (1998). Multivariate Data Analysis. </w:t>
          </w:r>
          <w:r w:rsidRPr="001844F8">
            <w:rPr>
              <w:rFonts w:ascii="Arial" w:hAnsi="Arial" w:cs="Arial"/>
              <w:i/>
              <w:iCs/>
            </w:rPr>
            <w:t>Prentice Hall, Upper Saddle River.</w:t>
          </w:r>
          <w:r w:rsidRPr="001844F8">
            <w:rPr>
              <w:rFonts w:ascii="Arial" w:hAnsi="Arial" w:cs="Arial"/>
            </w:rPr>
            <w:t xml:space="preserve">, </w:t>
          </w:r>
          <w:r w:rsidRPr="001844F8">
            <w:rPr>
              <w:rFonts w:ascii="Arial" w:hAnsi="Arial" w:cs="Arial"/>
              <w:i/>
              <w:iCs/>
            </w:rPr>
            <w:t>5</w:t>
          </w:r>
          <w:r w:rsidRPr="001844F8">
            <w:rPr>
              <w:rFonts w:ascii="Arial" w:hAnsi="Arial" w:cs="Arial"/>
            </w:rPr>
            <w:t>(3), 207–219.</w:t>
          </w:r>
        </w:p>
        <w:p w:rsidR="001844F8" w:rsidRPr="001844F8" w:rsidRDefault="001844F8" w:rsidP="001844F8">
          <w:pPr>
            <w:pStyle w:val="Body"/>
            <w:rPr>
              <w:rFonts w:ascii="Arial" w:hAnsi="Arial" w:cs="Arial"/>
            </w:rPr>
          </w:pPr>
          <w:r w:rsidRPr="001844F8">
            <w:rPr>
              <w:rFonts w:ascii="Arial" w:hAnsi="Arial" w:cs="Arial"/>
            </w:rPr>
            <w:t xml:space="preserve">Hoffmann, A. O. I., &amp; Post, T. (2017). How return and risk experiences shape investor beliefs and preferences. </w:t>
          </w:r>
          <w:r w:rsidRPr="001844F8">
            <w:rPr>
              <w:rFonts w:ascii="Arial" w:hAnsi="Arial" w:cs="Arial"/>
              <w:i/>
              <w:iCs/>
            </w:rPr>
            <w:t>Accounting and Finance</w:t>
          </w:r>
          <w:r w:rsidRPr="001844F8">
            <w:rPr>
              <w:rFonts w:ascii="Arial" w:hAnsi="Arial" w:cs="Arial"/>
            </w:rPr>
            <w:t xml:space="preserve">, </w:t>
          </w:r>
          <w:r w:rsidRPr="001844F8">
            <w:rPr>
              <w:rFonts w:ascii="Arial" w:hAnsi="Arial" w:cs="Arial"/>
              <w:i/>
              <w:iCs/>
            </w:rPr>
            <w:t>57</w:t>
          </w:r>
          <w:r w:rsidRPr="001844F8">
            <w:rPr>
              <w:rFonts w:ascii="Arial" w:hAnsi="Arial" w:cs="Arial"/>
            </w:rPr>
            <w:t>(3), 759–788. https://doi.org/10.1111/acfi.12169</w:t>
          </w:r>
        </w:p>
        <w:p w:rsidR="001844F8" w:rsidRPr="001844F8" w:rsidRDefault="001844F8" w:rsidP="001844F8">
          <w:pPr>
            <w:pStyle w:val="Body"/>
            <w:rPr>
              <w:rFonts w:ascii="Arial" w:hAnsi="Arial" w:cs="Arial"/>
            </w:rPr>
          </w:pPr>
          <w:r w:rsidRPr="001844F8">
            <w:rPr>
              <w:rFonts w:ascii="Arial" w:hAnsi="Arial" w:cs="Arial"/>
            </w:rPr>
            <w:lastRenderedPageBreak/>
            <w:t xml:space="preserve">HSBC. (2019). </w:t>
          </w:r>
          <w:r w:rsidRPr="001844F8">
            <w:rPr>
              <w:rFonts w:ascii="Arial" w:hAnsi="Arial" w:cs="Arial"/>
              <w:i/>
              <w:iCs/>
            </w:rPr>
            <w:t>Sebanyak 9 dari 10 orang Indonesia Belum Siap Menjadi Crazy Rich Retiree</w:t>
          </w:r>
          <w:r w:rsidRPr="001844F8">
            <w:rPr>
              <w:rFonts w:ascii="Arial" w:hAnsi="Arial" w:cs="Arial"/>
            </w:rPr>
            <w:t>. https://www.about.hsbc.co.id/-/media/indonesia/id/news-and-media/190212-crazy-rich-retiree-id.pdf</w:t>
          </w:r>
        </w:p>
        <w:p w:rsidR="001844F8" w:rsidRPr="001844F8" w:rsidRDefault="001844F8" w:rsidP="001844F8">
          <w:pPr>
            <w:pStyle w:val="Body"/>
            <w:rPr>
              <w:rFonts w:ascii="Arial" w:hAnsi="Arial" w:cs="Arial"/>
            </w:rPr>
          </w:pPr>
          <w:r w:rsidRPr="001844F8">
            <w:rPr>
              <w:rFonts w:ascii="Arial" w:hAnsi="Arial" w:cs="Arial"/>
            </w:rPr>
            <w:t xml:space="preserve">Ilahiyah, M. E., Soewarno, N., &amp; Jaya, I. M. L. M. (2021). The Effect of Intellectual Capital and Financial Services Knowledge on Financial Inclusion. </w:t>
          </w:r>
          <w:r w:rsidRPr="001844F8">
            <w:rPr>
              <w:rFonts w:ascii="Arial" w:hAnsi="Arial" w:cs="Arial"/>
              <w:i/>
              <w:iCs/>
            </w:rPr>
            <w:t>Journal of Asian Finance, Economics and Business</w:t>
          </w:r>
          <w:r w:rsidRPr="001844F8">
            <w:rPr>
              <w:rFonts w:ascii="Arial" w:hAnsi="Arial" w:cs="Arial"/>
            </w:rPr>
            <w:t xml:space="preserve">, </w:t>
          </w:r>
          <w:r w:rsidRPr="001844F8">
            <w:rPr>
              <w:rFonts w:ascii="Arial" w:hAnsi="Arial" w:cs="Arial"/>
              <w:i/>
              <w:iCs/>
            </w:rPr>
            <w:t>8</w:t>
          </w:r>
          <w:r w:rsidRPr="001844F8">
            <w:rPr>
              <w:rFonts w:ascii="Arial" w:hAnsi="Arial" w:cs="Arial"/>
            </w:rPr>
            <w:t>(1), 247–255. https://doi.org/10.13106/jafeb.2021.vol8.no1.247</w:t>
          </w:r>
        </w:p>
        <w:p w:rsidR="001844F8" w:rsidRPr="001844F8" w:rsidRDefault="001844F8" w:rsidP="001844F8">
          <w:pPr>
            <w:pStyle w:val="Body"/>
            <w:rPr>
              <w:rFonts w:ascii="Arial" w:hAnsi="Arial" w:cs="Arial"/>
              <w:lang w:val="de-DE"/>
            </w:rPr>
          </w:pPr>
          <w:r w:rsidRPr="001844F8">
            <w:rPr>
              <w:rFonts w:ascii="Arial" w:hAnsi="Arial" w:cs="Arial"/>
            </w:rPr>
            <w:t xml:space="preserve">Jaya, I. M. L. M. (2019). The Impact of Financial Inclusion on Public Financial Services Education through Financial Technology in Sleman Regency, Indonesia. </w:t>
          </w:r>
          <w:r w:rsidRPr="001844F8">
            <w:rPr>
              <w:rFonts w:ascii="Arial" w:hAnsi="Arial" w:cs="Arial"/>
              <w:i/>
              <w:iCs/>
              <w:lang w:val="de-DE"/>
            </w:rPr>
            <w:t>Esensi: Jurnal Bisnis Dan Manajemen</w:t>
          </w:r>
          <w:r w:rsidRPr="001844F8">
            <w:rPr>
              <w:rFonts w:ascii="Arial" w:hAnsi="Arial" w:cs="Arial"/>
              <w:lang w:val="de-DE"/>
            </w:rPr>
            <w:t xml:space="preserve">, </w:t>
          </w:r>
          <w:r w:rsidRPr="001844F8">
            <w:rPr>
              <w:rFonts w:ascii="Arial" w:hAnsi="Arial" w:cs="Arial"/>
              <w:i/>
              <w:iCs/>
              <w:lang w:val="de-DE"/>
            </w:rPr>
            <w:t>9</w:t>
          </w:r>
          <w:r w:rsidRPr="001844F8">
            <w:rPr>
              <w:rFonts w:ascii="Arial" w:hAnsi="Arial" w:cs="Arial"/>
              <w:lang w:val="de-DE"/>
            </w:rPr>
            <w:t>(2), 155–174. https://doi.org/10.15408/ess.v9i2.13576</w:t>
          </w:r>
        </w:p>
        <w:p w:rsidR="001844F8" w:rsidRPr="001844F8" w:rsidRDefault="001844F8" w:rsidP="001844F8">
          <w:pPr>
            <w:pStyle w:val="Body"/>
            <w:rPr>
              <w:rFonts w:ascii="Arial" w:hAnsi="Arial" w:cs="Arial"/>
            </w:rPr>
          </w:pPr>
          <w:r w:rsidRPr="001844F8">
            <w:rPr>
              <w:rFonts w:ascii="Arial" w:hAnsi="Arial" w:cs="Arial"/>
              <w:lang w:val="de-DE"/>
            </w:rPr>
            <w:t xml:space="preserve">Jensen, C., Huynh, R., &amp; Sandberg, P. (2016). </w:t>
          </w:r>
          <w:r w:rsidRPr="001844F8">
            <w:rPr>
              <w:rFonts w:ascii="Arial" w:hAnsi="Arial" w:cs="Arial"/>
              <w:i/>
              <w:iCs/>
            </w:rPr>
            <w:t>“Doing good while doing well” : An investigation of Generation Y’s intention to invest socially responsibly</w:t>
          </w:r>
          <w:r w:rsidRPr="001844F8">
            <w:rPr>
              <w:rFonts w:ascii="Arial" w:hAnsi="Arial" w:cs="Arial"/>
            </w:rPr>
            <w:t>.</w:t>
          </w:r>
        </w:p>
        <w:p w:rsidR="001844F8" w:rsidRPr="001844F8" w:rsidRDefault="001844F8" w:rsidP="001844F8">
          <w:pPr>
            <w:pStyle w:val="Body"/>
            <w:rPr>
              <w:rFonts w:ascii="Arial" w:hAnsi="Arial" w:cs="Arial"/>
            </w:rPr>
          </w:pPr>
          <w:r w:rsidRPr="001844F8">
            <w:rPr>
              <w:rFonts w:ascii="Arial" w:hAnsi="Arial" w:cs="Arial"/>
              <w:lang w:val="de-DE"/>
            </w:rPr>
            <w:t xml:space="preserve">Klapper, L., Amit, R., &amp; Guillen, M. F. (2010). </w:t>
          </w:r>
          <w:r w:rsidRPr="001844F8">
            <w:rPr>
              <w:rFonts w:ascii="Arial" w:hAnsi="Arial" w:cs="Arial"/>
            </w:rPr>
            <w:t xml:space="preserve">International Differences in Entreprenuership: Enterpreneurship and firm formation across countries. In </w:t>
          </w:r>
          <w:r w:rsidRPr="001844F8">
            <w:rPr>
              <w:rFonts w:ascii="Arial" w:hAnsi="Arial" w:cs="Arial"/>
              <w:i/>
              <w:iCs/>
            </w:rPr>
            <w:t>National Bureau of Economic Research</w:t>
          </w:r>
          <w:r w:rsidRPr="001844F8">
            <w:rPr>
              <w:rFonts w:ascii="Arial" w:hAnsi="Arial" w:cs="Arial"/>
            </w:rPr>
            <w:t xml:space="preserve"> (Issue May). http://www.nber.org/chapters/c8820</w:t>
          </w:r>
        </w:p>
        <w:p w:rsidR="001844F8" w:rsidRPr="001844F8" w:rsidRDefault="001844F8" w:rsidP="001844F8">
          <w:pPr>
            <w:pStyle w:val="Body"/>
            <w:rPr>
              <w:rFonts w:ascii="Arial" w:hAnsi="Arial" w:cs="Arial"/>
            </w:rPr>
          </w:pPr>
          <w:r w:rsidRPr="001844F8">
            <w:rPr>
              <w:rFonts w:ascii="Arial" w:hAnsi="Arial" w:cs="Arial"/>
              <w:lang w:val="de-DE"/>
            </w:rPr>
            <w:t xml:space="preserve">Klapper, L., Lusardi, A., &amp; Oudheusden, P. van. </w:t>
          </w:r>
          <w:r w:rsidRPr="001844F8">
            <w:rPr>
              <w:rFonts w:ascii="Arial" w:hAnsi="Arial" w:cs="Arial"/>
            </w:rPr>
            <w:t xml:space="preserve">(2011). Financial literacy around the world: An overview. </w:t>
          </w:r>
          <w:r w:rsidRPr="001844F8">
            <w:rPr>
              <w:rFonts w:ascii="Arial" w:hAnsi="Arial" w:cs="Arial"/>
              <w:i/>
              <w:iCs/>
            </w:rPr>
            <w:t>Journal of Pension Economics and Finance</w:t>
          </w:r>
          <w:r w:rsidRPr="001844F8">
            <w:rPr>
              <w:rFonts w:ascii="Arial" w:hAnsi="Arial" w:cs="Arial"/>
            </w:rPr>
            <w:t xml:space="preserve">, </w:t>
          </w:r>
          <w:r w:rsidRPr="001844F8">
            <w:rPr>
              <w:rFonts w:ascii="Arial" w:hAnsi="Arial" w:cs="Arial"/>
              <w:i/>
              <w:iCs/>
            </w:rPr>
            <w:t>10</w:t>
          </w:r>
          <w:r w:rsidRPr="001844F8">
            <w:rPr>
              <w:rFonts w:ascii="Arial" w:hAnsi="Arial" w:cs="Arial"/>
            </w:rPr>
            <w:t>(4), 497–508. https://doi.org/10.1017/S1474747211000448</w:t>
          </w:r>
        </w:p>
        <w:p w:rsidR="001844F8" w:rsidRPr="001844F8" w:rsidRDefault="001844F8" w:rsidP="001844F8">
          <w:pPr>
            <w:pStyle w:val="Body"/>
            <w:rPr>
              <w:rFonts w:ascii="Arial" w:hAnsi="Arial" w:cs="Arial"/>
            </w:rPr>
          </w:pPr>
          <w:r w:rsidRPr="001844F8">
            <w:rPr>
              <w:rFonts w:ascii="Arial" w:hAnsi="Arial" w:cs="Arial"/>
            </w:rPr>
            <w:t xml:space="preserve">Klontz, B., Britt, S. L., Mentzer, J., &amp; Klontz, T. (2011). Money Beliefs and Financial Behaviors: Development of the Klontz Money Script Inventory. </w:t>
          </w:r>
          <w:r w:rsidRPr="001844F8">
            <w:rPr>
              <w:rFonts w:ascii="Arial" w:hAnsi="Arial" w:cs="Arial"/>
              <w:i/>
              <w:iCs/>
            </w:rPr>
            <w:t>Journal of Financial Therapy</w:t>
          </w:r>
          <w:r w:rsidRPr="001844F8">
            <w:rPr>
              <w:rFonts w:ascii="Arial" w:hAnsi="Arial" w:cs="Arial"/>
            </w:rPr>
            <w:t xml:space="preserve">, </w:t>
          </w:r>
          <w:r w:rsidRPr="001844F8">
            <w:rPr>
              <w:rFonts w:ascii="Arial" w:hAnsi="Arial" w:cs="Arial"/>
              <w:i/>
              <w:iCs/>
            </w:rPr>
            <w:t>2</w:t>
          </w:r>
          <w:r w:rsidRPr="001844F8">
            <w:rPr>
              <w:rFonts w:ascii="Arial" w:hAnsi="Arial" w:cs="Arial"/>
            </w:rPr>
            <w:t>(1). https://doi.org/10.4148/jft.v2i1.451</w:t>
          </w:r>
        </w:p>
        <w:p w:rsidR="001844F8" w:rsidRPr="001844F8" w:rsidRDefault="001844F8" w:rsidP="001844F8">
          <w:pPr>
            <w:pStyle w:val="Body"/>
            <w:rPr>
              <w:rFonts w:ascii="Arial" w:hAnsi="Arial" w:cs="Arial"/>
            </w:rPr>
          </w:pPr>
          <w:r w:rsidRPr="001844F8">
            <w:rPr>
              <w:rFonts w:ascii="Arial" w:hAnsi="Arial" w:cs="Arial"/>
            </w:rPr>
            <w:t xml:space="preserve">KSEI. (2021). </w:t>
          </w:r>
          <w:r w:rsidRPr="001844F8">
            <w:rPr>
              <w:rFonts w:ascii="Arial" w:hAnsi="Arial" w:cs="Arial"/>
              <w:i/>
              <w:iCs/>
            </w:rPr>
            <w:t>Bertepatan Dengan Usia 24 Tahun , KSEI Raih Gelar Kustodian Sentral Terbaik dan Sub Registry Terbaik</w:t>
          </w:r>
          <w:r w:rsidRPr="001844F8">
            <w:rPr>
              <w:rFonts w:ascii="Arial" w:hAnsi="Arial" w:cs="Arial"/>
            </w:rPr>
            <w:t>.</w:t>
          </w:r>
        </w:p>
        <w:p w:rsidR="001844F8" w:rsidRPr="001844F8" w:rsidRDefault="001844F8" w:rsidP="001844F8">
          <w:pPr>
            <w:pStyle w:val="Body"/>
            <w:rPr>
              <w:rFonts w:ascii="Arial" w:hAnsi="Arial" w:cs="Arial"/>
              <w:lang w:val="de-DE"/>
            </w:rPr>
          </w:pPr>
          <w:r w:rsidRPr="001844F8">
            <w:rPr>
              <w:rFonts w:ascii="Arial" w:hAnsi="Arial" w:cs="Arial"/>
            </w:rPr>
            <w:t xml:space="preserve">Laurency, J. S., &amp; Arifin, A. Z. (2022). Pengaruh Financial Attitude, Financial Self-Efficacy, dan Risk Perception terhadap Investment Intention. </w:t>
          </w:r>
          <w:r w:rsidRPr="001844F8">
            <w:rPr>
              <w:rFonts w:ascii="Arial" w:hAnsi="Arial" w:cs="Arial"/>
              <w:i/>
              <w:iCs/>
              <w:lang w:val="de-DE"/>
            </w:rPr>
            <w:t>Jurnal Manajerial Dan Kewirausahaan</w:t>
          </w:r>
          <w:r w:rsidRPr="001844F8">
            <w:rPr>
              <w:rFonts w:ascii="Arial" w:hAnsi="Arial" w:cs="Arial"/>
              <w:lang w:val="de-DE"/>
            </w:rPr>
            <w:t xml:space="preserve">, </w:t>
          </w:r>
          <w:r w:rsidRPr="001844F8">
            <w:rPr>
              <w:rFonts w:ascii="Arial" w:hAnsi="Arial" w:cs="Arial"/>
              <w:i/>
              <w:iCs/>
              <w:lang w:val="de-DE"/>
            </w:rPr>
            <w:t>4</w:t>
          </w:r>
          <w:r w:rsidRPr="001844F8">
            <w:rPr>
              <w:rFonts w:ascii="Arial" w:hAnsi="Arial" w:cs="Arial"/>
              <w:lang w:val="de-DE"/>
            </w:rPr>
            <w:t>(3), 617–626. https://doi.org/10.24912/jmk.v4i3.19694</w:t>
          </w:r>
        </w:p>
        <w:p w:rsidR="001844F8" w:rsidRPr="001844F8" w:rsidRDefault="001844F8" w:rsidP="001844F8">
          <w:pPr>
            <w:pStyle w:val="Body"/>
            <w:rPr>
              <w:rFonts w:ascii="Arial" w:hAnsi="Arial" w:cs="Arial"/>
            </w:rPr>
          </w:pPr>
          <w:r w:rsidRPr="001844F8">
            <w:rPr>
              <w:rFonts w:ascii="Arial" w:hAnsi="Arial" w:cs="Arial"/>
              <w:lang w:val="de-DE"/>
            </w:rPr>
            <w:t xml:space="preserve">Lown, J. M. (2011). </w:t>
          </w:r>
          <w:r w:rsidRPr="001844F8">
            <w:rPr>
              <w:rFonts w:ascii="Arial" w:hAnsi="Arial" w:cs="Arial"/>
            </w:rPr>
            <w:t xml:space="preserve">Conference paper: Development and validation of a Financial Self-Efficacy Scale. </w:t>
          </w:r>
          <w:r w:rsidRPr="001844F8">
            <w:rPr>
              <w:rFonts w:ascii="Arial" w:hAnsi="Arial" w:cs="Arial"/>
              <w:i/>
              <w:iCs/>
            </w:rPr>
            <w:t>Journal of Financial Counseling and Planning</w:t>
          </w:r>
          <w:r w:rsidRPr="001844F8">
            <w:rPr>
              <w:rFonts w:ascii="Arial" w:hAnsi="Arial" w:cs="Arial"/>
            </w:rPr>
            <w:t xml:space="preserve">, </w:t>
          </w:r>
          <w:r w:rsidRPr="001844F8">
            <w:rPr>
              <w:rFonts w:ascii="Arial" w:hAnsi="Arial" w:cs="Arial"/>
              <w:i/>
              <w:iCs/>
            </w:rPr>
            <w:t>22</w:t>
          </w:r>
          <w:r w:rsidRPr="001844F8">
            <w:rPr>
              <w:rFonts w:ascii="Arial" w:hAnsi="Arial" w:cs="Arial"/>
            </w:rPr>
            <w:t>(2), 54–63.</w:t>
          </w:r>
        </w:p>
        <w:p w:rsidR="001844F8" w:rsidRPr="001844F8" w:rsidRDefault="001844F8" w:rsidP="001844F8">
          <w:pPr>
            <w:pStyle w:val="Body"/>
            <w:rPr>
              <w:rFonts w:ascii="Arial" w:hAnsi="Arial" w:cs="Arial"/>
            </w:rPr>
          </w:pPr>
          <w:r w:rsidRPr="001844F8">
            <w:rPr>
              <w:rFonts w:ascii="Arial" w:hAnsi="Arial" w:cs="Arial"/>
            </w:rPr>
            <w:t xml:space="preserve">Lusardi, A., &amp; Scheresberg, C. de B. (2013). Financial lteracy and high-cost borrowing in the united states. </w:t>
          </w:r>
          <w:r w:rsidRPr="001844F8">
            <w:rPr>
              <w:rFonts w:ascii="Arial" w:hAnsi="Arial" w:cs="Arial"/>
              <w:i/>
              <w:iCs/>
            </w:rPr>
            <w:t>National Bureau of Economic Research</w:t>
          </w:r>
          <w:r w:rsidRPr="001844F8">
            <w:rPr>
              <w:rFonts w:ascii="Arial" w:hAnsi="Arial" w:cs="Arial"/>
            </w:rPr>
            <w:t>, 1–41. https://www.nber.org/papers/w18969</w:t>
          </w:r>
        </w:p>
        <w:p w:rsidR="001844F8" w:rsidRPr="001844F8" w:rsidRDefault="001844F8" w:rsidP="001844F8">
          <w:pPr>
            <w:pStyle w:val="Body"/>
            <w:rPr>
              <w:rFonts w:ascii="Arial" w:hAnsi="Arial" w:cs="Arial"/>
            </w:rPr>
          </w:pPr>
          <w:r w:rsidRPr="001844F8">
            <w:rPr>
              <w:rFonts w:ascii="Arial" w:hAnsi="Arial" w:cs="Arial"/>
            </w:rPr>
            <w:t xml:space="preserve">Lusardi, A., &amp; Tufano, P. (2015). Debt literacy, financial experiences, and overindebtedness. In </w:t>
          </w:r>
          <w:r w:rsidRPr="001844F8">
            <w:rPr>
              <w:rFonts w:ascii="Arial" w:hAnsi="Arial" w:cs="Arial"/>
              <w:i/>
              <w:iCs/>
            </w:rPr>
            <w:t>Journal of Pension Economics and Finance</w:t>
          </w:r>
          <w:r w:rsidRPr="001844F8">
            <w:rPr>
              <w:rFonts w:ascii="Arial" w:hAnsi="Arial" w:cs="Arial"/>
            </w:rPr>
            <w:t xml:space="preserve"> (Vol. 14, Issue 4). https://doi.org/10.1017/S1474747215000232</w:t>
          </w:r>
        </w:p>
        <w:p w:rsidR="001844F8" w:rsidRPr="001844F8" w:rsidRDefault="001844F8" w:rsidP="001844F8">
          <w:pPr>
            <w:pStyle w:val="Body"/>
            <w:rPr>
              <w:rFonts w:ascii="Arial" w:hAnsi="Arial" w:cs="Arial"/>
            </w:rPr>
          </w:pPr>
          <w:r w:rsidRPr="001844F8">
            <w:rPr>
              <w:rFonts w:ascii="Arial" w:hAnsi="Arial" w:cs="Arial"/>
            </w:rPr>
            <w:t xml:space="preserve">Mindra, R., &amp; Moya, M. (2017). Financial self-efficacy: A mediator in advancing financial inclusion. </w:t>
          </w:r>
          <w:r w:rsidRPr="001844F8">
            <w:rPr>
              <w:rFonts w:ascii="Arial" w:hAnsi="Arial" w:cs="Arial"/>
              <w:i/>
              <w:iCs/>
            </w:rPr>
            <w:t>Equality, Diversity and Inclusion</w:t>
          </w:r>
          <w:r w:rsidRPr="001844F8">
            <w:rPr>
              <w:rFonts w:ascii="Arial" w:hAnsi="Arial" w:cs="Arial"/>
            </w:rPr>
            <w:t xml:space="preserve">, </w:t>
          </w:r>
          <w:r w:rsidRPr="001844F8">
            <w:rPr>
              <w:rFonts w:ascii="Arial" w:hAnsi="Arial" w:cs="Arial"/>
              <w:i/>
              <w:iCs/>
            </w:rPr>
            <w:t>36</w:t>
          </w:r>
          <w:r w:rsidRPr="001844F8">
            <w:rPr>
              <w:rFonts w:ascii="Arial" w:hAnsi="Arial" w:cs="Arial"/>
            </w:rPr>
            <w:t>(2), 128–149. https://doi.org/10.1108/EDI-05-2016-0040</w:t>
          </w:r>
        </w:p>
        <w:p w:rsidR="001844F8" w:rsidRPr="001844F8" w:rsidRDefault="001844F8" w:rsidP="001844F8">
          <w:pPr>
            <w:pStyle w:val="Body"/>
            <w:rPr>
              <w:rFonts w:ascii="Arial" w:hAnsi="Arial" w:cs="Arial"/>
            </w:rPr>
          </w:pPr>
          <w:r w:rsidRPr="001844F8">
            <w:rPr>
              <w:rFonts w:ascii="Arial" w:hAnsi="Arial" w:cs="Arial"/>
            </w:rPr>
            <w:t xml:space="preserve">Phan, K. C., &amp; Zhou, J. (2014). Vietnamese Individual Investors’ Behavior in the Stock Market: An Exploratory Study. </w:t>
          </w:r>
          <w:r w:rsidRPr="001844F8">
            <w:rPr>
              <w:rFonts w:ascii="Arial" w:hAnsi="Arial" w:cs="Arial"/>
              <w:i/>
              <w:iCs/>
            </w:rPr>
            <w:t>Research Journal of Social Science &amp; Management</w:t>
          </w:r>
          <w:r w:rsidRPr="001844F8">
            <w:rPr>
              <w:rFonts w:ascii="Arial" w:hAnsi="Arial" w:cs="Arial"/>
            </w:rPr>
            <w:t xml:space="preserve">, </w:t>
          </w:r>
          <w:r w:rsidRPr="001844F8">
            <w:rPr>
              <w:rFonts w:ascii="Arial" w:hAnsi="Arial" w:cs="Arial"/>
              <w:i/>
              <w:iCs/>
            </w:rPr>
            <w:t>03</w:t>
          </w:r>
          <w:r w:rsidRPr="001844F8">
            <w:rPr>
              <w:rFonts w:ascii="Arial" w:hAnsi="Arial" w:cs="Arial"/>
            </w:rPr>
            <w:t>(12), 46–54.</w:t>
          </w:r>
        </w:p>
        <w:p w:rsidR="001844F8" w:rsidRPr="001844F8" w:rsidRDefault="001844F8" w:rsidP="001844F8">
          <w:pPr>
            <w:pStyle w:val="Body"/>
            <w:rPr>
              <w:rFonts w:ascii="Arial" w:hAnsi="Arial" w:cs="Arial"/>
            </w:rPr>
          </w:pPr>
          <w:r w:rsidRPr="001844F8">
            <w:rPr>
              <w:rFonts w:ascii="Arial" w:hAnsi="Arial" w:cs="Arial"/>
            </w:rPr>
            <w:lastRenderedPageBreak/>
            <w:t xml:space="preserve">Rubaltelli, E., Pasini, G., Rumiati, R., Olsen, R. A., &amp; Slovic, P. (2010). The Influence of Affective Reactions on Investment Decisions. </w:t>
          </w:r>
          <w:r w:rsidRPr="001844F8">
            <w:rPr>
              <w:rFonts w:ascii="Arial" w:hAnsi="Arial" w:cs="Arial"/>
              <w:i/>
              <w:iCs/>
            </w:rPr>
            <w:t>Journal of Behavioral Finance</w:t>
          </w:r>
          <w:r w:rsidRPr="001844F8">
            <w:rPr>
              <w:rFonts w:ascii="Arial" w:hAnsi="Arial" w:cs="Arial"/>
            </w:rPr>
            <w:t xml:space="preserve">, </w:t>
          </w:r>
          <w:r w:rsidRPr="001844F8">
            <w:rPr>
              <w:rFonts w:ascii="Arial" w:hAnsi="Arial" w:cs="Arial"/>
              <w:i/>
              <w:iCs/>
            </w:rPr>
            <w:t>11</w:t>
          </w:r>
          <w:r w:rsidRPr="001844F8">
            <w:rPr>
              <w:rFonts w:ascii="Arial" w:hAnsi="Arial" w:cs="Arial"/>
            </w:rPr>
            <w:t>(3), 168–176. https://doi.org/10.1080/15427560.2010.507409</w:t>
          </w:r>
        </w:p>
        <w:p w:rsidR="001844F8" w:rsidRPr="001844F8" w:rsidRDefault="001844F8" w:rsidP="001844F8">
          <w:pPr>
            <w:pStyle w:val="Body"/>
            <w:rPr>
              <w:rFonts w:ascii="Arial" w:hAnsi="Arial" w:cs="Arial"/>
            </w:rPr>
          </w:pPr>
          <w:r w:rsidRPr="001844F8">
            <w:rPr>
              <w:rFonts w:ascii="Arial" w:hAnsi="Arial" w:cs="Arial"/>
            </w:rPr>
            <w:t xml:space="preserve">Sandi Kemal, Saparila Worokinasih, &amp; Ari Darmawan. (2020). Pengaruh Financial Knowledge dan Financial Attitude Terhadap Financial Behavior Pada Youth Entrepreneur Kota Malang. </w:t>
          </w:r>
          <w:r w:rsidRPr="001844F8">
            <w:rPr>
              <w:rFonts w:ascii="Arial" w:hAnsi="Arial" w:cs="Arial"/>
              <w:i/>
              <w:iCs/>
            </w:rPr>
            <w:t>Jurnal Administrasi Bisnis</w:t>
          </w:r>
          <w:r w:rsidRPr="001844F8">
            <w:rPr>
              <w:rFonts w:ascii="Arial" w:hAnsi="Arial" w:cs="Arial"/>
            </w:rPr>
            <w:t>, 140–150. https://profit.ub.ac.id</w:t>
          </w:r>
        </w:p>
        <w:p w:rsidR="001844F8" w:rsidRPr="001844F8" w:rsidRDefault="001844F8" w:rsidP="001844F8">
          <w:pPr>
            <w:pStyle w:val="Body"/>
            <w:rPr>
              <w:rFonts w:ascii="Arial" w:hAnsi="Arial" w:cs="Arial"/>
            </w:rPr>
          </w:pPr>
          <w:r w:rsidRPr="001844F8">
            <w:rPr>
              <w:rFonts w:ascii="Arial" w:hAnsi="Arial" w:cs="Arial"/>
            </w:rPr>
            <w:t xml:space="preserve">Seni, N. N. A., &amp; Ratnadi, N. M. D. (2023). THEORY OF PLANNED BEHAVIOR UNTUK MEMPREDIKSI NIAT BERINVESTASI. </w:t>
          </w:r>
          <w:r w:rsidRPr="001844F8">
            <w:rPr>
              <w:rFonts w:ascii="Arial" w:hAnsi="Arial" w:cs="Arial"/>
              <w:i/>
              <w:iCs/>
            </w:rPr>
            <w:t>Ekonomis: Journal of Economics and Business</w:t>
          </w:r>
          <w:r w:rsidRPr="001844F8">
            <w:rPr>
              <w:rFonts w:ascii="Arial" w:hAnsi="Arial" w:cs="Arial"/>
            </w:rPr>
            <w:t xml:space="preserve">, </w:t>
          </w:r>
          <w:r w:rsidRPr="001844F8">
            <w:rPr>
              <w:rFonts w:ascii="Arial" w:hAnsi="Arial" w:cs="Arial"/>
              <w:i/>
              <w:iCs/>
            </w:rPr>
            <w:t>7</w:t>
          </w:r>
          <w:r w:rsidRPr="001844F8">
            <w:rPr>
              <w:rFonts w:ascii="Arial" w:hAnsi="Arial" w:cs="Arial"/>
            </w:rPr>
            <w:t>(1), 226. https://doi.org/10.33087/ekonomis.v7i1.818</w:t>
          </w:r>
        </w:p>
        <w:p w:rsidR="001844F8" w:rsidRPr="001844F8" w:rsidRDefault="001844F8" w:rsidP="001844F8">
          <w:pPr>
            <w:pStyle w:val="Body"/>
            <w:rPr>
              <w:rFonts w:ascii="Arial" w:hAnsi="Arial" w:cs="Arial"/>
            </w:rPr>
          </w:pPr>
          <w:r w:rsidRPr="001844F8">
            <w:rPr>
              <w:rFonts w:ascii="Arial" w:hAnsi="Arial" w:cs="Arial"/>
            </w:rPr>
            <w:t xml:space="preserve">Sina, P. G. (2013). Financial Efficacy and Financial Satisfaction : Ditinjau dari Perbedaan Gender. </w:t>
          </w:r>
          <w:r w:rsidRPr="001844F8">
            <w:rPr>
              <w:rFonts w:ascii="Arial" w:hAnsi="Arial" w:cs="Arial"/>
              <w:i/>
              <w:iCs/>
            </w:rPr>
            <w:t>Jurnal Manajemen Maranatha</w:t>
          </w:r>
          <w:r w:rsidRPr="001844F8">
            <w:rPr>
              <w:rFonts w:ascii="Arial" w:hAnsi="Arial" w:cs="Arial"/>
            </w:rPr>
            <w:t xml:space="preserve">, </w:t>
          </w:r>
          <w:r w:rsidRPr="001844F8">
            <w:rPr>
              <w:rFonts w:ascii="Arial" w:hAnsi="Arial" w:cs="Arial"/>
              <w:i/>
              <w:iCs/>
            </w:rPr>
            <w:t>12</w:t>
          </w:r>
          <w:r w:rsidRPr="001844F8">
            <w:rPr>
              <w:rFonts w:ascii="Arial" w:hAnsi="Arial" w:cs="Arial"/>
            </w:rPr>
            <w:t>(2), 173–184. https://journal.maranatha.edu/index.php/jmm/article/view/164</w:t>
          </w:r>
        </w:p>
        <w:p w:rsidR="001844F8" w:rsidRPr="001844F8" w:rsidRDefault="001844F8" w:rsidP="001844F8">
          <w:pPr>
            <w:pStyle w:val="Body"/>
            <w:rPr>
              <w:rFonts w:ascii="Arial" w:hAnsi="Arial" w:cs="Arial"/>
            </w:rPr>
          </w:pPr>
          <w:r w:rsidRPr="001844F8">
            <w:rPr>
              <w:rFonts w:ascii="Arial" w:hAnsi="Arial" w:cs="Arial"/>
            </w:rPr>
            <w:t xml:space="preserve">Subiaktono. (2013). PENGARUH PERSONALITY TRAITS TERHADAP PERENCANAAN KEUANGAN KELUARGA. </w:t>
          </w:r>
          <w:r w:rsidRPr="001844F8">
            <w:rPr>
              <w:rFonts w:ascii="Arial" w:hAnsi="Arial" w:cs="Arial"/>
              <w:i/>
              <w:iCs/>
            </w:rPr>
            <w:t>Jurnal Dinamika Manajemen</w:t>
          </w:r>
          <w:r w:rsidRPr="001844F8">
            <w:rPr>
              <w:rFonts w:ascii="Arial" w:hAnsi="Arial" w:cs="Arial"/>
            </w:rPr>
            <w:t xml:space="preserve">, </w:t>
          </w:r>
          <w:r w:rsidRPr="001844F8">
            <w:rPr>
              <w:rFonts w:ascii="Arial" w:hAnsi="Arial" w:cs="Arial"/>
              <w:i/>
              <w:iCs/>
            </w:rPr>
            <w:t>4</w:t>
          </w:r>
          <w:r w:rsidRPr="001844F8">
            <w:rPr>
              <w:rFonts w:ascii="Arial" w:hAnsi="Arial" w:cs="Arial"/>
            </w:rPr>
            <w:t>(2), 150–163.</w:t>
          </w:r>
        </w:p>
        <w:p w:rsidR="001844F8" w:rsidRPr="001844F8" w:rsidRDefault="001844F8" w:rsidP="001844F8">
          <w:pPr>
            <w:pStyle w:val="Body"/>
            <w:rPr>
              <w:rFonts w:ascii="Arial" w:hAnsi="Arial" w:cs="Arial"/>
            </w:rPr>
          </w:pPr>
          <w:r w:rsidRPr="001844F8">
            <w:rPr>
              <w:rFonts w:ascii="Arial" w:hAnsi="Arial" w:cs="Arial"/>
            </w:rPr>
            <w:t xml:space="preserve">Sugiyono. (2018). </w:t>
          </w:r>
          <w:r w:rsidRPr="001844F8">
            <w:rPr>
              <w:rFonts w:ascii="Arial" w:hAnsi="Arial" w:cs="Arial"/>
              <w:i/>
              <w:iCs/>
            </w:rPr>
            <w:t>Metode Penelitian Kuantitatif, Kualitatif, dan R&amp;D</w:t>
          </w:r>
          <w:r w:rsidRPr="001844F8">
            <w:rPr>
              <w:rFonts w:ascii="Arial" w:hAnsi="Arial" w:cs="Arial"/>
            </w:rPr>
            <w:t>. Alfabeta.</w:t>
          </w:r>
        </w:p>
        <w:p w:rsidR="001844F8" w:rsidRPr="001844F8" w:rsidRDefault="001844F8" w:rsidP="001844F8">
          <w:pPr>
            <w:pStyle w:val="Body"/>
            <w:rPr>
              <w:rFonts w:ascii="Arial" w:hAnsi="Arial" w:cs="Arial"/>
            </w:rPr>
          </w:pPr>
          <w:r w:rsidRPr="001844F8">
            <w:rPr>
              <w:rFonts w:ascii="Arial" w:hAnsi="Arial" w:cs="Arial"/>
            </w:rPr>
            <w:t xml:space="preserve">Triyonowati. (2022). </w:t>
          </w:r>
          <w:r w:rsidRPr="001844F8">
            <w:rPr>
              <w:rFonts w:ascii="Arial" w:hAnsi="Arial" w:cs="Arial"/>
              <w:i/>
              <w:iCs/>
            </w:rPr>
            <w:t>Manajemen Keuangan 2 (Lanjutan)</w:t>
          </w:r>
          <w:r w:rsidRPr="001844F8">
            <w:rPr>
              <w:rFonts w:ascii="Arial" w:hAnsi="Arial" w:cs="Arial"/>
            </w:rPr>
            <w:t xml:space="preserve"> (W. Kurniawadi (ed.)). Wawasan Ilmu.</w:t>
          </w:r>
        </w:p>
        <w:p w:rsidR="001844F8" w:rsidRDefault="001844F8" w:rsidP="001844F8">
          <w:pPr>
            <w:pStyle w:val="Body"/>
            <w:spacing w:after="0"/>
            <w:rPr>
              <w:rFonts w:ascii="Arial" w:hAnsi="Arial" w:cs="Arial"/>
            </w:rPr>
          </w:pPr>
          <w:r w:rsidRPr="001844F8">
            <w:rPr>
              <w:rFonts w:ascii="Arial" w:hAnsi="Arial" w:cs="Arial"/>
            </w:rPr>
            <w:fldChar w:fldCharType="end"/>
          </w:r>
        </w:p>
      </w:sdtContent>
    </w:sdt>
    <w:p w:rsidR="00790ADA" w:rsidRPr="00FB3A86" w:rsidRDefault="00790ADA" w:rsidP="00441B6F">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7468AB">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7468A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262" w:rsidRDefault="00592262" w:rsidP="00C37E61">
      <w:r>
        <w:separator/>
      </w:r>
    </w:p>
  </w:endnote>
  <w:endnote w:type="continuationSeparator" w:id="0">
    <w:p w:rsidR="00592262" w:rsidRDefault="005922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E2E" w:rsidRDefault="007B3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E2E" w:rsidRDefault="007B3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262" w:rsidRDefault="00592262" w:rsidP="00C37E61">
      <w:r>
        <w:separator/>
      </w:r>
    </w:p>
  </w:footnote>
  <w:footnote w:type="continuationSeparator" w:id="0">
    <w:p w:rsidR="00592262" w:rsidRDefault="005922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E2E" w:rsidRDefault="005922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34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E2E" w:rsidRDefault="005922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34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592262"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34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E2E" w:rsidRDefault="005922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341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E2E" w:rsidRDefault="005922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341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E2E" w:rsidRDefault="005922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341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F340D"/>
    <w:multiLevelType w:val="hybridMultilevel"/>
    <w:tmpl w:val="FD9874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51054"/>
    <w:multiLevelType w:val="hybridMultilevel"/>
    <w:tmpl w:val="D43A6FE2"/>
    <w:lvl w:ilvl="0" w:tplc="C91E0BE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0DE23E8B"/>
    <w:multiLevelType w:val="hybridMultilevel"/>
    <w:tmpl w:val="28A214B8"/>
    <w:lvl w:ilvl="0" w:tplc="682266C0">
      <w:start w:val="1"/>
      <w:numFmt w:val="lowerLetter"/>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6663CB"/>
    <w:multiLevelType w:val="hybridMultilevel"/>
    <w:tmpl w:val="3E9A27A2"/>
    <w:lvl w:ilvl="0" w:tplc="C7021350">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B64AFA"/>
    <w:multiLevelType w:val="hybridMultilevel"/>
    <w:tmpl w:val="2310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F259D"/>
    <w:multiLevelType w:val="hybridMultilevel"/>
    <w:tmpl w:val="67A0CCF6"/>
    <w:lvl w:ilvl="0" w:tplc="CD6C3CC2">
      <w:start w:val="1"/>
      <w:numFmt w:val="decimal"/>
      <w:lvlText w:val="%1."/>
      <w:lvlJc w:val="left"/>
      <w:pPr>
        <w:ind w:left="2847" w:hanging="360"/>
      </w:pPr>
      <w:rPr>
        <w:rFonts w:hint="default"/>
        <w:color w:val="auto"/>
      </w:r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6" w15:restartNumberingAfterBreak="0">
    <w:nsid w:val="4AAE3542"/>
    <w:multiLevelType w:val="hybridMultilevel"/>
    <w:tmpl w:val="D5269140"/>
    <w:lvl w:ilvl="0" w:tplc="44BC44A8">
      <w:start w:val="1"/>
      <w:numFmt w:val="decimal"/>
      <w:lvlText w:val="%1."/>
      <w:lvlJc w:val="left"/>
      <w:pPr>
        <w:ind w:left="720" w:hanging="360"/>
      </w:pPr>
      <w:rPr>
        <w:rFonts w:hint="default"/>
      </w:rPr>
    </w:lvl>
    <w:lvl w:ilvl="1" w:tplc="BD7CC23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BC27AB7"/>
    <w:multiLevelType w:val="hybridMultilevel"/>
    <w:tmpl w:val="41E20BB2"/>
    <w:lvl w:ilvl="0" w:tplc="0412A43E">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18F7ED5"/>
    <w:multiLevelType w:val="hybridMultilevel"/>
    <w:tmpl w:val="207C9D7A"/>
    <w:lvl w:ilvl="0" w:tplc="38090019">
      <w:start w:val="1"/>
      <w:numFmt w:val="lowerLetter"/>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580A86"/>
    <w:multiLevelType w:val="hybridMultilevel"/>
    <w:tmpl w:val="E4A2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5048FA"/>
    <w:multiLevelType w:val="hybridMultilevel"/>
    <w:tmpl w:val="5AD89B94"/>
    <w:lvl w:ilvl="0" w:tplc="03B80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1"/>
  </w:num>
  <w:num w:numId="2">
    <w:abstractNumId w:val="6"/>
  </w:num>
  <w:num w:numId="3">
    <w:abstractNumId w:val="1"/>
  </w:num>
  <w:num w:numId="4">
    <w:abstractNumId w:val="8"/>
  </w:num>
  <w:num w:numId="5">
    <w:abstractNumId w:val="7"/>
  </w:num>
  <w:num w:numId="6">
    <w:abstractNumId w:val="9"/>
  </w:num>
  <w:num w:numId="7">
    <w:abstractNumId w:val="4"/>
  </w:num>
  <w:num w:numId="8">
    <w:abstractNumId w:val="0"/>
  </w:num>
  <w:num w:numId="9">
    <w:abstractNumId w:val="2"/>
  </w:num>
  <w:num w:numId="10">
    <w:abstractNumId w:val="5"/>
  </w:num>
  <w:num w:numId="11">
    <w:abstractNumId w:val="3"/>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44F8"/>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3FF2"/>
    <w:rsid w:val="002A7FAE"/>
    <w:rsid w:val="002B27FB"/>
    <w:rsid w:val="002B685A"/>
    <w:rsid w:val="002C57D2"/>
    <w:rsid w:val="002E0353"/>
    <w:rsid w:val="002E0D56"/>
    <w:rsid w:val="00315186"/>
    <w:rsid w:val="0032134B"/>
    <w:rsid w:val="0033343E"/>
    <w:rsid w:val="003512C2"/>
    <w:rsid w:val="00371FB6"/>
    <w:rsid w:val="003763C1"/>
    <w:rsid w:val="00376BBE"/>
    <w:rsid w:val="0039224F"/>
    <w:rsid w:val="003A43A4"/>
    <w:rsid w:val="003A7E18"/>
    <w:rsid w:val="003C4C86"/>
    <w:rsid w:val="003C6258"/>
    <w:rsid w:val="003C64F9"/>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040D"/>
    <w:rsid w:val="00554FDA"/>
    <w:rsid w:val="005616A5"/>
    <w:rsid w:val="005756CD"/>
    <w:rsid w:val="00592262"/>
    <w:rsid w:val="005C784C"/>
    <w:rsid w:val="005D17F6"/>
    <w:rsid w:val="005E0752"/>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18CF"/>
    <w:rsid w:val="007468AB"/>
    <w:rsid w:val="00746E59"/>
    <w:rsid w:val="00754C9A"/>
    <w:rsid w:val="0075599A"/>
    <w:rsid w:val="00761D52"/>
    <w:rsid w:val="0077749E"/>
    <w:rsid w:val="00790ADA"/>
    <w:rsid w:val="007B3E2E"/>
    <w:rsid w:val="007D2288"/>
    <w:rsid w:val="007D2C8C"/>
    <w:rsid w:val="007E088F"/>
    <w:rsid w:val="007F06AE"/>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058C"/>
    <w:rsid w:val="009B3FB9"/>
    <w:rsid w:val="009C2465"/>
    <w:rsid w:val="009D35A0"/>
    <w:rsid w:val="009D7EB7"/>
    <w:rsid w:val="009E048A"/>
    <w:rsid w:val="009E08E9"/>
    <w:rsid w:val="009E3DB9"/>
    <w:rsid w:val="009E6E35"/>
    <w:rsid w:val="009F0EDA"/>
    <w:rsid w:val="009F3882"/>
    <w:rsid w:val="00A03B96"/>
    <w:rsid w:val="00A05B19"/>
    <w:rsid w:val="00A0781F"/>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0E65"/>
    <w:rsid w:val="00BC53A0"/>
    <w:rsid w:val="00BE62AD"/>
    <w:rsid w:val="00BF121F"/>
    <w:rsid w:val="00BF1F80"/>
    <w:rsid w:val="00C166EF"/>
    <w:rsid w:val="00C17EB0"/>
    <w:rsid w:val="00C27F5F"/>
    <w:rsid w:val="00C30A0F"/>
    <w:rsid w:val="00C37E61"/>
    <w:rsid w:val="00C479B2"/>
    <w:rsid w:val="00C70F1B"/>
    <w:rsid w:val="00C71A47"/>
    <w:rsid w:val="00C7464C"/>
    <w:rsid w:val="00C85588"/>
    <w:rsid w:val="00CD6755"/>
    <w:rsid w:val="00CD6856"/>
    <w:rsid w:val="00CE0089"/>
    <w:rsid w:val="00CE2CF0"/>
    <w:rsid w:val="00CE793C"/>
    <w:rsid w:val="00CF193C"/>
    <w:rsid w:val="00CF480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78D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unhideWhenUsed/>
    <w:qFormat/>
    <w:rsid w:val="001844F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9"/>
    <w:unhideWhenUsed/>
    <w:qFormat/>
    <w:rsid w:val="001844F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1844F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844F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rsid w:val="001844F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1844F8"/>
    <w:rPr>
      <w:rFonts w:asciiTheme="majorHAnsi" w:eastAsiaTheme="majorEastAsia" w:hAnsiTheme="majorHAnsi" w:cstheme="majorBidi"/>
      <w:color w:val="365F91" w:themeColor="accent1" w:themeShade="BF"/>
    </w:rPr>
  </w:style>
  <w:style w:type="character" w:customStyle="1" w:styleId="Heading2Char">
    <w:name w:val="Heading 2 Char"/>
    <w:basedOn w:val="DefaultParagraphFont"/>
    <w:link w:val="Heading2"/>
    <w:uiPriority w:val="99"/>
    <w:rsid w:val="001844F8"/>
    <w:rPr>
      <w:rFonts w:ascii="Calibri Light" w:hAnsi="Calibri Light"/>
      <w:b/>
      <w:bCs/>
      <w:i/>
      <w:iCs/>
      <w:sz w:val="28"/>
      <w:szCs w:val="28"/>
    </w:rPr>
  </w:style>
  <w:style w:type="character" w:customStyle="1" w:styleId="Heading3Char">
    <w:name w:val="Heading 3 Char"/>
    <w:basedOn w:val="DefaultParagraphFont"/>
    <w:link w:val="Heading3"/>
    <w:uiPriority w:val="99"/>
    <w:rsid w:val="001844F8"/>
    <w:rPr>
      <w:rFonts w:ascii="Calibri Light" w:hAnsi="Calibri Light"/>
      <w:b/>
      <w:bCs/>
      <w:sz w:val="26"/>
      <w:szCs w:val="26"/>
    </w:rPr>
  </w:style>
  <w:style w:type="paragraph" w:styleId="BodyTextIndent3">
    <w:name w:val="Body Text Indent 3"/>
    <w:basedOn w:val="Normal"/>
    <w:link w:val="BodyTextIndent3Char"/>
    <w:rsid w:val="001844F8"/>
    <w:pPr>
      <w:ind w:firstLine="360"/>
      <w:jc w:val="both"/>
    </w:pPr>
    <w:rPr>
      <w:rFonts w:ascii="Times New Roman" w:eastAsia="MS Mincho" w:hAnsi="Times New Roman"/>
      <w:sz w:val="24"/>
      <w:szCs w:val="24"/>
    </w:rPr>
  </w:style>
  <w:style w:type="character" w:customStyle="1" w:styleId="BodyTextIndent3Char">
    <w:name w:val="Body Text Indent 3 Char"/>
    <w:basedOn w:val="DefaultParagraphFont"/>
    <w:link w:val="BodyTextIndent3"/>
    <w:rsid w:val="001844F8"/>
    <w:rPr>
      <w:rFonts w:eastAsia="MS Mincho"/>
      <w:sz w:val="24"/>
      <w:szCs w:val="24"/>
    </w:rPr>
  </w:style>
  <w:style w:type="character" w:customStyle="1" w:styleId="HeaderChar">
    <w:name w:val="Header Char"/>
    <w:link w:val="Header"/>
    <w:uiPriority w:val="99"/>
    <w:rsid w:val="001844F8"/>
    <w:rPr>
      <w:rFonts w:ascii="Helvetica" w:hAnsi="Helvetica"/>
    </w:rPr>
  </w:style>
  <w:style w:type="character" w:customStyle="1" w:styleId="FooterChar">
    <w:name w:val="Footer Char"/>
    <w:link w:val="Footer"/>
    <w:uiPriority w:val="99"/>
    <w:rsid w:val="001844F8"/>
    <w:rPr>
      <w:rFonts w:ascii="Helvetica" w:hAnsi="Helvetica"/>
    </w:rPr>
  </w:style>
  <w:style w:type="paragraph" w:styleId="EndnoteText">
    <w:name w:val="endnote text"/>
    <w:basedOn w:val="Normal"/>
    <w:link w:val="EndnoteTextChar"/>
    <w:semiHidden/>
    <w:unhideWhenUsed/>
    <w:rsid w:val="001844F8"/>
    <w:rPr>
      <w:rFonts w:ascii="Times New Roman" w:eastAsia="MS Mincho" w:hAnsi="Times New Roman"/>
    </w:rPr>
  </w:style>
  <w:style w:type="character" w:customStyle="1" w:styleId="EndnoteTextChar">
    <w:name w:val="Endnote Text Char"/>
    <w:basedOn w:val="DefaultParagraphFont"/>
    <w:link w:val="EndnoteText"/>
    <w:semiHidden/>
    <w:rsid w:val="001844F8"/>
    <w:rPr>
      <w:rFonts w:eastAsia="MS Mincho"/>
    </w:rPr>
  </w:style>
  <w:style w:type="character" w:styleId="EndnoteReference">
    <w:name w:val="endnote reference"/>
    <w:semiHidden/>
    <w:unhideWhenUsed/>
    <w:rsid w:val="001844F8"/>
    <w:rPr>
      <w:vertAlign w:val="superscript"/>
    </w:rPr>
  </w:style>
  <w:style w:type="paragraph" w:styleId="FootnoteText">
    <w:name w:val="footnote text"/>
    <w:basedOn w:val="Normal"/>
    <w:link w:val="FootnoteTextChar"/>
    <w:uiPriority w:val="99"/>
    <w:unhideWhenUsed/>
    <w:rsid w:val="001844F8"/>
    <w:rPr>
      <w:rFonts w:ascii="Times New Roman" w:eastAsia="MS Mincho" w:hAnsi="Times New Roman"/>
    </w:rPr>
  </w:style>
  <w:style w:type="character" w:customStyle="1" w:styleId="FootnoteTextChar">
    <w:name w:val="Footnote Text Char"/>
    <w:basedOn w:val="DefaultParagraphFont"/>
    <w:link w:val="FootnoteText"/>
    <w:uiPriority w:val="99"/>
    <w:rsid w:val="001844F8"/>
    <w:rPr>
      <w:rFonts w:eastAsia="MS Mincho"/>
    </w:rPr>
  </w:style>
  <w:style w:type="character" w:styleId="FootnoteReference">
    <w:name w:val="footnote reference"/>
    <w:uiPriority w:val="99"/>
    <w:unhideWhenUsed/>
    <w:rsid w:val="001844F8"/>
    <w:rPr>
      <w:vertAlign w:val="superscript"/>
    </w:rPr>
  </w:style>
  <w:style w:type="paragraph" w:styleId="ListParagraph">
    <w:name w:val="List Paragraph"/>
    <w:aliases w:val="skripsi,anak bab,awal,List Paragraph2,UGEX'Z,Body of text,Level2,Colorful List - Accent 11,Body Text Char1,Char Char2"/>
    <w:basedOn w:val="Normal"/>
    <w:link w:val="ListParagraphChar"/>
    <w:uiPriority w:val="34"/>
    <w:qFormat/>
    <w:rsid w:val="001844F8"/>
    <w:pPr>
      <w:ind w:left="720"/>
      <w:contextualSpacing/>
    </w:pPr>
    <w:rPr>
      <w:rFonts w:ascii="Times New Roman" w:eastAsia="MS Mincho" w:hAnsi="Times New Roman"/>
      <w:sz w:val="24"/>
      <w:szCs w:val="24"/>
    </w:rPr>
  </w:style>
  <w:style w:type="paragraph" w:styleId="CommentSubject">
    <w:name w:val="annotation subject"/>
    <w:basedOn w:val="CommentText"/>
    <w:next w:val="CommentText"/>
    <w:link w:val="CommentSubjectChar"/>
    <w:uiPriority w:val="99"/>
    <w:semiHidden/>
    <w:unhideWhenUsed/>
    <w:rsid w:val="001844F8"/>
    <w:rPr>
      <w:rFonts w:eastAsia="MS Mincho"/>
      <w:b/>
      <w:bCs/>
      <w:lang w:val="en-US" w:eastAsia="en-US"/>
    </w:rPr>
  </w:style>
  <w:style w:type="character" w:customStyle="1" w:styleId="CommentSubjectChar">
    <w:name w:val="Comment Subject Char"/>
    <w:basedOn w:val="CommentTextChar"/>
    <w:link w:val="CommentSubject"/>
    <w:uiPriority w:val="99"/>
    <w:semiHidden/>
    <w:rsid w:val="001844F8"/>
    <w:rPr>
      <w:rFonts w:eastAsia="MS Mincho"/>
      <w:b/>
      <w:bCs/>
      <w:lang w:val="nb-NO" w:eastAsia="nb-NO"/>
    </w:rPr>
  </w:style>
  <w:style w:type="character" w:customStyle="1" w:styleId="ListParagraphChar">
    <w:name w:val="List Paragraph Char"/>
    <w:aliases w:val="skripsi Char,anak bab Char,awal Char,List Paragraph2 Char,UGEX'Z Char,Body of text Char,Level2 Char,Colorful List - Accent 11 Char,Body Text Char1 Char,Char Char2 Char"/>
    <w:link w:val="ListParagraph"/>
    <w:uiPriority w:val="34"/>
    <w:qFormat/>
    <w:rsid w:val="001844F8"/>
    <w:rPr>
      <w:rFonts w:eastAsia="MS Mincho"/>
      <w:sz w:val="24"/>
      <w:szCs w:val="24"/>
    </w:rPr>
  </w:style>
  <w:style w:type="paragraph" w:styleId="NoSpacing">
    <w:name w:val="No Spacing"/>
    <w:link w:val="NoSpacingChar"/>
    <w:uiPriority w:val="1"/>
    <w:qFormat/>
    <w:rsid w:val="001844F8"/>
    <w:pPr>
      <w:jc w:val="both"/>
    </w:pPr>
    <w:rPr>
      <w:sz w:val="24"/>
      <w:lang w:val="en-AU" w:eastAsia="tr-TR"/>
    </w:rPr>
  </w:style>
  <w:style w:type="table" w:styleId="ListTable3">
    <w:name w:val="List Table 3"/>
    <w:basedOn w:val="TableNormal"/>
    <w:uiPriority w:val="48"/>
    <w:rsid w:val="001844F8"/>
    <w:rPr>
      <w:rFonts w:ascii="Times" w:hAnsi="Time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DocumentMap">
    <w:name w:val="Document Map"/>
    <w:basedOn w:val="Normal"/>
    <w:link w:val="DocumentMapChar"/>
    <w:semiHidden/>
    <w:unhideWhenUsed/>
    <w:rsid w:val="001844F8"/>
    <w:pPr>
      <w:jc w:val="both"/>
    </w:pPr>
    <w:rPr>
      <w:rFonts w:ascii="Times New Roman" w:hAnsi="Times New Roman"/>
      <w:sz w:val="24"/>
      <w:szCs w:val="24"/>
      <w:lang w:val="en-AU" w:eastAsia="tr-TR"/>
    </w:rPr>
  </w:style>
  <w:style w:type="character" w:customStyle="1" w:styleId="DocumentMapChar">
    <w:name w:val="Document Map Char"/>
    <w:basedOn w:val="DefaultParagraphFont"/>
    <w:link w:val="DocumentMap"/>
    <w:semiHidden/>
    <w:rsid w:val="001844F8"/>
    <w:rPr>
      <w:sz w:val="24"/>
      <w:szCs w:val="24"/>
      <w:lang w:val="en-AU" w:eastAsia="tr-TR"/>
    </w:rPr>
  </w:style>
  <w:style w:type="paragraph" w:customStyle="1" w:styleId="ListParagraph1">
    <w:name w:val="List Paragraph1"/>
    <w:basedOn w:val="Normal"/>
    <w:uiPriority w:val="34"/>
    <w:qFormat/>
    <w:rsid w:val="001844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nhideWhenUsed/>
    <w:rsid w:val="001844F8"/>
    <w:pPr>
      <w:spacing w:after="120"/>
    </w:pPr>
    <w:rPr>
      <w:rFonts w:ascii="Times New Roman" w:eastAsia="MS Mincho" w:hAnsi="Times New Roman"/>
      <w:sz w:val="24"/>
      <w:szCs w:val="24"/>
    </w:rPr>
  </w:style>
  <w:style w:type="character" w:customStyle="1" w:styleId="BodyTextChar">
    <w:name w:val="Body Text Char"/>
    <w:basedOn w:val="DefaultParagraphFont"/>
    <w:link w:val="BodyText"/>
    <w:rsid w:val="001844F8"/>
    <w:rPr>
      <w:rFonts w:eastAsia="MS Mincho"/>
      <w:sz w:val="24"/>
      <w:szCs w:val="24"/>
    </w:rPr>
  </w:style>
  <w:style w:type="paragraph" w:customStyle="1" w:styleId="Default">
    <w:name w:val="Default"/>
    <w:qFormat/>
    <w:rsid w:val="001844F8"/>
    <w:pPr>
      <w:autoSpaceDE w:val="0"/>
      <w:autoSpaceDN w:val="0"/>
      <w:adjustRightInd w:val="0"/>
    </w:pPr>
    <w:rPr>
      <w:color w:val="000000"/>
      <w:sz w:val="24"/>
      <w:szCs w:val="24"/>
      <w:lang w:val="tr-TR" w:eastAsia="tr-TR"/>
    </w:rPr>
  </w:style>
  <w:style w:type="paragraph" w:customStyle="1" w:styleId="quotation">
    <w:name w:val="quotation"/>
    <w:basedOn w:val="Normal"/>
    <w:qFormat/>
    <w:rsid w:val="001844F8"/>
    <w:pPr>
      <w:spacing w:before="120" w:line="220" w:lineRule="atLeast"/>
      <w:ind w:left="567" w:right="526"/>
      <w:jc w:val="both"/>
    </w:pPr>
    <w:rPr>
      <w:rFonts w:ascii="Times New Roman" w:hAnsi="Times New Roman"/>
      <w:sz w:val="24"/>
      <w:lang w:val="en-AU" w:eastAsia="tr-TR"/>
    </w:rPr>
  </w:style>
  <w:style w:type="character" w:customStyle="1" w:styleId="Heading1Char">
    <w:name w:val="Heading 1 Char"/>
    <w:link w:val="Heading1"/>
    <w:uiPriority w:val="9"/>
    <w:rsid w:val="001844F8"/>
    <w:rPr>
      <w:rFonts w:ascii="Arial" w:hAnsi="Arial"/>
      <w:b/>
      <w:kern w:val="28"/>
      <w:sz w:val="28"/>
    </w:rPr>
  </w:style>
  <w:style w:type="paragraph" w:styleId="NormalWeb">
    <w:name w:val="Normal (Web)"/>
    <w:basedOn w:val="Normal"/>
    <w:uiPriority w:val="99"/>
    <w:rsid w:val="001844F8"/>
    <w:pPr>
      <w:spacing w:before="160" w:line="260" w:lineRule="atLeast"/>
      <w:jc w:val="both"/>
    </w:pPr>
    <w:rPr>
      <w:rFonts w:ascii="Times New Roman" w:hAnsi="Times New Roman"/>
      <w:sz w:val="24"/>
      <w:szCs w:val="24"/>
      <w:lang w:val="en-AU" w:eastAsia="tr-TR"/>
    </w:rPr>
  </w:style>
  <w:style w:type="character" w:customStyle="1" w:styleId="ez-toc-section">
    <w:name w:val="ez-toc-section"/>
    <w:rsid w:val="001844F8"/>
  </w:style>
  <w:style w:type="paragraph" w:styleId="TOC2">
    <w:name w:val="toc 2"/>
    <w:basedOn w:val="Normal"/>
    <w:next w:val="Normal"/>
    <w:autoRedefine/>
    <w:uiPriority w:val="39"/>
    <w:unhideWhenUsed/>
    <w:rsid w:val="001844F8"/>
    <w:pPr>
      <w:spacing w:before="240" w:after="100" w:line="480" w:lineRule="auto"/>
      <w:ind w:left="240" w:firstLine="397"/>
      <w:jc w:val="both"/>
    </w:pPr>
    <w:rPr>
      <w:rFonts w:ascii="Times New Roman" w:eastAsia="Calibri" w:hAnsi="Times New Roman"/>
      <w:sz w:val="24"/>
      <w:szCs w:val="22"/>
      <w:lang w:val="id-ID"/>
    </w:rPr>
  </w:style>
  <w:style w:type="character" w:customStyle="1" w:styleId="Title1">
    <w:name w:val="Title1"/>
    <w:rsid w:val="001844F8"/>
  </w:style>
  <w:style w:type="paragraph" w:customStyle="1" w:styleId="tabletext">
    <w:name w:val="tabletext"/>
    <w:basedOn w:val="Normal"/>
    <w:rsid w:val="001844F8"/>
    <w:pPr>
      <w:spacing w:line="220" w:lineRule="atLeast"/>
      <w:jc w:val="both"/>
    </w:pPr>
    <w:rPr>
      <w:rFonts w:ascii="Times New Roman" w:hAnsi="Times New Roman"/>
      <w:lang w:val="en-AU" w:eastAsia="tr-TR"/>
    </w:rPr>
  </w:style>
  <w:style w:type="table" w:styleId="PlainTable2">
    <w:name w:val="Plain Table 2"/>
    <w:basedOn w:val="TableNormal"/>
    <w:uiPriority w:val="42"/>
    <w:rsid w:val="001844F8"/>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itle2">
    <w:name w:val="Title2"/>
    <w:rsid w:val="001844F8"/>
  </w:style>
  <w:style w:type="paragraph" w:customStyle="1" w:styleId="HeaderJERE">
    <w:name w:val="Header_JERE"/>
    <w:basedOn w:val="Header"/>
    <w:link w:val="HeaderJEREChar"/>
    <w:qFormat/>
    <w:rsid w:val="001844F8"/>
  </w:style>
  <w:style w:type="character" w:customStyle="1" w:styleId="HeaderJEREChar">
    <w:name w:val="Header_JERE Char"/>
    <w:link w:val="HeaderJERE"/>
    <w:rsid w:val="001844F8"/>
    <w:rPr>
      <w:rFonts w:ascii="Helvetica" w:hAnsi="Helvetica"/>
    </w:rPr>
  </w:style>
  <w:style w:type="paragraph" w:customStyle="1" w:styleId="TableParagraph">
    <w:name w:val="Table Paragraph"/>
    <w:basedOn w:val="Normal"/>
    <w:uiPriority w:val="1"/>
    <w:qFormat/>
    <w:rsid w:val="001844F8"/>
    <w:pPr>
      <w:widowControl w:val="0"/>
      <w:autoSpaceDE w:val="0"/>
      <w:autoSpaceDN w:val="0"/>
    </w:pPr>
    <w:rPr>
      <w:rFonts w:ascii="Times New Roman" w:hAnsi="Times New Roman"/>
      <w:sz w:val="22"/>
      <w:szCs w:val="22"/>
    </w:rPr>
  </w:style>
  <w:style w:type="paragraph" w:styleId="Caption">
    <w:name w:val="caption"/>
    <w:basedOn w:val="Normal"/>
    <w:next w:val="Normal"/>
    <w:unhideWhenUsed/>
    <w:qFormat/>
    <w:rsid w:val="001844F8"/>
    <w:pPr>
      <w:spacing w:after="200"/>
    </w:pPr>
    <w:rPr>
      <w:rFonts w:ascii="Times New Roman" w:eastAsia="Calibri" w:hAnsi="Times New Roman"/>
      <w:b/>
      <w:bCs/>
      <w:color w:val="4472C4"/>
      <w:sz w:val="18"/>
      <w:szCs w:val="18"/>
    </w:rPr>
  </w:style>
  <w:style w:type="paragraph" w:customStyle="1" w:styleId="Normal1">
    <w:name w:val="Normal1"/>
    <w:rsid w:val="001844F8"/>
    <w:pPr>
      <w:spacing w:after="200" w:line="276" w:lineRule="auto"/>
    </w:pPr>
    <w:rPr>
      <w:rFonts w:ascii="Calibri" w:eastAsia="Calibri" w:hAnsi="Calibri" w:cs="Calibri"/>
      <w:sz w:val="22"/>
      <w:szCs w:val="22"/>
    </w:rPr>
  </w:style>
  <w:style w:type="table" w:customStyle="1" w:styleId="TableGrid1">
    <w:name w:val="Table Grid1"/>
    <w:basedOn w:val="TableNormal"/>
    <w:next w:val="TableGrid"/>
    <w:uiPriority w:val="39"/>
    <w:rsid w:val="001844F8"/>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0">
    <w:name w:val="reference"/>
    <w:basedOn w:val="Normal"/>
    <w:rsid w:val="001844F8"/>
    <w:pPr>
      <w:keepLines/>
      <w:spacing w:line="220" w:lineRule="atLeast"/>
      <w:ind w:left="560" w:hanging="560"/>
      <w:jc w:val="both"/>
    </w:pPr>
    <w:rPr>
      <w:rFonts w:ascii="Times New Roman" w:hAnsi="Times New Roman"/>
      <w:sz w:val="24"/>
      <w:lang w:val="en-AU" w:eastAsia="tr-TR"/>
    </w:rPr>
  </w:style>
  <w:style w:type="table" w:customStyle="1" w:styleId="TableGrid2">
    <w:name w:val="Table Grid2"/>
    <w:basedOn w:val="TableNormal"/>
    <w:next w:val="TableGrid"/>
    <w:uiPriority w:val="59"/>
    <w:rsid w:val="001844F8"/>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44F8"/>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44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44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44F8"/>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844F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irstparagraph">
    <w:name w:val="First paragraph"/>
    <w:basedOn w:val="Normal"/>
    <w:next w:val="Normal"/>
    <w:rsid w:val="001844F8"/>
    <w:pPr>
      <w:overflowPunct w:val="0"/>
      <w:autoSpaceDE w:val="0"/>
      <w:autoSpaceDN w:val="0"/>
      <w:adjustRightInd w:val="0"/>
      <w:spacing w:line="260" w:lineRule="exact"/>
      <w:jc w:val="both"/>
      <w:textAlignment w:val="baseline"/>
    </w:pPr>
    <w:rPr>
      <w:rFonts w:ascii="Times New Roman" w:hAnsi="Times New Roman"/>
      <w:sz w:val="24"/>
    </w:rPr>
  </w:style>
  <w:style w:type="character" w:customStyle="1" w:styleId="fontstyle01">
    <w:name w:val="fontstyle01"/>
    <w:rsid w:val="001844F8"/>
    <w:rPr>
      <w:rFonts w:ascii="Calibri" w:hAnsi="Calibri" w:cs="Calibri" w:hint="default"/>
      <w:b w:val="0"/>
      <w:bCs w:val="0"/>
      <w:i w:val="0"/>
      <w:iCs w:val="0"/>
      <w:color w:val="000000"/>
      <w:sz w:val="22"/>
      <w:szCs w:val="22"/>
    </w:rPr>
  </w:style>
  <w:style w:type="paragraph" w:customStyle="1" w:styleId="address">
    <w:name w:val="address"/>
    <w:basedOn w:val="Normal"/>
    <w:qFormat/>
    <w:rsid w:val="001844F8"/>
    <w:pPr>
      <w:overflowPunct w:val="0"/>
      <w:autoSpaceDE w:val="0"/>
      <w:autoSpaceDN w:val="0"/>
      <w:adjustRightInd w:val="0"/>
      <w:spacing w:after="200" w:line="220" w:lineRule="atLeast"/>
      <w:contextualSpacing/>
      <w:jc w:val="center"/>
      <w:textAlignment w:val="baseline"/>
    </w:pPr>
    <w:rPr>
      <w:rFonts w:ascii="Calibri" w:hAnsi="Calibri"/>
      <w:sz w:val="18"/>
      <w:lang w:eastAsia="zh-CN"/>
    </w:rPr>
  </w:style>
  <w:style w:type="paragraph" w:styleId="Bibliography">
    <w:name w:val="Bibliography"/>
    <w:basedOn w:val="Normal"/>
    <w:next w:val="Normal"/>
    <w:uiPriority w:val="37"/>
    <w:semiHidden/>
    <w:unhideWhenUsed/>
    <w:rsid w:val="001844F8"/>
    <w:rPr>
      <w:rFonts w:ascii="Times New Roman" w:eastAsia="MS Mincho" w:hAnsi="Times New Roman"/>
      <w:sz w:val="24"/>
      <w:szCs w:val="24"/>
    </w:rPr>
  </w:style>
  <w:style w:type="table" w:customStyle="1" w:styleId="TableGrid7">
    <w:name w:val="Table Grid7"/>
    <w:basedOn w:val="TableNormal"/>
    <w:next w:val="TableGrid"/>
    <w:uiPriority w:val="59"/>
    <w:rsid w:val="001844F8"/>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44F8"/>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844F8"/>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jlqj4b">
    <w:name w:val="jlqj4b"/>
    <w:rsid w:val="001844F8"/>
  </w:style>
  <w:style w:type="character" w:customStyle="1" w:styleId="viiyi">
    <w:name w:val="viiyi"/>
    <w:rsid w:val="001844F8"/>
  </w:style>
  <w:style w:type="character" w:customStyle="1" w:styleId="tlid-translation">
    <w:name w:val="tlid-translation"/>
    <w:rsid w:val="001844F8"/>
  </w:style>
  <w:style w:type="table" w:customStyle="1" w:styleId="TableGrid9">
    <w:name w:val="Table Grid9"/>
    <w:basedOn w:val="TableNormal"/>
    <w:next w:val="TableGrid"/>
    <w:uiPriority w:val="59"/>
    <w:rsid w:val="001844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44F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1">
    <w:name w:val="List Table 6 Colorful1"/>
    <w:basedOn w:val="TableNormal"/>
    <w:next w:val="ListTable6Colorful"/>
    <w:uiPriority w:val="51"/>
    <w:rsid w:val="001844F8"/>
    <w:rPr>
      <w:rFonts w:ascii="Times" w:hAnsi="Times"/>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1844F8"/>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
    <w:name w:val="List Table 1 Light"/>
    <w:basedOn w:val="TableNormal"/>
    <w:uiPriority w:val="46"/>
    <w:rsid w:val="001844F8"/>
    <w:rPr>
      <w:rFonts w:ascii="Times" w:hAnsi="Time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
    <w:name w:val="Table Grid11"/>
    <w:basedOn w:val="TableNormal"/>
    <w:next w:val="TableGrid"/>
    <w:uiPriority w:val="39"/>
    <w:rsid w:val="001844F8"/>
    <w:pPr>
      <w:spacing w:beforeAutospacing="1" w:afterAutospacing="1"/>
      <w:ind w:left="-57" w:right="-57"/>
      <w:jc w:val="center"/>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1844F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39"/>
    <w:rsid w:val="001844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844F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844F8"/>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
    <w:name w:val="Light Shading1"/>
    <w:basedOn w:val="TableNormal"/>
    <w:next w:val="LightShading"/>
    <w:uiPriority w:val="60"/>
    <w:rsid w:val="001844F8"/>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PlainTable22">
    <w:name w:val="Plain Table 22"/>
    <w:basedOn w:val="TableNormal"/>
    <w:next w:val="PlainTable2"/>
    <w:uiPriority w:val="42"/>
    <w:rsid w:val="001844F8"/>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0">
    <w:name w:val="TableGrid"/>
    <w:rsid w:val="001844F8"/>
    <w:rPr>
      <w:rFonts w:ascii="Calibri" w:hAnsi="Calibri"/>
      <w:sz w:val="22"/>
      <w:szCs w:val="22"/>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1844F8"/>
    <w:rPr>
      <w:rFonts w:ascii="Courier New" w:eastAsia="MS Mincho" w:hAnsi="Courier New" w:cs="Courier New"/>
    </w:rPr>
  </w:style>
  <w:style w:type="character" w:customStyle="1" w:styleId="HTMLPreformattedChar">
    <w:name w:val="HTML Preformatted Char"/>
    <w:basedOn w:val="DefaultParagraphFont"/>
    <w:link w:val="HTMLPreformatted"/>
    <w:uiPriority w:val="99"/>
    <w:rsid w:val="001844F8"/>
    <w:rPr>
      <w:rFonts w:ascii="Courier New" w:eastAsia="MS Mincho" w:hAnsi="Courier New" w:cs="Courier New"/>
    </w:rPr>
  </w:style>
  <w:style w:type="table" w:customStyle="1" w:styleId="TableGrid15">
    <w:name w:val="Table Grid15"/>
    <w:basedOn w:val="TableNormal"/>
    <w:next w:val="TableGrid"/>
    <w:uiPriority w:val="59"/>
    <w:rsid w:val="001844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44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1844F8"/>
    <w:pPr>
      <w:spacing w:after="120"/>
      <w:ind w:left="360"/>
    </w:pPr>
    <w:rPr>
      <w:rFonts w:ascii="Times New Roman" w:eastAsia="MS Mincho" w:hAnsi="Times New Roman"/>
      <w:sz w:val="24"/>
      <w:szCs w:val="24"/>
    </w:rPr>
  </w:style>
  <w:style w:type="character" w:customStyle="1" w:styleId="BodyTextIndentChar">
    <w:name w:val="Body Text Indent Char"/>
    <w:basedOn w:val="DefaultParagraphFont"/>
    <w:link w:val="BodyTextIndent"/>
    <w:semiHidden/>
    <w:rsid w:val="001844F8"/>
    <w:rPr>
      <w:rFonts w:eastAsia="MS Mincho"/>
      <w:sz w:val="24"/>
      <w:szCs w:val="24"/>
    </w:rPr>
  </w:style>
  <w:style w:type="paragraph" w:styleId="BodyTextIndent2">
    <w:name w:val="Body Text Indent 2"/>
    <w:basedOn w:val="Normal"/>
    <w:link w:val="BodyTextIndent2Char"/>
    <w:uiPriority w:val="99"/>
    <w:unhideWhenUsed/>
    <w:rsid w:val="001844F8"/>
    <w:pPr>
      <w:spacing w:after="120" w:line="480" w:lineRule="auto"/>
      <w:ind w:left="360"/>
    </w:pPr>
    <w:rPr>
      <w:rFonts w:ascii="Times New Roman" w:eastAsia="MS Mincho" w:hAnsi="Times New Roman"/>
      <w:sz w:val="24"/>
      <w:szCs w:val="24"/>
    </w:rPr>
  </w:style>
  <w:style w:type="character" w:customStyle="1" w:styleId="BodyTextIndent2Char">
    <w:name w:val="Body Text Indent 2 Char"/>
    <w:basedOn w:val="DefaultParagraphFont"/>
    <w:link w:val="BodyTextIndent2"/>
    <w:uiPriority w:val="99"/>
    <w:rsid w:val="001844F8"/>
    <w:rPr>
      <w:rFonts w:eastAsia="MS Mincho"/>
      <w:sz w:val="24"/>
      <w:szCs w:val="24"/>
    </w:rPr>
  </w:style>
  <w:style w:type="character" w:customStyle="1" w:styleId="y2iqfc">
    <w:name w:val="y2iqfc"/>
    <w:basedOn w:val="DefaultParagraphFont"/>
    <w:rsid w:val="001844F8"/>
  </w:style>
  <w:style w:type="table" w:customStyle="1" w:styleId="TableGrid17">
    <w:name w:val="Table Grid17"/>
    <w:basedOn w:val="TableNormal"/>
    <w:next w:val="TableGrid"/>
    <w:rsid w:val="001844F8"/>
    <w:rPr>
      <w:rFonts w:ascii="Calibri" w:eastAsia="Calibri" w:hAnsi="Calibri" w:cs="Calibri"/>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1844F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1844F8"/>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hortAbstract">
    <w:name w:val="Short Abstract"/>
    <w:rsid w:val="001844F8"/>
    <w:rPr>
      <w:rFonts w:ascii="Times New Roman" w:eastAsia="Times New Roman" w:hAnsi="Times New Roman"/>
      <w:sz w:val="20"/>
    </w:rPr>
  </w:style>
  <w:style w:type="paragraph" w:customStyle="1" w:styleId="JEREauthor">
    <w:name w:val="JERE_author"/>
    <w:basedOn w:val="Normal"/>
    <w:link w:val="JEREauthorChar"/>
    <w:qFormat/>
    <w:rsid w:val="001844F8"/>
    <w:pPr>
      <w:spacing w:line="360" w:lineRule="auto"/>
      <w:ind w:right="193"/>
    </w:pPr>
    <w:rPr>
      <w:rFonts w:ascii="Cambria" w:eastAsia="SimSun" w:hAnsi="Cambria"/>
      <w:b/>
      <w:sz w:val="24"/>
      <w:szCs w:val="24"/>
      <w:lang w:eastAsia="tr-TR"/>
    </w:rPr>
  </w:style>
  <w:style w:type="character" w:customStyle="1" w:styleId="JEREauthorChar">
    <w:name w:val="JERE_author Char"/>
    <w:basedOn w:val="DefaultParagraphFont"/>
    <w:link w:val="JEREauthor"/>
    <w:qFormat/>
    <w:rsid w:val="001844F8"/>
    <w:rPr>
      <w:rFonts w:ascii="Cambria" w:eastAsia="SimSun" w:hAnsi="Cambria"/>
      <w:b/>
      <w:sz w:val="24"/>
      <w:szCs w:val="24"/>
      <w:lang w:eastAsia="tr-TR"/>
    </w:rPr>
  </w:style>
  <w:style w:type="character" w:customStyle="1" w:styleId="NoSpacingChar">
    <w:name w:val="No Spacing Char"/>
    <w:basedOn w:val="DefaultParagraphFont"/>
    <w:link w:val="NoSpacing"/>
    <w:uiPriority w:val="1"/>
    <w:rsid w:val="001844F8"/>
    <w:rPr>
      <w:sz w:val="24"/>
      <w:lang w:val="en-AU" w:eastAsia="tr-TR"/>
    </w:rPr>
  </w:style>
  <w:style w:type="paragraph" w:customStyle="1" w:styleId="Bab">
    <w:name w:val="Bab"/>
    <w:basedOn w:val="Heading1"/>
    <w:link w:val="BabChar"/>
    <w:rsid w:val="001844F8"/>
    <w:pPr>
      <w:keepLines/>
      <w:spacing w:before="0" w:after="0" w:line="480" w:lineRule="auto"/>
    </w:pPr>
    <w:rPr>
      <w:rFonts w:ascii="Times New Roman" w:eastAsiaTheme="majorEastAsia" w:hAnsi="Times New Roman"/>
      <w:b w:val="0"/>
      <w:kern w:val="0"/>
      <w:sz w:val="24"/>
      <w:szCs w:val="24"/>
      <w:lang w:val="en-ID"/>
    </w:rPr>
  </w:style>
  <w:style w:type="character" w:customStyle="1" w:styleId="BabChar">
    <w:name w:val="Bab Char"/>
    <w:basedOn w:val="DefaultParagraphFont"/>
    <w:link w:val="Bab"/>
    <w:rsid w:val="001844F8"/>
    <w:rPr>
      <w:rFonts w:eastAsiaTheme="majorEastAsia"/>
      <w:sz w:val="24"/>
      <w:szCs w:val="24"/>
      <w:lang w:val="en-ID"/>
    </w:rPr>
  </w:style>
  <w:style w:type="paragraph" w:styleId="TOCHeading">
    <w:name w:val="TOC Heading"/>
    <w:basedOn w:val="Heading1"/>
    <w:next w:val="Normal"/>
    <w:uiPriority w:val="39"/>
    <w:unhideWhenUsed/>
    <w:qFormat/>
    <w:rsid w:val="001844F8"/>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1844F8"/>
    <w:pPr>
      <w:tabs>
        <w:tab w:val="right" w:leader="dot" w:pos="7927"/>
      </w:tabs>
      <w:spacing w:after="100" w:line="259" w:lineRule="auto"/>
      <w:jc w:val="both"/>
    </w:pPr>
    <w:rPr>
      <w:rFonts w:asciiTheme="minorHAnsi" w:eastAsiaTheme="minorHAnsi" w:hAnsiTheme="minorHAnsi" w:cstheme="minorBidi"/>
      <w:sz w:val="22"/>
      <w:szCs w:val="22"/>
      <w:lang w:val="en-ID"/>
    </w:rPr>
  </w:style>
  <w:style w:type="paragraph" w:styleId="TOC3">
    <w:name w:val="toc 3"/>
    <w:basedOn w:val="Normal"/>
    <w:next w:val="Normal"/>
    <w:autoRedefine/>
    <w:uiPriority w:val="39"/>
    <w:unhideWhenUsed/>
    <w:rsid w:val="001844F8"/>
    <w:pPr>
      <w:tabs>
        <w:tab w:val="left" w:pos="993"/>
        <w:tab w:val="right" w:leader="dot" w:pos="7927"/>
      </w:tabs>
      <w:spacing w:after="100" w:line="259" w:lineRule="auto"/>
      <w:ind w:left="440"/>
    </w:pPr>
    <w:rPr>
      <w:rFonts w:asciiTheme="minorHAnsi" w:eastAsiaTheme="minorHAnsi" w:hAnsiTheme="minorHAnsi" w:cstheme="minorBidi"/>
      <w:sz w:val="22"/>
      <w:szCs w:val="22"/>
      <w:lang w:val="en-ID"/>
    </w:rPr>
  </w:style>
  <w:style w:type="paragraph" w:styleId="TOC4">
    <w:name w:val="toc 4"/>
    <w:basedOn w:val="Normal"/>
    <w:next w:val="Normal"/>
    <w:autoRedefine/>
    <w:uiPriority w:val="39"/>
    <w:unhideWhenUsed/>
    <w:rsid w:val="001844F8"/>
    <w:pPr>
      <w:tabs>
        <w:tab w:val="left" w:pos="993"/>
        <w:tab w:val="right" w:leader="dot" w:pos="7927"/>
      </w:tabs>
      <w:spacing w:after="100" w:line="259" w:lineRule="auto"/>
      <w:ind w:left="660"/>
    </w:pPr>
    <w:rPr>
      <w:rFonts w:asciiTheme="minorHAnsi" w:eastAsiaTheme="minorHAnsi" w:hAnsiTheme="minorHAnsi" w:cstheme="minorBidi"/>
      <w:sz w:val="22"/>
      <w:szCs w:val="22"/>
      <w:lang w:val="en-ID"/>
    </w:rPr>
  </w:style>
  <w:style w:type="character" w:customStyle="1" w:styleId="UnresolvedMention1">
    <w:name w:val="Unresolved Mention1"/>
    <w:basedOn w:val="DefaultParagraphFont"/>
    <w:uiPriority w:val="99"/>
    <w:semiHidden/>
    <w:unhideWhenUsed/>
    <w:rsid w:val="001844F8"/>
    <w:rPr>
      <w:color w:val="605E5C"/>
      <w:shd w:val="clear" w:color="auto" w:fill="E1DFDD"/>
    </w:rPr>
  </w:style>
  <w:style w:type="character" w:styleId="PlaceholderText">
    <w:name w:val="Placeholder Text"/>
    <w:basedOn w:val="DefaultParagraphFont"/>
    <w:uiPriority w:val="99"/>
    <w:semiHidden/>
    <w:rsid w:val="001844F8"/>
    <w:rPr>
      <w:color w:val="808080"/>
    </w:rPr>
  </w:style>
  <w:style w:type="paragraph" w:styleId="TOC5">
    <w:name w:val="toc 5"/>
    <w:basedOn w:val="Normal"/>
    <w:next w:val="Normal"/>
    <w:autoRedefine/>
    <w:uiPriority w:val="39"/>
    <w:unhideWhenUsed/>
    <w:rsid w:val="001844F8"/>
    <w:pPr>
      <w:spacing w:after="100" w:line="259" w:lineRule="auto"/>
      <w:ind w:left="880"/>
    </w:pPr>
    <w:rPr>
      <w:rFonts w:asciiTheme="minorHAnsi" w:eastAsiaTheme="minorHAnsi" w:hAnsiTheme="minorHAnsi" w:cstheme="minorBidi"/>
      <w:sz w:val="22"/>
      <w:szCs w:val="22"/>
      <w:lang w:val="en-ID"/>
    </w:rPr>
  </w:style>
  <w:style w:type="paragraph" w:styleId="TOC6">
    <w:name w:val="toc 6"/>
    <w:basedOn w:val="Normal"/>
    <w:next w:val="Normal"/>
    <w:autoRedefine/>
    <w:uiPriority w:val="39"/>
    <w:unhideWhenUsed/>
    <w:rsid w:val="001844F8"/>
    <w:pPr>
      <w:spacing w:after="100" w:line="259" w:lineRule="auto"/>
      <w:ind w:left="1100"/>
    </w:pPr>
    <w:rPr>
      <w:rFonts w:asciiTheme="minorHAnsi" w:eastAsiaTheme="minorEastAsia" w:hAnsiTheme="minorHAnsi" w:cstheme="minorBidi"/>
      <w:sz w:val="22"/>
      <w:szCs w:val="22"/>
      <w:lang w:val="en-ID" w:eastAsia="en-ID"/>
    </w:rPr>
  </w:style>
  <w:style w:type="paragraph" w:styleId="TOC7">
    <w:name w:val="toc 7"/>
    <w:basedOn w:val="Normal"/>
    <w:next w:val="Normal"/>
    <w:autoRedefine/>
    <w:uiPriority w:val="39"/>
    <w:unhideWhenUsed/>
    <w:rsid w:val="001844F8"/>
    <w:pPr>
      <w:spacing w:after="100" w:line="259" w:lineRule="auto"/>
      <w:ind w:left="1320"/>
    </w:pPr>
    <w:rPr>
      <w:rFonts w:asciiTheme="minorHAnsi" w:eastAsiaTheme="minorEastAsia" w:hAnsiTheme="minorHAnsi" w:cstheme="minorBidi"/>
      <w:sz w:val="22"/>
      <w:szCs w:val="22"/>
      <w:lang w:val="en-ID" w:eastAsia="en-ID"/>
    </w:rPr>
  </w:style>
  <w:style w:type="paragraph" w:styleId="TOC8">
    <w:name w:val="toc 8"/>
    <w:basedOn w:val="Normal"/>
    <w:next w:val="Normal"/>
    <w:autoRedefine/>
    <w:uiPriority w:val="39"/>
    <w:unhideWhenUsed/>
    <w:rsid w:val="001844F8"/>
    <w:pPr>
      <w:spacing w:after="100" w:line="259" w:lineRule="auto"/>
      <w:ind w:left="1540"/>
    </w:pPr>
    <w:rPr>
      <w:rFonts w:asciiTheme="minorHAnsi" w:eastAsiaTheme="minorEastAsia" w:hAnsiTheme="minorHAnsi" w:cstheme="minorBidi"/>
      <w:sz w:val="22"/>
      <w:szCs w:val="22"/>
      <w:lang w:val="en-ID" w:eastAsia="en-ID"/>
    </w:rPr>
  </w:style>
  <w:style w:type="paragraph" w:styleId="TOC9">
    <w:name w:val="toc 9"/>
    <w:basedOn w:val="Normal"/>
    <w:next w:val="Normal"/>
    <w:autoRedefine/>
    <w:uiPriority w:val="39"/>
    <w:unhideWhenUsed/>
    <w:rsid w:val="001844F8"/>
    <w:pPr>
      <w:spacing w:after="100" w:line="259" w:lineRule="auto"/>
      <w:ind w:left="1760"/>
    </w:pPr>
    <w:rPr>
      <w:rFonts w:asciiTheme="minorHAnsi" w:eastAsiaTheme="minorEastAsia" w:hAnsiTheme="minorHAnsi" w:cstheme="minorBidi"/>
      <w:sz w:val="22"/>
      <w:szCs w:val="22"/>
      <w:lang w:val="en-ID" w:eastAsia="en-ID"/>
    </w:rPr>
  </w:style>
  <w:style w:type="numbering" w:customStyle="1" w:styleId="NoList1">
    <w:name w:val="No List1"/>
    <w:next w:val="NoList"/>
    <w:uiPriority w:val="99"/>
    <w:semiHidden/>
    <w:unhideWhenUsed/>
    <w:rsid w:val="001844F8"/>
  </w:style>
  <w:style w:type="numbering" w:customStyle="1" w:styleId="NoList2">
    <w:name w:val="No List2"/>
    <w:next w:val="NoList"/>
    <w:uiPriority w:val="99"/>
    <w:semiHidden/>
    <w:unhideWhenUsed/>
    <w:rsid w:val="001844F8"/>
  </w:style>
  <w:style w:type="character" w:customStyle="1" w:styleId="UnresolvedMention2">
    <w:name w:val="Unresolved Mention2"/>
    <w:basedOn w:val="DefaultParagraphFont"/>
    <w:uiPriority w:val="99"/>
    <w:semiHidden/>
    <w:unhideWhenUsed/>
    <w:rsid w:val="00184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A414A-43B3-4B6E-9BAA-A267138A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TotalTime>
  <Pages>34</Pages>
  <Words>25004</Words>
  <Characters>142528</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167198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30</cp:revision>
  <cp:lastPrinted>1999-07-06T11:00:00Z</cp:lastPrinted>
  <dcterms:created xsi:type="dcterms:W3CDTF">2014-10-25T14:34:00Z</dcterms:created>
  <dcterms:modified xsi:type="dcterms:W3CDTF">2026-02-24T11:38:00Z</dcterms:modified>
</cp:coreProperties>
</file>