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7FD836" w14:textId="77777777" w:rsidR="008F230A" w:rsidRDefault="008F230A">
      <w:pPr>
        <w:pStyle w:val="Title"/>
        <w:spacing w:after="0"/>
        <w:jc w:val="both"/>
        <w:rPr>
          <w:rFonts w:ascii="Arial" w:eastAsia="Arial" w:hAnsi="Arial" w:cs="Arial"/>
        </w:rPr>
      </w:pPr>
    </w:p>
    <w:p w14:paraId="0596602B" w14:textId="77777777" w:rsidR="008F230A" w:rsidRDefault="008F76E1">
      <w:pPr>
        <w:pBdr>
          <w:top w:val="nil"/>
          <w:left w:val="nil"/>
          <w:bottom w:val="nil"/>
          <w:right w:val="nil"/>
          <w:between w:val="nil"/>
        </w:pBdr>
        <w:jc w:val="right"/>
        <w:rPr>
          <w:rFonts w:ascii="Arial" w:eastAsia="Arial" w:hAnsi="Arial" w:cs="Arial"/>
          <w:b/>
          <w:bCs/>
          <w:color w:val="000000"/>
          <w:sz w:val="36"/>
          <w:szCs w:val="36"/>
        </w:rPr>
      </w:pPr>
      <w:r>
        <w:rPr>
          <w:rFonts w:ascii="Arial" w:eastAsia="Arial" w:hAnsi="Arial" w:cs="Arial"/>
          <w:b/>
          <w:bCs/>
          <w:sz w:val="36"/>
          <w:szCs w:val="36"/>
        </w:rPr>
        <w:t>Analysis of The Free Nutritional Meal Program (MBG) from A Human Resource Management (HR) Perspective</w:t>
      </w:r>
      <w:r>
        <w:rPr>
          <w:rFonts w:ascii="Arial" w:eastAsia="Arial" w:hAnsi="Arial" w:cs="Arial"/>
          <w:b/>
          <w:bCs/>
          <w:color w:val="000000"/>
          <w:sz w:val="36"/>
          <w:szCs w:val="36"/>
        </w:rPr>
        <w:t xml:space="preserve"> </w:t>
      </w:r>
    </w:p>
    <w:p w14:paraId="74F40F36" w14:textId="77777777" w:rsidR="008F230A" w:rsidRDefault="008F230A">
      <w:pPr>
        <w:pBdr>
          <w:top w:val="nil"/>
          <w:left w:val="nil"/>
          <w:bottom w:val="nil"/>
          <w:right w:val="nil"/>
          <w:between w:val="nil"/>
        </w:pBdr>
        <w:jc w:val="both"/>
        <w:rPr>
          <w:rFonts w:ascii="Arial" w:eastAsia="Arial" w:hAnsi="Arial" w:cs="Arial"/>
          <w:b/>
          <w:bCs/>
          <w:color w:val="000000"/>
          <w:sz w:val="36"/>
          <w:szCs w:val="36"/>
        </w:rPr>
      </w:pPr>
    </w:p>
    <w:p w14:paraId="5C5B03E8" w14:textId="77777777" w:rsidR="008F230A" w:rsidRDefault="008F76E1">
      <w:pPr>
        <w:pBdr>
          <w:top w:val="nil"/>
          <w:left w:val="nil"/>
          <w:bottom w:val="nil"/>
          <w:right w:val="nil"/>
          <w:between w:val="nil"/>
        </w:pBdr>
        <w:jc w:val="both"/>
        <w:rPr>
          <w:rFonts w:ascii="Arial" w:eastAsia="Arial" w:hAnsi="Arial" w:cs="Arial"/>
          <w:color w:val="000000"/>
          <w:sz w:val="16"/>
          <w:szCs w:val="16"/>
        </w:rPr>
        <w:sectPr w:rsidR="008F230A" w:rsidSect="000E5078">
          <w:headerReference w:type="even" r:id="rId7"/>
          <w:headerReference w:type="default" r:id="rId8"/>
          <w:footerReference w:type="even" r:id="rId9"/>
          <w:footerReference w:type="default" r:id="rId10"/>
          <w:headerReference w:type="first" r:id="rId11"/>
          <w:footerReference w:type="first" r:id="rId12"/>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g">
            <w:drawing>
              <wp:inline distT="0" distB="0" distL="114300" distR="114300" wp14:anchorId="290D17CC" wp14:editId="7656BCC1">
                <wp:extent cx="5303520" cy="19050"/>
                <wp:effectExtent l="0" t="0" r="0" b="0"/>
                <wp:docPr id="1" name="Freeform: Shape 1"/>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inline distB="0" distT="0" distL="114300" distR="114300">
                <wp:extent cx="5303520" cy="19050"/>
                <wp:effectExtent b="0" l="0" r="0" t="0"/>
                <wp:docPr id="1" name="image1.png"/>
                <a:graphic>
                  <a:graphicData uri="http://schemas.openxmlformats.org/drawingml/2006/picture">
                    <pic:pic>
                      <pic:nvPicPr>
                        <pic:cNvPr id="0" name="image1.png"/>
                        <pic:cNvPicPr preferRelativeResize="0"/>
                      </pic:nvPicPr>
                      <pic:blipFill>
                        <a:blip r:embed="rId15"/>
                        <a:srcRect/>
                        <a:stretch>
                          <a:fillRect/>
                        </a:stretch>
                      </pic:blipFill>
                      <pic:spPr>
                        <a:xfrm>
                          <a:off x="0" y="0"/>
                          <a:ext cx="5303520" cy="19050"/>
                        </a:xfrm>
                        <a:prstGeom prst="rect"/>
                        <a:ln/>
                      </pic:spPr>
                    </pic:pic>
                  </a:graphicData>
                </a:graphic>
              </wp:inline>
            </w:drawing>
          </mc:Fallback>
        </mc:AlternateContent>
      </w:r>
      <w:r>
        <w:rPr>
          <w:rFonts w:ascii="Arial" w:eastAsia="Arial" w:hAnsi="Arial" w:cs="Arial"/>
          <w:color w:val="000000"/>
          <w:sz w:val="16"/>
          <w:szCs w:val="16"/>
        </w:rPr>
        <w:t>.</w:t>
      </w:r>
    </w:p>
    <w:p w14:paraId="2AB1C2FC" w14:textId="77777777" w:rsidR="008F230A" w:rsidRDefault="008F76E1">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ABSTRACT</w:t>
      </w:r>
    </w:p>
    <w:p w14:paraId="00920003" w14:textId="77777777" w:rsidR="008F230A" w:rsidRDefault="008F230A">
      <w:pPr>
        <w:keepNext/>
        <w:pBdr>
          <w:top w:val="nil"/>
          <w:left w:val="nil"/>
          <w:bottom w:val="nil"/>
          <w:right w:val="nil"/>
          <w:between w:val="nil"/>
        </w:pBdr>
        <w:jc w:val="both"/>
        <w:rPr>
          <w:rFonts w:ascii="Arial" w:eastAsia="Arial" w:hAnsi="Arial" w:cs="Arial"/>
          <w:b/>
          <w:bCs/>
          <w:smallCaps/>
          <w:color w:val="000000"/>
          <w:sz w:val="22"/>
          <w:szCs w:val="22"/>
        </w:rPr>
      </w:pP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8F230A" w14:paraId="1B898B80" w14:textId="77777777">
        <w:tc>
          <w:tcPr>
            <w:tcW w:w="8424" w:type="dxa"/>
            <w:shd w:val="clear" w:color="auto" w:fill="F2F2F2"/>
          </w:tcPr>
          <w:p w14:paraId="7C172AFC" w14:textId="77777777" w:rsidR="008F230A" w:rsidRDefault="008F230A">
            <w:pPr>
              <w:pBdr>
                <w:top w:val="nil"/>
                <w:left w:val="nil"/>
                <w:bottom w:val="nil"/>
                <w:right w:val="nil"/>
                <w:between w:val="nil"/>
              </w:pBdr>
              <w:jc w:val="both"/>
              <w:rPr>
                <w:rFonts w:ascii="Arial" w:eastAsia="Arial" w:hAnsi="Arial" w:cs="Arial"/>
                <w:b/>
                <w:bCs/>
                <w:color w:val="000000"/>
              </w:rPr>
            </w:pPr>
          </w:p>
          <w:p w14:paraId="1FD8F2B9" w14:textId="77777777" w:rsidR="008F230A" w:rsidRDefault="008F76E1">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 xml:space="preserve">Aims: </w:t>
            </w:r>
            <w:r>
              <w:rPr>
                <w:rFonts w:ascii="Arial" w:eastAsia="Arial" w:hAnsi="Arial" w:cs="Arial"/>
              </w:rPr>
              <w:t xml:space="preserve">This study aims to analyze the Free Nutritious Meal Program (Program </w:t>
            </w:r>
            <w:proofErr w:type="spellStart"/>
            <w:r>
              <w:rPr>
                <w:rFonts w:ascii="Arial" w:eastAsia="Arial" w:hAnsi="Arial" w:cs="Arial"/>
              </w:rPr>
              <w:t>Makan</w:t>
            </w:r>
            <w:proofErr w:type="spellEnd"/>
            <w:r>
              <w:rPr>
                <w:rFonts w:ascii="Arial" w:eastAsia="Arial" w:hAnsi="Arial" w:cs="Arial"/>
              </w:rPr>
              <w:t xml:space="preserve"> </w:t>
            </w:r>
            <w:proofErr w:type="spellStart"/>
            <w:r>
              <w:rPr>
                <w:rFonts w:ascii="Arial" w:eastAsia="Arial" w:hAnsi="Arial" w:cs="Arial"/>
              </w:rPr>
              <w:t>Bergizi</w:t>
            </w:r>
            <w:proofErr w:type="spellEnd"/>
            <w:r>
              <w:rPr>
                <w:rFonts w:ascii="Arial" w:eastAsia="Arial" w:hAnsi="Arial" w:cs="Arial"/>
              </w:rPr>
              <w:t xml:space="preserve"> Gratis, MBG) as a national policy for human resource development from a Human Resource Management (HRM) perspective, particularly through the lenses of Human Capital Theory, Strategic Human Resource Management (SHRM), the Ability–Motivation–Opportunity (AMO) framework, and Public Sector HRM.</w:t>
            </w:r>
          </w:p>
          <w:p w14:paraId="60E454E2" w14:textId="77777777" w:rsidR="008F230A" w:rsidRDefault="008F76E1">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Study design:</w:t>
            </w:r>
            <w:r>
              <w:rPr>
                <w:rFonts w:ascii="Arial" w:eastAsia="Arial" w:hAnsi="Arial" w:cs="Arial"/>
                <w:color w:val="000000"/>
              </w:rPr>
              <w:t xml:space="preserve">  </w:t>
            </w:r>
            <w:r>
              <w:rPr>
                <w:rFonts w:ascii="Arial" w:eastAsia="Arial" w:hAnsi="Arial" w:cs="Arial"/>
              </w:rPr>
              <w:t>This study adopts a conceptual and analytical literature review design.</w:t>
            </w:r>
          </w:p>
          <w:p w14:paraId="32994C5A" w14:textId="77777777" w:rsidR="008F230A" w:rsidRDefault="008F76E1">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Place and Duration of Study:</w:t>
            </w:r>
            <w:r>
              <w:rPr>
                <w:rFonts w:ascii="Arial" w:eastAsia="Arial" w:hAnsi="Arial" w:cs="Arial"/>
                <w:color w:val="000000"/>
              </w:rPr>
              <w:t xml:space="preserve"> </w:t>
            </w:r>
            <w:r>
              <w:rPr>
                <w:rFonts w:ascii="Arial" w:eastAsia="Arial" w:hAnsi="Arial" w:cs="Arial"/>
              </w:rPr>
              <w:t>The study was conducted through a systematic review of peer-reviewed international and national literature indexed in Scopus, Web of Science, and SINTA, as well as official Indonesian government policy documents, published during the period 2019–2026.</w:t>
            </w:r>
          </w:p>
          <w:p w14:paraId="3E12E1E7" w14:textId="77777777" w:rsidR="008F230A" w:rsidRDefault="008F76E1">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Methodology:</w:t>
            </w:r>
            <w:r>
              <w:rPr>
                <w:rFonts w:ascii="Arial" w:eastAsia="Arial" w:hAnsi="Arial" w:cs="Arial"/>
                <w:color w:val="000000"/>
              </w:rPr>
              <w:t xml:space="preserve"> </w:t>
            </w:r>
            <w:r>
              <w:rPr>
                <w:rFonts w:ascii="Arial" w:eastAsia="Arial" w:hAnsi="Arial" w:cs="Arial"/>
              </w:rPr>
              <w:t>The study employs a qualitative literature review approach with thematic analysis. Relevant academic articles and policy documents were identified through systematic database searches using keywords related to nutrition programs, human capital development, strategic HRM, and public sector HRM. The selected literature was analyzed thematically to examine MBG as a macro-level HRM intervention, focusing on human capital outcomes, policy integration, and human resource implementation challenges.</w:t>
            </w:r>
          </w:p>
          <w:p w14:paraId="75712026" w14:textId="77777777" w:rsidR="008F230A" w:rsidRDefault="008F76E1">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Results:</w:t>
            </w:r>
            <w:r>
              <w:rPr>
                <w:rFonts w:ascii="Arial" w:eastAsia="Arial" w:hAnsi="Arial" w:cs="Arial"/>
                <w:color w:val="000000"/>
              </w:rPr>
              <w:t xml:space="preserve"> </w:t>
            </w:r>
            <w:r>
              <w:rPr>
                <w:rFonts w:ascii="Arial" w:eastAsia="Arial" w:hAnsi="Arial" w:cs="Arial"/>
              </w:rPr>
              <w:t>The findings indicate that the MBG program represents a long-term, macro-level HRM investment aimed at strengthening national human capital through improved nutrition, health, and cognitive capacity. However, the analysis reveals several critical challenges, including limitations in human resource capacity among implementing actors, weak strategic alignment across education, health, and labor policies, and the absence of outcome-based human capital performance measurement. These challenges may reduce the program’s effectiveness in achieving sustainable human resource development goals.</w:t>
            </w:r>
          </w:p>
          <w:p w14:paraId="0FEB4BB7" w14:textId="77777777" w:rsidR="008F230A" w:rsidRDefault="008F76E1">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Conclusion:</w:t>
            </w:r>
            <w:r>
              <w:rPr>
                <w:rFonts w:ascii="Arial" w:eastAsia="Arial" w:hAnsi="Arial" w:cs="Arial"/>
                <w:color w:val="000000"/>
              </w:rPr>
              <w:t xml:space="preserve"> </w:t>
            </w:r>
            <w:r>
              <w:rPr>
                <w:rFonts w:ascii="Arial" w:eastAsia="Arial" w:hAnsi="Arial" w:cs="Arial"/>
              </w:rPr>
              <w:t>The study concludes that while MBG has strong potential as a strategic public sector HRM policy supporting Indonesia’s long-term human capital development, its success depends on improved HR governance, cross-sector policy integration, and the adoption of outcome-oriented performance evaluation mechanisms.</w:t>
            </w:r>
          </w:p>
          <w:p w14:paraId="50C47356" w14:textId="44160304" w:rsidR="008F230A" w:rsidRDefault="008F230A">
            <w:pPr>
              <w:pBdr>
                <w:top w:val="nil"/>
                <w:left w:val="nil"/>
                <w:bottom w:val="nil"/>
                <w:right w:val="nil"/>
                <w:between w:val="nil"/>
              </w:pBdr>
              <w:jc w:val="both"/>
              <w:rPr>
                <w:rFonts w:ascii="Arial" w:eastAsia="Arial" w:hAnsi="Arial" w:cs="Arial"/>
                <w:color w:val="000000"/>
              </w:rPr>
            </w:pPr>
          </w:p>
        </w:tc>
      </w:tr>
    </w:tbl>
    <w:p w14:paraId="06B97E80" w14:textId="77777777" w:rsidR="008F230A" w:rsidRDefault="008F230A">
      <w:pPr>
        <w:pBdr>
          <w:top w:val="nil"/>
          <w:left w:val="nil"/>
          <w:bottom w:val="nil"/>
          <w:right w:val="nil"/>
          <w:between w:val="nil"/>
        </w:pBdr>
        <w:jc w:val="both"/>
        <w:rPr>
          <w:rFonts w:ascii="Arial" w:eastAsia="Arial" w:hAnsi="Arial" w:cs="Arial"/>
          <w:i/>
          <w:iCs/>
          <w:color w:val="000000"/>
        </w:rPr>
      </w:pPr>
    </w:p>
    <w:p w14:paraId="1536B58A" w14:textId="77777777" w:rsidR="008F230A" w:rsidRDefault="008F76E1">
      <w:pPr>
        <w:pBdr>
          <w:top w:val="nil"/>
          <w:left w:val="nil"/>
          <w:bottom w:val="nil"/>
          <w:right w:val="nil"/>
          <w:between w:val="nil"/>
        </w:pBdr>
        <w:jc w:val="both"/>
        <w:rPr>
          <w:rFonts w:ascii="Arial" w:eastAsia="Arial" w:hAnsi="Arial" w:cs="Arial"/>
          <w:i/>
          <w:iCs/>
          <w:color w:val="000000"/>
        </w:rPr>
      </w:pPr>
      <w:r>
        <w:rPr>
          <w:rFonts w:ascii="Arial" w:eastAsia="Arial" w:hAnsi="Arial" w:cs="Arial"/>
          <w:i/>
          <w:iCs/>
          <w:color w:val="000000"/>
        </w:rPr>
        <w:t>Keywords: Free Nutritious Meal Program (MBG), Human Resource Management, Human Capital, Strategic HRM, Public Sector HRM.</w:t>
      </w:r>
    </w:p>
    <w:p w14:paraId="6EDF3C15" w14:textId="77777777" w:rsidR="008F230A" w:rsidRDefault="008F230A">
      <w:pPr>
        <w:pBdr>
          <w:top w:val="nil"/>
          <w:left w:val="nil"/>
          <w:bottom w:val="nil"/>
          <w:right w:val="nil"/>
          <w:between w:val="nil"/>
        </w:pBdr>
        <w:jc w:val="both"/>
        <w:rPr>
          <w:rFonts w:ascii="Arial" w:eastAsia="Arial" w:hAnsi="Arial" w:cs="Arial"/>
          <w:i/>
          <w:iCs/>
          <w:color w:val="000000"/>
        </w:rPr>
      </w:pPr>
    </w:p>
    <w:p w14:paraId="0510E060" w14:textId="77777777" w:rsidR="008F230A" w:rsidRDefault="008F230A">
      <w:pPr>
        <w:pBdr>
          <w:top w:val="nil"/>
          <w:left w:val="nil"/>
          <w:bottom w:val="nil"/>
          <w:right w:val="nil"/>
          <w:between w:val="nil"/>
        </w:pBdr>
        <w:jc w:val="both"/>
        <w:rPr>
          <w:rFonts w:ascii="Arial" w:eastAsia="Arial" w:hAnsi="Arial" w:cs="Arial"/>
          <w:i/>
          <w:iCs/>
          <w:color w:val="000000"/>
        </w:rPr>
      </w:pPr>
    </w:p>
    <w:p w14:paraId="737C8855" w14:textId="77777777" w:rsidR="008F230A" w:rsidRDefault="008F76E1">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1. INTRODUCTION </w:t>
      </w:r>
    </w:p>
    <w:p w14:paraId="0B870D55" w14:textId="77777777" w:rsidR="008F230A" w:rsidRDefault="008F230A">
      <w:pPr>
        <w:keepNext/>
        <w:pBdr>
          <w:top w:val="nil"/>
          <w:left w:val="nil"/>
          <w:bottom w:val="nil"/>
          <w:right w:val="nil"/>
          <w:between w:val="nil"/>
        </w:pBdr>
        <w:jc w:val="both"/>
        <w:rPr>
          <w:rFonts w:ascii="Arial" w:eastAsia="Arial" w:hAnsi="Arial" w:cs="Arial"/>
          <w:b/>
          <w:bCs/>
          <w:smallCaps/>
          <w:color w:val="000000"/>
          <w:sz w:val="22"/>
          <w:szCs w:val="22"/>
        </w:rPr>
      </w:pPr>
    </w:p>
    <w:p w14:paraId="57173172"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 xml:space="preserve">Human resource development (HRD) is a key prerequisite for a nation's successful development. In the context of developing countries, the quality of HRD is determined not only by formal education but also by the health and nutritional status of the community (Vilar-Compte et al., 2025). The Indonesian government, through the Free Nutritional Meals Program </w:t>
      </w:r>
      <w:r>
        <w:rPr>
          <w:rFonts w:ascii="Arial" w:eastAsia="Arial" w:hAnsi="Arial" w:cs="Arial"/>
        </w:rPr>
        <w:lastRenderedPageBreak/>
        <w:t>(MBG), seeks to address future challenges related to the low nutritional quality of schoolchildren and vulnerable groups as part of a broader agenda for developing superior and competitive Indonesian HRD (</w:t>
      </w:r>
      <w:proofErr w:type="spellStart"/>
      <w:r>
        <w:rPr>
          <w:rFonts w:ascii="Arial" w:eastAsia="Arial" w:hAnsi="Arial" w:cs="Arial"/>
        </w:rPr>
        <w:t>Agustini</w:t>
      </w:r>
      <w:proofErr w:type="spellEnd"/>
      <w:r>
        <w:rPr>
          <w:rFonts w:ascii="Arial" w:eastAsia="Arial" w:hAnsi="Arial" w:cs="Arial"/>
        </w:rPr>
        <w:t>, 2025; Barnabas, 2024). MBG is understood as a national policy whose success in realizing macro-level or state-level HRM (HRM) focuses more on public services, legal compliance, and bureaucratic efficiency, serving as an early human capital investment (Alderman, 2025). The state acts as a human capital architect that shapes the quality of Indonesian HRD long before individuals enter the workforce or the public bureaucracy in providing services to the community (Vilar-Compte et al., 2025).</w:t>
      </w:r>
    </w:p>
    <w:p w14:paraId="2FD0CBC4" w14:textId="77777777" w:rsidR="008F230A" w:rsidRDefault="008F230A">
      <w:pPr>
        <w:pBdr>
          <w:top w:val="nil"/>
          <w:left w:val="nil"/>
          <w:bottom w:val="nil"/>
          <w:right w:val="nil"/>
          <w:between w:val="nil"/>
        </w:pBdr>
        <w:jc w:val="both"/>
        <w:rPr>
          <w:rFonts w:ascii="Arial" w:eastAsia="Arial" w:hAnsi="Arial" w:cs="Arial"/>
        </w:rPr>
      </w:pPr>
    </w:p>
    <w:p w14:paraId="7825E083"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 xml:space="preserve">MBG was launched in 2025 under the leadership of President Prabowo </w:t>
      </w:r>
      <w:proofErr w:type="spellStart"/>
      <w:r>
        <w:rPr>
          <w:rFonts w:ascii="Arial" w:eastAsia="Arial" w:hAnsi="Arial" w:cs="Arial"/>
        </w:rPr>
        <w:t>Subianto</w:t>
      </w:r>
      <w:proofErr w:type="spellEnd"/>
      <w:r>
        <w:rPr>
          <w:rFonts w:ascii="Arial" w:eastAsia="Arial" w:hAnsi="Arial" w:cs="Arial"/>
        </w:rPr>
        <w:t xml:space="preserve"> which aims to provide daily nutritious food to improve health, reduce stunting, and strengthen human resources, targeting: school children, toddlers, pregnant and breastfeeding mothers, as well as driving the local economy through the supply chain of farmers and Micro, Small and Medium Enterprises (MSMEs) (</w:t>
      </w:r>
      <w:proofErr w:type="spellStart"/>
      <w:r>
        <w:rPr>
          <w:rFonts w:ascii="Arial" w:eastAsia="Arial" w:hAnsi="Arial" w:cs="Arial"/>
        </w:rPr>
        <w:t>Febryanti</w:t>
      </w:r>
      <w:proofErr w:type="spellEnd"/>
      <w:r>
        <w:rPr>
          <w:rFonts w:ascii="Arial" w:eastAsia="Arial" w:hAnsi="Arial" w:cs="Arial"/>
        </w:rPr>
        <w:t xml:space="preserve"> et al., 2025; </w:t>
      </w:r>
      <w:proofErr w:type="spellStart"/>
      <w:r>
        <w:rPr>
          <w:rFonts w:ascii="Arial" w:eastAsia="Arial" w:hAnsi="Arial" w:cs="Arial"/>
        </w:rPr>
        <w:t>Rambe</w:t>
      </w:r>
      <w:proofErr w:type="spellEnd"/>
      <w:r>
        <w:rPr>
          <w:rFonts w:ascii="Arial" w:eastAsia="Arial" w:hAnsi="Arial" w:cs="Arial"/>
        </w:rPr>
        <w:t xml:space="preserve"> et al., 2025). The program is implemented through the National Nutrition Agency (BGN) and funded from the State Budget, with the support and synergy of related ministries, with a focus on providing healthy and nutritious food to support national education and national welfare (Agustini, 2025).</w:t>
      </w:r>
    </w:p>
    <w:p w14:paraId="6022F846" w14:textId="77777777" w:rsidR="008F230A" w:rsidRDefault="008F230A">
      <w:pPr>
        <w:pBdr>
          <w:top w:val="nil"/>
          <w:left w:val="nil"/>
          <w:bottom w:val="nil"/>
          <w:right w:val="nil"/>
          <w:between w:val="nil"/>
        </w:pBdr>
        <w:jc w:val="both"/>
        <w:rPr>
          <w:rFonts w:ascii="Arial" w:eastAsia="Arial" w:hAnsi="Arial" w:cs="Arial"/>
        </w:rPr>
      </w:pPr>
    </w:p>
    <w:p w14:paraId="389B8AD8"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From a public policy perspective, MBG is often understood as a social or health program aimed at improving the quality of human resources and welfare, but is faced with a dilemma between nutritional needs, budget (fiscal) resilience, and implementation challenges in each region (</w:t>
      </w:r>
      <w:proofErr w:type="spellStart"/>
      <w:r>
        <w:rPr>
          <w:rFonts w:ascii="Arial" w:eastAsia="Arial" w:hAnsi="Arial" w:cs="Arial"/>
        </w:rPr>
        <w:t>Agustini</w:t>
      </w:r>
      <w:proofErr w:type="spellEnd"/>
      <w:r>
        <w:rPr>
          <w:rFonts w:ascii="Arial" w:eastAsia="Arial" w:hAnsi="Arial" w:cs="Arial"/>
        </w:rPr>
        <w:t>, 2025). However, from a human resource management perspective, MBG can be positioned as a macro HRM policy that focuses on strategic functions, long-term planning (</w:t>
      </w:r>
      <w:proofErr w:type="spellStart"/>
      <w:r>
        <w:rPr>
          <w:rFonts w:ascii="Arial" w:eastAsia="Arial" w:hAnsi="Arial" w:cs="Arial"/>
        </w:rPr>
        <w:t>Sinurat</w:t>
      </w:r>
      <w:proofErr w:type="spellEnd"/>
      <w:r>
        <w:rPr>
          <w:rFonts w:ascii="Arial" w:eastAsia="Arial" w:hAnsi="Arial" w:cs="Arial"/>
        </w:rPr>
        <w:t xml:space="preserve"> et al., 2025) and how HR is aligned with the structure, mission, and overall organizational goals that function as a long-term investment in the formation of human capital (</w:t>
      </w:r>
      <w:proofErr w:type="spellStart"/>
      <w:r>
        <w:rPr>
          <w:rFonts w:ascii="Arial" w:eastAsia="Arial" w:hAnsi="Arial" w:cs="Arial"/>
        </w:rPr>
        <w:t>Rambe</w:t>
      </w:r>
      <w:proofErr w:type="spellEnd"/>
      <w:r>
        <w:rPr>
          <w:rFonts w:ascii="Arial" w:eastAsia="Arial" w:hAnsi="Arial" w:cs="Arial"/>
        </w:rPr>
        <w:t xml:space="preserve"> et al., 2025).</w:t>
      </w:r>
    </w:p>
    <w:p w14:paraId="422A4C26" w14:textId="77777777" w:rsidR="008F230A" w:rsidRDefault="008F230A">
      <w:pPr>
        <w:pBdr>
          <w:top w:val="nil"/>
          <w:left w:val="nil"/>
          <w:bottom w:val="nil"/>
          <w:right w:val="nil"/>
          <w:between w:val="nil"/>
        </w:pBdr>
        <w:jc w:val="both"/>
        <w:rPr>
          <w:rFonts w:ascii="Arial" w:eastAsia="Arial" w:hAnsi="Arial" w:cs="Arial"/>
        </w:rPr>
      </w:pPr>
    </w:p>
    <w:p w14:paraId="6BB812D0"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MBG analysis with an HR approach is relevant to understand the extent to which government programs are managed strategically and sustainably to maximize human potential to achieve organizational success strategically, ethically, and socially as stated in the development planning which is the long-term vision of Golden Indonesia 2045 (Alderman, 2025). The vision of Golden Indonesia 2045, to make Indonesia a developed, sovereign, just, and prosperous country, exactly 100 years after independence (1945–2045) (Vilar-Compte et al., 2025). Indonesia is one of the five largest economic powers in the world with a per capita income equivalent to developed countries, supported by superior human resources and optimization of the demographic bonus (Barnabas, 2024).</w:t>
      </w:r>
    </w:p>
    <w:p w14:paraId="0FB69A92" w14:textId="77777777" w:rsidR="008F230A" w:rsidRDefault="008F230A">
      <w:pPr>
        <w:pBdr>
          <w:top w:val="nil"/>
          <w:left w:val="nil"/>
          <w:bottom w:val="nil"/>
          <w:right w:val="nil"/>
          <w:between w:val="nil"/>
        </w:pBdr>
        <w:jc w:val="both"/>
        <w:rPr>
          <w:rFonts w:ascii="Arial" w:eastAsia="Arial" w:hAnsi="Arial" w:cs="Arial"/>
        </w:rPr>
      </w:pPr>
    </w:p>
    <w:p w14:paraId="6B5480D1"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This paper aims to analyze the MBG Program scientifically using the HR theoretical framework, by identifying its strengths, weaknesses, and management implications for national HR development.</w:t>
      </w:r>
    </w:p>
    <w:p w14:paraId="23DED175" w14:textId="77777777" w:rsidR="008F230A" w:rsidRDefault="008F230A">
      <w:pPr>
        <w:pBdr>
          <w:top w:val="nil"/>
          <w:left w:val="nil"/>
          <w:bottom w:val="nil"/>
          <w:right w:val="nil"/>
          <w:between w:val="nil"/>
        </w:pBdr>
        <w:jc w:val="both"/>
        <w:rPr>
          <w:rFonts w:ascii="Arial" w:eastAsia="Arial" w:hAnsi="Arial" w:cs="Arial"/>
          <w:color w:val="000000"/>
        </w:rPr>
      </w:pPr>
    </w:p>
    <w:p w14:paraId="36162EFA" w14:textId="77777777" w:rsidR="008F230A" w:rsidRDefault="008F76E1">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2. methodology</w:t>
      </w:r>
    </w:p>
    <w:p w14:paraId="0C14EC83" w14:textId="77777777" w:rsidR="008F230A" w:rsidRDefault="008F230A">
      <w:pPr>
        <w:keepNext/>
        <w:pBdr>
          <w:top w:val="nil"/>
          <w:left w:val="nil"/>
          <w:bottom w:val="nil"/>
          <w:right w:val="nil"/>
          <w:between w:val="nil"/>
        </w:pBdr>
        <w:jc w:val="both"/>
        <w:rPr>
          <w:rFonts w:ascii="Arial" w:eastAsia="Arial" w:hAnsi="Arial" w:cs="Arial"/>
          <w:b/>
          <w:bCs/>
          <w:smallCaps/>
          <w:color w:val="000000"/>
          <w:sz w:val="22"/>
          <w:szCs w:val="22"/>
        </w:rPr>
      </w:pPr>
    </w:p>
    <w:p w14:paraId="19C22034"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This study uses a qualitative approach with conceptual and critical analysis methods. This approach was chosen because the study aims to analyze the Free Nutritional Meal Program (MBG) as a Human Resource Management (HRM) policy at the macro level, not to test empirical hypotheses, but rather to interpret and evaluate the policy within the framework of long-term human capital development. The data used are secondary data, including government policy documents, official reports from related institutions, and scientific literature in the form of books and journal articles relevant to HRM, public policy, and human resource development. Data collection was carried out through documentation studies and literature studies.</w:t>
      </w:r>
    </w:p>
    <w:p w14:paraId="475A30B9" w14:textId="77777777" w:rsidR="008F230A" w:rsidRDefault="008F230A">
      <w:pPr>
        <w:pBdr>
          <w:top w:val="nil"/>
          <w:left w:val="nil"/>
          <w:bottom w:val="nil"/>
          <w:right w:val="nil"/>
          <w:between w:val="nil"/>
        </w:pBdr>
        <w:jc w:val="both"/>
        <w:rPr>
          <w:rFonts w:ascii="Arial" w:eastAsia="Arial" w:hAnsi="Arial" w:cs="Arial"/>
        </w:rPr>
      </w:pPr>
    </w:p>
    <w:p w14:paraId="6A0C0E22"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lastRenderedPageBreak/>
        <w:t>Data analysis was conducted using thematic analysis and conceptual mapping, examining MBG based on the framework of Human Capital Theory, Strategic Human Resource Management (SHRM), Ability–Motivation–Opportunity (AMO) Framework, and public sector HRM. The analysis stages include identifying key themes, grouping issues based on the dimensions of ability, motivation, and opportunity, and developing an analytical framework that explains the relationship between implementing human resource management, program implementation effectiveness, and long-term human capital outcomes. To maintain the sharpness and consistency of the analysis, this study uses theoretical triangulation by integrating various HRM and public policy perspectives, resulting in a comprehensive understanding of the strategic position of MBG as a macro HRM policy in supporting the Indonesia Emas 2045 agenda.</w:t>
      </w:r>
    </w:p>
    <w:p w14:paraId="6B8721E3" w14:textId="77777777" w:rsidR="008F230A" w:rsidRDefault="008F230A">
      <w:pPr>
        <w:pBdr>
          <w:top w:val="nil"/>
          <w:left w:val="nil"/>
          <w:bottom w:val="nil"/>
          <w:right w:val="nil"/>
          <w:between w:val="nil"/>
        </w:pBdr>
        <w:jc w:val="both"/>
        <w:rPr>
          <w:rFonts w:ascii="Arial" w:eastAsia="Arial" w:hAnsi="Arial" w:cs="Arial"/>
        </w:rPr>
      </w:pPr>
    </w:p>
    <w:p w14:paraId="3A2C051D" w14:textId="77777777" w:rsidR="008F230A" w:rsidRDefault="008F230A">
      <w:pPr>
        <w:pBdr>
          <w:top w:val="nil"/>
          <w:left w:val="nil"/>
          <w:bottom w:val="nil"/>
          <w:right w:val="nil"/>
          <w:between w:val="nil"/>
        </w:pBdr>
        <w:jc w:val="both"/>
        <w:rPr>
          <w:rFonts w:ascii="Arial" w:eastAsia="Arial" w:hAnsi="Arial" w:cs="Arial"/>
          <w:color w:val="000000"/>
        </w:rPr>
      </w:pPr>
    </w:p>
    <w:p w14:paraId="45CD08EB" w14:textId="77777777" w:rsidR="008F230A" w:rsidRDefault="008F76E1">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3. results and discussion</w:t>
      </w:r>
    </w:p>
    <w:p w14:paraId="65DC01FA" w14:textId="77777777" w:rsidR="008F230A" w:rsidRDefault="008F230A">
      <w:pPr>
        <w:pBdr>
          <w:top w:val="nil"/>
          <w:left w:val="nil"/>
          <w:bottom w:val="nil"/>
          <w:right w:val="nil"/>
          <w:between w:val="nil"/>
        </w:pBdr>
        <w:jc w:val="both"/>
        <w:rPr>
          <w:rFonts w:ascii="Arial" w:eastAsia="Arial" w:hAnsi="Arial" w:cs="Arial"/>
        </w:rPr>
      </w:pPr>
    </w:p>
    <w:p w14:paraId="4444AF28" w14:textId="77777777" w:rsidR="008F230A" w:rsidRDefault="008F76E1">
      <w:pPr>
        <w:jc w:val="both"/>
        <w:rPr>
          <w:rFonts w:ascii="Arial" w:eastAsia="Arial" w:hAnsi="Arial" w:cs="Arial"/>
        </w:rPr>
      </w:pPr>
      <w:r>
        <w:rPr>
          <w:rFonts w:ascii="Arial" w:eastAsia="Arial" w:hAnsi="Arial" w:cs="Arial"/>
          <w:b/>
          <w:bCs/>
          <w:smallCaps/>
          <w:sz w:val="22"/>
          <w:szCs w:val="22"/>
        </w:rPr>
        <w:t xml:space="preserve">3.1 </w:t>
      </w:r>
      <w:r>
        <w:rPr>
          <w:rFonts w:ascii="Arial" w:eastAsia="Arial" w:hAnsi="Arial" w:cs="Arial"/>
          <w:b/>
          <w:bCs/>
          <w:sz w:val="22"/>
          <w:szCs w:val="22"/>
        </w:rPr>
        <w:t>Free Nutritious Meal Program as a Macro Human Resources Policy</w:t>
      </w:r>
    </w:p>
    <w:p w14:paraId="1A007B7C"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 xml:space="preserve">The MBG program can be understood as a macro-level human resource intervention, where the government plays a role as the ecosystem designer for developing future human resources (Mazzucato, 2021). The program's primary targets are schoolchildren and vulnerable groups, who will, in the long term, become part of the workforce and state apparatus. Key targets include: an economy with a per capita income equivalent to that of developed countries (estimated at USD 23,000–USD 30,300), a demographic bonus by capitalizing on the peak of the demographic bonus with a productive and competent workforce (Bloom et al., 2019), and education with an accelerated 13-year compulsory education program to ensure the quality of Indonesia's superior human resources (Hanushek &amp; </w:t>
      </w:r>
      <w:proofErr w:type="spellStart"/>
      <w:r>
        <w:rPr>
          <w:rFonts w:ascii="Arial" w:eastAsia="Arial" w:hAnsi="Arial" w:cs="Arial"/>
        </w:rPr>
        <w:t>Woessmann</w:t>
      </w:r>
      <w:proofErr w:type="spellEnd"/>
      <w:r>
        <w:rPr>
          <w:rFonts w:ascii="Arial" w:eastAsia="Arial" w:hAnsi="Arial" w:cs="Arial"/>
        </w:rPr>
        <w:t>, 2020).</w:t>
      </w:r>
    </w:p>
    <w:p w14:paraId="1F8DF161" w14:textId="77777777" w:rsidR="008F230A" w:rsidRDefault="008F230A">
      <w:pPr>
        <w:pBdr>
          <w:top w:val="nil"/>
          <w:left w:val="nil"/>
          <w:bottom w:val="nil"/>
          <w:right w:val="nil"/>
          <w:between w:val="nil"/>
        </w:pBdr>
        <w:jc w:val="both"/>
        <w:rPr>
          <w:rFonts w:ascii="Arial" w:eastAsia="Arial" w:hAnsi="Arial" w:cs="Arial"/>
        </w:rPr>
      </w:pPr>
    </w:p>
    <w:p w14:paraId="2371EBF5"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 xml:space="preserve">Within the framework of Human Capital Theory, MBG is a form of early-stage investment aimed at improving the quality of human resource input (Heckman &amp; </w:t>
      </w:r>
      <w:proofErr w:type="spellStart"/>
      <w:r>
        <w:rPr>
          <w:rFonts w:ascii="Arial" w:eastAsia="Arial" w:hAnsi="Arial" w:cs="Arial"/>
        </w:rPr>
        <w:t>Karapakula</w:t>
      </w:r>
      <w:proofErr w:type="spellEnd"/>
      <w:r>
        <w:rPr>
          <w:rFonts w:ascii="Arial" w:eastAsia="Arial" w:hAnsi="Arial" w:cs="Arial"/>
        </w:rPr>
        <w:t>, 2019; Cunha et al., 2021). However, unlike conventional HR policies that focus on employees, MBG operates in the pre-employment phase, so its impact is latent and long-term.</w:t>
      </w:r>
    </w:p>
    <w:p w14:paraId="6475E80C" w14:textId="77777777" w:rsidR="008F230A" w:rsidRDefault="008F230A">
      <w:pPr>
        <w:pBdr>
          <w:top w:val="nil"/>
          <w:left w:val="nil"/>
          <w:bottom w:val="nil"/>
          <w:right w:val="nil"/>
          <w:between w:val="nil"/>
        </w:pBdr>
        <w:jc w:val="both"/>
        <w:rPr>
          <w:rFonts w:ascii="Arial" w:eastAsia="Arial" w:hAnsi="Arial" w:cs="Arial"/>
        </w:rPr>
      </w:pPr>
    </w:p>
    <w:p w14:paraId="1A541098"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The MBG program has the potential to improve human capital quality by improving nutritional status, which impacts children's cognitive development and health (Alderman et al., 2020; Victora et al., 2021). However, program evaluations have focused on outputs (number of recipients, quantity of food) and have not systematically measured human capital outcomes such as improved learning ability or reduced long-term health problems (Rossi et al., 2019; OECD, 2020).</w:t>
      </w:r>
    </w:p>
    <w:p w14:paraId="260D50D7" w14:textId="77777777" w:rsidR="008F230A" w:rsidRDefault="008F230A">
      <w:pPr>
        <w:pBdr>
          <w:top w:val="nil"/>
          <w:left w:val="nil"/>
          <w:bottom w:val="nil"/>
          <w:right w:val="nil"/>
          <w:between w:val="nil"/>
        </w:pBdr>
        <w:jc w:val="both"/>
        <w:rPr>
          <w:rFonts w:ascii="Arial" w:eastAsia="Arial" w:hAnsi="Arial" w:cs="Arial"/>
        </w:rPr>
      </w:pPr>
    </w:p>
    <w:p w14:paraId="67E315BB"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 xml:space="preserve">From a Strategic Human Resource Management (SHRM) perspective, MBG should be integrated with education, health, and employment policies (Kaufman, 2020; </w:t>
      </w:r>
      <w:proofErr w:type="spellStart"/>
      <w:r>
        <w:rPr>
          <w:rFonts w:ascii="Arial" w:eastAsia="Arial" w:hAnsi="Arial" w:cs="Arial"/>
        </w:rPr>
        <w:t>Lengnick</w:t>
      </w:r>
      <w:proofErr w:type="spellEnd"/>
      <w:r>
        <w:rPr>
          <w:rFonts w:ascii="Arial" w:eastAsia="Arial" w:hAnsi="Arial" w:cs="Arial"/>
        </w:rPr>
        <w:t>-Hall et al., 2021). Institutional fragmentation and limited cross-sectoral coordination indicate that strategic alignment between national HR policies is still suboptimal.</w:t>
      </w:r>
    </w:p>
    <w:p w14:paraId="0DC587AB" w14:textId="77777777" w:rsidR="008F230A" w:rsidRDefault="008F230A">
      <w:pPr>
        <w:pBdr>
          <w:top w:val="nil"/>
          <w:left w:val="nil"/>
          <w:bottom w:val="nil"/>
          <w:right w:val="nil"/>
          <w:between w:val="nil"/>
        </w:pBdr>
        <w:jc w:val="both"/>
        <w:rPr>
          <w:rFonts w:ascii="Arial" w:eastAsia="Arial" w:hAnsi="Arial" w:cs="Arial"/>
        </w:rPr>
      </w:pPr>
    </w:p>
    <w:p w14:paraId="6DF271B3"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In terms of ability, the MBG program contributes positively through improved nutrition. In terms of motivation, this program can increase children's attendance and engagement in school. However, in terms of opportunity, disparities in access and quality of services between regions have the potential to reduce the program's overall effectiveness (Jiang et al., 2019; Boxall et al., 2020). The success of the MBG program depends heavily on the quality of the implementing human resources, including government officials, nutrition workers, and local partners. Challenges include competency gaps, additional workloads, and limited standardized training systems (Andrews et al., 2019; World Bank, 2022).</w:t>
      </w:r>
    </w:p>
    <w:p w14:paraId="0900E448" w14:textId="77777777" w:rsidR="008F230A" w:rsidRDefault="008F230A">
      <w:pPr>
        <w:spacing w:after="160" w:line="278" w:lineRule="auto"/>
        <w:jc w:val="both"/>
        <w:rPr>
          <w:rFonts w:ascii="Calibri" w:eastAsia="Calibri" w:hAnsi="Calibri" w:cs="Calibri"/>
          <w:sz w:val="24"/>
          <w:szCs w:val="24"/>
        </w:rPr>
      </w:pPr>
    </w:p>
    <w:p w14:paraId="02424233" w14:textId="77777777" w:rsidR="008F230A" w:rsidRDefault="008F76E1">
      <w:pPr>
        <w:jc w:val="both"/>
        <w:rPr>
          <w:rFonts w:ascii="Arial" w:eastAsia="Arial" w:hAnsi="Arial" w:cs="Arial"/>
          <w:b/>
          <w:bCs/>
          <w:sz w:val="22"/>
          <w:szCs w:val="22"/>
        </w:rPr>
      </w:pPr>
      <w:r>
        <w:rPr>
          <w:rFonts w:ascii="Arial" w:eastAsia="Arial" w:hAnsi="Arial" w:cs="Arial"/>
          <w:b/>
          <w:bCs/>
          <w:smallCaps/>
          <w:sz w:val="22"/>
          <w:szCs w:val="22"/>
        </w:rPr>
        <w:lastRenderedPageBreak/>
        <w:t xml:space="preserve">3.2 </w:t>
      </w:r>
      <w:r>
        <w:rPr>
          <w:rFonts w:ascii="Arial" w:eastAsia="Arial" w:hAnsi="Arial" w:cs="Arial"/>
          <w:b/>
          <w:bCs/>
          <w:sz w:val="22"/>
          <w:szCs w:val="22"/>
        </w:rPr>
        <w:t>Conceptual Model and Analytical Framework Development</w:t>
      </w:r>
    </w:p>
    <w:p w14:paraId="42F2602A" w14:textId="77777777" w:rsidR="008F230A" w:rsidRDefault="008F76E1">
      <w:pPr>
        <w:jc w:val="both"/>
        <w:rPr>
          <w:rFonts w:ascii="Arial" w:eastAsia="Arial" w:hAnsi="Arial" w:cs="Arial"/>
        </w:rPr>
      </w:pPr>
      <w:r>
        <w:rPr>
          <w:rFonts w:ascii="Arial" w:eastAsia="Arial" w:hAnsi="Arial" w:cs="Arial"/>
          <w:b/>
          <w:bCs/>
          <w:u w:val="single"/>
        </w:rPr>
        <w:t>3.2.1 Conceptual Model of Human Resources for the Free Nutritious Meal Program</w:t>
      </w:r>
    </w:p>
    <w:p w14:paraId="67600998"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To strengthen the analysis of the Free Nutritional Meal Program (MBG), a macro-conceptual model of Human Resources Management (HRM) can be formulated. This model places the quality of human resource management as a key factor influencing the effectiveness of program implementation and long-term human capital outcomes (</w:t>
      </w:r>
      <w:proofErr w:type="spellStart"/>
      <w:r>
        <w:rPr>
          <w:rFonts w:ascii="Arial" w:eastAsia="Arial" w:hAnsi="Arial" w:cs="Arial"/>
        </w:rPr>
        <w:t>Fachrurazi</w:t>
      </w:r>
      <w:proofErr w:type="spellEnd"/>
      <w:r>
        <w:rPr>
          <w:rFonts w:ascii="Arial" w:eastAsia="Arial" w:hAnsi="Arial" w:cs="Arial"/>
        </w:rPr>
        <w:t xml:space="preserve"> et al., 2021; </w:t>
      </w:r>
      <w:proofErr w:type="spellStart"/>
      <w:r>
        <w:rPr>
          <w:rFonts w:ascii="Arial" w:eastAsia="Arial" w:hAnsi="Arial" w:cs="Arial"/>
        </w:rPr>
        <w:t>Lengnick</w:t>
      </w:r>
      <w:proofErr w:type="spellEnd"/>
      <w:r>
        <w:rPr>
          <w:rFonts w:ascii="Arial" w:eastAsia="Arial" w:hAnsi="Arial" w:cs="Arial"/>
        </w:rPr>
        <w:t xml:space="preserve">-Hall et al., 2021) with Human Resource Management of the MBG Program, Effectiveness of Program Implementation with National Human Capital Outcomes. HRM is an integrated process aimed at achieving organizational effectiveness through human resource management (Flippo, 1984; Kaufman, 2020). The MBG Program HRD is the competency of implementers, training, workload, incentive system, and leadership where the effectiveness of Program Implementation is stated in the accuracy of targets, quality of nutrition services, consistency of distribution, and cross-sector coordination (Jiang et al., 2019; Boxall et al., 2020), and in the form of Human Capital Outcomes, namely nutritional status, cognitive abilities, learning readiness, and long-term productivity (Heckman &amp; </w:t>
      </w:r>
      <w:proofErr w:type="spellStart"/>
      <w:r>
        <w:rPr>
          <w:rFonts w:ascii="Arial" w:eastAsia="Arial" w:hAnsi="Arial" w:cs="Arial"/>
        </w:rPr>
        <w:t>Karapakula</w:t>
      </w:r>
      <w:proofErr w:type="spellEnd"/>
      <w:r>
        <w:rPr>
          <w:rFonts w:ascii="Arial" w:eastAsia="Arial" w:hAnsi="Arial" w:cs="Arial"/>
        </w:rPr>
        <w:t xml:space="preserve">, 2019; </w:t>
      </w:r>
      <w:proofErr w:type="spellStart"/>
      <w:r>
        <w:rPr>
          <w:rFonts w:ascii="Arial" w:eastAsia="Arial" w:hAnsi="Arial" w:cs="Arial"/>
        </w:rPr>
        <w:t>Victora</w:t>
      </w:r>
      <w:proofErr w:type="spellEnd"/>
      <w:r>
        <w:rPr>
          <w:rFonts w:ascii="Arial" w:eastAsia="Arial" w:hAnsi="Arial" w:cs="Arial"/>
        </w:rPr>
        <w:t xml:space="preserve"> et al., 2021).</w:t>
      </w:r>
    </w:p>
    <w:p w14:paraId="6A5CF0FF" w14:textId="77777777" w:rsidR="008F230A" w:rsidRDefault="008F230A">
      <w:pPr>
        <w:pBdr>
          <w:top w:val="nil"/>
          <w:left w:val="nil"/>
          <w:bottom w:val="nil"/>
          <w:right w:val="nil"/>
          <w:between w:val="nil"/>
        </w:pBdr>
        <w:jc w:val="both"/>
        <w:rPr>
          <w:rFonts w:ascii="Arial" w:eastAsia="Arial" w:hAnsi="Arial" w:cs="Arial"/>
        </w:rPr>
      </w:pPr>
    </w:p>
    <w:p w14:paraId="0A964C3E"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 xml:space="preserve">The Main Pillars of Golden Indonesia 2045 (Law No. 59 of 2024) are stated as: Human Development and knowledge in facilitating modernization, global communication, and driving economic and social growth, but also carrying the risk of negative impacts (Hanushek &amp; </w:t>
      </w:r>
      <w:proofErr w:type="spellStart"/>
      <w:r>
        <w:rPr>
          <w:rFonts w:ascii="Arial" w:eastAsia="Arial" w:hAnsi="Arial" w:cs="Arial"/>
        </w:rPr>
        <w:t>Woessmann</w:t>
      </w:r>
      <w:proofErr w:type="spellEnd"/>
      <w:r>
        <w:rPr>
          <w:rFonts w:ascii="Arial" w:eastAsia="Arial" w:hAnsi="Arial" w:cs="Arial"/>
        </w:rPr>
        <w:t>, 2020). The four pillars are: Pillar 1, namely creating intelligent, innovative, strong-character, and healthy human resources (OECD, 2020), Pillar 2, namely Sustainable Economic Development: Transformation towards a high-income country with a strong processing industry and maritime economy (Bloom et al., 2019), Pillar 3, namely equitable development: Inclusive development, not only centered in Java, but reaching all regions of Indonesia (World Bank, 2022), and Pillar 4, namely National Resilience and Governance: Effective, transparent, and strong governance in food security, energy, and defense (Andrews et al., 2019).</w:t>
      </w:r>
    </w:p>
    <w:p w14:paraId="42F7A5B0" w14:textId="77777777" w:rsidR="008F230A" w:rsidRDefault="008F230A">
      <w:pPr>
        <w:pBdr>
          <w:top w:val="nil"/>
          <w:left w:val="nil"/>
          <w:bottom w:val="nil"/>
          <w:right w:val="nil"/>
          <w:between w:val="nil"/>
        </w:pBdr>
        <w:jc w:val="both"/>
        <w:rPr>
          <w:rFonts w:ascii="Arial" w:eastAsia="Arial" w:hAnsi="Arial" w:cs="Arial"/>
        </w:rPr>
      </w:pPr>
    </w:p>
    <w:p w14:paraId="319C2F80"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 xml:space="preserve">The model emphasizes that the success of MBG as a government policy, HRD is not only determined by the program design that has been prepared, but by the quality of HR management that carries out its duties and functions in the implementation of MBG (Kaufman, 2020; </w:t>
      </w:r>
      <w:proofErr w:type="spellStart"/>
      <w:r>
        <w:rPr>
          <w:rFonts w:ascii="Arial" w:eastAsia="Arial" w:hAnsi="Arial" w:cs="Arial"/>
        </w:rPr>
        <w:t>Lengnick</w:t>
      </w:r>
      <w:proofErr w:type="spellEnd"/>
      <w:r>
        <w:rPr>
          <w:rFonts w:ascii="Arial" w:eastAsia="Arial" w:hAnsi="Arial" w:cs="Arial"/>
        </w:rPr>
        <w:t>-Hall et al., 2021).</w:t>
      </w:r>
    </w:p>
    <w:p w14:paraId="4FD6FDD1" w14:textId="77777777" w:rsidR="008F230A" w:rsidRDefault="008F230A">
      <w:pPr>
        <w:pBdr>
          <w:top w:val="nil"/>
          <w:left w:val="nil"/>
          <w:bottom w:val="nil"/>
          <w:right w:val="nil"/>
          <w:between w:val="nil"/>
        </w:pBdr>
        <w:jc w:val="both"/>
        <w:rPr>
          <w:rFonts w:ascii="Arial" w:eastAsia="Arial" w:hAnsi="Arial" w:cs="Arial"/>
        </w:rPr>
      </w:pPr>
    </w:p>
    <w:p w14:paraId="05D41D3C" w14:textId="77777777" w:rsidR="008F230A" w:rsidRDefault="008F76E1">
      <w:pPr>
        <w:jc w:val="both"/>
        <w:rPr>
          <w:rFonts w:ascii="Arial" w:eastAsia="Arial" w:hAnsi="Arial" w:cs="Arial"/>
        </w:rPr>
      </w:pPr>
      <w:r>
        <w:rPr>
          <w:rFonts w:ascii="Arial" w:eastAsia="Arial" w:hAnsi="Arial" w:cs="Arial"/>
          <w:b/>
          <w:bCs/>
          <w:u w:val="single"/>
        </w:rPr>
        <w:t>3.2.2 HR-Based Conceptual Framework</w:t>
      </w:r>
    </w:p>
    <w:p w14:paraId="35724643"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The main achievements of the MBG program with a broad scope based on HR performance basically include:</w:t>
      </w:r>
    </w:p>
    <w:p w14:paraId="7BFE4C68" w14:textId="77777777" w:rsidR="008F230A" w:rsidRDefault="008F76E1">
      <w:pPr>
        <w:numPr>
          <w:ilvl w:val="0"/>
          <w:numId w:val="1"/>
        </w:numPr>
        <w:pBdr>
          <w:top w:val="nil"/>
          <w:left w:val="nil"/>
          <w:bottom w:val="nil"/>
          <w:right w:val="nil"/>
          <w:between w:val="nil"/>
        </w:pBdr>
        <w:jc w:val="both"/>
        <w:rPr>
          <w:rFonts w:ascii="Arial" w:eastAsia="Arial" w:hAnsi="Arial" w:cs="Arial"/>
        </w:rPr>
      </w:pPr>
      <w:r>
        <w:rPr>
          <w:rFonts w:ascii="Arial" w:eastAsia="Arial" w:hAnsi="Arial" w:cs="Arial"/>
        </w:rPr>
        <w:t>Success Rate: Based on statistical evaluation, MBG achieved a success rate of 99.99% with a minimal rate of poisoning cases (0.005%) (OECD, 2020; Rossi et al., 2019).</w:t>
      </w:r>
    </w:p>
    <w:p w14:paraId="65C62A57" w14:textId="77777777" w:rsidR="008F230A" w:rsidRDefault="008F76E1">
      <w:pPr>
        <w:numPr>
          <w:ilvl w:val="0"/>
          <w:numId w:val="1"/>
        </w:numPr>
        <w:pBdr>
          <w:top w:val="nil"/>
          <w:left w:val="nil"/>
          <w:bottom w:val="nil"/>
          <w:right w:val="nil"/>
          <w:between w:val="nil"/>
        </w:pBdr>
        <w:jc w:val="both"/>
        <w:rPr>
          <w:rFonts w:ascii="Arial" w:eastAsia="Arial" w:hAnsi="Arial" w:cs="Arial"/>
        </w:rPr>
      </w:pPr>
      <w:r>
        <w:rPr>
          <w:rFonts w:ascii="Arial" w:eastAsia="Arial" w:hAnsi="Arial" w:cs="Arial"/>
        </w:rPr>
        <w:t>Target Beneficiaries: This program has reached 55 million to 59.8 million beneficiaries (school children, pregnant women, breastfeeding women, and the elderly) as of January 2026 (World Bank, 2022).</w:t>
      </w:r>
    </w:p>
    <w:p w14:paraId="7E532F7B" w14:textId="77777777" w:rsidR="008F230A" w:rsidRDefault="008F76E1">
      <w:pPr>
        <w:numPr>
          <w:ilvl w:val="0"/>
          <w:numId w:val="1"/>
        </w:numPr>
        <w:pBdr>
          <w:top w:val="nil"/>
          <w:left w:val="nil"/>
          <w:bottom w:val="nil"/>
          <w:right w:val="nil"/>
          <w:between w:val="nil"/>
        </w:pBdr>
        <w:jc w:val="both"/>
        <w:rPr>
          <w:rFonts w:ascii="Arial" w:eastAsia="Arial" w:hAnsi="Arial" w:cs="Arial"/>
        </w:rPr>
      </w:pPr>
      <w:r>
        <w:rPr>
          <w:rFonts w:ascii="Arial" w:eastAsia="Arial" w:hAnsi="Arial" w:cs="Arial"/>
        </w:rPr>
        <w:t>Public Kitchens: There were 21,102 kitchens serving meals daily nationwide as of 2026 (Alderman et al., 2020).</w:t>
      </w:r>
    </w:p>
    <w:p w14:paraId="585186C1" w14:textId="77777777" w:rsidR="008F230A" w:rsidRDefault="008F76E1">
      <w:pPr>
        <w:numPr>
          <w:ilvl w:val="0"/>
          <w:numId w:val="1"/>
        </w:numPr>
        <w:pBdr>
          <w:top w:val="nil"/>
          <w:left w:val="nil"/>
          <w:bottom w:val="nil"/>
          <w:right w:val="nil"/>
          <w:between w:val="nil"/>
        </w:pBdr>
        <w:jc w:val="both"/>
        <w:rPr>
          <w:rFonts w:ascii="Arial" w:eastAsia="Arial" w:hAnsi="Arial" w:cs="Arial"/>
        </w:rPr>
      </w:pPr>
      <w:r>
        <w:rPr>
          <w:rFonts w:ascii="Arial" w:eastAsia="Arial" w:hAnsi="Arial" w:cs="Arial"/>
        </w:rPr>
        <w:t>Economic Impact: This program created 290 thousand new jobs and involved local farmers, fishermen, livestock breeders, and MSMEs (Mazzucato, 2021).</w:t>
      </w:r>
    </w:p>
    <w:p w14:paraId="4AAB8ABB" w14:textId="77777777" w:rsidR="008F230A" w:rsidRDefault="008F76E1">
      <w:pPr>
        <w:numPr>
          <w:ilvl w:val="0"/>
          <w:numId w:val="1"/>
        </w:numPr>
        <w:pBdr>
          <w:top w:val="nil"/>
          <w:left w:val="nil"/>
          <w:bottom w:val="nil"/>
          <w:right w:val="nil"/>
          <w:between w:val="nil"/>
        </w:pBdr>
        <w:jc w:val="both"/>
        <w:rPr>
          <w:rFonts w:ascii="Arial" w:eastAsia="Arial" w:hAnsi="Arial" w:cs="Arial"/>
        </w:rPr>
      </w:pPr>
      <w:r>
        <w:rPr>
          <w:rFonts w:ascii="Arial" w:eastAsia="Arial" w:hAnsi="Arial" w:cs="Arial"/>
        </w:rPr>
        <w:t>Budget: The budget allocated for the MBG program in 2026 reached IDR 335 trillion (OECD, 2020).</w:t>
      </w:r>
    </w:p>
    <w:p w14:paraId="31F60200"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The table below summarizes the relationship between HR theory and the components of MBG Program success (Jiang et al., 2019; Boxall et al., 2020).</w:t>
      </w:r>
    </w:p>
    <w:p w14:paraId="25B561DF" w14:textId="2AB0EF46" w:rsidR="00C50506" w:rsidRDefault="00C50506">
      <w:pPr>
        <w:pBdr>
          <w:top w:val="nil"/>
          <w:left w:val="nil"/>
          <w:bottom w:val="nil"/>
          <w:right w:val="nil"/>
          <w:between w:val="nil"/>
        </w:pBdr>
        <w:jc w:val="both"/>
        <w:rPr>
          <w:rFonts w:ascii="Arial" w:eastAsia="Arial" w:hAnsi="Arial" w:cs="Arial"/>
        </w:rPr>
      </w:pPr>
      <w:r>
        <w:rPr>
          <w:rFonts w:ascii="Arial" w:eastAsia="Arial" w:hAnsi="Arial" w:cs="Arial"/>
        </w:rPr>
        <w:t>Table 1-</w:t>
      </w:r>
      <w:r w:rsidR="00057315">
        <w:rPr>
          <w:rFonts w:ascii="Arial" w:eastAsia="Arial" w:hAnsi="Arial" w:cs="Arial"/>
        </w:rPr>
        <w:t xml:space="preserve"> Relationship between HR theory and the components of MBG Program success</w:t>
      </w:r>
    </w:p>
    <w:p w14:paraId="45B77A37" w14:textId="77777777" w:rsidR="008F230A" w:rsidRDefault="008F230A">
      <w:pPr>
        <w:pBdr>
          <w:top w:val="nil"/>
          <w:left w:val="nil"/>
          <w:bottom w:val="nil"/>
          <w:right w:val="nil"/>
          <w:between w:val="nil"/>
        </w:pBdr>
        <w:jc w:val="both"/>
        <w:rPr>
          <w:rFonts w:ascii="Arial" w:eastAsia="Arial" w:hAnsi="Arial" w:cs="Arial"/>
        </w:rPr>
      </w:pPr>
    </w:p>
    <w:tbl>
      <w:tblPr>
        <w:tblStyle w:val="a0"/>
        <w:tblW w:w="8165" w:type="dxa"/>
        <w:tblInd w:w="0" w:type="dxa"/>
        <w:tblLayout w:type="fixed"/>
        <w:tblLook w:val="0400" w:firstRow="0" w:lastRow="0" w:firstColumn="0" w:lastColumn="0" w:noHBand="0" w:noVBand="1"/>
      </w:tblPr>
      <w:tblGrid>
        <w:gridCol w:w="1440"/>
        <w:gridCol w:w="1725"/>
        <w:gridCol w:w="2789"/>
        <w:gridCol w:w="2211"/>
      </w:tblGrid>
      <w:tr w:rsidR="008F230A" w14:paraId="1366550C" w14:textId="77777777">
        <w:tc>
          <w:tcPr>
            <w:tcW w:w="1440" w:type="dxa"/>
            <w:tcBorders>
              <w:top w:val="single" w:sz="4" w:space="0" w:color="000000"/>
              <w:bottom w:val="single" w:sz="4" w:space="0" w:color="000000"/>
            </w:tcBorders>
            <w:vAlign w:val="center"/>
          </w:tcPr>
          <w:p w14:paraId="2AD85D02" w14:textId="77777777" w:rsidR="008F230A" w:rsidRDefault="008F76E1">
            <w:pPr>
              <w:pBdr>
                <w:top w:val="nil"/>
                <w:left w:val="nil"/>
                <w:bottom w:val="nil"/>
                <w:right w:val="nil"/>
                <w:between w:val="nil"/>
              </w:pBdr>
              <w:jc w:val="both"/>
              <w:rPr>
                <w:rFonts w:ascii="Arial" w:eastAsia="Arial" w:hAnsi="Arial" w:cs="Arial"/>
                <w:b/>
                <w:bCs/>
              </w:rPr>
            </w:pPr>
            <w:r>
              <w:rPr>
                <w:rFonts w:ascii="Arial" w:eastAsia="Arial" w:hAnsi="Arial" w:cs="Arial"/>
                <w:b/>
                <w:bCs/>
              </w:rPr>
              <w:lastRenderedPageBreak/>
              <w:t>HR Theory</w:t>
            </w:r>
          </w:p>
        </w:tc>
        <w:tc>
          <w:tcPr>
            <w:tcW w:w="1725" w:type="dxa"/>
            <w:tcBorders>
              <w:top w:val="single" w:sz="4" w:space="0" w:color="000000"/>
              <w:bottom w:val="single" w:sz="4" w:space="0" w:color="000000"/>
            </w:tcBorders>
            <w:vAlign w:val="center"/>
          </w:tcPr>
          <w:p w14:paraId="4974E513" w14:textId="77777777" w:rsidR="008F230A" w:rsidRDefault="008F76E1">
            <w:pPr>
              <w:pBdr>
                <w:top w:val="nil"/>
                <w:left w:val="nil"/>
                <w:bottom w:val="nil"/>
                <w:right w:val="nil"/>
                <w:between w:val="nil"/>
              </w:pBdr>
              <w:jc w:val="both"/>
              <w:rPr>
                <w:rFonts w:ascii="Arial" w:eastAsia="Arial" w:hAnsi="Arial" w:cs="Arial"/>
                <w:b/>
                <w:bCs/>
              </w:rPr>
            </w:pPr>
            <w:r>
              <w:rPr>
                <w:rFonts w:ascii="Arial" w:eastAsia="Arial" w:hAnsi="Arial" w:cs="Arial"/>
                <w:b/>
                <w:bCs/>
              </w:rPr>
              <w:t>Key Concepts</w:t>
            </w:r>
          </w:p>
        </w:tc>
        <w:tc>
          <w:tcPr>
            <w:tcW w:w="2789" w:type="dxa"/>
            <w:tcBorders>
              <w:top w:val="single" w:sz="4" w:space="0" w:color="000000"/>
              <w:bottom w:val="single" w:sz="4" w:space="0" w:color="000000"/>
            </w:tcBorders>
            <w:vAlign w:val="center"/>
          </w:tcPr>
          <w:p w14:paraId="2484F175" w14:textId="77777777" w:rsidR="008F230A" w:rsidRDefault="008F76E1">
            <w:pPr>
              <w:pBdr>
                <w:top w:val="nil"/>
                <w:left w:val="nil"/>
                <w:bottom w:val="nil"/>
                <w:right w:val="nil"/>
                <w:between w:val="nil"/>
              </w:pBdr>
              <w:jc w:val="both"/>
              <w:rPr>
                <w:rFonts w:ascii="Arial" w:eastAsia="Arial" w:hAnsi="Arial" w:cs="Arial"/>
                <w:b/>
                <w:bCs/>
              </w:rPr>
            </w:pPr>
            <w:r>
              <w:rPr>
                <w:rFonts w:ascii="Arial" w:eastAsia="Arial" w:hAnsi="Arial" w:cs="Arial"/>
                <w:b/>
                <w:bCs/>
              </w:rPr>
              <w:t>Applications in the MBG Program</w:t>
            </w:r>
          </w:p>
        </w:tc>
        <w:tc>
          <w:tcPr>
            <w:tcW w:w="2211" w:type="dxa"/>
            <w:tcBorders>
              <w:top w:val="single" w:sz="4" w:space="0" w:color="000000"/>
              <w:bottom w:val="single" w:sz="4" w:space="0" w:color="000000"/>
            </w:tcBorders>
            <w:vAlign w:val="center"/>
          </w:tcPr>
          <w:p w14:paraId="1B2FCA08" w14:textId="77777777" w:rsidR="008F230A" w:rsidRDefault="008F76E1">
            <w:pPr>
              <w:pBdr>
                <w:top w:val="nil"/>
                <w:left w:val="nil"/>
                <w:bottom w:val="nil"/>
                <w:right w:val="nil"/>
                <w:between w:val="nil"/>
              </w:pBdr>
              <w:jc w:val="both"/>
              <w:rPr>
                <w:rFonts w:ascii="Arial" w:eastAsia="Arial" w:hAnsi="Arial" w:cs="Arial"/>
                <w:b/>
                <w:bCs/>
              </w:rPr>
            </w:pPr>
            <w:r>
              <w:rPr>
                <w:rFonts w:ascii="Arial" w:eastAsia="Arial" w:hAnsi="Arial" w:cs="Arial"/>
                <w:b/>
                <w:bCs/>
              </w:rPr>
              <w:t>HR Implications</w:t>
            </w:r>
          </w:p>
        </w:tc>
      </w:tr>
      <w:tr w:rsidR="008F230A" w14:paraId="50531AEB" w14:textId="77777777">
        <w:tc>
          <w:tcPr>
            <w:tcW w:w="1440" w:type="dxa"/>
            <w:tcBorders>
              <w:top w:val="single" w:sz="4" w:space="0" w:color="000000"/>
              <w:bottom w:val="single" w:sz="4" w:space="0" w:color="000000"/>
            </w:tcBorders>
            <w:vAlign w:val="center"/>
          </w:tcPr>
          <w:p w14:paraId="57D9736B"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Human Capital Theory</w:t>
            </w:r>
          </w:p>
        </w:tc>
        <w:tc>
          <w:tcPr>
            <w:tcW w:w="1725" w:type="dxa"/>
            <w:tcBorders>
              <w:top w:val="single" w:sz="4" w:space="0" w:color="000000"/>
              <w:bottom w:val="single" w:sz="4" w:space="0" w:color="000000"/>
            </w:tcBorders>
            <w:vAlign w:val="center"/>
          </w:tcPr>
          <w:p w14:paraId="4C2DA357"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Human Resources Investment</w:t>
            </w:r>
          </w:p>
        </w:tc>
        <w:tc>
          <w:tcPr>
            <w:tcW w:w="2789" w:type="dxa"/>
            <w:tcBorders>
              <w:top w:val="single" w:sz="4" w:space="0" w:color="000000"/>
              <w:bottom w:val="single" w:sz="4" w:space="0" w:color="000000"/>
            </w:tcBorders>
            <w:vAlign w:val="center"/>
          </w:tcPr>
          <w:p w14:paraId="0DE027C9"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Fulfillment of nutritional needs for improving the nutrition of school children, pregnant women, and the elderly</w:t>
            </w:r>
          </w:p>
        </w:tc>
        <w:tc>
          <w:tcPr>
            <w:tcW w:w="2211" w:type="dxa"/>
            <w:tcBorders>
              <w:top w:val="single" w:sz="4" w:space="0" w:color="000000"/>
              <w:bottom w:val="single" w:sz="4" w:space="0" w:color="000000"/>
            </w:tcBorders>
            <w:vAlign w:val="center"/>
          </w:tcPr>
          <w:p w14:paraId="6B630210"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Long-term improvement of human resource quality</w:t>
            </w:r>
          </w:p>
        </w:tc>
      </w:tr>
      <w:tr w:rsidR="008F230A" w14:paraId="58057A62" w14:textId="77777777">
        <w:tc>
          <w:tcPr>
            <w:tcW w:w="1440" w:type="dxa"/>
            <w:tcBorders>
              <w:top w:val="single" w:sz="4" w:space="0" w:color="000000"/>
              <w:bottom w:val="single" w:sz="4" w:space="0" w:color="000000"/>
            </w:tcBorders>
            <w:vAlign w:val="center"/>
          </w:tcPr>
          <w:p w14:paraId="1F3C93FF"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SHRM</w:t>
            </w:r>
          </w:p>
        </w:tc>
        <w:tc>
          <w:tcPr>
            <w:tcW w:w="1725" w:type="dxa"/>
            <w:tcBorders>
              <w:top w:val="single" w:sz="4" w:space="0" w:color="000000"/>
              <w:bottom w:val="single" w:sz="4" w:space="0" w:color="000000"/>
            </w:tcBorders>
            <w:vAlign w:val="center"/>
          </w:tcPr>
          <w:p w14:paraId="72066351"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Strategic alignment</w:t>
            </w:r>
          </w:p>
        </w:tc>
        <w:tc>
          <w:tcPr>
            <w:tcW w:w="2789" w:type="dxa"/>
            <w:tcBorders>
              <w:top w:val="single" w:sz="4" w:space="0" w:color="000000"/>
              <w:bottom w:val="single" w:sz="4" w:space="0" w:color="000000"/>
            </w:tcBorders>
            <w:vAlign w:val="center"/>
          </w:tcPr>
          <w:p w14:paraId="7A1D17C7"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Integration of MBG with national HR policies</w:t>
            </w:r>
          </w:p>
        </w:tc>
        <w:tc>
          <w:tcPr>
            <w:tcW w:w="2211" w:type="dxa"/>
            <w:tcBorders>
              <w:top w:val="single" w:sz="4" w:space="0" w:color="000000"/>
              <w:bottom w:val="single" w:sz="4" w:space="0" w:color="000000"/>
            </w:tcBorders>
            <w:vAlign w:val="center"/>
          </w:tcPr>
          <w:p w14:paraId="49262926"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The need for cross-sector coordination</w:t>
            </w:r>
          </w:p>
        </w:tc>
      </w:tr>
      <w:tr w:rsidR="008F230A" w14:paraId="12326399" w14:textId="77777777">
        <w:tc>
          <w:tcPr>
            <w:tcW w:w="1440" w:type="dxa"/>
            <w:tcBorders>
              <w:top w:val="single" w:sz="4" w:space="0" w:color="000000"/>
              <w:bottom w:val="single" w:sz="4" w:space="0" w:color="000000"/>
            </w:tcBorders>
            <w:vAlign w:val="center"/>
          </w:tcPr>
          <w:p w14:paraId="6534EACD"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AMO Framework</w:t>
            </w:r>
          </w:p>
        </w:tc>
        <w:tc>
          <w:tcPr>
            <w:tcW w:w="1725" w:type="dxa"/>
            <w:tcBorders>
              <w:top w:val="single" w:sz="4" w:space="0" w:color="000000"/>
              <w:bottom w:val="single" w:sz="4" w:space="0" w:color="000000"/>
            </w:tcBorders>
            <w:vAlign w:val="center"/>
          </w:tcPr>
          <w:p w14:paraId="3A209536"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Ability, Motivation, Opportunity</w:t>
            </w:r>
          </w:p>
        </w:tc>
        <w:tc>
          <w:tcPr>
            <w:tcW w:w="2789" w:type="dxa"/>
            <w:tcBorders>
              <w:top w:val="single" w:sz="4" w:space="0" w:color="000000"/>
              <w:bottom w:val="single" w:sz="4" w:space="0" w:color="000000"/>
            </w:tcBorders>
            <w:vAlign w:val="center"/>
          </w:tcPr>
          <w:p w14:paraId="0F091130"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Nutrition (ability), school attendance (motivation), access to services (opportunity)</w:t>
            </w:r>
          </w:p>
        </w:tc>
        <w:tc>
          <w:tcPr>
            <w:tcW w:w="2211" w:type="dxa"/>
            <w:tcBorders>
              <w:top w:val="single" w:sz="4" w:space="0" w:color="000000"/>
              <w:bottom w:val="single" w:sz="4" w:space="0" w:color="000000"/>
            </w:tcBorders>
            <w:vAlign w:val="center"/>
          </w:tcPr>
          <w:p w14:paraId="69E5065F"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Inequality of opportunity reduces effectiveness</w:t>
            </w:r>
          </w:p>
        </w:tc>
      </w:tr>
      <w:tr w:rsidR="008F230A" w14:paraId="5DD6504F" w14:textId="77777777">
        <w:tc>
          <w:tcPr>
            <w:tcW w:w="1440" w:type="dxa"/>
            <w:tcBorders>
              <w:top w:val="single" w:sz="4" w:space="0" w:color="000000"/>
              <w:bottom w:val="single" w:sz="4" w:space="0" w:color="000000"/>
            </w:tcBorders>
            <w:vAlign w:val="center"/>
          </w:tcPr>
          <w:p w14:paraId="3223AC70"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Public HR</w:t>
            </w:r>
          </w:p>
        </w:tc>
        <w:tc>
          <w:tcPr>
            <w:tcW w:w="1725" w:type="dxa"/>
            <w:tcBorders>
              <w:top w:val="single" w:sz="4" w:space="0" w:color="000000"/>
              <w:bottom w:val="single" w:sz="4" w:space="0" w:color="000000"/>
            </w:tcBorders>
            <w:vAlign w:val="center"/>
          </w:tcPr>
          <w:p w14:paraId="1D9B25F2"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Apparatus capacity</w:t>
            </w:r>
          </w:p>
        </w:tc>
        <w:tc>
          <w:tcPr>
            <w:tcW w:w="2789" w:type="dxa"/>
            <w:tcBorders>
              <w:top w:val="single" w:sz="4" w:space="0" w:color="000000"/>
              <w:bottom w:val="single" w:sz="4" w:space="0" w:color="000000"/>
            </w:tcBorders>
            <w:vAlign w:val="center"/>
          </w:tcPr>
          <w:p w14:paraId="640B85E9"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Competence of ASN and nutritionists</w:t>
            </w:r>
          </w:p>
        </w:tc>
        <w:tc>
          <w:tcPr>
            <w:tcW w:w="2211" w:type="dxa"/>
            <w:tcBorders>
              <w:top w:val="single" w:sz="4" w:space="0" w:color="000000"/>
              <w:bottom w:val="single" w:sz="4" w:space="0" w:color="000000"/>
            </w:tcBorders>
            <w:vAlign w:val="center"/>
          </w:tcPr>
          <w:p w14:paraId="291D230C"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The need for training and competency standards</w:t>
            </w:r>
          </w:p>
        </w:tc>
      </w:tr>
    </w:tbl>
    <w:p w14:paraId="01D3D573" w14:textId="77777777" w:rsidR="008F230A" w:rsidRDefault="008F230A">
      <w:pPr>
        <w:spacing w:after="160" w:line="278" w:lineRule="auto"/>
        <w:jc w:val="both"/>
        <w:rPr>
          <w:rFonts w:ascii="Calibri" w:eastAsia="Calibri" w:hAnsi="Calibri" w:cs="Calibri"/>
          <w:b/>
          <w:bCs/>
          <w:sz w:val="24"/>
          <w:szCs w:val="24"/>
        </w:rPr>
      </w:pPr>
    </w:p>
    <w:p w14:paraId="36B03BB9" w14:textId="77777777" w:rsidR="008F230A" w:rsidRDefault="008F76E1">
      <w:pPr>
        <w:jc w:val="both"/>
        <w:rPr>
          <w:rFonts w:ascii="Arial" w:eastAsia="Arial" w:hAnsi="Arial" w:cs="Arial"/>
          <w:b/>
          <w:bCs/>
          <w:sz w:val="22"/>
          <w:szCs w:val="22"/>
        </w:rPr>
      </w:pPr>
      <w:r>
        <w:rPr>
          <w:rFonts w:ascii="Arial" w:eastAsia="Arial" w:hAnsi="Arial" w:cs="Arial"/>
          <w:b/>
          <w:bCs/>
          <w:smallCaps/>
          <w:sz w:val="22"/>
          <w:szCs w:val="22"/>
        </w:rPr>
        <w:t xml:space="preserve">3.3 </w:t>
      </w:r>
      <w:r>
        <w:rPr>
          <w:rFonts w:ascii="Arial" w:eastAsia="Arial" w:hAnsi="Arial" w:cs="Arial"/>
          <w:b/>
          <w:bCs/>
          <w:sz w:val="22"/>
          <w:szCs w:val="22"/>
        </w:rPr>
        <w:t>Discussion</w:t>
      </w:r>
    </w:p>
    <w:p w14:paraId="21F002BA" w14:textId="77777777" w:rsidR="008F230A" w:rsidRDefault="008F230A">
      <w:pPr>
        <w:jc w:val="both"/>
        <w:rPr>
          <w:rFonts w:ascii="Arial" w:eastAsia="Arial" w:hAnsi="Arial" w:cs="Arial"/>
          <w:b/>
          <w:bCs/>
          <w:sz w:val="22"/>
          <w:szCs w:val="22"/>
        </w:rPr>
      </w:pPr>
    </w:p>
    <w:p w14:paraId="0FA54DE0"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 xml:space="preserve">Human Resources Management (HRM) analysis shows that the main weakness in the implementation of the MBG Program lies not only in the policy objectives themselves, but also in the managerial aspects of HR management. HR as a strategic asset managed through managerial policies (Armstrong, 2014; </w:t>
      </w:r>
      <w:proofErr w:type="spellStart"/>
      <w:r>
        <w:rPr>
          <w:rFonts w:ascii="Arial" w:eastAsia="Arial" w:hAnsi="Arial" w:cs="Arial"/>
        </w:rPr>
        <w:t>Lengnick</w:t>
      </w:r>
      <w:proofErr w:type="spellEnd"/>
      <w:r>
        <w:rPr>
          <w:rFonts w:ascii="Arial" w:eastAsia="Arial" w:hAnsi="Arial" w:cs="Arial"/>
        </w:rPr>
        <w:t>-Hall et al., 2021) is essentially, without a performance management system, competency development, and outcome-based evaluation, the MBG program risks becoming a short-term consumption program (Rossi et al., 2019; OECD, 2020). From an academic perspective, the MBG program challenges the conventional boundaries of HRM by expanding its scope from the organization to the country level (Kaufman, 2020). This opens up significant opportunities for the development of SHRM (Society for Human Resource Management) theory of the American Society for Personnel Administration (ASPA) or the creation of a better workplace where employers and employees can thrive together in the public sector context (Bogardus, 2004; Boxall et al., 2020).</w:t>
      </w:r>
    </w:p>
    <w:p w14:paraId="53A9359C" w14:textId="77777777" w:rsidR="008F230A" w:rsidRDefault="008F230A">
      <w:pPr>
        <w:pBdr>
          <w:top w:val="nil"/>
          <w:left w:val="nil"/>
          <w:bottom w:val="nil"/>
          <w:right w:val="nil"/>
          <w:between w:val="nil"/>
        </w:pBdr>
        <w:jc w:val="both"/>
        <w:rPr>
          <w:rFonts w:ascii="Arial" w:eastAsia="Arial" w:hAnsi="Arial" w:cs="Arial"/>
        </w:rPr>
      </w:pPr>
    </w:p>
    <w:p w14:paraId="1D7A7418"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The MBG program has the potential to encourage local or regional MSMEs (Mazzucato, 2021), but also faces significant fiscal sustainability challenges (OECD, 2020; World Bank, 2022). There are concerns that the MBG program could become a mere populist project if not managed with accountable governance (Andrews et al., 2019) (budgetary and political economy perspectives). The government needs to prioritize and prioritize schools in 3T (underdeveloped, frontier, infected) areas (World Bank, 2022), and the sustainability of the MBG program depends on several factors, namely: budget factors, policy stability, and government commitment (OECD, 2020; Mazzucato, 2021). Synergy between the central and regional governments, strengthening regulations, budget transparency, and the involvement of local MSMEs are needed to ensure the program's effectiveness and sustainability as policy recommendations (Kaufman, 2020; Andrews et al., 2019).</w:t>
      </w:r>
    </w:p>
    <w:p w14:paraId="7DC48F10" w14:textId="77777777" w:rsidR="008F230A" w:rsidRDefault="008F230A">
      <w:pPr>
        <w:pBdr>
          <w:top w:val="nil"/>
          <w:left w:val="nil"/>
          <w:bottom w:val="nil"/>
          <w:right w:val="nil"/>
          <w:between w:val="nil"/>
        </w:pBdr>
        <w:jc w:val="both"/>
        <w:rPr>
          <w:rFonts w:ascii="Arial" w:eastAsia="Arial" w:hAnsi="Arial" w:cs="Arial"/>
        </w:rPr>
      </w:pPr>
    </w:p>
    <w:p w14:paraId="78B14A8D" w14:textId="77777777" w:rsidR="008F230A" w:rsidRDefault="008F76E1">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4. Conclusion</w:t>
      </w:r>
    </w:p>
    <w:p w14:paraId="4485F93C" w14:textId="77777777" w:rsidR="008F230A" w:rsidRDefault="008F230A">
      <w:pPr>
        <w:keepNext/>
        <w:pBdr>
          <w:top w:val="nil"/>
          <w:left w:val="nil"/>
          <w:bottom w:val="nil"/>
          <w:right w:val="nil"/>
          <w:between w:val="nil"/>
        </w:pBdr>
        <w:jc w:val="both"/>
        <w:rPr>
          <w:rFonts w:ascii="Arial" w:eastAsia="Arial" w:hAnsi="Arial" w:cs="Arial"/>
          <w:b/>
          <w:bCs/>
          <w:smallCaps/>
          <w:color w:val="000000"/>
          <w:sz w:val="22"/>
          <w:szCs w:val="22"/>
        </w:rPr>
      </w:pPr>
    </w:p>
    <w:p w14:paraId="62B74FEE" w14:textId="77777777" w:rsidR="008F230A" w:rsidRDefault="008F76E1">
      <w:pPr>
        <w:pBdr>
          <w:top w:val="nil"/>
          <w:left w:val="nil"/>
          <w:bottom w:val="nil"/>
          <w:right w:val="nil"/>
          <w:between w:val="nil"/>
        </w:pBdr>
        <w:jc w:val="both"/>
        <w:rPr>
          <w:rFonts w:ascii="Arial" w:eastAsia="Arial" w:hAnsi="Arial" w:cs="Arial"/>
          <w:color w:val="000000"/>
        </w:rPr>
      </w:pPr>
      <w:r>
        <w:rPr>
          <w:rFonts w:ascii="Arial" w:eastAsia="Arial" w:hAnsi="Arial" w:cs="Arial"/>
        </w:rPr>
        <w:t>The MBG program is a strategic macro HR policy in the development of Indonesian HR in 2045. However, without strengthening the HR management aspect, the potential of the program will not be achieved optimally, but a systemic and integrated HR approach must be a prerequisite for the sustainability and effectiveness of the program.</w:t>
      </w:r>
    </w:p>
    <w:p w14:paraId="2D825533" w14:textId="77777777" w:rsidR="008F230A" w:rsidRDefault="008F230A">
      <w:pPr>
        <w:pBdr>
          <w:top w:val="nil"/>
          <w:left w:val="nil"/>
          <w:bottom w:val="nil"/>
          <w:right w:val="nil"/>
          <w:between w:val="nil"/>
        </w:pBdr>
        <w:jc w:val="both"/>
        <w:rPr>
          <w:rFonts w:ascii="Arial" w:eastAsia="Arial" w:hAnsi="Arial" w:cs="Arial"/>
          <w:color w:val="000000"/>
        </w:rPr>
      </w:pPr>
    </w:p>
    <w:p w14:paraId="21B78DE7" w14:textId="77777777" w:rsidR="008F230A" w:rsidRDefault="008F230A">
      <w:pPr>
        <w:keepNext/>
        <w:pBdr>
          <w:top w:val="nil"/>
          <w:left w:val="nil"/>
          <w:bottom w:val="nil"/>
          <w:right w:val="nil"/>
          <w:between w:val="nil"/>
        </w:pBdr>
        <w:jc w:val="both"/>
        <w:rPr>
          <w:rFonts w:ascii="Arial" w:eastAsia="Arial" w:hAnsi="Arial" w:cs="Arial"/>
          <w:b/>
          <w:bCs/>
          <w:smallCaps/>
          <w:color w:val="000000"/>
          <w:sz w:val="22"/>
          <w:szCs w:val="22"/>
        </w:rPr>
      </w:pPr>
      <w:bookmarkStart w:id="0" w:name="_GoBack"/>
      <w:bookmarkEnd w:id="0"/>
    </w:p>
    <w:p w14:paraId="19CB982F" w14:textId="77777777" w:rsidR="008F230A" w:rsidRDefault="008F76E1">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References</w:t>
      </w:r>
    </w:p>
    <w:p w14:paraId="3299FE92" w14:textId="77777777" w:rsidR="008F230A" w:rsidRDefault="008F230A">
      <w:pPr>
        <w:pBdr>
          <w:top w:val="nil"/>
          <w:left w:val="nil"/>
          <w:bottom w:val="nil"/>
          <w:right w:val="nil"/>
          <w:between w:val="nil"/>
        </w:pBdr>
        <w:jc w:val="both"/>
        <w:rPr>
          <w:rFonts w:ascii="Arial" w:eastAsia="Arial" w:hAnsi="Arial" w:cs="Arial"/>
        </w:rPr>
      </w:pPr>
    </w:p>
    <w:p w14:paraId="58C7E30E"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 xml:space="preserve">Agustini, U. (2025). </w:t>
      </w:r>
      <w:proofErr w:type="spellStart"/>
      <w:r>
        <w:rPr>
          <w:rFonts w:ascii="Arial" w:eastAsia="Arial" w:hAnsi="Arial" w:cs="Arial"/>
        </w:rPr>
        <w:t>Efektivitas</w:t>
      </w:r>
      <w:proofErr w:type="spellEnd"/>
      <w:r>
        <w:rPr>
          <w:rFonts w:ascii="Arial" w:eastAsia="Arial" w:hAnsi="Arial" w:cs="Arial"/>
        </w:rPr>
        <w:t xml:space="preserve"> dan </w:t>
      </w:r>
      <w:proofErr w:type="spellStart"/>
      <w:r>
        <w:rPr>
          <w:rFonts w:ascii="Arial" w:eastAsia="Arial" w:hAnsi="Arial" w:cs="Arial"/>
        </w:rPr>
        <w:t>tantangan</w:t>
      </w:r>
      <w:proofErr w:type="spellEnd"/>
      <w:r>
        <w:rPr>
          <w:rFonts w:ascii="Arial" w:eastAsia="Arial" w:hAnsi="Arial" w:cs="Arial"/>
        </w:rPr>
        <w:t xml:space="preserve"> </w:t>
      </w:r>
      <w:proofErr w:type="spellStart"/>
      <w:r>
        <w:rPr>
          <w:rFonts w:ascii="Arial" w:eastAsia="Arial" w:hAnsi="Arial" w:cs="Arial"/>
        </w:rPr>
        <w:t>kebijakan</w:t>
      </w:r>
      <w:proofErr w:type="spellEnd"/>
      <w:r>
        <w:rPr>
          <w:rFonts w:ascii="Arial" w:eastAsia="Arial" w:hAnsi="Arial" w:cs="Arial"/>
        </w:rPr>
        <w:t xml:space="preserve"> program </w:t>
      </w:r>
      <w:proofErr w:type="spellStart"/>
      <w:r>
        <w:rPr>
          <w:rFonts w:ascii="Arial" w:eastAsia="Arial" w:hAnsi="Arial" w:cs="Arial"/>
        </w:rPr>
        <w:t>makan</w:t>
      </w:r>
      <w:proofErr w:type="spellEnd"/>
      <w:r>
        <w:rPr>
          <w:rFonts w:ascii="Arial" w:eastAsia="Arial" w:hAnsi="Arial" w:cs="Arial"/>
        </w:rPr>
        <w:t xml:space="preserve"> </w:t>
      </w:r>
      <w:proofErr w:type="spellStart"/>
      <w:r>
        <w:rPr>
          <w:rFonts w:ascii="Arial" w:eastAsia="Arial" w:hAnsi="Arial" w:cs="Arial"/>
        </w:rPr>
        <w:t>bergizi</w:t>
      </w:r>
      <w:proofErr w:type="spellEnd"/>
      <w:r>
        <w:rPr>
          <w:rFonts w:ascii="Arial" w:eastAsia="Arial" w:hAnsi="Arial" w:cs="Arial"/>
        </w:rPr>
        <w:t xml:space="preserve"> gratis </w:t>
      </w:r>
      <w:proofErr w:type="spellStart"/>
      <w:r>
        <w:rPr>
          <w:rFonts w:ascii="Arial" w:eastAsia="Arial" w:hAnsi="Arial" w:cs="Arial"/>
        </w:rPr>
        <w:t>sebagai</w:t>
      </w:r>
      <w:proofErr w:type="spellEnd"/>
      <w:r>
        <w:rPr>
          <w:rFonts w:ascii="Arial" w:eastAsia="Arial" w:hAnsi="Arial" w:cs="Arial"/>
        </w:rPr>
        <w:t xml:space="preserve"> </w:t>
      </w:r>
      <w:proofErr w:type="spellStart"/>
      <w:r>
        <w:rPr>
          <w:rFonts w:ascii="Arial" w:eastAsia="Arial" w:hAnsi="Arial" w:cs="Arial"/>
        </w:rPr>
        <w:t>intervensi</w:t>
      </w:r>
      <w:proofErr w:type="spellEnd"/>
      <w:r>
        <w:rPr>
          <w:rFonts w:ascii="Arial" w:eastAsia="Arial" w:hAnsi="Arial" w:cs="Arial"/>
        </w:rPr>
        <w:t xml:space="preserve"> </w:t>
      </w:r>
      <w:proofErr w:type="spellStart"/>
      <w:r>
        <w:rPr>
          <w:rFonts w:ascii="Arial" w:eastAsia="Arial" w:hAnsi="Arial" w:cs="Arial"/>
        </w:rPr>
        <w:t>pendidikan</w:t>
      </w:r>
      <w:proofErr w:type="spellEnd"/>
      <w:r>
        <w:rPr>
          <w:rFonts w:ascii="Arial" w:eastAsia="Arial" w:hAnsi="Arial" w:cs="Arial"/>
        </w:rPr>
        <w:t xml:space="preserve"> di Indonesia. </w:t>
      </w:r>
      <w:proofErr w:type="spellStart"/>
      <w:r>
        <w:rPr>
          <w:rFonts w:ascii="Arial" w:eastAsia="Arial" w:hAnsi="Arial" w:cs="Arial"/>
        </w:rPr>
        <w:t>Jurnal</w:t>
      </w:r>
      <w:proofErr w:type="spellEnd"/>
      <w:r>
        <w:rPr>
          <w:rFonts w:ascii="Arial" w:eastAsia="Arial" w:hAnsi="Arial" w:cs="Arial"/>
        </w:rPr>
        <w:t xml:space="preserve"> </w:t>
      </w:r>
      <w:proofErr w:type="spellStart"/>
      <w:r>
        <w:rPr>
          <w:rFonts w:ascii="Arial" w:eastAsia="Arial" w:hAnsi="Arial" w:cs="Arial"/>
        </w:rPr>
        <w:t>Kiprah</w:t>
      </w:r>
      <w:proofErr w:type="spellEnd"/>
      <w:r>
        <w:rPr>
          <w:rFonts w:ascii="Arial" w:eastAsia="Arial" w:hAnsi="Arial" w:cs="Arial"/>
        </w:rPr>
        <w:t xml:space="preserve"> Pendidikan, 4(3), 362–368.</w:t>
      </w:r>
    </w:p>
    <w:p w14:paraId="075E7CE3"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https://doi.org/10.33578/kpd.v4i3.361</w:t>
      </w:r>
    </w:p>
    <w:p w14:paraId="4EE9BA0D"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Alderman, H., Hoddinott, J., &amp; Kinsey, B. (2020). Long-term consequences of early childhood malnutrition. The World Bank Research Observer, 35(2), 1–27. https://doi.org/10.1093/wbro/lkaa004</w:t>
      </w:r>
    </w:p>
    <w:p w14:paraId="7793574A"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Alderman, H. (2025). A new method with an application to school meals. Economics of Education Review, 96, 102506.</w:t>
      </w:r>
    </w:p>
    <w:p w14:paraId="6A88B887"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https://doi.org/10.1016/j.econedurev.2025.102506</w:t>
      </w:r>
    </w:p>
    <w:p w14:paraId="1A1BFC9F"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Andrews, M., Pritchett, L., &amp; Woolcock, M. (2019). Building state capability: Evidence, analysis, action. Oxford University Press.</w:t>
      </w:r>
    </w:p>
    <w:p w14:paraId="3EB7109E"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https://doi.org/10.1093/oso/9780198792445.001.0001</w:t>
      </w:r>
    </w:p>
    <w:p w14:paraId="1005415D"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 xml:space="preserve">Armstrong, M. (2014). Armstrong’s handbook of human resource management practice (13th ed.). Kogan Page. </w:t>
      </w:r>
    </w:p>
    <w:p w14:paraId="34A93699"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Barnabas, B. (2024). The effect of school feeding programs on pupils’ enrolment, attendance, and academic performance. SAGE Open, 14(2).</w:t>
      </w:r>
    </w:p>
    <w:p w14:paraId="5AA04CB2"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https://doi.org/10.1177/21582440241255809</w:t>
      </w:r>
    </w:p>
    <w:p w14:paraId="52AB1C95"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Becker, G. S. (1964). Human capital: A theoretical and empirical analysis, with special reference to education. University of Chicago Press.</w:t>
      </w:r>
    </w:p>
    <w:p w14:paraId="09746AC1"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Bloom, D. E., Kuhn, M., &amp; Prettner, K. (2019). Africa’s prospects for enjoying a demographic dividend. Journal of Economic Behavior &amp; Organization, 162, 231–246. https://doi.org/10.1016/j.jebo.2019.01.014</w:t>
      </w:r>
    </w:p>
    <w:p w14:paraId="523033CC"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Bogardus, A. M. (2004). Human resources jumpstart. John Wiley &amp; Sons. Retrieved from https://catalogimages.wiley.com/images/db/pdf/078214344X.excerpt.pdf?utm_source=chatgpt.com</w:t>
      </w:r>
    </w:p>
    <w:p w14:paraId="1E3FF01A"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Boon, C., Den Hartog, D. N., &amp; Lepak, D. P. (2019). A systematic review of human resource management systems and their measurement. Journal of Management, 45(6), 2498–2537.</w:t>
      </w:r>
    </w:p>
    <w:p w14:paraId="15EAEADE"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https://doi.org/10.1177/0149206318818718</w:t>
      </w:r>
    </w:p>
    <w:p w14:paraId="7040FCD2"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 xml:space="preserve">Boxall, P., &amp; Purcell, J. (2016). Strategy and human resource management (4th ed.). Palgrave Macmillan. </w:t>
      </w:r>
    </w:p>
    <w:p w14:paraId="082FEAA5"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Boxall, P., Guthrie, J. P., &amp; Paauwe, J. (2020). Progressing our understanding of the AMO framework: The role of ability, motivation and opportunity. Human Resource Management Journal, 30(3), 1–16.</w:t>
      </w:r>
    </w:p>
    <w:p w14:paraId="31497437"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https://doi.org/10.1111/1748-8583.12228</w:t>
      </w:r>
    </w:p>
    <w:p w14:paraId="69FC2544" w14:textId="77777777" w:rsidR="008F230A" w:rsidRDefault="008F76E1">
      <w:pPr>
        <w:pBdr>
          <w:top w:val="nil"/>
          <w:left w:val="nil"/>
          <w:bottom w:val="nil"/>
          <w:right w:val="nil"/>
          <w:between w:val="nil"/>
        </w:pBdr>
        <w:jc w:val="both"/>
        <w:rPr>
          <w:rFonts w:ascii="Arial" w:eastAsia="Arial" w:hAnsi="Arial" w:cs="Arial"/>
        </w:rPr>
      </w:pPr>
      <w:proofErr w:type="spellStart"/>
      <w:r>
        <w:rPr>
          <w:rFonts w:ascii="Arial" w:eastAsia="Arial" w:hAnsi="Arial" w:cs="Arial"/>
        </w:rPr>
        <w:t>Cisdi</w:t>
      </w:r>
      <w:proofErr w:type="spellEnd"/>
      <w:r>
        <w:rPr>
          <w:rFonts w:ascii="Arial" w:eastAsia="Arial" w:hAnsi="Arial" w:cs="Arial"/>
        </w:rPr>
        <w:t>. (2024). “</w:t>
      </w:r>
      <w:proofErr w:type="spellStart"/>
      <w:r>
        <w:rPr>
          <w:rFonts w:ascii="Arial" w:eastAsia="Arial" w:hAnsi="Arial" w:cs="Arial"/>
        </w:rPr>
        <w:t>Makan</w:t>
      </w:r>
      <w:proofErr w:type="spellEnd"/>
      <w:r>
        <w:rPr>
          <w:rFonts w:ascii="Arial" w:eastAsia="Arial" w:hAnsi="Arial" w:cs="Arial"/>
        </w:rPr>
        <w:t xml:space="preserve"> </w:t>
      </w:r>
      <w:proofErr w:type="spellStart"/>
      <w:r>
        <w:rPr>
          <w:rFonts w:ascii="Arial" w:eastAsia="Arial" w:hAnsi="Arial" w:cs="Arial"/>
        </w:rPr>
        <w:t>Bergizi</w:t>
      </w:r>
      <w:proofErr w:type="spellEnd"/>
      <w:r>
        <w:rPr>
          <w:rFonts w:ascii="Arial" w:eastAsia="Arial" w:hAnsi="Arial" w:cs="Arial"/>
        </w:rPr>
        <w:t xml:space="preserve"> Gratis: </w:t>
      </w:r>
      <w:proofErr w:type="spellStart"/>
      <w:r>
        <w:rPr>
          <w:rFonts w:ascii="Arial" w:eastAsia="Arial" w:hAnsi="Arial" w:cs="Arial"/>
        </w:rPr>
        <w:t>Menilik</w:t>
      </w:r>
      <w:proofErr w:type="spellEnd"/>
      <w:r>
        <w:rPr>
          <w:rFonts w:ascii="Arial" w:eastAsia="Arial" w:hAnsi="Arial" w:cs="Arial"/>
        </w:rPr>
        <w:t xml:space="preserve"> </w:t>
      </w:r>
      <w:proofErr w:type="spellStart"/>
      <w:r>
        <w:rPr>
          <w:rFonts w:ascii="Arial" w:eastAsia="Arial" w:hAnsi="Arial" w:cs="Arial"/>
        </w:rPr>
        <w:t>Tujuan</w:t>
      </w:r>
      <w:proofErr w:type="spellEnd"/>
      <w:r>
        <w:rPr>
          <w:rFonts w:ascii="Arial" w:eastAsia="Arial" w:hAnsi="Arial" w:cs="Arial"/>
        </w:rPr>
        <w:t xml:space="preserve">, </w:t>
      </w:r>
      <w:proofErr w:type="spellStart"/>
      <w:r>
        <w:rPr>
          <w:rFonts w:ascii="Arial" w:eastAsia="Arial" w:hAnsi="Arial" w:cs="Arial"/>
        </w:rPr>
        <w:t>Anggaran</w:t>
      </w:r>
      <w:proofErr w:type="spellEnd"/>
      <w:r>
        <w:rPr>
          <w:rFonts w:ascii="Arial" w:eastAsia="Arial" w:hAnsi="Arial" w:cs="Arial"/>
        </w:rPr>
        <w:t xml:space="preserve"> dan Tata </w:t>
      </w:r>
      <w:proofErr w:type="spellStart"/>
      <w:r>
        <w:rPr>
          <w:rFonts w:ascii="Arial" w:eastAsia="Arial" w:hAnsi="Arial" w:cs="Arial"/>
        </w:rPr>
        <w:t>Kelola</w:t>
      </w:r>
      <w:proofErr w:type="spellEnd"/>
      <w:r>
        <w:rPr>
          <w:rFonts w:ascii="Arial" w:eastAsia="Arial" w:hAnsi="Arial" w:cs="Arial"/>
        </w:rPr>
        <w:t xml:space="preserve"> Program”. Policy Paper Series: </w:t>
      </w:r>
      <w:proofErr w:type="spellStart"/>
      <w:r>
        <w:rPr>
          <w:rFonts w:ascii="Arial" w:eastAsia="Arial" w:hAnsi="Arial" w:cs="Arial"/>
        </w:rPr>
        <w:t>Mengkaji</w:t>
      </w:r>
      <w:proofErr w:type="spellEnd"/>
      <w:r>
        <w:rPr>
          <w:rFonts w:ascii="Arial" w:eastAsia="Arial" w:hAnsi="Arial" w:cs="Arial"/>
        </w:rPr>
        <w:t xml:space="preserve"> </w:t>
      </w:r>
      <w:proofErr w:type="spellStart"/>
      <w:r>
        <w:rPr>
          <w:rFonts w:ascii="Arial" w:eastAsia="Arial" w:hAnsi="Arial" w:cs="Arial"/>
        </w:rPr>
        <w:t>Ulang</w:t>
      </w:r>
      <w:proofErr w:type="spellEnd"/>
      <w:r>
        <w:rPr>
          <w:rFonts w:ascii="Arial" w:eastAsia="Arial" w:hAnsi="Arial" w:cs="Arial"/>
        </w:rPr>
        <w:t xml:space="preserve"> Program </w:t>
      </w:r>
      <w:proofErr w:type="spellStart"/>
      <w:r>
        <w:rPr>
          <w:rFonts w:ascii="Arial" w:eastAsia="Arial" w:hAnsi="Arial" w:cs="Arial"/>
        </w:rPr>
        <w:t>Makan</w:t>
      </w:r>
      <w:proofErr w:type="spellEnd"/>
      <w:r>
        <w:rPr>
          <w:rFonts w:ascii="Arial" w:eastAsia="Arial" w:hAnsi="Arial" w:cs="Arial"/>
        </w:rPr>
        <w:t xml:space="preserve"> </w:t>
      </w:r>
      <w:proofErr w:type="spellStart"/>
      <w:r>
        <w:rPr>
          <w:rFonts w:ascii="Arial" w:eastAsia="Arial" w:hAnsi="Arial" w:cs="Arial"/>
        </w:rPr>
        <w:t>Bergizi</w:t>
      </w:r>
      <w:proofErr w:type="spellEnd"/>
      <w:r>
        <w:rPr>
          <w:rFonts w:ascii="Arial" w:eastAsia="Arial" w:hAnsi="Arial" w:cs="Arial"/>
        </w:rPr>
        <w:t xml:space="preserve"> Gratis. 1- 16. </w:t>
      </w:r>
      <w:proofErr w:type="spellStart"/>
      <w:r>
        <w:rPr>
          <w:rFonts w:ascii="Arial" w:eastAsia="Arial" w:hAnsi="Arial" w:cs="Arial"/>
        </w:rPr>
        <w:t>Cisdi</w:t>
      </w:r>
      <w:proofErr w:type="spellEnd"/>
      <w:r>
        <w:rPr>
          <w:rFonts w:ascii="Arial" w:eastAsia="Arial" w:hAnsi="Arial" w:cs="Arial"/>
        </w:rPr>
        <w:t xml:space="preserve"> (Center for Indonesia’s Strategic Development Initiatives). https://cdn.cisdi.org/documents/fnm-Policy-Paper-Makan-Bergizi-Gratis---MenilikTujuan-Anggaran-dan-Tata-Kelola-ProgramCISDIpdf-1723609579793-fnm.pdf</w:t>
      </w:r>
    </w:p>
    <w:p w14:paraId="092E7FE4"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 xml:space="preserve">Cunha, F., Heckman, J. J., &amp; </w:t>
      </w:r>
      <w:proofErr w:type="spellStart"/>
      <w:r>
        <w:rPr>
          <w:rFonts w:ascii="Arial" w:eastAsia="Arial" w:hAnsi="Arial" w:cs="Arial"/>
        </w:rPr>
        <w:t>Schennach</w:t>
      </w:r>
      <w:proofErr w:type="spellEnd"/>
      <w:r>
        <w:rPr>
          <w:rFonts w:ascii="Arial" w:eastAsia="Arial" w:hAnsi="Arial" w:cs="Arial"/>
        </w:rPr>
        <w:t>, S. M. (2021). Estimating the technology of cognitive and noncognitive skill formation. American Economic Review, 111(6), 1937–1976. https://doi.org/10.1257/aer.20160230</w:t>
      </w:r>
    </w:p>
    <w:p w14:paraId="57ED0DAA"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De Jonge, J., Peeters, M. C. W., &amp; Taris, T. W. (2020). Feeling vital or fatigued? Relations with job demands and resources. International Journal of Environmental Research and Public Health, 17(3), 742.</w:t>
      </w:r>
    </w:p>
    <w:p w14:paraId="3C3229AB"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https://doi.org/10.3390/ijerph17030742</w:t>
      </w:r>
    </w:p>
    <w:p w14:paraId="6B756913"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Deming, D. J. (2022). Four facts about human capital. Journal of Economic Perspectives, 36(3), 75–102.</w:t>
      </w:r>
    </w:p>
    <w:p w14:paraId="124CE395"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https://doi.org/10.1257/jep.36.3.75</w:t>
      </w:r>
    </w:p>
    <w:p w14:paraId="2AC39157"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lastRenderedPageBreak/>
        <w:t>Denhardt, J. V., &amp; Denhardt, R. B. (2015). The new public service: Serving, not steering. Routledge.</w:t>
      </w:r>
    </w:p>
    <w:p w14:paraId="2BAB71A7" w14:textId="77777777" w:rsidR="008F230A" w:rsidRDefault="008F76E1">
      <w:pPr>
        <w:pBdr>
          <w:top w:val="nil"/>
          <w:left w:val="nil"/>
          <w:bottom w:val="nil"/>
          <w:right w:val="nil"/>
          <w:between w:val="nil"/>
        </w:pBdr>
        <w:jc w:val="both"/>
        <w:rPr>
          <w:rFonts w:ascii="Arial" w:eastAsia="Arial" w:hAnsi="Arial" w:cs="Arial"/>
        </w:rPr>
      </w:pPr>
      <w:proofErr w:type="spellStart"/>
      <w:r>
        <w:rPr>
          <w:rFonts w:ascii="Arial" w:eastAsia="Arial" w:hAnsi="Arial" w:cs="Arial"/>
        </w:rPr>
        <w:t>Fachrurazi</w:t>
      </w:r>
      <w:proofErr w:type="spellEnd"/>
      <w:r>
        <w:rPr>
          <w:rFonts w:ascii="Arial" w:eastAsia="Arial" w:hAnsi="Arial" w:cs="Arial"/>
        </w:rPr>
        <w:t xml:space="preserve">, H., </w:t>
      </w:r>
      <w:proofErr w:type="spellStart"/>
      <w:r>
        <w:rPr>
          <w:rFonts w:ascii="Arial" w:eastAsia="Arial" w:hAnsi="Arial" w:cs="Arial"/>
        </w:rPr>
        <w:t>dkk</w:t>
      </w:r>
      <w:proofErr w:type="spellEnd"/>
      <w:r>
        <w:rPr>
          <w:rFonts w:ascii="Arial" w:eastAsia="Arial" w:hAnsi="Arial" w:cs="Arial"/>
        </w:rPr>
        <w:t xml:space="preserve">., (2021) </w:t>
      </w:r>
      <w:proofErr w:type="spellStart"/>
      <w:r>
        <w:rPr>
          <w:rFonts w:ascii="Arial" w:eastAsia="Arial" w:hAnsi="Arial" w:cs="Arial"/>
        </w:rPr>
        <w:t>Teori</w:t>
      </w:r>
      <w:proofErr w:type="spellEnd"/>
      <w:r>
        <w:rPr>
          <w:rFonts w:ascii="Arial" w:eastAsia="Arial" w:hAnsi="Arial" w:cs="Arial"/>
        </w:rPr>
        <w:t xml:space="preserve"> dan </w:t>
      </w:r>
      <w:proofErr w:type="spellStart"/>
      <w:r>
        <w:rPr>
          <w:rFonts w:ascii="Arial" w:eastAsia="Arial" w:hAnsi="Arial" w:cs="Arial"/>
        </w:rPr>
        <w:t>Konsep</w:t>
      </w:r>
      <w:proofErr w:type="spellEnd"/>
      <w:r>
        <w:rPr>
          <w:rFonts w:ascii="Arial" w:eastAsia="Arial" w:hAnsi="Arial" w:cs="Arial"/>
        </w:rPr>
        <w:t xml:space="preserve"> </w:t>
      </w:r>
      <w:proofErr w:type="spellStart"/>
      <w:r>
        <w:rPr>
          <w:rFonts w:ascii="Arial" w:eastAsia="Arial" w:hAnsi="Arial" w:cs="Arial"/>
        </w:rPr>
        <w:t>Manajemen</w:t>
      </w:r>
      <w:proofErr w:type="spellEnd"/>
      <w:r>
        <w:rPr>
          <w:rFonts w:ascii="Arial" w:eastAsia="Arial" w:hAnsi="Arial" w:cs="Arial"/>
        </w:rPr>
        <w:t xml:space="preserve"> </w:t>
      </w:r>
      <w:proofErr w:type="spellStart"/>
      <w:r>
        <w:rPr>
          <w:rFonts w:ascii="Arial" w:eastAsia="Arial" w:hAnsi="Arial" w:cs="Arial"/>
        </w:rPr>
        <w:t>Sumber</w:t>
      </w:r>
      <w:proofErr w:type="spellEnd"/>
      <w:r>
        <w:rPr>
          <w:rFonts w:ascii="Arial" w:eastAsia="Arial" w:hAnsi="Arial" w:cs="Arial"/>
        </w:rPr>
        <w:t xml:space="preserve"> </w:t>
      </w:r>
      <w:proofErr w:type="spellStart"/>
      <w:r>
        <w:rPr>
          <w:rFonts w:ascii="Arial" w:eastAsia="Arial" w:hAnsi="Arial" w:cs="Arial"/>
        </w:rPr>
        <w:t>Daya</w:t>
      </w:r>
      <w:proofErr w:type="spellEnd"/>
      <w:r>
        <w:rPr>
          <w:rFonts w:ascii="Arial" w:eastAsia="Arial" w:hAnsi="Arial" w:cs="Arial"/>
        </w:rPr>
        <w:t xml:space="preserve"> </w:t>
      </w:r>
      <w:proofErr w:type="spellStart"/>
      <w:r>
        <w:rPr>
          <w:rFonts w:ascii="Arial" w:eastAsia="Arial" w:hAnsi="Arial" w:cs="Arial"/>
        </w:rPr>
        <w:t>Manusia</w:t>
      </w:r>
      <w:proofErr w:type="spellEnd"/>
      <w:r>
        <w:rPr>
          <w:rFonts w:ascii="Arial" w:eastAsia="Arial" w:hAnsi="Arial" w:cs="Arial"/>
        </w:rPr>
        <w:t xml:space="preserve">, Yayasan </w:t>
      </w:r>
      <w:proofErr w:type="spellStart"/>
      <w:r>
        <w:rPr>
          <w:rFonts w:ascii="Arial" w:eastAsia="Arial" w:hAnsi="Arial" w:cs="Arial"/>
        </w:rPr>
        <w:t>Batam</w:t>
      </w:r>
      <w:proofErr w:type="spellEnd"/>
      <w:r>
        <w:rPr>
          <w:rFonts w:ascii="Arial" w:eastAsia="Arial" w:hAnsi="Arial" w:cs="Arial"/>
        </w:rPr>
        <w:t xml:space="preserve">: </w:t>
      </w:r>
      <w:proofErr w:type="spellStart"/>
      <w:r>
        <w:rPr>
          <w:rFonts w:ascii="Arial" w:eastAsia="Arial" w:hAnsi="Arial" w:cs="Arial"/>
        </w:rPr>
        <w:t>Cendikia</w:t>
      </w:r>
      <w:proofErr w:type="spellEnd"/>
      <w:r>
        <w:rPr>
          <w:rFonts w:ascii="Arial" w:eastAsia="Arial" w:hAnsi="Arial" w:cs="Arial"/>
        </w:rPr>
        <w:t xml:space="preserve"> </w:t>
      </w:r>
      <w:proofErr w:type="spellStart"/>
      <w:r>
        <w:rPr>
          <w:rFonts w:ascii="Arial" w:eastAsia="Arial" w:hAnsi="Arial" w:cs="Arial"/>
        </w:rPr>
        <w:t>Mulia</w:t>
      </w:r>
      <w:proofErr w:type="spellEnd"/>
      <w:r>
        <w:rPr>
          <w:rFonts w:ascii="Arial" w:eastAsia="Arial" w:hAnsi="Arial" w:cs="Arial"/>
        </w:rPr>
        <w:t xml:space="preserve"> </w:t>
      </w:r>
      <w:proofErr w:type="spellStart"/>
      <w:r>
        <w:rPr>
          <w:rFonts w:ascii="Arial" w:eastAsia="Arial" w:hAnsi="Arial" w:cs="Arial"/>
        </w:rPr>
        <w:t>Mandiri</w:t>
      </w:r>
      <w:proofErr w:type="spellEnd"/>
      <w:r>
        <w:rPr>
          <w:rFonts w:ascii="Arial" w:eastAsia="Arial" w:hAnsi="Arial" w:cs="Arial"/>
        </w:rPr>
        <w:t xml:space="preserve">. </w:t>
      </w:r>
    </w:p>
    <w:p w14:paraId="6B33CC3D" w14:textId="77777777" w:rsidR="008F230A" w:rsidRDefault="008F76E1">
      <w:pPr>
        <w:pBdr>
          <w:top w:val="nil"/>
          <w:left w:val="nil"/>
          <w:bottom w:val="nil"/>
          <w:right w:val="nil"/>
          <w:between w:val="nil"/>
        </w:pBdr>
        <w:jc w:val="both"/>
        <w:rPr>
          <w:rFonts w:ascii="Arial" w:eastAsia="Arial" w:hAnsi="Arial" w:cs="Arial"/>
        </w:rPr>
      </w:pPr>
      <w:proofErr w:type="spellStart"/>
      <w:r>
        <w:rPr>
          <w:rFonts w:ascii="Arial" w:eastAsia="Arial" w:hAnsi="Arial" w:cs="Arial"/>
        </w:rPr>
        <w:t>Febryanti</w:t>
      </w:r>
      <w:proofErr w:type="spellEnd"/>
      <w:r>
        <w:rPr>
          <w:rFonts w:ascii="Arial" w:eastAsia="Arial" w:hAnsi="Arial" w:cs="Arial"/>
        </w:rPr>
        <w:t xml:space="preserve">, I., </w:t>
      </w:r>
      <w:proofErr w:type="spellStart"/>
      <w:r>
        <w:rPr>
          <w:rFonts w:ascii="Arial" w:eastAsia="Arial" w:hAnsi="Arial" w:cs="Arial"/>
        </w:rPr>
        <w:t>Indiati</w:t>
      </w:r>
      <w:proofErr w:type="spellEnd"/>
      <w:r>
        <w:rPr>
          <w:rFonts w:ascii="Arial" w:eastAsia="Arial" w:hAnsi="Arial" w:cs="Arial"/>
        </w:rPr>
        <w:t xml:space="preserve">, I., Pane, M. A., &amp; Astuti, P. (2025). </w:t>
      </w:r>
      <w:proofErr w:type="spellStart"/>
      <w:r>
        <w:rPr>
          <w:rFonts w:ascii="Arial" w:eastAsia="Arial" w:hAnsi="Arial" w:cs="Arial"/>
        </w:rPr>
        <w:t>Implementasi</w:t>
      </w:r>
      <w:proofErr w:type="spellEnd"/>
      <w:r>
        <w:rPr>
          <w:rFonts w:ascii="Arial" w:eastAsia="Arial" w:hAnsi="Arial" w:cs="Arial"/>
        </w:rPr>
        <w:t xml:space="preserve"> </w:t>
      </w:r>
      <w:proofErr w:type="spellStart"/>
      <w:r>
        <w:rPr>
          <w:rFonts w:ascii="Arial" w:eastAsia="Arial" w:hAnsi="Arial" w:cs="Arial"/>
        </w:rPr>
        <w:t>kebijakan</w:t>
      </w:r>
      <w:proofErr w:type="spellEnd"/>
      <w:r>
        <w:rPr>
          <w:rFonts w:ascii="Arial" w:eastAsia="Arial" w:hAnsi="Arial" w:cs="Arial"/>
        </w:rPr>
        <w:t xml:space="preserve"> </w:t>
      </w:r>
      <w:proofErr w:type="spellStart"/>
      <w:r>
        <w:rPr>
          <w:rFonts w:ascii="Arial" w:eastAsia="Arial" w:hAnsi="Arial" w:cs="Arial"/>
        </w:rPr>
        <w:t>makan</w:t>
      </w:r>
      <w:proofErr w:type="spellEnd"/>
      <w:r>
        <w:rPr>
          <w:rFonts w:ascii="Arial" w:eastAsia="Arial" w:hAnsi="Arial" w:cs="Arial"/>
        </w:rPr>
        <w:t xml:space="preserve"> </w:t>
      </w:r>
      <w:proofErr w:type="spellStart"/>
      <w:r>
        <w:rPr>
          <w:rFonts w:ascii="Arial" w:eastAsia="Arial" w:hAnsi="Arial" w:cs="Arial"/>
        </w:rPr>
        <w:t>bergizi</w:t>
      </w:r>
      <w:proofErr w:type="spellEnd"/>
      <w:r>
        <w:rPr>
          <w:rFonts w:ascii="Arial" w:eastAsia="Arial" w:hAnsi="Arial" w:cs="Arial"/>
        </w:rPr>
        <w:t xml:space="preserve"> gratis (</w:t>
      </w:r>
      <w:proofErr w:type="spellStart"/>
      <w:r>
        <w:rPr>
          <w:rFonts w:ascii="Arial" w:eastAsia="Arial" w:hAnsi="Arial" w:cs="Arial"/>
        </w:rPr>
        <w:t>studi</w:t>
      </w:r>
      <w:proofErr w:type="spellEnd"/>
      <w:r>
        <w:rPr>
          <w:rFonts w:ascii="Arial" w:eastAsia="Arial" w:hAnsi="Arial" w:cs="Arial"/>
        </w:rPr>
        <w:t xml:space="preserve"> </w:t>
      </w:r>
      <w:proofErr w:type="spellStart"/>
      <w:r>
        <w:rPr>
          <w:rFonts w:ascii="Arial" w:eastAsia="Arial" w:hAnsi="Arial" w:cs="Arial"/>
        </w:rPr>
        <w:t>kasus</w:t>
      </w:r>
      <w:proofErr w:type="spellEnd"/>
      <w:r>
        <w:rPr>
          <w:rFonts w:ascii="Arial" w:eastAsia="Arial" w:hAnsi="Arial" w:cs="Arial"/>
        </w:rPr>
        <w:t xml:space="preserve"> pada SDN 3 </w:t>
      </w:r>
      <w:proofErr w:type="spellStart"/>
      <w:r>
        <w:rPr>
          <w:rFonts w:ascii="Arial" w:eastAsia="Arial" w:hAnsi="Arial" w:cs="Arial"/>
        </w:rPr>
        <w:t>Kepanjen</w:t>
      </w:r>
      <w:proofErr w:type="spellEnd"/>
      <w:r>
        <w:rPr>
          <w:rFonts w:ascii="Arial" w:eastAsia="Arial" w:hAnsi="Arial" w:cs="Arial"/>
        </w:rPr>
        <w:t xml:space="preserve"> </w:t>
      </w:r>
      <w:proofErr w:type="spellStart"/>
      <w:r>
        <w:rPr>
          <w:rFonts w:ascii="Arial" w:eastAsia="Arial" w:hAnsi="Arial" w:cs="Arial"/>
        </w:rPr>
        <w:t>Kabupaten</w:t>
      </w:r>
      <w:proofErr w:type="spellEnd"/>
      <w:r>
        <w:rPr>
          <w:rFonts w:ascii="Arial" w:eastAsia="Arial" w:hAnsi="Arial" w:cs="Arial"/>
        </w:rPr>
        <w:t xml:space="preserve"> Malang). Dialogue: </w:t>
      </w:r>
      <w:proofErr w:type="spellStart"/>
      <w:r>
        <w:rPr>
          <w:rFonts w:ascii="Arial" w:eastAsia="Arial" w:hAnsi="Arial" w:cs="Arial"/>
        </w:rPr>
        <w:t>Jurnal</w:t>
      </w:r>
      <w:proofErr w:type="spellEnd"/>
      <w:r>
        <w:rPr>
          <w:rFonts w:ascii="Arial" w:eastAsia="Arial" w:hAnsi="Arial" w:cs="Arial"/>
        </w:rPr>
        <w:t xml:space="preserve"> </w:t>
      </w:r>
      <w:proofErr w:type="spellStart"/>
      <w:r>
        <w:rPr>
          <w:rFonts w:ascii="Arial" w:eastAsia="Arial" w:hAnsi="Arial" w:cs="Arial"/>
        </w:rPr>
        <w:t>Ilmu</w:t>
      </w:r>
      <w:proofErr w:type="spellEnd"/>
      <w:r>
        <w:rPr>
          <w:rFonts w:ascii="Arial" w:eastAsia="Arial" w:hAnsi="Arial" w:cs="Arial"/>
        </w:rPr>
        <w:t xml:space="preserve"> </w:t>
      </w:r>
      <w:proofErr w:type="spellStart"/>
      <w:r>
        <w:rPr>
          <w:rFonts w:ascii="Arial" w:eastAsia="Arial" w:hAnsi="Arial" w:cs="Arial"/>
        </w:rPr>
        <w:t>Administrasi</w:t>
      </w:r>
      <w:proofErr w:type="spellEnd"/>
      <w:r>
        <w:rPr>
          <w:rFonts w:ascii="Arial" w:eastAsia="Arial" w:hAnsi="Arial" w:cs="Arial"/>
        </w:rPr>
        <w:t xml:space="preserve"> </w:t>
      </w:r>
      <w:proofErr w:type="spellStart"/>
      <w:r>
        <w:rPr>
          <w:rFonts w:ascii="Arial" w:eastAsia="Arial" w:hAnsi="Arial" w:cs="Arial"/>
        </w:rPr>
        <w:t>Publik</w:t>
      </w:r>
      <w:proofErr w:type="spellEnd"/>
      <w:r>
        <w:rPr>
          <w:rFonts w:ascii="Arial" w:eastAsia="Arial" w:hAnsi="Arial" w:cs="Arial"/>
        </w:rPr>
        <w:t>, 7(1).</w:t>
      </w:r>
    </w:p>
    <w:p w14:paraId="3D2F1F52"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https://doi.org/10.14710/dialogue.v7i1.26628</w:t>
      </w:r>
    </w:p>
    <w:p w14:paraId="53D15AA4"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Flippo, Edwin B. 1984. Personnel Management. 6th ed. New York: McGraw-</w:t>
      </w:r>
      <w:proofErr w:type="spellStart"/>
      <w:r>
        <w:rPr>
          <w:rFonts w:ascii="Arial" w:eastAsia="Arial" w:hAnsi="Arial" w:cs="Arial"/>
        </w:rPr>
        <w:t>Hill.Perry</w:t>
      </w:r>
      <w:proofErr w:type="spellEnd"/>
      <w:r>
        <w:rPr>
          <w:rFonts w:ascii="Arial" w:eastAsia="Arial" w:hAnsi="Arial" w:cs="Arial"/>
        </w:rPr>
        <w:t xml:space="preserve">, J. L., &amp; </w:t>
      </w:r>
      <w:proofErr w:type="spellStart"/>
      <w:r>
        <w:rPr>
          <w:rFonts w:ascii="Arial" w:eastAsia="Arial" w:hAnsi="Arial" w:cs="Arial"/>
        </w:rPr>
        <w:t>Hondeghem</w:t>
      </w:r>
      <w:proofErr w:type="spellEnd"/>
      <w:r>
        <w:rPr>
          <w:rFonts w:ascii="Arial" w:eastAsia="Arial" w:hAnsi="Arial" w:cs="Arial"/>
        </w:rPr>
        <w:t>, A. (Ed.). 2008. Motivation in Public Management: The Call of Public Service. Oxford: Oxford University Press.</w:t>
      </w:r>
    </w:p>
    <w:p w14:paraId="218F14DB"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Guest, D. E. (2019). Human resource management and employee well‐being: Towards a new analytic framework. Human Resource Management Journal, 29(1), 1–17.</w:t>
      </w:r>
    </w:p>
    <w:p w14:paraId="091FCFC8"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https://doi.org/10.1111/1748-8583.12200</w:t>
      </w:r>
    </w:p>
    <w:p w14:paraId="2472E44E"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 xml:space="preserve">Hanushek, E. A., &amp; </w:t>
      </w:r>
      <w:proofErr w:type="spellStart"/>
      <w:r>
        <w:rPr>
          <w:rFonts w:ascii="Arial" w:eastAsia="Arial" w:hAnsi="Arial" w:cs="Arial"/>
        </w:rPr>
        <w:t>Woessmann</w:t>
      </w:r>
      <w:proofErr w:type="spellEnd"/>
      <w:r>
        <w:rPr>
          <w:rFonts w:ascii="Arial" w:eastAsia="Arial" w:hAnsi="Arial" w:cs="Arial"/>
        </w:rPr>
        <w:t>, L. (2020). Education, knowledge capital, and economic growth. Economics of Education Review, 78, 101911. https://doi.org/10.1016/j.econedurev.2020.101911</w:t>
      </w:r>
    </w:p>
    <w:p w14:paraId="66AD4419"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 xml:space="preserve">Heckman, J. J., &amp; </w:t>
      </w:r>
      <w:proofErr w:type="spellStart"/>
      <w:r>
        <w:rPr>
          <w:rFonts w:ascii="Arial" w:eastAsia="Arial" w:hAnsi="Arial" w:cs="Arial"/>
        </w:rPr>
        <w:t>Karapakula</w:t>
      </w:r>
      <w:proofErr w:type="spellEnd"/>
      <w:r>
        <w:rPr>
          <w:rFonts w:ascii="Arial" w:eastAsia="Arial" w:hAnsi="Arial" w:cs="Arial"/>
        </w:rPr>
        <w:t>, G. (2019). Intergenerational and lifecycle benefits of early childhood interventions. Journal of Political Economy, 127(S1), S364–S403. https://doi.org/10.3386/w25877</w:t>
      </w:r>
    </w:p>
    <w:p w14:paraId="201A6307"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Heckman, J. J., &amp; Mosso, S. (2019). The economics of human development and social mobility. Annual Review of Economics, 11, 689–733.</w:t>
      </w:r>
    </w:p>
    <w:p w14:paraId="2F55C542"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https://doi.org/10.1146/annurev-economics-080218-025250</w:t>
      </w:r>
    </w:p>
    <w:p w14:paraId="087D33EC"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Ilmarinen, J., Tuomi, K., &amp; Klockars, M. (2019). Changes in the work ability of active employees over an 11-year period. Scandinavian Journal of Work, Environment &amp; Health, 45(4), 383–390.</w:t>
      </w:r>
    </w:p>
    <w:p w14:paraId="463D8807"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https://doi.org/10.5271/sjweh.3796</w:t>
      </w:r>
    </w:p>
    <w:p w14:paraId="41983D39"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Jiang, K., Hu, J., Liu, S., &amp; Lepak, D. P. (2019). Understanding employees’ perceptions of human resource practices: Effects on commitment and performance. Human Resource Management Journal, 29(2), 234–250.</w:t>
      </w:r>
    </w:p>
    <w:p w14:paraId="087194E5"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https://doi.org/10.1111/1748-8583.12221</w:t>
      </w:r>
    </w:p>
    <w:p w14:paraId="0869B8DC"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Jiang, K., Lepak, D. P., Hu, J., &amp; Baer, J. C. (2019). How does human resource management influence organizational outcomes? A meta-analytic investigation of mediating mechanisms. Academy of Management Annals, 13(2), 1–45. https://doi.org/10.5465/annals.2017.0006</w:t>
      </w:r>
    </w:p>
    <w:p w14:paraId="5AE59514"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Kaufman, B. E. (2020). Strategic human resource management research and practice: The promise of a new paradigm. Cambridge University Press.</w:t>
      </w:r>
    </w:p>
    <w:p w14:paraId="34951335"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https://doi.org/10.1017/9781108770754</w:t>
      </w:r>
    </w:p>
    <w:p w14:paraId="560EA428" w14:textId="77777777" w:rsidR="008F230A" w:rsidRDefault="008F76E1">
      <w:pPr>
        <w:pBdr>
          <w:top w:val="nil"/>
          <w:left w:val="nil"/>
          <w:bottom w:val="nil"/>
          <w:right w:val="nil"/>
          <w:between w:val="nil"/>
        </w:pBdr>
        <w:jc w:val="both"/>
        <w:rPr>
          <w:rFonts w:ascii="Arial" w:eastAsia="Arial" w:hAnsi="Arial" w:cs="Arial"/>
        </w:rPr>
      </w:pPr>
      <w:proofErr w:type="spellStart"/>
      <w:r>
        <w:rPr>
          <w:rFonts w:ascii="Arial" w:eastAsia="Arial" w:hAnsi="Arial" w:cs="Arial"/>
        </w:rPr>
        <w:t>Kiftiyah</w:t>
      </w:r>
      <w:proofErr w:type="spellEnd"/>
      <w:r>
        <w:rPr>
          <w:rFonts w:ascii="Arial" w:eastAsia="Arial" w:hAnsi="Arial" w:cs="Arial"/>
        </w:rPr>
        <w:t xml:space="preserve">, A., Palestina, F. A., </w:t>
      </w:r>
      <w:proofErr w:type="spellStart"/>
      <w:r>
        <w:rPr>
          <w:rFonts w:ascii="Arial" w:eastAsia="Arial" w:hAnsi="Arial" w:cs="Arial"/>
        </w:rPr>
        <w:t>Abshar</w:t>
      </w:r>
      <w:proofErr w:type="spellEnd"/>
      <w:r>
        <w:rPr>
          <w:rFonts w:ascii="Arial" w:eastAsia="Arial" w:hAnsi="Arial" w:cs="Arial"/>
        </w:rPr>
        <w:t xml:space="preserve">, F. U., &amp; Rofiah, K. (2025). </w:t>
      </w:r>
      <w:proofErr w:type="spellStart"/>
      <w:r>
        <w:rPr>
          <w:rFonts w:ascii="Arial" w:eastAsia="Arial" w:hAnsi="Arial" w:cs="Arial"/>
        </w:rPr>
        <w:t>Makan</w:t>
      </w:r>
      <w:proofErr w:type="spellEnd"/>
      <w:r>
        <w:rPr>
          <w:rFonts w:ascii="Arial" w:eastAsia="Arial" w:hAnsi="Arial" w:cs="Arial"/>
        </w:rPr>
        <w:t xml:space="preserve"> </w:t>
      </w:r>
      <w:proofErr w:type="spellStart"/>
      <w:r>
        <w:rPr>
          <w:rFonts w:ascii="Arial" w:eastAsia="Arial" w:hAnsi="Arial" w:cs="Arial"/>
        </w:rPr>
        <w:t>bergizi</w:t>
      </w:r>
      <w:proofErr w:type="spellEnd"/>
      <w:r>
        <w:rPr>
          <w:rFonts w:ascii="Arial" w:eastAsia="Arial" w:hAnsi="Arial" w:cs="Arial"/>
        </w:rPr>
        <w:t xml:space="preserve"> gratis (MBG) program in the perspective of social justice and socio-political dynamics. PANCASILA: </w:t>
      </w:r>
      <w:proofErr w:type="spellStart"/>
      <w:r>
        <w:rPr>
          <w:rFonts w:ascii="Arial" w:eastAsia="Arial" w:hAnsi="Arial" w:cs="Arial"/>
        </w:rPr>
        <w:t>Jurnal</w:t>
      </w:r>
      <w:proofErr w:type="spellEnd"/>
      <w:r>
        <w:rPr>
          <w:rFonts w:ascii="Arial" w:eastAsia="Arial" w:hAnsi="Arial" w:cs="Arial"/>
        </w:rPr>
        <w:t xml:space="preserve"> </w:t>
      </w:r>
      <w:proofErr w:type="spellStart"/>
      <w:r>
        <w:rPr>
          <w:rFonts w:ascii="Arial" w:eastAsia="Arial" w:hAnsi="Arial" w:cs="Arial"/>
        </w:rPr>
        <w:t>Keindonesiaan</w:t>
      </w:r>
      <w:proofErr w:type="spellEnd"/>
      <w:r>
        <w:rPr>
          <w:rFonts w:ascii="Arial" w:eastAsia="Arial" w:hAnsi="Arial" w:cs="Arial"/>
        </w:rPr>
        <w:t>, 5(1).</w:t>
      </w:r>
    </w:p>
    <w:p w14:paraId="0ABC6C73" w14:textId="77777777" w:rsidR="008F230A" w:rsidRDefault="008F76E1">
      <w:pPr>
        <w:pBdr>
          <w:top w:val="nil"/>
          <w:left w:val="nil"/>
          <w:bottom w:val="nil"/>
          <w:right w:val="nil"/>
          <w:between w:val="nil"/>
        </w:pBdr>
        <w:jc w:val="both"/>
        <w:rPr>
          <w:rFonts w:ascii="Arial" w:eastAsia="Arial" w:hAnsi="Arial" w:cs="Arial"/>
        </w:rPr>
      </w:pPr>
      <w:proofErr w:type="spellStart"/>
      <w:r>
        <w:rPr>
          <w:rFonts w:ascii="Arial" w:eastAsia="Arial" w:hAnsi="Arial" w:cs="Arial"/>
        </w:rPr>
        <w:t>Lengnick</w:t>
      </w:r>
      <w:proofErr w:type="spellEnd"/>
      <w:r>
        <w:rPr>
          <w:rFonts w:ascii="Arial" w:eastAsia="Arial" w:hAnsi="Arial" w:cs="Arial"/>
        </w:rPr>
        <w:t xml:space="preserve">-Hall, M. L., </w:t>
      </w:r>
      <w:proofErr w:type="spellStart"/>
      <w:r>
        <w:rPr>
          <w:rFonts w:ascii="Arial" w:eastAsia="Arial" w:hAnsi="Arial" w:cs="Arial"/>
        </w:rPr>
        <w:t>Lengnick</w:t>
      </w:r>
      <w:proofErr w:type="spellEnd"/>
      <w:r>
        <w:rPr>
          <w:rFonts w:ascii="Arial" w:eastAsia="Arial" w:hAnsi="Arial" w:cs="Arial"/>
        </w:rPr>
        <w:t>-Hall, C. A., Andrade, L. S., &amp; Drake, B. (2021). Strategic human resource management: The evolution of the field. Human Resource Management Review, 31(2), 100804. https://doi.org/10.1016/j.hrmr.2020.100804</w:t>
      </w:r>
    </w:p>
    <w:p w14:paraId="79992A0D"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Mazzucato, M. (2021). Mission-oriented innovation policies: Challenges and opportunities. Research Policy, 50(4), 104021. https://doi.org/10.1016/j.respol.2020.104021</w:t>
      </w:r>
    </w:p>
    <w:p w14:paraId="03EF305C"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Merlinda, A. A., &amp; Yusuf, Y. (2025). “</w:t>
      </w:r>
      <w:proofErr w:type="spellStart"/>
      <w:r>
        <w:rPr>
          <w:rFonts w:ascii="Arial" w:eastAsia="Arial" w:hAnsi="Arial" w:cs="Arial"/>
        </w:rPr>
        <w:t>Analisis</w:t>
      </w:r>
      <w:proofErr w:type="spellEnd"/>
      <w:r>
        <w:rPr>
          <w:rFonts w:ascii="Arial" w:eastAsia="Arial" w:hAnsi="Arial" w:cs="Arial"/>
        </w:rPr>
        <w:t xml:space="preserve"> Program </w:t>
      </w:r>
      <w:proofErr w:type="spellStart"/>
      <w:r>
        <w:rPr>
          <w:rFonts w:ascii="Arial" w:eastAsia="Arial" w:hAnsi="Arial" w:cs="Arial"/>
        </w:rPr>
        <w:t>Makan</w:t>
      </w:r>
      <w:proofErr w:type="spellEnd"/>
      <w:r>
        <w:rPr>
          <w:rFonts w:ascii="Arial" w:eastAsia="Arial" w:hAnsi="Arial" w:cs="Arial"/>
        </w:rPr>
        <w:t xml:space="preserve"> Gratis Prabowo </w:t>
      </w:r>
      <w:proofErr w:type="spellStart"/>
      <w:r>
        <w:rPr>
          <w:rFonts w:ascii="Arial" w:eastAsia="Arial" w:hAnsi="Arial" w:cs="Arial"/>
        </w:rPr>
        <w:t>Subianto</w:t>
      </w:r>
      <w:proofErr w:type="spellEnd"/>
      <w:r>
        <w:rPr>
          <w:rFonts w:ascii="Arial" w:eastAsia="Arial" w:hAnsi="Arial" w:cs="Arial"/>
        </w:rPr>
        <w:t xml:space="preserve"> </w:t>
      </w:r>
      <w:proofErr w:type="spellStart"/>
      <w:r>
        <w:rPr>
          <w:rFonts w:ascii="Arial" w:eastAsia="Arial" w:hAnsi="Arial" w:cs="Arial"/>
        </w:rPr>
        <w:t>Terhadap</w:t>
      </w:r>
      <w:proofErr w:type="spellEnd"/>
      <w:r>
        <w:rPr>
          <w:rFonts w:ascii="Arial" w:eastAsia="Arial" w:hAnsi="Arial" w:cs="Arial"/>
        </w:rPr>
        <w:t xml:space="preserve"> </w:t>
      </w:r>
      <w:proofErr w:type="spellStart"/>
      <w:r>
        <w:rPr>
          <w:rFonts w:ascii="Arial" w:eastAsia="Arial" w:hAnsi="Arial" w:cs="Arial"/>
        </w:rPr>
        <w:t>Strategi</w:t>
      </w:r>
      <w:proofErr w:type="spellEnd"/>
      <w:r>
        <w:rPr>
          <w:rFonts w:ascii="Arial" w:eastAsia="Arial" w:hAnsi="Arial" w:cs="Arial"/>
        </w:rPr>
        <w:t xml:space="preserve"> </w:t>
      </w:r>
      <w:proofErr w:type="spellStart"/>
      <w:r>
        <w:rPr>
          <w:rFonts w:ascii="Arial" w:eastAsia="Arial" w:hAnsi="Arial" w:cs="Arial"/>
        </w:rPr>
        <w:t>Peningkatan</w:t>
      </w:r>
      <w:proofErr w:type="spellEnd"/>
      <w:r>
        <w:rPr>
          <w:rFonts w:ascii="Arial" w:eastAsia="Arial" w:hAnsi="Arial" w:cs="Arial"/>
        </w:rPr>
        <w:t xml:space="preserve"> </w:t>
      </w:r>
      <w:proofErr w:type="spellStart"/>
      <w:r>
        <w:rPr>
          <w:rFonts w:ascii="Arial" w:eastAsia="Arial" w:hAnsi="Arial" w:cs="Arial"/>
        </w:rPr>
        <w:t>Motivasi</w:t>
      </w:r>
      <w:proofErr w:type="spellEnd"/>
      <w:r>
        <w:rPr>
          <w:rFonts w:ascii="Arial" w:eastAsia="Arial" w:hAnsi="Arial" w:cs="Arial"/>
        </w:rPr>
        <w:t xml:space="preserve"> </w:t>
      </w:r>
      <w:proofErr w:type="spellStart"/>
      <w:r>
        <w:rPr>
          <w:rFonts w:ascii="Arial" w:eastAsia="Arial" w:hAnsi="Arial" w:cs="Arial"/>
        </w:rPr>
        <w:t>Belajar</w:t>
      </w:r>
      <w:proofErr w:type="spellEnd"/>
      <w:r>
        <w:rPr>
          <w:rFonts w:ascii="Arial" w:eastAsia="Arial" w:hAnsi="Arial" w:cs="Arial"/>
        </w:rPr>
        <w:t xml:space="preserve"> </w:t>
      </w:r>
      <w:proofErr w:type="spellStart"/>
      <w:r>
        <w:rPr>
          <w:rFonts w:ascii="Arial" w:eastAsia="Arial" w:hAnsi="Arial" w:cs="Arial"/>
        </w:rPr>
        <w:t>Siswa</w:t>
      </w:r>
      <w:proofErr w:type="spellEnd"/>
      <w:r>
        <w:rPr>
          <w:rFonts w:ascii="Arial" w:eastAsia="Arial" w:hAnsi="Arial" w:cs="Arial"/>
        </w:rPr>
        <w:t xml:space="preserve"> di </w:t>
      </w:r>
      <w:proofErr w:type="spellStart"/>
      <w:r>
        <w:rPr>
          <w:rFonts w:ascii="Arial" w:eastAsia="Arial" w:hAnsi="Arial" w:cs="Arial"/>
        </w:rPr>
        <w:t>Sekolah</w:t>
      </w:r>
      <w:proofErr w:type="spellEnd"/>
      <w:r>
        <w:rPr>
          <w:rFonts w:ascii="Arial" w:eastAsia="Arial" w:hAnsi="Arial" w:cs="Arial"/>
        </w:rPr>
        <w:t xml:space="preserve"> </w:t>
      </w:r>
      <w:proofErr w:type="spellStart"/>
      <w:r>
        <w:rPr>
          <w:rFonts w:ascii="Arial" w:eastAsia="Arial" w:hAnsi="Arial" w:cs="Arial"/>
        </w:rPr>
        <w:t>Tinjauan</w:t>
      </w:r>
      <w:proofErr w:type="spellEnd"/>
      <w:r>
        <w:rPr>
          <w:rFonts w:ascii="Arial" w:eastAsia="Arial" w:hAnsi="Arial" w:cs="Arial"/>
        </w:rPr>
        <w:t xml:space="preserve"> </w:t>
      </w:r>
      <w:proofErr w:type="spellStart"/>
      <w:r>
        <w:rPr>
          <w:rFonts w:ascii="Arial" w:eastAsia="Arial" w:hAnsi="Arial" w:cs="Arial"/>
        </w:rPr>
        <w:t>dari</w:t>
      </w:r>
      <w:proofErr w:type="spellEnd"/>
      <w:r>
        <w:rPr>
          <w:rFonts w:ascii="Arial" w:eastAsia="Arial" w:hAnsi="Arial" w:cs="Arial"/>
        </w:rPr>
        <w:t xml:space="preserve"> </w:t>
      </w:r>
      <w:proofErr w:type="spellStart"/>
      <w:r>
        <w:rPr>
          <w:rFonts w:ascii="Arial" w:eastAsia="Arial" w:hAnsi="Arial" w:cs="Arial"/>
        </w:rPr>
        <w:t>Perspektif</w:t>
      </w:r>
      <w:proofErr w:type="spellEnd"/>
      <w:r>
        <w:rPr>
          <w:rFonts w:ascii="Arial" w:eastAsia="Arial" w:hAnsi="Arial" w:cs="Arial"/>
        </w:rPr>
        <w:t xml:space="preserve"> </w:t>
      </w:r>
      <w:proofErr w:type="spellStart"/>
      <w:r>
        <w:rPr>
          <w:rFonts w:ascii="Arial" w:eastAsia="Arial" w:hAnsi="Arial" w:cs="Arial"/>
        </w:rPr>
        <w:t>Sosiologi</w:t>
      </w:r>
      <w:proofErr w:type="spellEnd"/>
      <w:r>
        <w:rPr>
          <w:rFonts w:ascii="Arial" w:eastAsia="Arial" w:hAnsi="Arial" w:cs="Arial"/>
        </w:rPr>
        <w:t xml:space="preserve"> Pendidikan”. Ranah Research: Jurnal of Multidisciplinary Research and Development, 7(2). </w:t>
      </w:r>
    </w:p>
    <w:p w14:paraId="0A1EE1D0"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OECD. (2020). Improving evaluation practices for public policies. OECD Publishing.</w:t>
      </w:r>
    </w:p>
    <w:p w14:paraId="5DC9985E"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https://doi.org/10.1787/9f8433b6-en</w:t>
      </w:r>
    </w:p>
    <w:p w14:paraId="19E723A5"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OECD. (2021). Building a high-quality public workforce. OECD Public Governance Reviews.</w:t>
      </w:r>
    </w:p>
    <w:p w14:paraId="534F2E15"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https://doi.org/10.1787/bb0fd39e-en</w:t>
      </w:r>
    </w:p>
    <w:p w14:paraId="1FA7BDDD" w14:textId="77777777" w:rsidR="008F230A" w:rsidRDefault="008F76E1">
      <w:pPr>
        <w:pBdr>
          <w:top w:val="nil"/>
          <w:left w:val="nil"/>
          <w:bottom w:val="nil"/>
          <w:right w:val="nil"/>
          <w:between w:val="nil"/>
        </w:pBdr>
        <w:jc w:val="both"/>
        <w:rPr>
          <w:rFonts w:ascii="Arial" w:eastAsia="Arial" w:hAnsi="Arial" w:cs="Arial"/>
        </w:rPr>
      </w:pPr>
      <w:proofErr w:type="spellStart"/>
      <w:r>
        <w:rPr>
          <w:rFonts w:ascii="Arial" w:eastAsia="Arial" w:hAnsi="Arial" w:cs="Arial"/>
        </w:rPr>
        <w:lastRenderedPageBreak/>
        <w:t>Peraturan</w:t>
      </w:r>
      <w:proofErr w:type="spellEnd"/>
      <w:r>
        <w:rPr>
          <w:rFonts w:ascii="Arial" w:eastAsia="Arial" w:hAnsi="Arial" w:cs="Arial"/>
        </w:rPr>
        <w:t xml:space="preserve"> Badan </w:t>
      </w:r>
      <w:proofErr w:type="spellStart"/>
      <w:r>
        <w:rPr>
          <w:rFonts w:ascii="Arial" w:eastAsia="Arial" w:hAnsi="Arial" w:cs="Arial"/>
        </w:rPr>
        <w:t>Gizi</w:t>
      </w:r>
      <w:proofErr w:type="spellEnd"/>
      <w:r>
        <w:rPr>
          <w:rFonts w:ascii="Arial" w:eastAsia="Arial" w:hAnsi="Arial" w:cs="Arial"/>
        </w:rPr>
        <w:t xml:space="preserve"> Nasional </w:t>
      </w:r>
      <w:proofErr w:type="spellStart"/>
      <w:r>
        <w:rPr>
          <w:rFonts w:ascii="Arial" w:eastAsia="Arial" w:hAnsi="Arial" w:cs="Arial"/>
        </w:rPr>
        <w:t>Nomor</w:t>
      </w:r>
      <w:proofErr w:type="spellEnd"/>
      <w:r>
        <w:rPr>
          <w:rFonts w:ascii="Arial" w:eastAsia="Arial" w:hAnsi="Arial" w:cs="Arial"/>
        </w:rPr>
        <w:t xml:space="preserve"> 6 </w:t>
      </w:r>
      <w:proofErr w:type="spellStart"/>
      <w:r>
        <w:rPr>
          <w:rFonts w:ascii="Arial" w:eastAsia="Arial" w:hAnsi="Arial" w:cs="Arial"/>
        </w:rPr>
        <w:t>Tahun</w:t>
      </w:r>
      <w:proofErr w:type="spellEnd"/>
      <w:r>
        <w:rPr>
          <w:rFonts w:ascii="Arial" w:eastAsia="Arial" w:hAnsi="Arial" w:cs="Arial"/>
        </w:rPr>
        <w:t xml:space="preserve"> 2024 </w:t>
      </w:r>
      <w:proofErr w:type="spellStart"/>
      <w:r>
        <w:rPr>
          <w:rFonts w:ascii="Arial" w:eastAsia="Arial" w:hAnsi="Arial" w:cs="Arial"/>
        </w:rPr>
        <w:t>tentang</w:t>
      </w:r>
      <w:proofErr w:type="spellEnd"/>
      <w:r>
        <w:rPr>
          <w:rFonts w:ascii="Arial" w:eastAsia="Arial" w:hAnsi="Arial" w:cs="Arial"/>
        </w:rPr>
        <w:t xml:space="preserve"> </w:t>
      </w:r>
      <w:proofErr w:type="spellStart"/>
      <w:r>
        <w:rPr>
          <w:rFonts w:ascii="Arial" w:eastAsia="Arial" w:hAnsi="Arial" w:cs="Arial"/>
        </w:rPr>
        <w:t>Pedoman</w:t>
      </w:r>
      <w:proofErr w:type="spellEnd"/>
      <w:r>
        <w:rPr>
          <w:rFonts w:ascii="Arial" w:eastAsia="Arial" w:hAnsi="Arial" w:cs="Arial"/>
        </w:rPr>
        <w:t xml:space="preserve"> </w:t>
      </w:r>
      <w:proofErr w:type="spellStart"/>
      <w:r>
        <w:rPr>
          <w:rFonts w:ascii="Arial" w:eastAsia="Arial" w:hAnsi="Arial" w:cs="Arial"/>
        </w:rPr>
        <w:t>Umum</w:t>
      </w:r>
      <w:proofErr w:type="spellEnd"/>
      <w:r>
        <w:rPr>
          <w:rFonts w:ascii="Arial" w:eastAsia="Arial" w:hAnsi="Arial" w:cs="Arial"/>
        </w:rPr>
        <w:t xml:space="preserve"> </w:t>
      </w:r>
      <w:proofErr w:type="spellStart"/>
      <w:r>
        <w:rPr>
          <w:rFonts w:ascii="Arial" w:eastAsia="Arial" w:hAnsi="Arial" w:cs="Arial"/>
        </w:rPr>
        <w:t>Penyelenggaraan</w:t>
      </w:r>
      <w:proofErr w:type="spellEnd"/>
      <w:r>
        <w:rPr>
          <w:rFonts w:ascii="Arial" w:eastAsia="Arial" w:hAnsi="Arial" w:cs="Arial"/>
        </w:rPr>
        <w:t xml:space="preserve"> </w:t>
      </w:r>
      <w:proofErr w:type="spellStart"/>
      <w:r>
        <w:rPr>
          <w:rFonts w:ascii="Arial" w:eastAsia="Arial" w:hAnsi="Arial" w:cs="Arial"/>
        </w:rPr>
        <w:t>Bantuan</w:t>
      </w:r>
      <w:proofErr w:type="spellEnd"/>
      <w:r>
        <w:rPr>
          <w:rFonts w:ascii="Arial" w:eastAsia="Arial" w:hAnsi="Arial" w:cs="Arial"/>
        </w:rPr>
        <w:t xml:space="preserve"> </w:t>
      </w:r>
      <w:proofErr w:type="spellStart"/>
      <w:r>
        <w:rPr>
          <w:rFonts w:ascii="Arial" w:eastAsia="Arial" w:hAnsi="Arial" w:cs="Arial"/>
        </w:rPr>
        <w:t>Pemerintah</w:t>
      </w:r>
      <w:proofErr w:type="spellEnd"/>
      <w:r>
        <w:rPr>
          <w:rFonts w:ascii="Arial" w:eastAsia="Arial" w:hAnsi="Arial" w:cs="Arial"/>
        </w:rPr>
        <w:t>.</w:t>
      </w:r>
    </w:p>
    <w:p w14:paraId="012B7FC9" w14:textId="77777777" w:rsidR="008F230A" w:rsidRDefault="008F76E1">
      <w:pPr>
        <w:pBdr>
          <w:top w:val="nil"/>
          <w:left w:val="nil"/>
          <w:bottom w:val="nil"/>
          <w:right w:val="nil"/>
          <w:between w:val="nil"/>
        </w:pBdr>
        <w:jc w:val="both"/>
        <w:rPr>
          <w:rFonts w:ascii="Arial" w:eastAsia="Arial" w:hAnsi="Arial" w:cs="Arial"/>
        </w:rPr>
      </w:pPr>
      <w:proofErr w:type="spellStart"/>
      <w:r>
        <w:rPr>
          <w:rFonts w:ascii="Arial" w:eastAsia="Arial" w:hAnsi="Arial" w:cs="Arial"/>
        </w:rPr>
        <w:t>Peraturan</w:t>
      </w:r>
      <w:proofErr w:type="spellEnd"/>
      <w:r>
        <w:rPr>
          <w:rFonts w:ascii="Arial" w:eastAsia="Arial" w:hAnsi="Arial" w:cs="Arial"/>
        </w:rPr>
        <w:t xml:space="preserve"> Menteri </w:t>
      </w:r>
      <w:proofErr w:type="spellStart"/>
      <w:r>
        <w:rPr>
          <w:rFonts w:ascii="Arial" w:eastAsia="Arial" w:hAnsi="Arial" w:cs="Arial"/>
        </w:rPr>
        <w:t>Kesehatan</w:t>
      </w:r>
      <w:proofErr w:type="spellEnd"/>
      <w:r>
        <w:rPr>
          <w:rFonts w:ascii="Arial" w:eastAsia="Arial" w:hAnsi="Arial" w:cs="Arial"/>
        </w:rPr>
        <w:t xml:space="preserve"> </w:t>
      </w:r>
      <w:proofErr w:type="spellStart"/>
      <w:r>
        <w:rPr>
          <w:rFonts w:ascii="Arial" w:eastAsia="Arial" w:hAnsi="Arial" w:cs="Arial"/>
        </w:rPr>
        <w:t>Nomor</w:t>
      </w:r>
      <w:proofErr w:type="spellEnd"/>
      <w:r>
        <w:rPr>
          <w:rFonts w:ascii="Arial" w:eastAsia="Arial" w:hAnsi="Arial" w:cs="Arial"/>
        </w:rPr>
        <w:t xml:space="preserve"> 28 </w:t>
      </w:r>
      <w:proofErr w:type="spellStart"/>
      <w:r>
        <w:rPr>
          <w:rFonts w:ascii="Arial" w:eastAsia="Arial" w:hAnsi="Arial" w:cs="Arial"/>
        </w:rPr>
        <w:t>Tahun</w:t>
      </w:r>
      <w:proofErr w:type="spellEnd"/>
      <w:r>
        <w:rPr>
          <w:rFonts w:ascii="Arial" w:eastAsia="Arial" w:hAnsi="Arial" w:cs="Arial"/>
        </w:rPr>
        <w:t xml:space="preserve"> 2019 </w:t>
      </w:r>
      <w:proofErr w:type="spellStart"/>
      <w:r>
        <w:rPr>
          <w:rFonts w:ascii="Arial" w:eastAsia="Arial" w:hAnsi="Arial" w:cs="Arial"/>
        </w:rPr>
        <w:t>tentang</w:t>
      </w:r>
      <w:proofErr w:type="spellEnd"/>
      <w:r>
        <w:rPr>
          <w:rFonts w:ascii="Arial" w:eastAsia="Arial" w:hAnsi="Arial" w:cs="Arial"/>
        </w:rPr>
        <w:t xml:space="preserve"> </w:t>
      </w:r>
      <w:proofErr w:type="spellStart"/>
      <w:r>
        <w:rPr>
          <w:rFonts w:ascii="Arial" w:eastAsia="Arial" w:hAnsi="Arial" w:cs="Arial"/>
        </w:rPr>
        <w:t>Angka</w:t>
      </w:r>
      <w:proofErr w:type="spellEnd"/>
      <w:r>
        <w:rPr>
          <w:rFonts w:ascii="Arial" w:eastAsia="Arial" w:hAnsi="Arial" w:cs="Arial"/>
        </w:rPr>
        <w:t xml:space="preserve"> </w:t>
      </w:r>
      <w:proofErr w:type="spellStart"/>
      <w:r>
        <w:rPr>
          <w:rFonts w:ascii="Arial" w:eastAsia="Arial" w:hAnsi="Arial" w:cs="Arial"/>
        </w:rPr>
        <w:t>Kecukupan</w:t>
      </w:r>
      <w:proofErr w:type="spellEnd"/>
      <w:r>
        <w:rPr>
          <w:rFonts w:ascii="Arial" w:eastAsia="Arial" w:hAnsi="Arial" w:cs="Arial"/>
        </w:rPr>
        <w:t xml:space="preserve"> </w:t>
      </w:r>
      <w:proofErr w:type="spellStart"/>
      <w:r>
        <w:rPr>
          <w:rFonts w:ascii="Arial" w:eastAsia="Arial" w:hAnsi="Arial" w:cs="Arial"/>
        </w:rPr>
        <w:t>Gizi</w:t>
      </w:r>
      <w:proofErr w:type="spellEnd"/>
      <w:r>
        <w:rPr>
          <w:rFonts w:ascii="Arial" w:eastAsia="Arial" w:hAnsi="Arial" w:cs="Arial"/>
        </w:rPr>
        <w:t xml:space="preserve"> (AKG).</w:t>
      </w:r>
    </w:p>
    <w:p w14:paraId="7CD1F3D8" w14:textId="77777777" w:rsidR="008F230A" w:rsidRDefault="008F76E1">
      <w:pPr>
        <w:pBdr>
          <w:top w:val="nil"/>
          <w:left w:val="nil"/>
          <w:bottom w:val="nil"/>
          <w:right w:val="nil"/>
          <w:between w:val="nil"/>
        </w:pBdr>
        <w:jc w:val="both"/>
        <w:rPr>
          <w:rFonts w:ascii="Arial" w:eastAsia="Arial" w:hAnsi="Arial" w:cs="Arial"/>
        </w:rPr>
      </w:pPr>
      <w:proofErr w:type="spellStart"/>
      <w:r>
        <w:rPr>
          <w:rFonts w:ascii="Arial" w:eastAsia="Arial" w:hAnsi="Arial" w:cs="Arial"/>
        </w:rPr>
        <w:t>Peraturan</w:t>
      </w:r>
      <w:proofErr w:type="spellEnd"/>
      <w:r>
        <w:rPr>
          <w:rFonts w:ascii="Arial" w:eastAsia="Arial" w:hAnsi="Arial" w:cs="Arial"/>
        </w:rPr>
        <w:t xml:space="preserve"> </w:t>
      </w:r>
      <w:proofErr w:type="spellStart"/>
      <w:r>
        <w:rPr>
          <w:rFonts w:ascii="Arial" w:eastAsia="Arial" w:hAnsi="Arial" w:cs="Arial"/>
        </w:rPr>
        <w:t>Perundang-undangan</w:t>
      </w:r>
      <w:proofErr w:type="spellEnd"/>
      <w:r>
        <w:rPr>
          <w:rFonts w:ascii="Arial" w:eastAsia="Arial" w:hAnsi="Arial" w:cs="Arial"/>
        </w:rPr>
        <w:t>:</w:t>
      </w:r>
    </w:p>
    <w:p w14:paraId="1D849DA8" w14:textId="77777777" w:rsidR="008F230A" w:rsidRDefault="008F76E1">
      <w:pPr>
        <w:pBdr>
          <w:top w:val="nil"/>
          <w:left w:val="nil"/>
          <w:bottom w:val="nil"/>
          <w:right w:val="nil"/>
          <w:between w:val="nil"/>
        </w:pBdr>
        <w:jc w:val="both"/>
        <w:rPr>
          <w:rFonts w:ascii="Arial" w:eastAsia="Arial" w:hAnsi="Arial" w:cs="Arial"/>
        </w:rPr>
      </w:pPr>
      <w:proofErr w:type="spellStart"/>
      <w:r>
        <w:rPr>
          <w:rFonts w:ascii="Arial" w:eastAsia="Arial" w:hAnsi="Arial" w:cs="Arial"/>
        </w:rPr>
        <w:t>Peraturan</w:t>
      </w:r>
      <w:proofErr w:type="spellEnd"/>
      <w:r>
        <w:rPr>
          <w:rFonts w:ascii="Arial" w:eastAsia="Arial" w:hAnsi="Arial" w:cs="Arial"/>
        </w:rPr>
        <w:t xml:space="preserve"> </w:t>
      </w:r>
      <w:proofErr w:type="spellStart"/>
      <w:r>
        <w:rPr>
          <w:rFonts w:ascii="Arial" w:eastAsia="Arial" w:hAnsi="Arial" w:cs="Arial"/>
        </w:rPr>
        <w:t>Presiden</w:t>
      </w:r>
      <w:proofErr w:type="spellEnd"/>
      <w:r>
        <w:rPr>
          <w:rFonts w:ascii="Arial" w:eastAsia="Arial" w:hAnsi="Arial" w:cs="Arial"/>
        </w:rPr>
        <w:t xml:space="preserve"> </w:t>
      </w:r>
      <w:proofErr w:type="spellStart"/>
      <w:r>
        <w:rPr>
          <w:rFonts w:ascii="Arial" w:eastAsia="Arial" w:hAnsi="Arial" w:cs="Arial"/>
        </w:rPr>
        <w:t>Nomor</w:t>
      </w:r>
      <w:proofErr w:type="spellEnd"/>
      <w:r>
        <w:rPr>
          <w:rFonts w:ascii="Arial" w:eastAsia="Arial" w:hAnsi="Arial" w:cs="Arial"/>
        </w:rPr>
        <w:t xml:space="preserve"> 83 </w:t>
      </w:r>
      <w:proofErr w:type="spellStart"/>
      <w:r>
        <w:rPr>
          <w:rFonts w:ascii="Arial" w:eastAsia="Arial" w:hAnsi="Arial" w:cs="Arial"/>
        </w:rPr>
        <w:t>Tahun</w:t>
      </w:r>
      <w:proofErr w:type="spellEnd"/>
      <w:r>
        <w:rPr>
          <w:rFonts w:ascii="Arial" w:eastAsia="Arial" w:hAnsi="Arial" w:cs="Arial"/>
        </w:rPr>
        <w:t xml:space="preserve"> </w:t>
      </w:r>
      <w:proofErr w:type="gramStart"/>
      <w:r>
        <w:rPr>
          <w:rFonts w:ascii="Arial" w:eastAsia="Arial" w:hAnsi="Arial" w:cs="Arial"/>
        </w:rPr>
        <w:t>2024  Badan</w:t>
      </w:r>
      <w:proofErr w:type="gramEnd"/>
      <w:r>
        <w:rPr>
          <w:rFonts w:ascii="Arial" w:eastAsia="Arial" w:hAnsi="Arial" w:cs="Arial"/>
        </w:rPr>
        <w:t xml:space="preserve"> </w:t>
      </w:r>
      <w:proofErr w:type="spellStart"/>
      <w:r>
        <w:rPr>
          <w:rFonts w:ascii="Arial" w:eastAsia="Arial" w:hAnsi="Arial" w:cs="Arial"/>
        </w:rPr>
        <w:t>Gizi</w:t>
      </w:r>
      <w:proofErr w:type="spellEnd"/>
      <w:r>
        <w:rPr>
          <w:rFonts w:ascii="Arial" w:eastAsia="Arial" w:hAnsi="Arial" w:cs="Arial"/>
        </w:rPr>
        <w:t xml:space="preserve"> Nasional.</w:t>
      </w:r>
    </w:p>
    <w:p w14:paraId="03A10289" w14:textId="77777777" w:rsidR="008F230A" w:rsidRDefault="008F76E1">
      <w:pPr>
        <w:pBdr>
          <w:top w:val="nil"/>
          <w:left w:val="nil"/>
          <w:bottom w:val="nil"/>
          <w:right w:val="nil"/>
          <w:between w:val="nil"/>
        </w:pBdr>
        <w:jc w:val="both"/>
        <w:rPr>
          <w:rFonts w:ascii="Arial" w:eastAsia="Arial" w:hAnsi="Arial" w:cs="Arial"/>
        </w:rPr>
      </w:pPr>
      <w:proofErr w:type="spellStart"/>
      <w:r>
        <w:rPr>
          <w:rFonts w:ascii="Arial" w:eastAsia="Arial" w:hAnsi="Arial" w:cs="Arial"/>
        </w:rPr>
        <w:t>Perpres</w:t>
      </w:r>
      <w:proofErr w:type="spellEnd"/>
      <w:r>
        <w:rPr>
          <w:rFonts w:ascii="Arial" w:eastAsia="Arial" w:hAnsi="Arial" w:cs="Arial"/>
        </w:rPr>
        <w:t xml:space="preserve"> </w:t>
      </w:r>
      <w:proofErr w:type="spellStart"/>
      <w:r>
        <w:rPr>
          <w:rFonts w:ascii="Arial" w:eastAsia="Arial" w:hAnsi="Arial" w:cs="Arial"/>
        </w:rPr>
        <w:t>Nomor</w:t>
      </w:r>
      <w:proofErr w:type="spellEnd"/>
      <w:r>
        <w:rPr>
          <w:rFonts w:ascii="Arial" w:eastAsia="Arial" w:hAnsi="Arial" w:cs="Arial"/>
        </w:rPr>
        <w:t xml:space="preserve"> 115 </w:t>
      </w:r>
      <w:proofErr w:type="spellStart"/>
      <w:r>
        <w:rPr>
          <w:rFonts w:ascii="Arial" w:eastAsia="Arial" w:hAnsi="Arial" w:cs="Arial"/>
        </w:rPr>
        <w:t>Tahun</w:t>
      </w:r>
      <w:proofErr w:type="spellEnd"/>
      <w:r>
        <w:rPr>
          <w:rFonts w:ascii="Arial" w:eastAsia="Arial" w:hAnsi="Arial" w:cs="Arial"/>
        </w:rPr>
        <w:t xml:space="preserve"> 2025 </w:t>
      </w:r>
      <w:proofErr w:type="spellStart"/>
      <w:r>
        <w:rPr>
          <w:rFonts w:ascii="Arial" w:eastAsia="Arial" w:hAnsi="Arial" w:cs="Arial"/>
        </w:rPr>
        <w:t>tentang</w:t>
      </w:r>
      <w:proofErr w:type="spellEnd"/>
      <w:r>
        <w:rPr>
          <w:rFonts w:ascii="Arial" w:eastAsia="Arial" w:hAnsi="Arial" w:cs="Arial"/>
        </w:rPr>
        <w:t xml:space="preserve"> Tata </w:t>
      </w:r>
      <w:proofErr w:type="spellStart"/>
      <w:r>
        <w:rPr>
          <w:rFonts w:ascii="Arial" w:eastAsia="Arial" w:hAnsi="Arial" w:cs="Arial"/>
        </w:rPr>
        <w:t>Kelola</w:t>
      </w:r>
      <w:proofErr w:type="spellEnd"/>
      <w:r>
        <w:rPr>
          <w:rFonts w:ascii="Arial" w:eastAsia="Arial" w:hAnsi="Arial" w:cs="Arial"/>
        </w:rPr>
        <w:t xml:space="preserve"> </w:t>
      </w:r>
      <w:proofErr w:type="spellStart"/>
      <w:r>
        <w:rPr>
          <w:rFonts w:ascii="Arial" w:eastAsia="Arial" w:hAnsi="Arial" w:cs="Arial"/>
        </w:rPr>
        <w:t>Penyelenggaraan</w:t>
      </w:r>
      <w:proofErr w:type="spellEnd"/>
      <w:r>
        <w:rPr>
          <w:rFonts w:ascii="Arial" w:eastAsia="Arial" w:hAnsi="Arial" w:cs="Arial"/>
        </w:rPr>
        <w:t xml:space="preserve"> Program </w:t>
      </w:r>
      <w:proofErr w:type="spellStart"/>
      <w:r>
        <w:rPr>
          <w:rFonts w:ascii="Arial" w:eastAsia="Arial" w:hAnsi="Arial" w:cs="Arial"/>
        </w:rPr>
        <w:t>Makan</w:t>
      </w:r>
      <w:proofErr w:type="spellEnd"/>
      <w:r>
        <w:rPr>
          <w:rFonts w:ascii="Arial" w:eastAsia="Arial" w:hAnsi="Arial" w:cs="Arial"/>
        </w:rPr>
        <w:t xml:space="preserve"> </w:t>
      </w:r>
      <w:proofErr w:type="spellStart"/>
      <w:r>
        <w:rPr>
          <w:rFonts w:ascii="Arial" w:eastAsia="Arial" w:hAnsi="Arial" w:cs="Arial"/>
        </w:rPr>
        <w:t>Bergizi</w:t>
      </w:r>
      <w:proofErr w:type="spellEnd"/>
      <w:r>
        <w:rPr>
          <w:rFonts w:ascii="Arial" w:eastAsia="Arial" w:hAnsi="Arial" w:cs="Arial"/>
        </w:rPr>
        <w:t xml:space="preserve"> Gratis (MBG).</w:t>
      </w:r>
    </w:p>
    <w:p w14:paraId="52EB06B4"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Pynes, J. E. (2023). Human resource management in public organizations: Trends and challenges. Public Personnel Management, 52(3), 387–404.</w:t>
      </w:r>
    </w:p>
    <w:p w14:paraId="1D6D056E"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https://doi.org/10.1177/00910260221148687</w:t>
      </w:r>
    </w:p>
    <w:p w14:paraId="7A75FEDC"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 xml:space="preserve">Rahmah, H. A., </w:t>
      </w:r>
      <w:proofErr w:type="spellStart"/>
      <w:r>
        <w:rPr>
          <w:rFonts w:ascii="Arial" w:eastAsia="Arial" w:hAnsi="Arial" w:cs="Arial"/>
        </w:rPr>
        <w:t>dkk</w:t>
      </w:r>
      <w:proofErr w:type="spellEnd"/>
      <w:r>
        <w:rPr>
          <w:rFonts w:ascii="Arial" w:eastAsia="Arial" w:hAnsi="Arial" w:cs="Arial"/>
        </w:rPr>
        <w:t xml:space="preserve">. (2025). </w:t>
      </w:r>
      <w:proofErr w:type="spellStart"/>
      <w:r>
        <w:rPr>
          <w:rFonts w:ascii="Arial" w:eastAsia="Arial" w:hAnsi="Arial" w:cs="Arial"/>
        </w:rPr>
        <w:t>Analisis</w:t>
      </w:r>
      <w:proofErr w:type="spellEnd"/>
      <w:r>
        <w:rPr>
          <w:rFonts w:ascii="Arial" w:eastAsia="Arial" w:hAnsi="Arial" w:cs="Arial"/>
        </w:rPr>
        <w:t xml:space="preserve"> </w:t>
      </w:r>
      <w:proofErr w:type="spellStart"/>
      <w:r>
        <w:rPr>
          <w:rFonts w:ascii="Arial" w:eastAsia="Arial" w:hAnsi="Arial" w:cs="Arial"/>
        </w:rPr>
        <w:t>efektivitas</w:t>
      </w:r>
      <w:proofErr w:type="spellEnd"/>
      <w:r>
        <w:rPr>
          <w:rFonts w:ascii="Arial" w:eastAsia="Arial" w:hAnsi="Arial" w:cs="Arial"/>
        </w:rPr>
        <w:t xml:space="preserve"> program </w:t>
      </w:r>
      <w:proofErr w:type="spellStart"/>
      <w:r>
        <w:rPr>
          <w:rFonts w:ascii="Arial" w:eastAsia="Arial" w:hAnsi="Arial" w:cs="Arial"/>
        </w:rPr>
        <w:t>makan</w:t>
      </w:r>
      <w:proofErr w:type="spellEnd"/>
      <w:r>
        <w:rPr>
          <w:rFonts w:ascii="Arial" w:eastAsia="Arial" w:hAnsi="Arial" w:cs="Arial"/>
        </w:rPr>
        <w:t xml:space="preserve"> </w:t>
      </w:r>
      <w:proofErr w:type="spellStart"/>
      <w:r>
        <w:rPr>
          <w:rFonts w:ascii="Arial" w:eastAsia="Arial" w:hAnsi="Arial" w:cs="Arial"/>
        </w:rPr>
        <w:t>bergizi</w:t>
      </w:r>
      <w:proofErr w:type="spellEnd"/>
      <w:r>
        <w:rPr>
          <w:rFonts w:ascii="Arial" w:eastAsia="Arial" w:hAnsi="Arial" w:cs="Arial"/>
        </w:rPr>
        <w:t xml:space="preserve"> gratis di </w:t>
      </w:r>
      <w:proofErr w:type="spellStart"/>
      <w:r>
        <w:rPr>
          <w:rFonts w:ascii="Arial" w:eastAsia="Arial" w:hAnsi="Arial" w:cs="Arial"/>
        </w:rPr>
        <w:t>Sekolah</w:t>
      </w:r>
      <w:proofErr w:type="spellEnd"/>
      <w:r>
        <w:rPr>
          <w:rFonts w:ascii="Arial" w:eastAsia="Arial" w:hAnsi="Arial" w:cs="Arial"/>
        </w:rPr>
        <w:t xml:space="preserve"> Dasar Indonesia </w:t>
      </w:r>
      <w:proofErr w:type="spellStart"/>
      <w:r>
        <w:rPr>
          <w:rFonts w:ascii="Arial" w:eastAsia="Arial" w:hAnsi="Arial" w:cs="Arial"/>
        </w:rPr>
        <w:t>tahun</w:t>
      </w:r>
      <w:proofErr w:type="spellEnd"/>
      <w:r>
        <w:rPr>
          <w:rFonts w:ascii="Arial" w:eastAsia="Arial" w:hAnsi="Arial" w:cs="Arial"/>
        </w:rPr>
        <w:t xml:space="preserve"> 2025. Integrative Perspectives of Social and Science Journal (IPSSJ), 2(2), 2855. </w:t>
      </w:r>
    </w:p>
    <w:p w14:paraId="1BBF3D14" w14:textId="77777777" w:rsidR="008F230A" w:rsidRDefault="008F76E1">
      <w:pPr>
        <w:pBdr>
          <w:top w:val="nil"/>
          <w:left w:val="nil"/>
          <w:bottom w:val="nil"/>
          <w:right w:val="nil"/>
          <w:between w:val="nil"/>
        </w:pBdr>
        <w:jc w:val="both"/>
        <w:rPr>
          <w:rFonts w:ascii="Arial" w:eastAsia="Arial" w:hAnsi="Arial" w:cs="Arial"/>
        </w:rPr>
      </w:pPr>
      <w:proofErr w:type="spellStart"/>
      <w:r>
        <w:rPr>
          <w:rFonts w:ascii="Arial" w:eastAsia="Arial" w:hAnsi="Arial" w:cs="Arial"/>
        </w:rPr>
        <w:t>Rambe</w:t>
      </w:r>
      <w:proofErr w:type="spellEnd"/>
      <w:r>
        <w:rPr>
          <w:rFonts w:ascii="Arial" w:eastAsia="Arial" w:hAnsi="Arial" w:cs="Arial"/>
        </w:rPr>
        <w:t xml:space="preserve">, M. T., </w:t>
      </w:r>
      <w:proofErr w:type="spellStart"/>
      <w:r>
        <w:rPr>
          <w:rFonts w:ascii="Arial" w:eastAsia="Arial" w:hAnsi="Arial" w:cs="Arial"/>
        </w:rPr>
        <w:t>Ritonga</w:t>
      </w:r>
      <w:proofErr w:type="spellEnd"/>
      <w:r>
        <w:rPr>
          <w:rFonts w:ascii="Arial" w:eastAsia="Arial" w:hAnsi="Arial" w:cs="Arial"/>
        </w:rPr>
        <w:t xml:space="preserve">, R. A., </w:t>
      </w:r>
      <w:proofErr w:type="spellStart"/>
      <w:r>
        <w:rPr>
          <w:rFonts w:ascii="Arial" w:eastAsia="Arial" w:hAnsi="Arial" w:cs="Arial"/>
        </w:rPr>
        <w:t>Harahap</w:t>
      </w:r>
      <w:proofErr w:type="spellEnd"/>
      <w:r>
        <w:rPr>
          <w:rFonts w:ascii="Arial" w:eastAsia="Arial" w:hAnsi="Arial" w:cs="Arial"/>
        </w:rPr>
        <w:t xml:space="preserve">, T., &amp; Sitio, R. (2025). </w:t>
      </w:r>
      <w:proofErr w:type="spellStart"/>
      <w:r>
        <w:rPr>
          <w:rFonts w:ascii="Arial" w:eastAsia="Arial" w:hAnsi="Arial" w:cs="Arial"/>
        </w:rPr>
        <w:t>Pemetaan</w:t>
      </w:r>
      <w:proofErr w:type="spellEnd"/>
      <w:r>
        <w:rPr>
          <w:rFonts w:ascii="Arial" w:eastAsia="Arial" w:hAnsi="Arial" w:cs="Arial"/>
        </w:rPr>
        <w:t xml:space="preserve"> </w:t>
      </w:r>
      <w:proofErr w:type="spellStart"/>
      <w:r>
        <w:rPr>
          <w:rFonts w:ascii="Arial" w:eastAsia="Arial" w:hAnsi="Arial" w:cs="Arial"/>
        </w:rPr>
        <w:t>awal</w:t>
      </w:r>
      <w:proofErr w:type="spellEnd"/>
      <w:r>
        <w:rPr>
          <w:rFonts w:ascii="Arial" w:eastAsia="Arial" w:hAnsi="Arial" w:cs="Arial"/>
        </w:rPr>
        <w:t xml:space="preserve"> </w:t>
      </w:r>
      <w:proofErr w:type="spellStart"/>
      <w:r>
        <w:rPr>
          <w:rFonts w:ascii="Arial" w:eastAsia="Arial" w:hAnsi="Arial" w:cs="Arial"/>
        </w:rPr>
        <w:t>implementasi</w:t>
      </w:r>
      <w:proofErr w:type="spellEnd"/>
      <w:r>
        <w:rPr>
          <w:rFonts w:ascii="Arial" w:eastAsia="Arial" w:hAnsi="Arial" w:cs="Arial"/>
        </w:rPr>
        <w:t xml:space="preserve"> program </w:t>
      </w:r>
      <w:proofErr w:type="spellStart"/>
      <w:r>
        <w:rPr>
          <w:rFonts w:ascii="Arial" w:eastAsia="Arial" w:hAnsi="Arial" w:cs="Arial"/>
        </w:rPr>
        <w:t>makan</w:t>
      </w:r>
      <w:proofErr w:type="spellEnd"/>
      <w:r>
        <w:rPr>
          <w:rFonts w:ascii="Arial" w:eastAsia="Arial" w:hAnsi="Arial" w:cs="Arial"/>
        </w:rPr>
        <w:t xml:space="preserve"> </w:t>
      </w:r>
      <w:proofErr w:type="spellStart"/>
      <w:r>
        <w:rPr>
          <w:rFonts w:ascii="Arial" w:eastAsia="Arial" w:hAnsi="Arial" w:cs="Arial"/>
        </w:rPr>
        <w:t>bergizi</w:t>
      </w:r>
      <w:proofErr w:type="spellEnd"/>
      <w:r>
        <w:rPr>
          <w:rFonts w:ascii="Arial" w:eastAsia="Arial" w:hAnsi="Arial" w:cs="Arial"/>
        </w:rPr>
        <w:t xml:space="preserve"> gratis (MBG) di </w:t>
      </w:r>
      <w:proofErr w:type="spellStart"/>
      <w:r>
        <w:rPr>
          <w:rFonts w:ascii="Arial" w:eastAsia="Arial" w:hAnsi="Arial" w:cs="Arial"/>
        </w:rPr>
        <w:t>Kabupaten</w:t>
      </w:r>
      <w:proofErr w:type="spellEnd"/>
      <w:r>
        <w:rPr>
          <w:rFonts w:ascii="Arial" w:eastAsia="Arial" w:hAnsi="Arial" w:cs="Arial"/>
        </w:rPr>
        <w:t xml:space="preserve"> </w:t>
      </w:r>
      <w:proofErr w:type="spellStart"/>
      <w:r>
        <w:rPr>
          <w:rFonts w:ascii="Arial" w:eastAsia="Arial" w:hAnsi="Arial" w:cs="Arial"/>
        </w:rPr>
        <w:t>Labuhanbatu</w:t>
      </w:r>
      <w:proofErr w:type="spellEnd"/>
      <w:r>
        <w:rPr>
          <w:rFonts w:ascii="Arial" w:eastAsia="Arial" w:hAnsi="Arial" w:cs="Arial"/>
        </w:rPr>
        <w:t xml:space="preserve">: </w:t>
      </w:r>
      <w:proofErr w:type="spellStart"/>
      <w:r>
        <w:rPr>
          <w:rFonts w:ascii="Arial" w:eastAsia="Arial" w:hAnsi="Arial" w:cs="Arial"/>
        </w:rPr>
        <w:t>Perspektif</w:t>
      </w:r>
      <w:proofErr w:type="spellEnd"/>
      <w:r>
        <w:rPr>
          <w:rFonts w:ascii="Arial" w:eastAsia="Arial" w:hAnsi="Arial" w:cs="Arial"/>
        </w:rPr>
        <w:t xml:space="preserve"> </w:t>
      </w:r>
      <w:proofErr w:type="spellStart"/>
      <w:r>
        <w:rPr>
          <w:rFonts w:ascii="Arial" w:eastAsia="Arial" w:hAnsi="Arial" w:cs="Arial"/>
        </w:rPr>
        <w:t>manajemen</w:t>
      </w:r>
      <w:proofErr w:type="spellEnd"/>
      <w:r>
        <w:rPr>
          <w:rFonts w:ascii="Arial" w:eastAsia="Arial" w:hAnsi="Arial" w:cs="Arial"/>
        </w:rPr>
        <w:t xml:space="preserve"> SDM. RIGGS: Journal of Artificial Intelligence and Digital Business, 4(4).</w:t>
      </w:r>
    </w:p>
    <w:p w14:paraId="1296E52F"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https://doi.org/10.31004/riggs.v4i4.4580</w:t>
      </w:r>
    </w:p>
    <w:p w14:paraId="41E30967"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Rossi, P. H., Lipsey, M. W., &amp; Henry, G. T. (2019). Evaluation: A systematic approach (8th ed.). Sage Publications. https://doi.org/10.4135/9781506326139</w:t>
      </w:r>
    </w:p>
    <w:p w14:paraId="3DEC7947" w14:textId="77777777" w:rsidR="008F230A" w:rsidRDefault="008F76E1">
      <w:pPr>
        <w:pBdr>
          <w:top w:val="nil"/>
          <w:left w:val="nil"/>
          <w:bottom w:val="nil"/>
          <w:right w:val="nil"/>
          <w:between w:val="nil"/>
        </w:pBdr>
        <w:jc w:val="both"/>
        <w:rPr>
          <w:rFonts w:ascii="Arial" w:eastAsia="Arial" w:hAnsi="Arial" w:cs="Arial"/>
        </w:rPr>
      </w:pPr>
      <w:proofErr w:type="spellStart"/>
      <w:r>
        <w:rPr>
          <w:rFonts w:ascii="Arial" w:eastAsia="Arial" w:hAnsi="Arial" w:cs="Arial"/>
        </w:rPr>
        <w:t>Sinurat</w:t>
      </w:r>
      <w:proofErr w:type="spellEnd"/>
      <w:r>
        <w:rPr>
          <w:rFonts w:ascii="Arial" w:eastAsia="Arial" w:hAnsi="Arial" w:cs="Arial"/>
        </w:rPr>
        <w:t xml:space="preserve">, M., </w:t>
      </w:r>
      <w:proofErr w:type="spellStart"/>
      <w:r>
        <w:rPr>
          <w:rFonts w:ascii="Arial" w:eastAsia="Arial" w:hAnsi="Arial" w:cs="Arial"/>
        </w:rPr>
        <w:t>Panjaitan</w:t>
      </w:r>
      <w:proofErr w:type="spellEnd"/>
      <w:r>
        <w:rPr>
          <w:rFonts w:ascii="Arial" w:eastAsia="Arial" w:hAnsi="Arial" w:cs="Arial"/>
        </w:rPr>
        <w:t xml:space="preserve">, H.M., dan </w:t>
      </w:r>
      <w:proofErr w:type="spellStart"/>
      <w:r>
        <w:rPr>
          <w:rFonts w:ascii="Arial" w:eastAsia="Arial" w:hAnsi="Arial" w:cs="Arial"/>
        </w:rPr>
        <w:t>Komaedi</w:t>
      </w:r>
      <w:proofErr w:type="spellEnd"/>
      <w:r>
        <w:rPr>
          <w:rFonts w:ascii="Arial" w:eastAsia="Arial" w:hAnsi="Arial" w:cs="Arial"/>
        </w:rPr>
        <w:t xml:space="preserve">. (2025). </w:t>
      </w:r>
      <w:proofErr w:type="spellStart"/>
      <w:r>
        <w:rPr>
          <w:rFonts w:ascii="Arial" w:eastAsia="Arial" w:hAnsi="Arial" w:cs="Arial"/>
        </w:rPr>
        <w:t>Perencanaan</w:t>
      </w:r>
      <w:proofErr w:type="spellEnd"/>
      <w:r>
        <w:rPr>
          <w:rFonts w:ascii="Arial" w:eastAsia="Arial" w:hAnsi="Arial" w:cs="Arial"/>
        </w:rPr>
        <w:t xml:space="preserve"> dan </w:t>
      </w:r>
      <w:proofErr w:type="spellStart"/>
      <w:r>
        <w:rPr>
          <w:rFonts w:ascii="Arial" w:eastAsia="Arial" w:hAnsi="Arial" w:cs="Arial"/>
        </w:rPr>
        <w:t>Anggaran</w:t>
      </w:r>
      <w:proofErr w:type="spellEnd"/>
      <w:r>
        <w:rPr>
          <w:rFonts w:ascii="Arial" w:eastAsia="Arial" w:hAnsi="Arial" w:cs="Arial"/>
        </w:rPr>
        <w:t xml:space="preserve"> Daerah: Financial Performance and Development, Bandung: Pustaka Rahmat.</w:t>
      </w:r>
    </w:p>
    <w:p w14:paraId="33F56FDC"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Syafiqoh, I. (2025). Program MBG (</w:t>
      </w:r>
      <w:proofErr w:type="spellStart"/>
      <w:r>
        <w:rPr>
          <w:rFonts w:ascii="Arial" w:eastAsia="Arial" w:hAnsi="Arial" w:cs="Arial"/>
        </w:rPr>
        <w:t>Makan</w:t>
      </w:r>
      <w:proofErr w:type="spellEnd"/>
      <w:r>
        <w:rPr>
          <w:rFonts w:ascii="Arial" w:eastAsia="Arial" w:hAnsi="Arial" w:cs="Arial"/>
        </w:rPr>
        <w:t xml:space="preserve"> </w:t>
      </w:r>
      <w:proofErr w:type="spellStart"/>
      <w:r>
        <w:rPr>
          <w:rFonts w:ascii="Arial" w:eastAsia="Arial" w:hAnsi="Arial" w:cs="Arial"/>
        </w:rPr>
        <w:t>Bergizi</w:t>
      </w:r>
      <w:proofErr w:type="spellEnd"/>
      <w:r>
        <w:rPr>
          <w:rFonts w:ascii="Arial" w:eastAsia="Arial" w:hAnsi="Arial" w:cs="Arial"/>
        </w:rPr>
        <w:t xml:space="preserve"> Gratis) </w:t>
      </w:r>
      <w:proofErr w:type="spellStart"/>
      <w:r>
        <w:rPr>
          <w:rFonts w:ascii="Arial" w:eastAsia="Arial" w:hAnsi="Arial" w:cs="Arial"/>
        </w:rPr>
        <w:t>Terhadap</w:t>
      </w:r>
      <w:proofErr w:type="spellEnd"/>
      <w:r>
        <w:rPr>
          <w:rFonts w:ascii="Arial" w:eastAsia="Arial" w:hAnsi="Arial" w:cs="Arial"/>
        </w:rPr>
        <w:t xml:space="preserve"> </w:t>
      </w:r>
      <w:proofErr w:type="spellStart"/>
      <w:r>
        <w:rPr>
          <w:rFonts w:ascii="Arial" w:eastAsia="Arial" w:hAnsi="Arial" w:cs="Arial"/>
        </w:rPr>
        <w:t>Pelaksanaan</w:t>
      </w:r>
      <w:proofErr w:type="spellEnd"/>
      <w:r>
        <w:rPr>
          <w:rFonts w:ascii="Arial" w:eastAsia="Arial" w:hAnsi="Arial" w:cs="Arial"/>
        </w:rPr>
        <w:t xml:space="preserve"> </w:t>
      </w:r>
      <w:proofErr w:type="spellStart"/>
      <w:r>
        <w:rPr>
          <w:rFonts w:ascii="Arial" w:eastAsia="Arial" w:hAnsi="Arial" w:cs="Arial"/>
        </w:rPr>
        <w:t>Kegiatan</w:t>
      </w:r>
      <w:proofErr w:type="spellEnd"/>
      <w:r>
        <w:rPr>
          <w:rFonts w:ascii="Arial" w:eastAsia="Arial" w:hAnsi="Arial" w:cs="Arial"/>
        </w:rPr>
        <w:t xml:space="preserve"> </w:t>
      </w:r>
      <w:proofErr w:type="spellStart"/>
      <w:r>
        <w:rPr>
          <w:rFonts w:ascii="Arial" w:eastAsia="Arial" w:hAnsi="Arial" w:cs="Arial"/>
        </w:rPr>
        <w:t>Belajar</w:t>
      </w:r>
      <w:proofErr w:type="spellEnd"/>
      <w:r>
        <w:rPr>
          <w:rFonts w:ascii="Arial" w:eastAsia="Arial" w:hAnsi="Arial" w:cs="Arial"/>
        </w:rPr>
        <w:t xml:space="preserve"> </w:t>
      </w:r>
      <w:proofErr w:type="spellStart"/>
      <w:r>
        <w:rPr>
          <w:rFonts w:ascii="Arial" w:eastAsia="Arial" w:hAnsi="Arial" w:cs="Arial"/>
        </w:rPr>
        <w:t>Mengajar</w:t>
      </w:r>
      <w:proofErr w:type="spellEnd"/>
      <w:r>
        <w:rPr>
          <w:rFonts w:ascii="Arial" w:eastAsia="Arial" w:hAnsi="Arial" w:cs="Arial"/>
        </w:rPr>
        <w:t xml:space="preserve"> Pada Pendidikan </w:t>
      </w:r>
      <w:proofErr w:type="spellStart"/>
      <w:r>
        <w:rPr>
          <w:rFonts w:ascii="Arial" w:eastAsia="Arial" w:hAnsi="Arial" w:cs="Arial"/>
        </w:rPr>
        <w:t>Anak</w:t>
      </w:r>
      <w:proofErr w:type="spellEnd"/>
      <w:r>
        <w:rPr>
          <w:rFonts w:ascii="Arial" w:eastAsia="Arial" w:hAnsi="Arial" w:cs="Arial"/>
        </w:rPr>
        <w:t xml:space="preserve"> </w:t>
      </w:r>
      <w:proofErr w:type="spellStart"/>
      <w:r>
        <w:rPr>
          <w:rFonts w:ascii="Arial" w:eastAsia="Arial" w:hAnsi="Arial" w:cs="Arial"/>
        </w:rPr>
        <w:t>Usia</w:t>
      </w:r>
      <w:proofErr w:type="spellEnd"/>
      <w:r>
        <w:rPr>
          <w:rFonts w:ascii="Arial" w:eastAsia="Arial" w:hAnsi="Arial" w:cs="Arial"/>
        </w:rPr>
        <w:t xml:space="preserve"> Dini di </w:t>
      </w:r>
      <w:proofErr w:type="spellStart"/>
      <w:r>
        <w:rPr>
          <w:rFonts w:ascii="Arial" w:eastAsia="Arial" w:hAnsi="Arial" w:cs="Arial"/>
        </w:rPr>
        <w:t>Lamongan</w:t>
      </w:r>
      <w:proofErr w:type="spellEnd"/>
      <w:r>
        <w:rPr>
          <w:rFonts w:ascii="Arial" w:eastAsia="Arial" w:hAnsi="Arial" w:cs="Arial"/>
        </w:rPr>
        <w:t xml:space="preserve">. </w:t>
      </w:r>
      <w:proofErr w:type="spellStart"/>
      <w:r>
        <w:rPr>
          <w:rFonts w:ascii="Arial" w:eastAsia="Arial" w:hAnsi="Arial" w:cs="Arial"/>
        </w:rPr>
        <w:t>Jurnal</w:t>
      </w:r>
      <w:proofErr w:type="spellEnd"/>
      <w:r>
        <w:rPr>
          <w:rFonts w:ascii="Arial" w:eastAsia="Arial" w:hAnsi="Arial" w:cs="Arial"/>
        </w:rPr>
        <w:t xml:space="preserve"> </w:t>
      </w:r>
      <w:proofErr w:type="spellStart"/>
      <w:r>
        <w:rPr>
          <w:rFonts w:ascii="Arial" w:eastAsia="Arial" w:hAnsi="Arial" w:cs="Arial"/>
        </w:rPr>
        <w:t>Almurtaja</w:t>
      </w:r>
      <w:proofErr w:type="spellEnd"/>
      <w:r>
        <w:rPr>
          <w:rFonts w:ascii="Arial" w:eastAsia="Arial" w:hAnsi="Arial" w:cs="Arial"/>
        </w:rPr>
        <w:t xml:space="preserve">: </w:t>
      </w:r>
      <w:proofErr w:type="spellStart"/>
      <w:r>
        <w:rPr>
          <w:rFonts w:ascii="Arial" w:eastAsia="Arial" w:hAnsi="Arial" w:cs="Arial"/>
        </w:rPr>
        <w:t>Jurnal</w:t>
      </w:r>
      <w:proofErr w:type="spellEnd"/>
      <w:r>
        <w:rPr>
          <w:rFonts w:ascii="Arial" w:eastAsia="Arial" w:hAnsi="Arial" w:cs="Arial"/>
        </w:rPr>
        <w:t xml:space="preserve"> Pendidikan Islam </w:t>
      </w:r>
      <w:proofErr w:type="spellStart"/>
      <w:r>
        <w:rPr>
          <w:rFonts w:ascii="Arial" w:eastAsia="Arial" w:hAnsi="Arial" w:cs="Arial"/>
        </w:rPr>
        <w:t>Anak</w:t>
      </w:r>
      <w:proofErr w:type="spellEnd"/>
      <w:r>
        <w:rPr>
          <w:rFonts w:ascii="Arial" w:eastAsia="Arial" w:hAnsi="Arial" w:cs="Arial"/>
        </w:rPr>
        <w:t xml:space="preserve"> </w:t>
      </w:r>
      <w:proofErr w:type="spellStart"/>
      <w:r>
        <w:rPr>
          <w:rFonts w:ascii="Arial" w:eastAsia="Arial" w:hAnsi="Arial" w:cs="Arial"/>
        </w:rPr>
        <w:t>Usia</w:t>
      </w:r>
      <w:proofErr w:type="spellEnd"/>
      <w:r>
        <w:rPr>
          <w:rFonts w:ascii="Arial" w:eastAsia="Arial" w:hAnsi="Arial" w:cs="Arial"/>
        </w:rPr>
        <w:t xml:space="preserve"> Dini, 4(1), 31–36.</w:t>
      </w:r>
    </w:p>
    <w:p w14:paraId="69D1274E" w14:textId="77777777" w:rsidR="008F230A" w:rsidRDefault="008F76E1">
      <w:pPr>
        <w:pBdr>
          <w:top w:val="nil"/>
          <w:left w:val="nil"/>
          <w:bottom w:val="nil"/>
          <w:right w:val="nil"/>
          <w:between w:val="nil"/>
        </w:pBdr>
        <w:jc w:val="both"/>
        <w:rPr>
          <w:rFonts w:ascii="Arial" w:eastAsia="Arial" w:hAnsi="Arial" w:cs="Arial"/>
        </w:rPr>
      </w:pPr>
      <w:proofErr w:type="spellStart"/>
      <w:r>
        <w:rPr>
          <w:rFonts w:ascii="Arial" w:eastAsia="Arial" w:hAnsi="Arial" w:cs="Arial"/>
        </w:rPr>
        <w:t>Undang-Undang</w:t>
      </w:r>
      <w:proofErr w:type="spellEnd"/>
      <w:r>
        <w:rPr>
          <w:rFonts w:ascii="Arial" w:eastAsia="Arial" w:hAnsi="Arial" w:cs="Arial"/>
        </w:rPr>
        <w:t xml:space="preserve"> </w:t>
      </w:r>
      <w:proofErr w:type="spellStart"/>
      <w:r>
        <w:rPr>
          <w:rFonts w:ascii="Arial" w:eastAsia="Arial" w:hAnsi="Arial" w:cs="Arial"/>
        </w:rPr>
        <w:t>Nomor</w:t>
      </w:r>
      <w:proofErr w:type="spellEnd"/>
      <w:r>
        <w:rPr>
          <w:rFonts w:ascii="Arial" w:eastAsia="Arial" w:hAnsi="Arial" w:cs="Arial"/>
        </w:rPr>
        <w:t xml:space="preserve"> 17 </w:t>
      </w:r>
      <w:proofErr w:type="spellStart"/>
      <w:r>
        <w:rPr>
          <w:rFonts w:ascii="Arial" w:eastAsia="Arial" w:hAnsi="Arial" w:cs="Arial"/>
        </w:rPr>
        <w:t>Tahun</w:t>
      </w:r>
      <w:proofErr w:type="spellEnd"/>
      <w:r>
        <w:rPr>
          <w:rFonts w:ascii="Arial" w:eastAsia="Arial" w:hAnsi="Arial" w:cs="Arial"/>
        </w:rPr>
        <w:t xml:space="preserve"> 2023 </w:t>
      </w:r>
      <w:proofErr w:type="spellStart"/>
      <w:r>
        <w:rPr>
          <w:rFonts w:ascii="Arial" w:eastAsia="Arial" w:hAnsi="Arial" w:cs="Arial"/>
        </w:rPr>
        <w:t>tentang</w:t>
      </w:r>
      <w:proofErr w:type="spellEnd"/>
      <w:r>
        <w:rPr>
          <w:rFonts w:ascii="Arial" w:eastAsia="Arial" w:hAnsi="Arial" w:cs="Arial"/>
        </w:rPr>
        <w:t xml:space="preserve"> </w:t>
      </w:r>
      <w:proofErr w:type="spellStart"/>
      <w:r>
        <w:rPr>
          <w:rFonts w:ascii="Arial" w:eastAsia="Arial" w:hAnsi="Arial" w:cs="Arial"/>
        </w:rPr>
        <w:t>Kesehatan</w:t>
      </w:r>
      <w:proofErr w:type="spellEnd"/>
      <w:r>
        <w:rPr>
          <w:rFonts w:ascii="Arial" w:eastAsia="Arial" w:hAnsi="Arial" w:cs="Arial"/>
        </w:rPr>
        <w:t>.</w:t>
      </w:r>
    </w:p>
    <w:p w14:paraId="17DDDA1E" w14:textId="77777777" w:rsidR="008F230A" w:rsidRDefault="008F76E1">
      <w:pPr>
        <w:pBdr>
          <w:top w:val="nil"/>
          <w:left w:val="nil"/>
          <w:bottom w:val="nil"/>
          <w:right w:val="nil"/>
          <w:between w:val="nil"/>
        </w:pBdr>
        <w:jc w:val="both"/>
        <w:rPr>
          <w:rFonts w:ascii="Arial" w:eastAsia="Arial" w:hAnsi="Arial" w:cs="Arial"/>
        </w:rPr>
      </w:pPr>
      <w:proofErr w:type="spellStart"/>
      <w:r>
        <w:rPr>
          <w:rFonts w:ascii="Arial" w:eastAsia="Arial" w:hAnsi="Arial" w:cs="Arial"/>
        </w:rPr>
        <w:t>Undang-Undang</w:t>
      </w:r>
      <w:proofErr w:type="spellEnd"/>
      <w:r>
        <w:rPr>
          <w:rFonts w:ascii="Arial" w:eastAsia="Arial" w:hAnsi="Arial" w:cs="Arial"/>
        </w:rPr>
        <w:t xml:space="preserve"> </w:t>
      </w:r>
      <w:proofErr w:type="spellStart"/>
      <w:r>
        <w:rPr>
          <w:rFonts w:ascii="Arial" w:eastAsia="Arial" w:hAnsi="Arial" w:cs="Arial"/>
        </w:rPr>
        <w:t>Nomor</w:t>
      </w:r>
      <w:proofErr w:type="spellEnd"/>
      <w:r>
        <w:rPr>
          <w:rFonts w:ascii="Arial" w:eastAsia="Arial" w:hAnsi="Arial" w:cs="Arial"/>
        </w:rPr>
        <w:t xml:space="preserve"> 25 </w:t>
      </w:r>
      <w:proofErr w:type="spellStart"/>
      <w:r>
        <w:rPr>
          <w:rFonts w:ascii="Arial" w:eastAsia="Arial" w:hAnsi="Arial" w:cs="Arial"/>
        </w:rPr>
        <w:t>Tahun</w:t>
      </w:r>
      <w:proofErr w:type="spellEnd"/>
      <w:r>
        <w:rPr>
          <w:rFonts w:ascii="Arial" w:eastAsia="Arial" w:hAnsi="Arial" w:cs="Arial"/>
        </w:rPr>
        <w:t xml:space="preserve"> 2004 </w:t>
      </w:r>
      <w:proofErr w:type="spellStart"/>
      <w:r>
        <w:rPr>
          <w:rFonts w:ascii="Arial" w:eastAsia="Arial" w:hAnsi="Arial" w:cs="Arial"/>
        </w:rPr>
        <w:t>tentang</w:t>
      </w:r>
      <w:proofErr w:type="spellEnd"/>
      <w:r>
        <w:rPr>
          <w:rFonts w:ascii="Arial" w:eastAsia="Arial" w:hAnsi="Arial" w:cs="Arial"/>
        </w:rPr>
        <w:t xml:space="preserve"> </w:t>
      </w:r>
      <w:proofErr w:type="spellStart"/>
      <w:r>
        <w:rPr>
          <w:rFonts w:ascii="Arial" w:eastAsia="Arial" w:hAnsi="Arial" w:cs="Arial"/>
        </w:rPr>
        <w:t>Sistem</w:t>
      </w:r>
      <w:proofErr w:type="spellEnd"/>
      <w:r>
        <w:rPr>
          <w:rFonts w:ascii="Arial" w:eastAsia="Arial" w:hAnsi="Arial" w:cs="Arial"/>
        </w:rPr>
        <w:t xml:space="preserve"> </w:t>
      </w:r>
      <w:proofErr w:type="spellStart"/>
      <w:r>
        <w:rPr>
          <w:rFonts w:ascii="Arial" w:eastAsia="Arial" w:hAnsi="Arial" w:cs="Arial"/>
        </w:rPr>
        <w:t>Perencanaan</w:t>
      </w:r>
      <w:proofErr w:type="spellEnd"/>
      <w:r>
        <w:rPr>
          <w:rFonts w:ascii="Arial" w:eastAsia="Arial" w:hAnsi="Arial" w:cs="Arial"/>
        </w:rPr>
        <w:t xml:space="preserve"> Pembangunan Nasional. </w:t>
      </w:r>
    </w:p>
    <w:p w14:paraId="35057143" w14:textId="77777777" w:rsidR="008F230A" w:rsidRDefault="008F76E1">
      <w:pPr>
        <w:pBdr>
          <w:top w:val="nil"/>
          <w:left w:val="nil"/>
          <w:bottom w:val="nil"/>
          <w:right w:val="nil"/>
          <w:between w:val="nil"/>
        </w:pBdr>
        <w:jc w:val="both"/>
        <w:rPr>
          <w:rFonts w:ascii="Arial" w:eastAsia="Arial" w:hAnsi="Arial" w:cs="Arial"/>
        </w:rPr>
      </w:pPr>
      <w:proofErr w:type="spellStart"/>
      <w:r>
        <w:rPr>
          <w:rFonts w:ascii="Arial" w:eastAsia="Arial" w:hAnsi="Arial" w:cs="Arial"/>
        </w:rPr>
        <w:t>Undang-Undang</w:t>
      </w:r>
      <w:proofErr w:type="spellEnd"/>
      <w:r>
        <w:rPr>
          <w:rFonts w:ascii="Arial" w:eastAsia="Arial" w:hAnsi="Arial" w:cs="Arial"/>
        </w:rPr>
        <w:t xml:space="preserve"> </w:t>
      </w:r>
      <w:proofErr w:type="spellStart"/>
      <w:r>
        <w:rPr>
          <w:rFonts w:ascii="Arial" w:eastAsia="Arial" w:hAnsi="Arial" w:cs="Arial"/>
        </w:rPr>
        <w:t>Nomor</w:t>
      </w:r>
      <w:proofErr w:type="spellEnd"/>
      <w:r>
        <w:rPr>
          <w:rFonts w:ascii="Arial" w:eastAsia="Arial" w:hAnsi="Arial" w:cs="Arial"/>
        </w:rPr>
        <w:t xml:space="preserve"> 59 </w:t>
      </w:r>
      <w:proofErr w:type="spellStart"/>
      <w:r>
        <w:rPr>
          <w:rFonts w:ascii="Arial" w:eastAsia="Arial" w:hAnsi="Arial" w:cs="Arial"/>
        </w:rPr>
        <w:t>Tahun</w:t>
      </w:r>
      <w:proofErr w:type="spellEnd"/>
      <w:r>
        <w:rPr>
          <w:rFonts w:ascii="Arial" w:eastAsia="Arial" w:hAnsi="Arial" w:cs="Arial"/>
        </w:rPr>
        <w:t xml:space="preserve"> 2024 </w:t>
      </w:r>
      <w:proofErr w:type="spellStart"/>
      <w:r>
        <w:rPr>
          <w:rFonts w:ascii="Arial" w:eastAsia="Arial" w:hAnsi="Arial" w:cs="Arial"/>
        </w:rPr>
        <w:t>tentang</w:t>
      </w:r>
      <w:proofErr w:type="spellEnd"/>
      <w:r>
        <w:rPr>
          <w:rFonts w:ascii="Arial" w:eastAsia="Arial" w:hAnsi="Arial" w:cs="Arial"/>
        </w:rPr>
        <w:t xml:space="preserve"> </w:t>
      </w:r>
      <w:proofErr w:type="spellStart"/>
      <w:r>
        <w:rPr>
          <w:rFonts w:ascii="Arial" w:eastAsia="Arial" w:hAnsi="Arial" w:cs="Arial"/>
        </w:rPr>
        <w:t>Rencana</w:t>
      </w:r>
      <w:proofErr w:type="spellEnd"/>
      <w:r>
        <w:rPr>
          <w:rFonts w:ascii="Arial" w:eastAsia="Arial" w:hAnsi="Arial" w:cs="Arial"/>
        </w:rPr>
        <w:t xml:space="preserve"> Pembangunan </w:t>
      </w:r>
      <w:proofErr w:type="spellStart"/>
      <w:r>
        <w:rPr>
          <w:rFonts w:ascii="Arial" w:eastAsia="Arial" w:hAnsi="Arial" w:cs="Arial"/>
        </w:rPr>
        <w:t>Jangka</w:t>
      </w:r>
      <w:proofErr w:type="spellEnd"/>
      <w:r>
        <w:rPr>
          <w:rFonts w:ascii="Arial" w:eastAsia="Arial" w:hAnsi="Arial" w:cs="Arial"/>
        </w:rPr>
        <w:t xml:space="preserve"> Panjang Nasional </w:t>
      </w:r>
      <w:proofErr w:type="spellStart"/>
      <w:r>
        <w:rPr>
          <w:rFonts w:ascii="Arial" w:eastAsia="Arial" w:hAnsi="Arial" w:cs="Arial"/>
        </w:rPr>
        <w:t>Tahun</w:t>
      </w:r>
      <w:proofErr w:type="spellEnd"/>
      <w:r>
        <w:rPr>
          <w:rFonts w:ascii="Arial" w:eastAsia="Arial" w:hAnsi="Arial" w:cs="Arial"/>
        </w:rPr>
        <w:t xml:space="preserve"> 2025-2045,</w:t>
      </w:r>
    </w:p>
    <w:p w14:paraId="2CD6F24E"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 xml:space="preserve">Van der Lippe, T., &amp; </w:t>
      </w:r>
      <w:proofErr w:type="spellStart"/>
      <w:r>
        <w:rPr>
          <w:rFonts w:ascii="Arial" w:eastAsia="Arial" w:hAnsi="Arial" w:cs="Arial"/>
        </w:rPr>
        <w:t>Lippényi</w:t>
      </w:r>
      <w:proofErr w:type="spellEnd"/>
      <w:r>
        <w:rPr>
          <w:rFonts w:ascii="Arial" w:eastAsia="Arial" w:hAnsi="Arial" w:cs="Arial"/>
        </w:rPr>
        <w:t>, Z. (2020). Co-workers working from home and individual and team performance. New Technology, Work and Employment, 35(1), 60–79.</w:t>
      </w:r>
    </w:p>
    <w:p w14:paraId="4D1A6171"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https://doi.org/10.1111/ntwe.12153</w:t>
      </w:r>
    </w:p>
    <w:p w14:paraId="0819145B"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 xml:space="preserve">Van Loon, N., Kjeldsen, A. M., Andersen, L. B., Vandenabeele, W., &amp; </w:t>
      </w:r>
      <w:proofErr w:type="spellStart"/>
      <w:r>
        <w:rPr>
          <w:rFonts w:ascii="Arial" w:eastAsia="Arial" w:hAnsi="Arial" w:cs="Arial"/>
        </w:rPr>
        <w:t>Leisink</w:t>
      </w:r>
      <w:proofErr w:type="spellEnd"/>
      <w:r>
        <w:rPr>
          <w:rFonts w:ascii="Arial" w:eastAsia="Arial" w:hAnsi="Arial" w:cs="Arial"/>
        </w:rPr>
        <w:t>, P. (2020). Only when the societal impact matters? Public service motivation and job satisfaction. Public Administration Review, 80(3), 464–475.</w:t>
      </w:r>
    </w:p>
    <w:p w14:paraId="452E948A"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https://doi.org/10.1111/puar.13131</w:t>
      </w:r>
    </w:p>
    <w:p w14:paraId="270555CA"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Victora, C. G., Christian, P., Vidaletti, L. P., Gatica-Domínguez, G., Menon, P., &amp; Black, R. E. (2021). Revisiting maternal and child undernutrition in low-income and middle-income countries. The Lancet, 397(10282), 1382–1393. https://doi.org/10.1016/S0140-6736(21)00936-9</w:t>
      </w:r>
    </w:p>
    <w:p w14:paraId="12B8F031"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Vilar-Compte, M., Gaitán-Rossi, P., Pérez-Escamilla, R., &amp; Teruel, G. (2025). Nutrition interventions and long-term human capital outcomes. International Journal for Equity in Health, 24(1), 25.</w:t>
      </w:r>
    </w:p>
    <w:p w14:paraId="5BE3380E"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https://doi.org/10.1186/s12939-025-02525-z</w:t>
      </w:r>
    </w:p>
    <w:p w14:paraId="36EA4A07"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World Bank. (2022). Public sector human capital and service delivery. World Bank Publications. https://doi.org/10.1596/978-1-4648-1750-7</w:t>
      </w:r>
    </w:p>
    <w:p w14:paraId="5526B952"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Wright, P. M., &amp; McMahan, G. C. (1992). Theoretical perspectives for strategic human resource management. Journal of Management, 18(2), 295–320.</w:t>
      </w:r>
    </w:p>
    <w:p w14:paraId="49A06345" w14:textId="77777777" w:rsidR="008F230A" w:rsidRDefault="008F230A">
      <w:pPr>
        <w:keepNext/>
        <w:pBdr>
          <w:top w:val="nil"/>
          <w:left w:val="nil"/>
          <w:bottom w:val="nil"/>
          <w:right w:val="nil"/>
          <w:between w:val="nil"/>
        </w:pBdr>
        <w:jc w:val="both"/>
        <w:rPr>
          <w:rFonts w:ascii="Arial" w:eastAsia="Arial" w:hAnsi="Arial" w:cs="Arial"/>
          <w:smallCaps/>
          <w:color w:val="000000"/>
          <w:sz w:val="22"/>
          <w:szCs w:val="22"/>
        </w:rPr>
      </w:pPr>
    </w:p>
    <w:sectPr w:rsidR="008F230A" w:rsidSect="000E5078">
      <w:headerReference w:type="even" r:id="rId16"/>
      <w:headerReference w:type="default" r:id="rId17"/>
      <w:footerReference w:type="default" r:id="rId18"/>
      <w:headerReference w:type="first" r:id="rId19"/>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3AD816" w14:textId="77777777" w:rsidR="00345334" w:rsidRDefault="00345334">
      <w:r>
        <w:separator/>
      </w:r>
    </w:p>
  </w:endnote>
  <w:endnote w:type="continuationSeparator" w:id="0">
    <w:p w14:paraId="46A6C0E1" w14:textId="77777777" w:rsidR="00345334" w:rsidRDefault="003453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SimSun"/>
    <w:charset w:val="00"/>
    <w:family w:val="auto"/>
    <w:pitch w:val="default"/>
    <w:embedRegular r:id="rId1" w:fontKey="{76CD8616-1717-41B1-9503-08D4D834F5DC}"/>
    <w:embedBold r:id="rId2" w:fontKey="{7DE8B3B8-60E0-450A-AC0D-7173D13F2AB1}"/>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CDBD601A-C44A-4840-9560-6B6DABEA6F7D}"/>
  </w:font>
  <w:font w:name="Calibri">
    <w:panose1 w:val="020F0502020204030204"/>
    <w:charset w:val="00"/>
    <w:family w:val="swiss"/>
    <w:pitch w:val="variable"/>
    <w:sig w:usb0="E4002EFF" w:usb1="C000247B" w:usb2="00000009" w:usb3="00000000" w:csb0="000001FF" w:csb1="00000000"/>
    <w:embedRegular r:id="rId4" w:fontKey="{C7EC71ED-7D0D-4AB0-A3A3-A445F39F85E7}"/>
    <w:embedBold r:id="rId5" w:fontKey="{A6B38422-DDB4-46CC-AE8D-4C5B18A62031}"/>
  </w:font>
  <w:font w:name="Cambria">
    <w:panose1 w:val="02040503050406030204"/>
    <w:charset w:val="00"/>
    <w:family w:val="roman"/>
    <w:pitch w:val="variable"/>
    <w:sig w:usb0="E00006FF" w:usb1="420024FF" w:usb2="02000000" w:usb3="00000000" w:csb0="0000019F" w:csb1="00000000"/>
    <w:embedRegular r:id="rId6" w:fontKey="{070493D6-7F11-46AB-9BDF-4CBF9E810BF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79A324" w14:textId="77777777" w:rsidR="008F230A" w:rsidRDefault="008F230A">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579553" w14:textId="3E96ED29" w:rsidR="008F230A" w:rsidRDefault="008F230A">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CBBCC5" w14:textId="77777777" w:rsidR="008F230A" w:rsidRDefault="008F230A">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7F157D3F" w14:textId="77777777" w:rsidR="008F230A" w:rsidRDefault="008F76E1">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14:paraId="7672D61D" w14:textId="77777777" w:rsidR="008F230A" w:rsidRDefault="008F230A">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2E8D1D08" w14:textId="77777777" w:rsidR="008F230A" w:rsidRDefault="008F76E1">
    <w:pPr>
      <w:pBdr>
        <w:top w:val="nil"/>
        <w:left w:val="nil"/>
        <w:bottom w:val="nil"/>
        <w:right w:val="nil"/>
        <w:between w:val="nil"/>
      </w:pBdr>
      <w:tabs>
        <w:tab w:val="center" w:pos="4320"/>
        <w:tab w:val="right" w:pos="8640"/>
      </w:tabs>
      <w:rPr>
        <w:rFonts w:ascii="Arial" w:eastAsia="Arial" w:hAnsi="Arial" w:cs="Arial"/>
        <w:i/>
        <w:iCs/>
        <w:color w:val="000000"/>
        <w:sz w:val="16"/>
        <w:szCs w:val="16"/>
      </w:rPr>
    </w:pPr>
    <w:r>
      <w:rPr>
        <w:rFonts w:ascii="Arial" w:eastAsia="Arial" w:hAnsi="Arial" w:cs="Arial"/>
        <w:i/>
        <w:iCs/>
        <w:color w:val="000000"/>
        <w:sz w:val="16"/>
        <w:szCs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858EF4" w14:textId="77777777" w:rsidR="008F230A" w:rsidRDefault="008F230A">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B39421" w14:textId="77777777" w:rsidR="00345334" w:rsidRDefault="00345334">
      <w:r>
        <w:separator/>
      </w:r>
    </w:p>
  </w:footnote>
  <w:footnote w:type="continuationSeparator" w:id="0">
    <w:p w14:paraId="62001595" w14:textId="77777777" w:rsidR="00345334" w:rsidRDefault="003453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E37D01" w14:textId="361FEB99" w:rsidR="008F230A" w:rsidRDefault="000E5078">
    <w:pPr>
      <w:pBdr>
        <w:top w:val="nil"/>
        <w:left w:val="nil"/>
        <w:bottom w:val="nil"/>
        <w:right w:val="nil"/>
        <w:between w:val="nil"/>
      </w:pBdr>
      <w:tabs>
        <w:tab w:val="center" w:pos="4320"/>
        <w:tab w:val="right" w:pos="8640"/>
      </w:tabs>
      <w:rPr>
        <w:color w:val="000000"/>
      </w:rPr>
    </w:pPr>
    <w:r>
      <w:rPr>
        <w:noProof/>
      </w:rPr>
      <w:pict w14:anchorId="1527E2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6144969"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3ADB7D" w14:textId="6443F084" w:rsidR="008F230A" w:rsidRDefault="000E5078">
    <w:pPr>
      <w:pBdr>
        <w:top w:val="nil"/>
        <w:left w:val="nil"/>
        <w:bottom w:val="nil"/>
        <w:right w:val="nil"/>
        <w:between w:val="nil"/>
      </w:pBdr>
      <w:tabs>
        <w:tab w:val="center" w:pos="4320"/>
        <w:tab w:val="right" w:pos="8640"/>
      </w:tabs>
      <w:rPr>
        <w:color w:val="000000"/>
      </w:rPr>
    </w:pPr>
    <w:r>
      <w:rPr>
        <w:noProof/>
      </w:rPr>
      <w:pict w14:anchorId="593BC0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6144970"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6A9F08" w14:textId="3C3A95F4" w:rsidR="008F230A" w:rsidRDefault="000E5078">
    <w:pPr>
      <w:ind w:left="2160"/>
      <w:jc w:val="center"/>
      <w:rPr>
        <w:rFonts w:ascii="Times New Roman" w:eastAsia="Times New Roman" w:hAnsi="Times New Roman" w:cs="Times New Roman"/>
        <w:i/>
        <w:iCs/>
        <w:sz w:val="18"/>
        <w:szCs w:val="18"/>
      </w:rPr>
    </w:pPr>
    <w:r>
      <w:rPr>
        <w:noProof/>
      </w:rPr>
      <w:pict w14:anchorId="6EE402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6144968"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v:shape>
      </w:pict>
    </w:r>
  </w:p>
  <w:p w14:paraId="1263CC27" w14:textId="77777777" w:rsidR="008F230A" w:rsidRDefault="008F76E1">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199BAA45" w14:textId="77777777" w:rsidR="008F230A" w:rsidRDefault="008F76E1">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14:paraId="03DFD217" w14:textId="77777777" w:rsidR="008F230A" w:rsidRDefault="008F76E1">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14:paraId="3C8B7899" w14:textId="77777777" w:rsidR="008F230A" w:rsidRDefault="008F76E1">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4D9E60EB" w14:textId="77777777" w:rsidR="008F230A" w:rsidRDefault="008F76E1">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14:paraId="4FF90152" w14:textId="77777777" w:rsidR="008F230A" w:rsidRDefault="008F76E1">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505FA" w14:textId="3555E56B" w:rsidR="000E5078" w:rsidRDefault="000E5078">
    <w:pPr>
      <w:pStyle w:val="Header"/>
    </w:pPr>
    <w:r>
      <w:rPr>
        <w:noProof/>
      </w:rPr>
      <w:pict w14:anchorId="2398BB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6144972"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5B39D1" w14:textId="784F2391" w:rsidR="000E5078" w:rsidRDefault="000E5078">
    <w:pPr>
      <w:pStyle w:val="Header"/>
    </w:pPr>
    <w:r>
      <w:rPr>
        <w:noProof/>
      </w:rPr>
      <w:pict w14:anchorId="73D61E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6144973"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000415" w14:textId="226343E0" w:rsidR="000E5078" w:rsidRDefault="000E5078">
    <w:pPr>
      <w:pStyle w:val="Header"/>
    </w:pPr>
    <w:r>
      <w:rPr>
        <w:noProof/>
      </w:rPr>
      <w:pict w14:anchorId="2020B8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6144971"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77234BB"/>
    <w:multiLevelType w:val="multilevel"/>
    <w:tmpl w:val="67547E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230A"/>
    <w:rsid w:val="00057315"/>
    <w:rsid w:val="000E5078"/>
    <w:rsid w:val="00345334"/>
    <w:rsid w:val="00371EC5"/>
    <w:rsid w:val="006A408E"/>
    <w:rsid w:val="00735404"/>
    <w:rsid w:val="008F230A"/>
    <w:rsid w:val="008F76E1"/>
    <w:rsid w:val="00A53F9D"/>
    <w:rsid w:val="00C50506"/>
    <w:rsid w:val="00CB38DD"/>
    <w:rsid w:val="00F963F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7812C0FC"/>
  <w15:docId w15:val="{B209E055-D945-4651-BB83-AB54E2CBE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ID"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15" w:type="dxa"/>
        <w:left w:w="15" w:type="dxa"/>
        <w:bottom w:w="15" w:type="dxa"/>
        <w:right w:w="15" w:type="dxa"/>
      </w:tblCellMar>
    </w:tblPr>
  </w:style>
  <w:style w:type="character" w:styleId="LineNumber">
    <w:name w:val="line number"/>
    <w:basedOn w:val="DefaultParagraphFont"/>
    <w:uiPriority w:val="99"/>
    <w:semiHidden/>
    <w:unhideWhenUsed/>
    <w:rsid w:val="00A53F9D"/>
  </w:style>
  <w:style w:type="character" w:styleId="Hyperlink">
    <w:name w:val="Hyperlink"/>
    <w:basedOn w:val="DefaultParagraphFont"/>
    <w:uiPriority w:val="99"/>
    <w:unhideWhenUsed/>
    <w:rsid w:val="00A53F9D"/>
    <w:rPr>
      <w:color w:val="0000FF" w:themeColor="hyperlink"/>
      <w:u w:val="single"/>
    </w:rPr>
  </w:style>
  <w:style w:type="character" w:styleId="UnresolvedMention">
    <w:name w:val="Unresolved Mention"/>
    <w:basedOn w:val="DefaultParagraphFont"/>
    <w:uiPriority w:val="99"/>
    <w:semiHidden/>
    <w:unhideWhenUsed/>
    <w:rsid w:val="00A53F9D"/>
    <w:rPr>
      <w:color w:val="605E5C"/>
      <w:shd w:val="clear" w:color="auto" w:fill="E1DFDD"/>
    </w:rPr>
  </w:style>
  <w:style w:type="paragraph" w:styleId="ListParagraph">
    <w:name w:val="List Paragraph"/>
    <w:basedOn w:val="Normal"/>
    <w:uiPriority w:val="34"/>
    <w:qFormat/>
    <w:rsid w:val="00C50506"/>
    <w:pPr>
      <w:ind w:left="720"/>
      <w:contextualSpacing/>
    </w:pPr>
  </w:style>
  <w:style w:type="paragraph" w:styleId="Header">
    <w:name w:val="header"/>
    <w:basedOn w:val="Normal"/>
    <w:link w:val="HeaderChar"/>
    <w:uiPriority w:val="99"/>
    <w:unhideWhenUsed/>
    <w:rsid w:val="000E5078"/>
    <w:pPr>
      <w:tabs>
        <w:tab w:val="center" w:pos="4680"/>
        <w:tab w:val="right" w:pos="9360"/>
      </w:tabs>
    </w:pPr>
  </w:style>
  <w:style w:type="character" w:customStyle="1" w:styleId="HeaderChar">
    <w:name w:val="Header Char"/>
    <w:basedOn w:val="DefaultParagraphFont"/>
    <w:link w:val="Header"/>
    <w:uiPriority w:val="99"/>
    <w:rsid w:val="000E50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8"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1.png"/><Relationship Id="rId10" Type="http://schemas.openxmlformats.org/officeDocument/2006/relationships/footer" Target="footer2.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8</Pages>
  <Words>3945</Words>
  <Characters>22490</Characters>
  <Application>Microsoft Office Word</Application>
  <DocSecurity>0</DocSecurity>
  <Lines>187</Lines>
  <Paragraphs>52</Paragraphs>
  <ScaleCrop>false</ScaleCrop>
  <Company/>
  <LinksUpToDate>false</LinksUpToDate>
  <CharactersWithSpaces>26383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7</cp:revision>
  <dcterms:created xsi:type="dcterms:W3CDTF">2026-01-30T05:20:00Z</dcterms:created>
  <dcterms:modified xsi:type="dcterms:W3CDTF">2026-01-30T12:54:00Z</dcterms:modified>
</cp:coreProperties>
</file>