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A1DA2" w14:textId="77777777" w:rsidR="002A03D1" w:rsidRDefault="00A20A53">
      <w:pPr>
        <w:jc w:val="right"/>
        <w:rPr>
          <w:rFonts w:ascii="Arial" w:hAnsi="Arial" w:cs="Arial"/>
          <w:sz w:val="24"/>
          <w:szCs w:val="24"/>
        </w:rPr>
      </w:pPr>
      <w:r>
        <w:rPr>
          <w:rFonts w:ascii="Arial" w:eastAsia="Arial" w:hAnsi="Arial" w:cs="Arial"/>
          <w:szCs w:val="24"/>
        </w:rPr>
        <w:t xml:space="preserve">Awareness, Knowledge, and Perception of </w:t>
      </w:r>
      <w:proofErr w:type="spellStart"/>
      <w:r>
        <w:rPr>
          <w:rFonts w:ascii="Arial" w:eastAsia="Arial" w:hAnsi="Arial" w:cs="Arial"/>
          <w:szCs w:val="24"/>
        </w:rPr>
        <w:t>Photobiomodulation</w:t>
      </w:r>
      <w:proofErr w:type="spellEnd"/>
      <w:r>
        <w:rPr>
          <w:rFonts w:ascii="Arial" w:eastAsia="Arial" w:hAnsi="Arial" w:cs="Arial"/>
          <w:szCs w:val="24"/>
        </w:rPr>
        <w:t xml:space="preserve"> Therapy Among Dental Professionals: A Cross‑Sectional Survey</w:t>
      </w:r>
    </w:p>
    <w:p w14:paraId="6312C2C4" w14:textId="6C208E6A" w:rsidR="000F0E92" w:rsidRDefault="000F0E92">
      <w:pPr>
        <w:wordWrap w:val="0"/>
        <w:jc w:val="right"/>
        <w:rPr>
          <w:rFonts w:ascii="Arial" w:hAnsi="Arial" w:cs="Arial"/>
        </w:rPr>
      </w:pPr>
    </w:p>
    <w:p w14:paraId="3804689A" w14:textId="77777777" w:rsidR="00593A34" w:rsidRDefault="00593A34">
      <w:pPr>
        <w:wordWrap w:val="0"/>
        <w:jc w:val="right"/>
        <w:rPr>
          <w:rFonts w:ascii="Arial" w:hAnsi="Arial" w:cs="Arial"/>
        </w:rPr>
      </w:pPr>
      <w:bookmarkStart w:id="0" w:name="_GoBack"/>
      <w:bookmarkEnd w:id="0"/>
    </w:p>
    <w:p w14:paraId="348E353D" w14:textId="77777777" w:rsidR="002A03D1" w:rsidRDefault="00A20A53">
      <w:pPr>
        <w:rPr>
          <w:rFonts w:ascii="Arial" w:hAnsi="Arial" w:cs="Arial"/>
          <w:sz w:val="24"/>
          <w:szCs w:val="24"/>
        </w:rPr>
      </w:pPr>
      <w:r>
        <w:rPr>
          <w:rFonts w:ascii="Arial" w:eastAsia="Arial" w:hAnsi="Arial" w:cs="Arial"/>
          <w:b/>
          <w:bCs/>
          <w:szCs w:val="24"/>
        </w:rPr>
        <w:t>ABSTRACT</w:t>
      </w:r>
    </w:p>
    <w:tbl>
      <w:tblPr>
        <w:tblStyle w:val="TableGrid"/>
        <w:tblW w:w="0" w:type="auto"/>
        <w:tblLook w:val="04A0" w:firstRow="1" w:lastRow="0" w:firstColumn="1" w:lastColumn="0" w:noHBand="0" w:noVBand="1"/>
      </w:tblPr>
      <w:tblGrid>
        <w:gridCol w:w="8856"/>
      </w:tblGrid>
      <w:tr w:rsidR="002A03D1" w14:paraId="035B6B5D" w14:textId="77777777">
        <w:tc>
          <w:tcPr>
            <w:tcW w:w="8856" w:type="dxa"/>
          </w:tcPr>
          <w:p w14:paraId="4E9D3662" w14:textId="77777777" w:rsidR="002A03D1" w:rsidRDefault="00A20A53">
            <w:pPr>
              <w:rPr>
                <w:rFonts w:ascii="Arial" w:hAnsi="Arial" w:cs="Arial"/>
                <w:b/>
                <w:bCs/>
              </w:rPr>
            </w:pPr>
            <w:r>
              <w:rPr>
                <w:rFonts w:ascii="Arial" w:hAnsi="Arial" w:cs="Arial"/>
                <w:b/>
                <w:bCs/>
              </w:rPr>
              <w:t>Background:</w:t>
            </w:r>
          </w:p>
          <w:p w14:paraId="003C238C" w14:textId="77777777" w:rsidR="002A03D1" w:rsidRDefault="00A20A53">
            <w:pPr>
              <w:rPr>
                <w:rFonts w:ascii="Arial" w:hAnsi="Arial" w:cs="Arial"/>
              </w:rPr>
            </w:pPr>
            <w:proofErr w:type="spellStart"/>
            <w:r>
              <w:rPr>
                <w:rFonts w:ascii="Arial" w:hAnsi="Arial" w:cs="Arial"/>
              </w:rPr>
              <w:t>Photobiomodulation</w:t>
            </w:r>
            <w:proofErr w:type="spellEnd"/>
            <w:r>
              <w:rPr>
                <w:rFonts w:ascii="Arial" w:hAnsi="Arial" w:cs="Arial"/>
              </w:rPr>
              <w:t xml:space="preserve"> (PBM) therapy is increasingly used in dentistry for pain reduction and wound healing. However, variations exist in awareness and knowledge among dental profes</w:t>
            </w:r>
            <w:r>
              <w:rPr>
                <w:rFonts w:ascii="Arial" w:hAnsi="Arial" w:cs="Arial"/>
              </w:rPr>
              <w:t>sionals.</w:t>
            </w:r>
          </w:p>
          <w:p w14:paraId="1E2C7273" w14:textId="77777777" w:rsidR="002A03D1" w:rsidRDefault="00A20A53">
            <w:pPr>
              <w:rPr>
                <w:rFonts w:ascii="Arial" w:hAnsi="Arial" w:cs="Arial"/>
              </w:rPr>
            </w:pPr>
            <w:r>
              <w:rPr>
                <w:rFonts w:ascii="Arial" w:hAnsi="Arial" w:cs="Arial"/>
                <w:b/>
                <w:bCs/>
              </w:rPr>
              <w:t>Aim:</w:t>
            </w:r>
            <w:r>
              <w:rPr>
                <w:rFonts w:ascii="Arial" w:hAnsi="Arial" w:cs="Arial"/>
              </w:rPr>
              <w:t xml:space="preserve"> </w:t>
            </w:r>
          </w:p>
          <w:p w14:paraId="2A2F6F49" w14:textId="77777777" w:rsidR="002A03D1" w:rsidRDefault="00A20A53">
            <w:pPr>
              <w:rPr>
                <w:rFonts w:ascii="Arial" w:hAnsi="Arial" w:cs="Arial"/>
              </w:rPr>
            </w:pPr>
            <w:r>
              <w:rPr>
                <w:rFonts w:ascii="Arial" w:hAnsi="Arial" w:cs="Arial"/>
              </w:rPr>
              <w:t>To assess awareness, knowledge, and perception of PBM therapy among dental practitioners.</w:t>
            </w:r>
          </w:p>
          <w:p w14:paraId="78CD0CA5" w14:textId="77777777" w:rsidR="002A03D1" w:rsidRDefault="00A20A53">
            <w:pPr>
              <w:rPr>
                <w:rFonts w:ascii="Arial" w:hAnsi="Arial" w:cs="Arial"/>
              </w:rPr>
            </w:pPr>
            <w:r>
              <w:rPr>
                <w:rFonts w:ascii="Arial" w:hAnsi="Arial" w:cs="Arial"/>
                <w:b/>
                <w:bCs/>
              </w:rPr>
              <w:t>Materials and Methods</w:t>
            </w:r>
            <w:r>
              <w:rPr>
                <w:rFonts w:ascii="Arial" w:hAnsi="Arial" w:cs="Arial"/>
              </w:rPr>
              <w:t>:</w:t>
            </w:r>
          </w:p>
          <w:p w14:paraId="6D6B20EE" w14:textId="77777777" w:rsidR="002A03D1" w:rsidRDefault="00A20A53">
            <w:pPr>
              <w:rPr>
                <w:rFonts w:ascii="Arial" w:hAnsi="Arial" w:cs="Arial"/>
              </w:rPr>
            </w:pPr>
            <w:r>
              <w:rPr>
                <w:rFonts w:ascii="Arial" w:hAnsi="Arial" w:cs="Arial"/>
              </w:rPr>
              <w:t xml:space="preserve"> A cross-sectional questionnaire-based survey was conducted among 78 dental professionals. Descriptive statistics and Chi-square</w:t>
            </w:r>
            <w:r>
              <w:rPr>
                <w:rFonts w:ascii="Arial" w:hAnsi="Arial" w:cs="Arial"/>
              </w:rPr>
              <w:t xml:space="preserve"> tests were used for analysis (p &lt; 0.05).</w:t>
            </w:r>
          </w:p>
          <w:p w14:paraId="41DB4891" w14:textId="77777777" w:rsidR="002A03D1" w:rsidRDefault="00A20A53">
            <w:pPr>
              <w:rPr>
                <w:rFonts w:ascii="Arial" w:hAnsi="Arial" w:cs="Arial"/>
              </w:rPr>
            </w:pPr>
            <w:r>
              <w:rPr>
                <w:rFonts w:ascii="Arial" w:hAnsi="Arial" w:cs="Arial"/>
                <w:b/>
                <w:bCs/>
              </w:rPr>
              <w:t>Results:</w:t>
            </w:r>
            <w:r>
              <w:rPr>
                <w:rFonts w:ascii="Arial" w:hAnsi="Arial" w:cs="Arial"/>
              </w:rPr>
              <w:t xml:space="preserve"> </w:t>
            </w:r>
          </w:p>
          <w:p w14:paraId="147BB121" w14:textId="77777777" w:rsidR="002A03D1" w:rsidRDefault="00A20A53">
            <w:pPr>
              <w:rPr>
                <w:rFonts w:ascii="Arial" w:hAnsi="Arial" w:cs="Arial"/>
              </w:rPr>
            </w:pPr>
            <w:r>
              <w:rPr>
                <w:rFonts w:ascii="Arial" w:hAnsi="Arial" w:cs="Arial"/>
              </w:rPr>
              <w:t xml:space="preserve">Overall awareness was 73.1%. The mean knowledge score was 51.3%. A significant association was found between qualification and having heard of PBM (p = 0.037). Most participants were willing to adopt PBM </w:t>
            </w:r>
            <w:r>
              <w:rPr>
                <w:rFonts w:ascii="Arial" w:hAnsi="Arial" w:cs="Arial"/>
              </w:rPr>
              <w:t>with adequate training.</w:t>
            </w:r>
          </w:p>
          <w:p w14:paraId="6846F948" w14:textId="77777777" w:rsidR="002A03D1" w:rsidRDefault="00A20A53">
            <w:pPr>
              <w:spacing w:line="240" w:lineRule="auto"/>
              <w:rPr>
                <w:rFonts w:ascii="Arial" w:hAnsi="Arial" w:cs="Arial"/>
              </w:rPr>
            </w:pPr>
            <w:r>
              <w:rPr>
                <w:rFonts w:ascii="Arial" w:hAnsi="Arial" w:cs="Arial"/>
                <w:b/>
                <w:bCs/>
              </w:rPr>
              <w:t>Conclusion</w:t>
            </w:r>
            <w:r>
              <w:rPr>
                <w:rFonts w:ascii="Arial" w:hAnsi="Arial" w:cs="Arial"/>
              </w:rPr>
              <w:t>:</w:t>
            </w:r>
          </w:p>
          <w:p w14:paraId="05D62523" w14:textId="77777777" w:rsidR="002A03D1" w:rsidRDefault="00A20A53">
            <w:pPr>
              <w:spacing w:line="360" w:lineRule="auto"/>
              <w:rPr>
                <w:rFonts w:ascii="Arial" w:hAnsi="Arial" w:cs="Arial"/>
                <w:sz w:val="20"/>
                <w:szCs w:val="20"/>
              </w:rPr>
            </w:pPr>
            <w:r>
              <w:rPr>
                <w:rFonts w:ascii="Arial" w:hAnsi="Arial" w:cs="Arial"/>
              </w:rPr>
              <w:t xml:space="preserve"> While awareness is satisfactory, scientific understanding remains moderate. Structured educational initiatives are recommended.</w:t>
            </w:r>
          </w:p>
        </w:tc>
      </w:tr>
    </w:tbl>
    <w:p w14:paraId="65327260" w14:textId="77777777" w:rsidR="002A03D1" w:rsidRDefault="00A20A53">
      <w:pPr>
        <w:rPr>
          <w:rFonts w:ascii="Arial" w:hAnsi="Arial" w:cs="Arial"/>
          <w:i/>
          <w:iCs/>
        </w:rPr>
      </w:pPr>
      <w:r>
        <w:rPr>
          <w:rFonts w:ascii="Arial" w:eastAsia="Arial" w:hAnsi="Arial" w:cs="Arial"/>
          <w:bCs/>
          <w:i/>
          <w:iCs/>
        </w:rPr>
        <w:t>Keywords:</w:t>
      </w:r>
      <w:r>
        <w:rPr>
          <w:rFonts w:ascii="Arial" w:eastAsia="Arial" w:hAnsi="Arial" w:cs="Arial"/>
          <w:i/>
          <w:iCs/>
        </w:rPr>
        <w:t xml:space="preserve"> </w:t>
      </w:r>
      <w:proofErr w:type="spellStart"/>
      <w:r>
        <w:rPr>
          <w:rFonts w:ascii="Arial" w:eastAsia="Arial" w:hAnsi="Arial" w:cs="Arial"/>
          <w:i/>
          <w:iCs/>
        </w:rPr>
        <w:t>Photobiomodulation</w:t>
      </w:r>
      <w:proofErr w:type="spellEnd"/>
      <w:r>
        <w:rPr>
          <w:rFonts w:ascii="Arial" w:eastAsia="Arial" w:hAnsi="Arial" w:cs="Arial"/>
          <w:i/>
          <w:iCs/>
        </w:rPr>
        <w:t>; Low-level laser therapy; Periodontics; Dental education; Cro</w:t>
      </w:r>
      <w:r>
        <w:rPr>
          <w:rFonts w:ascii="Arial" w:eastAsia="Arial" w:hAnsi="Arial" w:cs="Arial"/>
          <w:i/>
          <w:iCs/>
        </w:rPr>
        <w:t>ss-sectional study</w:t>
      </w:r>
    </w:p>
    <w:p w14:paraId="5B5AB16D" w14:textId="77777777" w:rsidR="002A03D1" w:rsidRDefault="00A20A53">
      <w:pPr>
        <w:rPr>
          <w:rFonts w:ascii="Arial" w:hAnsi="Arial" w:cs="Arial"/>
          <w:b/>
          <w:bCs/>
          <w:sz w:val="24"/>
          <w:szCs w:val="24"/>
        </w:rPr>
      </w:pPr>
      <w:r>
        <w:rPr>
          <w:rFonts w:ascii="Arial" w:eastAsia="Arial" w:hAnsi="Arial" w:cs="Arial"/>
          <w:b/>
          <w:bCs/>
          <w:szCs w:val="24"/>
        </w:rPr>
        <w:t>1.INTRODUCTION</w:t>
      </w:r>
    </w:p>
    <w:p w14:paraId="415599A9" w14:textId="77777777" w:rsidR="002A03D1" w:rsidRDefault="00A20A53">
      <w:pPr>
        <w:pStyle w:val="NormalWeb"/>
        <w:spacing w:line="360" w:lineRule="auto"/>
        <w:rPr>
          <w:rFonts w:ascii="Arial" w:hAnsi="Arial" w:cs="Arial"/>
          <w:sz w:val="22"/>
          <w:szCs w:val="22"/>
        </w:rPr>
      </w:pPr>
      <w:proofErr w:type="spellStart"/>
      <w:r>
        <w:rPr>
          <w:rFonts w:ascii="Arial" w:eastAsia="Arial" w:hAnsi="Arial" w:cs="Arial"/>
          <w:sz w:val="22"/>
          <w:szCs w:val="22"/>
        </w:rPr>
        <w:t>Photobiomodulation</w:t>
      </w:r>
      <w:proofErr w:type="spellEnd"/>
      <w:r>
        <w:rPr>
          <w:rFonts w:ascii="Arial" w:eastAsia="Arial" w:hAnsi="Arial" w:cs="Arial"/>
          <w:sz w:val="22"/>
          <w:szCs w:val="22"/>
        </w:rPr>
        <w:t xml:space="preserve"> (PBM) therapy is a non-invasive treatment modality that employs low-level red and near-infrared light to influence cellular activity and promote biological responses within tissues [1,2]. Unlike </w:t>
      </w:r>
      <w:r>
        <w:rPr>
          <w:rFonts w:ascii="Arial" w:eastAsia="Arial" w:hAnsi="Arial" w:cs="Arial"/>
          <w:sz w:val="22"/>
          <w:szCs w:val="22"/>
        </w:rPr>
        <w:t xml:space="preserve">high-intensity lasers used for surgical procedures, PBM delivers light at low energy levels that trigger photochemical reactions rather than thermal damage. At the cellular level, light photons are absorbed by mitochondrial </w:t>
      </w:r>
      <w:r>
        <w:rPr>
          <w:rFonts w:ascii="Arial" w:eastAsia="Arial" w:hAnsi="Arial" w:cs="Arial"/>
          <w:sz w:val="22"/>
          <w:szCs w:val="22"/>
        </w:rPr>
        <w:lastRenderedPageBreak/>
        <w:t>chromophores, particularly cytoc</w:t>
      </w:r>
      <w:r>
        <w:rPr>
          <w:rFonts w:ascii="Arial" w:eastAsia="Arial" w:hAnsi="Arial" w:cs="Arial"/>
          <w:sz w:val="22"/>
          <w:szCs w:val="22"/>
        </w:rPr>
        <w:t>hrome c oxidase, which enhances mitochondrial respiration and increases the production of adenosine triphosphate (ATP) [2]. This increase in cellular energy supports various biological processes, including tissue repair, modulation of inflammatory pathways</w:t>
      </w:r>
      <w:r>
        <w:rPr>
          <w:rFonts w:ascii="Arial" w:eastAsia="Arial" w:hAnsi="Arial" w:cs="Arial"/>
          <w:sz w:val="22"/>
          <w:szCs w:val="22"/>
        </w:rPr>
        <w:t>, and improved cellular proliferation.</w:t>
      </w:r>
    </w:p>
    <w:p w14:paraId="0BF4B3ED"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In the field of dentistry, PBM has attracted growing interest because of its potential therapeutic applications. Research has indicated that PBM may help reduce postoperative pain, minimize inflammatory responses, and</w:t>
      </w:r>
      <w:r>
        <w:rPr>
          <w:rFonts w:ascii="Arial" w:eastAsia="Arial" w:hAnsi="Arial" w:cs="Arial"/>
          <w:sz w:val="22"/>
          <w:szCs w:val="22"/>
        </w:rPr>
        <w:t xml:space="preserve"> accelerate wound healing following dental procedures [3–6]. In addition, it has been explored in the management of several oral conditions such as oral mucositis, temporomandibular joint disorders, dentinal hypersensitivity, and nerve injuries. PBM has al</w:t>
      </w:r>
      <w:r>
        <w:rPr>
          <w:rFonts w:ascii="Arial" w:eastAsia="Arial" w:hAnsi="Arial" w:cs="Arial"/>
          <w:sz w:val="22"/>
          <w:szCs w:val="22"/>
        </w:rPr>
        <w:t>so been investigated as an adjunctive approach in periodontal therapy, where it may enhance tissue healing and improve clinical outcomes when combined with conventional periodontal treatment.</w:t>
      </w:r>
    </w:p>
    <w:p w14:paraId="45A7422C"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Several systematic reviews have highlighted the positive role of</w:t>
      </w:r>
      <w:r>
        <w:rPr>
          <w:rFonts w:ascii="Arial" w:eastAsia="Arial" w:hAnsi="Arial" w:cs="Arial"/>
          <w:sz w:val="22"/>
          <w:szCs w:val="22"/>
        </w:rPr>
        <w:t xml:space="preserve"> PBM in periodontal therapy, reporting improvements in tissue healing and patient comfort [4,6,8]. Despite these promising findings, the routine use of PBM in dental practice is still not widespread. One of the important factors influencing its clinical im</w:t>
      </w:r>
      <w:r>
        <w:rPr>
          <w:rFonts w:ascii="Arial" w:eastAsia="Arial" w:hAnsi="Arial" w:cs="Arial"/>
          <w:sz w:val="22"/>
          <w:szCs w:val="22"/>
        </w:rPr>
        <w:t>plementation is the level of awareness, knowledge, and perception among dental professionals regarding this technology.</w:t>
      </w:r>
    </w:p>
    <w:p w14:paraId="3CA258DE"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 xml:space="preserve">Therefore, the present study aimed to evaluate the awareness, knowledge, and perception of </w:t>
      </w:r>
      <w:proofErr w:type="spellStart"/>
      <w:r>
        <w:rPr>
          <w:rFonts w:ascii="Arial" w:eastAsia="Arial" w:hAnsi="Arial" w:cs="Arial"/>
          <w:sz w:val="22"/>
          <w:szCs w:val="22"/>
        </w:rPr>
        <w:t>photobiomodulation</w:t>
      </w:r>
      <w:proofErr w:type="spellEnd"/>
      <w:r>
        <w:rPr>
          <w:rFonts w:ascii="Arial" w:eastAsia="Arial" w:hAnsi="Arial" w:cs="Arial"/>
          <w:sz w:val="22"/>
          <w:szCs w:val="22"/>
        </w:rPr>
        <w:t xml:space="preserve"> therapy among dental profe</w:t>
      </w:r>
      <w:r>
        <w:rPr>
          <w:rFonts w:ascii="Arial" w:eastAsia="Arial" w:hAnsi="Arial" w:cs="Arial"/>
          <w:sz w:val="22"/>
          <w:szCs w:val="22"/>
        </w:rPr>
        <w:t>ssionals.</w:t>
      </w:r>
    </w:p>
    <w:p w14:paraId="3B38100B" w14:textId="77777777" w:rsidR="002A03D1" w:rsidRDefault="00A20A53">
      <w:pPr>
        <w:rPr>
          <w:rFonts w:ascii="Arial" w:hAnsi="Arial" w:cs="Arial"/>
          <w:b/>
          <w:bCs/>
        </w:rPr>
      </w:pPr>
      <w:r>
        <w:rPr>
          <w:rFonts w:ascii="Arial" w:eastAsia="Arial" w:hAnsi="Arial"/>
          <w:b/>
        </w:rPr>
        <w:br/>
        <w:t>2. MATERIALS AND METHODS</w:t>
      </w:r>
      <w:r>
        <w:rPr>
          <w:rFonts w:ascii="Arial" w:eastAsia="Arial" w:hAnsi="Arial"/>
          <w:b/>
        </w:rPr>
        <w:br/>
      </w:r>
      <w:r>
        <w:rPr>
          <w:rFonts w:ascii="Arial" w:eastAsia="Arial" w:hAnsi="Arial"/>
          <w:b/>
        </w:rPr>
        <w:br/>
        <w:t>2.1 Study Design and Setting</w:t>
      </w:r>
      <w:r>
        <w:rPr>
          <w:rFonts w:ascii="Arial" w:eastAsia="Arial" w:hAnsi="Arial"/>
          <w:b/>
        </w:rPr>
        <w:br/>
        <w:t xml:space="preserve">The present study was designed as a descriptive cross‑sectional questionnaire‑based survey aimed at evaluating the awareness, knowledge, and perception of </w:t>
      </w:r>
      <w:proofErr w:type="spellStart"/>
      <w:r>
        <w:rPr>
          <w:rFonts w:ascii="Arial" w:eastAsia="Arial" w:hAnsi="Arial"/>
          <w:b/>
        </w:rPr>
        <w:t>photobiomodulation</w:t>
      </w:r>
      <w:proofErr w:type="spellEnd"/>
      <w:r>
        <w:rPr>
          <w:rFonts w:ascii="Arial" w:eastAsia="Arial" w:hAnsi="Arial"/>
          <w:b/>
        </w:rPr>
        <w:t xml:space="preserve"> (PBM) therapy am</w:t>
      </w:r>
      <w:r>
        <w:rPr>
          <w:rFonts w:ascii="Arial" w:eastAsia="Arial" w:hAnsi="Arial"/>
          <w:b/>
        </w:rPr>
        <w:t>ong dental professionals. The study was conducted among dental practitioners associated with private practice, academic institutions, and government dental services. The research design followed the recommendations of the STROBE (Strengthening the Reportin</w:t>
      </w:r>
      <w:r>
        <w:rPr>
          <w:rFonts w:ascii="Arial" w:eastAsia="Arial" w:hAnsi="Arial"/>
          <w:b/>
        </w:rPr>
        <w:t>g of Observational Studies in Epidemiology) guidelines for cross‑sectional studies.</w:t>
      </w:r>
      <w:r>
        <w:rPr>
          <w:rFonts w:ascii="Arial" w:eastAsia="Arial" w:hAnsi="Arial"/>
          <w:b/>
        </w:rPr>
        <w:br/>
      </w:r>
      <w:r>
        <w:rPr>
          <w:rFonts w:ascii="Arial" w:eastAsia="Arial" w:hAnsi="Arial"/>
          <w:b/>
        </w:rPr>
        <w:br/>
        <w:t>2.2 Study Population and Sampling</w:t>
      </w:r>
      <w:r>
        <w:rPr>
          <w:rFonts w:ascii="Arial" w:eastAsia="Arial" w:hAnsi="Arial"/>
          <w:b/>
        </w:rPr>
        <w:br/>
        <w:t xml:space="preserve">The study population consisted of dental professionals including Bachelor of </w:t>
      </w:r>
      <w:r>
        <w:rPr>
          <w:rFonts w:ascii="Arial" w:eastAsia="Arial" w:hAnsi="Arial"/>
          <w:b/>
        </w:rPr>
        <w:lastRenderedPageBreak/>
        <w:t>Dental Surgery (BDS) graduates, Master of Dental Surgery (MD</w:t>
      </w:r>
      <w:r>
        <w:rPr>
          <w:rFonts w:ascii="Arial" w:eastAsia="Arial" w:hAnsi="Arial"/>
          <w:b/>
        </w:rPr>
        <w:t>S) specialists, and dentists with doctoral or postdoctoral qualifications who were actively involved in clinical practice or teaching. Participants were recruited through conventional non‑probability sampling.</w:t>
      </w:r>
      <w:r>
        <w:rPr>
          <w:rFonts w:ascii="Arial" w:eastAsia="Arial" w:hAnsi="Arial"/>
          <w:b/>
        </w:rPr>
        <w:br/>
      </w:r>
      <w:r>
        <w:rPr>
          <w:rFonts w:ascii="Arial" w:eastAsia="Arial" w:hAnsi="Arial"/>
          <w:b/>
        </w:rPr>
        <w:br/>
        <w:t>A total of 78 dental professionals voluntaril</w:t>
      </w:r>
      <w:r>
        <w:rPr>
          <w:rFonts w:ascii="Arial" w:eastAsia="Arial" w:hAnsi="Arial"/>
          <w:b/>
        </w:rPr>
        <w:t>y participated in the study after meeting the predefined inclusion criteria.</w:t>
      </w:r>
      <w:r>
        <w:rPr>
          <w:rFonts w:ascii="Arial" w:eastAsia="Arial" w:hAnsi="Arial"/>
          <w:b/>
        </w:rPr>
        <w:br/>
      </w:r>
      <w:r>
        <w:rPr>
          <w:rFonts w:ascii="Arial" w:eastAsia="Arial" w:hAnsi="Arial"/>
          <w:b/>
        </w:rPr>
        <w:br/>
        <w:t>Inclusion Criteria</w:t>
      </w:r>
      <w:r>
        <w:rPr>
          <w:rFonts w:ascii="Arial" w:eastAsia="Arial" w:hAnsi="Arial"/>
          <w:b/>
        </w:rPr>
        <w:br/>
        <w:t xml:space="preserve">• Licensed dental practitioners currently practicing dentistry  </w:t>
      </w:r>
      <w:r>
        <w:rPr>
          <w:rFonts w:ascii="Arial" w:eastAsia="Arial" w:hAnsi="Arial"/>
          <w:b/>
        </w:rPr>
        <w:br/>
        <w:t xml:space="preserve">• Dental professionals involved in academic or clinical practice  </w:t>
      </w:r>
      <w:r>
        <w:rPr>
          <w:rFonts w:ascii="Arial" w:eastAsia="Arial" w:hAnsi="Arial"/>
          <w:b/>
        </w:rPr>
        <w:br/>
        <w:t>• Participants willing to p</w:t>
      </w:r>
      <w:r>
        <w:rPr>
          <w:rFonts w:ascii="Arial" w:eastAsia="Arial" w:hAnsi="Arial"/>
          <w:b/>
        </w:rPr>
        <w:t xml:space="preserve">rovide informed consent  </w:t>
      </w:r>
      <w:r>
        <w:rPr>
          <w:rFonts w:ascii="Arial" w:eastAsia="Arial" w:hAnsi="Arial"/>
          <w:b/>
        </w:rPr>
        <w:br/>
      </w:r>
      <w:r>
        <w:rPr>
          <w:rFonts w:ascii="Arial" w:eastAsia="Arial" w:hAnsi="Arial"/>
          <w:b/>
        </w:rPr>
        <w:br/>
        <w:t>Exclusion Criteria</w:t>
      </w:r>
      <w:r>
        <w:rPr>
          <w:rFonts w:ascii="Arial" w:eastAsia="Arial" w:hAnsi="Arial"/>
          <w:b/>
        </w:rPr>
        <w:br/>
        <w:t xml:space="preserve">• Undergraduate dental students  </w:t>
      </w:r>
      <w:r>
        <w:rPr>
          <w:rFonts w:ascii="Arial" w:eastAsia="Arial" w:hAnsi="Arial"/>
          <w:b/>
        </w:rPr>
        <w:br/>
        <w:t xml:space="preserve">• Incomplete questionnaire responses  </w:t>
      </w:r>
      <w:r>
        <w:rPr>
          <w:rFonts w:ascii="Arial" w:eastAsia="Arial" w:hAnsi="Arial"/>
          <w:b/>
        </w:rPr>
        <w:br/>
        <w:t xml:space="preserve">• Participants who declined consent  </w:t>
      </w:r>
      <w:r>
        <w:rPr>
          <w:rFonts w:ascii="Arial" w:eastAsia="Arial" w:hAnsi="Arial"/>
          <w:b/>
        </w:rPr>
        <w:br/>
      </w:r>
      <w:r>
        <w:rPr>
          <w:rFonts w:ascii="Arial" w:eastAsia="Arial" w:hAnsi="Arial"/>
          <w:b/>
        </w:rPr>
        <w:br/>
        <w:t>Participation in the survey was voluntary and anonymous, and respondents were informed that the co</w:t>
      </w:r>
      <w:r>
        <w:rPr>
          <w:rFonts w:ascii="Arial" w:eastAsia="Arial" w:hAnsi="Arial"/>
          <w:b/>
        </w:rPr>
        <w:t>llected data would be used strictly for research purposes.</w:t>
      </w:r>
      <w:r>
        <w:rPr>
          <w:rFonts w:ascii="Arial" w:eastAsia="Arial" w:hAnsi="Arial"/>
          <w:b/>
        </w:rPr>
        <w:br/>
      </w:r>
      <w:r>
        <w:rPr>
          <w:rFonts w:ascii="Arial" w:eastAsia="Arial" w:hAnsi="Arial"/>
          <w:b/>
        </w:rPr>
        <w:br/>
        <w:t>2.3 Questionnaire Development</w:t>
      </w:r>
      <w:r>
        <w:rPr>
          <w:rFonts w:ascii="Arial" w:eastAsia="Arial" w:hAnsi="Arial"/>
          <w:b/>
        </w:rPr>
        <w:br/>
        <w:t xml:space="preserve">A structured questionnaire was developed after reviewing previously published literature related to </w:t>
      </w:r>
      <w:proofErr w:type="spellStart"/>
      <w:r>
        <w:rPr>
          <w:rFonts w:ascii="Arial" w:eastAsia="Arial" w:hAnsi="Arial"/>
          <w:b/>
        </w:rPr>
        <w:t>photobiomodulation</w:t>
      </w:r>
      <w:proofErr w:type="spellEnd"/>
      <w:r>
        <w:rPr>
          <w:rFonts w:ascii="Arial" w:eastAsia="Arial" w:hAnsi="Arial"/>
          <w:b/>
        </w:rPr>
        <w:t xml:space="preserve"> therapy and laser applications in dentistry. Th</w:t>
      </w:r>
      <w:r>
        <w:rPr>
          <w:rFonts w:ascii="Arial" w:eastAsia="Arial" w:hAnsi="Arial"/>
          <w:b/>
        </w:rPr>
        <w:t>e questionnaire was designed to evaluate three primary domains:</w:t>
      </w:r>
      <w:r>
        <w:rPr>
          <w:rFonts w:ascii="Arial" w:eastAsia="Arial" w:hAnsi="Arial"/>
          <w:b/>
        </w:rPr>
        <w:br/>
      </w:r>
      <w:r>
        <w:rPr>
          <w:rFonts w:ascii="Arial" w:eastAsia="Arial" w:hAnsi="Arial"/>
          <w:b/>
        </w:rPr>
        <w:br/>
        <w:t>1. Demographic characteristics (age, gender, professional qualification, years of clinical experience, and practice setting)</w:t>
      </w:r>
      <w:r>
        <w:rPr>
          <w:rFonts w:ascii="Arial" w:eastAsia="Arial" w:hAnsi="Arial"/>
          <w:b/>
        </w:rPr>
        <w:br/>
        <w:t>2. Awareness of PBM therapy (previous exposure, familiarity with P</w:t>
      </w:r>
      <w:r>
        <w:rPr>
          <w:rFonts w:ascii="Arial" w:eastAsia="Arial" w:hAnsi="Arial"/>
          <w:b/>
        </w:rPr>
        <w:t>BM applications in dentistry, and sources of information)</w:t>
      </w:r>
      <w:r>
        <w:rPr>
          <w:rFonts w:ascii="Arial" w:eastAsia="Arial" w:hAnsi="Arial"/>
          <w:b/>
        </w:rPr>
        <w:br/>
        <w:t>3. Knowledge regarding PBM (mechanism of action, wavelength range, type of light used, clinical indications, and guidelines)</w:t>
      </w:r>
      <w:r>
        <w:rPr>
          <w:rFonts w:ascii="Arial" w:eastAsia="Arial" w:hAnsi="Arial"/>
          <w:b/>
        </w:rPr>
        <w:br/>
        <w:t>4. Perception and attitude toward PBM therapy (perceived effectiveness, w</w:t>
      </w:r>
      <w:r>
        <w:rPr>
          <w:rFonts w:ascii="Arial" w:eastAsia="Arial" w:hAnsi="Arial"/>
          <w:b/>
        </w:rPr>
        <w:t>illingness to adopt PBM in practice, and perceived barriers)</w:t>
      </w:r>
      <w:r>
        <w:rPr>
          <w:rFonts w:ascii="Arial" w:eastAsia="Arial" w:hAnsi="Arial"/>
          <w:b/>
        </w:rPr>
        <w:br/>
      </w:r>
      <w:r>
        <w:rPr>
          <w:rFonts w:ascii="Arial" w:eastAsia="Arial" w:hAnsi="Arial"/>
          <w:b/>
        </w:rPr>
        <w:br/>
        <w:t>The questionnaire included multiple‑choice questions and Likert‑scale statements. Knowledge questions were designed with a single best answer format, while perception items used a four‑point Lik</w:t>
      </w:r>
      <w:r>
        <w:rPr>
          <w:rFonts w:ascii="Arial" w:eastAsia="Arial" w:hAnsi="Arial"/>
          <w:b/>
        </w:rPr>
        <w:t>ert scale ranging from strongly disagree to strongly agree.</w:t>
      </w:r>
      <w:r>
        <w:rPr>
          <w:rFonts w:ascii="Arial" w:eastAsia="Arial" w:hAnsi="Arial"/>
          <w:b/>
        </w:rPr>
        <w:br/>
      </w:r>
      <w:r>
        <w:rPr>
          <w:rFonts w:ascii="Arial" w:eastAsia="Arial" w:hAnsi="Arial"/>
          <w:b/>
        </w:rPr>
        <w:br/>
        <w:t>Prior to distribution, the questionnaire was reviewed for clarity, relevance, and content validity by experienced dental professionals familiar with laser dentistry.</w:t>
      </w:r>
      <w:r>
        <w:rPr>
          <w:rFonts w:ascii="Arial" w:eastAsia="Arial" w:hAnsi="Arial"/>
          <w:b/>
        </w:rPr>
        <w:br/>
      </w:r>
      <w:r>
        <w:rPr>
          <w:rFonts w:ascii="Arial" w:eastAsia="Arial" w:hAnsi="Arial"/>
          <w:b/>
        </w:rPr>
        <w:br/>
        <w:t>2.4 Data Collection Procedur</w:t>
      </w:r>
      <w:r>
        <w:rPr>
          <w:rFonts w:ascii="Arial" w:eastAsia="Arial" w:hAnsi="Arial"/>
          <w:b/>
        </w:rPr>
        <w:t>e</w:t>
      </w:r>
      <w:r>
        <w:rPr>
          <w:rFonts w:ascii="Arial" w:eastAsia="Arial" w:hAnsi="Arial"/>
          <w:b/>
        </w:rPr>
        <w:br/>
      </w:r>
      <w:r>
        <w:rPr>
          <w:rFonts w:ascii="Arial" w:eastAsia="Arial" w:hAnsi="Arial"/>
          <w:b/>
        </w:rPr>
        <w:lastRenderedPageBreak/>
        <w:t>The questionnaire was distributed to eligible participants through online and offline formats, allowing respondents to complete the survey at their convenience. Participants were informed about the purpose of the study, and consent was obtained before pa</w:t>
      </w:r>
      <w:r>
        <w:rPr>
          <w:rFonts w:ascii="Arial" w:eastAsia="Arial" w:hAnsi="Arial"/>
          <w:b/>
        </w:rPr>
        <w:t>rticipation.</w:t>
      </w:r>
      <w:r>
        <w:rPr>
          <w:rFonts w:ascii="Arial" w:eastAsia="Arial" w:hAnsi="Arial"/>
          <w:b/>
        </w:rPr>
        <w:br/>
      </w:r>
      <w:r>
        <w:rPr>
          <w:rFonts w:ascii="Arial" w:eastAsia="Arial" w:hAnsi="Arial"/>
          <w:b/>
        </w:rPr>
        <w:br/>
        <w:t>The survey collected responses over a defined period until the target sample size of 78 participants was achieved. All responses were compiled into a database for statistical analysis.</w:t>
      </w:r>
      <w:r>
        <w:rPr>
          <w:rFonts w:ascii="Arial" w:eastAsia="Arial" w:hAnsi="Arial"/>
          <w:b/>
        </w:rPr>
        <w:br/>
      </w:r>
      <w:r>
        <w:rPr>
          <w:rFonts w:ascii="Arial" w:eastAsia="Arial" w:hAnsi="Arial"/>
          <w:b/>
        </w:rPr>
        <w:br/>
        <w:t>2.5 Outcome Measures</w:t>
      </w:r>
      <w:r>
        <w:rPr>
          <w:rFonts w:ascii="Arial" w:eastAsia="Arial" w:hAnsi="Arial"/>
          <w:b/>
        </w:rPr>
        <w:br/>
        <w:t>The primary outcome measures includ</w:t>
      </w:r>
      <w:r>
        <w:rPr>
          <w:rFonts w:ascii="Arial" w:eastAsia="Arial" w:hAnsi="Arial"/>
          <w:b/>
        </w:rPr>
        <w:t>ed:</w:t>
      </w:r>
      <w:r>
        <w:rPr>
          <w:rFonts w:ascii="Arial" w:eastAsia="Arial" w:hAnsi="Arial"/>
          <w:b/>
        </w:rPr>
        <w:br/>
        <w:t xml:space="preserve">• Awareness level of PBM therapy among dental professionals  </w:t>
      </w:r>
      <w:r>
        <w:rPr>
          <w:rFonts w:ascii="Arial" w:eastAsia="Arial" w:hAnsi="Arial"/>
          <w:b/>
        </w:rPr>
        <w:br/>
        <w:t xml:space="preserve">• Knowledge score regarding PBM mechanisms and clinical applications  </w:t>
      </w:r>
      <w:r>
        <w:rPr>
          <w:rFonts w:ascii="Arial" w:eastAsia="Arial" w:hAnsi="Arial"/>
          <w:b/>
        </w:rPr>
        <w:br/>
        <w:t xml:space="preserve">• Attitudes and perceptions toward clinical implementation of PBM therapy  </w:t>
      </w:r>
      <w:r>
        <w:rPr>
          <w:rFonts w:ascii="Arial" w:eastAsia="Arial" w:hAnsi="Arial"/>
          <w:b/>
        </w:rPr>
        <w:br/>
      </w:r>
      <w:r>
        <w:rPr>
          <w:rFonts w:ascii="Arial" w:eastAsia="Arial" w:hAnsi="Arial"/>
          <w:b/>
        </w:rPr>
        <w:br/>
        <w:t xml:space="preserve">Knowledge scores were calculated based on </w:t>
      </w:r>
      <w:r>
        <w:rPr>
          <w:rFonts w:ascii="Arial" w:eastAsia="Arial" w:hAnsi="Arial"/>
          <w:b/>
        </w:rPr>
        <w:t>the percentage of correct responses, and an overall knowledge score was derived by averaging the correct responses across all knowledge‑related questions.</w:t>
      </w:r>
      <w:r>
        <w:rPr>
          <w:rFonts w:ascii="Arial" w:eastAsia="Arial" w:hAnsi="Arial"/>
          <w:b/>
        </w:rPr>
        <w:br/>
      </w:r>
      <w:r>
        <w:rPr>
          <w:rFonts w:ascii="Arial" w:eastAsia="Arial" w:hAnsi="Arial"/>
          <w:b/>
        </w:rPr>
        <w:br/>
        <w:t>2.6 Statistical Analysis</w:t>
      </w:r>
      <w:r>
        <w:rPr>
          <w:rFonts w:ascii="Arial" w:eastAsia="Arial" w:hAnsi="Arial"/>
          <w:b/>
        </w:rPr>
        <w:br/>
        <w:t>Statistical analysis was performed using descriptive and inferential statis</w:t>
      </w:r>
      <w:r>
        <w:rPr>
          <w:rFonts w:ascii="Arial" w:eastAsia="Arial" w:hAnsi="Arial"/>
          <w:b/>
        </w:rPr>
        <w:t>tical methods in accordance with STROBE recommendations.</w:t>
      </w:r>
      <w:r>
        <w:rPr>
          <w:rFonts w:ascii="Arial" w:eastAsia="Arial" w:hAnsi="Arial"/>
          <w:b/>
        </w:rPr>
        <w:br/>
      </w:r>
      <w:r>
        <w:rPr>
          <w:rFonts w:ascii="Arial" w:eastAsia="Arial" w:hAnsi="Arial"/>
          <w:b/>
        </w:rPr>
        <w:br/>
        <w:t>Categorical variables were expressed as frequencies and percentages, while continuous variables such as age and years of clinical experience were summarized as means.</w:t>
      </w:r>
      <w:r>
        <w:rPr>
          <w:rFonts w:ascii="Arial" w:eastAsia="Arial" w:hAnsi="Arial"/>
          <w:b/>
        </w:rPr>
        <w:br/>
      </w:r>
      <w:r>
        <w:rPr>
          <w:rFonts w:ascii="Arial" w:eastAsia="Arial" w:hAnsi="Arial"/>
          <w:b/>
        </w:rPr>
        <w:br/>
        <w:t>Associations between categoric</w:t>
      </w:r>
      <w:r>
        <w:rPr>
          <w:rFonts w:ascii="Arial" w:eastAsia="Arial" w:hAnsi="Arial"/>
          <w:b/>
        </w:rPr>
        <w:t>al variables such as qualification, clinical experience, awareness, and training exposure were analyzed using the Chi‑square test of independence. A p‑value &lt;0.05 was considered statistically significant.</w:t>
      </w:r>
      <w:r>
        <w:rPr>
          <w:rFonts w:ascii="Arial" w:eastAsia="Arial" w:hAnsi="Arial"/>
          <w:b/>
        </w:rPr>
        <w:br/>
      </w:r>
    </w:p>
    <w:p w14:paraId="70CC5634" w14:textId="77777777" w:rsidR="002A03D1" w:rsidRDefault="002A03D1">
      <w:pPr>
        <w:rPr>
          <w:rFonts w:ascii="Arial" w:hAnsi="Arial" w:cs="Arial"/>
          <w:b/>
          <w:bCs/>
        </w:rPr>
      </w:pPr>
    </w:p>
    <w:p w14:paraId="6A13EB6B" w14:textId="77777777" w:rsidR="002A03D1" w:rsidRDefault="002A03D1">
      <w:pPr>
        <w:rPr>
          <w:rFonts w:ascii="Arial" w:hAnsi="Arial" w:cs="Arial"/>
        </w:rPr>
      </w:pPr>
    </w:p>
    <w:p w14:paraId="193B62AE" w14:textId="77777777" w:rsidR="002A03D1" w:rsidRDefault="002A03D1">
      <w:pPr>
        <w:rPr>
          <w:rFonts w:ascii="Arial" w:hAnsi="Arial" w:cs="Arial"/>
        </w:rPr>
      </w:pPr>
    </w:p>
    <w:p w14:paraId="16457BE3" w14:textId="77777777" w:rsidR="002A03D1" w:rsidRDefault="002A03D1">
      <w:pPr>
        <w:rPr>
          <w:rFonts w:ascii="Arial" w:hAnsi="Arial" w:cs="Arial"/>
        </w:rPr>
      </w:pPr>
    </w:p>
    <w:p w14:paraId="02AE82AB" w14:textId="77777777" w:rsidR="002A03D1" w:rsidRDefault="002A03D1">
      <w:pPr>
        <w:rPr>
          <w:rFonts w:ascii="Arial" w:hAnsi="Arial" w:cs="Arial"/>
        </w:rPr>
      </w:pPr>
    </w:p>
    <w:p w14:paraId="7BD78D5E" w14:textId="77777777" w:rsidR="002A03D1" w:rsidRDefault="002A03D1">
      <w:pPr>
        <w:rPr>
          <w:rFonts w:ascii="Arial" w:hAnsi="Arial" w:cs="Arial"/>
        </w:rPr>
      </w:pPr>
    </w:p>
    <w:p w14:paraId="175758A6" w14:textId="77777777" w:rsidR="002A03D1" w:rsidRDefault="002A03D1">
      <w:pPr>
        <w:jc w:val="both"/>
        <w:rPr>
          <w:rFonts w:ascii="Arial" w:hAnsi="Arial" w:cs="Arial"/>
          <w:b/>
          <w:bCs/>
        </w:rPr>
      </w:pPr>
    </w:p>
    <w:p w14:paraId="0CF08856" w14:textId="77777777" w:rsidR="002A03D1" w:rsidRDefault="002A03D1">
      <w:pPr>
        <w:spacing w:line="360" w:lineRule="auto"/>
        <w:jc w:val="both"/>
        <w:rPr>
          <w:rFonts w:ascii="Arial" w:hAnsi="Arial" w:cs="Arial"/>
        </w:rPr>
      </w:pPr>
    </w:p>
    <w:p w14:paraId="02AB0F48" w14:textId="77777777" w:rsidR="002A03D1" w:rsidRDefault="002A03D1">
      <w:pPr>
        <w:rPr>
          <w:rFonts w:ascii="Arial" w:hAnsi="Arial" w:cs="Arial"/>
        </w:rPr>
      </w:pPr>
    </w:p>
    <w:p w14:paraId="7775EDEE" w14:textId="77777777" w:rsidR="002A03D1" w:rsidRDefault="00A20A53">
      <w:pPr>
        <w:rPr>
          <w:rFonts w:ascii="Arial" w:hAnsi="Arial" w:cs="Arial"/>
          <w:b/>
          <w:bCs/>
        </w:rPr>
      </w:pPr>
      <w:r>
        <w:rPr>
          <w:rFonts w:ascii="Arial" w:eastAsia="Arial" w:hAnsi="Arial" w:cs="Arial"/>
          <w:b/>
          <w:bCs/>
        </w:rPr>
        <w:t xml:space="preserve">3.Results </w:t>
      </w:r>
    </w:p>
    <w:p w14:paraId="0235CD30" w14:textId="77777777" w:rsidR="002A03D1" w:rsidRDefault="00A20A53">
      <w:pPr>
        <w:spacing w:line="360" w:lineRule="auto"/>
        <w:jc w:val="both"/>
        <w:rPr>
          <w:rFonts w:ascii="Arial" w:hAnsi="Arial" w:cs="Arial"/>
        </w:rPr>
      </w:pPr>
      <w:r>
        <w:rPr>
          <w:rFonts w:ascii="Arial" w:eastAsia="Arial" w:hAnsi="Arial" w:cs="Arial"/>
        </w:rPr>
        <w:t>A total of 78 dentists participated in the study. The mean age of respondents was 34.17 years, with the majority (75.6%) aged below 40 years. The largest age group was &lt;30 years (39.7%), followed by 30–40 years (35.9%) and 41–50 years (24.4%). No responden</w:t>
      </w:r>
      <w:r>
        <w:rPr>
          <w:rFonts w:ascii="Arial" w:eastAsia="Arial" w:hAnsi="Arial" w:cs="Arial"/>
        </w:rPr>
        <w:t xml:space="preserve">ts were above 50 years of </w:t>
      </w:r>
      <w:proofErr w:type="spellStart"/>
      <w:proofErr w:type="gramStart"/>
      <w:r>
        <w:rPr>
          <w:rFonts w:ascii="Arial" w:eastAsia="Arial" w:hAnsi="Arial" w:cs="Arial"/>
        </w:rPr>
        <w:t>age.Gender</w:t>
      </w:r>
      <w:proofErr w:type="spellEnd"/>
      <w:proofErr w:type="gramEnd"/>
      <w:r>
        <w:rPr>
          <w:rFonts w:ascii="Arial" w:eastAsia="Arial" w:hAnsi="Arial" w:cs="Arial"/>
        </w:rPr>
        <w:t xml:space="preserve"> distribution data were available for 77 participants. Females constituted 58.4% of respondents, males 35.1%, and 6.5% preferred not to disclose their </w:t>
      </w:r>
      <w:proofErr w:type="spellStart"/>
      <w:proofErr w:type="gramStart"/>
      <w:r>
        <w:rPr>
          <w:rFonts w:ascii="Arial" w:eastAsia="Arial" w:hAnsi="Arial" w:cs="Arial"/>
        </w:rPr>
        <w:t>gender.Regarding</w:t>
      </w:r>
      <w:proofErr w:type="spellEnd"/>
      <w:proofErr w:type="gramEnd"/>
      <w:r>
        <w:rPr>
          <w:rFonts w:ascii="Arial" w:eastAsia="Arial" w:hAnsi="Arial" w:cs="Arial"/>
        </w:rPr>
        <w:t xml:space="preserve"> professional qualification, 55.1% held an MDS degree</w:t>
      </w:r>
      <w:r>
        <w:rPr>
          <w:rFonts w:ascii="Arial" w:eastAsia="Arial" w:hAnsi="Arial" w:cs="Arial"/>
        </w:rPr>
        <w:t>, 32.1% held a BDS degree, and 12.8% had PhD or postdoctoral qualifications. Most participants (85.9%) had 10 years or less of clinical experience, with a mean clinical experience of 7.13 years. The modal experience category was 5–10 years (48.7%), followe</w:t>
      </w:r>
      <w:r>
        <w:rPr>
          <w:rFonts w:ascii="Arial" w:eastAsia="Arial" w:hAnsi="Arial" w:cs="Arial"/>
        </w:rPr>
        <w:t>d by &lt;5 years (37.2%</w:t>
      </w:r>
      <w:proofErr w:type="gramStart"/>
      <w:r>
        <w:rPr>
          <w:rFonts w:ascii="Arial" w:eastAsia="Arial" w:hAnsi="Arial" w:cs="Arial"/>
        </w:rPr>
        <w:t>).In</w:t>
      </w:r>
      <w:proofErr w:type="gramEnd"/>
      <w:r>
        <w:rPr>
          <w:rFonts w:ascii="Arial" w:eastAsia="Arial" w:hAnsi="Arial" w:cs="Arial"/>
        </w:rPr>
        <w:t xml:space="preserve"> terms of practice setting, 43.6% were in private practice and 41.0% were involved in academic/teaching roles. The remaining participants practiced in government settings (7.7%) or a combination of practice types (7.7%).</w:t>
      </w:r>
    </w:p>
    <w:p w14:paraId="650D4915" w14:textId="77777777" w:rsidR="002A03D1" w:rsidRDefault="00A20A53">
      <w:pPr>
        <w:spacing w:line="360" w:lineRule="auto"/>
        <w:jc w:val="both"/>
        <w:rPr>
          <w:rFonts w:ascii="Arial" w:hAnsi="Arial" w:cs="Arial"/>
          <w:b/>
          <w:bCs/>
        </w:rPr>
      </w:pPr>
      <w:r>
        <w:rPr>
          <w:rFonts w:ascii="Arial" w:eastAsia="Arial" w:hAnsi="Arial" w:cs="Arial"/>
          <w:bCs/>
        </w:rPr>
        <w:t>Awareness o</w:t>
      </w:r>
      <w:r>
        <w:rPr>
          <w:rFonts w:ascii="Arial" w:eastAsia="Arial" w:hAnsi="Arial" w:cs="Arial"/>
          <w:bCs/>
        </w:rPr>
        <w:t xml:space="preserve">f </w:t>
      </w:r>
      <w:proofErr w:type="spellStart"/>
      <w:r>
        <w:rPr>
          <w:rFonts w:ascii="Arial" w:eastAsia="Arial" w:hAnsi="Arial" w:cs="Arial"/>
          <w:bCs/>
        </w:rPr>
        <w:t>Photobiomodulation</w:t>
      </w:r>
      <w:proofErr w:type="spellEnd"/>
      <w:r>
        <w:rPr>
          <w:rFonts w:ascii="Arial" w:eastAsia="Arial" w:hAnsi="Arial" w:cs="Arial"/>
          <w:bCs/>
        </w:rPr>
        <w:t xml:space="preserve"> (PBM)</w:t>
      </w:r>
    </w:p>
    <w:p w14:paraId="49B98FA2" w14:textId="77777777" w:rsidR="002A03D1" w:rsidRDefault="00A20A53">
      <w:pPr>
        <w:spacing w:line="360" w:lineRule="auto"/>
        <w:jc w:val="both"/>
        <w:rPr>
          <w:rFonts w:ascii="Arial" w:hAnsi="Arial" w:cs="Arial"/>
        </w:rPr>
      </w:pPr>
      <w:r>
        <w:rPr>
          <w:rFonts w:ascii="Arial" w:eastAsia="Arial" w:hAnsi="Arial" w:cs="Arial"/>
        </w:rPr>
        <w:t>Overall awareness of PBM was high. Approximately 73.1% of respondents reported having heard of PBM therapy, while 75.6% were aware of its application in dentistry. Furthermore, 61.0% reported having seen PBM devices used in perio</w:t>
      </w:r>
      <w:r>
        <w:rPr>
          <w:rFonts w:ascii="Arial" w:eastAsia="Arial" w:hAnsi="Arial" w:cs="Arial"/>
        </w:rPr>
        <w:t>dontal procedures.</w:t>
      </w:r>
    </w:p>
    <w:p w14:paraId="6EC824FF" w14:textId="77777777" w:rsidR="002A03D1" w:rsidRDefault="00A20A53">
      <w:pPr>
        <w:spacing w:line="360" w:lineRule="auto"/>
        <w:jc w:val="both"/>
        <w:rPr>
          <w:rFonts w:ascii="Arial" w:hAnsi="Arial" w:cs="Arial"/>
        </w:rPr>
      </w:pPr>
      <w:r>
        <w:rPr>
          <w:rFonts w:ascii="Arial" w:eastAsia="Arial" w:hAnsi="Arial" w:cs="Arial"/>
        </w:rPr>
        <w:t>The primary sources of awareness were academic curriculum (35.9%) and journal/research publications (32.1%), collectively accounting for 68% of responses. Other sources included colleagues (15.4%), conferences/workshops (11.5%), and soci</w:t>
      </w:r>
      <w:r>
        <w:rPr>
          <w:rFonts w:ascii="Arial" w:eastAsia="Arial" w:hAnsi="Arial" w:cs="Arial"/>
        </w:rPr>
        <w:t>al media/online platforms (5.1%).</w:t>
      </w:r>
    </w:p>
    <w:p w14:paraId="0F40411A" w14:textId="77777777" w:rsidR="002A03D1" w:rsidRDefault="00A20A53">
      <w:pPr>
        <w:spacing w:line="360" w:lineRule="auto"/>
        <w:jc w:val="both"/>
        <w:rPr>
          <w:rFonts w:ascii="Arial" w:hAnsi="Arial" w:cs="Arial"/>
        </w:rPr>
      </w:pPr>
      <w:r>
        <w:rPr>
          <w:rFonts w:ascii="Arial" w:eastAsia="Arial" w:hAnsi="Arial" w:cs="Arial"/>
        </w:rPr>
        <w:t>When asked about the perceived commonality of PBM use in periodontics, 64.9% considered it “somewhat common” and 14.3% “very common,” whereas 10.4% reported it as rare and another 10.4% had never encountered it. The mean L</w:t>
      </w:r>
      <w:r>
        <w:rPr>
          <w:rFonts w:ascii="Arial" w:eastAsia="Arial" w:hAnsi="Arial" w:cs="Arial"/>
        </w:rPr>
        <w:t xml:space="preserve">ikert score for perceived commonality was 2.82 out of </w:t>
      </w:r>
      <w:proofErr w:type="gramStart"/>
      <w:r>
        <w:rPr>
          <w:rFonts w:ascii="Arial" w:eastAsia="Arial" w:hAnsi="Arial" w:cs="Arial"/>
        </w:rPr>
        <w:t>4.Slightly</w:t>
      </w:r>
      <w:proofErr w:type="gramEnd"/>
      <w:r>
        <w:rPr>
          <w:rFonts w:ascii="Arial" w:eastAsia="Arial" w:hAnsi="Arial" w:cs="Arial"/>
        </w:rPr>
        <w:t xml:space="preserve"> more than half of the respondents (55.3%) reported receiving formal training or continuing education related to PBM.</w:t>
      </w:r>
    </w:p>
    <w:p w14:paraId="2F0E3CAA" w14:textId="77777777" w:rsidR="002A03D1" w:rsidRDefault="00A20A53">
      <w:pPr>
        <w:spacing w:line="360" w:lineRule="auto"/>
        <w:jc w:val="both"/>
        <w:rPr>
          <w:rFonts w:ascii="Arial" w:hAnsi="Arial" w:cs="Arial"/>
          <w:b/>
          <w:bCs/>
        </w:rPr>
      </w:pPr>
      <w:r>
        <w:rPr>
          <w:rFonts w:ascii="Arial" w:eastAsia="Arial" w:hAnsi="Arial" w:cs="Arial"/>
          <w:bCs/>
        </w:rPr>
        <w:t>Knowledge of PBM</w:t>
      </w:r>
    </w:p>
    <w:p w14:paraId="503A24C4" w14:textId="77777777" w:rsidR="002A03D1" w:rsidRDefault="00A20A53">
      <w:pPr>
        <w:spacing w:line="360" w:lineRule="auto"/>
        <w:jc w:val="both"/>
        <w:rPr>
          <w:rFonts w:ascii="Arial" w:hAnsi="Arial" w:cs="Arial"/>
        </w:rPr>
      </w:pPr>
      <w:r>
        <w:rPr>
          <w:rFonts w:ascii="Arial" w:eastAsia="Arial" w:hAnsi="Arial" w:cs="Arial"/>
        </w:rPr>
        <w:lastRenderedPageBreak/>
        <w:t>Table 1 states that Knowledge assessment revealed variabl</w:t>
      </w:r>
      <w:r>
        <w:rPr>
          <w:rFonts w:ascii="Arial" w:eastAsia="Arial" w:hAnsi="Arial" w:cs="Arial"/>
        </w:rPr>
        <w:t xml:space="preserve">e levels of understanding across domains. The highest correct response rate was observed for identifying periodontal procedures benefiting from PBM, with 80.5% selecting the correct option (“All of the above”). Additionally, 64.9% correctly identified PBM </w:t>
      </w:r>
      <w:r>
        <w:rPr>
          <w:rFonts w:ascii="Arial" w:eastAsia="Arial" w:hAnsi="Arial" w:cs="Arial"/>
        </w:rPr>
        <w:t>as a non-invasive modality.</w:t>
      </w:r>
    </w:p>
    <w:p w14:paraId="61A15954" w14:textId="77777777" w:rsidR="002A03D1" w:rsidRDefault="00A20A53">
      <w:pPr>
        <w:spacing w:line="360" w:lineRule="auto"/>
        <w:jc w:val="both"/>
        <w:rPr>
          <w:rFonts w:ascii="Arial" w:hAnsi="Arial" w:cs="Arial"/>
        </w:rPr>
      </w:pPr>
      <w:r>
        <w:rPr>
          <w:rFonts w:ascii="Arial" w:eastAsia="Arial" w:hAnsi="Arial" w:cs="Arial"/>
        </w:rPr>
        <w:t>However, knowledge regarding fundamental scientific principles was comparatively limited. Only 35.5% correctly identified the primary mechanism of action of PBM as a photochemical effect. Similarly, 40.3% correctly identified th</w:t>
      </w:r>
      <w:r>
        <w:rPr>
          <w:rFonts w:ascii="Arial" w:eastAsia="Arial" w:hAnsi="Arial" w:cs="Arial"/>
        </w:rPr>
        <w:t>e type of light used (visible red/near-infrared), and 40.3% correctly recognized that PBM aids in pain control by enhancing cellular metabolism and ATP production. The typical wavelength range (600–1000 nm) was correctly identified by 42.9% of participants</w:t>
      </w:r>
      <w:r>
        <w:rPr>
          <w:rFonts w:ascii="Arial" w:eastAsia="Arial" w:hAnsi="Arial" w:cs="Arial"/>
        </w:rPr>
        <w:t>. Knowledge of guideline-providing organizations was correct in 54.5% of responses.</w:t>
      </w:r>
    </w:p>
    <w:p w14:paraId="05ECDB76" w14:textId="77777777" w:rsidR="002A03D1" w:rsidRDefault="00A20A53">
      <w:pPr>
        <w:spacing w:line="360" w:lineRule="auto"/>
        <w:jc w:val="both"/>
        <w:rPr>
          <w:rFonts w:ascii="Arial" w:hAnsi="Arial" w:cs="Arial"/>
        </w:rPr>
      </w:pPr>
      <w:r>
        <w:rPr>
          <w:rFonts w:ascii="Arial" w:eastAsia="Arial" w:hAnsi="Arial" w:cs="Arial"/>
        </w:rPr>
        <w:t>The overall average knowledge score across all domains was 51.3%, indicating borderline knowledge levels. While clinical applications were relatively well understood, subst</w:t>
      </w:r>
      <w:r>
        <w:rPr>
          <w:rFonts w:ascii="Arial" w:eastAsia="Arial" w:hAnsi="Arial" w:cs="Arial"/>
        </w:rPr>
        <w:t>antial gaps were noted in mechanistic and technical aspects.</w:t>
      </w:r>
    </w:p>
    <w:p w14:paraId="6AABFF94" w14:textId="77777777" w:rsidR="002A03D1" w:rsidRDefault="00A20A53">
      <w:pPr>
        <w:spacing w:line="360" w:lineRule="auto"/>
        <w:jc w:val="both"/>
        <w:rPr>
          <w:rFonts w:ascii="Arial" w:hAnsi="Arial" w:cs="Arial"/>
          <w:b/>
          <w:bCs/>
        </w:rPr>
      </w:pPr>
      <w:r>
        <w:rPr>
          <w:rFonts w:ascii="Arial" w:eastAsia="Arial" w:hAnsi="Arial" w:cs="Arial"/>
          <w:bCs/>
        </w:rPr>
        <w:t>Attitudes and Perceptions</w:t>
      </w:r>
    </w:p>
    <w:p w14:paraId="6378B611" w14:textId="77777777" w:rsidR="002A03D1" w:rsidRDefault="00A20A53">
      <w:pPr>
        <w:spacing w:line="360" w:lineRule="auto"/>
        <w:jc w:val="both"/>
        <w:rPr>
          <w:rFonts w:ascii="Arial" w:hAnsi="Arial" w:cs="Arial"/>
        </w:rPr>
      </w:pPr>
      <w:r>
        <w:rPr>
          <w:rFonts w:ascii="Arial" w:eastAsia="Arial" w:hAnsi="Arial" w:cs="Arial"/>
        </w:rPr>
        <w:t>Most participants demonstrated favorable attitudes toward PBM. Among respondents (n=75), 61.3% agreed and 16.0% strongly agreed that PBM significantly reduces patient di</w:t>
      </w:r>
      <w:r>
        <w:rPr>
          <w:rFonts w:ascii="Arial" w:eastAsia="Arial" w:hAnsi="Arial" w:cs="Arial"/>
        </w:rPr>
        <w:t xml:space="preserve">scomfort following minor periodontal surgeries. The mean Likert score for this item was 2.71 out of 4, and 77.3% expressed a positive </w:t>
      </w:r>
      <w:proofErr w:type="spellStart"/>
      <w:proofErr w:type="gramStart"/>
      <w:r>
        <w:rPr>
          <w:rFonts w:ascii="Arial" w:eastAsia="Arial" w:hAnsi="Arial" w:cs="Arial"/>
        </w:rPr>
        <w:t>view.Regarding</w:t>
      </w:r>
      <w:proofErr w:type="spellEnd"/>
      <w:proofErr w:type="gramEnd"/>
      <w:r>
        <w:rPr>
          <w:rFonts w:ascii="Arial" w:eastAsia="Arial" w:hAnsi="Arial" w:cs="Arial"/>
        </w:rPr>
        <w:t xml:space="preserve"> future adoption, 74.0% indicated willingness to incorporate PBM into their practice if equipment and traini</w:t>
      </w:r>
      <w:r>
        <w:rPr>
          <w:rFonts w:ascii="Arial" w:eastAsia="Arial" w:hAnsi="Arial" w:cs="Arial"/>
        </w:rPr>
        <w:t>ng were accessible, while 26.0% responded “maybe.” Notably, no participant expressed outright refusal, indicating universal openness to potential integration.</w:t>
      </w:r>
    </w:p>
    <w:p w14:paraId="28ED9A32" w14:textId="77777777" w:rsidR="002A03D1" w:rsidRDefault="00A20A53">
      <w:pPr>
        <w:spacing w:line="360" w:lineRule="auto"/>
        <w:jc w:val="both"/>
        <w:rPr>
          <w:rFonts w:ascii="Arial" w:hAnsi="Arial" w:cs="Arial"/>
        </w:rPr>
      </w:pPr>
      <w:r>
        <w:rPr>
          <w:rFonts w:ascii="Arial" w:eastAsia="Arial" w:hAnsi="Arial" w:cs="Arial"/>
        </w:rPr>
        <w:t xml:space="preserve">The primary barriers identified were lack of training (40.3%) and limited awareness (39.0%), together accounting for 79.3% of responses. High cost of equipment (15.6%) and unclear evidence base (5.2%) were less frequently </w:t>
      </w:r>
      <w:proofErr w:type="spellStart"/>
      <w:proofErr w:type="gramStart"/>
      <w:r>
        <w:rPr>
          <w:rFonts w:ascii="Arial" w:eastAsia="Arial" w:hAnsi="Arial" w:cs="Arial"/>
        </w:rPr>
        <w:t>cited.Chi</w:t>
      </w:r>
      <w:proofErr w:type="spellEnd"/>
      <w:proofErr w:type="gramEnd"/>
      <w:r>
        <w:rPr>
          <w:rFonts w:ascii="Arial" w:eastAsia="Arial" w:hAnsi="Arial" w:cs="Arial"/>
        </w:rPr>
        <w:t>-square analysis demonstr</w:t>
      </w:r>
      <w:r>
        <w:rPr>
          <w:rFonts w:ascii="Arial" w:eastAsia="Arial" w:hAnsi="Arial" w:cs="Arial"/>
        </w:rPr>
        <w:t>ated one statistically significant association: having heard of PBM was significantly associated with qualification level (χ² = 6.606, p = 0.037).</w:t>
      </w:r>
    </w:p>
    <w:p w14:paraId="3E4138D8" w14:textId="77777777" w:rsidR="002A03D1" w:rsidRDefault="00A20A53">
      <w:pPr>
        <w:spacing w:line="360" w:lineRule="auto"/>
        <w:jc w:val="both"/>
      </w:pPr>
      <w:r>
        <w:rPr>
          <w:rFonts w:ascii="Arial" w:eastAsia="Arial" w:hAnsi="Arial" w:cs="Arial"/>
        </w:rPr>
        <w:t>No statistically significant associations were observed between qualification or years of clinical experience</w:t>
      </w:r>
      <w:r>
        <w:rPr>
          <w:rFonts w:ascii="Arial" w:eastAsia="Arial" w:hAnsi="Arial" w:cs="Arial"/>
        </w:rPr>
        <w:t xml:space="preserve"> and other variables, including PBM awareness, training status, </w:t>
      </w:r>
      <w:r>
        <w:rPr>
          <w:rFonts w:ascii="Arial" w:eastAsia="Arial" w:hAnsi="Arial" w:cs="Arial"/>
        </w:rPr>
        <w:lastRenderedPageBreak/>
        <w:t>knowledge of guidelines, perceived benefits, or interest in incorporating PBM (p &gt; 0.05 for all comparisons)</w:t>
      </w:r>
    </w:p>
    <w:p w14:paraId="672E97A6" w14:textId="77777777" w:rsidR="002A03D1" w:rsidRDefault="00A20A53">
      <w:pPr>
        <w:spacing w:before="280" w:after="100"/>
      </w:pPr>
      <w:r>
        <w:rPr>
          <w:rFonts w:ascii="Arial" w:eastAsia="Arial" w:hAnsi="Arial" w:cs="Arial"/>
          <w:b/>
          <w:bCs/>
          <w:color w:val="1F3864"/>
        </w:rPr>
        <w:t>TABLE 1: Overall Knowledge Score Summary</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00"/>
        <w:gridCol w:w="1500"/>
      </w:tblGrid>
      <w:tr w:rsidR="002A03D1" w14:paraId="23277904" w14:textId="77777777">
        <w:tc>
          <w:tcPr>
            <w:tcW w:w="58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017CABB4" w14:textId="77777777" w:rsidR="002A03D1" w:rsidRDefault="00A20A53">
            <w:r>
              <w:rPr>
                <w:rFonts w:ascii="Arial" w:eastAsia="Arial" w:hAnsi="Arial" w:cs="Arial"/>
                <w:b/>
                <w:bCs/>
                <w:color w:val="FFFFFF"/>
                <w:sz w:val="20"/>
                <w:szCs w:val="20"/>
              </w:rPr>
              <w:t>Knowledge Question</w:t>
            </w:r>
          </w:p>
        </w:tc>
        <w:tc>
          <w:tcPr>
            <w:tcW w:w="15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26D3B730" w14:textId="77777777" w:rsidR="002A03D1" w:rsidRDefault="00A20A53">
            <w:pPr>
              <w:jc w:val="center"/>
            </w:pPr>
            <w:r>
              <w:rPr>
                <w:rFonts w:ascii="Arial" w:eastAsia="Arial" w:hAnsi="Arial" w:cs="Arial"/>
                <w:b/>
                <w:bCs/>
                <w:color w:val="FFFFFF"/>
                <w:sz w:val="20"/>
                <w:szCs w:val="20"/>
              </w:rPr>
              <w:t>% Correct</w:t>
            </w:r>
          </w:p>
        </w:tc>
      </w:tr>
      <w:tr w:rsidR="002A03D1" w14:paraId="3ED45D47" w14:textId="77777777">
        <w:tc>
          <w:tcPr>
            <w:tcW w:w="5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3C5A65DC" w14:textId="77777777" w:rsidR="002A03D1" w:rsidRDefault="00A20A53">
            <w:r>
              <w:rPr>
                <w:rFonts w:ascii="Arial" w:eastAsia="Arial" w:hAnsi="Arial" w:cs="Arial"/>
                <w:color w:val="000000"/>
                <w:sz w:val="19"/>
                <w:szCs w:val="19"/>
              </w:rPr>
              <w:t xml:space="preserve">Periodontal </w:t>
            </w:r>
            <w:r>
              <w:rPr>
                <w:rFonts w:ascii="Arial" w:eastAsia="Arial" w:hAnsi="Arial" w:cs="Arial"/>
                <w:color w:val="000000"/>
                <w:sz w:val="19"/>
                <w:szCs w:val="19"/>
              </w:rPr>
              <w:t>procedures benefiting from PBM</w:t>
            </w:r>
          </w:p>
        </w:tc>
        <w:tc>
          <w:tcPr>
            <w:tcW w:w="15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73026B1E" w14:textId="77777777" w:rsidR="002A03D1" w:rsidRDefault="00A20A53">
            <w:pPr>
              <w:jc w:val="center"/>
            </w:pPr>
            <w:r>
              <w:rPr>
                <w:rFonts w:ascii="Arial" w:eastAsia="Arial" w:hAnsi="Arial" w:cs="Arial"/>
                <w:color w:val="000000"/>
                <w:sz w:val="19"/>
                <w:szCs w:val="19"/>
              </w:rPr>
              <w:t>80.5%</w:t>
            </w:r>
          </w:p>
        </w:tc>
      </w:tr>
      <w:tr w:rsidR="002A03D1" w14:paraId="1CFDF008" w14:textId="77777777">
        <w:tc>
          <w:tcPr>
            <w:tcW w:w="5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740B3E89" w14:textId="77777777" w:rsidR="002A03D1" w:rsidRDefault="00A20A53">
            <w:r>
              <w:rPr>
                <w:rFonts w:ascii="Arial" w:eastAsia="Arial" w:hAnsi="Arial" w:cs="Arial"/>
                <w:color w:val="000000"/>
                <w:sz w:val="19"/>
                <w:szCs w:val="19"/>
              </w:rPr>
              <w:t>PBM invasiveness</w:t>
            </w:r>
          </w:p>
        </w:tc>
        <w:tc>
          <w:tcPr>
            <w:tcW w:w="15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6E6B147D" w14:textId="77777777" w:rsidR="002A03D1" w:rsidRDefault="00A20A53">
            <w:pPr>
              <w:jc w:val="center"/>
            </w:pPr>
            <w:r>
              <w:rPr>
                <w:rFonts w:ascii="Arial" w:eastAsia="Arial" w:hAnsi="Arial" w:cs="Arial"/>
                <w:color w:val="000000"/>
                <w:sz w:val="19"/>
                <w:szCs w:val="19"/>
              </w:rPr>
              <w:t>64.9%</w:t>
            </w:r>
          </w:p>
        </w:tc>
      </w:tr>
      <w:tr w:rsidR="002A03D1" w14:paraId="21822162" w14:textId="77777777">
        <w:tc>
          <w:tcPr>
            <w:tcW w:w="5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4EE16AE" w14:textId="77777777" w:rsidR="002A03D1" w:rsidRDefault="00A20A53">
            <w:r>
              <w:rPr>
                <w:rFonts w:ascii="Arial" w:eastAsia="Arial" w:hAnsi="Arial" w:cs="Arial"/>
                <w:color w:val="000000"/>
                <w:sz w:val="19"/>
                <w:szCs w:val="19"/>
              </w:rPr>
              <w:t>PBM guideline organizations</w:t>
            </w:r>
          </w:p>
        </w:tc>
        <w:tc>
          <w:tcPr>
            <w:tcW w:w="15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4CE8FEC1" w14:textId="77777777" w:rsidR="002A03D1" w:rsidRDefault="00A20A53">
            <w:pPr>
              <w:jc w:val="center"/>
            </w:pPr>
            <w:r>
              <w:rPr>
                <w:rFonts w:ascii="Arial" w:eastAsia="Arial" w:hAnsi="Arial" w:cs="Arial"/>
                <w:color w:val="000000"/>
                <w:sz w:val="19"/>
                <w:szCs w:val="19"/>
              </w:rPr>
              <w:t>54.5%</w:t>
            </w:r>
          </w:p>
        </w:tc>
      </w:tr>
      <w:tr w:rsidR="002A03D1" w14:paraId="106BB15C" w14:textId="77777777">
        <w:tc>
          <w:tcPr>
            <w:tcW w:w="5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18477C54" w14:textId="77777777" w:rsidR="002A03D1" w:rsidRDefault="00A20A53">
            <w:r>
              <w:rPr>
                <w:rFonts w:ascii="Arial" w:eastAsia="Arial" w:hAnsi="Arial" w:cs="Arial"/>
                <w:color w:val="000000"/>
                <w:sz w:val="19"/>
                <w:szCs w:val="19"/>
              </w:rPr>
              <w:t>PBM laser wavelength</w:t>
            </w:r>
          </w:p>
        </w:tc>
        <w:tc>
          <w:tcPr>
            <w:tcW w:w="15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0979602F" w14:textId="77777777" w:rsidR="002A03D1" w:rsidRDefault="00A20A53">
            <w:pPr>
              <w:jc w:val="center"/>
            </w:pPr>
            <w:r>
              <w:rPr>
                <w:rFonts w:ascii="Arial" w:eastAsia="Arial" w:hAnsi="Arial" w:cs="Arial"/>
                <w:color w:val="000000"/>
                <w:sz w:val="19"/>
                <w:szCs w:val="19"/>
              </w:rPr>
              <w:t>42.9%</w:t>
            </w:r>
          </w:p>
        </w:tc>
      </w:tr>
      <w:tr w:rsidR="002A03D1" w14:paraId="422F1F40" w14:textId="77777777">
        <w:tc>
          <w:tcPr>
            <w:tcW w:w="5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0E7FD870" w14:textId="77777777" w:rsidR="002A03D1" w:rsidRDefault="00A20A53">
            <w:r>
              <w:rPr>
                <w:rFonts w:ascii="Arial" w:eastAsia="Arial" w:hAnsi="Arial" w:cs="Arial"/>
                <w:color w:val="000000"/>
                <w:sz w:val="19"/>
                <w:szCs w:val="19"/>
              </w:rPr>
              <w:t>Type of light used in PBM</w:t>
            </w:r>
          </w:p>
        </w:tc>
        <w:tc>
          <w:tcPr>
            <w:tcW w:w="15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99EF523" w14:textId="77777777" w:rsidR="002A03D1" w:rsidRDefault="00A20A53">
            <w:pPr>
              <w:jc w:val="center"/>
            </w:pPr>
            <w:r>
              <w:rPr>
                <w:rFonts w:ascii="Arial" w:eastAsia="Arial" w:hAnsi="Arial" w:cs="Arial"/>
                <w:color w:val="000000"/>
                <w:sz w:val="19"/>
                <w:szCs w:val="19"/>
              </w:rPr>
              <w:t>40.3%</w:t>
            </w:r>
          </w:p>
        </w:tc>
      </w:tr>
      <w:tr w:rsidR="002A03D1" w14:paraId="1FC17AC9" w14:textId="77777777">
        <w:tc>
          <w:tcPr>
            <w:tcW w:w="5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4CEA46E" w14:textId="77777777" w:rsidR="002A03D1" w:rsidRDefault="00A20A53">
            <w:r>
              <w:rPr>
                <w:rFonts w:ascii="Arial" w:eastAsia="Arial" w:hAnsi="Arial" w:cs="Arial"/>
                <w:color w:val="000000"/>
                <w:sz w:val="19"/>
                <w:szCs w:val="19"/>
              </w:rPr>
              <w:t>PBM pain control mechanism</w:t>
            </w:r>
          </w:p>
        </w:tc>
        <w:tc>
          <w:tcPr>
            <w:tcW w:w="15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686E30F" w14:textId="77777777" w:rsidR="002A03D1" w:rsidRDefault="00A20A53">
            <w:pPr>
              <w:jc w:val="center"/>
            </w:pPr>
            <w:r>
              <w:rPr>
                <w:rFonts w:ascii="Arial" w:eastAsia="Arial" w:hAnsi="Arial" w:cs="Arial"/>
                <w:color w:val="000000"/>
                <w:sz w:val="19"/>
                <w:szCs w:val="19"/>
              </w:rPr>
              <w:t>40.3%</w:t>
            </w:r>
          </w:p>
        </w:tc>
      </w:tr>
      <w:tr w:rsidR="002A03D1" w14:paraId="601EF2DA" w14:textId="77777777">
        <w:tc>
          <w:tcPr>
            <w:tcW w:w="5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C903DAB" w14:textId="77777777" w:rsidR="002A03D1" w:rsidRDefault="00A20A53">
            <w:r>
              <w:rPr>
                <w:rFonts w:ascii="Arial" w:eastAsia="Arial" w:hAnsi="Arial" w:cs="Arial"/>
                <w:color w:val="000000"/>
                <w:sz w:val="19"/>
                <w:szCs w:val="19"/>
              </w:rPr>
              <w:t>PBM mechanism of action</w:t>
            </w:r>
          </w:p>
        </w:tc>
        <w:tc>
          <w:tcPr>
            <w:tcW w:w="15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249AC25B" w14:textId="77777777" w:rsidR="002A03D1" w:rsidRDefault="00A20A53">
            <w:pPr>
              <w:jc w:val="center"/>
            </w:pPr>
            <w:r>
              <w:rPr>
                <w:rFonts w:ascii="Arial" w:eastAsia="Arial" w:hAnsi="Arial" w:cs="Arial"/>
                <w:color w:val="000000"/>
                <w:sz w:val="19"/>
                <w:szCs w:val="19"/>
              </w:rPr>
              <w:t>35.5%</w:t>
            </w:r>
          </w:p>
        </w:tc>
      </w:tr>
      <w:tr w:rsidR="002A03D1" w14:paraId="7D24D324" w14:textId="77777777">
        <w:tc>
          <w:tcPr>
            <w:tcW w:w="58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1E576E36" w14:textId="77777777" w:rsidR="002A03D1" w:rsidRDefault="00A20A53">
            <w:r>
              <w:rPr>
                <w:rFonts w:ascii="Arial" w:eastAsia="Arial" w:hAnsi="Arial" w:cs="Arial"/>
                <w:b/>
                <w:bCs/>
                <w:color w:val="FFFFFF"/>
                <w:sz w:val="20"/>
                <w:szCs w:val="20"/>
              </w:rPr>
              <w:t>AVERAGE KNOWLEDGE SCORE</w:t>
            </w:r>
          </w:p>
        </w:tc>
        <w:tc>
          <w:tcPr>
            <w:tcW w:w="15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1B2BDF5E" w14:textId="77777777" w:rsidR="002A03D1" w:rsidRDefault="00A20A53">
            <w:pPr>
              <w:jc w:val="center"/>
            </w:pPr>
            <w:r>
              <w:rPr>
                <w:rFonts w:ascii="Arial" w:eastAsia="Arial" w:hAnsi="Arial" w:cs="Arial"/>
                <w:b/>
                <w:bCs/>
                <w:color w:val="FFFFFF"/>
                <w:sz w:val="20"/>
                <w:szCs w:val="20"/>
              </w:rPr>
              <w:t>51.3%</w:t>
            </w:r>
          </w:p>
        </w:tc>
      </w:tr>
    </w:tbl>
    <w:p w14:paraId="08C4FC8D" w14:textId="77777777" w:rsidR="002A03D1" w:rsidRDefault="002A03D1">
      <w:pPr>
        <w:jc w:val="both"/>
        <w:rPr>
          <w:rFonts w:ascii="Times New Roman" w:hAnsi="Times New Roman" w:cs="Times New Roman"/>
        </w:rPr>
      </w:pPr>
    </w:p>
    <w:p w14:paraId="08195311" w14:textId="77777777" w:rsidR="002A03D1" w:rsidRDefault="002A03D1">
      <w:pPr>
        <w:spacing w:before="100"/>
        <w:rPr>
          <w:rFonts w:ascii="Arial" w:eastAsia="Arial" w:hAnsi="Arial" w:cs="Arial"/>
          <w:b/>
          <w:bCs/>
          <w:color w:val="1F3864"/>
        </w:rPr>
      </w:pPr>
    </w:p>
    <w:p w14:paraId="4E945C3C" w14:textId="77777777" w:rsidR="002A03D1" w:rsidRDefault="002A03D1">
      <w:pPr>
        <w:spacing w:before="100"/>
        <w:rPr>
          <w:rFonts w:ascii="Arial" w:eastAsia="Arial" w:hAnsi="Arial" w:cs="Arial"/>
          <w:b/>
          <w:bCs/>
          <w:color w:val="1F3864"/>
        </w:rPr>
      </w:pPr>
    </w:p>
    <w:p w14:paraId="2CA35851" w14:textId="77777777" w:rsidR="002A03D1" w:rsidRDefault="002A03D1">
      <w:pPr>
        <w:spacing w:before="100"/>
        <w:rPr>
          <w:rFonts w:ascii="Arial" w:eastAsia="Arial" w:hAnsi="Arial" w:cs="Arial"/>
          <w:b/>
          <w:bCs/>
          <w:color w:val="1F3864"/>
        </w:rPr>
      </w:pPr>
    </w:p>
    <w:p w14:paraId="117FF232" w14:textId="77777777" w:rsidR="002A03D1" w:rsidRDefault="002A03D1">
      <w:pPr>
        <w:spacing w:before="100"/>
        <w:rPr>
          <w:rFonts w:ascii="Arial" w:eastAsia="Arial" w:hAnsi="Arial" w:cs="Arial"/>
          <w:b/>
          <w:bCs/>
          <w:color w:val="1F3864"/>
        </w:rPr>
      </w:pPr>
    </w:p>
    <w:p w14:paraId="747B28AD" w14:textId="77777777" w:rsidR="002A03D1" w:rsidRDefault="00A20A53">
      <w:pPr>
        <w:spacing w:before="100"/>
      </w:pPr>
      <w:r>
        <w:rPr>
          <w:rFonts w:ascii="Arial" w:eastAsia="Arial" w:hAnsi="Arial" w:cs="Arial"/>
          <w:b/>
          <w:bCs/>
          <w:color w:val="1F3864"/>
        </w:rPr>
        <w:t>TABLE 2: ATTITUDES AND PERCEPTION</w:t>
      </w: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22"/>
        <w:gridCol w:w="1270"/>
        <w:gridCol w:w="780"/>
        <w:gridCol w:w="1269"/>
        <w:gridCol w:w="1459"/>
      </w:tblGrid>
      <w:tr w:rsidR="002A03D1" w14:paraId="2329784E" w14:textId="77777777">
        <w:tc>
          <w:tcPr>
            <w:tcW w:w="42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33D45DC0" w14:textId="77777777" w:rsidR="002A03D1" w:rsidRDefault="00A20A53">
            <w:r>
              <w:rPr>
                <w:rFonts w:ascii="Arial" w:eastAsia="Arial" w:hAnsi="Arial" w:cs="Arial"/>
                <w:b/>
                <w:bCs/>
                <w:color w:val="FFFFFF"/>
                <w:sz w:val="20"/>
                <w:szCs w:val="20"/>
              </w:rPr>
              <w:t>Chi-Square Test</w:t>
            </w:r>
          </w:p>
        </w:tc>
        <w:tc>
          <w:tcPr>
            <w:tcW w:w="13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751D4D9D" w14:textId="77777777" w:rsidR="002A03D1" w:rsidRDefault="00A20A53">
            <w:pPr>
              <w:jc w:val="center"/>
            </w:pPr>
            <w:r>
              <w:rPr>
                <w:rFonts w:ascii="Arial" w:eastAsia="Arial" w:hAnsi="Arial" w:cs="Arial"/>
                <w:b/>
                <w:bCs/>
                <w:color w:val="FFFFFF"/>
                <w:sz w:val="20"/>
                <w:szCs w:val="20"/>
              </w:rPr>
              <w:t>χ² Value</w:t>
            </w:r>
          </w:p>
        </w:tc>
        <w:tc>
          <w:tcPr>
            <w:tcW w:w="8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00376917" w14:textId="77777777" w:rsidR="002A03D1" w:rsidRDefault="00A20A53">
            <w:pPr>
              <w:jc w:val="center"/>
            </w:pPr>
            <w:r>
              <w:rPr>
                <w:rFonts w:ascii="Arial" w:eastAsia="Arial" w:hAnsi="Arial" w:cs="Arial"/>
                <w:b/>
                <w:bCs/>
                <w:color w:val="FFFFFF"/>
                <w:sz w:val="20"/>
                <w:szCs w:val="20"/>
              </w:rPr>
              <w:t>df</w:t>
            </w:r>
          </w:p>
        </w:tc>
        <w:tc>
          <w:tcPr>
            <w:tcW w:w="13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68C73DF1" w14:textId="77777777" w:rsidR="002A03D1" w:rsidRDefault="00A20A53">
            <w:pPr>
              <w:jc w:val="center"/>
            </w:pPr>
            <w:r>
              <w:rPr>
                <w:rFonts w:ascii="Arial" w:eastAsia="Arial" w:hAnsi="Arial" w:cs="Arial"/>
                <w:b/>
                <w:bCs/>
                <w:color w:val="FFFFFF"/>
                <w:sz w:val="20"/>
                <w:szCs w:val="20"/>
              </w:rPr>
              <w:t>p-value</w:t>
            </w:r>
          </w:p>
        </w:tc>
        <w:tc>
          <w:tcPr>
            <w:tcW w:w="1200" w:type="dxa"/>
            <w:tcBorders>
              <w:top w:val="single" w:sz="0" w:space="0" w:color="CCCCCC"/>
              <w:left w:val="single" w:sz="0" w:space="0" w:color="CCCCCC"/>
              <w:bottom w:val="single" w:sz="0" w:space="0" w:color="CCCCCC"/>
              <w:right w:val="single" w:sz="0" w:space="0" w:color="CCCCCC"/>
            </w:tcBorders>
            <w:shd w:val="clear" w:color="auto" w:fill="1F3864"/>
            <w:tcMar>
              <w:top w:w="80" w:type="dxa"/>
              <w:left w:w="140" w:type="dxa"/>
              <w:bottom w:w="80" w:type="dxa"/>
              <w:right w:w="140" w:type="dxa"/>
            </w:tcMar>
            <w:vAlign w:val="center"/>
          </w:tcPr>
          <w:p w14:paraId="3EA0354C" w14:textId="77777777" w:rsidR="002A03D1" w:rsidRDefault="00A20A53">
            <w:pPr>
              <w:jc w:val="center"/>
            </w:pPr>
            <w:r>
              <w:rPr>
                <w:rFonts w:ascii="Arial" w:eastAsia="Arial" w:hAnsi="Arial" w:cs="Arial"/>
                <w:b/>
                <w:bCs/>
                <w:color w:val="FFFFFF"/>
                <w:sz w:val="20"/>
                <w:szCs w:val="20"/>
              </w:rPr>
              <w:t>Significance</w:t>
            </w:r>
          </w:p>
        </w:tc>
      </w:tr>
      <w:tr w:rsidR="002A03D1" w14:paraId="3ABA24AF" w14:textId="77777777">
        <w:tc>
          <w:tcPr>
            <w:tcW w:w="4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08F91E0F" w14:textId="77777777" w:rsidR="002A03D1" w:rsidRDefault="00A20A53">
            <w:r>
              <w:rPr>
                <w:rFonts w:ascii="Arial" w:eastAsia="Arial" w:hAnsi="Arial" w:cs="Arial"/>
                <w:color w:val="000000"/>
                <w:sz w:val="19"/>
                <w:szCs w:val="19"/>
              </w:rPr>
              <w:t>Heard of PBM vs Qualification</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802D122" w14:textId="77777777" w:rsidR="002A03D1" w:rsidRDefault="00A20A53">
            <w:pPr>
              <w:jc w:val="center"/>
            </w:pPr>
            <w:r>
              <w:rPr>
                <w:rFonts w:ascii="Arial" w:eastAsia="Arial" w:hAnsi="Arial" w:cs="Arial"/>
                <w:color w:val="000000"/>
                <w:sz w:val="19"/>
                <w:szCs w:val="19"/>
              </w:rPr>
              <w:t>6.606</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7F1DDB37" w14:textId="77777777" w:rsidR="002A03D1" w:rsidRDefault="00A20A53">
            <w:pPr>
              <w:jc w:val="center"/>
            </w:pPr>
            <w:r>
              <w:rPr>
                <w:rFonts w:ascii="Arial" w:eastAsia="Arial" w:hAnsi="Arial" w:cs="Arial"/>
                <w:color w:val="000000"/>
                <w:sz w:val="19"/>
                <w:szCs w:val="19"/>
              </w:rPr>
              <w:t>2</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376FD354" w14:textId="77777777" w:rsidR="002A03D1" w:rsidRDefault="00A20A53">
            <w:pPr>
              <w:jc w:val="center"/>
            </w:pPr>
            <w:r>
              <w:rPr>
                <w:rFonts w:ascii="Arial" w:eastAsia="Arial" w:hAnsi="Arial" w:cs="Arial"/>
                <w:color w:val="000000"/>
                <w:sz w:val="19"/>
                <w:szCs w:val="19"/>
              </w:rPr>
              <w:t>0.037</w:t>
            </w:r>
          </w:p>
        </w:tc>
        <w:tc>
          <w:tcPr>
            <w:tcW w:w="1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80B0B37" w14:textId="77777777" w:rsidR="002A03D1" w:rsidRDefault="00A20A53">
            <w:pPr>
              <w:jc w:val="center"/>
            </w:pPr>
            <w:r>
              <w:rPr>
                <w:rFonts w:ascii="Arial" w:eastAsia="Arial" w:hAnsi="Arial" w:cs="Arial"/>
                <w:color w:val="000000"/>
                <w:sz w:val="19"/>
                <w:szCs w:val="19"/>
              </w:rPr>
              <w:t>Significant*</w:t>
            </w:r>
          </w:p>
        </w:tc>
      </w:tr>
      <w:tr w:rsidR="002A03D1" w14:paraId="3FA2BF54" w14:textId="77777777">
        <w:tc>
          <w:tcPr>
            <w:tcW w:w="4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121E100A" w14:textId="77777777" w:rsidR="002A03D1" w:rsidRDefault="00A20A53">
            <w:r>
              <w:rPr>
                <w:rFonts w:ascii="Arial" w:eastAsia="Arial" w:hAnsi="Arial" w:cs="Arial"/>
                <w:color w:val="000000"/>
                <w:sz w:val="19"/>
                <w:szCs w:val="19"/>
              </w:rPr>
              <w:t>PBM Awareness vs Qualification</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65A0788" w14:textId="77777777" w:rsidR="002A03D1" w:rsidRDefault="00A20A53">
            <w:pPr>
              <w:jc w:val="center"/>
            </w:pPr>
            <w:r>
              <w:rPr>
                <w:rFonts w:ascii="Arial" w:eastAsia="Arial" w:hAnsi="Arial" w:cs="Arial"/>
                <w:color w:val="000000"/>
                <w:sz w:val="19"/>
                <w:szCs w:val="19"/>
              </w:rPr>
              <w:t>5.047</w:t>
            </w:r>
          </w:p>
        </w:tc>
        <w:tc>
          <w:tcPr>
            <w:tcW w:w="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66DFB336" w14:textId="77777777" w:rsidR="002A03D1" w:rsidRDefault="00A20A53">
            <w:pPr>
              <w:jc w:val="center"/>
            </w:pPr>
            <w:r>
              <w:rPr>
                <w:rFonts w:ascii="Arial" w:eastAsia="Arial" w:hAnsi="Arial" w:cs="Arial"/>
                <w:color w:val="000000"/>
                <w:sz w:val="19"/>
                <w:szCs w:val="19"/>
              </w:rPr>
              <w:t>2</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EEB1169" w14:textId="77777777" w:rsidR="002A03D1" w:rsidRDefault="00A20A53">
            <w:pPr>
              <w:jc w:val="center"/>
            </w:pPr>
            <w:r>
              <w:rPr>
                <w:rFonts w:ascii="Arial" w:eastAsia="Arial" w:hAnsi="Arial" w:cs="Arial"/>
                <w:color w:val="000000"/>
                <w:sz w:val="19"/>
                <w:szCs w:val="19"/>
              </w:rPr>
              <w:t>0.080</w:t>
            </w:r>
          </w:p>
        </w:tc>
        <w:tc>
          <w:tcPr>
            <w:tcW w:w="1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0B07A71D" w14:textId="77777777" w:rsidR="002A03D1" w:rsidRDefault="00A20A53">
            <w:pPr>
              <w:jc w:val="center"/>
            </w:pPr>
            <w:r>
              <w:rPr>
                <w:rFonts w:ascii="Arial" w:eastAsia="Arial" w:hAnsi="Arial" w:cs="Arial"/>
                <w:color w:val="000000"/>
                <w:sz w:val="19"/>
                <w:szCs w:val="19"/>
              </w:rPr>
              <w:t>Not Significant</w:t>
            </w:r>
          </w:p>
        </w:tc>
      </w:tr>
      <w:tr w:rsidR="002A03D1" w14:paraId="6DF7A8AE" w14:textId="77777777">
        <w:tc>
          <w:tcPr>
            <w:tcW w:w="4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6192D168" w14:textId="77777777" w:rsidR="002A03D1" w:rsidRDefault="00A20A53">
            <w:r>
              <w:rPr>
                <w:rFonts w:ascii="Arial" w:eastAsia="Arial" w:hAnsi="Arial" w:cs="Arial"/>
                <w:color w:val="000000"/>
                <w:sz w:val="19"/>
                <w:szCs w:val="19"/>
              </w:rPr>
              <w:t>PBM Awareness vs Experience</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8785F17" w14:textId="77777777" w:rsidR="002A03D1" w:rsidRDefault="00A20A53">
            <w:pPr>
              <w:jc w:val="center"/>
            </w:pPr>
            <w:r>
              <w:rPr>
                <w:rFonts w:ascii="Arial" w:eastAsia="Arial" w:hAnsi="Arial" w:cs="Arial"/>
                <w:color w:val="000000"/>
                <w:sz w:val="19"/>
                <w:szCs w:val="19"/>
              </w:rPr>
              <w:t>3.142</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1CE4ED2B" w14:textId="77777777" w:rsidR="002A03D1" w:rsidRDefault="00A20A53">
            <w:pPr>
              <w:jc w:val="center"/>
            </w:pPr>
            <w:r>
              <w:rPr>
                <w:rFonts w:ascii="Arial" w:eastAsia="Arial" w:hAnsi="Arial" w:cs="Arial"/>
                <w:color w:val="000000"/>
                <w:sz w:val="19"/>
                <w:szCs w:val="19"/>
              </w:rPr>
              <w:t>3</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156B4F1C" w14:textId="77777777" w:rsidR="002A03D1" w:rsidRDefault="00A20A53">
            <w:pPr>
              <w:jc w:val="center"/>
            </w:pPr>
            <w:r>
              <w:rPr>
                <w:rFonts w:ascii="Arial" w:eastAsia="Arial" w:hAnsi="Arial" w:cs="Arial"/>
                <w:color w:val="000000"/>
                <w:sz w:val="19"/>
                <w:szCs w:val="19"/>
              </w:rPr>
              <w:t>0.370</w:t>
            </w:r>
          </w:p>
        </w:tc>
        <w:tc>
          <w:tcPr>
            <w:tcW w:w="1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0C69965" w14:textId="77777777" w:rsidR="002A03D1" w:rsidRDefault="00A20A53">
            <w:pPr>
              <w:jc w:val="center"/>
            </w:pPr>
            <w:r>
              <w:rPr>
                <w:rFonts w:ascii="Arial" w:eastAsia="Arial" w:hAnsi="Arial" w:cs="Arial"/>
                <w:color w:val="000000"/>
                <w:sz w:val="19"/>
                <w:szCs w:val="19"/>
              </w:rPr>
              <w:t xml:space="preserve">Not </w:t>
            </w:r>
            <w:r>
              <w:rPr>
                <w:rFonts w:ascii="Arial" w:eastAsia="Arial" w:hAnsi="Arial" w:cs="Arial"/>
                <w:color w:val="000000"/>
                <w:sz w:val="19"/>
                <w:szCs w:val="19"/>
              </w:rPr>
              <w:t>Significant</w:t>
            </w:r>
          </w:p>
        </w:tc>
      </w:tr>
      <w:tr w:rsidR="002A03D1" w14:paraId="219385A0" w14:textId="77777777">
        <w:tc>
          <w:tcPr>
            <w:tcW w:w="4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510F181E" w14:textId="77777777" w:rsidR="002A03D1" w:rsidRDefault="00A20A53">
            <w:r>
              <w:rPr>
                <w:rFonts w:ascii="Arial" w:eastAsia="Arial" w:hAnsi="Arial" w:cs="Arial"/>
                <w:color w:val="000000"/>
                <w:sz w:val="19"/>
                <w:szCs w:val="19"/>
              </w:rPr>
              <w:lastRenderedPageBreak/>
              <w:t>Seen PBM vs Qualification</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4B1D08F2" w14:textId="77777777" w:rsidR="002A03D1" w:rsidRDefault="00A20A53">
            <w:pPr>
              <w:jc w:val="center"/>
            </w:pPr>
            <w:r>
              <w:rPr>
                <w:rFonts w:ascii="Arial" w:eastAsia="Arial" w:hAnsi="Arial" w:cs="Arial"/>
                <w:color w:val="000000"/>
                <w:sz w:val="19"/>
                <w:szCs w:val="19"/>
              </w:rPr>
              <w:t>2.027</w:t>
            </w:r>
          </w:p>
        </w:tc>
        <w:tc>
          <w:tcPr>
            <w:tcW w:w="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33ED01C8" w14:textId="77777777" w:rsidR="002A03D1" w:rsidRDefault="00A20A53">
            <w:pPr>
              <w:jc w:val="center"/>
            </w:pPr>
            <w:r>
              <w:rPr>
                <w:rFonts w:ascii="Arial" w:eastAsia="Arial" w:hAnsi="Arial" w:cs="Arial"/>
                <w:color w:val="000000"/>
                <w:sz w:val="19"/>
                <w:szCs w:val="19"/>
              </w:rPr>
              <w:t>2</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66A35A4" w14:textId="77777777" w:rsidR="002A03D1" w:rsidRDefault="00A20A53">
            <w:pPr>
              <w:jc w:val="center"/>
            </w:pPr>
            <w:r>
              <w:rPr>
                <w:rFonts w:ascii="Arial" w:eastAsia="Arial" w:hAnsi="Arial" w:cs="Arial"/>
                <w:color w:val="000000"/>
                <w:sz w:val="19"/>
                <w:szCs w:val="19"/>
              </w:rPr>
              <w:t>0.363</w:t>
            </w:r>
          </w:p>
        </w:tc>
        <w:tc>
          <w:tcPr>
            <w:tcW w:w="1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5398A234" w14:textId="77777777" w:rsidR="002A03D1" w:rsidRDefault="00A20A53">
            <w:pPr>
              <w:jc w:val="center"/>
            </w:pPr>
            <w:r>
              <w:rPr>
                <w:rFonts w:ascii="Arial" w:eastAsia="Arial" w:hAnsi="Arial" w:cs="Arial"/>
                <w:color w:val="000000"/>
                <w:sz w:val="19"/>
                <w:szCs w:val="19"/>
              </w:rPr>
              <w:t>Not Significant</w:t>
            </w:r>
          </w:p>
        </w:tc>
      </w:tr>
      <w:tr w:rsidR="002A03D1" w14:paraId="60CE66B8" w14:textId="77777777">
        <w:tc>
          <w:tcPr>
            <w:tcW w:w="4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337A11B5" w14:textId="77777777" w:rsidR="002A03D1" w:rsidRDefault="00A20A53">
            <w:r>
              <w:rPr>
                <w:rFonts w:ascii="Arial" w:eastAsia="Arial" w:hAnsi="Arial" w:cs="Arial"/>
                <w:color w:val="000000"/>
                <w:sz w:val="19"/>
                <w:szCs w:val="19"/>
              </w:rPr>
              <w:t>Training vs Experience</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6D062AA3" w14:textId="77777777" w:rsidR="002A03D1" w:rsidRDefault="00A20A53">
            <w:pPr>
              <w:jc w:val="center"/>
            </w:pPr>
            <w:r>
              <w:rPr>
                <w:rFonts w:ascii="Arial" w:eastAsia="Arial" w:hAnsi="Arial" w:cs="Arial"/>
                <w:color w:val="000000"/>
                <w:sz w:val="19"/>
                <w:szCs w:val="19"/>
              </w:rPr>
              <w:t>4.605</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209E9FE9" w14:textId="77777777" w:rsidR="002A03D1" w:rsidRDefault="00A20A53">
            <w:pPr>
              <w:jc w:val="center"/>
            </w:pPr>
            <w:r>
              <w:rPr>
                <w:rFonts w:ascii="Arial" w:eastAsia="Arial" w:hAnsi="Arial" w:cs="Arial"/>
                <w:color w:val="000000"/>
                <w:sz w:val="19"/>
                <w:szCs w:val="19"/>
              </w:rPr>
              <w:t>3</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00696851" w14:textId="77777777" w:rsidR="002A03D1" w:rsidRDefault="00A20A53">
            <w:pPr>
              <w:jc w:val="center"/>
            </w:pPr>
            <w:r>
              <w:rPr>
                <w:rFonts w:ascii="Arial" w:eastAsia="Arial" w:hAnsi="Arial" w:cs="Arial"/>
                <w:color w:val="000000"/>
                <w:sz w:val="19"/>
                <w:szCs w:val="19"/>
              </w:rPr>
              <w:t>0.203</w:t>
            </w:r>
          </w:p>
        </w:tc>
        <w:tc>
          <w:tcPr>
            <w:tcW w:w="1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66D3A784" w14:textId="77777777" w:rsidR="002A03D1" w:rsidRDefault="00A20A53">
            <w:pPr>
              <w:jc w:val="center"/>
            </w:pPr>
            <w:r>
              <w:rPr>
                <w:rFonts w:ascii="Arial" w:eastAsia="Arial" w:hAnsi="Arial" w:cs="Arial"/>
                <w:color w:val="000000"/>
                <w:sz w:val="19"/>
                <w:szCs w:val="19"/>
              </w:rPr>
              <w:t>Not Significant</w:t>
            </w:r>
          </w:p>
        </w:tc>
      </w:tr>
      <w:tr w:rsidR="002A03D1" w14:paraId="6B1F2F54" w14:textId="77777777">
        <w:tc>
          <w:tcPr>
            <w:tcW w:w="4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69477B0E" w14:textId="77777777" w:rsidR="002A03D1" w:rsidRDefault="00A20A53">
            <w:r>
              <w:rPr>
                <w:rFonts w:ascii="Arial" w:eastAsia="Arial" w:hAnsi="Arial" w:cs="Arial"/>
                <w:color w:val="000000"/>
                <w:sz w:val="19"/>
                <w:szCs w:val="19"/>
              </w:rPr>
              <w:t>Belief in PBM vs Qualification</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7648BC99" w14:textId="77777777" w:rsidR="002A03D1" w:rsidRDefault="00A20A53">
            <w:pPr>
              <w:jc w:val="center"/>
            </w:pPr>
            <w:r>
              <w:rPr>
                <w:rFonts w:ascii="Arial" w:eastAsia="Arial" w:hAnsi="Arial" w:cs="Arial"/>
                <w:color w:val="000000"/>
                <w:sz w:val="19"/>
                <w:szCs w:val="19"/>
              </w:rPr>
              <w:t>4.514</w:t>
            </w:r>
          </w:p>
        </w:tc>
        <w:tc>
          <w:tcPr>
            <w:tcW w:w="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5F7824BA" w14:textId="77777777" w:rsidR="002A03D1" w:rsidRDefault="00A20A53">
            <w:pPr>
              <w:jc w:val="center"/>
            </w:pPr>
            <w:r>
              <w:rPr>
                <w:rFonts w:ascii="Arial" w:eastAsia="Arial" w:hAnsi="Arial" w:cs="Arial"/>
                <w:color w:val="000000"/>
                <w:sz w:val="19"/>
                <w:szCs w:val="19"/>
              </w:rPr>
              <w:t>6</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1F25EA2F" w14:textId="77777777" w:rsidR="002A03D1" w:rsidRDefault="00A20A53">
            <w:pPr>
              <w:jc w:val="center"/>
            </w:pPr>
            <w:r>
              <w:rPr>
                <w:rFonts w:ascii="Arial" w:eastAsia="Arial" w:hAnsi="Arial" w:cs="Arial"/>
                <w:color w:val="000000"/>
                <w:sz w:val="19"/>
                <w:szCs w:val="19"/>
              </w:rPr>
              <w:t>0.607</w:t>
            </w:r>
          </w:p>
        </w:tc>
        <w:tc>
          <w:tcPr>
            <w:tcW w:w="1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0C95D529" w14:textId="77777777" w:rsidR="002A03D1" w:rsidRDefault="00A20A53">
            <w:pPr>
              <w:jc w:val="center"/>
            </w:pPr>
            <w:r>
              <w:rPr>
                <w:rFonts w:ascii="Arial" w:eastAsia="Arial" w:hAnsi="Arial" w:cs="Arial"/>
                <w:color w:val="000000"/>
                <w:sz w:val="19"/>
                <w:szCs w:val="19"/>
              </w:rPr>
              <w:t>Not Significant</w:t>
            </w:r>
          </w:p>
        </w:tc>
      </w:tr>
      <w:tr w:rsidR="002A03D1" w14:paraId="728811C1" w14:textId="77777777">
        <w:tc>
          <w:tcPr>
            <w:tcW w:w="4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26679484" w14:textId="77777777" w:rsidR="002A03D1" w:rsidRDefault="00A20A53">
            <w:r>
              <w:rPr>
                <w:rFonts w:ascii="Arial" w:eastAsia="Arial" w:hAnsi="Arial" w:cs="Arial"/>
                <w:color w:val="000000"/>
                <w:sz w:val="19"/>
                <w:szCs w:val="19"/>
              </w:rPr>
              <w:t>Guidelines Knowledge vs Qualification</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6EB94E1D" w14:textId="77777777" w:rsidR="002A03D1" w:rsidRDefault="00A20A53">
            <w:pPr>
              <w:jc w:val="center"/>
            </w:pPr>
            <w:r>
              <w:rPr>
                <w:rFonts w:ascii="Arial" w:eastAsia="Arial" w:hAnsi="Arial" w:cs="Arial"/>
                <w:color w:val="000000"/>
                <w:sz w:val="19"/>
                <w:szCs w:val="19"/>
              </w:rPr>
              <w:t>5.769</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55F69749" w14:textId="77777777" w:rsidR="002A03D1" w:rsidRDefault="00A20A53">
            <w:pPr>
              <w:jc w:val="center"/>
            </w:pPr>
            <w:r>
              <w:rPr>
                <w:rFonts w:ascii="Arial" w:eastAsia="Arial" w:hAnsi="Arial" w:cs="Arial"/>
                <w:color w:val="000000"/>
                <w:sz w:val="19"/>
                <w:szCs w:val="19"/>
              </w:rPr>
              <w:t>6</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7016A2F5" w14:textId="77777777" w:rsidR="002A03D1" w:rsidRDefault="00A20A53">
            <w:pPr>
              <w:jc w:val="center"/>
            </w:pPr>
            <w:r>
              <w:rPr>
                <w:rFonts w:ascii="Arial" w:eastAsia="Arial" w:hAnsi="Arial" w:cs="Arial"/>
                <w:color w:val="000000"/>
                <w:sz w:val="19"/>
                <w:szCs w:val="19"/>
              </w:rPr>
              <w:t>0.450</w:t>
            </w:r>
          </w:p>
        </w:tc>
        <w:tc>
          <w:tcPr>
            <w:tcW w:w="1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2F76903C" w14:textId="77777777" w:rsidR="002A03D1" w:rsidRDefault="00A20A53">
            <w:pPr>
              <w:jc w:val="center"/>
            </w:pPr>
            <w:r>
              <w:rPr>
                <w:rFonts w:ascii="Arial" w:eastAsia="Arial" w:hAnsi="Arial" w:cs="Arial"/>
                <w:color w:val="000000"/>
                <w:sz w:val="19"/>
                <w:szCs w:val="19"/>
              </w:rPr>
              <w:t>Not Significant</w:t>
            </w:r>
          </w:p>
        </w:tc>
      </w:tr>
      <w:tr w:rsidR="002A03D1" w14:paraId="209BB8AC" w14:textId="77777777">
        <w:tc>
          <w:tcPr>
            <w:tcW w:w="4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691E0FA6" w14:textId="77777777" w:rsidR="002A03D1" w:rsidRDefault="00A20A53">
            <w:r>
              <w:rPr>
                <w:rFonts w:ascii="Arial" w:eastAsia="Arial" w:hAnsi="Arial" w:cs="Arial"/>
                <w:color w:val="000000"/>
                <w:sz w:val="19"/>
                <w:szCs w:val="19"/>
              </w:rPr>
              <w:t>Heard of PBM vs Experience</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414B3AEE" w14:textId="77777777" w:rsidR="002A03D1" w:rsidRDefault="00A20A53">
            <w:pPr>
              <w:jc w:val="center"/>
            </w:pPr>
            <w:r>
              <w:rPr>
                <w:rFonts w:ascii="Arial" w:eastAsia="Arial" w:hAnsi="Arial" w:cs="Arial"/>
                <w:color w:val="000000"/>
                <w:sz w:val="19"/>
                <w:szCs w:val="19"/>
              </w:rPr>
              <w:t>1.653</w:t>
            </w:r>
          </w:p>
        </w:tc>
        <w:tc>
          <w:tcPr>
            <w:tcW w:w="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7E209E50" w14:textId="77777777" w:rsidR="002A03D1" w:rsidRDefault="00A20A53">
            <w:pPr>
              <w:jc w:val="center"/>
            </w:pPr>
            <w:r>
              <w:rPr>
                <w:rFonts w:ascii="Arial" w:eastAsia="Arial" w:hAnsi="Arial" w:cs="Arial"/>
                <w:color w:val="000000"/>
                <w:sz w:val="19"/>
                <w:szCs w:val="19"/>
              </w:rPr>
              <w:t>3</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44666BCF" w14:textId="77777777" w:rsidR="002A03D1" w:rsidRDefault="00A20A53">
            <w:pPr>
              <w:jc w:val="center"/>
            </w:pPr>
            <w:r>
              <w:rPr>
                <w:rFonts w:ascii="Arial" w:eastAsia="Arial" w:hAnsi="Arial" w:cs="Arial"/>
                <w:color w:val="000000"/>
                <w:sz w:val="19"/>
                <w:szCs w:val="19"/>
              </w:rPr>
              <w:t>0.647</w:t>
            </w:r>
          </w:p>
        </w:tc>
        <w:tc>
          <w:tcPr>
            <w:tcW w:w="1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842AAB5" w14:textId="77777777" w:rsidR="002A03D1" w:rsidRDefault="00A20A53">
            <w:pPr>
              <w:jc w:val="center"/>
            </w:pPr>
            <w:r>
              <w:rPr>
                <w:rFonts w:ascii="Arial" w:eastAsia="Arial" w:hAnsi="Arial" w:cs="Arial"/>
                <w:color w:val="000000"/>
                <w:sz w:val="19"/>
                <w:szCs w:val="19"/>
              </w:rPr>
              <w:t>Not Significant</w:t>
            </w:r>
          </w:p>
        </w:tc>
      </w:tr>
      <w:tr w:rsidR="002A03D1" w14:paraId="39429411" w14:textId="77777777">
        <w:tc>
          <w:tcPr>
            <w:tcW w:w="4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11086CF0" w14:textId="77777777" w:rsidR="002A03D1" w:rsidRDefault="00A20A53">
            <w:r>
              <w:rPr>
                <w:rFonts w:ascii="Arial" w:eastAsia="Arial" w:hAnsi="Arial" w:cs="Arial"/>
                <w:color w:val="000000"/>
                <w:sz w:val="19"/>
                <w:szCs w:val="19"/>
              </w:rPr>
              <w:t>Interest in PBM vs Qualification</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0B47ED7C" w14:textId="77777777" w:rsidR="002A03D1" w:rsidRDefault="00A20A53">
            <w:pPr>
              <w:jc w:val="center"/>
            </w:pPr>
            <w:r>
              <w:rPr>
                <w:rFonts w:ascii="Arial" w:eastAsia="Arial" w:hAnsi="Arial" w:cs="Arial"/>
                <w:color w:val="000000"/>
                <w:sz w:val="19"/>
                <w:szCs w:val="19"/>
              </w:rPr>
              <w:t>3.617</w:t>
            </w:r>
          </w:p>
        </w:tc>
        <w:tc>
          <w:tcPr>
            <w:tcW w:w="8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616E6DA9" w14:textId="77777777" w:rsidR="002A03D1" w:rsidRDefault="00A20A53">
            <w:pPr>
              <w:jc w:val="center"/>
            </w:pPr>
            <w:r>
              <w:rPr>
                <w:rFonts w:ascii="Arial" w:eastAsia="Arial" w:hAnsi="Arial" w:cs="Arial"/>
                <w:color w:val="000000"/>
                <w:sz w:val="19"/>
                <w:szCs w:val="19"/>
              </w:rPr>
              <w:t>2</w:t>
            </w:r>
          </w:p>
        </w:tc>
        <w:tc>
          <w:tcPr>
            <w:tcW w:w="13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6471CE66" w14:textId="77777777" w:rsidR="002A03D1" w:rsidRDefault="00A20A53">
            <w:pPr>
              <w:jc w:val="center"/>
            </w:pPr>
            <w:r>
              <w:rPr>
                <w:rFonts w:ascii="Arial" w:eastAsia="Arial" w:hAnsi="Arial" w:cs="Arial"/>
                <w:color w:val="000000"/>
                <w:sz w:val="19"/>
                <w:szCs w:val="19"/>
              </w:rPr>
              <w:t>0.164</w:t>
            </w:r>
          </w:p>
        </w:tc>
        <w:tc>
          <w:tcPr>
            <w:tcW w:w="1200" w:type="dxa"/>
            <w:tcBorders>
              <w:top w:val="single" w:sz="0" w:space="0" w:color="CCCCCC"/>
              <w:left w:val="single" w:sz="0" w:space="0" w:color="CCCCCC"/>
              <w:bottom w:val="single" w:sz="0" w:space="0" w:color="CCCCCC"/>
              <w:right w:val="single" w:sz="0" w:space="0" w:color="CCCCCC"/>
            </w:tcBorders>
            <w:shd w:val="clear" w:color="auto" w:fill="FFFFFF"/>
            <w:tcMar>
              <w:top w:w="80" w:type="dxa"/>
              <w:left w:w="140" w:type="dxa"/>
              <w:bottom w:w="80" w:type="dxa"/>
              <w:right w:w="140" w:type="dxa"/>
            </w:tcMar>
            <w:vAlign w:val="center"/>
          </w:tcPr>
          <w:p w14:paraId="7D080F5E" w14:textId="77777777" w:rsidR="002A03D1" w:rsidRDefault="00A20A53">
            <w:pPr>
              <w:jc w:val="center"/>
            </w:pPr>
            <w:r>
              <w:rPr>
                <w:rFonts w:ascii="Arial" w:eastAsia="Arial" w:hAnsi="Arial" w:cs="Arial"/>
                <w:color w:val="000000"/>
                <w:sz w:val="19"/>
                <w:szCs w:val="19"/>
              </w:rPr>
              <w:t>Not Significant</w:t>
            </w:r>
          </w:p>
        </w:tc>
      </w:tr>
      <w:tr w:rsidR="002A03D1" w14:paraId="38116DF0" w14:textId="77777777">
        <w:tc>
          <w:tcPr>
            <w:tcW w:w="4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4A372106" w14:textId="77777777" w:rsidR="002A03D1" w:rsidRDefault="00A20A53">
            <w:r>
              <w:rPr>
                <w:rFonts w:ascii="Arial" w:eastAsia="Arial" w:hAnsi="Arial" w:cs="Arial"/>
                <w:color w:val="000000"/>
                <w:sz w:val="19"/>
                <w:szCs w:val="19"/>
              </w:rPr>
              <w:t>Interest in PBM vs Experience</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3FFABCA5" w14:textId="77777777" w:rsidR="002A03D1" w:rsidRDefault="00A20A53">
            <w:pPr>
              <w:jc w:val="center"/>
            </w:pPr>
            <w:r>
              <w:rPr>
                <w:rFonts w:ascii="Arial" w:eastAsia="Arial" w:hAnsi="Arial" w:cs="Arial"/>
                <w:color w:val="000000"/>
                <w:sz w:val="19"/>
                <w:szCs w:val="19"/>
              </w:rPr>
              <w:t>1.495</w:t>
            </w:r>
          </w:p>
        </w:tc>
        <w:tc>
          <w:tcPr>
            <w:tcW w:w="8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1123DB23" w14:textId="77777777" w:rsidR="002A03D1" w:rsidRDefault="00A20A53">
            <w:pPr>
              <w:jc w:val="center"/>
            </w:pPr>
            <w:r>
              <w:rPr>
                <w:rFonts w:ascii="Arial" w:eastAsia="Arial" w:hAnsi="Arial" w:cs="Arial"/>
                <w:color w:val="000000"/>
                <w:sz w:val="19"/>
                <w:szCs w:val="19"/>
              </w:rPr>
              <w:t>3</w:t>
            </w:r>
          </w:p>
        </w:tc>
        <w:tc>
          <w:tcPr>
            <w:tcW w:w="13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279A9559" w14:textId="77777777" w:rsidR="002A03D1" w:rsidRDefault="00A20A53">
            <w:pPr>
              <w:jc w:val="center"/>
            </w:pPr>
            <w:r>
              <w:rPr>
                <w:rFonts w:ascii="Arial" w:eastAsia="Arial" w:hAnsi="Arial" w:cs="Arial"/>
                <w:color w:val="000000"/>
                <w:sz w:val="19"/>
                <w:szCs w:val="19"/>
              </w:rPr>
              <w:t>0.683</w:t>
            </w:r>
          </w:p>
        </w:tc>
        <w:tc>
          <w:tcPr>
            <w:tcW w:w="1200" w:type="dxa"/>
            <w:tcBorders>
              <w:top w:val="single" w:sz="0" w:space="0" w:color="CCCCCC"/>
              <w:left w:val="single" w:sz="0" w:space="0" w:color="CCCCCC"/>
              <w:bottom w:val="single" w:sz="0" w:space="0" w:color="CCCCCC"/>
              <w:right w:val="single" w:sz="0" w:space="0" w:color="CCCCCC"/>
            </w:tcBorders>
            <w:shd w:val="clear" w:color="auto" w:fill="EBF3FB"/>
            <w:tcMar>
              <w:top w:w="80" w:type="dxa"/>
              <w:left w:w="140" w:type="dxa"/>
              <w:bottom w:w="80" w:type="dxa"/>
              <w:right w:w="140" w:type="dxa"/>
            </w:tcMar>
            <w:vAlign w:val="center"/>
          </w:tcPr>
          <w:p w14:paraId="706043AE" w14:textId="77777777" w:rsidR="002A03D1" w:rsidRDefault="00A20A53">
            <w:pPr>
              <w:jc w:val="center"/>
            </w:pPr>
            <w:r>
              <w:rPr>
                <w:rFonts w:ascii="Arial" w:eastAsia="Arial" w:hAnsi="Arial" w:cs="Arial"/>
                <w:color w:val="000000"/>
                <w:sz w:val="19"/>
                <w:szCs w:val="19"/>
              </w:rPr>
              <w:t>Not Significant</w:t>
            </w:r>
          </w:p>
        </w:tc>
      </w:tr>
    </w:tbl>
    <w:p w14:paraId="0FB35041" w14:textId="77777777" w:rsidR="002A03D1" w:rsidRDefault="002A03D1">
      <w:pPr>
        <w:jc w:val="both"/>
        <w:rPr>
          <w:rFonts w:ascii="Times New Roman" w:hAnsi="Times New Roman" w:cs="Times New Roman"/>
        </w:rPr>
      </w:pPr>
    </w:p>
    <w:p w14:paraId="6D1A8CB3" w14:textId="77777777" w:rsidR="002A03D1" w:rsidRDefault="002A03D1">
      <w:pPr>
        <w:spacing w:line="360" w:lineRule="auto"/>
        <w:jc w:val="both"/>
        <w:rPr>
          <w:rFonts w:ascii="Arial" w:hAnsi="Arial" w:cs="Arial"/>
        </w:rPr>
      </w:pPr>
    </w:p>
    <w:p w14:paraId="2E94ACFC" w14:textId="77777777" w:rsidR="002A03D1" w:rsidRDefault="00A20A53">
      <w:pPr>
        <w:numPr>
          <w:ilvl w:val="0"/>
          <w:numId w:val="7"/>
        </w:numPr>
        <w:rPr>
          <w:rFonts w:ascii="Arial" w:hAnsi="Arial" w:cs="Arial"/>
          <w:b/>
          <w:bCs/>
        </w:rPr>
      </w:pPr>
      <w:r>
        <w:rPr>
          <w:rFonts w:ascii="Arial" w:eastAsia="Arial" w:hAnsi="Arial" w:cs="Arial"/>
          <w:bCs/>
        </w:rPr>
        <w:t>Discussion</w:t>
      </w:r>
    </w:p>
    <w:p w14:paraId="18BD0010"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 xml:space="preserve">The findings of the present study indicate that dental professionals possess a generally satisfactory level of awareness regarding </w:t>
      </w:r>
      <w:proofErr w:type="spellStart"/>
      <w:r>
        <w:rPr>
          <w:rFonts w:ascii="Arial" w:eastAsia="Arial" w:hAnsi="Arial" w:cs="Arial"/>
          <w:sz w:val="22"/>
          <w:szCs w:val="22"/>
        </w:rPr>
        <w:t>photobiomodulation</w:t>
      </w:r>
      <w:proofErr w:type="spellEnd"/>
      <w:r>
        <w:rPr>
          <w:rFonts w:ascii="Arial" w:eastAsia="Arial" w:hAnsi="Arial" w:cs="Arial"/>
          <w:sz w:val="22"/>
          <w:szCs w:val="22"/>
        </w:rPr>
        <w:t xml:space="preserve"> (PBM) therapy. This observation may reflect the increasing exposure to laser-based technologies in dental </w:t>
      </w:r>
      <w:r>
        <w:rPr>
          <w:rFonts w:ascii="Arial" w:eastAsia="Arial" w:hAnsi="Arial" w:cs="Arial"/>
          <w:sz w:val="22"/>
          <w:szCs w:val="22"/>
        </w:rPr>
        <w:t>education and the growing number of scientific publications focusing on laser dentistry and its clinical applications [3,5]. Over the past decade, PBM has gained considerable attention as a supportive therapeutic modality in various dental procedures, whic</w:t>
      </w:r>
      <w:r>
        <w:rPr>
          <w:rFonts w:ascii="Arial" w:eastAsia="Arial" w:hAnsi="Arial" w:cs="Arial"/>
          <w:sz w:val="22"/>
          <w:szCs w:val="22"/>
        </w:rPr>
        <w:t>h may explain the relatively positive awareness observed among the participants.</w:t>
      </w:r>
    </w:p>
    <w:p w14:paraId="25B8285A"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Despite this awareness, the moderate knowledge score of 51.3% suggests that a substantial proportion of practitioners may lack a comprehensive understanding of the fundamental</w:t>
      </w:r>
      <w:r>
        <w:rPr>
          <w:rFonts w:ascii="Arial" w:eastAsia="Arial" w:hAnsi="Arial" w:cs="Arial"/>
          <w:sz w:val="22"/>
          <w:szCs w:val="22"/>
        </w:rPr>
        <w:t xml:space="preserve"> biological principles underlying PBM therapy. Previous studies have emphasized that the clinical effectiveness of PBM depends on appropriate treatment parameters, including wavelength, power output, dosage, and duration of irradiation [2,4]. Insufficient </w:t>
      </w:r>
      <w:r>
        <w:rPr>
          <w:rFonts w:ascii="Arial" w:eastAsia="Arial" w:hAnsi="Arial" w:cs="Arial"/>
          <w:sz w:val="22"/>
          <w:szCs w:val="22"/>
        </w:rPr>
        <w:t xml:space="preserve">knowledge regarding these technical aspects may limit clinicians’ confidence </w:t>
      </w:r>
      <w:r>
        <w:rPr>
          <w:rFonts w:ascii="Arial" w:eastAsia="Arial" w:hAnsi="Arial" w:cs="Arial"/>
          <w:sz w:val="22"/>
          <w:szCs w:val="22"/>
        </w:rPr>
        <w:lastRenderedPageBreak/>
        <w:t>in applying PBM in routine dental practice and may contribute to its relatively slow adoption in some clinical settings.</w:t>
      </w:r>
    </w:p>
    <w:p w14:paraId="24F0C390"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 xml:space="preserve">The present study also demonstrated a significant </w:t>
      </w:r>
      <w:r>
        <w:rPr>
          <w:rFonts w:ascii="Arial" w:eastAsia="Arial" w:hAnsi="Arial" w:cs="Arial"/>
          <w:sz w:val="22"/>
          <w:szCs w:val="22"/>
        </w:rPr>
        <w:t>association between professional qualification and awareness levels. Participants with higher academic qualifications appeared to have better awareness of PBM therapy, possibly due to greater exposure to advanced dental technologies during postgraduate edu</w:t>
      </w:r>
      <w:r>
        <w:rPr>
          <w:rFonts w:ascii="Arial" w:eastAsia="Arial" w:hAnsi="Arial" w:cs="Arial"/>
          <w:sz w:val="22"/>
          <w:szCs w:val="22"/>
        </w:rPr>
        <w:t>cation and specialized training programs. Similar findings have been reported in earlier investigations examining the adoption of laser technologies among dental professionals [5].</w:t>
      </w:r>
    </w:p>
    <w:p w14:paraId="438B2E00"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 xml:space="preserve">Another important finding of this study was the identification of barriers </w:t>
      </w:r>
      <w:r>
        <w:rPr>
          <w:rFonts w:ascii="Arial" w:eastAsia="Arial" w:hAnsi="Arial" w:cs="Arial"/>
          <w:sz w:val="22"/>
          <w:szCs w:val="22"/>
        </w:rPr>
        <w:t>to the implementation of PBM therapy in clinical practice. The most commonly reported challenges included insufficient training opportunities and limited awareness of its clinical benefits. Evidence from systematic reviews indicates that PBM can effectivel</w:t>
      </w:r>
      <w:r>
        <w:rPr>
          <w:rFonts w:ascii="Arial" w:eastAsia="Arial" w:hAnsi="Arial" w:cs="Arial"/>
          <w:sz w:val="22"/>
          <w:szCs w:val="22"/>
        </w:rPr>
        <w:t>y reduce postoperative discomfort, modulate inflammatory responses, and enhance tissue healing following dental procedures [4,6,8]. Therefore, incorporating structured PBM training modules into undergraduate and postgraduate dental curricula may help addre</w:t>
      </w:r>
      <w:r>
        <w:rPr>
          <w:rFonts w:ascii="Arial" w:eastAsia="Arial" w:hAnsi="Arial" w:cs="Arial"/>
          <w:sz w:val="22"/>
          <w:szCs w:val="22"/>
        </w:rPr>
        <w:t>ss these knowledge gaps and improve practitioner competence.</w:t>
      </w:r>
    </w:p>
    <w:p w14:paraId="4D7082CD" w14:textId="77777777" w:rsidR="002A03D1" w:rsidRDefault="00A20A53">
      <w:pPr>
        <w:pStyle w:val="NormalWeb"/>
        <w:spacing w:line="360" w:lineRule="auto"/>
        <w:rPr>
          <w:rFonts w:ascii="Arial" w:hAnsi="Arial" w:cs="Arial"/>
          <w:sz w:val="22"/>
          <w:szCs w:val="22"/>
        </w:rPr>
      </w:pPr>
      <w:r>
        <w:rPr>
          <w:rFonts w:ascii="Arial" w:eastAsia="Arial" w:hAnsi="Arial" w:cs="Arial"/>
          <w:sz w:val="22"/>
          <w:szCs w:val="22"/>
        </w:rPr>
        <w:t>From a clinical perspective, wider adoption of PBM therapy has the potential to improve patient-centered outcomes, particularly in procedures such as periodontal surgery, implant placement, and o</w:t>
      </w:r>
      <w:r>
        <w:rPr>
          <w:rFonts w:ascii="Arial" w:eastAsia="Arial" w:hAnsi="Arial" w:cs="Arial"/>
          <w:sz w:val="22"/>
          <w:szCs w:val="22"/>
        </w:rPr>
        <w:t>ral soft tissue management. However, factors such as equipment cost, availability of standardized clinical protocols, and the need for evidence-based guidelines should be carefully addressed through continuing professional education.</w:t>
      </w:r>
    </w:p>
    <w:p w14:paraId="7056D347" w14:textId="77777777" w:rsidR="002A03D1" w:rsidRDefault="00A20A53">
      <w:pPr>
        <w:pStyle w:val="NormalWeb"/>
        <w:spacing w:line="360" w:lineRule="auto"/>
        <w:rPr>
          <w:rFonts w:ascii="Arial" w:eastAsia="Arial" w:hAnsi="Arial" w:cs="Arial"/>
          <w:sz w:val="22"/>
          <w:szCs w:val="22"/>
        </w:rPr>
      </w:pPr>
      <w:r>
        <w:rPr>
          <w:rFonts w:ascii="Arial" w:eastAsia="Arial" w:hAnsi="Arial" w:cs="Arial"/>
          <w:sz w:val="22"/>
          <w:szCs w:val="22"/>
        </w:rPr>
        <w:t>Future multicenter stu</w:t>
      </w:r>
      <w:r>
        <w:rPr>
          <w:rFonts w:ascii="Arial" w:eastAsia="Arial" w:hAnsi="Arial" w:cs="Arial"/>
          <w:sz w:val="22"/>
          <w:szCs w:val="22"/>
        </w:rPr>
        <w:t>dies involving larger and more diverse samples are recommended to improve the generalizability of the findings and to further investigate the long-term trends in PBM adoption among dental professionals.</w:t>
      </w:r>
    </w:p>
    <w:p w14:paraId="311B21FE" w14:textId="6F5CD032" w:rsidR="000F0E92" w:rsidRDefault="000F0E92" w:rsidP="000F0E92">
      <w:pPr>
        <w:rPr>
          <w:rFonts w:ascii="Arial" w:hAnsi="Arial" w:cs="Arial"/>
          <w:b/>
          <w:bCs/>
        </w:rPr>
      </w:pPr>
      <w:r>
        <w:rPr>
          <w:rFonts w:ascii="Arial" w:eastAsia="Arial" w:hAnsi="Arial" w:cs="Arial"/>
          <w:b/>
          <w:bCs/>
        </w:rPr>
        <w:t>5.Conclusion</w:t>
      </w:r>
    </w:p>
    <w:p w14:paraId="78F3DD72" w14:textId="77777777" w:rsidR="000F0E92" w:rsidRDefault="000F0E92" w:rsidP="000F0E92">
      <w:r>
        <w:rPr>
          <w:rFonts w:ascii="Arial" w:eastAsia="Arial" w:hAnsi="Arial"/>
        </w:rPr>
        <w:t>Awareness of PBM therapy among dental professionals is satisfactory; however, knowledge regarding scientific principles and technical parameters remains moderate. Targeted educational initiatives are necessary for evidence-based integration into routine practice.</w:t>
      </w:r>
    </w:p>
    <w:p w14:paraId="3FF4E5A8" w14:textId="77777777" w:rsidR="000F0E92" w:rsidRDefault="000F0E92">
      <w:pPr>
        <w:pStyle w:val="NormalWeb"/>
        <w:spacing w:line="360" w:lineRule="auto"/>
        <w:rPr>
          <w:rFonts w:ascii="Arial" w:hAnsi="Arial" w:cs="Arial"/>
          <w:sz w:val="22"/>
          <w:szCs w:val="22"/>
        </w:rPr>
      </w:pPr>
    </w:p>
    <w:p w14:paraId="4DF43EB5" w14:textId="6EF4DCE1" w:rsidR="002A03D1" w:rsidRDefault="00A20A53">
      <w:pPr>
        <w:rPr>
          <w:rFonts w:ascii="Arial" w:hAnsi="Arial" w:cs="Arial"/>
          <w:b/>
          <w:bCs/>
        </w:rPr>
      </w:pPr>
      <w:proofErr w:type="gramStart"/>
      <w:r>
        <w:rPr>
          <w:rFonts w:ascii="Arial" w:eastAsia="Arial" w:hAnsi="Arial" w:cs="Arial"/>
          <w:b/>
          <w:bCs/>
        </w:rPr>
        <w:t>.Limitations</w:t>
      </w:r>
      <w:proofErr w:type="gramEnd"/>
    </w:p>
    <w:p w14:paraId="2E167F98" w14:textId="77777777" w:rsidR="002A03D1" w:rsidRDefault="00A20A53">
      <w:r>
        <w:rPr>
          <w:rFonts w:ascii="Arial" w:eastAsia="Arial" w:hAnsi="Arial"/>
        </w:rPr>
        <w:t>Limitations incl</w:t>
      </w:r>
      <w:r>
        <w:rPr>
          <w:rFonts w:ascii="Arial" w:eastAsia="Arial" w:hAnsi="Arial"/>
        </w:rPr>
        <w:t>ude small sample size, non-random sampling, and self-reported responses, which may introduce response bias.</w:t>
      </w:r>
    </w:p>
    <w:p w14:paraId="1A947992" w14:textId="77777777" w:rsidR="002A03D1" w:rsidRDefault="00A20A53">
      <w:pPr>
        <w:rPr>
          <w:rFonts w:ascii="Arial" w:hAnsi="Arial" w:cs="Arial"/>
          <w:b/>
          <w:bCs/>
        </w:rPr>
      </w:pPr>
      <w:r>
        <w:rPr>
          <w:rFonts w:ascii="Arial" w:eastAsia="Arial" w:hAnsi="Arial" w:cs="Arial"/>
          <w:bCs/>
        </w:rPr>
        <w:t>References</w:t>
      </w:r>
    </w:p>
    <w:p w14:paraId="4D08A1CB" w14:textId="77777777" w:rsidR="002A03D1" w:rsidRDefault="00A20A53">
      <w:r>
        <w:rPr>
          <w:rFonts w:ascii="Arial" w:eastAsia="Arial" w:hAnsi="Arial"/>
          <w:b/>
        </w:rPr>
        <w:t xml:space="preserve">1. Hamblin MR. Mechanisms and applications of the anti-inflammatory effects of </w:t>
      </w:r>
      <w:proofErr w:type="spellStart"/>
      <w:r>
        <w:rPr>
          <w:rFonts w:ascii="Arial" w:eastAsia="Arial" w:hAnsi="Arial"/>
          <w:b/>
        </w:rPr>
        <w:t>photobiomodulation</w:t>
      </w:r>
      <w:proofErr w:type="spellEnd"/>
      <w:r>
        <w:rPr>
          <w:rFonts w:ascii="Arial" w:eastAsia="Arial" w:hAnsi="Arial"/>
          <w:b/>
        </w:rPr>
        <w:t xml:space="preserve">. AIMS </w:t>
      </w:r>
      <w:proofErr w:type="spellStart"/>
      <w:r>
        <w:rPr>
          <w:rFonts w:ascii="Arial" w:eastAsia="Arial" w:hAnsi="Arial"/>
          <w:b/>
        </w:rPr>
        <w:t>Biophys</w:t>
      </w:r>
      <w:proofErr w:type="spellEnd"/>
      <w:r>
        <w:rPr>
          <w:rFonts w:ascii="Arial" w:eastAsia="Arial" w:hAnsi="Arial"/>
          <w:b/>
        </w:rPr>
        <w:t>. 2017;4(3):337–361.</w:t>
      </w:r>
    </w:p>
    <w:p w14:paraId="5F33B4B9" w14:textId="77777777" w:rsidR="002A03D1" w:rsidRDefault="00A20A53">
      <w:r>
        <w:rPr>
          <w:rFonts w:ascii="Arial" w:eastAsia="Arial" w:hAnsi="Arial"/>
          <w:b/>
        </w:rPr>
        <w:t>2. Ka</w:t>
      </w:r>
      <w:r>
        <w:rPr>
          <w:rFonts w:ascii="Arial" w:eastAsia="Arial" w:hAnsi="Arial"/>
          <w:b/>
        </w:rPr>
        <w:t xml:space="preserve">ru TI. Mitochondrial signaling in mammalian cells activated by red and near-IR radiation. </w:t>
      </w:r>
      <w:proofErr w:type="spellStart"/>
      <w:r>
        <w:rPr>
          <w:rFonts w:ascii="Arial" w:eastAsia="Arial" w:hAnsi="Arial"/>
          <w:b/>
        </w:rPr>
        <w:t>Photochem</w:t>
      </w:r>
      <w:proofErr w:type="spellEnd"/>
      <w:r>
        <w:rPr>
          <w:rFonts w:ascii="Arial" w:eastAsia="Arial" w:hAnsi="Arial"/>
          <w:b/>
        </w:rPr>
        <w:t xml:space="preserve"> </w:t>
      </w:r>
      <w:proofErr w:type="spellStart"/>
      <w:r>
        <w:rPr>
          <w:rFonts w:ascii="Arial" w:eastAsia="Arial" w:hAnsi="Arial"/>
          <w:b/>
        </w:rPr>
        <w:t>Photobiol</w:t>
      </w:r>
      <w:proofErr w:type="spellEnd"/>
      <w:r>
        <w:rPr>
          <w:rFonts w:ascii="Arial" w:eastAsia="Arial" w:hAnsi="Arial"/>
          <w:b/>
        </w:rPr>
        <w:t>. 2008;84(5):1091–1099.</w:t>
      </w:r>
    </w:p>
    <w:p w14:paraId="5DA8FE16" w14:textId="77777777" w:rsidR="002A03D1" w:rsidRDefault="00A20A53">
      <w:r>
        <w:rPr>
          <w:rFonts w:ascii="Arial" w:eastAsia="Arial" w:hAnsi="Arial"/>
          <w:b/>
        </w:rPr>
        <w:t xml:space="preserve">3. Anders JJ, Lanzafame RJ, Arany PR. Low-level light/laser therapy versus </w:t>
      </w:r>
      <w:proofErr w:type="spellStart"/>
      <w:r>
        <w:rPr>
          <w:rFonts w:ascii="Arial" w:eastAsia="Arial" w:hAnsi="Arial"/>
          <w:b/>
        </w:rPr>
        <w:t>photobiomodulation</w:t>
      </w:r>
      <w:proofErr w:type="spellEnd"/>
      <w:r>
        <w:rPr>
          <w:rFonts w:ascii="Arial" w:eastAsia="Arial" w:hAnsi="Arial"/>
          <w:b/>
        </w:rPr>
        <w:t xml:space="preserve"> therapy. </w:t>
      </w:r>
      <w:proofErr w:type="spellStart"/>
      <w:r>
        <w:rPr>
          <w:rFonts w:ascii="Arial" w:eastAsia="Arial" w:hAnsi="Arial"/>
          <w:b/>
        </w:rPr>
        <w:t>Photomed</w:t>
      </w:r>
      <w:proofErr w:type="spellEnd"/>
      <w:r>
        <w:rPr>
          <w:rFonts w:ascii="Arial" w:eastAsia="Arial" w:hAnsi="Arial"/>
          <w:b/>
        </w:rPr>
        <w:t xml:space="preserve"> Laser Surg.</w:t>
      </w:r>
      <w:r>
        <w:rPr>
          <w:rFonts w:ascii="Arial" w:eastAsia="Arial" w:hAnsi="Arial"/>
          <w:b/>
        </w:rPr>
        <w:t xml:space="preserve"> 2015;33(4):183–184.</w:t>
      </w:r>
    </w:p>
    <w:p w14:paraId="37288CE0" w14:textId="77777777" w:rsidR="002A03D1" w:rsidRDefault="00A20A53">
      <w:r>
        <w:rPr>
          <w:rFonts w:ascii="Arial" w:eastAsia="Arial" w:hAnsi="Arial"/>
          <w:b/>
        </w:rPr>
        <w:t xml:space="preserve">4. </w:t>
      </w:r>
      <w:proofErr w:type="spellStart"/>
      <w:r>
        <w:rPr>
          <w:rFonts w:ascii="Arial" w:eastAsia="Arial" w:hAnsi="Arial"/>
          <w:b/>
        </w:rPr>
        <w:t>Ahrari</w:t>
      </w:r>
      <w:proofErr w:type="spellEnd"/>
      <w:r>
        <w:rPr>
          <w:rFonts w:ascii="Arial" w:eastAsia="Arial" w:hAnsi="Arial"/>
          <w:b/>
        </w:rPr>
        <w:t xml:space="preserve"> F, </w:t>
      </w:r>
      <w:proofErr w:type="spellStart"/>
      <w:r>
        <w:rPr>
          <w:rFonts w:ascii="Arial" w:eastAsia="Arial" w:hAnsi="Arial"/>
          <w:b/>
        </w:rPr>
        <w:t>Madani</w:t>
      </w:r>
      <w:proofErr w:type="spellEnd"/>
      <w:r>
        <w:rPr>
          <w:rFonts w:ascii="Arial" w:eastAsia="Arial" w:hAnsi="Arial"/>
          <w:b/>
        </w:rPr>
        <w:t xml:space="preserve"> AS, </w:t>
      </w:r>
      <w:proofErr w:type="spellStart"/>
      <w:r>
        <w:rPr>
          <w:rFonts w:ascii="Arial" w:eastAsia="Arial" w:hAnsi="Arial"/>
          <w:b/>
        </w:rPr>
        <w:t>Ghafouri</w:t>
      </w:r>
      <w:proofErr w:type="spellEnd"/>
      <w:r>
        <w:rPr>
          <w:rFonts w:ascii="Arial" w:eastAsia="Arial" w:hAnsi="Arial"/>
          <w:b/>
        </w:rPr>
        <w:t xml:space="preserve"> ZS, </w:t>
      </w:r>
      <w:proofErr w:type="spellStart"/>
      <w:r>
        <w:rPr>
          <w:rFonts w:ascii="Arial" w:eastAsia="Arial" w:hAnsi="Arial"/>
          <w:b/>
        </w:rPr>
        <w:t>Tunér</w:t>
      </w:r>
      <w:proofErr w:type="spellEnd"/>
      <w:r>
        <w:rPr>
          <w:rFonts w:ascii="Arial" w:eastAsia="Arial" w:hAnsi="Arial"/>
          <w:b/>
        </w:rPr>
        <w:t xml:space="preserve"> J. The efficacy of low-level laser therapy for postoperative pain reduction after periodontal surgery: A systematic review. Lasers Med Sci. 2015;30(3):1029–1037.</w:t>
      </w:r>
    </w:p>
    <w:p w14:paraId="29B14305" w14:textId="77777777" w:rsidR="002A03D1" w:rsidRDefault="00A20A53">
      <w:r>
        <w:rPr>
          <w:rFonts w:ascii="Arial" w:eastAsia="Arial" w:hAnsi="Arial"/>
          <w:b/>
        </w:rPr>
        <w:t>5. Cobb CM. Lasers in periodon</w:t>
      </w:r>
      <w:r>
        <w:rPr>
          <w:rFonts w:ascii="Arial" w:eastAsia="Arial" w:hAnsi="Arial"/>
          <w:b/>
        </w:rPr>
        <w:t xml:space="preserve">tics: A review of the literature. J </w:t>
      </w:r>
      <w:proofErr w:type="spellStart"/>
      <w:r>
        <w:rPr>
          <w:rFonts w:ascii="Arial" w:eastAsia="Arial" w:hAnsi="Arial"/>
          <w:b/>
        </w:rPr>
        <w:t>Periodontol</w:t>
      </w:r>
      <w:proofErr w:type="spellEnd"/>
      <w:r>
        <w:rPr>
          <w:rFonts w:ascii="Arial" w:eastAsia="Arial" w:hAnsi="Arial"/>
          <w:b/>
        </w:rPr>
        <w:t>. 2006;77(4):545–564.</w:t>
      </w:r>
    </w:p>
    <w:p w14:paraId="1064E1E6" w14:textId="77777777" w:rsidR="002A03D1" w:rsidRDefault="00A20A53">
      <w:r>
        <w:rPr>
          <w:rFonts w:ascii="Arial" w:eastAsia="Arial" w:hAnsi="Arial"/>
          <w:b/>
        </w:rPr>
        <w:t>6. He WL, Yu FY, Li CJ, et al. The effect of low-level laser therapy on wound healing and pain control in periodontal therapy: A meta-analysis. Lasers Med Sci. 2015;30(3):961–970.</w:t>
      </w:r>
    </w:p>
    <w:p w14:paraId="093AE82F" w14:textId="77777777" w:rsidR="002A03D1" w:rsidRDefault="00A20A53">
      <w:r>
        <w:rPr>
          <w:rFonts w:ascii="Arial" w:eastAsia="Arial" w:hAnsi="Arial"/>
          <w:b/>
        </w:rPr>
        <w:t xml:space="preserve">7. </w:t>
      </w:r>
      <w:proofErr w:type="spellStart"/>
      <w:r>
        <w:rPr>
          <w:rFonts w:ascii="Arial" w:eastAsia="Arial" w:hAnsi="Arial"/>
          <w:b/>
        </w:rPr>
        <w:t>Pour</w:t>
      </w:r>
      <w:r>
        <w:rPr>
          <w:rFonts w:ascii="Arial" w:eastAsia="Arial" w:hAnsi="Arial"/>
          <w:b/>
        </w:rPr>
        <w:t>abbas</w:t>
      </w:r>
      <w:proofErr w:type="spellEnd"/>
      <w:r>
        <w:rPr>
          <w:rFonts w:ascii="Arial" w:eastAsia="Arial" w:hAnsi="Arial"/>
          <w:b/>
        </w:rPr>
        <w:t xml:space="preserve"> R, </w:t>
      </w:r>
      <w:proofErr w:type="spellStart"/>
      <w:r>
        <w:rPr>
          <w:rFonts w:ascii="Arial" w:eastAsia="Arial" w:hAnsi="Arial"/>
          <w:b/>
        </w:rPr>
        <w:t>Kashefimehr</w:t>
      </w:r>
      <w:proofErr w:type="spellEnd"/>
      <w:r>
        <w:rPr>
          <w:rFonts w:ascii="Arial" w:eastAsia="Arial" w:hAnsi="Arial"/>
          <w:b/>
        </w:rPr>
        <w:t xml:space="preserve"> A, </w:t>
      </w:r>
      <w:proofErr w:type="spellStart"/>
      <w:r>
        <w:rPr>
          <w:rFonts w:ascii="Arial" w:eastAsia="Arial" w:hAnsi="Arial"/>
          <w:b/>
        </w:rPr>
        <w:t>Rahmanpour</w:t>
      </w:r>
      <w:proofErr w:type="spellEnd"/>
      <w:r>
        <w:rPr>
          <w:rFonts w:ascii="Arial" w:eastAsia="Arial" w:hAnsi="Arial"/>
          <w:b/>
        </w:rPr>
        <w:t xml:space="preserve"> N, et al. Effects of </w:t>
      </w:r>
      <w:proofErr w:type="spellStart"/>
      <w:r>
        <w:rPr>
          <w:rFonts w:ascii="Arial" w:eastAsia="Arial" w:hAnsi="Arial"/>
          <w:b/>
        </w:rPr>
        <w:t>photobiomodulation</w:t>
      </w:r>
      <w:proofErr w:type="spellEnd"/>
      <w:r>
        <w:rPr>
          <w:rFonts w:ascii="Arial" w:eastAsia="Arial" w:hAnsi="Arial"/>
          <w:b/>
        </w:rPr>
        <w:t xml:space="preserve"> on healing after periodontal flap surgery: A randomized clinical trial. J </w:t>
      </w:r>
      <w:proofErr w:type="spellStart"/>
      <w:r>
        <w:rPr>
          <w:rFonts w:ascii="Arial" w:eastAsia="Arial" w:hAnsi="Arial"/>
          <w:b/>
        </w:rPr>
        <w:t>Periodontol</w:t>
      </w:r>
      <w:proofErr w:type="spellEnd"/>
      <w:r>
        <w:rPr>
          <w:rFonts w:ascii="Arial" w:eastAsia="Arial" w:hAnsi="Arial"/>
          <w:b/>
        </w:rPr>
        <w:t>. 2014;85(10):1362–1368.</w:t>
      </w:r>
    </w:p>
    <w:p w14:paraId="33EA0C52" w14:textId="77777777" w:rsidR="002A03D1" w:rsidRDefault="00A20A53">
      <w:r>
        <w:rPr>
          <w:rFonts w:ascii="Arial" w:eastAsia="Arial" w:hAnsi="Arial"/>
          <w:b/>
        </w:rPr>
        <w:t>8. Ren C, McGrath C, Jin L, et al. Effectiveness of low-level laser the</w:t>
      </w:r>
      <w:r>
        <w:rPr>
          <w:rFonts w:ascii="Arial" w:eastAsia="Arial" w:hAnsi="Arial"/>
          <w:b/>
        </w:rPr>
        <w:t>rapy as adjunct to non-surgical periodontal treatment: A systematic review. Lasers Med Sci. 2017;32(4):887–895.</w:t>
      </w:r>
    </w:p>
    <w:p w14:paraId="34E776F0" w14:textId="77777777" w:rsidR="002A03D1" w:rsidRDefault="00A20A53">
      <w:r>
        <w:rPr>
          <w:rFonts w:ascii="Arial" w:eastAsia="Arial" w:hAnsi="Arial"/>
          <w:b/>
        </w:rPr>
        <w:br/>
        <w:t>9. Walsh LJ. The current status of laser applications in dentistry. Aust Dent J. 2003;48(3):146‑155.</w:t>
      </w:r>
      <w:r>
        <w:rPr>
          <w:rFonts w:ascii="Arial" w:eastAsia="Arial" w:hAnsi="Arial"/>
          <w:b/>
        </w:rPr>
        <w:br/>
        <w:t>10. Huang YY, Chen AC, Carroll JD, Hamblin</w:t>
      </w:r>
      <w:r>
        <w:rPr>
          <w:rFonts w:ascii="Arial" w:eastAsia="Arial" w:hAnsi="Arial"/>
          <w:b/>
        </w:rPr>
        <w:t xml:space="preserve"> MR. Biphasic dose response in low level light therapy. Dose Response. 2009;7(4):358‑383.</w:t>
      </w:r>
      <w:r>
        <w:rPr>
          <w:rFonts w:ascii="Arial" w:eastAsia="Arial" w:hAnsi="Arial"/>
          <w:b/>
        </w:rPr>
        <w:br/>
        <w:t xml:space="preserve">11. Mester E, Szende B, Tota JG. Effect of laser on hair growth of mice. </w:t>
      </w:r>
      <w:proofErr w:type="spellStart"/>
      <w:r>
        <w:rPr>
          <w:rFonts w:ascii="Arial" w:eastAsia="Arial" w:hAnsi="Arial"/>
          <w:b/>
        </w:rPr>
        <w:t>Radiobiol</w:t>
      </w:r>
      <w:proofErr w:type="spellEnd"/>
      <w:r>
        <w:rPr>
          <w:rFonts w:ascii="Arial" w:eastAsia="Arial" w:hAnsi="Arial"/>
          <w:b/>
        </w:rPr>
        <w:t xml:space="preserve"> </w:t>
      </w:r>
      <w:proofErr w:type="spellStart"/>
      <w:r>
        <w:rPr>
          <w:rFonts w:ascii="Arial" w:eastAsia="Arial" w:hAnsi="Arial"/>
          <w:b/>
        </w:rPr>
        <w:t>Radiother</w:t>
      </w:r>
      <w:proofErr w:type="spellEnd"/>
      <w:r>
        <w:rPr>
          <w:rFonts w:ascii="Arial" w:eastAsia="Arial" w:hAnsi="Arial"/>
          <w:b/>
        </w:rPr>
        <w:t xml:space="preserve">. </w:t>
      </w:r>
      <w:proofErr w:type="gramStart"/>
      <w:r>
        <w:rPr>
          <w:rFonts w:ascii="Arial" w:eastAsia="Arial" w:hAnsi="Arial"/>
          <w:b/>
        </w:rPr>
        <w:t>1967;9:621</w:t>
      </w:r>
      <w:proofErr w:type="gramEnd"/>
      <w:r>
        <w:rPr>
          <w:rFonts w:ascii="Arial" w:eastAsia="Arial" w:hAnsi="Arial"/>
          <w:b/>
        </w:rPr>
        <w:t>‑626.</w:t>
      </w:r>
      <w:r>
        <w:rPr>
          <w:rFonts w:ascii="Arial" w:eastAsia="Arial" w:hAnsi="Arial"/>
          <w:b/>
        </w:rPr>
        <w:br/>
        <w:t xml:space="preserve">12. Hamblin MR. </w:t>
      </w:r>
      <w:proofErr w:type="spellStart"/>
      <w:r>
        <w:rPr>
          <w:rFonts w:ascii="Arial" w:eastAsia="Arial" w:hAnsi="Arial"/>
          <w:b/>
        </w:rPr>
        <w:t>Photobiomodulation</w:t>
      </w:r>
      <w:proofErr w:type="spellEnd"/>
      <w:r>
        <w:rPr>
          <w:rFonts w:ascii="Arial" w:eastAsia="Arial" w:hAnsi="Arial"/>
          <w:b/>
        </w:rPr>
        <w:t xml:space="preserve"> for pain relief. J </w:t>
      </w:r>
      <w:proofErr w:type="spellStart"/>
      <w:r>
        <w:rPr>
          <w:rFonts w:ascii="Arial" w:eastAsia="Arial" w:hAnsi="Arial"/>
          <w:b/>
        </w:rPr>
        <w:t>Bi</w:t>
      </w:r>
      <w:r>
        <w:rPr>
          <w:rFonts w:ascii="Arial" w:eastAsia="Arial" w:hAnsi="Arial"/>
          <w:b/>
        </w:rPr>
        <w:t>ophotonics</w:t>
      </w:r>
      <w:proofErr w:type="spellEnd"/>
      <w:r>
        <w:rPr>
          <w:rFonts w:ascii="Arial" w:eastAsia="Arial" w:hAnsi="Arial"/>
          <w:b/>
        </w:rPr>
        <w:t>. 2017;10(5):1‑15.</w:t>
      </w:r>
      <w:r>
        <w:rPr>
          <w:rFonts w:ascii="Arial" w:eastAsia="Arial" w:hAnsi="Arial"/>
          <w:b/>
        </w:rPr>
        <w:br/>
        <w:t xml:space="preserve">13. Arany PR. Craniofacial wound healing with </w:t>
      </w:r>
      <w:proofErr w:type="spellStart"/>
      <w:r>
        <w:rPr>
          <w:rFonts w:ascii="Arial" w:eastAsia="Arial" w:hAnsi="Arial"/>
          <w:b/>
        </w:rPr>
        <w:t>photobiomodulation</w:t>
      </w:r>
      <w:proofErr w:type="spellEnd"/>
      <w:r>
        <w:rPr>
          <w:rFonts w:ascii="Arial" w:eastAsia="Arial" w:hAnsi="Arial"/>
          <w:b/>
        </w:rPr>
        <w:t xml:space="preserve"> therapy. J </w:t>
      </w:r>
      <w:r>
        <w:rPr>
          <w:rFonts w:ascii="Arial" w:eastAsia="Arial" w:hAnsi="Arial"/>
          <w:b/>
        </w:rPr>
        <w:lastRenderedPageBreak/>
        <w:t>Dent Res. 2016;95(9):977‑984.</w:t>
      </w:r>
      <w:r>
        <w:rPr>
          <w:rFonts w:ascii="Arial" w:eastAsia="Arial" w:hAnsi="Arial"/>
          <w:b/>
        </w:rPr>
        <w:br/>
        <w:t>14. Parker S. Laser regulation and safety in general dental practice. Br Dent J. 2007;202(9):523‑532.</w:t>
      </w:r>
      <w:r>
        <w:rPr>
          <w:rFonts w:ascii="Arial" w:eastAsia="Arial" w:hAnsi="Arial"/>
          <w:b/>
        </w:rPr>
        <w:br/>
        <w:t>15. Romeo U, Del Ve</w:t>
      </w:r>
      <w:r>
        <w:rPr>
          <w:rFonts w:ascii="Arial" w:eastAsia="Arial" w:hAnsi="Arial"/>
          <w:b/>
        </w:rPr>
        <w:t>cchio A, Palaia G. Effects of low‑level laser therapy on oral mucositis. J Oral Laser Appl. 2011;11(3):125‑130.</w:t>
      </w:r>
      <w:r>
        <w:rPr>
          <w:rFonts w:ascii="Arial" w:eastAsia="Arial" w:hAnsi="Arial"/>
          <w:b/>
        </w:rPr>
        <w:br/>
        <w:t xml:space="preserve">16. Peplow PV, Chung TY, Baxter GD. Laser </w:t>
      </w:r>
      <w:proofErr w:type="spellStart"/>
      <w:r>
        <w:rPr>
          <w:rFonts w:ascii="Arial" w:eastAsia="Arial" w:hAnsi="Arial"/>
          <w:b/>
        </w:rPr>
        <w:t>photobiomodulation</w:t>
      </w:r>
      <w:proofErr w:type="spellEnd"/>
      <w:r>
        <w:rPr>
          <w:rFonts w:ascii="Arial" w:eastAsia="Arial" w:hAnsi="Arial"/>
          <w:b/>
        </w:rPr>
        <w:t xml:space="preserve"> of wound healing. </w:t>
      </w:r>
      <w:proofErr w:type="spellStart"/>
      <w:r>
        <w:rPr>
          <w:rFonts w:ascii="Arial" w:eastAsia="Arial" w:hAnsi="Arial"/>
          <w:b/>
        </w:rPr>
        <w:t>Photomed</w:t>
      </w:r>
      <w:proofErr w:type="spellEnd"/>
      <w:r>
        <w:rPr>
          <w:rFonts w:ascii="Arial" w:eastAsia="Arial" w:hAnsi="Arial"/>
          <w:b/>
        </w:rPr>
        <w:t xml:space="preserve"> Laser Surg. 2010;28(3):291‑300.</w:t>
      </w:r>
      <w:r>
        <w:rPr>
          <w:rFonts w:ascii="Arial" w:eastAsia="Arial" w:hAnsi="Arial"/>
          <w:b/>
        </w:rPr>
        <w:br/>
        <w:t xml:space="preserve">17. </w:t>
      </w:r>
      <w:proofErr w:type="spellStart"/>
      <w:r>
        <w:rPr>
          <w:rFonts w:ascii="Arial" w:eastAsia="Arial" w:hAnsi="Arial"/>
          <w:b/>
        </w:rPr>
        <w:t>AlGhamdi</w:t>
      </w:r>
      <w:proofErr w:type="spellEnd"/>
      <w:r>
        <w:rPr>
          <w:rFonts w:ascii="Arial" w:eastAsia="Arial" w:hAnsi="Arial"/>
          <w:b/>
        </w:rPr>
        <w:t xml:space="preserve"> KM, Kumar A</w:t>
      </w:r>
      <w:r>
        <w:rPr>
          <w:rFonts w:ascii="Arial" w:eastAsia="Arial" w:hAnsi="Arial"/>
          <w:b/>
        </w:rPr>
        <w:t>, Moussa NA. Low‑level laser therapy for tissue repair. Lasers Med Sci. 2012;27(1):237‑249.</w:t>
      </w:r>
      <w:r>
        <w:rPr>
          <w:rFonts w:ascii="Arial" w:eastAsia="Arial" w:hAnsi="Arial"/>
          <w:b/>
        </w:rPr>
        <w:br/>
        <w:t xml:space="preserve">18. de Freitas LF, Hamblin MR. Proposed mechanisms of </w:t>
      </w:r>
      <w:proofErr w:type="spellStart"/>
      <w:r>
        <w:rPr>
          <w:rFonts w:ascii="Arial" w:eastAsia="Arial" w:hAnsi="Arial"/>
          <w:b/>
        </w:rPr>
        <w:t>photobiomodulation</w:t>
      </w:r>
      <w:proofErr w:type="spellEnd"/>
      <w:r>
        <w:rPr>
          <w:rFonts w:ascii="Arial" w:eastAsia="Arial" w:hAnsi="Arial"/>
          <w:b/>
        </w:rPr>
        <w:t xml:space="preserve"> therapy. IEEE J Sel Top Quantum Electron. 2016;22(3).</w:t>
      </w:r>
      <w:r>
        <w:rPr>
          <w:rFonts w:ascii="Arial" w:eastAsia="Arial" w:hAnsi="Arial"/>
          <w:b/>
        </w:rPr>
        <w:br/>
        <w:t xml:space="preserve">19. </w:t>
      </w:r>
      <w:proofErr w:type="spellStart"/>
      <w:r>
        <w:rPr>
          <w:rFonts w:ascii="Arial" w:eastAsia="Arial" w:hAnsi="Arial"/>
          <w:b/>
        </w:rPr>
        <w:t>Bjordal</w:t>
      </w:r>
      <w:proofErr w:type="spellEnd"/>
      <w:r>
        <w:rPr>
          <w:rFonts w:ascii="Arial" w:eastAsia="Arial" w:hAnsi="Arial"/>
          <w:b/>
        </w:rPr>
        <w:t xml:space="preserve"> JM, </w:t>
      </w:r>
      <w:proofErr w:type="spellStart"/>
      <w:r>
        <w:rPr>
          <w:rFonts w:ascii="Arial" w:eastAsia="Arial" w:hAnsi="Arial"/>
          <w:b/>
        </w:rPr>
        <w:t>Couppé</w:t>
      </w:r>
      <w:proofErr w:type="spellEnd"/>
      <w:r>
        <w:rPr>
          <w:rFonts w:ascii="Arial" w:eastAsia="Arial" w:hAnsi="Arial"/>
          <w:b/>
        </w:rPr>
        <w:t xml:space="preserve"> C, Chow RT. Lo</w:t>
      </w:r>
      <w:r>
        <w:rPr>
          <w:rFonts w:ascii="Arial" w:eastAsia="Arial" w:hAnsi="Arial"/>
          <w:b/>
        </w:rPr>
        <w:t xml:space="preserve">w level laser therapy for pain relief: systematic review. Lancet. </w:t>
      </w:r>
      <w:proofErr w:type="gramStart"/>
      <w:r>
        <w:rPr>
          <w:rFonts w:ascii="Arial" w:eastAsia="Arial" w:hAnsi="Arial"/>
          <w:b/>
        </w:rPr>
        <w:t>2003;362:1590</w:t>
      </w:r>
      <w:proofErr w:type="gramEnd"/>
      <w:r>
        <w:rPr>
          <w:rFonts w:ascii="Arial" w:eastAsia="Arial" w:hAnsi="Arial"/>
          <w:b/>
        </w:rPr>
        <w:t>‑1596.</w:t>
      </w:r>
      <w:r>
        <w:rPr>
          <w:rFonts w:ascii="Arial" w:eastAsia="Arial" w:hAnsi="Arial"/>
          <w:b/>
        </w:rPr>
        <w:br/>
        <w:t xml:space="preserve">20. </w:t>
      </w:r>
      <w:proofErr w:type="spellStart"/>
      <w:r>
        <w:rPr>
          <w:rFonts w:ascii="Arial" w:eastAsia="Arial" w:hAnsi="Arial"/>
          <w:b/>
        </w:rPr>
        <w:t>Tunér</w:t>
      </w:r>
      <w:proofErr w:type="spellEnd"/>
      <w:r>
        <w:rPr>
          <w:rFonts w:ascii="Arial" w:eastAsia="Arial" w:hAnsi="Arial"/>
          <w:b/>
        </w:rPr>
        <w:t xml:space="preserve"> J, </w:t>
      </w:r>
      <w:proofErr w:type="spellStart"/>
      <w:r>
        <w:rPr>
          <w:rFonts w:ascii="Arial" w:eastAsia="Arial" w:hAnsi="Arial"/>
          <w:b/>
        </w:rPr>
        <w:t>Hode</w:t>
      </w:r>
      <w:proofErr w:type="spellEnd"/>
      <w:r>
        <w:rPr>
          <w:rFonts w:ascii="Arial" w:eastAsia="Arial" w:hAnsi="Arial"/>
          <w:b/>
        </w:rPr>
        <w:t xml:space="preserve"> L. Laser Therapy: Clinical Practice and Scientific Background. Stockholm: Prima Books; 2010.</w:t>
      </w:r>
      <w:r>
        <w:rPr>
          <w:rFonts w:ascii="Arial" w:eastAsia="Arial" w:hAnsi="Arial"/>
          <w:b/>
        </w:rPr>
        <w:br/>
      </w:r>
    </w:p>
    <w:sectPr w:rsidR="002A03D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A9FC0" w14:textId="77777777" w:rsidR="00A20A53" w:rsidRDefault="00A20A53">
      <w:pPr>
        <w:spacing w:line="240" w:lineRule="auto"/>
      </w:pPr>
      <w:r>
        <w:separator/>
      </w:r>
    </w:p>
  </w:endnote>
  <w:endnote w:type="continuationSeparator" w:id="0">
    <w:p w14:paraId="0DE53B08" w14:textId="77777777" w:rsidR="00A20A53" w:rsidRDefault="00A20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50D0" w14:textId="77777777" w:rsidR="00593A34" w:rsidRDefault="00593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0017" w14:textId="77777777" w:rsidR="00593A34" w:rsidRDefault="00593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30F5" w14:textId="77777777" w:rsidR="00593A34" w:rsidRDefault="0059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AA61F" w14:textId="77777777" w:rsidR="00A20A53" w:rsidRDefault="00A20A53">
      <w:pPr>
        <w:spacing w:after="0"/>
      </w:pPr>
      <w:r>
        <w:separator/>
      </w:r>
    </w:p>
  </w:footnote>
  <w:footnote w:type="continuationSeparator" w:id="0">
    <w:p w14:paraId="00658E71" w14:textId="77777777" w:rsidR="00A20A53" w:rsidRDefault="00A20A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CC348" w14:textId="4E536AF4" w:rsidR="00593A34" w:rsidRDefault="00593A34">
    <w:pPr>
      <w:pStyle w:val="Header"/>
    </w:pPr>
    <w:r>
      <w:rPr>
        <w:noProof/>
      </w:rPr>
      <w:pict w14:anchorId="59DEA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744892"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734F4" w14:textId="3885F14F" w:rsidR="00593A34" w:rsidRDefault="00593A34">
    <w:pPr>
      <w:pStyle w:val="Header"/>
    </w:pPr>
    <w:r>
      <w:rPr>
        <w:noProof/>
      </w:rPr>
      <w:pict w14:anchorId="3BDD6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744893"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6FA4" w14:textId="29358E57" w:rsidR="00593A34" w:rsidRDefault="00593A34">
    <w:pPr>
      <w:pStyle w:val="Header"/>
    </w:pPr>
    <w:r>
      <w:rPr>
        <w:noProof/>
      </w:rPr>
      <w:pict w14:anchorId="0291A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744891"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D55601"/>
    <w:multiLevelType w:val="singleLevel"/>
    <w:tmpl w:val="C5D55601"/>
    <w:lvl w:ilvl="0">
      <w:start w:val="4"/>
      <w:numFmt w:val="decimal"/>
      <w:suff w:val="space"/>
      <w:lvlText w:val="%1."/>
      <w:lvlJc w:val="left"/>
    </w:lvl>
  </w:abstractNum>
  <w:abstractNum w:abstractNumId="1"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2"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3"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0E92"/>
    <w:rsid w:val="0015074B"/>
    <w:rsid w:val="0029639D"/>
    <w:rsid w:val="002A03D1"/>
    <w:rsid w:val="002C63FE"/>
    <w:rsid w:val="00326F90"/>
    <w:rsid w:val="00593A34"/>
    <w:rsid w:val="005F32A1"/>
    <w:rsid w:val="00A20A53"/>
    <w:rsid w:val="00AA1D8D"/>
    <w:rsid w:val="00AB3ADC"/>
    <w:rsid w:val="00B47730"/>
    <w:rsid w:val="00CB0664"/>
    <w:rsid w:val="00F012CE"/>
    <w:rsid w:val="00FC693F"/>
    <w:rsid w:val="1CC71EAE"/>
    <w:rsid w:val="21EA71E1"/>
    <w:rsid w:val="2BC41B49"/>
    <w:rsid w:val="410F2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8BF5B9F"/>
  <w14:defaultImageDpi w14:val="300"/>
  <w15:docId w15:val="{2AA97DCC-700A-42C6-935F-814DF61F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qFormat="1"/>
    <w:lsdException w:name="List Bullet" w:unhideWhenUsed="1"/>
    <w:lsdException w:name="List Number" w:unhideWhenUsed="1"/>
    <w:lsdException w:name="List 2" w:unhideWhenUsed="1" w:qFormat="1"/>
    <w:lsdException w:name="List 3" w:unhideWhenUsed="1" w:qFormat="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pPr>
      <w:numPr>
        <w:numId w:val="4"/>
      </w:numPr>
      <w:contextualSpacing/>
    </w:pPr>
  </w:style>
  <w:style w:type="paragraph" w:styleId="ListNumber2">
    <w:name w:val="List Number 2"/>
    <w:basedOn w:val="Normal"/>
    <w:uiPriority w:val="99"/>
    <w:unhideWhenUsed/>
    <w:pPr>
      <w:numPr>
        <w:numId w:val="5"/>
      </w:numPr>
      <w:contextualSpacing/>
    </w:pPr>
  </w:style>
  <w:style w:type="paragraph" w:styleId="ListNumber3">
    <w:name w:val="List Number 3"/>
    <w:basedOn w:val="Normal"/>
    <w:uiPriority w:val="99"/>
    <w:unhideWhenUsed/>
    <w:pPr>
      <w:numPr>
        <w:numId w:val="6"/>
      </w:numPr>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NoSpacing">
    <w:name w:val="No Spacing"/>
    <w:uiPriority w:val="1"/>
    <w:qFormat/>
    <w:rPr>
      <w:rFonts w:asciiTheme="minorHAnsi" w:eastAsiaTheme="minorEastAsia" w:hAnsiTheme="minorHAnsi" w:cstheme="minorBidi"/>
      <w:sz w:val="22"/>
      <w:szCs w:val="22"/>
      <w:lang w:val="en-US"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1D45-6607-44AF-AA33-FD868835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2835</Words>
  <Characters>16162</Characters>
  <Application>Microsoft Office Word</Application>
  <DocSecurity>0</DocSecurity>
  <Lines>134</Lines>
  <Paragraphs>37</Paragraphs>
  <ScaleCrop>false</ScaleCrop>
  <Company/>
  <LinksUpToDate>false</LinksUpToDate>
  <CharactersWithSpaces>18960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4</cp:revision>
  <dcterms:created xsi:type="dcterms:W3CDTF">2013-12-23T23:15:00Z</dcterms:created>
  <dcterms:modified xsi:type="dcterms:W3CDTF">2026-03-11T10:49:00Z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71BF6031E7ED44FAB5F9F2973F914ADA_13</vt:lpwstr>
  </property>
</Properties>
</file>