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B4413E" w14:textId="77777777" w:rsidR="003C311D" w:rsidRDefault="00A00E22">
      <w:pPr>
        <w:ind w:left="360" w:hanging="180"/>
        <w:rPr>
          <w:b/>
          <w:bCs/>
          <w:color w:val="1F1F1F"/>
          <w:sz w:val="30"/>
          <w:szCs w:val="30"/>
          <w:highlight w:val="white"/>
        </w:rPr>
      </w:pPr>
      <w:r>
        <w:rPr>
          <w:b/>
          <w:bCs/>
          <w:color w:val="1F1F1F"/>
          <w:sz w:val="30"/>
          <w:szCs w:val="30"/>
          <w:highlight w:val="white"/>
        </w:rPr>
        <w:t xml:space="preserve">Assessment of awareness for orthodontic treatment regard for fixed orthodontic mechanotherapy and aligners therapy in young adults in Tamil Nadu  </w:t>
      </w:r>
    </w:p>
    <w:p w14:paraId="03D0F3D0" w14:textId="77777777" w:rsidR="00F82517" w:rsidRPr="00F82517" w:rsidRDefault="00F82517" w:rsidP="00F82517">
      <w:pPr>
        <w:ind w:left="360" w:hanging="180"/>
        <w:rPr>
          <w:b/>
          <w:bCs/>
          <w:color w:val="1F1F1F"/>
          <w:sz w:val="30"/>
          <w:szCs w:val="30"/>
          <w:highlight w:val="white"/>
          <w:lang w:val="en-GB"/>
        </w:rPr>
      </w:pPr>
    </w:p>
    <w:p w14:paraId="02262272" w14:textId="77777777" w:rsidR="00F82517" w:rsidRPr="00F82517" w:rsidRDefault="00F82517" w:rsidP="00F82517">
      <w:pPr>
        <w:ind w:left="360" w:hanging="180"/>
        <w:rPr>
          <w:b/>
          <w:bCs/>
          <w:color w:val="1F1F1F"/>
          <w:sz w:val="30"/>
          <w:szCs w:val="30"/>
          <w:highlight w:val="white"/>
          <w:lang w:val="en-GB"/>
        </w:rPr>
      </w:pPr>
    </w:p>
    <w:p w14:paraId="3A37D465" w14:textId="668DAD32" w:rsidR="003C311D" w:rsidRDefault="003C311D">
      <w:pPr>
        <w:rPr>
          <w:b/>
          <w:bCs/>
          <w:color w:val="1F1F1F"/>
          <w:sz w:val="30"/>
          <w:szCs w:val="30"/>
          <w:highlight w:val="white"/>
          <w:lang w:val="en-GB"/>
        </w:rPr>
      </w:pPr>
    </w:p>
    <w:p w14:paraId="643A3A84" w14:textId="77777777" w:rsidR="00482764" w:rsidRDefault="00482764">
      <w:pPr>
        <w:rPr>
          <w:b/>
          <w:bCs/>
          <w:color w:val="1F1F1F"/>
          <w:sz w:val="32"/>
          <w:szCs w:val="32"/>
          <w:highlight w:val="white"/>
        </w:rPr>
      </w:pPr>
      <w:bookmarkStart w:id="0" w:name="_GoBack"/>
      <w:bookmarkEnd w:id="0"/>
    </w:p>
    <w:p w14:paraId="0ADBFD9D" w14:textId="77777777" w:rsidR="003C311D" w:rsidRDefault="00A00E22">
      <w:pPr>
        <w:rPr>
          <w:b/>
          <w:bCs/>
          <w:color w:val="333333"/>
          <w:sz w:val="24"/>
          <w:szCs w:val="24"/>
          <w:highlight w:val="white"/>
        </w:rPr>
      </w:pPr>
      <w:r>
        <w:rPr>
          <w:b/>
          <w:bCs/>
          <w:color w:val="333333"/>
          <w:sz w:val="32"/>
          <w:szCs w:val="32"/>
          <w:highlight w:val="white"/>
        </w:rPr>
        <w:t xml:space="preserve">  ABSTRACT:</w:t>
      </w:r>
    </w:p>
    <w:p w14:paraId="349D181F" w14:textId="77777777" w:rsidR="003C311D" w:rsidRDefault="003C311D">
      <w:pPr>
        <w:rPr>
          <w:b/>
          <w:bCs/>
          <w:color w:val="333333"/>
          <w:sz w:val="24"/>
          <w:szCs w:val="24"/>
          <w:highlight w:val="white"/>
        </w:rPr>
      </w:pPr>
    </w:p>
    <w:p w14:paraId="09B33DEC" w14:textId="77777777" w:rsidR="003C311D" w:rsidRDefault="00A00E22">
      <w:pPr>
        <w:rPr>
          <w:b/>
          <w:bCs/>
          <w:color w:val="333333"/>
          <w:sz w:val="24"/>
          <w:szCs w:val="24"/>
          <w:highlight w:val="white"/>
        </w:rPr>
      </w:pPr>
      <w:r>
        <w:rPr>
          <w:b/>
          <w:bCs/>
          <w:color w:val="333333"/>
          <w:sz w:val="24"/>
          <w:szCs w:val="24"/>
          <w:highlight w:val="white"/>
        </w:rPr>
        <w:t>Background:</w:t>
      </w:r>
    </w:p>
    <w:p w14:paraId="3C5B4659" w14:textId="77777777" w:rsidR="003C311D" w:rsidRDefault="00A00E22">
      <w:pPr>
        <w:rPr>
          <w:color w:val="333333"/>
          <w:sz w:val="24"/>
          <w:szCs w:val="24"/>
          <w:highlight w:val="white"/>
        </w:rPr>
      </w:pPr>
      <w:r>
        <w:rPr>
          <w:color w:val="333333"/>
          <w:sz w:val="24"/>
          <w:szCs w:val="24"/>
          <w:highlight w:val="white"/>
        </w:rPr>
        <w:t xml:space="preserve">Malocclusion and misaligned teeth can negatively affect oral health, </w:t>
      </w:r>
      <w:r>
        <w:rPr>
          <w:color w:val="333333"/>
          <w:sz w:val="24"/>
          <w:szCs w:val="24"/>
          <w:highlight w:val="white"/>
        </w:rPr>
        <w:t>facial aesthetics, and quality of life. Advances in orthodontics have introduced various treatment options, including conventional fixed orthodontic appliances and clear aligner systems. Awareness of these treatment modalities among young adults is essenti</w:t>
      </w:r>
      <w:r>
        <w:rPr>
          <w:color w:val="333333"/>
          <w:sz w:val="24"/>
          <w:szCs w:val="24"/>
          <w:highlight w:val="white"/>
        </w:rPr>
        <w:t>al, as it influences treatment preferences and utilization of orthodontic care.</w:t>
      </w:r>
    </w:p>
    <w:p w14:paraId="14A6A657" w14:textId="77777777" w:rsidR="003C311D" w:rsidRDefault="00A00E22">
      <w:pPr>
        <w:spacing w:before="240" w:after="240"/>
        <w:rPr>
          <w:b/>
          <w:bCs/>
          <w:color w:val="333333"/>
          <w:sz w:val="24"/>
          <w:szCs w:val="24"/>
          <w:highlight w:val="white"/>
        </w:rPr>
      </w:pPr>
      <w:r>
        <w:rPr>
          <w:b/>
          <w:bCs/>
          <w:color w:val="333333"/>
          <w:sz w:val="24"/>
          <w:szCs w:val="24"/>
          <w:highlight w:val="white"/>
        </w:rPr>
        <w:t>Aim:</w:t>
      </w:r>
    </w:p>
    <w:p w14:paraId="5848218F" w14:textId="77777777" w:rsidR="003C311D" w:rsidRDefault="00A00E22">
      <w:pPr>
        <w:spacing w:before="240" w:after="240"/>
        <w:rPr>
          <w:color w:val="333333"/>
          <w:sz w:val="24"/>
          <w:szCs w:val="24"/>
          <w:highlight w:val="white"/>
        </w:rPr>
      </w:pPr>
      <w:r>
        <w:rPr>
          <w:color w:val="333333"/>
          <w:sz w:val="24"/>
          <w:szCs w:val="24"/>
          <w:highlight w:val="white"/>
        </w:rPr>
        <w:t>The present study aimed to evaluate the level of awareness and knowledge regarding fixed orthodontic mechanotherapy and clear aligner therapy among young adults in Tamil N</w:t>
      </w:r>
      <w:r>
        <w:rPr>
          <w:color w:val="333333"/>
          <w:sz w:val="24"/>
          <w:szCs w:val="24"/>
          <w:highlight w:val="white"/>
        </w:rPr>
        <w:t>adu.</w:t>
      </w:r>
    </w:p>
    <w:p w14:paraId="623C4F80" w14:textId="77777777" w:rsidR="003C311D" w:rsidRDefault="00A00E22">
      <w:pPr>
        <w:spacing w:before="240" w:after="240"/>
        <w:rPr>
          <w:b/>
          <w:bCs/>
          <w:color w:val="333333"/>
          <w:sz w:val="24"/>
          <w:szCs w:val="24"/>
          <w:highlight w:val="white"/>
        </w:rPr>
      </w:pPr>
      <w:r>
        <w:rPr>
          <w:b/>
          <w:bCs/>
          <w:color w:val="333333"/>
          <w:sz w:val="24"/>
          <w:szCs w:val="24"/>
          <w:highlight w:val="white"/>
        </w:rPr>
        <w:t>Materials and Methods:</w:t>
      </w:r>
    </w:p>
    <w:p w14:paraId="3EC2D890" w14:textId="77777777" w:rsidR="003C311D" w:rsidRDefault="00A00E22">
      <w:pPr>
        <w:spacing w:before="240" w:after="240"/>
        <w:rPr>
          <w:color w:val="333333"/>
          <w:sz w:val="24"/>
          <w:szCs w:val="24"/>
          <w:highlight w:val="white"/>
        </w:rPr>
      </w:pPr>
      <w:r>
        <w:rPr>
          <w:color w:val="333333"/>
          <w:sz w:val="24"/>
          <w:szCs w:val="24"/>
          <w:highlight w:val="white"/>
        </w:rPr>
        <w:t>A cross-sectional survey was conducted among young adults using a structured questionnaire designed to assess awareness, perception, and knowledge of orthodontic treatment options. The questionnaire included items related to fam</w:t>
      </w:r>
      <w:r>
        <w:rPr>
          <w:color w:val="333333"/>
          <w:sz w:val="24"/>
          <w:szCs w:val="24"/>
          <w:highlight w:val="white"/>
        </w:rPr>
        <w:t>iliarity with fixed appliances, understanding of aligner therapy, and reasons for considering orthodontic treatment. The responses obtained were compiled and analyzed using descriptive statistical methods.</w:t>
      </w:r>
    </w:p>
    <w:p w14:paraId="53FAD7D7" w14:textId="77777777" w:rsidR="003C311D" w:rsidRDefault="00A00E22">
      <w:pPr>
        <w:spacing w:before="240" w:after="240"/>
        <w:rPr>
          <w:b/>
          <w:bCs/>
          <w:color w:val="333333"/>
          <w:sz w:val="24"/>
          <w:szCs w:val="24"/>
          <w:highlight w:val="white"/>
        </w:rPr>
      </w:pPr>
      <w:r>
        <w:rPr>
          <w:b/>
          <w:bCs/>
          <w:color w:val="333333"/>
          <w:sz w:val="24"/>
          <w:szCs w:val="24"/>
          <w:highlight w:val="white"/>
        </w:rPr>
        <w:t>Results:</w:t>
      </w:r>
    </w:p>
    <w:p w14:paraId="5937308A" w14:textId="77777777" w:rsidR="003C311D" w:rsidRDefault="00A00E22">
      <w:pPr>
        <w:spacing w:before="240" w:after="240"/>
        <w:rPr>
          <w:color w:val="333333"/>
          <w:sz w:val="24"/>
          <w:szCs w:val="24"/>
          <w:highlight w:val="white"/>
        </w:rPr>
      </w:pPr>
      <w:r>
        <w:rPr>
          <w:color w:val="333333"/>
          <w:sz w:val="24"/>
          <w:szCs w:val="24"/>
          <w:highlight w:val="white"/>
        </w:rPr>
        <w:t>The findings revealed that most participa</w:t>
      </w:r>
      <w:r>
        <w:rPr>
          <w:color w:val="333333"/>
          <w:sz w:val="24"/>
          <w:szCs w:val="24"/>
          <w:highlight w:val="white"/>
        </w:rPr>
        <w:t>nts were familiar with conventional fixed orthodontic treatment, whereas awareness of clear aligner therapy was comparatively lower. Aesthetic improvement emerged as a major motivating factor for seeking orthodontic care among the respondents. However, kno</w:t>
      </w:r>
      <w:r>
        <w:rPr>
          <w:color w:val="333333"/>
          <w:sz w:val="24"/>
          <w:szCs w:val="24"/>
          <w:highlight w:val="white"/>
        </w:rPr>
        <w:t>wledge regarding the broader functional benefits of orthodontic treatment and newer treatment modalities varied among participants.</w:t>
      </w:r>
    </w:p>
    <w:p w14:paraId="354E0B61" w14:textId="77777777" w:rsidR="003C311D" w:rsidRDefault="00A00E22">
      <w:pPr>
        <w:spacing w:before="240" w:after="240"/>
        <w:rPr>
          <w:b/>
          <w:bCs/>
          <w:color w:val="333333"/>
          <w:sz w:val="24"/>
          <w:szCs w:val="24"/>
          <w:highlight w:val="white"/>
        </w:rPr>
      </w:pPr>
      <w:r>
        <w:rPr>
          <w:b/>
          <w:bCs/>
          <w:color w:val="333333"/>
          <w:sz w:val="24"/>
          <w:szCs w:val="24"/>
          <w:highlight w:val="white"/>
        </w:rPr>
        <w:lastRenderedPageBreak/>
        <w:t>Conclusion:</w:t>
      </w:r>
    </w:p>
    <w:p w14:paraId="0E175BA3" w14:textId="77777777" w:rsidR="003C311D" w:rsidRDefault="00A00E22">
      <w:pPr>
        <w:spacing w:before="240" w:after="240"/>
        <w:rPr>
          <w:color w:val="333333"/>
          <w:sz w:val="24"/>
          <w:szCs w:val="24"/>
          <w:highlight w:val="white"/>
        </w:rPr>
      </w:pPr>
      <w:r>
        <w:rPr>
          <w:color w:val="333333"/>
          <w:sz w:val="24"/>
          <w:szCs w:val="24"/>
          <w:highlight w:val="white"/>
        </w:rPr>
        <w:t xml:space="preserve">Within the limitations of the study, it can be concluded that awareness of fixed orthodontic treatment is </w:t>
      </w:r>
      <w:r>
        <w:rPr>
          <w:color w:val="333333"/>
          <w:sz w:val="24"/>
          <w:szCs w:val="24"/>
          <w:highlight w:val="white"/>
        </w:rPr>
        <w:t>relatively higher among young adults, while knowledge of aligner-based therapy is still developing. Enhancing patient education and increasing public awareness through dental professionals and reliable information sources may help individuals better unders</w:t>
      </w:r>
      <w:r>
        <w:rPr>
          <w:color w:val="333333"/>
          <w:sz w:val="24"/>
          <w:szCs w:val="24"/>
          <w:highlight w:val="white"/>
        </w:rPr>
        <w:t>tand available orthodontic treatment options and make informed decisions regarding their oral health.</w:t>
      </w:r>
    </w:p>
    <w:p w14:paraId="31233610" w14:textId="77777777" w:rsidR="003C311D" w:rsidRDefault="00A00E22">
      <w:pPr>
        <w:spacing w:before="240" w:after="240"/>
        <w:rPr>
          <w:color w:val="333333"/>
          <w:sz w:val="24"/>
          <w:szCs w:val="24"/>
          <w:highlight w:val="white"/>
        </w:rPr>
      </w:pPr>
      <w:r>
        <w:rPr>
          <w:b/>
          <w:bCs/>
          <w:color w:val="333333"/>
          <w:sz w:val="24"/>
          <w:szCs w:val="24"/>
          <w:highlight w:val="white"/>
        </w:rPr>
        <w:t>Keywords:</w:t>
      </w:r>
      <w:r>
        <w:rPr>
          <w:color w:val="333333"/>
          <w:sz w:val="24"/>
          <w:szCs w:val="24"/>
          <w:highlight w:val="white"/>
        </w:rPr>
        <w:t xml:space="preserve"> Orthodontic awareness, fixed orthodontic mechanotherapy, clear aligners, young adults, dental aesthetics.</w:t>
      </w:r>
    </w:p>
    <w:p w14:paraId="2EDDBFFB" w14:textId="77777777" w:rsidR="003C311D" w:rsidRDefault="00A00E22">
      <w:pPr>
        <w:rPr>
          <w:b/>
          <w:bCs/>
          <w:sz w:val="32"/>
          <w:szCs w:val="32"/>
        </w:rPr>
      </w:pPr>
      <w:r>
        <w:rPr>
          <w:b/>
          <w:bCs/>
          <w:sz w:val="32"/>
          <w:szCs w:val="32"/>
        </w:rPr>
        <w:t>INTRODUCTION:</w:t>
      </w:r>
    </w:p>
    <w:p w14:paraId="0C1AD48E" w14:textId="77777777" w:rsidR="003C311D" w:rsidRDefault="003C311D"/>
    <w:p w14:paraId="7C59134A" w14:textId="77777777" w:rsidR="003C311D" w:rsidRDefault="00A00E22">
      <w:pPr>
        <w:spacing w:before="240" w:after="240"/>
      </w:pPr>
      <w:r>
        <w:t xml:space="preserve">Dentistry continues to </w:t>
      </w:r>
      <w:r>
        <w:t xml:space="preserve">evolve with ongoing technological advancements. The introduction of clear aligners represents a significant development in orthodontics. However, the concept of removable orthodontic appliances dates back several decades, and patient attitudes toward such </w:t>
      </w:r>
      <w:r>
        <w:t>appliances were documented as early as 1973.¹</w:t>
      </w:r>
    </w:p>
    <w:p w14:paraId="0045F792" w14:textId="77777777" w:rsidR="003C311D" w:rsidRDefault="00A00E22">
      <w:pPr>
        <w:spacing w:before="240" w:after="240"/>
      </w:pPr>
      <w:r>
        <w:t xml:space="preserve">Fixed mechanotherapy consists of brackets, arch wires, and bands bonded to the teeth to achieve proper alignment. This technique has been widely used for decades and remains effective in managing complex </w:t>
      </w:r>
      <w:proofErr w:type="gramStart"/>
      <w:r>
        <w:t>malocc</w:t>
      </w:r>
      <w:r>
        <w:t>lusions.³</w:t>
      </w:r>
      <w:proofErr w:type="gramEnd"/>
      <w:r>
        <w:t xml:space="preserve"> However, it is often associated with discomfort, difficulty in maintaining oral hygiene, and aesthetic concerns.⁷ Clear aligner therapy, in contrast, employs a series of removable transparent trays to gradually reposition teeth. Studies evaluatin</w:t>
      </w:r>
      <w:r>
        <w:t xml:space="preserve">g aligner therapy have demonstrated measurable tooth movement and clinical </w:t>
      </w:r>
      <w:proofErr w:type="gramStart"/>
      <w:r>
        <w:t>effectiveness.²</w:t>
      </w:r>
      <w:proofErr w:type="gramEnd"/>
      <w:r>
        <w:t>˒³ This method is generally perceived as more comfortable and esthetically acceptable, contributing to its increasing popularity among adolescents and adults.⁴</w:t>
      </w:r>
    </w:p>
    <w:p w14:paraId="17374EEB" w14:textId="77777777" w:rsidR="003C311D" w:rsidRDefault="00A00E22">
      <w:pPr>
        <w:spacing w:before="240" w:after="240"/>
      </w:pPr>
      <w:r>
        <w:t>With t</w:t>
      </w:r>
      <w:r>
        <w:t xml:space="preserve">he growing demand for orthodontic treatment, esthetics has become a primary concern for many patients. Psychosocial factors and self-perception of dental appearance significantly influence the motivation to seek orthodontic </w:t>
      </w:r>
      <w:proofErr w:type="gramStart"/>
      <w:r>
        <w:t>treatment.⁹</w:t>
      </w:r>
      <w:proofErr w:type="gramEnd"/>
      <w:r>
        <w:t>˒¹⁰ Clear aligners ha</w:t>
      </w:r>
      <w:r>
        <w:t>ve emerged as an alternative to conventional fixed appliances, particularly among adults concerned about appearance.⁴</w:t>
      </w:r>
    </w:p>
    <w:p w14:paraId="3FDB4DA9" w14:textId="77777777" w:rsidR="003C311D" w:rsidRDefault="00A00E22">
      <w:pPr>
        <w:spacing w:before="240" w:after="240"/>
      </w:pPr>
      <w:r>
        <w:t>Despite advancements in orthodontic techniques, public awareness and understanding of available treatment options remain variable. Patient</w:t>
      </w:r>
      <w:r>
        <w:t xml:space="preserve"> cooperation, treatment compliance, and overall satisfaction are influenced by psychological factors and quality-of-life </w:t>
      </w:r>
      <w:proofErr w:type="gramStart"/>
      <w:r>
        <w:t>considerations.⁵</w:t>
      </w:r>
      <w:proofErr w:type="gramEnd"/>
      <w:r>
        <w:t>˒⁷˒⁸ Awareness regarding treatment modalities, duration, cost, and maintenance requirements plays a crucial role in tre</w:t>
      </w:r>
      <w:r>
        <w:t>atment acceptance and outcomes.⁶</w:t>
      </w:r>
    </w:p>
    <w:p w14:paraId="5B3F2EC1" w14:textId="77777777" w:rsidR="003C311D" w:rsidRDefault="00A00E22">
      <w:r>
        <w:t>In order to compare awareness of aligners with fixed mechanotherapy for full orthodontic treatment, the goal was to gather and document those who received orthodontic treatment. As of yet, no research has compared the effec</w:t>
      </w:r>
      <w:r>
        <w:t xml:space="preserve">tiveness of aligners with fixed mechanotherapy. This </w:t>
      </w:r>
      <w:r>
        <w:lastRenderedPageBreak/>
        <w:t>could be used to determine the best course of treatment. This study aimed to support a comparative assessment of young people' knowledge regarding fixed orthodontic mechanotherapy and aligners.</w:t>
      </w:r>
    </w:p>
    <w:p w14:paraId="21F196C7" w14:textId="77777777" w:rsidR="003C311D" w:rsidRDefault="003C311D"/>
    <w:p w14:paraId="4C322303" w14:textId="77777777" w:rsidR="003C311D" w:rsidRDefault="00A00E22">
      <w:pPr>
        <w:rPr>
          <w:b/>
          <w:bCs/>
          <w:sz w:val="20"/>
          <w:szCs w:val="20"/>
        </w:rPr>
      </w:pPr>
      <w:r>
        <w:rPr>
          <w:b/>
          <w:bCs/>
          <w:sz w:val="30"/>
          <w:szCs w:val="30"/>
        </w:rPr>
        <w:t>MATERIAL</w:t>
      </w:r>
      <w:r>
        <w:rPr>
          <w:b/>
          <w:bCs/>
          <w:sz w:val="30"/>
          <w:szCs w:val="30"/>
        </w:rPr>
        <w:t>S AND METHOD:</w:t>
      </w:r>
    </w:p>
    <w:p w14:paraId="3A76184F" w14:textId="77777777" w:rsidR="003C311D" w:rsidRDefault="003C311D">
      <w:pPr>
        <w:rPr>
          <w:b/>
          <w:bCs/>
          <w:sz w:val="20"/>
          <w:szCs w:val="20"/>
        </w:rPr>
      </w:pPr>
    </w:p>
    <w:p w14:paraId="5F8F6FF4" w14:textId="77777777" w:rsidR="003C311D" w:rsidRDefault="00A00E22">
      <w:pPr>
        <w:spacing w:before="240" w:after="240"/>
        <w:jc w:val="both"/>
        <w:rPr>
          <w:b/>
          <w:bCs/>
          <w:sz w:val="26"/>
          <w:szCs w:val="26"/>
        </w:rPr>
      </w:pPr>
      <w:r>
        <w:t xml:space="preserve">This was a cross-sectional descriptive study carried out in 2026 A multiple-choice questionnaire containing 16 questions was distributed via Google forms amongst Young adults. The respondents were reached using email and WhatsApp messenger. </w:t>
      </w:r>
      <w:r>
        <w:t xml:space="preserve">A total of 150 students responded. The questionnaire focused on the knowledge about fixed mechanotherapy and clear aligner therapy and techniques involved.  This included the biomechanics, type of material used as well as the specific attachments </w:t>
      </w:r>
      <w:proofErr w:type="spellStart"/>
      <w:proofErr w:type="gramStart"/>
      <w:r>
        <w:t>used.The</w:t>
      </w:r>
      <w:proofErr w:type="spellEnd"/>
      <w:proofErr w:type="gramEnd"/>
      <w:r>
        <w:t xml:space="preserve"> </w:t>
      </w:r>
      <w:r>
        <w:t>data was then organized in the form of pie-charts and graphs and was tabulated to calculate the percentage score for each question</w:t>
      </w:r>
      <w:r>
        <w:rPr>
          <w:b/>
          <w:bCs/>
          <w:sz w:val="26"/>
          <w:szCs w:val="26"/>
        </w:rPr>
        <w:t>.</w:t>
      </w:r>
      <w:r>
        <w:rPr>
          <w:sz w:val="26"/>
          <w:szCs w:val="26"/>
        </w:rPr>
        <w:t>T</w:t>
      </w:r>
      <w:r>
        <w:t>O calculate the percentage score for each question</w:t>
      </w:r>
      <w:r>
        <w:rPr>
          <w:b/>
          <w:bCs/>
          <w:sz w:val="26"/>
          <w:szCs w:val="26"/>
        </w:rPr>
        <w:t>.</w:t>
      </w:r>
    </w:p>
    <w:p w14:paraId="1CC6DB01" w14:textId="77777777" w:rsidR="003C311D" w:rsidRDefault="00A00E22">
      <w:pPr>
        <w:spacing w:before="240" w:after="240"/>
        <w:jc w:val="both"/>
        <w:rPr>
          <w:b/>
          <w:bCs/>
        </w:rPr>
      </w:pPr>
      <w:r>
        <w:rPr>
          <w:b/>
          <w:bCs/>
        </w:rPr>
        <w:t>Statistical Analysis</w:t>
      </w:r>
    </w:p>
    <w:p w14:paraId="13CC7667" w14:textId="77777777" w:rsidR="003C311D" w:rsidRDefault="00A00E22">
      <w:pPr>
        <w:spacing w:before="240" w:after="240"/>
        <w:jc w:val="both"/>
      </w:pPr>
      <w:r>
        <w:t>The collected data were entered into Microsoft Exce</w:t>
      </w:r>
      <w:r>
        <w:t>l and analyzed. Descriptive statistics were used to summarize the data. Categorical variables such as age, gender, location, educational qualification, occupation, awareness of orthodontic treatment, treatment preference, and perception-related variables w</w:t>
      </w:r>
      <w:r>
        <w:t>ere expressed as frequency (n) and percentage (%). The association between demographic variables (education, gender, and location) and awareness-related variables was assessed using the Chi-square (χ²) test. A p-value of less than 0.05 was considered stati</w:t>
      </w:r>
      <w:r>
        <w:t>stically significant. The results were presented in the form of tables and percentages for easy interpretation.</w:t>
      </w:r>
    </w:p>
    <w:p w14:paraId="25E71A5F" w14:textId="77777777" w:rsidR="003C311D" w:rsidRDefault="00A00E22">
      <w:pPr>
        <w:spacing w:before="240" w:after="240"/>
        <w:jc w:val="both"/>
        <w:rPr>
          <w:b/>
          <w:bCs/>
        </w:rPr>
      </w:pPr>
      <w:r>
        <w:rPr>
          <w:b/>
          <w:bCs/>
        </w:rPr>
        <w:t>RESULTS</w:t>
      </w:r>
    </w:p>
    <w:p w14:paraId="2DEB76E5" w14:textId="77777777" w:rsidR="003C311D" w:rsidRDefault="00A00E22">
      <w:pPr>
        <w:spacing w:before="240" w:after="240"/>
        <w:jc w:val="both"/>
        <w:rPr>
          <w:b/>
          <w:bCs/>
        </w:rPr>
      </w:pPr>
      <w:r>
        <w:rPr>
          <w:b/>
          <w:bCs/>
        </w:rPr>
        <w:t>1. Participant Characteristics</w:t>
      </w:r>
    </w:p>
    <w:p w14:paraId="3D3CF480" w14:textId="77777777" w:rsidR="003C311D" w:rsidRDefault="00A00E22">
      <w:pPr>
        <w:spacing w:before="240" w:after="240"/>
        <w:jc w:val="both"/>
      </w:pPr>
      <w:r>
        <w:t>A total of 150 participants were included in the study.</w:t>
      </w:r>
    </w:p>
    <w:p w14:paraId="667CAD03" w14:textId="77777777" w:rsidR="003C311D" w:rsidRDefault="00A00E22">
      <w:pPr>
        <w:spacing w:before="240" w:after="240"/>
        <w:jc w:val="both"/>
        <w:rPr>
          <w:b/>
          <w:bCs/>
        </w:rPr>
      </w:pPr>
      <w:r>
        <w:rPr>
          <w:b/>
          <w:bCs/>
        </w:rPr>
        <w:t>Demographic Characteristics</w:t>
      </w:r>
    </w:p>
    <w:p w14:paraId="5806361D" w14:textId="77777777" w:rsidR="003C311D" w:rsidRDefault="00A00E22">
      <w:pPr>
        <w:spacing w:before="240" w:after="240"/>
        <w:jc w:val="both"/>
      </w:pPr>
      <w:r>
        <w:t xml:space="preserve">The majority of </w:t>
      </w:r>
      <w:r>
        <w:t>participants were in the 18–21 years (49.3%) and 22–25 years (48.7%) age groups, while only 2% were aged 26–30 years. Females constituted 63.3% (n=95) of the study population and males 36.7% (n=55). Most respondents were from urban areas (81.3%), with only</w:t>
      </w:r>
      <w:r>
        <w:t xml:space="preserve"> 18.7% residing in rural areas. Students formed the largest occupational group (50.7%), followed by employed individuals (44.0%) and unemployed participants (5.3%).</w:t>
      </w:r>
    </w:p>
    <w:p w14:paraId="0156D134" w14:textId="77777777" w:rsidR="003C311D" w:rsidRDefault="00A00E22">
      <w:pPr>
        <w:spacing w:before="240" w:after="240"/>
        <w:jc w:val="both"/>
      </w:pPr>
      <w:r>
        <w:rPr>
          <w:rFonts w:ascii="Times New Roman" w:eastAsia="Times New Roman" w:hAnsi="Times New Roman" w:cs="Times New Roman"/>
          <w:noProof/>
          <w:sz w:val="24"/>
          <w:szCs w:val="24"/>
        </w:rPr>
        <w:lastRenderedPageBreak/>
        <w:drawing>
          <wp:inline distT="0" distB="0" distL="0" distR="0" wp14:anchorId="31A39421" wp14:editId="6B7676A6">
            <wp:extent cx="4667250" cy="2743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667250" cy="2743200"/>
                    </a:xfrm>
                    <a:prstGeom prst="rect">
                      <a:avLst/>
                    </a:prstGeom>
                    <a:ln/>
                  </pic:spPr>
                </pic:pic>
              </a:graphicData>
            </a:graphic>
          </wp:inline>
        </w:drawing>
      </w:r>
    </w:p>
    <w:p w14:paraId="7AA4631F" w14:textId="77777777" w:rsidR="003C311D" w:rsidRDefault="00A00E22">
      <w:pPr>
        <w:rPr>
          <w:b/>
          <w:bCs/>
          <w:sz w:val="20"/>
          <w:szCs w:val="20"/>
        </w:rPr>
      </w:pPr>
      <w:r>
        <w:rPr>
          <w:b/>
          <w:bCs/>
          <w:sz w:val="20"/>
          <w:szCs w:val="20"/>
        </w:rPr>
        <w:t>Figure 1: Demographic data</w:t>
      </w:r>
    </w:p>
    <w:p w14:paraId="0F7B950D" w14:textId="77777777" w:rsidR="003C311D" w:rsidRDefault="003C311D">
      <w:pPr>
        <w:rPr>
          <w:b/>
          <w:bCs/>
          <w:sz w:val="20"/>
          <w:szCs w:val="20"/>
        </w:rPr>
      </w:pPr>
    </w:p>
    <w:p w14:paraId="1311CB3F" w14:textId="77777777" w:rsidR="003C311D" w:rsidRDefault="00A00E22">
      <w:r>
        <w:t>The graphical representation indicates that Items 2 and 6 rec</w:t>
      </w:r>
      <w:r>
        <w:t>eived the highest number of responses (approximately 38–40 participants), suggesting relatively stronger awareness in these areas. Items 4 and 8 showed a moderate level of responses (around 20–22 participants), reflecting an average understanding among res</w:t>
      </w:r>
      <w:r>
        <w:t>pondents. Conversely, Items 1, 3, 5, and 7 recorded comparatively fewer responses (approximately 5–8 participants), pointing toward lower levels of awareness in those domains. Notably, Items 9, 10, and 11 demonstrated only minimal responses (about 1–2 part</w:t>
      </w:r>
      <w:r>
        <w:t>icipants), indicating limited recognition or understanding of these particular aspects within the study group.</w:t>
      </w:r>
    </w:p>
    <w:p w14:paraId="2CAEFA38" w14:textId="77777777" w:rsidR="003C311D" w:rsidRDefault="003C311D">
      <w:pPr>
        <w:spacing w:before="240" w:after="240"/>
        <w:jc w:val="both"/>
        <w:rPr>
          <w:rFonts w:ascii="Times New Roman" w:eastAsia="Times New Roman" w:hAnsi="Times New Roman" w:cs="Times New Roman"/>
          <w:sz w:val="24"/>
          <w:szCs w:val="24"/>
        </w:rPr>
      </w:pPr>
    </w:p>
    <w:tbl>
      <w:tblPr>
        <w:tblStyle w:val="a"/>
        <w:tblW w:w="3969" w:type="dxa"/>
        <w:tblInd w:w="0" w:type="dxa"/>
        <w:tblLayout w:type="fixed"/>
        <w:tblLook w:val="0400" w:firstRow="0" w:lastRow="0" w:firstColumn="0" w:lastColumn="0" w:noHBand="0" w:noVBand="1"/>
      </w:tblPr>
      <w:tblGrid>
        <w:gridCol w:w="1262"/>
        <w:gridCol w:w="1300"/>
        <w:gridCol w:w="557"/>
        <w:gridCol w:w="850"/>
      </w:tblGrid>
      <w:tr w:rsidR="003C311D" w14:paraId="12487492" w14:textId="77777777">
        <w:trPr>
          <w:tblHeader/>
        </w:trPr>
        <w:tc>
          <w:tcPr>
            <w:tcW w:w="1262" w:type="dxa"/>
            <w:vAlign w:val="center"/>
          </w:tcPr>
          <w:p w14:paraId="4FC1F103" w14:textId="77777777" w:rsidR="003C311D" w:rsidRDefault="00A00E22">
            <w:pPr>
              <w:spacing w:after="160" w:line="27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Variable</w:t>
            </w:r>
          </w:p>
        </w:tc>
        <w:tc>
          <w:tcPr>
            <w:tcW w:w="1300" w:type="dxa"/>
            <w:vAlign w:val="center"/>
          </w:tcPr>
          <w:p w14:paraId="5E47E28B" w14:textId="77777777" w:rsidR="003C311D" w:rsidRDefault="00A00E22">
            <w:pPr>
              <w:spacing w:after="160" w:line="27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Category</w:t>
            </w:r>
          </w:p>
        </w:tc>
        <w:tc>
          <w:tcPr>
            <w:tcW w:w="557" w:type="dxa"/>
            <w:vAlign w:val="center"/>
          </w:tcPr>
          <w:p w14:paraId="06CAE244" w14:textId="77777777" w:rsidR="003C311D" w:rsidRDefault="00A00E22">
            <w:pPr>
              <w:spacing w:after="160" w:line="27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w:t>
            </w:r>
          </w:p>
        </w:tc>
        <w:tc>
          <w:tcPr>
            <w:tcW w:w="850" w:type="dxa"/>
            <w:vAlign w:val="center"/>
          </w:tcPr>
          <w:p w14:paraId="3056F02B" w14:textId="77777777" w:rsidR="003C311D" w:rsidRDefault="00A00E22">
            <w:pPr>
              <w:spacing w:after="160" w:line="27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3C311D" w14:paraId="624F8A03" w14:textId="77777777">
        <w:tc>
          <w:tcPr>
            <w:tcW w:w="1262" w:type="dxa"/>
            <w:vAlign w:val="center"/>
          </w:tcPr>
          <w:p w14:paraId="00ACBB71"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Age (years)</w:t>
            </w:r>
          </w:p>
        </w:tc>
        <w:tc>
          <w:tcPr>
            <w:tcW w:w="1300" w:type="dxa"/>
            <w:vAlign w:val="center"/>
          </w:tcPr>
          <w:p w14:paraId="7D9F8C94"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18–21</w:t>
            </w:r>
          </w:p>
        </w:tc>
        <w:tc>
          <w:tcPr>
            <w:tcW w:w="557" w:type="dxa"/>
            <w:vAlign w:val="center"/>
          </w:tcPr>
          <w:p w14:paraId="6CE10240"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850" w:type="dxa"/>
            <w:vAlign w:val="center"/>
          </w:tcPr>
          <w:p w14:paraId="0F2039A1"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49.3</w:t>
            </w:r>
          </w:p>
        </w:tc>
      </w:tr>
      <w:tr w:rsidR="003C311D" w14:paraId="0E0CCE5E" w14:textId="77777777">
        <w:tc>
          <w:tcPr>
            <w:tcW w:w="1262" w:type="dxa"/>
            <w:vAlign w:val="center"/>
          </w:tcPr>
          <w:p w14:paraId="206E7B98" w14:textId="77777777" w:rsidR="003C311D" w:rsidRDefault="003C311D">
            <w:pPr>
              <w:spacing w:after="160" w:line="278" w:lineRule="auto"/>
              <w:jc w:val="both"/>
              <w:rPr>
                <w:rFonts w:ascii="Times New Roman" w:eastAsia="Times New Roman" w:hAnsi="Times New Roman" w:cs="Times New Roman"/>
                <w:sz w:val="24"/>
                <w:szCs w:val="24"/>
              </w:rPr>
            </w:pPr>
          </w:p>
        </w:tc>
        <w:tc>
          <w:tcPr>
            <w:tcW w:w="1300" w:type="dxa"/>
            <w:vAlign w:val="center"/>
          </w:tcPr>
          <w:p w14:paraId="49883C47"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22–25</w:t>
            </w:r>
          </w:p>
        </w:tc>
        <w:tc>
          <w:tcPr>
            <w:tcW w:w="557" w:type="dxa"/>
            <w:vAlign w:val="center"/>
          </w:tcPr>
          <w:p w14:paraId="0A7D4344"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850" w:type="dxa"/>
            <w:vAlign w:val="center"/>
          </w:tcPr>
          <w:p w14:paraId="028A4885"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48.7</w:t>
            </w:r>
          </w:p>
        </w:tc>
      </w:tr>
      <w:tr w:rsidR="003C311D" w14:paraId="2B3FF97B" w14:textId="77777777">
        <w:tc>
          <w:tcPr>
            <w:tcW w:w="1262" w:type="dxa"/>
            <w:vAlign w:val="center"/>
          </w:tcPr>
          <w:p w14:paraId="1C559A89" w14:textId="77777777" w:rsidR="003C311D" w:rsidRDefault="003C311D">
            <w:pPr>
              <w:spacing w:after="160" w:line="278" w:lineRule="auto"/>
              <w:jc w:val="both"/>
              <w:rPr>
                <w:rFonts w:ascii="Times New Roman" w:eastAsia="Times New Roman" w:hAnsi="Times New Roman" w:cs="Times New Roman"/>
                <w:sz w:val="24"/>
                <w:szCs w:val="24"/>
              </w:rPr>
            </w:pPr>
          </w:p>
        </w:tc>
        <w:tc>
          <w:tcPr>
            <w:tcW w:w="1300" w:type="dxa"/>
            <w:vAlign w:val="center"/>
          </w:tcPr>
          <w:p w14:paraId="1B162E99"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26–30</w:t>
            </w:r>
          </w:p>
        </w:tc>
        <w:tc>
          <w:tcPr>
            <w:tcW w:w="557" w:type="dxa"/>
            <w:vAlign w:val="center"/>
          </w:tcPr>
          <w:p w14:paraId="3D06593B"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50" w:type="dxa"/>
            <w:vAlign w:val="center"/>
          </w:tcPr>
          <w:p w14:paraId="379A085F"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3C311D" w14:paraId="3F998968" w14:textId="77777777">
        <w:tc>
          <w:tcPr>
            <w:tcW w:w="1262" w:type="dxa"/>
            <w:vAlign w:val="center"/>
          </w:tcPr>
          <w:p w14:paraId="5052BCC6"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Gender</w:t>
            </w:r>
          </w:p>
        </w:tc>
        <w:tc>
          <w:tcPr>
            <w:tcW w:w="1300" w:type="dxa"/>
            <w:vAlign w:val="center"/>
          </w:tcPr>
          <w:p w14:paraId="1120D0A6"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557" w:type="dxa"/>
            <w:vAlign w:val="center"/>
          </w:tcPr>
          <w:p w14:paraId="32F1262E"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850" w:type="dxa"/>
            <w:vAlign w:val="center"/>
          </w:tcPr>
          <w:p w14:paraId="68527D30"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63.3</w:t>
            </w:r>
          </w:p>
        </w:tc>
      </w:tr>
      <w:tr w:rsidR="003C311D" w14:paraId="41E05985" w14:textId="77777777">
        <w:tc>
          <w:tcPr>
            <w:tcW w:w="1262" w:type="dxa"/>
            <w:vAlign w:val="center"/>
          </w:tcPr>
          <w:p w14:paraId="00393500" w14:textId="77777777" w:rsidR="003C311D" w:rsidRDefault="003C311D">
            <w:pPr>
              <w:spacing w:after="160" w:line="278" w:lineRule="auto"/>
              <w:jc w:val="both"/>
              <w:rPr>
                <w:rFonts w:ascii="Times New Roman" w:eastAsia="Times New Roman" w:hAnsi="Times New Roman" w:cs="Times New Roman"/>
                <w:sz w:val="24"/>
                <w:szCs w:val="24"/>
              </w:rPr>
            </w:pPr>
          </w:p>
        </w:tc>
        <w:tc>
          <w:tcPr>
            <w:tcW w:w="1300" w:type="dxa"/>
            <w:vAlign w:val="center"/>
          </w:tcPr>
          <w:p w14:paraId="2DB2E8CA"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557" w:type="dxa"/>
            <w:vAlign w:val="center"/>
          </w:tcPr>
          <w:p w14:paraId="4399522B"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850" w:type="dxa"/>
            <w:vAlign w:val="center"/>
          </w:tcPr>
          <w:p w14:paraId="6BF21A1A"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36.7</w:t>
            </w:r>
          </w:p>
        </w:tc>
      </w:tr>
      <w:tr w:rsidR="003C311D" w14:paraId="653B8A58" w14:textId="77777777">
        <w:tc>
          <w:tcPr>
            <w:tcW w:w="1262" w:type="dxa"/>
            <w:vAlign w:val="center"/>
          </w:tcPr>
          <w:p w14:paraId="56D729BE"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Location</w:t>
            </w:r>
          </w:p>
        </w:tc>
        <w:tc>
          <w:tcPr>
            <w:tcW w:w="1300" w:type="dxa"/>
            <w:vAlign w:val="center"/>
          </w:tcPr>
          <w:p w14:paraId="1769437B"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Urban</w:t>
            </w:r>
          </w:p>
        </w:tc>
        <w:tc>
          <w:tcPr>
            <w:tcW w:w="557" w:type="dxa"/>
            <w:vAlign w:val="center"/>
          </w:tcPr>
          <w:p w14:paraId="3C4E76E9"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w:t>
            </w:r>
          </w:p>
        </w:tc>
        <w:tc>
          <w:tcPr>
            <w:tcW w:w="850" w:type="dxa"/>
            <w:vAlign w:val="center"/>
          </w:tcPr>
          <w:p w14:paraId="2934AF73"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81.3</w:t>
            </w:r>
          </w:p>
        </w:tc>
      </w:tr>
      <w:tr w:rsidR="003C311D" w14:paraId="5D6D8113" w14:textId="77777777">
        <w:tc>
          <w:tcPr>
            <w:tcW w:w="1262" w:type="dxa"/>
            <w:vAlign w:val="center"/>
          </w:tcPr>
          <w:p w14:paraId="38373B52" w14:textId="77777777" w:rsidR="003C311D" w:rsidRDefault="003C311D">
            <w:pPr>
              <w:spacing w:after="160" w:line="278" w:lineRule="auto"/>
              <w:jc w:val="both"/>
              <w:rPr>
                <w:rFonts w:ascii="Times New Roman" w:eastAsia="Times New Roman" w:hAnsi="Times New Roman" w:cs="Times New Roman"/>
                <w:sz w:val="24"/>
                <w:szCs w:val="24"/>
              </w:rPr>
            </w:pPr>
          </w:p>
        </w:tc>
        <w:tc>
          <w:tcPr>
            <w:tcW w:w="1300" w:type="dxa"/>
            <w:vAlign w:val="center"/>
          </w:tcPr>
          <w:p w14:paraId="39EB7B1A"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Rural</w:t>
            </w:r>
          </w:p>
        </w:tc>
        <w:tc>
          <w:tcPr>
            <w:tcW w:w="557" w:type="dxa"/>
            <w:vAlign w:val="center"/>
          </w:tcPr>
          <w:p w14:paraId="19DE64C5"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850" w:type="dxa"/>
            <w:vAlign w:val="center"/>
          </w:tcPr>
          <w:p w14:paraId="03CCA89F"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18.7</w:t>
            </w:r>
          </w:p>
        </w:tc>
      </w:tr>
      <w:tr w:rsidR="003C311D" w14:paraId="35F0F729" w14:textId="77777777">
        <w:tc>
          <w:tcPr>
            <w:tcW w:w="1262" w:type="dxa"/>
            <w:vAlign w:val="center"/>
          </w:tcPr>
          <w:p w14:paraId="4CFDA146"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Occupation</w:t>
            </w:r>
          </w:p>
        </w:tc>
        <w:tc>
          <w:tcPr>
            <w:tcW w:w="1300" w:type="dxa"/>
            <w:vAlign w:val="center"/>
          </w:tcPr>
          <w:p w14:paraId="3920DF6F"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w:t>
            </w:r>
          </w:p>
        </w:tc>
        <w:tc>
          <w:tcPr>
            <w:tcW w:w="557" w:type="dxa"/>
            <w:vAlign w:val="center"/>
          </w:tcPr>
          <w:p w14:paraId="3D287978"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850" w:type="dxa"/>
            <w:vAlign w:val="center"/>
          </w:tcPr>
          <w:p w14:paraId="54C8C9C2"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50.7</w:t>
            </w:r>
          </w:p>
        </w:tc>
      </w:tr>
      <w:tr w:rsidR="003C311D" w14:paraId="521FA596" w14:textId="77777777">
        <w:tc>
          <w:tcPr>
            <w:tcW w:w="1262" w:type="dxa"/>
            <w:vAlign w:val="center"/>
          </w:tcPr>
          <w:p w14:paraId="7846B802" w14:textId="77777777" w:rsidR="003C311D" w:rsidRDefault="003C311D">
            <w:pPr>
              <w:spacing w:after="160" w:line="278" w:lineRule="auto"/>
              <w:jc w:val="both"/>
              <w:rPr>
                <w:rFonts w:ascii="Times New Roman" w:eastAsia="Times New Roman" w:hAnsi="Times New Roman" w:cs="Times New Roman"/>
                <w:sz w:val="24"/>
                <w:szCs w:val="24"/>
              </w:rPr>
            </w:pPr>
          </w:p>
        </w:tc>
        <w:tc>
          <w:tcPr>
            <w:tcW w:w="1300" w:type="dxa"/>
            <w:vAlign w:val="center"/>
          </w:tcPr>
          <w:p w14:paraId="4C0E15F1"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Employed</w:t>
            </w:r>
          </w:p>
        </w:tc>
        <w:tc>
          <w:tcPr>
            <w:tcW w:w="557" w:type="dxa"/>
            <w:vAlign w:val="center"/>
          </w:tcPr>
          <w:p w14:paraId="536CAA12"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850" w:type="dxa"/>
            <w:vAlign w:val="center"/>
          </w:tcPr>
          <w:p w14:paraId="0AC5677C"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44.0</w:t>
            </w:r>
          </w:p>
        </w:tc>
      </w:tr>
      <w:tr w:rsidR="003C311D" w14:paraId="1D52F377" w14:textId="77777777">
        <w:tc>
          <w:tcPr>
            <w:tcW w:w="1262" w:type="dxa"/>
            <w:vAlign w:val="center"/>
          </w:tcPr>
          <w:p w14:paraId="23204569" w14:textId="77777777" w:rsidR="003C311D" w:rsidRDefault="003C311D">
            <w:pPr>
              <w:spacing w:after="160" w:line="278" w:lineRule="auto"/>
              <w:jc w:val="both"/>
              <w:rPr>
                <w:rFonts w:ascii="Times New Roman" w:eastAsia="Times New Roman" w:hAnsi="Times New Roman" w:cs="Times New Roman"/>
                <w:sz w:val="24"/>
                <w:szCs w:val="24"/>
              </w:rPr>
            </w:pPr>
          </w:p>
        </w:tc>
        <w:tc>
          <w:tcPr>
            <w:tcW w:w="1300" w:type="dxa"/>
            <w:vAlign w:val="center"/>
          </w:tcPr>
          <w:p w14:paraId="28137F6C"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Unemployed</w:t>
            </w:r>
          </w:p>
        </w:tc>
        <w:tc>
          <w:tcPr>
            <w:tcW w:w="557" w:type="dxa"/>
            <w:vAlign w:val="center"/>
          </w:tcPr>
          <w:p w14:paraId="0F0C2782"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50" w:type="dxa"/>
            <w:vAlign w:val="center"/>
          </w:tcPr>
          <w:p w14:paraId="60544E76"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r>
    </w:tbl>
    <w:p w14:paraId="1252D39B"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 Demographic Characteristics of Participants (N = 150)</w:t>
      </w:r>
    </w:p>
    <w:p w14:paraId="0E8C9DB4" w14:textId="77777777" w:rsidR="003C311D" w:rsidRDefault="003C311D">
      <w:pPr>
        <w:spacing w:after="160" w:line="278" w:lineRule="auto"/>
        <w:jc w:val="both"/>
        <w:rPr>
          <w:rFonts w:ascii="Times New Roman" w:eastAsia="Times New Roman" w:hAnsi="Times New Roman" w:cs="Times New Roman"/>
          <w:sz w:val="24"/>
          <w:szCs w:val="24"/>
        </w:rPr>
      </w:pPr>
    </w:p>
    <w:tbl>
      <w:tblPr>
        <w:tblStyle w:val="a0"/>
        <w:tblW w:w="6684" w:type="dxa"/>
        <w:tblInd w:w="0" w:type="dxa"/>
        <w:tblLayout w:type="fixed"/>
        <w:tblLook w:val="0400" w:firstRow="0" w:lastRow="0" w:firstColumn="0" w:lastColumn="0" w:noHBand="0" w:noVBand="1"/>
      </w:tblPr>
      <w:tblGrid>
        <w:gridCol w:w="4223"/>
        <w:gridCol w:w="1546"/>
        <w:gridCol w:w="420"/>
        <w:gridCol w:w="495"/>
      </w:tblGrid>
      <w:tr w:rsidR="003C311D" w14:paraId="63EC68F4" w14:textId="77777777">
        <w:trPr>
          <w:trHeight w:val="1004"/>
          <w:tblHeader/>
        </w:trPr>
        <w:tc>
          <w:tcPr>
            <w:tcW w:w="4223" w:type="dxa"/>
            <w:vAlign w:val="center"/>
          </w:tcPr>
          <w:p w14:paraId="438AC54D" w14:textId="77777777" w:rsidR="003C311D" w:rsidRDefault="00A00E22">
            <w:pPr>
              <w:spacing w:after="160" w:line="27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Variable</w:t>
            </w:r>
          </w:p>
        </w:tc>
        <w:tc>
          <w:tcPr>
            <w:tcW w:w="1546" w:type="dxa"/>
            <w:vAlign w:val="center"/>
          </w:tcPr>
          <w:p w14:paraId="3DBFFCAE" w14:textId="77777777" w:rsidR="003C311D" w:rsidRDefault="00A00E22">
            <w:pPr>
              <w:spacing w:after="160" w:line="27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Category</w:t>
            </w:r>
          </w:p>
        </w:tc>
        <w:tc>
          <w:tcPr>
            <w:tcW w:w="420" w:type="dxa"/>
            <w:vAlign w:val="center"/>
          </w:tcPr>
          <w:p w14:paraId="094D73A9" w14:textId="77777777" w:rsidR="003C311D" w:rsidRDefault="00A00E22">
            <w:pPr>
              <w:spacing w:after="160" w:line="27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w:t>
            </w:r>
          </w:p>
        </w:tc>
        <w:tc>
          <w:tcPr>
            <w:tcW w:w="495" w:type="dxa"/>
            <w:vAlign w:val="center"/>
          </w:tcPr>
          <w:p w14:paraId="7B5AC2B4" w14:textId="77777777" w:rsidR="003C311D" w:rsidRDefault="00A00E22">
            <w:pPr>
              <w:spacing w:after="160" w:line="27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3C311D" w14:paraId="0B5E5362" w14:textId="77777777">
        <w:tc>
          <w:tcPr>
            <w:tcW w:w="4223" w:type="dxa"/>
            <w:vAlign w:val="center"/>
          </w:tcPr>
          <w:p w14:paraId="7F833254"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Heard about orthodontic treatment (n=149)</w:t>
            </w:r>
          </w:p>
        </w:tc>
        <w:tc>
          <w:tcPr>
            <w:tcW w:w="1546" w:type="dxa"/>
            <w:vAlign w:val="center"/>
          </w:tcPr>
          <w:p w14:paraId="672EAA9D"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420" w:type="dxa"/>
            <w:vAlign w:val="center"/>
          </w:tcPr>
          <w:p w14:paraId="04542AAC"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133</w:t>
            </w:r>
          </w:p>
        </w:tc>
        <w:tc>
          <w:tcPr>
            <w:tcW w:w="495" w:type="dxa"/>
            <w:vAlign w:val="center"/>
          </w:tcPr>
          <w:p w14:paraId="2BF5AF99"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89.3</w:t>
            </w:r>
          </w:p>
        </w:tc>
      </w:tr>
      <w:tr w:rsidR="003C311D" w14:paraId="79F8782B" w14:textId="77777777">
        <w:tc>
          <w:tcPr>
            <w:tcW w:w="4223" w:type="dxa"/>
            <w:vAlign w:val="center"/>
          </w:tcPr>
          <w:p w14:paraId="3CB17F10" w14:textId="77777777" w:rsidR="003C311D" w:rsidRDefault="003C311D">
            <w:pPr>
              <w:spacing w:after="160" w:line="278" w:lineRule="auto"/>
              <w:jc w:val="both"/>
              <w:rPr>
                <w:rFonts w:ascii="Times New Roman" w:eastAsia="Times New Roman" w:hAnsi="Times New Roman" w:cs="Times New Roman"/>
                <w:sz w:val="24"/>
                <w:szCs w:val="24"/>
              </w:rPr>
            </w:pPr>
          </w:p>
        </w:tc>
        <w:tc>
          <w:tcPr>
            <w:tcW w:w="1546" w:type="dxa"/>
            <w:vAlign w:val="center"/>
          </w:tcPr>
          <w:p w14:paraId="006465F4"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420" w:type="dxa"/>
            <w:vAlign w:val="center"/>
          </w:tcPr>
          <w:p w14:paraId="26A7ECA7"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495" w:type="dxa"/>
            <w:vAlign w:val="center"/>
          </w:tcPr>
          <w:p w14:paraId="132E8030"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r>
      <w:tr w:rsidR="003C311D" w14:paraId="656EB4CB" w14:textId="77777777">
        <w:tc>
          <w:tcPr>
            <w:tcW w:w="4223" w:type="dxa"/>
            <w:vAlign w:val="center"/>
          </w:tcPr>
          <w:p w14:paraId="4C26F571"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Type of treatment </w:t>
            </w:r>
            <w:r>
              <w:rPr>
                <w:rFonts w:ascii="Times New Roman" w:eastAsia="Times New Roman" w:hAnsi="Times New Roman" w:cs="Times New Roman"/>
                <w:sz w:val="24"/>
                <w:szCs w:val="24"/>
              </w:rPr>
              <w:t>aware (n=150)</w:t>
            </w:r>
          </w:p>
        </w:tc>
        <w:tc>
          <w:tcPr>
            <w:tcW w:w="1546" w:type="dxa"/>
            <w:vAlign w:val="center"/>
          </w:tcPr>
          <w:p w14:paraId="0DA2D894"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Metal braces</w:t>
            </w:r>
          </w:p>
        </w:tc>
        <w:tc>
          <w:tcPr>
            <w:tcW w:w="420" w:type="dxa"/>
            <w:vAlign w:val="center"/>
          </w:tcPr>
          <w:p w14:paraId="3B5B6827"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c>
          <w:tcPr>
            <w:tcW w:w="495" w:type="dxa"/>
            <w:vAlign w:val="center"/>
          </w:tcPr>
          <w:p w14:paraId="3CB77776"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72.7</w:t>
            </w:r>
          </w:p>
        </w:tc>
      </w:tr>
      <w:tr w:rsidR="003C311D" w14:paraId="4F280D30" w14:textId="77777777">
        <w:tc>
          <w:tcPr>
            <w:tcW w:w="4223" w:type="dxa"/>
            <w:vAlign w:val="center"/>
          </w:tcPr>
          <w:p w14:paraId="631AC229" w14:textId="77777777" w:rsidR="003C311D" w:rsidRDefault="003C311D">
            <w:pPr>
              <w:spacing w:after="160" w:line="278" w:lineRule="auto"/>
              <w:jc w:val="both"/>
              <w:rPr>
                <w:rFonts w:ascii="Times New Roman" w:eastAsia="Times New Roman" w:hAnsi="Times New Roman" w:cs="Times New Roman"/>
                <w:sz w:val="24"/>
                <w:szCs w:val="24"/>
              </w:rPr>
            </w:pPr>
          </w:p>
        </w:tc>
        <w:tc>
          <w:tcPr>
            <w:tcW w:w="1546" w:type="dxa"/>
            <w:vAlign w:val="center"/>
          </w:tcPr>
          <w:p w14:paraId="149786C0"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Clear aligners</w:t>
            </w:r>
          </w:p>
        </w:tc>
        <w:tc>
          <w:tcPr>
            <w:tcW w:w="420" w:type="dxa"/>
            <w:vAlign w:val="center"/>
          </w:tcPr>
          <w:p w14:paraId="14191DCA"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495" w:type="dxa"/>
            <w:vAlign w:val="center"/>
          </w:tcPr>
          <w:p w14:paraId="22987E0A"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r>
      <w:tr w:rsidR="003C311D" w14:paraId="38642EDA" w14:textId="77777777">
        <w:tc>
          <w:tcPr>
            <w:tcW w:w="4223" w:type="dxa"/>
            <w:vAlign w:val="center"/>
          </w:tcPr>
          <w:p w14:paraId="4E8ED62F" w14:textId="77777777" w:rsidR="003C311D" w:rsidRDefault="003C311D">
            <w:pPr>
              <w:spacing w:after="160" w:line="278" w:lineRule="auto"/>
              <w:jc w:val="both"/>
              <w:rPr>
                <w:rFonts w:ascii="Times New Roman" w:eastAsia="Times New Roman" w:hAnsi="Times New Roman" w:cs="Times New Roman"/>
                <w:sz w:val="24"/>
                <w:szCs w:val="24"/>
              </w:rPr>
            </w:pPr>
          </w:p>
        </w:tc>
        <w:tc>
          <w:tcPr>
            <w:tcW w:w="1546" w:type="dxa"/>
            <w:vAlign w:val="center"/>
          </w:tcPr>
          <w:p w14:paraId="58BBAA8E"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Ceramic braces</w:t>
            </w:r>
          </w:p>
        </w:tc>
        <w:tc>
          <w:tcPr>
            <w:tcW w:w="420" w:type="dxa"/>
            <w:vAlign w:val="center"/>
          </w:tcPr>
          <w:p w14:paraId="328AEF7D"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95" w:type="dxa"/>
            <w:vAlign w:val="center"/>
          </w:tcPr>
          <w:p w14:paraId="17126973"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r w:rsidR="003C311D" w14:paraId="3BDF391E" w14:textId="77777777">
        <w:tc>
          <w:tcPr>
            <w:tcW w:w="4223" w:type="dxa"/>
            <w:vAlign w:val="center"/>
          </w:tcPr>
          <w:p w14:paraId="7666455F"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Preferred treatment (n=148)</w:t>
            </w:r>
          </w:p>
        </w:tc>
        <w:tc>
          <w:tcPr>
            <w:tcW w:w="1546" w:type="dxa"/>
            <w:vAlign w:val="center"/>
          </w:tcPr>
          <w:p w14:paraId="4C804818"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Fixed braces</w:t>
            </w:r>
          </w:p>
        </w:tc>
        <w:tc>
          <w:tcPr>
            <w:tcW w:w="420" w:type="dxa"/>
            <w:vAlign w:val="center"/>
          </w:tcPr>
          <w:p w14:paraId="705AA0D9"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495" w:type="dxa"/>
            <w:vAlign w:val="center"/>
          </w:tcPr>
          <w:p w14:paraId="5FD9A6C2"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80.9</w:t>
            </w:r>
          </w:p>
        </w:tc>
      </w:tr>
      <w:tr w:rsidR="003C311D" w14:paraId="55C8A961" w14:textId="77777777">
        <w:tc>
          <w:tcPr>
            <w:tcW w:w="4223" w:type="dxa"/>
            <w:vAlign w:val="center"/>
          </w:tcPr>
          <w:p w14:paraId="7D9F092A" w14:textId="77777777" w:rsidR="003C311D" w:rsidRDefault="003C311D">
            <w:pPr>
              <w:spacing w:after="160" w:line="278" w:lineRule="auto"/>
              <w:jc w:val="both"/>
              <w:rPr>
                <w:rFonts w:ascii="Times New Roman" w:eastAsia="Times New Roman" w:hAnsi="Times New Roman" w:cs="Times New Roman"/>
                <w:sz w:val="24"/>
                <w:szCs w:val="24"/>
              </w:rPr>
            </w:pPr>
          </w:p>
        </w:tc>
        <w:tc>
          <w:tcPr>
            <w:tcW w:w="1546" w:type="dxa"/>
            <w:vAlign w:val="center"/>
          </w:tcPr>
          <w:p w14:paraId="592F8538"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Clear aligners</w:t>
            </w:r>
          </w:p>
        </w:tc>
        <w:tc>
          <w:tcPr>
            <w:tcW w:w="420" w:type="dxa"/>
            <w:vAlign w:val="center"/>
          </w:tcPr>
          <w:p w14:paraId="0F16A404"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495" w:type="dxa"/>
            <w:vAlign w:val="center"/>
          </w:tcPr>
          <w:p w14:paraId="729EEBCA"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16.9</w:t>
            </w:r>
          </w:p>
        </w:tc>
      </w:tr>
      <w:tr w:rsidR="003C311D" w14:paraId="35200D41" w14:textId="77777777">
        <w:tc>
          <w:tcPr>
            <w:tcW w:w="4223" w:type="dxa"/>
            <w:vAlign w:val="center"/>
          </w:tcPr>
          <w:p w14:paraId="0E16D7F7" w14:textId="77777777" w:rsidR="003C311D" w:rsidRDefault="003C311D">
            <w:pPr>
              <w:spacing w:after="160" w:line="278" w:lineRule="auto"/>
              <w:jc w:val="both"/>
              <w:rPr>
                <w:rFonts w:ascii="Times New Roman" w:eastAsia="Times New Roman" w:hAnsi="Times New Roman" w:cs="Times New Roman"/>
                <w:sz w:val="24"/>
                <w:szCs w:val="24"/>
              </w:rPr>
            </w:pPr>
          </w:p>
        </w:tc>
        <w:tc>
          <w:tcPr>
            <w:tcW w:w="1546" w:type="dxa"/>
            <w:vAlign w:val="center"/>
          </w:tcPr>
          <w:p w14:paraId="1D67DD86"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sure</w:t>
            </w:r>
          </w:p>
        </w:tc>
        <w:tc>
          <w:tcPr>
            <w:tcW w:w="420" w:type="dxa"/>
            <w:vAlign w:val="center"/>
          </w:tcPr>
          <w:p w14:paraId="34AA1966"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95" w:type="dxa"/>
            <w:vAlign w:val="center"/>
          </w:tcPr>
          <w:p w14:paraId="7C9D2EF9"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3C311D" w14:paraId="6A8C1298" w14:textId="77777777">
        <w:tc>
          <w:tcPr>
            <w:tcW w:w="4223" w:type="dxa"/>
            <w:vAlign w:val="center"/>
          </w:tcPr>
          <w:p w14:paraId="29A947C3"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Aligners more expensive? (n=149)</w:t>
            </w:r>
          </w:p>
        </w:tc>
        <w:tc>
          <w:tcPr>
            <w:tcW w:w="1546" w:type="dxa"/>
            <w:vAlign w:val="center"/>
          </w:tcPr>
          <w:p w14:paraId="5E32D2D0"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420" w:type="dxa"/>
            <w:vAlign w:val="center"/>
          </w:tcPr>
          <w:p w14:paraId="5ECE60A2"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495" w:type="dxa"/>
            <w:vAlign w:val="center"/>
          </w:tcPr>
          <w:p w14:paraId="2E5E1659"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77.2</w:t>
            </w:r>
          </w:p>
        </w:tc>
      </w:tr>
      <w:tr w:rsidR="003C311D" w14:paraId="6DF2D62B" w14:textId="77777777">
        <w:tc>
          <w:tcPr>
            <w:tcW w:w="4223" w:type="dxa"/>
            <w:vAlign w:val="center"/>
          </w:tcPr>
          <w:p w14:paraId="1AB24F40" w14:textId="77777777" w:rsidR="003C311D" w:rsidRDefault="003C311D">
            <w:pPr>
              <w:spacing w:after="160" w:line="278" w:lineRule="auto"/>
              <w:jc w:val="both"/>
              <w:rPr>
                <w:rFonts w:ascii="Times New Roman" w:eastAsia="Times New Roman" w:hAnsi="Times New Roman" w:cs="Times New Roman"/>
                <w:sz w:val="24"/>
                <w:szCs w:val="24"/>
              </w:rPr>
            </w:pPr>
          </w:p>
        </w:tc>
        <w:tc>
          <w:tcPr>
            <w:tcW w:w="1546" w:type="dxa"/>
            <w:vAlign w:val="center"/>
          </w:tcPr>
          <w:p w14:paraId="459711A8"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420" w:type="dxa"/>
            <w:vAlign w:val="center"/>
          </w:tcPr>
          <w:p w14:paraId="4F8D37D7"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95" w:type="dxa"/>
            <w:vAlign w:val="center"/>
          </w:tcPr>
          <w:p w14:paraId="77A41CD4"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r>
      <w:tr w:rsidR="003C311D" w14:paraId="34D40BA4" w14:textId="77777777">
        <w:tc>
          <w:tcPr>
            <w:tcW w:w="4223" w:type="dxa"/>
            <w:vAlign w:val="center"/>
          </w:tcPr>
          <w:p w14:paraId="180F11DB" w14:textId="77777777" w:rsidR="003C311D" w:rsidRDefault="003C311D">
            <w:pPr>
              <w:spacing w:after="160" w:line="278" w:lineRule="auto"/>
              <w:jc w:val="both"/>
              <w:rPr>
                <w:rFonts w:ascii="Times New Roman" w:eastAsia="Times New Roman" w:hAnsi="Times New Roman" w:cs="Times New Roman"/>
                <w:sz w:val="24"/>
                <w:szCs w:val="24"/>
              </w:rPr>
            </w:pPr>
          </w:p>
        </w:tc>
        <w:tc>
          <w:tcPr>
            <w:tcW w:w="1546" w:type="dxa"/>
            <w:vAlign w:val="center"/>
          </w:tcPr>
          <w:p w14:paraId="152CB722"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sure</w:t>
            </w:r>
          </w:p>
        </w:tc>
        <w:tc>
          <w:tcPr>
            <w:tcW w:w="420" w:type="dxa"/>
            <w:vAlign w:val="center"/>
          </w:tcPr>
          <w:p w14:paraId="6F7A4C25"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495" w:type="dxa"/>
            <w:vAlign w:val="center"/>
          </w:tcPr>
          <w:p w14:paraId="41C81B81"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r>
    </w:tbl>
    <w:p w14:paraId="45CF5C02"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2. Awareness and Perception of Orthodontic Treatment</w:t>
      </w:r>
    </w:p>
    <w:p w14:paraId="3F0992DE" w14:textId="77777777" w:rsidR="003C311D" w:rsidRDefault="003C311D">
      <w:pPr>
        <w:spacing w:after="160" w:line="278" w:lineRule="auto"/>
        <w:jc w:val="both"/>
        <w:rPr>
          <w:rFonts w:ascii="Times New Roman" w:eastAsia="Times New Roman" w:hAnsi="Times New Roman" w:cs="Times New Roman"/>
          <w:sz w:val="24"/>
          <w:szCs w:val="24"/>
        </w:rPr>
      </w:pPr>
    </w:p>
    <w:p w14:paraId="6D5415D4" w14:textId="77777777" w:rsidR="003C311D" w:rsidRDefault="003C311D">
      <w:pPr>
        <w:spacing w:after="160" w:line="278" w:lineRule="auto"/>
        <w:jc w:val="both"/>
        <w:rPr>
          <w:rFonts w:ascii="Times New Roman" w:eastAsia="Times New Roman" w:hAnsi="Times New Roman" w:cs="Times New Roman"/>
          <w:sz w:val="24"/>
          <w:szCs w:val="24"/>
        </w:rPr>
      </w:pPr>
    </w:p>
    <w:tbl>
      <w:tblPr>
        <w:tblStyle w:val="a1"/>
        <w:tblW w:w="6240" w:type="dxa"/>
        <w:tblInd w:w="-75" w:type="dxa"/>
        <w:tblLayout w:type="fixed"/>
        <w:tblLook w:val="0400" w:firstRow="0" w:lastRow="0" w:firstColumn="0" w:lastColumn="0" w:noHBand="0" w:noVBand="1"/>
      </w:tblPr>
      <w:tblGrid>
        <w:gridCol w:w="3225"/>
        <w:gridCol w:w="600"/>
        <w:gridCol w:w="270"/>
        <w:gridCol w:w="825"/>
        <w:gridCol w:w="1320"/>
      </w:tblGrid>
      <w:tr w:rsidR="003C311D" w14:paraId="2E537D5D" w14:textId="77777777">
        <w:trPr>
          <w:trHeight w:val="614"/>
          <w:tblHeader/>
        </w:trPr>
        <w:tc>
          <w:tcPr>
            <w:tcW w:w="3225" w:type="dxa"/>
            <w:vAlign w:val="center"/>
          </w:tcPr>
          <w:p w14:paraId="4DD65549" w14:textId="77777777" w:rsidR="003C311D" w:rsidRDefault="00A00E22">
            <w:pPr>
              <w:spacing w:after="160" w:line="278"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Variable</w:t>
            </w:r>
          </w:p>
        </w:tc>
        <w:tc>
          <w:tcPr>
            <w:tcW w:w="600" w:type="dxa"/>
            <w:vAlign w:val="center"/>
          </w:tcPr>
          <w:p w14:paraId="3292A152" w14:textId="77777777" w:rsidR="003C311D" w:rsidRDefault="00A00E22">
            <w:pPr>
              <w:spacing w:after="160" w:line="278"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χ²</w:t>
            </w:r>
          </w:p>
        </w:tc>
        <w:tc>
          <w:tcPr>
            <w:tcW w:w="270" w:type="dxa"/>
            <w:vAlign w:val="center"/>
          </w:tcPr>
          <w:p w14:paraId="3E438B6C" w14:textId="77777777" w:rsidR="003C311D" w:rsidRDefault="00A00E22">
            <w:pPr>
              <w:spacing w:after="160" w:line="278"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df</w:t>
            </w:r>
          </w:p>
        </w:tc>
        <w:tc>
          <w:tcPr>
            <w:tcW w:w="825" w:type="dxa"/>
            <w:vAlign w:val="center"/>
          </w:tcPr>
          <w:p w14:paraId="404896C2" w14:textId="77777777" w:rsidR="003C311D" w:rsidRDefault="00A00E22">
            <w:pPr>
              <w:spacing w:after="160" w:line="278"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p-value</w:t>
            </w:r>
          </w:p>
        </w:tc>
        <w:tc>
          <w:tcPr>
            <w:tcW w:w="1320" w:type="dxa"/>
            <w:vAlign w:val="center"/>
          </w:tcPr>
          <w:p w14:paraId="3BCC793A" w14:textId="77777777" w:rsidR="003C311D" w:rsidRDefault="00A00E22">
            <w:pPr>
              <w:spacing w:after="160" w:line="278"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Significance</w:t>
            </w:r>
          </w:p>
        </w:tc>
      </w:tr>
      <w:tr w:rsidR="003C311D" w14:paraId="513350BF" w14:textId="77777777">
        <w:tc>
          <w:tcPr>
            <w:tcW w:w="3225" w:type="dxa"/>
            <w:vAlign w:val="center"/>
          </w:tcPr>
          <w:p w14:paraId="53FD23B6"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Type of treatment aware</w:t>
            </w:r>
          </w:p>
        </w:tc>
        <w:tc>
          <w:tcPr>
            <w:tcW w:w="600" w:type="dxa"/>
            <w:vAlign w:val="center"/>
          </w:tcPr>
          <w:p w14:paraId="314FEF89"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c>
          <w:tcPr>
            <w:tcW w:w="270" w:type="dxa"/>
            <w:vAlign w:val="center"/>
          </w:tcPr>
          <w:p w14:paraId="62A51C41"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25" w:type="dxa"/>
            <w:vAlign w:val="center"/>
          </w:tcPr>
          <w:p w14:paraId="7339E05F"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0.755</w:t>
            </w:r>
          </w:p>
        </w:tc>
        <w:tc>
          <w:tcPr>
            <w:tcW w:w="1320" w:type="dxa"/>
            <w:vAlign w:val="center"/>
          </w:tcPr>
          <w:p w14:paraId="0E6198E5"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r>
      <w:tr w:rsidR="003C311D" w14:paraId="5DB1EE49" w14:textId="77777777">
        <w:tc>
          <w:tcPr>
            <w:tcW w:w="3225" w:type="dxa"/>
            <w:vAlign w:val="center"/>
          </w:tcPr>
          <w:p w14:paraId="38AD9B22"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Heard about orthodontics</w:t>
            </w:r>
          </w:p>
        </w:tc>
        <w:tc>
          <w:tcPr>
            <w:tcW w:w="600" w:type="dxa"/>
            <w:vAlign w:val="center"/>
          </w:tcPr>
          <w:p w14:paraId="772548D5"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0.208</w:t>
            </w:r>
          </w:p>
        </w:tc>
        <w:tc>
          <w:tcPr>
            <w:tcW w:w="270" w:type="dxa"/>
            <w:vAlign w:val="center"/>
          </w:tcPr>
          <w:p w14:paraId="6C67F947"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25" w:type="dxa"/>
            <w:vAlign w:val="center"/>
          </w:tcPr>
          <w:p w14:paraId="6BD31A31"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0.901</w:t>
            </w:r>
          </w:p>
        </w:tc>
        <w:tc>
          <w:tcPr>
            <w:tcW w:w="1320" w:type="dxa"/>
            <w:vAlign w:val="center"/>
          </w:tcPr>
          <w:p w14:paraId="1CA0BE51"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r>
      <w:tr w:rsidR="003C311D" w14:paraId="387E85A4" w14:textId="77777777">
        <w:tc>
          <w:tcPr>
            <w:tcW w:w="3225" w:type="dxa"/>
            <w:vAlign w:val="center"/>
          </w:tcPr>
          <w:p w14:paraId="0E0F3D97"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 of information</w:t>
            </w:r>
          </w:p>
        </w:tc>
        <w:tc>
          <w:tcPr>
            <w:tcW w:w="600" w:type="dxa"/>
            <w:vAlign w:val="center"/>
          </w:tcPr>
          <w:p w14:paraId="79BA7FE0"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4.20</w:t>
            </w:r>
          </w:p>
        </w:tc>
        <w:tc>
          <w:tcPr>
            <w:tcW w:w="270" w:type="dxa"/>
            <w:vAlign w:val="center"/>
          </w:tcPr>
          <w:p w14:paraId="02C8B328"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25" w:type="dxa"/>
            <w:vAlign w:val="center"/>
          </w:tcPr>
          <w:p w14:paraId="688DC5E4"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0.838</w:t>
            </w:r>
          </w:p>
        </w:tc>
        <w:tc>
          <w:tcPr>
            <w:tcW w:w="1320" w:type="dxa"/>
            <w:vAlign w:val="center"/>
          </w:tcPr>
          <w:p w14:paraId="21EDBD29"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r>
      <w:tr w:rsidR="003C311D" w14:paraId="4B44A354" w14:textId="77777777">
        <w:tc>
          <w:tcPr>
            <w:tcW w:w="3225" w:type="dxa"/>
            <w:vAlign w:val="center"/>
          </w:tcPr>
          <w:p w14:paraId="68D9C3CF"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Undergoing treatment</w:t>
            </w:r>
          </w:p>
        </w:tc>
        <w:tc>
          <w:tcPr>
            <w:tcW w:w="600" w:type="dxa"/>
            <w:vAlign w:val="center"/>
          </w:tcPr>
          <w:p w14:paraId="0539D73C"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tc>
        <w:tc>
          <w:tcPr>
            <w:tcW w:w="270" w:type="dxa"/>
            <w:vAlign w:val="center"/>
          </w:tcPr>
          <w:p w14:paraId="1702D604"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25" w:type="dxa"/>
            <w:vAlign w:val="center"/>
          </w:tcPr>
          <w:p w14:paraId="62D91A4A"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0.881</w:t>
            </w:r>
          </w:p>
        </w:tc>
        <w:tc>
          <w:tcPr>
            <w:tcW w:w="1320" w:type="dxa"/>
            <w:vAlign w:val="center"/>
          </w:tcPr>
          <w:p w14:paraId="3DD2639F"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r>
      <w:tr w:rsidR="003C311D" w14:paraId="5AE578A8" w14:textId="77777777">
        <w:tc>
          <w:tcPr>
            <w:tcW w:w="3225" w:type="dxa"/>
            <w:vAlign w:val="center"/>
          </w:tcPr>
          <w:p w14:paraId="233A9BD1"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Type chosen</w:t>
            </w:r>
          </w:p>
        </w:tc>
        <w:tc>
          <w:tcPr>
            <w:tcW w:w="600" w:type="dxa"/>
            <w:vAlign w:val="center"/>
          </w:tcPr>
          <w:p w14:paraId="1A7873A6"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4.21</w:t>
            </w:r>
          </w:p>
        </w:tc>
        <w:tc>
          <w:tcPr>
            <w:tcW w:w="270" w:type="dxa"/>
            <w:vAlign w:val="center"/>
          </w:tcPr>
          <w:p w14:paraId="19F96F2A"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25" w:type="dxa"/>
            <w:vAlign w:val="center"/>
          </w:tcPr>
          <w:p w14:paraId="112A5928"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0.378</w:t>
            </w:r>
          </w:p>
        </w:tc>
        <w:tc>
          <w:tcPr>
            <w:tcW w:w="1320" w:type="dxa"/>
            <w:vAlign w:val="center"/>
          </w:tcPr>
          <w:p w14:paraId="20AAFE2B"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r>
      <w:tr w:rsidR="003C311D" w14:paraId="772E1388" w14:textId="77777777">
        <w:tc>
          <w:tcPr>
            <w:tcW w:w="3225" w:type="dxa"/>
            <w:vAlign w:val="center"/>
          </w:tcPr>
          <w:p w14:paraId="3052B859"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Willingness for future treatment</w:t>
            </w:r>
          </w:p>
        </w:tc>
        <w:tc>
          <w:tcPr>
            <w:tcW w:w="600" w:type="dxa"/>
            <w:vAlign w:val="center"/>
          </w:tcPr>
          <w:p w14:paraId="7076F6B6"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12.7</w:t>
            </w:r>
          </w:p>
        </w:tc>
        <w:tc>
          <w:tcPr>
            <w:tcW w:w="270" w:type="dxa"/>
            <w:vAlign w:val="center"/>
          </w:tcPr>
          <w:p w14:paraId="1EE38FCB"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25" w:type="dxa"/>
            <w:vAlign w:val="center"/>
          </w:tcPr>
          <w:p w14:paraId="1B1012F9"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0.013</w:t>
            </w:r>
          </w:p>
        </w:tc>
        <w:tc>
          <w:tcPr>
            <w:tcW w:w="1320" w:type="dxa"/>
            <w:vAlign w:val="center"/>
          </w:tcPr>
          <w:p w14:paraId="52B4A516"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Significant</w:t>
            </w:r>
          </w:p>
        </w:tc>
      </w:tr>
      <w:tr w:rsidR="003C311D" w14:paraId="4039FAFD" w14:textId="77777777">
        <w:tc>
          <w:tcPr>
            <w:tcW w:w="3225" w:type="dxa"/>
            <w:vAlign w:val="center"/>
          </w:tcPr>
          <w:p w14:paraId="3DB040BE"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Influencing factor</w:t>
            </w:r>
          </w:p>
        </w:tc>
        <w:tc>
          <w:tcPr>
            <w:tcW w:w="600" w:type="dxa"/>
            <w:vAlign w:val="center"/>
          </w:tcPr>
          <w:p w14:paraId="2DB08813"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2.39</w:t>
            </w:r>
          </w:p>
        </w:tc>
        <w:tc>
          <w:tcPr>
            <w:tcW w:w="270" w:type="dxa"/>
            <w:vAlign w:val="center"/>
          </w:tcPr>
          <w:p w14:paraId="68610C94"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25" w:type="dxa"/>
            <w:vAlign w:val="center"/>
          </w:tcPr>
          <w:p w14:paraId="6E2C7523"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0.966</w:t>
            </w:r>
          </w:p>
        </w:tc>
        <w:tc>
          <w:tcPr>
            <w:tcW w:w="1320" w:type="dxa"/>
            <w:vAlign w:val="center"/>
          </w:tcPr>
          <w:p w14:paraId="3A96A4B8"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r>
      <w:tr w:rsidR="003C311D" w14:paraId="56CD3D98" w14:textId="77777777">
        <w:tc>
          <w:tcPr>
            <w:tcW w:w="3225" w:type="dxa"/>
            <w:vAlign w:val="center"/>
          </w:tcPr>
          <w:p w14:paraId="0B5E9514"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Treatment preference</w:t>
            </w:r>
          </w:p>
        </w:tc>
        <w:tc>
          <w:tcPr>
            <w:tcW w:w="600" w:type="dxa"/>
            <w:vAlign w:val="center"/>
          </w:tcPr>
          <w:p w14:paraId="4689D996"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2.68</w:t>
            </w:r>
          </w:p>
        </w:tc>
        <w:tc>
          <w:tcPr>
            <w:tcW w:w="270" w:type="dxa"/>
            <w:vAlign w:val="center"/>
          </w:tcPr>
          <w:p w14:paraId="316D279C"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25" w:type="dxa"/>
            <w:vAlign w:val="center"/>
          </w:tcPr>
          <w:p w14:paraId="43955686"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0.612</w:t>
            </w:r>
          </w:p>
        </w:tc>
        <w:tc>
          <w:tcPr>
            <w:tcW w:w="1320" w:type="dxa"/>
            <w:vAlign w:val="center"/>
          </w:tcPr>
          <w:p w14:paraId="53253E20"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r>
      <w:tr w:rsidR="003C311D" w14:paraId="782A7006" w14:textId="77777777">
        <w:tc>
          <w:tcPr>
            <w:tcW w:w="3225" w:type="dxa"/>
            <w:vAlign w:val="center"/>
          </w:tcPr>
          <w:p w14:paraId="1AC0E69C"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Aligners more expensive</w:t>
            </w:r>
          </w:p>
        </w:tc>
        <w:tc>
          <w:tcPr>
            <w:tcW w:w="600" w:type="dxa"/>
            <w:vAlign w:val="center"/>
          </w:tcPr>
          <w:p w14:paraId="755BA1D8"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0.889</w:t>
            </w:r>
          </w:p>
        </w:tc>
        <w:tc>
          <w:tcPr>
            <w:tcW w:w="270" w:type="dxa"/>
            <w:vAlign w:val="center"/>
          </w:tcPr>
          <w:p w14:paraId="575CDDFE"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25" w:type="dxa"/>
            <w:vAlign w:val="center"/>
          </w:tcPr>
          <w:p w14:paraId="20BD434D"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0.926</w:t>
            </w:r>
          </w:p>
        </w:tc>
        <w:tc>
          <w:tcPr>
            <w:tcW w:w="1320" w:type="dxa"/>
            <w:vAlign w:val="center"/>
          </w:tcPr>
          <w:p w14:paraId="17CB9546"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r>
      <w:tr w:rsidR="003C311D" w14:paraId="7E9F45FD" w14:textId="77777777">
        <w:tc>
          <w:tcPr>
            <w:tcW w:w="3225" w:type="dxa"/>
            <w:vAlign w:val="center"/>
          </w:tcPr>
          <w:p w14:paraId="0F188EF8"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Follow-up awareness</w:t>
            </w:r>
          </w:p>
        </w:tc>
        <w:tc>
          <w:tcPr>
            <w:tcW w:w="600" w:type="dxa"/>
            <w:vAlign w:val="center"/>
          </w:tcPr>
          <w:p w14:paraId="3C316C14"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4.26</w:t>
            </w:r>
          </w:p>
        </w:tc>
        <w:tc>
          <w:tcPr>
            <w:tcW w:w="270" w:type="dxa"/>
            <w:vAlign w:val="center"/>
          </w:tcPr>
          <w:p w14:paraId="4F0C06A5"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25" w:type="dxa"/>
            <w:vAlign w:val="center"/>
          </w:tcPr>
          <w:p w14:paraId="1B67B771"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0.372</w:t>
            </w:r>
          </w:p>
        </w:tc>
        <w:tc>
          <w:tcPr>
            <w:tcW w:w="1320" w:type="dxa"/>
            <w:vAlign w:val="center"/>
          </w:tcPr>
          <w:p w14:paraId="74F5392C"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r>
    </w:tbl>
    <w:p w14:paraId="3F4D089A"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3. </w:t>
      </w:r>
      <w:r>
        <w:rPr>
          <w:rFonts w:ascii="Times New Roman" w:eastAsia="Times New Roman" w:hAnsi="Times New Roman" w:cs="Times New Roman"/>
          <w:sz w:val="24"/>
          <w:szCs w:val="24"/>
        </w:rPr>
        <w:t>Association Between Educational Qualification and Awareness Variables</w:t>
      </w:r>
    </w:p>
    <w:tbl>
      <w:tblPr>
        <w:tblStyle w:val="a2"/>
        <w:tblW w:w="6521" w:type="dxa"/>
        <w:tblInd w:w="0" w:type="dxa"/>
        <w:tblLayout w:type="fixed"/>
        <w:tblLook w:val="0400" w:firstRow="0" w:lastRow="0" w:firstColumn="0" w:lastColumn="0" w:noHBand="0" w:noVBand="1"/>
      </w:tblPr>
      <w:tblGrid>
        <w:gridCol w:w="3230"/>
        <w:gridCol w:w="598"/>
        <w:gridCol w:w="405"/>
        <w:gridCol w:w="870"/>
        <w:gridCol w:w="1418"/>
      </w:tblGrid>
      <w:tr w:rsidR="003C311D" w14:paraId="4B6D7CC9" w14:textId="77777777">
        <w:trPr>
          <w:trHeight w:val="569"/>
          <w:tblHeader/>
        </w:trPr>
        <w:tc>
          <w:tcPr>
            <w:tcW w:w="3230" w:type="dxa"/>
            <w:vAlign w:val="center"/>
          </w:tcPr>
          <w:p w14:paraId="094FC202" w14:textId="77777777" w:rsidR="003C311D" w:rsidRDefault="00A00E22">
            <w:pPr>
              <w:spacing w:after="160" w:line="27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Variable</w:t>
            </w:r>
          </w:p>
        </w:tc>
        <w:tc>
          <w:tcPr>
            <w:tcW w:w="598" w:type="dxa"/>
            <w:vAlign w:val="center"/>
          </w:tcPr>
          <w:p w14:paraId="53D273D5" w14:textId="77777777" w:rsidR="003C311D" w:rsidRDefault="00A00E22">
            <w:pPr>
              <w:spacing w:after="160" w:line="27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χ²</w:t>
            </w:r>
          </w:p>
        </w:tc>
        <w:tc>
          <w:tcPr>
            <w:tcW w:w="405" w:type="dxa"/>
            <w:vAlign w:val="center"/>
          </w:tcPr>
          <w:p w14:paraId="4BB2998E" w14:textId="77777777" w:rsidR="003C311D" w:rsidRDefault="00A00E22">
            <w:pPr>
              <w:spacing w:after="160" w:line="27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df</w:t>
            </w:r>
          </w:p>
        </w:tc>
        <w:tc>
          <w:tcPr>
            <w:tcW w:w="870" w:type="dxa"/>
            <w:vAlign w:val="center"/>
          </w:tcPr>
          <w:p w14:paraId="1DB9BAFF" w14:textId="77777777" w:rsidR="003C311D" w:rsidRDefault="00A00E22">
            <w:pPr>
              <w:spacing w:after="160" w:line="27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p-value</w:t>
            </w:r>
          </w:p>
        </w:tc>
        <w:tc>
          <w:tcPr>
            <w:tcW w:w="1418" w:type="dxa"/>
            <w:vAlign w:val="center"/>
          </w:tcPr>
          <w:p w14:paraId="79479D61" w14:textId="77777777" w:rsidR="003C311D" w:rsidRDefault="00A00E22">
            <w:pPr>
              <w:spacing w:after="160" w:line="278"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Significance</w:t>
            </w:r>
          </w:p>
        </w:tc>
      </w:tr>
      <w:tr w:rsidR="003C311D" w14:paraId="3DDD2859" w14:textId="77777777">
        <w:tc>
          <w:tcPr>
            <w:tcW w:w="3230" w:type="dxa"/>
            <w:vAlign w:val="center"/>
          </w:tcPr>
          <w:p w14:paraId="4259103F"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Type of treatment aware (Urban)</w:t>
            </w:r>
          </w:p>
        </w:tc>
        <w:tc>
          <w:tcPr>
            <w:tcW w:w="598" w:type="dxa"/>
            <w:vAlign w:val="center"/>
          </w:tcPr>
          <w:p w14:paraId="6DD129EF"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6.26</w:t>
            </w:r>
          </w:p>
        </w:tc>
        <w:tc>
          <w:tcPr>
            <w:tcW w:w="405" w:type="dxa"/>
            <w:vAlign w:val="center"/>
          </w:tcPr>
          <w:p w14:paraId="0C42A8FE"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0" w:type="dxa"/>
            <w:vAlign w:val="center"/>
          </w:tcPr>
          <w:p w14:paraId="7459D2CA"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0.044</w:t>
            </w:r>
          </w:p>
        </w:tc>
        <w:tc>
          <w:tcPr>
            <w:tcW w:w="1418" w:type="dxa"/>
            <w:vAlign w:val="center"/>
          </w:tcPr>
          <w:p w14:paraId="34F88A44"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Significant</w:t>
            </w:r>
          </w:p>
        </w:tc>
      </w:tr>
      <w:tr w:rsidR="003C311D" w14:paraId="664A492B" w14:textId="77777777">
        <w:tc>
          <w:tcPr>
            <w:tcW w:w="3230" w:type="dxa"/>
            <w:vAlign w:val="center"/>
          </w:tcPr>
          <w:p w14:paraId="6861A968"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Type of treatment aware (Rural)</w:t>
            </w:r>
          </w:p>
        </w:tc>
        <w:tc>
          <w:tcPr>
            <w:tcW w:w="598" w:type="dxa"/>
            <w:vAlign w:val="center"/>
          </w:tcPr>
          <w:p w14:paraId="05ACFB23"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5.49</w:t>
            </w:r>
          </w:p>
        </w:tc>
        <w:tc>
          <w:tcPr>
            <w:tcW w:w="405" w:type="dxa"/>
            <w:vAlign w:val="center"/>
          </w:tcPr>
          <w:p w14:paraId="582B26F5"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0" w:type="dxa"/>
            <w:vAlign w:val="center"/>
          </w:tcPr>
          <w:p w14:paraId="0A827C85"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0.064</w:t>
            </w:r>
          </w:p>
        </w:tc>
        <w:tc>
          <w:tcPr>
            <w:tcW w:w="1418" w:type="dxa"/>
            <w:vAlign w:val="center"/>
          </w:tcPr>
          <w:p w14:paraId="4AEFA2ED"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r>
      <w:tr w:rsidR="003C311D" w14:paraId="3766F5FE" w14:textId="77777777">
        <w:tc>
          <w:tcPr>
            <w:tcW w:w="3230" w:type="dxa"/>
            <w:vAlign w:val="center"/>
          </w:tcPr>
          <w:p w14:paraId="4AE5E61D"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Aligners more expensive (Total)</w:t>
            </w:r>
          </w:p>
        </w:tc>
        <w:tc>
          <w:tcPr>
            <w:tcW w:w="598" w:type="dxa"/>
            <w:vAlign w:val="center"/>
          </w:tcPr>
          <w:p w14:paraId="70B9CB29"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3.57</w:t>
            </w:r>
          </w:p>
        </w:tc>
        <w:tc>
          <w:tcPr>
            <w:tcW w:w="405" w:type="dxa"/>
            <w:vAlign w:val="center"/>
          </w:tcPr>
          <w:p w14:paraId="22B3E1ED"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0" w:type="dxa"/>
            <w:vAlign w:val="center"/>
          </w:tcPr>
          <w:p w14:paraId="69EF08A7"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0.168</w:t>
            </w:r>
          </w:p>
        </w:tc>
        <w:tc>
          <w:tcPr>
            <w:tcW w:w="1418" w:type="dxa"/>
            <w:vAlign w:val="center"/>
          </w:tcPr>
          <w:p w14:paraId="122BDA6B"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r>
      <w:tr w:rsidR="003C311D" w14:paraId="010A2EB2" w14:textId="77777777">
        <w:tc>
          <w:tcPr>
            <w:tcW w:w="3230" w:type="dxa"/>
            <w:vAlign w:val="center"/>
          </w:tcPr>
          <w:p w14:paraId="03F7D0D1"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Treatment preference (Total)</w:t>
            </w:r>
          </w:p>
        </w:tc>
        <w:tc>
          <w:tcPr>
            <w:tcW w:w="598" w:type="dxa"/>
            <w:vAlign w:val="center"/>
          </w:tcPr>
          <w:p w14:paraId="55129699"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tc>
        <w:tc>
          <w:tcPr>
            <w:tcW w:w="405" w:type="dxa"/>
            <w:vAlign w:val="center"/>
          </w:tcPr>
          <w:p w14:paraId="45286005"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0" w:type="dxa"/>
            <w:vAlign w:val="center"/>
          </w:tcPr>
          <w:p w14:paraId="38F883FF"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0.394</w:t>
            </w:r>
          </w:p>
        </w:tc>
        <w:tc>
          <w:tcPr>
            <w:tcW w:w="1418" w:type="dxa"/>
            <w:vAlign w:val="center"/>
          </w:tcPr>
          <w:p w14:paraId="30ECA1DB"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NS</w:t>
            </w:r>
          </w:p>
        </w:tc>
      </w:tr>
    </w:tbl>
    <w:p w14:paraId="7EAE17DC" w14:textId="77777777" w:rsidR="003C311D" w:rsidRDefault="00A00E22">
      <w:pPr>
        <w:spacing w:after="160" w:line="27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 Association Between Gender and Awareness Variables (Chi-square test was used to assess associations. Statistical significance was set at p &lt; 0.05.)</w:t>
      </w:r>
    </w:p>
    <w:p w14:paraId="77D651C6" w14:textId="77777777" w:rsidR="003C311D" w:rsidRDefault="003C311D">
      <w:pPr>
        <w:spacing w:after="160" w:line="278" w:lineRule="auto"/>
        <w:jc w:val="both"/>
      </w:pPr>
    </w:p>
    <w:p w14:paraId="740C123C" w14:textId="77777777" w:rsidR="003C311D" w:rsidRDefault="00A00E22">
      <w:pPr>
        <w:spacing w:before="240" w:after="240"/>
        <w:jc w:val="both"/>
        <w:rPr>
          <w:b/>
          <w:bCs/>
        </w:rPr>
      </w:pPr>
      <w:r>
        <w:rPr>
          <w:b/>
          <w:bCs/>
        </w:rPr>
        <w:t>2. Awareness of Orthodontic Treatment</w:t>
      </w:r>
    </w:p>
    <w:p w14:paraId="0E248B00" w14:textId="77777777" w:rsidR="003C311D" w:rsidRDefault="00A00E22">
      <w:pPr>
        <w:spacing w:before="240" w:after="240"/>
        <w:jc w:val="both"/>
        <w:rPr>
          <w:b/>
          <w:bCs/>
        </w:rPr>
      </w:pPr>
      <w:r>
        <w:rPr>
          <w:b/>
          <w:bCs/>
        </w:rPr>
        <w:t>General Awareness</w:t>
      </w:r>
    </w:p>
    <w:p w14:paraId="2AF53493" w14:textId="77777777" w:rsidR="003C311D" w:rsidRDefault="00A00E22">
      <w:pPr>
        <w:spacing w:before="240" w:after="240"/>
        <w:jc w:val="both"/>
      </w:pPr>
      <w:r>
        <w:t>Out of 150 respondents, 89.3% (n=133) reported that they had heard about orthodontic treatment for teeth alignment.</w:t>
      </w:r>
    </w:p>
    <w:p w14:paraId="1BEEC060" w14:textId="77777777" w:rsidR="003C311D" w:rsidRDefault="00A00E22">
      <w:pPr>
        <w:spacing w:before="240" w:after="240"/>
        <w:jc w:val="both"/>
        <w:rPr>
          <w:b/>
          <w:bCs/>
        </w:rPr>
      </w:pPr>
      <w:r>
        <w:rPr>
          <w:b/>
          <w:bCs/>
        </w:rPr>
        <w:t>Awareness of Treatment Types</w:t>
      </w:r>
    </w:p>
    <w:p w14:paraId="3156D59A" w14:textId="77777777" w:rsidR="003C311D" w:rsidRDefault="00A00E22">
      <w:pPr>
        <w:spacing w:before="240" w:after="240"/>
        <w:jc w:val="both"/>
      </w:pPr>
      <w:r>
        <w:t>Among participants:</w:t>
      </w:r>
    </w:p>
    <w:p w14:paraId="6B4D4DA8" w14:textId="77777777" w:rsidR="003C311D" w:rsidRDefault="00A00E22">
      <w:pPr>
        <w:spacing w:before="240" w:after="240"/>
        <w:jc w:val="both"/>
      </w:pPr>
      <w:r>
        <w:rPr>
          <w:b/>
          <w:bCs/>
        </w:rPr>
        <w:t>Metal braces (fixed mechanotherapy)</w:t>
      </w:r>
      <w:r>
        <w:t xml:space="preserve"> were the most recognized treatment (7</w:t>
      </w:r>
      <w:r>
        <w:t>2.7%).</w:t>
      </w:r>
    </w:p>
    <w:p w14:paraId="0FA928A2" w14:textId="77777777" w:rsidR="003C311D" w:rsidRDefault="00A00E22">
      <w:pPr>
        <w:spacing w:before="240" w:after="240"/>
        <w:jc w:val="both"/>
      </w:pPr>
      <w:r>
        <w:rPr>
          <w:b/>
          <w:bCs/>
        </w:rPr>
        <w:t>Clear aligners</w:t>
      </w:r>
      <w:r>
        <w:t xml:space="preserve"> were known to 19.3%.</w:t>
      </w:r>
    </w:p>
    <w:p w14:paraId="67889967" w14:textId="77777777" w:rsidR="003C311D" w:rsidRDefault="00A00E22">
      <w:pPr>
        <w:spacing w:before="240" w:after="240"/>
        <w:jc w:val="both"/>
      </w:pPr>
      <w:r>
        <w:rPr>
          <w:b/>
          <w:bCs/>
        </w:rPr>
        <w:t>Ceramic braces</w:t>
      </w:r>
      <w:r>
        <w:t xml:space="preserve"> were known to 8.0%.</w:t>
      </w:r>
    </w:p>
    <w:p w14:paraId="7E71FA5A" w14:textId="77777777" w:rsidR="003C311D" w:rsidRDefault="00A00E22">
      <w:pPr>
        <w:spacing w:before="240" w:after="240"/>
        <w:jc w:val="both"/>
        <w:rPr>
          <w:b/>
          <w:bCs/>
        </w:rPr>
      </w:pPr>
      <w:r>
        <w:rPr>
          <w:b/>
          <w:bCs/>
        </w:rPr>
        <w:lastRenderedPageBreak/>
        <w:t>Source of Information</w:t>
      </w:r>
    </w:p>
    <w:p w14:paraId="759E4B26" w14:textId="77777777" w:rsidR="003C311D" w:rsidRDefault="00A00E22">
      <w:pPr>
        <w:spacing w:before="240" w:after="240"/>
        <w:jc w:val="both"/>
      </w:pPr>
      <w:r>
        <w:t>The most common sources of information were:</w:t>
      </w:r>
    </w:p>
    <w:p w14:paraId="54B5E5C4" w14:textId="77777777" w:rsidR="003C311D" w:rsidRDefault="00A00E22">
      <w:pPr>
        <w:spacing w:before="240" w:after="240"/>
        <w:jc w:val="both"/>
      </w:pPr>
      <w:r>
        <w:t>Family and friends (55.3%)</w:t>
      </w:r>
    </w:p>
    <w:p w14:paraId="613C7EDF" w14:textId="77777777" w:rsidR="003C311D" w:rsidRDefault="00A00E22">
      <w:pPr>
        <w:spacing w:before="240" w:after="240"/>
        <w:jc w:val="both"/>
      </w:pPr>
      <w:r>
        <w:t>Dentists (36.7%)</w:t>
      </w:r>
    </w:p>
    <w:p w14:paraId="68DC15B7" w14:textId="77777777" w:rsidR="003C311D" w:rsidRDefault="00A00E22">
      <w:pPr>
        <w:spacing w:before="240" w:after="240"/>
        <w:jc w:val="both"/>
      </w:pPr>
      <w:r>
        <w:t>Social media (5.3%)</w:t>
      </w:r>
    </w:p>
    <w:p w14:paraId="5E39EC1D" w14:textId="77777777" w:rsidR="003C311D" w:rsidRDefault="00A00E22">
      <w:pPr>
        <w:spacing w:before="240" w:after="240"/>
        <w:jc w:val="both"/>
      </w:pPr>
      <w:r>
        <w:t>Television/radio (2.0%)</w:t>
      </w:r>
    </w:p>
    <w:p w14:paraId="6F23FE2E" w14:textId="77777777" w:rsidR="003C311D" w:rsidRDefault="00A00E22">
      <w:pPr>
        <w:spacing w:before="240" w:after="240"/>
        <w:jc w:val="both"/>
        <w:rPr>
          <w:rFonts w:ascii="Times New Roman" w:eastAsia="Times New Roman" w:hAnsi="Times New Roman" w:cs="Times New Roman"/>
          <w:sz w:val="24"/>
          <w:szCs w:val="24"/>
        </w:rPr>
      </w:pPr>
      <w:proofErr w:type="gramStart"/>
      <w:r>
        <w:t>Advertisement</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0.7%)</w:t>
      </w:r>
    </w:p>
    <w:p w14:paraId="52DB2F42" w14:textId="77777777" w:rsidR="003C311D" w:rsidRDefault="00A00E22">
      <w:pPr>
        <w:spacing w:before="240" w:after="240"/>
        <w:jc w:val="both"/>
        <w:rPr>
          <w:b/>
          <w:bCs/>
        </w:rPr>
      </w:pPr>
      <w:r>
        <w:t xml:space="preserve"> </w:t>
      </w:r>
      <w:r>
        <w:rPr>
          <w:b/>
          <w:bCs/>
        </w:rPr>
        <w:t>3.</w:t>
      </w:r>
      <w:r>
        <w:rPr>
          <w:b/>
          <w:bCs/>
        </w:rPr>
        <w:t xml:space="preserve"> Treatment Experience and Attitude</w:t>
      </w:r>
    </w:p>
    <w:p w14:paraId="3DB0DD41" w14:textId="77777777" w:rsidR="003C311D" w:rsidRDefault="00A00E22">
      <w:pPr>
        <w:spacing w:before="240" w:after="240"/>
        <w:jc w:val="both"/>
        <w:rPr>
          <w:b/>
          <w:bCs/>
        </w:rPr>
      </w:pPr>
      <w:r>
        <w:rPr>
          <w:b/>
          <w:bCs/>
        </w:rPr>
        <w:t>Previous or Current Orthodontic Treatment</w:t>
      </w:r>
    </w:p>
    <w:p w14:paraId="4524DE21" w14:textId="77777777" w:rsidR="003C311D" w:rsidRDefault="00A00E22">
      <w:pPr>
        <w:spacing w:before="240" w:after="240"/>
        <w:jc w:val="both"/>
      </w:pPr>
      <w:r>
        <w:t>A majority of participants (78.0%) reported having undergone or currently undergoing orthodontic treatment.</w:t>
      </w:r>
    </w:p>
    <w:p w14:paraId="326A77D3" w14:textId="77777777" w:rsidR="003C311D" w:rsidRDefault="00A00E22">
      <w:pPr>
        <w:spacing w:before="240" w:after="240"/>
        <w:jc w:val="both"/>
        <w:rPr>
          <w:b/>
          <w:bCs/>
        </w:rPr>
      </w:pPr>
      <w:r>
        <w:rPr>
          <w:b/>
          <w:bCs/>
        </w:rPr>
        <w:t>Type of Treatment Chosen</w:t>
      </w:r>
    </w:p>
    <w:p w14:paraId="39839958" w14:textId="77777777" w:rsidR="003C311D" w:rsidRDefault="00A00E22">
      <w:pPr>
        <w:spacing w:before="240" w:after="240"/>
        <w:jc w:val="both"/>
      </w:pPr>
      <w:r>
        <w:t>Among those treated:</w:t>
      </w:r>
    </w:p>
    <w:p w14:paraId="089E8795" w14:textId="77777777" w:rsidR="003C311D" w:rsidRDefault="00A00E22">
      <w:pPr>
        <w:spacing w:before="240" w:after="240"/>
        <w:jc w:val="both"/>
      </w:pPr>
      <w:r>
        <w:t xml:space="preserve">Fixed braces were the </w:t>
      </w:r>
      <w:r>
        <w:t>most commonly chosen option (84.0%).</w:t>
      </w:r>
    </w:p>
    <w:p w14:paraId="44C424F6" w14:textId="77777777" w:rsidR="003C311D" w:rsidRDefault="00A00E22">
      <w:pPr>
        <w:spacing w:before="240" w:after="240"/>
        <w:jc w:val="both"/>
      </w:pPr>
      <w:r>
        <w:t>Clear aligners were selected by 13.3%.</w:t>
      </w:r>
    </w:p>
    <w:p w14:paraId="33CAD64C" w14:textId="77777777" w:rsidR="003C311D" w:rsidRDefault="00A00E22">
      <w:pPr>
        <w:spacing w:before="240" w:after="240"/>
        <w:jc w:val="both"/>
      </w:pPr>
      <w:r>
        <w:t>Other options accounted for 2.7%</w:t>
      </w:r>
    </w:p>
    <w:p w14:paraId="078BEECA" w14:textId="77777777" w:rsidR="003C311D" w:rsidRDefault="00A00E22">
      <w:pPr>
        <w:spacing w:before="240" w:after="240"/>
        <w:jc w:val="both"/>
        <w:rPr>
          <w:b/>
          <w:bCs/>
        </w:rPr>
      </w:pPr>
      <w:r>
        <w:rPr>
          <w:b/>
          <w:bCs/>
        </w:rPr>
        <w:t>Willingness for Future Treatment</w:t>
      </w:r>
    </w:p>
    <w:p w14:paraId="1E54724F" w14:textId="77777777" w:rsidR="003C311D" w:rsidRDefault="00A00E22">
      <w:pPr>
        <w:spacing w:before="240" w:after="240"/>
        <w:jc w:val="both"/>
      </w:pPr>
      <w:r>
        <w:t>A significant proportion of respondents (92.6%) indicated that they would consider orthodontic treatment in the fu</w:t>
      </w:r>
      <w:r>
        <w:t>ture if required.</w:t>
      </w:r>
    </w:p>
    <w:p w14:paraId="28B1F9A5" w14:textId="77777777" w:rsidR="003C311D" w:rsidRDefault="00A00E22">
      <w:pPr>
        <w:spacing w:before="240" w:after="240"/>
        <w:jc w:val="both"/>
        <w:rPr>
          <w:b/>
          <w:bCs/>
        </w:rPr>
      </w:pPr>
      <w:r>
        <w:rPr>
          <w:b/>
          <w:bCs/>
        </w:rPr>
        <w:t>4. Factors Influencing Treatment Choice</w:t>
      </w:r>
    </w:p>
    <w:p w14:paraId="4EC30A94" w14:textId="77777777" w:rsidR="003C311D" w:rsidRDefault="00A00E22">
      <w:pPr>
        <w:spacing w:before="240" w:after="240"/>
        <w:jc w:val="both"/>
      </w:pPr>
      <w:r>
        <w:t>The most commonly reported influencing factor was:</w:t>
      </w:r>
    </w:p>
    <w:p w14:paraId="2B79AF3A" w14:textId="77777777" w:rsidR="003C311D" w:rsidRDefault="00A00E22">
      <w:pPr>
        <w:spacing w:before="240" w:after="240"/>
        <w:jc w:val="both"/>
      </w:pPr>
      <w:r>
        <w:t>Cost of treatment (67.1%)</w:t>
      </w:r>
    </w:p>
    <w:p w14:paraId="76440747" w14:textId="77777777" w:rsidR="003C311D" w:rsidRDefault="00A00E22">
      <w:pPr>
        <w:spacing w:before="240" w:after="240"/>
        <w:jc w:val="both"/>
      </w:pPr>
      <w:r>
        <w:t>Esthetic appearance (17.4%)</w:t>
      </w:r>
    </w:p>
    <w:p w14:paraId="2AD82C60" w14:textId="77777777" w:rsidR="003C311D" w:rsidRDefault="00A00E22">
      <w:pPr>
        <w:spacing w:before="240" w:after="240"/>
        <w:jc w:val="both"/>
      </w:pPr>
      <w:r>
        <w:t>Duration of treatment (8.7%)</w:t>
      </w:r>
    </w:p>
    <w:p w14:paraId="422B22D6" w14:textId="77777777" w:rsidR="003C311D" w:rsidRDefault="00A00E22">
      <w:pPr>
        <w:spacing w:before="240" w:after="240"/>
        <w:jc w:val="both"/>
      </w:pPr>
      <w:r>
        <w:t>Dentist recommendation (6.0%)</w:t>
      </w:r>
    </w:p>
    <w:p w14:paraId="0BE43BEB" w14:textId="77777777" w:rsidR="003C311D" w:rsidRDefault="00A00E22">
      <w:pPr>
        <w:spacing w:before="240" w:after="240"/>
        <w:jc w:val="both"/>
      </w:pPr>
      <w:r>
        <w:lastRenderedPageBreak/>
        <w:t>Peer influence (0.7%)</w:t>
      </w:r>
    </w:p>
    <w:p w14:paraId="4DDB677C" w14:textId="77777777" w:rsidR="003C311D" w:rsidRDefault="00A00E22">
      <w:pPr>
        <w:spacing w:before="240" w:after="240"/>
        <w:jc w:val="both"/>
        <w:rPr>
          <w:b/>
          <w:bCs/>
        </w:rPr>
      </w:pPr>
      <w:r>
        <w:rPr>
          <w:b/>
          <w:bCs/>
        </w:rPr>
        <w:t xml:space="preserve">5. </w:t>
      </w:r>
      <w:r>
        <w:rPr>
          <w:b/>
          <w:bCs/>
        </w:rPr>
        <w:t>Preference Between Fixed Braces and Clear Aligners</w:t>
      </w:r>
    </w:p>
    <w:p w14:paraId="751DD3F7" w14:textId="77777777" w:rsidR="003C311D" w:rsidRDefault="00A00E22">
      <w:pPr>
        <w:spacing w:before="240" w:after="240"/>
        <w:jc w:val="both"/>
      </w:pPr>
      <w:r>
        <w:t>When both options were assumed to be available:</w:t>
      </w:r>
    </w:p>
    <w:p w14:paraId="1459955B" w14:textId="77777777" w:rsidR="003C311D" w:rsidRDefault="00A00E22">
      <w:pPr>
        <w:spacing w:before="240" w:after="240"/>
        <w:jc w:val="both"/>
      </w:pPr>
      <w:r>
        <w:t>80.9% preferred fixed braces</w:t>
      </w:r>
    </w:p>
    <w:p w14:paraId="4BC389D1" w14:textId="77777777" w:rsidR="003C311D" w:rsidRDefault="00A00E22">
      <w:pPr>
        <w:spacing w:before="240" w:after="240"/>
        <w:jc w:val="both"/>
      </w:pPr>
      <w:r>
        <w:t>16.9% preferred clear aligners</w:t>
      </w:r>
    </w:p>
    <w:p w14:paraId="278AF4E3" w14:textId="77777777" w:rsidR="003C311D" w:rsidRDefault="00A00E22">
      <w:pPr>
        <w:spacing w:before="240" w:after="240"/>
        <w:jc w:val="both"/>
      </w:pPr>
      <w:r>
        <w:t>2.0% were unsure</w:t>
      </w:r>
    </w:p>
    <w:p w14:paraId="18E179C4" w14:textId="77777777" w:rsidR="003C311D" w:rsidRDefault="00A00E22">
      <w:pPr>
        <w:spacing w:before="240" w:after="240"/>
        <w:jc w:val="both"/>
        <w:rPr>
          <w:b/>
          <w:bCs/>
        </w:rPr>
      </w:pPr>
      <w:r>
        <w:rPr>
          <w:b/>
          <w:bCs/>
        </w:rPr>
        <w:t>6. Perception of Cost and Maintenance</w:t>
      </w:r>
    </w:p>
    <w:p w14:paraId="1D090AC1" w14:textId="77777777" w:rsidR="003C311D" w:rsidRDefault="00A00E22">
      <w:pPr>
        <w:spacing w:before="240" w:after="240"/>
        <w:jc w:val="both"/>
      </w:pPr>
      <w:r>
        <w:t>77.2% believed clear aligners are more exp</w:t>
      </w:r>
      <w:r>
        <w:t>ensive than fixed braces.</w:t>
      </w:r>
    </w:p>
    <w:p w14:paraId="7EEE4A94" w14:textId="77777777" w:rsidR="003C311D" w:rsidRDefault="00A00E22">
      <w:pPr>
        <w:spacing w:before="240" w:after="240"/>
        <w:jc w:val="both"/>
      </w:pPr>
      <w:r>
        <w:t>62.8% were aware that both treatments require regular follow-ups and oral hygiene maintenance.</w:t>
      </w:r>
    </w:p>
    <w:p w14:paraId="16B00003" w14:textId="77777777" w:rsidR="003C311D" w:rsidRDefault="00A00E22">
      <w:pPr>
        <w:spacing w:before="240" w:after="240"/>
        <w:jc w:val="both"/>
        <w:rPr>
          <w:b/>
          <w:bCs/>
        </w:rPr>
      </w:pPr>
      <w:r>
        <w:rPr>
          <w:b/>
          <w:bCs/>
        </w:rPr>
        <w:t>7. Association Between Educational Qualification and Awareness</w:t>
      </w:r>
    </w:p>
    <w:p w14:paraId="78FD2A75" w14:textId="77777777" w:rsidR="003C311D" w:rsidRDefault="00A00E22">
      <w:pPr>
        <w:spacing w:before="240" w:after="240"/>
        <w:jc w:val="both"/>
      </w:pPr>
      <w:r>
        <w:t>Chi-square tests were performed to assess associations between education</w:t>
      </w:r>
      <w:r>
        <w:t>al qualification and awareness-related variables.</w:t>
      </w:r>
    </w:p>
    <w:p w14:paraId="2352D3A0" w14:textId="77777777" w:rsidR="003C311D" w:rsidRDefault="00A00E22">
      <w:pPr>
        <w:spacing w:before="240" w:after="240"/>
        <w:jc w:val="both"/>
      </w:pPr>
      <w:r>
        <w:t>No statistically significant association was observed between educational qualification and:</w:t>
      </w:r>
    </w:p>
    <w:p w14:paraId="3B8D6430" w14:textId="77777777" w:rsidR="003C311D" w:rsidRDefault="00A00E22">
      <w:pPr>
        <w:spacing w:before="240" w:after="240"/>
        <w:jc w:val="both"/>
      </w:pPr>
      <w:r>
        <w:t>Awareness of treatment types (χ²=1.90, p=0.755)</w:t>
      </w:r>
    </w:p>
    <w:p w14:paraId="3A494EB8" w14:textId="77777777" w:rsidR="003C311D" w:rsidRDefault="00A00E22">
      <w:pPr>
        <w:spacing w:before="240" w:after="240"/>
        <w:jc w:val="both"/>
      </w:pPr>
      <w:r>
        <w:t>Knowledge about orthodontic treatment (χ²=0.208, p=0.901)</w:t>
      </w:r>
    </w:p>
    <w:p w14:paraId="295DB50C" w14:textId="77777777" w:rsidR="003C311D" w:rsidRDefault="00A00E22">
      <w:pPr>
        <w:spacing w:before="240" w:after="240"/>
        <w:jc w:val="both"/>
      </w:pPr>
      <w:r>
        <w:t xml:space="preserve">Source </w:t>
      </w:r>
      <w:r>
        <w:t>of information (χ²=4.20, p=0.838)</w:t>
      </w:r>
    </w:p>
    <w:p w14:paraId="0AF75CC9" w14:textId="77777777" w:rsidR="003C311D" w:rsidRDefault="00A00E22">
      <w:pPr>
        <w:spacing w:before="240" w:after="240"/>
        <w:jc w:val="both"/>
      </w:pPr>
      <w:r>
        <w:t>Treatment preference (χ²=2.68, p=0.612)</w:t>
      </w:r>
    </w:p>
    <w:p w14:paraId="4EAF532D" w14:textId="77777777" w:rsidR="003C311D" w:rsidRDefault="00A00E22">
      <w:pPr>
        <w:spacing w:before="240" w:after="240"/>
        <w:jc w:val="both"/>
      </w:pPr>
      <w:r>
        <w:t>Perception of cost (χ²=0.889, p=0.926)</w:t>
      </w:r>
    </w:p>
    <w:p w14:paraId="3716BC1E" w14:textId="77777777" w:rsidR="003C311D" w:rsidRDefault="00A00E22">
      <w:pPr>
        <w:spacing w:before="240" w:after="240"/>
        <w:jc w:val="both"/>
      </w:pPr>
      <w:r>
        <w:t>Awareness of follow-up requirements (χ²=4.26, p=0.372)</w:t>
      </w:r>
    </w:p>
    <w:p w14:paraId="7E3B8B69" w14:textId="77777777" w:rsidR="003C311D" w:rsidRDefault="00A00E22">
      <w:pPr>
        <w:spacing w:before="240" w:after="240"/>
        <w:jc w:val="both"/>
      </w:pPr>
      <w:r>
        <w:t>However, a statistically significant association was found between educational qualifica</w:t>
      </w:r>
      <w:r>
        <w:t>tion and willingness to undergo orthodontic treatment in the future (χ²=12.7, p=0.013), indicating that educational status influenced treatment consideration.</w:t>
      </w:r>
    </w:p>
    <w:p w14:paraId="4D60240B" w14:textId="77777777" w:rsidR="003C311D" w:rsidRDefault="00A00E22">
      <w:pPr>
        <w:spacing w:before="240" w:after="240"/>
        <w:jc w:val="both"/>
        <w:rPr>
          <w:b/>
          <w:bCs/>
        </w:rPr>
      </w:pPr>
      <w:r>
        <w:rPr>
          <w:b/>
          <w:bCs/>
        </w:rPr>
        <w:t>8. Association Between Gender, Location and Awareness</w:t>
      </w:r>
    </w:p>
    <w:p w14:paraId="7C539F39" w14:textId="77777777" w:rsidR="003C311D" w:rsidRDefault="00A00E22">
      <w:pPr>
        <w:spacing w:before="240" w:after="240"/>
        <w:jc w:val="both"/>
      </w:pPr>
      <w:r>
        <w:t>A statistically significant association was</w:t>
      </w:r>
      <w:r>
        <w:t xml:space="preserve"> observed between gender and awareness of orthodontic treatment types among the urban population (χ²=6.26, p=0.044), suggesting differences in awareness patterns between males and females in urban areas.</w:t>
      </w:r>
    </w:p>
    <w:p w14:paraId="2F1036C2" w14:textId="77777777" w:rsidR="003C311D" w:rsidRDefault="00A00E22">
      <w:pPr>
        <w:spacing w:before="240" w:after="240"/>
        <w:jc w:val="both"/>
      </w:pPr>
      <w:r>
        <w:t>No statistically significant association was found b</w:t>
      </w:r>
      <w:r>
        <w:t>etween gender and:</w:t>
      </w:r>
    </w:p>
    <w:p w14:paraId="1C117D6E" w14:textId="77777777" w:rsidR="003C311D" w:rsidRDefault="00A00E22">
      <w:pPr>
        <w:spacing w:before="240" w:after="240"/>
        <w:jc w:val="both"/>
      </w:pPr>
      <w:r>
        <w:lastRenderedPageBreak/>
        <w:t>Perception of cost (p=0.168)</w:t>
      </w:r>
    </w:p>
    <w:p w14:paraId="6605AD57" w14:textId="77777777" w:rsidR="003C311D" w:rsidRDefault="00A00E22">
      <w:pPr>
        <w:spacing w:before="240" w:after="240"/>
        <w:jc w:val="both"/>
        <w:rPr>
          <w:rFonts w:ascii="Times New Roman" w:eastAsia="Times New Roman" w:hAnsi="Times New Roman" w:cs="Times New Roman"/>
          <w:sz w:val="24"/>
          <w:szCs w:val="24"/>
        </w:rPr>
      </w:pPr>
      <w:r>
        <w:t>Treatment preference (p=0.394)</w:t>
      </w:r>
    </w:p>
    <w:p w14:paraId="02D7CE48" w14:textId="77777777" w:rsidR="003C311D" w:rsidRDefault="00A00E22">
      <w:pPr>
        <w:spacing w:before="240" w:after="240"/>
        <w:jc w:val="both"/>
        <w:rPr>
          <w:b/>
          <w:bCs/>
          <w:sz w:val="32"/>
          <w:szCs w:val="32"/>
        </w:rPr>
      </w:pPr>
      <w:r>
        <w:rPr>
          <w:b/>
          <w:bCs/>
          <w:sz w:val="32"/>
          <w:szCs w:val="32"/>
        </w:rPr>
        <w:t>DISCUSSION:</w:t>
      </w:r>
    </w:p>
    <w:p w14:paraId="2C11544F" w14:textId="77777777" w:rsidR="003C311D" w:rsidRDefault="00A00E22">
      <w:pPr>
        <w:spacing w:before="240" w:after="240"/>
      </w:pPr>
      <w:r>
        <w:t>The present study explored the level of awareness about orthodontic treatment options, particularly fixed orthodontic mechanotherapy and clear aligner therapy, among</w:t>
      </w:r>
      <w:r>
        <w:t xml:space="preserve"> young adults in Tamil Nadu. Understanding how well individuals are informed about these treatment modalities is important because awareness can influence treatment acceptance, expectations, and oral health decisions¹⁶.</w:t>
      </w:r>
    </w:p>
    <w:p w14:paraId="2FDC1E5D" w14:textId="77777777" w:rsidR="003C311D" w:rsidRDefault="00A00E22">
      <w:pPr>
        <w:spacing w:before="240" w:after="240"/>
      </w:pPr>
      <w:r>
        <w:t>The results suggest that most partic</w:t>
      </w:r>
      <w:r>
        <w:t>ipants were more familiar with conventional fixed orthodontic appliances than with clear aligner systems. This observation may be explained by the long history and common visibility of fixed braces in dental practice and in the community¹. In contrast, ali</w:t>
      </w:r>
      <w:r>
        <w:t>gner therapy represents a more recent technological advancement in orthodontics</w:t>
      </w:r>
      <w:proofErr w:type="gramStart"/>
      <w:r>
        <w:t>²,⁹</w:t>
      </w:r>
      <w:proofErr w:type="gramEnd"/>
      <w:r>
        <w:t xml:space="preserve"> and may not yet be widely understood by all sections of the population.</w:t>
      </w:r>
    </w:p>
    <w:p w14:paraId="2A85A117" w14:textId="77777777" w:rsidR="003C311D" w:rsidRDefault="00A00E22">
      <w:pPr>
        <w:spacing w:before="240" w:after="240"/>
      </w:pPr>
      <w:r>
        <w:t xml:space="preserve">Another key finding of this study is that aesthetic improvement appears to be a major reason for </w:t>
      </w:r>
      <w:r>
        <w:t>considering orthodontic treatment among young adults. Modern society places significant importance on facial appearance and smile esthetics, which significantly influence psychosocial well-being and treatment-seeking behavior¹</w:t>
      </w:r>
      <w:proofErr w:type="gramStart"/>
      <w:r>
        <w:t>¹,²</w:t>
      </w:r>
      <w:proofErr w:type="gramEnd"/>
      <w:r>
        <w:t>⁰. Therefore, individuals m</w:t>
      </w:r>
      <w:r>
        <w:t>ay seek orthodontic care not only for functional correction but also for enhancement of their overall appearance and self-confidence.</w:t>
      </w:r>
    </w:p>
    <w:p w14:paraId="6381B7E2" w14:textId="77777777" w:rsidR="003C311D" w:rsidRDefault="00A00E22">
      <w:pPr>
        <w:spacing w:before="240" w:after="240"/>
      </w:pPr>
      <w:r>
        <w:t>At the same time, the findings indicate that awareness about the broader functional benefits of orthodontic treatment is c</w:t>
      </w:r>
      <w:r>
        <w:t>omparatively limited among some participants. Orthodontic therapy plays an important role in improving occlusion, maintaining oral hygiene, and preventing long-term dental complications¹⁶. Limited understanding of these functional aspects highlights the ne</w:t>
      </w:r>
      <w:r>
        <w:t>ed for improved patient education and public health awareness initiatives.</w:t>
      </w:r>
    </w:p>
    <w:p w14:paraId="027852B7" w14:textId="77777777" w:rsidR="003C311D" w:rsidRDefault="00A00E22">
      <w:pPr>
        <w:spacing w:before="240" w:after="240"/>
      </w:pPr>
      <w:r>
        <w:t>Sources of information may also contribute to the awareness levels observed in this study. Digital platforms and advancements in orthodontic technology have significantly influenced</w:t>
      </w:r>
      <w:r>
        <w:t xml:space="preserve"> public perception of newer treatment modalities such as clear aligners</w:t>
      </w:r>
      <w:proofErr w:type="gramStart"/>
      <w:r>
        <w:t>⁵,²</w:t>
      </w:r>
      <w:proofErr w:type="gramEnd"/>
      <w:r>
        <w:t>¹. Increased exposure to accurate information through professional guidance and verified educational sources could help improve knowledge and correct misconceptions.</w:t>
      </w:r>
    </w:p>
    <w:p w14:paraId="5D09E263" w14:textId="77777777" w:rsidR="003C311D" w:rsidRDefault="00A00E22">
      <w:pPr>
        <w:spacing w:before="240" w:after="240"/>
      </w:pPr>
      <w:r>
        <w:t>Although this st</w:t>
      </w:r>
      <w:r>
        <w:t xml:space="preserve">udy provides useful insights, certain limitations should be considered when interpreting the results. The study focused only on young adults; therefore, the findings may not represent awareness levels in other age groups. Additionally, questionnaire-based </w:t>
      </w:r>
      <w:r>
        <w:t>surveys may introduce response bias, as participants may answer based on perceived expectations. Future research involving larger and more diverse populations is recommended to obtain a broader understanding of awareness regarding orthodontic treatment opt</w:t>
      </w:r>
      <w:r>
        <w:t>ions.</w:t>
      </w:r>
    </w:p>
    <w:p w14:paraId="5F3EDABD" w14:textId="77777777" w:rsidR="003C311D" w:rsidRDefault="003C311D">
      <w:pPr>
        <w:spacing w:before="240" w:after="240"/>
      </w:pPr>
    </w:p>
    <w:p w14:paraId="095A6F49" w14:textId="77777777" w:rsidR="003C311D" w:rsidRDefault="00A00E22">
      <w:pPr>
        <w:spacing w:before="240" w:after="240"/>
      </w:pPr>
      <w:r>
        <w:lastRenderedPageBreak/>
        <w:t xml:space="preserve">Overall, the findings of the present study suggest that while knowledge about fixed orthodontic treatment is relatively widespread, awareness of clear aligner therapy is still </w:t>
      </w:r>
      <w:proofErr w:type="spellStart"/>
      <w:proofErr w:type="gramStart"/>
      <w:r>
        <w:t>developing.Strengthening</w:t>
      </w:r>
      <w:proofErr w:type="spellEnd"/>
      <w:proofErr w:type="gramEnd"/>
      <w:r>
        <w:t xml:space="preserve"> patient education and improving communication be</w:t>
      </w:r>
      <w:r>
        <w:t>tween dental professionals and the public may help individuals gain a clearer understanding of available orthodontic treatments and support informed decision-making.</w:t>
      </w:r>
    </w:p>
    <w:p w14:paraId="6D6C0933" w14:textId="77777777" w:rsidR="003C311D" w:rsidRDefault="00A00E22">
      <w:pPr>
        <w:spacing w:before="240" w:after="240"/>
        <w:jc w:val="both"/>
        <w:rPr>
          <w:b/>
          <w:bCs/>
          <w:sz w:val="30"/>
          <w:szCs w:val="30"/>
        </w:rPr>
      </w:pPr>
      <w:r>
        <w:rPr>
          <w:b/>
          <w:bCs/>
          <w:sz w:val="30"/>
          <w:szCs w:val="30"/>
        </w:rPr>
        <w:t>conclusion</w:t>
      </w:r>
    </w:p>
    <w:p w14:paraId="64A9E6E1" w14:textId="77777777" w:rsidR="003C311D" w:rsidRDefault="00A00E22">
      <w:pPr>
        <w:spacing w:before="240" w:after="240"/>
        <w:jc w:val="both"/>
      </w:pPr>
      <w:r>
        <w:t>Within the limitations of this cross-sectional questionnaire-based study, the f</w:t>
      </w:r>
      <w:r>
        <w:t xml:space="preserve">indings indicate that young adults in Tamil Nadu demonstrate a moderate level of awareness regarding orthodontic treatment, including fixed orthodontic mechanotherapy and aligner therapy. A higher proportion of participants were familiar with conventional </w:t>
      </w:r>
      <w:r>
        <w:t>fixed braces compared to clear aligners, although awareness of aligner therapy is increasing.</w:t>
      </w:r>
    </w:p>
    <w:p w14:paraId="650B4198" w14:textId="77777777" w:rsidR="003C311D" w:rsidRDefault="00A00E22">
      <w:pPr>
        <w:spacing w:before="240" w:after="240"/>
        <w:jc w:val="both"/>
        <w:rPr>
          <w:b/>
          <w:bCs/>
          <w:sz w:val="32"/>
          <w:szCs w:val="32"/>
        </w:rPr>
      </w:pPr>
      <w:r>
        <w:t>The results suggest that while general knowledge about orthodontic treatment and its impact on facial aesthetics is present, gaps remain regarding treatment durat</w:t>
      </w:r>
      <w:r>
        <w:t>ion, comfort, and comparative benefits of different modalities. Increased educational initiatives and awareness programs may help improve understanding and promote informed decision-making among young adults</w:t>
      </w:r>
    </w:p>
    <w:p w14:paraId="7BE047B8" w14:textId="77777777" w:rsidR="003C311D" w:rsidRDefault="003C311D"/>
    <w:p w14:paraId="662C6670" w14:textId="77777777" w:rsidR="003C311D" w:rsidRDefault="00A00E22">
      <w:pPr>
        <w:rPr>
          <w:b/>
          <w:bCs/>
          <w:i/>
          <w:iCs/>
          <w:color w:val="1F1F1F"/>
          <w:sz w:val="46"/>
          <w:szCs w:val="46"/>
          <w:highlight w:val="white"/>
        </w:rPr>
      </w:pPr>
      <w:r>
        <w:rPr>
          <w:b/>
          <w:bCs/>
          <w:sz w:val="32"/>
          <w:szCs w:val="32"/>
        </w:rPr>
        <w:t>REFERENCES</w:t>
      </w:r>
    </w:p>
    <w:p w14:paraId="5062B59F" w14:textId="77777777" w:rsidR="003C311D" w:rsidRDefault="00A00E22">
      <w:pPr>
        <w:numPr>
          <w:ilvl w:val="0"/>
          <w:numId w:val="1"/>
        </w:numPr>
        <w:pBdr>
          <w:top w:val="none" w:sz="0" w:space="0" w:color="000000"/>
          <w:bottom w:val="none" w:sz="0" w:space="0" w:color="000000"/>
          <w:right w:val="none" w:sz="0" w:space="0" w:color="000000"/>
          <w:between w:val="none" w:sz="0" w:space="0" w:color="000000"/>
        </w:pBdr>
        <w:spacing w:before="240" w:line="360" w:lineRule="auto"/>
        <w:rPr>
          <w:i/>
          <w:iCs/>
          <w:color w:val="1F1F1F"/>
          <w:highlight w:val="white"/>
        </w:rPr>
      </w:pPr>
      <w:r>
        <w:rPr>
          <w:i/>
          <w:iCs/>
          <w:color w:val="1F1F1F"/>
          <w:highlight w:val="white"/>
        </w:rPr>
        <w:t>Kesling HD. The philosophy of the to</w:t>
      </w:r>
      <w:r>
        <w:rPr>
          <w:i/>
          <w:iCs/>
          <w:color w:val="1F1F1F"/>
          <w:highlight w:val="white"/>
        </w:rPr>
        <w:t xml:space="preserve">oth positioning appliance. Am J </w:t>
      </w:r>
      <w:proofErr w:type="spellStart"/>
      <w:r>
        <w:rPr>
          <w:i/>
          <w:iCs/>
          <w:color w:val="1F1F1F"/>
          <w:highlight w:val="white"/>
        </w:rPr>
        <w:t>Orthod</w:t>
      </w:r>
      <w:proofErr w:type="spellEnd"/>
      <w:r>
        <w:rPr>
          <w:i/>
          <w:iCs/>
          <w:color w:val="1F1F1F"/>
          <w:highlight w:val="white"/>
        </w:rPr>
        <w:t xml:space="preserve"> Oral Surg. 1945;31(6):297-304.</w:t>
      </w:r>
      <w:r>
        <w:rPr>
          <w:i/>
          <w:iCs/>
          <w:color w:val="1F1F1F"/>
          <w:highlight w:val="white"/>
        </w:rPr>
        <w:br/>
      </w:r>
    </w:p>
    <w:p w14:paraId="75DE73EB" w14:textId="77777777" w:rsidR="003C311D" w:rsidRDefault="00A00E22">
      <w:pPr>
        <w:numPr>
          <w:ilvl w:val="0"/>
          <w:numId w:val="1"/>
        </w:numPr>
        <w:pBdr>
          <w:top w:val="none" w:sz="0" w:space="0" w:color="000000"/>
          <w:bottom w:val="none" w:sz="0" w:space="0" w:color="000000"/>
          <w:right w:val="none" w:sz="0" w:space="0" w:color="000000"/>
          <w:between w:val="none" w:sz="0" w:space="0" w:color="000000"/>
        </w:pBdr>
        <w:spacing w:line="360" w:lineRule="auto"/>
        <w:rPr>
          <w:i/>
          <w:iCs/>
          <w:color w:val="1F1F1F"/>
          <w:highlight w:val="white"/>
        </w:rPr>
      </w:pPr>
      <w:r>
        <w:rPr>
          <w:i/>
          <w:iCs/>
          <w:color w:val="1F1F1F"/>
          <w:highlight w:val="white"/>
        </w:rPr>
        <w:t xml:space="preserve">Kravitz ND, </w:t>
      </w:r>
      <w:proofErr w:type="spellStart"/>
      <w:r>
        <w:rPr>
          <w:i/>
          <w:iCs/>
          <w:color w:val="1F1F1F"/>
          <w:highlight w:val="white"/>
        </w:rPr>
        <w:t>Kusnoto</w:t>
      </w:r>
      <w:proofErr w:type="spellEnd"/>
      <w:r>
        <w:rPr>
          <w:i/>
          <w:iCs/>
          <w:color w:val="1F1F1F"/>
          <w:highlight w:val="white"/>
        </w:rPr>
        <w:t xml:space="preserve"> B, </w:t>
      </w:r>
      <w:proofErr w:type="spellStart"/>
      <w:r>
        <w:rPr>
          <w:i/>
          <w:iCs/>
          <w:color w:val="1F1F1F"/>
          <w:highlight w:val="white"/>
        </w:rPr>
        <w:t>BeGole</w:t>
      </w:r>
      <w:proofErr w:type="spellEnd"/>
      <w:r>
        <w:rPr>
          <w:i/>
          <w:iCs/>
          <w:color w:val="1F1F1F"/>
          <w:highlight w:val="white"/>
        </w:rPr>
        <w:t xml:space="preserve"> E, </w:t>
      </w:r>
      <w:proofErr w:type="spellStart"/>
      <w:r>
        <w:rPr>
          <w:i/>
          <w:iCs/>
          <w:color w:val="1F1F1F"/>
          <w:highlight w:val="white"/>
        </w:rPr>
        <w:t>Obrez</w:t>
      </w:r>
      <w:proofErr w:type="spellEnd"/>
      <w:r>
        <w:rPr>
          <w:i/>
          <w:iCs/>
          <w:color w:val="1F1F1F"/>
          <w:highlight w:val="white"/>
        </w:rPr>
        <w:t xml:space="preserve"> A, </w:t>
      </w:r>
      <w:proofErr w:type="spellStart"/>
      <w:r>
        <w:rPr>
          <w:i/>
          <w:iCs/>
          <w:color w:val="1F1F1F"/>
          <w:highlight w:val="white"/>
        </w:rPr>
        <w:t>Agran</w:t>
      </w:r>
      <w:proofErr w:type="spellEnd"/>
      <w:r>
        <w:rPr>
          <w:i/>
          <w:iCs/>
          <w:color w:val="1F1F1F"/>
          <w:highlight w:val="white"/>
        </w:rPr>
        <w:t xml:space="preserve"> B. How well does Invisalign work? A prospective clinical study evaluating the efficacy of tooth movement with Invisalign. Am J </w:t>
      </w:r>
      <w:proofErr w:type="spellStart"/>
      <w:r>
        <w:rPr>
          <w:i/>
          <w:iCs/>
          <w:color w:val="1F1F1F"/>
          <w:highlight w:val="white"/>
        </w:rPr>
        <w:t>Orthod</w:t>
      </w:r>
      <w:proofErr w:type="spellEnd"/>
      <w:r>
        <w:rPr>
          <w:i/>
          <w:iCs/>
          <w:color w:val="1F1F1F"/>
          <w:highlight w:val="white"/>
        </w:rPr>
        <w:t xml:space="preserve"> Dentofacial </w:t>
      </w:r>
      <w:proofErr w:type="spellStart"/>
      <w:r>
        <w:rPr>
          <w:i/>
          <w:iCs/>
          <w:color w:val="1F1F1F"/>
          <w:highlight w:val="white"/>
        </w:rPr>
        <w:t>Orthop</w:t>
      </w:r>
      <w:proofErr w:type="spellEnd"/>
      <w:r>
        <w:rPr>
          <w:i/>
          <w:iCs/>
          <w:color w:val="1F1F1F"/>
          <w:highlight w:val="white"/>
        </w:rPr>
        <w:t>. 2009;135(1):27-35.</w:t>
      </w:r>
      <w:r>
        <w:rPr>
          <w:i/>
          <w:iCs/>
          <w:color w:val="1F1F1F"/>
          <w:highlight w:val="white"/>
        </w:rPr>
        <w:br/>
      </w:r>
    </w:p>
    <w:p w14:paraId="7211F26F" w14:textId="77777777" w:rsidR="003C311D" w:rsidRDefault="00A00E22">
      <w:pPr>
        <w:numPr>
          <w:ilvl w:val="0"/>
          <w:numId w:val="1"/>
        </w:numPr>
        <w:pBdr>
          <w:top w:val="none" w:sz="0" w:space="0" w:color="000000"/>
          <w:bottom w:val="none" w:sz="0" w:space="0" w:color="000000"/>
          <w:right w:val="none" w:sz="0" w:space="0" w:color="000000"/>
          <w:between w:val="none" w:sz="0" w:space="0" w:color="000000"/>
        </w:pBdr>
        <w:spacing w:line="360" w:lineRule="auto"/>
        <w:rPr>
          <w:i/>
          <w:iCs/>
          <w:color w:val="1F1F1F"/>
          <w:highlight w:val="white"/>
        </w:rPr>
      </w:pPr>
      <w:r>
        <w:rPr>
          <w:i/>
          <w:iCs/>
          <w:color w:val="1F1F1F"/>
          <w:highlight w:val="white"/>
        </w:rPr>
        <w:t xml:space="preserve">Bilello G, Fazio M, Amato E, Crivello L, Galvano A, </w:t>
      </w:r>
      <w:proofErr w:type="spellStart"/>
      <w:r>
        <w:rPr>
          <w:i/>
          <w:iCs/>
          <w:color w:val="1F1F1F"/>
          <w:highlight w:val="white"/>
        </w:rPr>
        <w:t>Currò</w:t>
      </w:r>
      <w:proofErr w:type="spellEnd"/>
      <w:r>
        <w:rPr>
          <w:i/>
          <w:iCs/>
          <w:color w:val="1F1F1F"/>
          <w:highlight w:val="white"/>
        </w:rPr>
        <w:t xml:space="preserve"> G. Accuracy evaluation of orthodontic movements with aligners: a prospective observational study. Prog </w:t>
      </w:r>
      <w:proofErr w:type="spellStart"/>
      <w:r>
        <w:rPr>
          <w:i/>
          <w:iCs/>
          <w:color w:val="1F1F1F"/>
          <w:highlight w:val="white"/>
        </w:rPr>
        <w:t>Orthod</w:t>
      </w:r>
      <w:proofErr w:type="spellEnd"/>
      <w:r>
        <w:rPr>
          <w:i/>
          <w:iCs/>
          <w:color w:val="1F1F1F"/>
          <w:highlight w:val="white"/>
        </w:rPr>
        <w:t>. 2022;23(1):1-8.</w:t>
      </w:r>
      <w:r>
        <w:rPr>
          <w:i/>
          <w:iCs/>
          <w:color w:val="1F1F1F"/>
          <w:highlight w:val="white"/>
        </w:rPr>
        <w:br/>
      </w:r>
    </w:p>
    <w:p w14:paraId="358E741A" w14:textId="77777777" w:rsidR="003C311D" w:rsidRDefault="00A00E22">
      <w:pPr>
        <w:numPr>
          <w:ilvl w:val="0"/>
          <w:numId w:val="1"/>
        </w:numPr>
        <w:pBdr>
          <w:top w:val="none" w:sz="0" w:space="0" w:color="000000"/>
          <w:bottom w:val="none" w:sz="0" w:space="0" w:color="000000"/>
          <w:right w:val="none" w:sz="0" w:space="0" w:color="000000"/>
          <w:between w:val="none" w:sz="0" w:space="0" w:color="000000"/>
        </w:pBdr>
        <w:spacing w:line="360" w:lineRule="auto"/>
        <w:rPr>
          <w:i/>
          <w:iCs/>
          <w:color w:val="1F1F1F"/>
          <w:highlight w:val="white"/>
        </w:rPr>
      </w:pPr>
      <w:r>
        <w:rPr>
          <w:i/>
          <w:iCs/>
          <w:color w:val="1F1F1F"/>
          <w:highlight w:val="white"/>
        </w:rPr>
        <w:t xml:space="preserve">Rossini G, </w:t>
      </w:r>
      <w:proofErr w:type="spellStart"/>
      <w:r>
        <w:rPr>
          <w:i/>
          <w:iCs/>
          <w:color w:val="1F1F1F"/>
          <w:highlight w:val="white"/>
        </w:rPr>
        <w:t>Parrini</w:t>
      </w:r>
      <w:proofErr w:type="spellEnd"/>
      <w:r>
        <w:rPr>
          <w:i/>
          <w:iCs/>
          <w:color w:val="1F1F1F"/>
          <w:highlight w:val="white"/>
        </w:rPr>
        <w:t xml:space="preserve"> S, </w:t>
      </w:r>
      <w:proofErr w:type="spellStart"/>
      <w:r>
        <w:rPr>
          <w:i/>
          <w:iCs/>
          <w:color w:val="1F1F1F"/>
          <w:highlight w:val="white"/>
        </w:rPr>
        <w:t>Castrof</w:t>
      </w:r>
      <w:r>
        <w:rPr>
          <w:i/>
          <w:iCs/>
          <w:color w:val="1F1F1F"/>
          <w:highlight w:val="white"/>
        </w:rPr>
        <w:t>lorio</w:t>
      </w:r>
      <w:proofErr w:type="spellEnd"/>
      <w:r>
        <w:rPr>
          <w:i/>
          <w:iCs/>
          <w:color w:val="1F1F1F"/>
          <w:highlight w:val="white"/>
        </w:rPr>
        <w:t xml:space="preserve"> T, </w:t>
      </w:r>
      <w:proofErr w:type="spellStart"/>
      <w:r>
        <w:rPr>
          <w:i/>
          <w:iCs/>
          <w:color w:val="1F1F1F"/>
          <w:highlight w:val="white"/>
        </w:rPr>
        <w:t>Deregibus</w:t>
      </w:r>
      <w:proofErr w:type="spellEnd"/>
      <w:r>
        <w:rPr>
          <w:i/>
          <w:iCs/>
          <w:color w:val="1F1F1F"/>
          <w:highlight w:val="white"/>
        </w:rPr>
        <w:t xml:space="preserve"> A, </w:t>
      </w:r>
      <w:proofErr w:type="spellStart"/>
      <w:r>
        <w:rPr>
          <w:i/>
          <w:iCs/>
          <w:color w:val="1F1F1F"/>
          <w:highlight w:val="white"/>
        </w:rPr>
        <w:t>Debernardi</w:t>
      </w:r>
      <w:proofErr w:type="spellEnd"/>
      <w:r>
        <w:rPr>
          <w:i/>
          <w:iCs/>
          <w:color w:val="1F1F1F"/>
          <w:highlight w:val="white"/>
        </w:rPr>
        <w:t xml:space="preserve"> CL. Efficacy of clear aligners in controlling orthodontic tooth movement: a systematic review. Angle </w:t>
      </w:r>
      <w:proofErr w:type="spellStart"/>
      <w:r>
        <w:rPr>
          <w:i/>
          <w:iCs/>
          <w:color w:val="1F1F1F"/>
          <w:highlight w:val="white"/>
        </w:rPr>
        <w:t>Orthod</w:t>
      </w:r>
      <w:proofErr w:type="spellEnd"/>
      <w:r>
        <w:rPr>
          <w:i/>
          <w:iCs/>
          <w:color w:val="1F1F1F"/>
          <w:highlight w:val="white"/>
        </w:rPr>
        <w:t>. 2015;85(5):881-889.</w:t>
      </w:r>
      <w:r>
        <w:rPr>
          <w:i/>
          <w:iCs/>
          <w:color w:val="1F1F1F"/>
          <w:highlight w:val="white"/>
        </w:rPr>
        <w:br/>
      </w:r>
    </w:p>
    <w:p w14:paraId="3508D2F3" w14:textId="77777777" w:rsidR="003C311D" w:rsidRDefault="00A00E22">
      <w:pPr>
        <w:numPr>
          <w:ilvl w:val="0"/>
          <w:numId w:val="1"/>
        </w:numPr>
        <w:pBdr>
          <w:top w:val="none" w:sz="0" w:space="0" w:color="000000"/>
          <w:bottom w:val="none" w:sz="0" w:space="0" w:color="000000"/>
          <w:right w:val="none" w:sz="0" w:space="0" w:color="000000"/>
          <w:between w:val="none" w:sz="0" w:space="0" w:color="000000"/>
        </w:pBdr>
        <w:spacing w:line="360" w:lineRule="auto"/>
        <w:rPr>
          <w:i/>
          <w:iCs/>
          <w:color w:val="1F1F1F"/>
          <w:highlight w:val="white"/>
        </w:rPr>
      </w:pPr>
      <w:r>
        <w:rPr>
          <w:i/>
          <w:iCs/>
          <w:color w:val="1F1F1F"/>
          <w:highlight w:val="white"/>
        </w:rPr>
        <w:lastRenderedPageBreak/>
        <w:t>Cunha TM, Barbosa ID, Palma KK. Orthodontic digital workflow: devices and clinical applicatio</w:t>
      </w:r>
      <w:r>
        <w:rPr>
          <w:i/>
          <w:iCs/>
          <w:color w:val="1F1F1F"/>
          <w:highlight w:val="white"/>
        </w:rPr>
        <w:t>ns. Dent Press J Orthod. 2021;26(1</w:t>
      </w:r>
      <w:proofErr w:type="gramStart"/>
      <w:r>
        <w:rPr>
          <w:i/>
          <w:iCs/>
          <w:color w:val="1F1F1F"/>
          <w:highlight w:val="white"/>
        </w:rPr>
        <w:t>):e</w:t>
      </w:r>
      <w:proofErr w:type="gramEnd"/>
      <w:r>
        <w:rPr>
          <w:i/>
          <w:iCs/>
          <w:color w:val="1F1F1F"/>
          <w:highlight w:val="white"/>
        </w:rPr>
        <w:t>211926.</w:t>
      </w:r>
      <w:r>
        <w:rPr>
          <w:i/>
          <w:iCs/>
          <w:color w:val="1F1F1F"/>
          <w:highlight w:val="white"/>
        </w:rPr>
        <w:br/>
      </w:r>
    </w:p>
    <w:p w14:paraId="2E919563" w14:textId="77777777" w:rsidR="003C311D" w:rsidRDefault="00A00E22">
      <w:pPr>
        <w:numPr>
          <w:ilvl w:val="0"/>
          <w:numId w:val="1"/>
        </w:numPr>
        <w:pBdr>
          <w:top w:val="none" w:sz="0" w:space="0" w:color="000000"/>
          <w:bottom w:val="none" w:sz="0" w:space="0" w:color="000000"/>
          <w:right w:val="none" w:sz="0" w:space="0" w:color="000000"/>
          <w:between w:val="none" w:sz="0" w:space="0" w:color="000000"/>
        </w:pBdr>
        <w:spacing w:line="360" w:lineRule="auto"/>
        <w:rPr>
          <w:i/>
          <w:iCs/>
          <w:color w:val="1F1F1F"/>
          <w:highlight w:val="white"/>
        </w:rPr>
      </w:pPr>
      <w:r>
        <w:rPr>
          <w:i/>
          <w:iCs/>
          <w:color w:val="1F1F1F"/>
          <w:highlight w:val="white"/>
        </w:rPr>
        <w:t xml:space="preserve">Daniele V, Macera L, Taglieri G, Di Giambattista A, </w:t>
      </w:r>
      <w:proofErr w:type="spellStart"/>
      <w:r>
        <w:rPr>
          <w:i/>
          <w:iCs/>
          <w:color w:val="1F1F1F"/>
          <w:highlight w:val="white"/>
        </w:rPr>
        <w:t>Spagnoli</w:t>
      </w:r>
      <w:proofErr w:type="spellEnd"/>
      <w:r>
        <w:rPr>
          <w:i/>
          <w:iCs/>
          <w:color w:val="1F1F1F"/>
          <w:highlight w:val="white"/>
        </w:rPr>
        <w:t xml:space="preserve"> G, </w:t>
      </w:r>
      <w:proofErr w:type="spellStart"/>
      <w:r>
        <w:rPr>
          <w:i/>
          <w:iCs/>
          <w:color w:val="1F1F1F"/>
          <w:highlight w:val="white"/>
        </w:rPr>
        <w:t>Massaria</w:t>
      </w:r>
      <w:proofErr w:type="spellEnd"/>
      <w:r>
        <w:rPr>
          <w:i/>
          <w:iCs/>
          <w:color w:val="1F1F1F"/>
          <w:highlight w:val="white"/>
        </w:rPr>
        <w:t xml:space="preserve"> A, et al. Thermoplastic disks used for commercial orthodontic aligners: physicochemical and mechanical characterization. Materials (Basel</w:t>
      </w:r>
      <w:r>
        <w:rPr>
          <w:i/>
          <w:iCs/>
          <w:color w:val="1F1F1F"/>
          <w:highlight w:val="white"/>
        </w:rPr>
        <w:t>). 2020;13(10):238.</w:t>
      </w:r>
      <w:r>
        <w:rPr>
          <w:i/>
          <w:iCs/>
          <w:color w:val="1F1F1F"/>
          <w:highlight w:val="white"/>
        </w:rPr>
        <w:br/>
      </w:r>
    </w:p>
    <w:p w14:paraId="221CBA07" w14:textId="77777777" w:rsidR="003C311D" w:rsidRDefault="00A00E22">
      <w:pPr>
        <w:numPr>
          <w:ilvl w:val="0"/>
          <w:numId w:val="1"/>
        </w:numPr>
        <w:pBdr>
          <w:top w:val="none" w:sz="0" w:space="0" w:color="000000"/>
          <w:bottom w:val="none" w:sz="0" w:space="0" w:color="000000"/>
          <w:right w:val="none" w:sz="0" w:space="0" w:color="000000"/>
          <w:between w:val="none" w:sz="0" w:space="0" w:color="000000"/>
        </w:pBdr>
        <w:spacing w:line="360" w:lineRule="auto"/>
        <w:rPr>
          <w:i/>
          <w:iCs/>
          <w:color w:val="1F1F1F"/>
          <w:highlight w:val="white"/>
        </w:rPr>
      </w:pPr>
      <w:r>
        <w:rPr>
          <w:i/>
          <w:iCs/>
          <w:color w:val="1F1F1F"/>
          <w:highlight w:val="white"/>
        </w:rPr>
        <w:t>Daniele V, Macera L, Taglieri G, Spera L, Marzo G, Quinzi V. Color stability and optical features of PETG and PU orthodontic aligners. Polymers (Basel). 2022;14(1):14.</w:t>
      </w:r>
      <w:r>
        <w:rPr>
          <w:i/>
          <w:iCs/>
          <w:color w:val="1F1F1F"/>
          <w:highlight w:val="white"/>
        </w:rPr>
        <w:br/>
      </w:r>
    </w:p>
    <w:p w14:paraId="431967D3" w14:textId="77777777" w:rsidR="003C311D" w:rsidRDefault="00A00E22">
      <w:pPr>
        <w:numPr>
          <w:ilvl w:val="0"/>
          <w:numId w:val="1"/>
        </w:numPr>
        <w:pBdr>
          <w:top w:val="none" w:sz="0" w:space="0" w:color="000000"/>
          <w:bottom w:val="none" w:sz="0" w:space="0" w:color="000000"/>
          <w:right w:val="none" w:sz="0" w:space="0" w:color="000000"/>
          <w:between w:val="none" w:sz="0" w:space="0" w:color="000000"/>
        </w:pBdr>
        <w:spacing w:line="360" w:lineRule="auto"/>
        <w:rPr>
          <w:i/>
          <w:iCs/>
          <w:color w:val="1F1F1F"/>
          <w:sz w:val="24"/>
          <w:szCs w:val="24"/>
          <w:highlight w:val="white"/>
        </w:rPr>
      </w:pPr>
      <w:r>
        <w:rPr>
          <w:i/>
          <w:iCs/>
          <w:color w:val="1F1F1F"/>
          <w:sz w:val="24"/>
          <w:szCs w:val="24"/>
          <w:highlight w:val="white"/>
        </w:rPr>
        <w:t xml:space="preserve">Greco M, </w:t>
      </w:r>
      <w:proofErr w:type="spellStart"/>
      <w:r>
        <w:rPr>
          <w:i/>
          <w:iCs/>
          <w:color w:val="1F1F1F"/>
          <w:sz w:val="24"/>
          <w:szCs w:val="24"/>
          <w:highlight w:val="white"/>
        </w:rPr>
        <w:t>Rombolà</w:t>
      </w:r>
      <w:proofErr w:type="spellEnd"/>
      <w:r>
        <w:rPr>
          <w:i/>
          <w:iCs/>
          <w:color w:val="1F1F1F"/>
          <w:sz w:val="24"/>
          <w:szCs w:val="24"/>
          <w:highlight w:val="white"/>
        </w:rPr>
        <w:t xml:space="preserve"> A. Precision bite ramps and aligners: an elective</w:t>
      </w:r>
      <w:r>
        <w:rPr>
          <w:i/>
          <w:iCs/>
          <w:color w:val="1F1F1F"/>
          <w:sz w:val="24"/>
          <w:szCs w:val="24"/>
          <w:highlight w:val="white"/>
        </w:rPr>
        <w:t xml:space="preserve"> choice for </w:t>
      </w:r>
      <w:r>
        <w:rPr>
          <w:i/>
          <w:iCs/>
          <w:color w:val="1F1F1F"/>
          <w:highlight w:val="white"/>
        </w:rPr>
        <w:t>deep bite treatment. J Orthod. 2022;49(2):213-220.</w:t>
      </w:r>
      <w:r>
        <w:rPr>
          <w:i/>
          <w:iCs/>
          <w:color w:val="1F1F1F"/>
          <w:highlight w:val="white"/>
        </w:rPr>
        <w:br/>
      </w:r>
    </w:p>
    <w:p w14:paraId="40B0D5DB" w14:textId="77777777" w:rsidR="003C311D" w:rsidRDefault="00A00E22">
      <w:pPr>
        <w:numPr>
          <w:ilvl w:val="0"/>
          <w:numId w:val="1"/>
        </w:numPr>
        <w:pBdr>
          <w:top w:val="none" w:sz="0" w:space="0" w:color="000000"/>
          <w:bottom w:val="none" w:sz="0" w:space="0" w:color="000000"/>
          <w:right w:val="none" w:sz="0" w:space="0" w:color="000000"/>
          <w:between w:val="none" w:sz="0" w:space="0" w:color="000000"/>
        </w:pBdr>
        <w:spacing w:line="360" w:lineRule="auto"/>
        <w:rPr>
          <w:i/>
          <w:iCs/>
          <w:color w:val="1F1F1F"/>
          <w:highlight w:val="white"/>
        </w:rPr>
      </w:pPr>
      <w:r>
        <w:rPr>
          <w:i/>
          <w:iCs/>
          <w:color w:val="1F1F1F"/>
          <w:highlight w:val="white"/>
        </w:rPr>
        <w:t>Hennessy J, Al-Awadhi EA. Clear aligners generations and orthodontic tooth movement. J Orthod. 2016;43(1):68-76.</w:t>
      </w:r>
      <w:r>
        <w:rPr>
          <w:i/>
          <w:iCs/>
          <w:color w:val="1F1F1F"/>
          <w:highlight w:val="white"/>
        </w:rPr>
        <w:br/>
      </w:r>
    </w:p>
    <w:p w14:paraId="5B0901FB" w14:textId="77777777" w:rsidR="003C311D" w:rsidRDefault="00A00E22">
      <w:pPr>
        <w:numPr>
          <w:ilvl w:val="0"/>
          <w:numId w:val="1"/>
        </w:numPr>
        <w:pBdr>
          <w:top w:val="none" w:sz="0" w:space="0" w:color="000000"/>
          <w:bottom w:val="none" w:sz="0" w:space="0" w:color="000000"/>
          <w:right w:val="none" w:sz="0" w:space="0" w:color="000000"/>
          <w:between w:val="none" w:sz="0" w:space="0" w:color="000000"/>
        </w:pBdr>
        <w:spacing w:line="360" w:lineRule="auto"/>
        <w:rPr>
          <w:i/>
          <w:iCs/>
          <w:color w:val="1F1F1F"/>
          <w:highlight w:val="white"/>
        </w:rPr>
      </w:pPr>
      <w:r>
        <w:rPr>
          <w:i/>
          <w:iCs/>
          <w:color w:val="1F1F1F"/>
          <w:highlight w:val="white"/>
        </w:rPr>
        <w:t>Hong K, Kim WH, Eghan-Acquah E, Lee JH, Lee BK, Kim B. Efficient design of cle</w:t>
      </w:r>
      <w:r>
        <w:rPr>
          <w:i/>
          <w:iCs/>
          <w:color w:val="1F1F1F"/>
          <w:highlight w:val="white"/>
        </w:rPr>
        <w:t>ar aligner attachments using finite element analysis. Materials (Basel). 2021;14(17):4926.</w:t>
      </w:r>
      <w:r>
        <w:rPr>
          <w:i/>
          <w:iCs/>
          <w:color w:val="1F1F1F"/>
          <w:highlight w:val="white"/>
        </w:rPr>
        <w:br/>
      </w:r>
    </w:p>
    <w:p w14:paraId="039DE8B5" w14:textId="77777777" w:rsidR="003C311D" w:rsidRDefault="00A00E22">
      <w:pPr>
        <w:numPr>
          <w:ilvl w:val="0"/>
          <w:numId w:val="1"/>
        </w:numPr>
        <w:pBdr>
          <w:top w:val="none" w:sz="0" w:space="0" w:color="000000"/>
          <w:bottom w:val="none" w:sz="0" w:space="0" w:color="000000"/>
          <w:right w:val="none" w:sz="0" w:space="0" w:color="000000"/>
          <w:between w:val="none" w:sz="0" w:space="0" w:color="000000"/>
        </w:pBdr>
        <w:spacing w:line="360" w:lineRule="auto"/>
        <w:rPr>
          <w:i/>
          <w:iCs/>
          <w:color w:val="1F1F1F"/>
          <w:highlight w:val="white"/>
        </w:rPr>
      </w:pPr>
      <w:proofErr w:type="spellStart"/>
      <w:r>
        <w:rPr>
          <w:i/>
          <w:iCs/>
          <w:color w:val="1F1F1F"/>
          <w:highlight w:val="white"/>
        </w:rPr>
        <w:t>Jedliński</w:t>
      </w:r>
      <w:proofErr w:type="spellEnd"/>
      <w:r>
        <w:rPr>
          <w:i/>
          <w:iCs/>
          <w:color w:val="1F1F1F"/>
          <w:highlight w:val="white"/>
        </w:rPr>
        <w:t xml:space="preserve"> M, Mazur M, Greco M, </w:t>
      </w:r>
      <w:proofErr w:type="spellStart"/>
      <w:r>
        <w:rPr>
          <w:i/>
          <w:iCs/>
          <w:color w:val="1F1F1F"/>
          <w:highlight w:val="white"/>
        </w:rPr>
        <w:t>Belfus</w:t>
      </w:r>
      <w:proofErr w:type="spellEnd"/>
      <w:r>
        <w:rPr>
          <w:i/>
          <w:iCs/>
          <w:color w:val="1F1F1F"/>
          <w:highlight w:val="white"/>
        </w:rPr>
        <w:t xml:space="preserve"> J, </w:t>
      </w:r>
      <w:proofErr w:type="spellStart"/>
      <w:r>
        <w:rPr>
          <w:i/>
          <w:iCs/>
          <w:color w:val="1F1F1F"/>
          <w:highlight w:val="white"/>
        </w:rPr>
        <w:t>Grocholewicz</w:t>
      </w:r>
      <w:proofErr w:type="spellEnd"/>
      <w:r>
        <w:rPr>
          <w:i/>
          <w:iCs/>
          <w:color w:val="1F1F1F"/>
          <w:highlight w:val="white"/>
        </w:rPr>
        <w:t xml:space="preserve"> K, </w:t>
      </w:r>
      <w:proofErr w:type="spellStart"/>
      <w:r>
        <w:rPr>
          <w:i/>
          <w:iCs/>
          <w:color w:val="1F1F1F"/>
          <w:highlight w:val="white"/>
        </w:rPr>
        <w:t>Janiszewska-Olszowska</w:t>
      </w:r>
      <w:proofErr w:type="spellEnd"/>
      <w:r>
        <w:rPr>
          <w:i/>
          <w:iCs/>
          <w:color w:val="1F1F1F"/>
          <w:highlight w:val="white"/>
        </w:rPr>
        <w:t xml:space="preserve"> J. Attachments for orthodontic aligner treatment: a systematic review. Int J Environ </w:t>
      </w:r>
      <w:r>
        <w:rPr>
          <w:i/>
          <w:iCs/>
          <w:color w:val="1F1F1F"/>
          <w:highlight w:val="white"/>
        </w:rPr>
        <w:t>Res Public Health. 2023;20(5):4051.</w:t>
      </w:r>
      <w:r>
        <w:rPr>
          <w:i/>
          <w:iCs/>
          <w:color w:val="1F1F1F"/>
          <w:highlight w:val="white"/>
        </w:rPr>
        <w:br/>
      </w:r>
    </w:p>
    <w:p w14:paraId="5BF51828" w14:textId="77777777" w:rsidR="003C311D" w:rsidRDefault="00A00E22">
      <w:pPr>
        <w:numPr>
          <w:ilvl w:val="0"/>
          <w:numId w:val="1"/>
        </w:numPr>
        <w:pBdr>
          <w:top w:val="none" w:sz="0" w:space="0" w:color="000000"/>
          <w:bottom w:val="none" w:sz="0" w:space="0" w:color="000000"/>
          <w:right w:val="none" w:sz="0" w:space="0" w:color="000000"/>
          <w:between w:val="none" w:sz="0" w:space="0" w:color="000000"/>
        </w:pBdr>
        <w:spacing w:line="360" w:lineRule="auto"/>
        <w:rPr>
          <w:i/>
          <w:iCs/>
          <w:color w:val="1F1F1F"/>
          <w:sz w:val="24"/>
          <w:szCs w:val="24"/>
          <w:highlight w:val="white"/>
        </w:rPr>
      </w:pPr>
      <w:r>
        <w:rPr>
          <w:i/>
          <w:iCs/>
          <w:color w:val="1F1F1F"/>
          <w:highlight w:val="white"/>
        </w:rPr>
        <w:t xml:space="preserve">Karras T, Singh M, Karkazis E, Liu D, </w:t>
      </w:r>
      <w:proofErr w:type="spellStart"/>
      <w:r>
        <w:rPr>
          <w:i/>
          <w:iCs/>
          <w:color w:val="1F1F1F"/>
          <w:highlight w:val="white"/>
        </w:rPr>
        <w:t>Nimeri</w:t>
      </w:r>
      <w:proofErr w:type="spellEnd"/>
      <w:r>
        <w:rPr>
          <w:i/>
          <w:iCs/>
          <w:color w:val="1F1F1F"/>
          <w:highlight w:val="white"/>
        </w:rPr>
        <w:t xml:space="preserve"> G, Ahuja B. Efficacy of Invisalign attachments: a retrospective study. Am J </w:t>
      </w:r>
      <w:proofErr w:type="spellStart"/>
      <w:r>
        <w:rPr>
          <w:i/>
          <w:iCs/>
          <w:color w:val="1F1F1F"/>
          <w:highlight w:val="white"/>
        </w:rPr>
        <w:t>Orthod</w:t>
      </w:r>
      <w:proofErr w:type="spellEnd"/>
      <w:r>
        <w:rPr>
          <w:i/>
          <w:iCs/>
          <w:color w:val="1F1F1F"/>
          <w:highlight w:val="white"/>
        </w:rPr>
        <w:t xml:space="preserve"> Dentofacial </w:t>
      </w:r>
      <w:proofErr w:type="spellStart"/>
      <w:r>
        <w:rPr>
          <w:i/>
          <w:iCs/>
          <w:color w:val="1F1F1F"/>
          <w:highlight w:val="white"/>
        </w:rPr>
        <w:t>Orthop</w:t>
      </w:r>
      <w:proofErr w:type="spellEnd"/>
      <w:r>
        <w:rPr>
          <w:i/>
          <w:iCs/>
          <w:color w:val="1F1F1F"/>
          <w:highlight w:val="white"/>
        </w:rPr>
        <w:t>. 2021;160(2):250-258.</w:t>
      </w:r>
      <w:r>
        <w:rPr>
          <w:i/>
          <w:iCs/>
          <w:color w:val="1F1F1F"/>
          <w:highlight w:val="white"/>
        </w:rPr>
        <w:br/>
      </w:r>
    </w:p>
    <w:p w14:paraId="64AC9D68" w14:textId="77777777" w:rsidR="003C311D" w:rsidRDefault="00A00E22">
      <w:pPr>
        <w:numPr>
          <w:ilvl w:val="0"/>
          <w:numId w:val="1"/>
        </w:numPr>
        <w:pBdr>
          <w:top w:val="none" w:sz="0" w:space="0" w:color="000000"/>
          <w:bottom w:val="none" w:sz="0" w:space="0" w:color="000000"/>
          <w:right w:val="none" w:sz="0" w:space="0" w:color="000000"/>
          <w:between w:val="none" w:sz="0" w:space="0" w:color="000000"/>
        </w:pBdr>
        <w:spacing w:line="360" w:lineRule="auto"/>
        <w:rPr>
          <w:i/>
          <w:iCs/>
          <w:color w:val="1F1F1F"/>
          <w:highlight w:val="white"/>
        </w:rPr>
      </w:pPr>
      <w:r>
        <w:rPr>
          <w:i/>
          <w:iCs/>
          <w:color w:val="1F1F1F"/>
          <w:highlight w:val="white"/>
        </w:rPr>
        <w:t xml:space="preserve">Kravitz ND, </w:t>
      </w:r>
      <w:proofErr w:type="spellStart"/>
      <w:r>
        <w:rPr>
          <w:i/>
          <w:iCs/>
          <w:color w:val="1F1F1F"/>
          <w:highlight w:val="white"/>
        </w:rPr>
        <w:t>Kusnoto</w:t>
      </w:r>
      <w:proofErr w:type="spellEnd"/>
      <w:r>
        <w:rPr>
          <w:i/>
          <w:iCs/>
          <w:color w:val="1F1F1F"/>
          <w:highlight w:val="white"/>
        </w:rPr>
        <w:t xml:space="preserve"> B, </w:t>
      </w:r>
      <w:proofErr w:type="spellStart"/>
      <w:r>
        <w:rPr>
          <w:i/>
          <w:iCs/>
          <w:color w:val="1F1F1F"/>
          <w:highlight w:val="white"/>
        </w:rPr>
        <w:t>Agran</w:t>
      </w:r>
      <w:proofErr w:type="spellEnd"/>
      <w:r>
        <w:rPr>
          <w:i/>
          <w:iCs/>
          <w:color w:val="1F1F1F"/>
          <w:highlight w:val="white"/>
        </w:rPr>
        <w:t xml:space="preserve"> B, Viana G. Influenc</w:t>
      </w:r>
      <w:r>
        <w:rPr>
          <w:i/>
          <w:iCs/>
          <w:color w:val="1F1F1F"/>
          <w:highlight w:val="white"/>
        </w:rPr>
        <w:t xml:space="preserve">e of attachments and interproximal reduction on accuracy of canine rotation. Angle </w:t>
      </w:r>
      <w:proofErr w:type="spellStart"/>
      <w:r>
        <w:rPr>
          <w:i/>
          <w:iCs/>
          <w:color w:val="1F1F1F"/>
          <w:highlight w:val="white"/>
        </w:rPr>
        <w:t>Orthod</w:t>
      </w:r>
      <w:proofErr w:type="spellEnd"/>
      <w:r>
        <w:rPr>
          <w:i/>
          <w:iCs/>
          <w:color w:val="1F1F1F"/>
          <w:highlight w:val="white"/>
        </w:rPr>
        <w:t>. 2008;78(4):682-687.</w:t>
      </w:r>
      <w:r>
        <w:rPr>
          <w:i/>
          <w:iCs/>
          <w:color w:val="1F1F1F"/>
          <w:highlight w:val="white"/>
        </w:rPr>
        <w:br/>
      </w:r>
    </w:p>
    <w:p w14:paraId="4D1F87AE" w14:textId="77777777" w:rsidR="003C311D" w:rsidRDefault="00A00E22">
      <w:pPr>
        <w:numPr>
          <w:ilvl w:val="0"/>
          <w:numId w:val="1"/>
        </w:numPr>
        <w:pBdr>
          <w:top w:val="none" w:sz="0" w:space="0" w:color="000000"/>
          <w:bottom w:val="none" w:sz="0" w:space="0" w:color="000000"/>
          <w:right w:val="none" w:sz="0" w:space="0" w:color="000000"/>
          <w:between w:val="none" w:sz="0" w:space="0" w:color="000000"/>
        </w:pBdr>
        <w:spacing w:line="360" w:lineRule="auto"/>
        <w:rPr>
          <w:i/>
          <w:iCs/>
          <w:color w:val="1F1F1F"/>
          <w:highlight w:val="white"/>
        </w:rPr>
      </w:pPr>
      <w:r>
        <w:rPr>
          <w:i/>
          <w:iCs/>
          <w:color w:val="1F1F1F"/>
          <w:highlight w:val="white"/>
        </w:rPr>
        <w:t xml:space="preserve">Laganà G, Malara A, Lione R, Danesi C, Meuli S, Cozza P. Enamel interproximal reduction during clear aligner treatment. BMC Oral Health. </w:t>
      </w:r>
      <w:proofErr w:type="gramStart"/>
      <w:r>
        <w:rPr>
          <w:i/>
          <w:iCs/>
          <w:color w:val="1F1F1F"/>
          <w:highlight w:val="white"/>
        </w:rPr>
        <w:t>2021;21</w:t>
      </w:r>
      <w:r>
        <w:rPr>
          <w:i/>
          <w:iCs/>
          <w:color w:val="1F1F1F"/>
          <w:highlight w:val="white"/>
        </w:rPr>
        <w:t>:1</w:t>
      </w:r>
      <w:proofErr w:type="gramEnd"/>
      <w:r>
        <w:rPr>
          <w:i/>
          <w:iCs/>
          <w:color w:val="1F1F1F"/>
          <w:highlight w:val="white"/>
        </w:rPr>
        <w:t>-6.</w:t>
      </w:r>
      <w:r>
        <w:rPr>
          <w:i/>
          <w:iCs/>
          <w:color w:val="1F1F1F"/>
          <w:highlight w:val="white"/>
        </w:rPr>
        <w:br/>
      </w:r>
    </w:p>
    <w:p w14:paraId="4DA50370" w14:textId="77777777" w:rsidR="003C311D" w:rsidRDefault="00A00E22">
      <w:pPr>
        <w:numPr>
          <w:ilvl w:val="0"/>
          <w:numId w:val="1"/>
        </w:numPr>
        <w:pBdr>
          <w:top w:val="none" w:sz="0" w:space="0" w:color="000000"/>
          <w:bottom w:val="none" w:sz="0" w:space="0" w:color="000000"/>
          <w:right w:val="none" w:sz="0" w:space="0" w:color="000000"/>
          <w:between w:val="none" w:sz="0" w:space="0" w:color="000000"/>
        </w:pBdr>
        <w:spacing w:line="360" w:lineRule="auto"/>
        <w:rPr>
          <w:i/>
          <w:iCs/>
          <w:color w:val="1F1F1F"/>
          <w:highlight w:val="white"/>
        </w:rPr>
      </w:pPr>
      <w:r>
        <w:rPr>
          <w:i/>
          <w:iCs/>
          <w:color w:val="1F1F1F"/>
          <w:highlight w:val="white"/>
        </w:rPr>
        <w:lastRenderedPageBreak/>
        <w:t xml:space="preserve">Lombardo L, </w:t>
      </w:r>
      <w:proofErr w:type="spellStart"/>
      <w:r>
        <w:rPr>
          <w:i/>
          <w:iCs/>
          <w:color w:val="1F1F1F"/>
          <w:highlight w:val="white"/>
        </w:rPr>
        <w:t>Arreghini</w:t>
      </w:r>
      <w:proofErr w:type="spellEnd"/>
      <w:r>
        <w:rPr>
          <w:i/>
          <w:iCs/>
          <w:color w:val="1F1F1F"/>
          <w:highlight w:val="white"/>
        </w:rPr>
        <w:t xml:space="preserve"> A, </w:t>
      </w:r>
      <w:proofErr w:type="spellStart"/>
      <w:r>
        <w:rPr>
          <w:i/>
          <w:iCs/>
          <w:color w:val="1F1F1F"/>
          <w:highlight w:val="white"/>
        </w:rPr>
        <w:t>Ramina</w:t>
      </w:r>
      <w:proofErr w:type="spellEnd"/>
      <w:r>
        <w:rPr>
          <w:i/>
          <w:iCs/>
          <w:color w:val="1F1F1F"/>
          <w:highlight w:val="white"/>
        </w:rPr>
        <w:t xml:space="preserve"> F, </w:t>
      </w:r>
      <w:proofErr w:type="spellStart"/>
      <w:r>
        <w:rPr>
          <w:i/>
          <w:iCs/>
          <w:color w:val="1F1F1F"/>
          <w:highlight w:val="white"/>
        </w:rPr>
        <w:t>Huanca</w:t>
      </w:r>
      <w:proofErr w:type="spellEnd"/>
      <w:r>
        <w:rPr>
          <w:i/>
          <w:iCs/>
          <w:color w:val="1F1F1F"/>
          <w:highlight w:val="white"/>
        </w:rPr>
        <w:t xml:space="preserve"> </w:t>
      </w:r>
      <w:proofErr w:type="spellStart"/>
      <w:r>
        <w:rPr>
          <w:i/>
          <w:iCs/>
          <w:color w:val="1F1F1F"/>
          <w:highlight w:val="white"/>
        </w:rPr>
        <w:t>Ghislanzoni</w:t>
      </w:r>
      <w:proofErr w:type="spellEnd"/>
      <w:r>
        <w:rPr>
          <w:i/>
          <w:iCs/>
          <w:color w:val="1F1F1F"/>
          <w:highlight w:val="white"/>
        </w:rPr>
        <w:t xml:space="preserve"> LT, </w:t>
      </w:r>
      <w:proofErr w:type="spellStart"/>
      <w:r>
        <w:rPr>
          <w:i/>
          <w:iCs/>
          <w:color w:val="1F1F1F"/>
          <w:highlight w:val="white"/>
        </w:rPr>
        <w:t>Siciliani</w:t>
      </w:r>
      <w:proofErr w:type="spellEnd"/>
      <w:r>
        <w:rPr>
          <w:i/>
          <w:iCs/>
          <w:color w:val="1F1F1F"/>
          <w:highlight w:val="white"/>
        </w:rPr>
        <w:t xml:space="preserve"> G. Predictability of orthodontic movement with aligners. Prog </w:t>
      </w:r>
      <w:proofErr w:type="spellStart"/>
      <w:r>
        <w:rPr>
          <w:i/>
          <w:iCs/>
          <w:color w:val="1F1F1F"/>
          <w:highlight w:val="white"/>
        </w:rPr>
        <w:t>Orthod</w:t>
      </w:r>
      <w:proofErr w:type="spellEnd"/>
      <w:r>
        <w:rPr>
          <w:i/>
          <w:iCs/>
          <w:color w:val="1F1F1F"/>
          <w:highlight w:val="white"/>
        </w:rPr>
        <w:t>. 2017;18(1):1-6.</w:t>
      </w:r>
      <w:r>
        <w:rPr>
          <w:i/>
          <w:iCs/>
          <w:color w:val="1F1F1F"/>
          <w:highlight w:val="white"/>
        </w:rPr>
        <w:br/>
      </w:r>
    </w:p>
    <w:p w14:paraId="4E81C8BD" w14:textId="77777777" w:rsidR="003C311D" w:rsidRDefault="00A00E22">
      <w:pPr>
        <w:numPr>
          <w:ilvl w:val="0"/>
          <w:numId w:val="1"/>
        </w:numPr>
        <w:pBdr>
          <w:top w:val="none" w:sz="0" w:space="0" w:color="000000"/>
          <w:bottom w:val="none" w:sz="0" w:space="0" w:color="000000"/>
          <w:right w:val="none" w:sz="0" w:space="0" w:color="000000"/>
          <w:between w:val="none" w:sz="0" w:space="0" w:color="000000"/>
        </w:pBdr>
        <w:spacing w:line="360" w:lineRule="auto"/>
        <w:rPr>
          <w:i/>
          <w:iCs/>
          <w:color w:val="1F1F1F"/>
          <w:highlight w:val="white"/>
        </w:rPr>
      </w:pPr>
      <w:r>
        <w:rPr>
          <w:i/>
          <w:iCs/>
          <w:color w:val="1F1F1F"/>
          <w:highlight w:val="white"/>
        </w:rPr>
        <w:t xml:space="preserve">Nanda R, </w:t>
      </w:r>
      <w:proofErr w:type="spellStart"/>
      <w:r>
        <w:rPr>
          <w:i/>
          <w:iCs/>
          <w:color w:val="1F1F1F"/>
          <w:highlight w:val="white"/>
        </w:rPr>
        <w:t>Castroflorio</w:t>
      </w:r>
      <w:proofErr w:type="spellEnd"/>
      <w:r>
        <w:rPr>
          <w:i/>
          <w:iCs/>
          <w:color w:val="1F1F1F"/>
          <w:highlight w:val="white"/>
        </w:rPr>
        <w:t xml:space="preserve"> T, </w:t>
      </w:r>
      <w:proofErr w:type="spellStart"/>
      <w:r>
        <w:rPr>
          <w:i/>
          <w:iCs/>
          <w:color w:val="1F1F1F"/>
          <w:highlight w:val="white"/>
        </w:rPr>
        <w:t>Garino</w:t>
      </w:r>
      <w:proofErr w:type="spellEnd"/>
      <w:r>
        <w:rPr>
          <w:i/>
          <w:iCs/>
          <w:color w:val="1F1F1F"/>
          <w:highlight w:val="white"/>
        </w:rPr>
        <w:t xml:space="preserve"> F, Ojima K. Principles and Biomechanics of Aligner Treatment. </w:t>
      </w:r>
      <w:r>
        <w:rPr>
          <w:i/>
          <w:iCs/>
          <w:color w:val="1F1F1F"/>
          <w:highlight w:val="white"/>
        </w:rPr>
        <w:t>Elsevier Health Sciences; 2021.</w:t>
      </w:r>
      <w:r>
        <w:rPr>
          <w:i/>
          <w:iCs/>
          <w:color w:val="1F1F1F"/>
          <w:highlight w:val="white"/>
        </w:rPr>
        <w:br/>
      </w:r>
    </w:p>
    <w:p w14:paraId="63FEC776" w14:textId="77777777" w:rsidR="003C311D" w:rsidRDefault="00A00E22">
      <w:pPr>
        <w:numPr>
          <w:ilvl w:val="0"/>
          <w:numId w:val="1"/>
        </w:numPr>
        <w:pBdr>
          <w:top w:val="none" w:sz="0" w:space="0" w:color="000000"/>
          <w:bottom w:val="none" w:sz="0" w:space="0" w:color="000000"/>
          <w:right w:val="none" w:sz="0" w:space="0" w:color="000000"/>
          <w:between w:val="none" w:sz="0" w:space="0" w:color="000000"/>
        </w:pBdr>
        <w:spacing w:line="360" w:lineRule="auto"/>
        <w:rPr>
          <w:i/>
          <w:iCs/>
          <w:color w:val="1F1F1F"/>
          <w:highlight w:val="white"/>
        </w:rPr>
      </w:pPr>
      <w:proofErr w:type="spellStart"/>
      <w:r>
        <w:rPr>
          <w:i/>
          <w:iCs/>
          <w:color w:val="1F1F1F"/>
          <w:highlight w:val="white"/>
        </w:rPr>
        <w:t>Ravera</w:t>
      </w:r>
      <w:proofErr w:type="spellEnd"/>
      <w:r>
        <w:rPr>
          <w:i/>
          <w:iCs/>
          <w:color w:val="1F1F1F"/>
          <w:highlight w:val="white"/>
        </w:rPr>
        <w:t xml:space="preserve"> S, </w:t>
      </w:r>
      <w:proofErr w:type="spellStart"/>
      <w:r>
        <w:rPr>
          <w:i/>
          <w:iCs/>
          <w:color w:val="1F1F1F"/>
          <w:highlight w:val="white"/>
        </w:rPr>
        <w:t>Castroflorio</w:t>
      </w:r>
      <w:proofErr w:type="spellEnd"/>
      <w:r>
        <w:rPr>
          <w:i/>
          <w:iCs/>
          <w:color w:val="1F1F1F"/>
          <w:highlight w:val="white"/>
        </w:rPr>
        <w:t xml:space="preserve"> T, </w:t>
      </w:r>
      <w:proofErr w:type="spellStart"/>
      <w:r>
        <w:rPr>
          <w:i/>
          <w:iCs/>
          <w:color w:val="1F1F1F"/>
          <w:highlight w:val="white"/>
        </w:rPr>
        <w:t>Garino</w:t>
      </w:r>
      <w:proofErr w:type="spellEnd"/>
      <w:r>
        <w:rPr>
          <w:i/>
          <w:iCs/>
          <w:color w:val="1F1F1F"/>
          <w:highlight w:val="white"/>
        </w:rPr>
        <w:t xml:space="preserve"> F, Daher S, </w:t>
      </w:r>
      <w:proofErr w:type="spellStart"/>
      <w:r>
        <w:rPr>
          <w:i/>
          <w:iCs/>
          <w:color w:val="1F1F1F"/>
          <w:highlight w:val="white"/>
        </w:rPr>
        <w:t>Cugliari</w:t>
      </w:r>
      <w:proofErr w:type="spellEnd"/>
      <w:r>
        <w:rPr>
          <w:i/>
          <w:iCs/>
          <w:color w:val="1F1F1F"/>
          <w:highlight w:val="white"/>
        </w:rPr>
        <w:t xml:space="preserve"> G, </w:t>
      </w:r>
      <w:proofErr w:type="spellStart"/>
      <w:r>
        <w:rPr>
          <w:i/>
          <w:iCs/>
          <w:color w:val="1F1F1F"/>
          <w:highlight w:val="white"/>
        </w:rPr>
        <w:t>Deregibus</w:t>
      </w:r>
      <w:proofErr w:type="spellEnd"/>
      <w:r>
        <w:rPr>
          <w:i/>
          <w:iCs/>
          <w:color w:val="1F1F1F"/>
          <w:highlight w:val="white"/>
        </w:rPr>
        <w:t xml:space="preserve"> A. Maxillary molar </w:t>
      </w:r>
      <w:proofErr w:type="spellStart"/>
      <w:r>
        <w:rPr>
          <w:i/>
          <w:iCs/>
          <w:color w:val="1F1F1F"/>
          <w:highlight w:val="white"/>
        </w:rPr>
        <w:t>distalization</w:t>
      </w:r>
      <w:proofErr w:type="spellEnd"/>
      <w:r>
        <w:rPr>
          <w:i/>
          <w:iCs/>
          <w:color w:val="1F1F1F"/>
          <w:highlight w:val="white"/>
        </w:rPr>
        <w:t xml:space="preserve"> with aligners. Prog </w:t>
      </w:r>
      <w:proofErr w:type="spellStart"/>
      <w:r>
        <w:rPr>
          <w:i/>
          <w:iCs/>
          <w:color w:val="1F1F1F"/>
          <w:highlight w:val="white"/>
        </w:rPr>
        <w:t>Orthod</w:t>
      </w:r>
      <w:proofErr w:type="spellEnd"/>
      <w:r>
        <w:rPr>
          <w:i/>
          <w:iCs/>
          <w:color w:val="1F1F1F"/>
          <w:highlight w:val="white"/>
        </w:rPr>
        <w:t xml:space="preserve">. </w:t>
      </w:r>
      <w:proofErr w:type="gramStart"/>
      <w:r>
        <w:rPr>
          <w:i/>
          <w:iCs/>
          <w:color w:val="1F1F1F"/>
          <w:highlight w:val="white"/>
        </w:rPr>
        <w:t>2016;17:1</w:t>
      </w:r>
      <w:proofErr w:type="gramEnd"/>
      <w:r>
        <w:rPr>
          <w:i/>
          <w:iCs/>
          <w:color w:val="1F1F1F"/>
          <w:highlight w:val="white"/>
        </w:rPr>
        <w:t>-9.</w:t>
      </w:r>
      <w:r>
        <w:rPr>
          <w:i/>
          <w:iCs/>
          <w:color w:val="1F1F1F"/>
          <w:highlight w:val="white"/>
        </w:rPr>
        <w:br/>
      </w:r>
    </w:p>
    <w:p w14:paraId="4036DAAD" w14:textId="77777777" w:rsidR="003C311D" w:rsidRDefault="00A00E22">
      <w:pPr>
        <w:numPr>
          <w:ilvl w:val="0"/>
          <w:numId w:val="1"/>
        </w:numPr>
        <w:pBdr>
          <w:top w:val="none" w:sz="0" w:space="0" w:color="000000"/>
          <w:bottom w:val="none" w:sz="0" w:space="0" w:color="000000"/>
          <w:right w:val="none" w:sz="0" w:space="0" w:color="000000"/>
          <w:between w:val="none" w:sz="0" w:space="0" w:color="000000"/>
        </w:pBdr>
        <w:spacing w:line="360" w:lineRule="auto"/>
        <w:rPr>
          <w:i/>
          <w:iCs/>
          <w:color w:val="1F1F1F"/>
          <w:highlight w:val="white"/>
        </w:rPr>
      </w:pPr>
      <w:r>
        <w:rPr>
          <w:i/>
          <w:iCs/>
          <w:color w:val="1F1F1F"/>
          <w:highlight w:val="white"/>
        </w:rPr>
        <w:t xml:space="preserve">Sachdev S, </w:t>
      </w:r>
      <w:proofErr w:type="spellStart"/>
      <w:r>
        <w:rPr>
          <w:i/>
          <w:iCs/>
          <w:color w:val="1F1F1F"/>
          <w:highlight w:val="white"/>
        </w:rPr>
        <w:t>Tantidhnazet</w:t>
      </w:r>
      <w:proofErr w:type="spellEnd"/>
      <w:r>
        <w:rPr>
          <w:i/>
          <w:iCs/>
          <w:color w:val="1F1F1F"/>
          <w:highlight w:val="white"/>
        </w:rPr>
        <w:t xml:space="preserve"> S, </w:t>
      </w:r>
      <w:proofErr w:type="spellStart"/>
      <w:r>
        <w:rPr>
          <w:i/>
          <w:iCs/>
          <w:color w:val="1F1F1F"/>
          <w:highlight w:val="white"/>
        </w:rPr>
        <w:t>Saengfai</w:t>
      </w:r>
      <w:proofErr w:type="spellEnd"/>
      <w:r>
        <w:rPr>
          <w:i/>
          <w:iCs/>
          <w:color w:val="1F1F1F"/>
          <w:highlight w:val="white"/>
        </w:rPr>
        <w:t xml:space="preserve"> NN. Accuracy of tooth movement with in-house clear aligners. J World Fed </w:t>
      </w:r>
      <w:proofErr w:type="spellStart"/>
      <w:r>
        <w:rPr>
          <w:i/>
          <w:iCs/>
          <w:color w:val="1F1F1F"/>
          <w:highlight w:val="white"/>
        </w:rPr>
        <w:t>Orthod</w:t>
      </w:r>
      <w:proofErr w:type="spellEnd"/>
      <w:r>
        <w:rPr>
          <w:i/>
          <w:iCs/>
          <w:color w:val="1F1F1F"/>
          <w:highlight w:val="white"/>
        </w:rPr>
        <w:t>. 2021;10(4):177-182.</w:t>
      </w:r>
      <w:r>
        <w:rPr>
          <w:i/>
          <w:iCs/>
          <w:color w:val="1F1F1F"/>
          <w:highlight w:val="white"/>
        </w:rPr>
        <w:br/>
      </w:r>
    </w:p>
    <w:p w14:paraId="136FEC67" w14:textId="77777777" w:rsidR="003C311D" w:rsidRDefault="00A00E22">
      <w:pPr>
        <w:numPr>
          <w:ilvl w:val="0"/>
          <w:numId w:val="1"/>
        </w:numPr>
        <w:pBdr>
          <w:top w:val="none" w:sz="0" w:space="0" w:color="000000"/>
          <w:bottom w:val="none" w:sz="0" w:space="0" w:color="000000"/>
          <w:right w:val="none" w:sz="0" w:space="0" w:color="000000"/>
          <w:between w:val="none" w:sz="0" w:space="0" w:color="000000"/>
        </w:pBdr>
        <w:spacing w:line="360" w:lineRule="auto"/>
        <w:rPr>
          <w:i/>
          <w:iCs/>
          <w:color w:val="1F1F1F"/>
          <w:highlight w:val="white"/>
        </w:rPr>
      </w:pPr>
      <w:r>
        <w:rPr>
          <w:i/>
          <w:iCs/>
          <w:color w:val="1F1F1F"/>
          <w:highlight w:val="white"/>
        </w:rPr>
        <w:t xml:space="preserve">Simon M, </w:t>
      </w:r>
      <w:proofErr w:type="spellStart"/>
      <w:r>
        <w:rPr>
          <w:i/>
          <w:iCs/>
          <w:color w:val="1F1F1F"/>
          <w:highlight w:val="white"/>
        </w:rPr>
        <w:t>Keilig</w:t>
      </w:r>
      <w:proofErr w:type="spellEnd"/>
      <w:r>
        <w:rPr>
          <w:i/>
          <w:iCs/>
          <w:color w:val="1F1F1F"/>
          <w:highlight w:val="white"/>
        </w:rPr>
        <w:t xml:space="preserve"> L, </w:t>
      </w:r>
      <w:proofErr w:type="spellStart"/>
      <w:r>
        <w:rPr>
          <w:i/>
          <w:iCs/>
          <w:color w:val="1F1F1F"/>
          <w:highlight w:val="white"/>
        </w:rPr>
        <w:t>Schwarze</w:t>
      </w:r>
      <w:proofErr w:type="spellEnd"/>
      <w:r>
        <w:rPr>
          <w:i/>
          <w:iCs/>
          <w:color w:val="1F1F1F"/>
          <w:highlight w:val="white"/>
        </w:rPr>
        <w:t xml:space="preserve"> J, Jung BA, </w:t>
      </w:r>
      <w:proofErr w:type="spellStart"/>
      <w:r>
        <w:rPr>
          <w:i/>
          <w:iCs/>
          <w:color w:val="1F1F1F"/>
          <w:highlight w:val="white"/>
        </w:rPr>
        <w:t>Bourauel</w:t>
      </w:r>
      <w:proofErr w:type="spellEnd"/>
      <w:r>
        <w:rPr>
          <w:i/>
          <w:iCs/>
          <w:color w:val="1F1F1F"/>
          <w:highlight w:val="white"/>
        </w:rPr>
        <w:t xml:space="preserve"> C. Forces and moments generated by thermoplastic aligners. Am J </w:t>
      </w:r>
      <w:proofErr w:type="spellStart"/>
      <w:r>
        <w:rPr>
          <w:i/>
          <w:iCs/>
          <w:color w:val="1F1F1F"/>
          <w:highlight w:val="white"/>
        </w:rPr>
        <w:t>Orthod</w:t>
      </w:r>
      <w:proofErr w:type="spellEnd"/>
      <w:r>
        <w:rPr>
          <w:i/>
          <w:iCs/>
          <w:color w:val="1F1F1F"/>
          <w:highlight w:val="white"/>
        </w:rPr>
        <w:t xml:space="preserve"> Dentofacial </w:t>
      </w:r>
      <w:proofErr w:type="spellStart"/>
      <w:r>
        <w:rPr>
          <w:i/>
          <w:iCs/>
          <w:color w:val="1F1F1F"/>
          <w:highlight w:val="white"/>
        </w:rPr>
        <w:t>Orthop</w:t>
      </w:r>
      <w:proofErr w:type="spellEnd"/>
      <w:r>
        <w:rPr>
          <w:i/>
          <w:iCs/>
          <w:color w:val="1F1F1F"/>
          <w:highlight w:val="white"/>
        </w:rPr>
        <w:t>. 2014;145(6):7</w:t>
      </w:r>
      <w:r>
        <w:rPr>
          <w:i/>
          <w:iCs/>
          <w:color w:val="1F1F1F"/>
          <w:highlight w:val="white"/>
        </w:rPr>
        <w:t>28-736.</w:t>
      </w:r>
      <w:r>
        <w:rPr>
          <w:i/>
          <w:iCs/>
          <w:color w:val="1F1F1F"/>
          <w:highlight w:val="white"/>
        </w:rPr>
        <w:br/>
      </w:r>
    </w:p>
    <w:p w14:paraId="47CCDED2" w14:textId="77777777" w:rsidR="003C311D" w:rsidRDefault="00A00E22">
      <w:pPr>
        <w:numPr>
          <w:ilvl w:val="0"/>
          <w:numId w:val="1"/>
        </w:numPr>
        <w:pBdr>
          <w:top w:val="none" w:sz="0" w:space="0" w:color="000000"/>
          <w:bottom w:val="none" w:sz="0" w:space="0" w:color="000000"/>
          <w:right w:val="none" w:sz="0" w:space="0" w:color="000000"/>
          <w:between w:val="none" w:sz="0" w:space="0" w:color="000000"/>
        </w:pBdr>
        <w:spacing w:line="360" w:lineRule="auto"/>
        <w:rPr>
          <w:i/>
          <w:iCs/>
          <w:color w:val="1F1F1F"/>
          <w:highlight w:val="white"/>
        </w:rPr>
      </w:pPr>
      <w:r>
        <w:rPr>
          <w:i/>
          <w:iCs/>
          <w:color w:val="1F1F1F"/>
          <w:highlight w:val="white"/>
        </w:rPr>
        <w:t xml:space="preserve">Upadhyay M, </w:t>
      </w:r>
      <w:proofErr w:type="spellStart"/>
      <w:r>
        <w:rPr>
          <w:i/>
          <w:iCs/>
          <w:color w:val="1F1F1F"/>
          <w:highlight w:val="white"/>
        </w:rPr>
        <w:t>Arqub</w:t>
      </w:r>
      <w:proofErr w:type="spellEnd"/>
      <w:r>
        <w:rPr>
          <w:i/>
          <w:iCs/>
          <w:color w:val="1F1F1F"/>
          <w:highlight w:val="white"/>
        </w:rPr>
        <w:t xml:space="preserve"> SA. Biomechanics of clear aligners: hidden truths &amp; first principles. J World Fed </w:t>
      </w:r>
      <w:proofErr w:type="spellStart"/>
      <w:r>
        <w:rPr>
          <w:i/>
          <w:iCs/>
          <w:color w:val="1F1F1F"/>
          <w:highlight w:val="white"/>
        </w:rPr>
        <w:t>Orthod</w:t>
      </w:r>
      <w:proofErr w:type="spellEnd"/>
      <w:r>
        <w:rPr>
          <w:i/>
          <w:iCs/>
          <w:color w:val="1F1F1F"/>
          <w:highlight w:val="white"/>
        </w:rPr>
        <w:t>. 2022;11(1):12-21.</w:t>
      </w:r>
      <w:r>
        <w:rPr>
          <w:i/>
          <w:iCs/>
          <w:color w:val="1F1F1F"/>
          <w:highlight w:val="white"/>
        </w:rPr>
        <w:br/>
      </w:r>
    </w:p>
    <w:p w14:paraId="198CE8FF" w14:textId="77777777" w:rsidR="003C311D" w:rsidRDefault="00A00E22">
      <w:pPr>
        <w:numPr>
          <w:ilvl w:val="0"/>
          <w:numId w:val="1"/>
        </w:numPr>
        <w:pBdr>
          <w:top w:val="none" w:sz="0" w:space="0" w:color="000000"/>
          <w:bottom w:val="none" w:sz="0" w:space="0" w:color="000000"/>
          <w:right w:val="none" w:sz="0" w:space="0" w:color="000000"/>
          <w:between w:val="none" w:sz="0" w:space="0" w:color="000000"/>
        </w:pBdr>
        <w:spacing w:after="240" w:line="360" w:lineRule="auto"/>
        <w:rPr>
          <w:i/>
          <w:iCs/>
          <w:color w:val="1F1F1F"/>
          <w:sz w:val="24"/>
          <w:szCs w:val="24"/>
          <w:highlight w:val="white"/>
        </w:rPr>
      </w:pPr>
      <w:r>
        <w:rPr>
          <w:i/>
          <w:iCs/>
          <w:color w:val="1F1F1F"/>
          <w:highlight w:val="white"/>
        </w:rPr>
        <w:t xml:space="preserve">Alam MK, </w:t>
      </w:r>
      <w:proofErr w:type="spellStart"/>
      <w:r>
        <w:rPr>
          <w:i/>
          <w:iCs/>
          <w:color w:val="1F1F1F"/>
          <w:highlight w:val="white"/>
        </w:rPr>
        <w:t>Kanwal</w:t>
      </w:r>
      <w:proofErr w:type="spellEnd"/>
      <w:r>
        <w:rPr>
          <w:i/>
          <w:iCs/>
          <w:color w:val="1F1F1F"/>
          <w:highlight w:val="white"/>
        </w:rPr>
        <w:t xml:space="preserve"> B, </w:t>
      </w:r>
      <w:proofErr w:type="spellStart"/>
      <w:r>
        <w:rPr>
          <w:i/>
          <w:iCs/>
          <w:color w:val="1F1F1F"/>
          <w:highlight w:val="white"/>
        </w:rPr>
        <w:t>Shqaidef</w:t>
      </w:r>
      <w:proofErr w:type="spellEnd"/>
      <w:r>
        <w:rPr>
          <w:i/>
          <w:iCs/>
          <w:color w:val="1F1F1F"/>
          <w:highlight w:val="white"/>
        </w:rPr>
        <w:t xml:space="preserve"> A, et al. Impact of aligner materials and attachments on ortho</w:t>
      </w:r>
      <w:r>
        <w:rPr>
          <w:i/>
          <w:iCs/>
          <w:color w:val="1F1F1F"/>
          <w:sz w:val="24"/>
          <w:szCs w:val="24"/>
          <w:highlight w:val="white"/>
        </w:rPr>
        <w:t xml:space="preserve">dontic tooth movement: systematic review and network meta-analysis. J </w:t>
      </w:r>
      <w:proofErr w:type="spellStart"/>
      <w:r>
        <w:rPr>
          <w:i/>
          <w:iCs/>
          <w:color w:val="1F1F1F"/>
          <w:sz w:val="24"/>
          <w:szCs w:val="24"/>
          <w:highlight w:val="white"/>
        </w:rPr>
        <w:t>Funct</w:t>
      </w:r>
      <w:proofErr w:type="spellEnd"/>
      <w:r>
        <w:rPr>
          <w:i/>
          <w:iCs/>
          <w:color w:val="1F1F1F"/>
          <w:sz w:val="24"/>
          <w:szCs w:val="24"/>
          <w:highlight w:val="white"/>
        </w:rPr>
        <w:t xml:space="preserve"> </w:t>
      </w:r>
      <w:proofErr w:type="spellStart"/>
      <w:r>
        <w:rPr>
          <w:i/>
          <w:iCs/>
          <w:color w:val="1F1F1F"/>
          <w:sz w:val="24"/>
          <w:szCs w:val="24"/>
          <w:highlight w:val="white"/>
        </w:rPr>
        <w:t>Biomater</w:t>
      </w:r>
      <w:proofErr w:type="spellEnd"/>
      <w:r>
        <w:rPr>
          <w:i/>
          <w:iCs/>
          <w:color w:val="1F1F1F"/>
          <w:sz w:val="24"/>
          <w:szCs w:val="24"/>
          <w:highlight w:val="white"/>
        </w:rPr>
        <w:t>. 2023;14(4):209.</w:t>
      </w:r>
      <w:r>
        <w:rPr>
          <w:i/>
          <w:iCs/>
          <w:color w:val="1F1F1F"/>
          <w:sz w:val="24"/>
          <w:szCs w:val="24"/>
          <w:highlight w:val="white"/>
        </w:rPr>
        <w:br/>
      </w:r>
    </w:p>
    <w:p w14:paraId="4DD335C9" w14:textId="77777777" w:rsidR="003C311D" w:rsidRDefault="003C311D">
      <w:pPr>
        <w:pBdr>
          <w:top w:val="none" w:sz="0" w:space="0" w:color="000000"/>
          <w:bottom w:val="none" w:sz="0" w:space="0" w:color="000000"/>
          <w:right w:val="none" w:sz="0" w:space="0" w:color="000000"/>
          <w:between w:val="none" w:sz="0" w:space="0" w:color="000000"/>
        </w:pBdr>
        <w:spacing w:before="240" w:after="240" w:line="360" w:lineRule="auto"/>
        <w:rPr>
          <w:b/>
          <w:bCs/>
          <w:i/>
          <w:iCs/>
          <w:color w:val="1F1F1F"/>
          <w:sz w:val="46"/>
          <w:szCs w:val="46"/>
          <w:highlight w:val="white"/>
        </w:rPr>
      </w:pPr>
    </w:p>
    <w:p w14:paraId="3AC32DDF" w14:textId="77777777" w:rsidR="003C311D" w:rsidRDefault="003C311D">
      <w:pPr>
        <w:pBdr>
          <w:top w:val="none" w:sz="0" w:space="0" w:color="000000"/>
          <w:bottom w:val="none" w:sz="0" w:space="0" w:color="000000"/>
          <w:right w:val="none" w:sz="0" w:space="0" w:color="000000"/>
          <w:between w:val="none" w:sz="0" w:space="0" w:color="000000"/>
        </w:pBdr>
        <w:spacing w:before="240" w:after="240" w:line="360" w:lineRule="auto"/>
        <w:rPr>
          <w:i/>
          <w:iCs/>
          <w:color w:val="1F1F1F"/>
          <w:sz w:val="24"/>
          <w:szCs w:val="24"/>
          <w:highlight w:val="white"/>
        </w:rPr>
      </w:pPr>
    </w:p>
    <w:p w14:paraId="6CC39349" w14:textId="77777777" w:rsidR="003C311D" w:rsidRDefault="003C311D">
      <w:pPr>
        <w:rPr>
          <w:sz w:val="20"/>
          <w:szCs w:val="20"/>
        </w:rPr>
      </w:pPr>
    </w:p>
    <w:p w14:paraId="25F6381B" w14:textId="77777777" w:rsidR="003C311D" w:rsidRDefault="003C311D">
      <w:pPr>
        <w:rPr>
          <w:sz w:val="26"/>
          <w:szCs w:val="26"/>
        </w:rPr>
      </w:pPr>
    </w:p>
    <w:p w14:paraId="71D31C87" w14:textId="77777777" w:rsidR="003C311D" w:rsidRDefault="003C311D">
      <w:pPr>
        <w:pBdr>
          <w:top w:val="none" w:sz="0" w:space="0" w:color="000000"/>
          <w:bottom w:val="none" w:sz="0" w:space="0" w:color="000000"/>
          <w:right w:val="none" w:sz="0" w:space="0" w:color="000000"/>
          <w:between w:val="none" w:sz="0" w:space="0" w:color="000000"/>
        </w:pBdr>
        <w:spacing w:after="480" w:line="240" w:lineRule="auto"/>
        <w:ind w:left="720"/>
        <w:rPr>
          <w:rFonts w:ascii="Lexend" w:eastAsia="Lexend" w:hAnsi="Lexend" w:cs="Lexend"/>
          <w:sz w:val="24"/>
          <w:szCs w:val="24"/>
          <w:highlight w:val="white"/>
        </w:rPr>
      </w:pPr>
    </w:p>
    <w:p w14:paraId="4AFA5423" w14:textId="77777777" w:rsidR="003C311D" w:rsidRDefault="003C311D">
      <w:pPr>
        <w:pBdr>
          <w:top w:val="none" w:sz="0" w:space="0" w:color="000000"/>
          <w:bottom w:val="none" w:sz="0" w:space="0" w:color="000000"/>
          <w:right w:val="none" w:sz="0" w:space="0" w:color="000000"/>
          <w:between w:val="none" w:sz="0" w:space="0" w:color="000000"/>
        </w:pBdr>
        <w:spacing w:after="480" w:line="360" w:lineRule="auto"/>
        <w:ind w:left="720"/>
        <w:rPr>
          <w:i/>
          <w:iCs/>
          <w:color w:val="1F1F1F"/>
          <w:sz w:val="24"/>
          <w:szCs w:val="24"/>
          <w:highlight w:val="white"/>
        </w:rPr>
      </w:pPr>
    </w:p>
    <w:p w14:paraId="007AAE8A" w14:textId="77777777" w:rsidR="003C311D" w:rsidRDefault="003C311D">
      <w:pPr>
        <w:pBdr>
          <w:top w:val="none" w:sz="0" w:space="0" w:color="000000"/>
          <w:bottom w:val="none" w:sz="0" w:space="0" w:color="000000"/>
          <w:right w:val="none" w:sz="0" w:space="0" w:color="000000"/>
          <w:between w:val="none" w:sz="0" w:space="0" w:color="000000"/>
        </w:pBdr>
        <w:spacing w:after="480" w:line="360" w:lineRule="auto"/>
        <w:rPr>
          <w:i/>
          <w:iCs/>
          <w:color w:val="1F1F1F"/>
          <w:sz w:val="24"/>
          <w:szCs w:val="24"/>
          <w:highlight w:val="white"/>
        </w:rPr>
      </w:pPr>
    </w:p>
    <w:p w14:paraId="7D86A637" w14:textId="77777777" w:rsidR="003C311D" w:rsidRDefault="003C311D">
      <w:pPr>
        <w:spacing w:before="240" w:after="240"/>
        <w:jc w:val="both"/>
      </w:pPr>
    </w:p>
    <w:sectPr w:rsidR="003C311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A0D693" w14:textId="77777777" w:rsidR="00A00E22" w:rsidRDefault="00A00E22">
      <w:pPr>
        <w:spacing w:line="240" w:lineRule="auto"/>
      </w:pPr>
      <w:r>
        <w:separator/>
      </w:r>
    </w:p>
  </w:endnote>
  <w:endnote w:type="continuationSeparator" w:id="0">
    <w:p w14:paraId="5CAB6D0C" w14:textId="77777777" w:rsidR="00A00E22" w:rsidRDefault="00A00E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exend">
    <w:charset w:val="00"/>
    <w:family w:val="auto"/>
    <w:pitch w:val="default"/>
    <w:embedRegular r:id="rId1" w:fontKey="{E255863C-C41A-40CE-BAAB-D7FD1EA7B2B9}"/>
  </w:font>
  <w:font w:name="Calibri">
    <w:panose1 w:val="020F0502020204030204"/>
    <w:charset w:val="00"/>
    <w:family w:val="swiss"/>
    <w:pitch w:val="variable"/>
    <w:sig w:usb0="E4002EFF" w:usb1="C200247B" w:usb2="00000009" w:usb3="00000000" w:csb0="000001FF" w:csb1="00000000"/>
    <w:embedRegular r:id="rId2" w:fontKey="{CA1B8213-CE42-40D1-9294-209B5B226319}"/>
  </w:font>
  <w:font w:name="Cambria">
    <w:panose1 w:val="02040503050406030204"/>
    <w:charset w:val="00"/>
    <w:family w:val="roman"/>
    <w:pitch w:val="variable"/>
    <w:sig w:usb0="E00006FF" w:usb1="420024FF" w:usb2="02000000" w:usb3="00000000" w:csb0="0000019F" w:csb1="00000000"/>
    <w:embedRegular r:id="rId3" w:fontKey="{2C33FDD1-2B3A-4F19-A341-4313C271D2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3D5D1" w14:textId="77777777" w:rsidR="00464B71" w:rsidRDefault="00464B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3388C" w14:textId="77777777" w:rsidR="003C311D" w:rsidRDefault="003C311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A8E58" w14:textId="77777777" w:rsidR="00464B71" w:rsidRDefault="00464B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1C4AB8" w14:textId="77777777" w:rsidR="00A00E22" w:rsidRDefault="00A00E22">
      <w:pPr>
        <w:spacing w:line="240" w:lineRule="auto"/>
      </w:pPr>
      <w:r>
        <w:separator/>
      </w:r>
    </w:p>
  </w:footnote>
  <w:footnote w:type="continuationSeparator" w:id="0">
    <w:p w14:paraId="0A764AB2" w14:textId="77777777" w:rsidR="00A00E22" w:rsidRDefault="00A00E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09144" w14:textId="01F39B20" w:rsidR="00464B71" w:rsidRDefault="00464B71">
    <w:pPr>
      <w:pStyle w:val="Header"/>
    </w:pPr>
    <w:r>
      <w:rPr>
        <w:noProof/>
      </w:rPr>
      <w:pict w14:anchorId="5E3713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4953204"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10204" w14:textId="1365F9A9" w:rsidR="00464B71" w:rsidRDefault="00464B71">
    <w:pPr>
      <w:pStyle w:val="Header"/>
    </w:pPr>
    <w:r>
      <w:rPr>
        <w:noProof/>
      </w:rPr>
      <w:pict w14:anchorId="465DB1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4953205"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09273" w14:textId="1D4EB823" w:rsidR="00464B71" w:rsidRDefault="00464B71">
    <w:pPr>
      <w:pStyle w:val="Header"/>
    </w:pPr>
    <w:r>
      <w:rPr>
        <w:noProof/>
      </w:rPr>
      <w:pict w14:anchorId="44982E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4953203"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0B0C1C"/>
    <w:multiLevelType w:val="multilevel"/>
    <w:tmpl w:val="87506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11D"/>
    <w:rsid w:val="003C311D"/>
    <w:rsid w:val="00464B71"/>
    <w:rsid w:val="00482764"/>
    <w:rsid w:val="0064368B"/>
    <w:rsid w:val="00A00E22"/>
    <w:rsid w:val="00A739F0"/>
    <w:rsid w:val="00B56E04"/>
    <w:rsid w:val="00E77143"/>
    <w:rsid w:val="00F01680"/>
    <w:rsid w:val="00F825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A87E86"/>
  <w15:docId w15:val="{A0A8CD06-4EA9-45CF-B580-8A5E8CFF5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464B71"/>
    <w:pPr>
      <w:tabs>
        <w:tab w:val="center" w:pos="4680"/>
        <w:tab w:val="right" w:pos="9360"/>
      </w:tabs>
      <w:spacing w:line="240" w:lineRule="auto"/>
    </w:pPr>
  </w:style>
  <w:style w:type="character" w:customStyle="1" w:styleId="HeaderChar">
    <w:name w:val="Header Char"/>
    <w:basedOn w:val="DefaultParagraphFont"/>
    <w:link w:val="Header"/>
    <w:uiPriority w:val="99"/>
    <w:rsid w:val="00464B71"/>
  </w:style>
  <w:style w:type="paragraph" w:styleId="Footer">
    <w:name w:val="footer"/>
    <w:basedOn w:val="Normal"/>
    <w:link w:val="FooterChar"/>
    <w:uiPriority w:val="99"/>
    <w:unhideWhenUsed/>
    <w:rsid w:val="00464B71"/>
    <w:pPr>
      <w:tabs>
        <w:tab w:val="center" w:pos="4680"/>
        <w:tab w:val="right" w:pos="9360"/>
      </w:tabs>
      <w:spacing w:line="240" w:lineRule="auto"/>
    </w:pPr>
  </w:style>
  <w:style w:type="character" w:customStyle="1" w:styleId="FooterChar">
    <w:name w:val="Footer Char"/>
    <w:basedOn w:val="DefaultParagraphFont"/>
    <w:link w:val="Footer"/>
    <w:uiPriority w:val="99"/>
    <w:rsid w:val="00464B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13</Pages>
  <Words>2863</Words>
  <Characters>16320</Characters>
  <Application>Microsoft Office Word</Application>
  <DocSecurity>0</DocSecurity>
  <Lines>136</Lines>
  <Paragraphs>38</Paragraphs>
  <ScaleCrop>false</ScaleCrop>
  <Company/>
  <LinksUpToDate>false</LinksUpToDate>
  <CharactersWithSpaces>19145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1170</cp:lastModifiedBy>
  <cp:revision>13</cp:revision>
  <dcterms:created xsi:type="dcterms:W3CDTF">2026-03-07T05:19:00Z</dcterms:created>
  <dcterms:modified xsi:type="dcterms:W3CDTF">2026-03-07T10:08:00Z</dcterms:modified>
</cp:coreProperties>
</file>