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234D" w14:textId="77777777" w:rsidR="00055E63" w:rsidRPr="003712FD" w:rsidRDefault="00AF4F6B" w:rsidP="00AB7E36">
      <w:pPr>
        <w:jc w:val="right"/>
        <w:rPr>
          <w:rFonts w:ascii="Arial" w:hAnsi="Arial" w:cs="Arial"/>
          <w:b/>
          <w:bCs/>
        </w:rPr>
      </w:pPr>
      <w:r w:rsidRPr="003712FD">
        <w:rPr>
          <w:rFonts w:ascii="Arial" w:hAnsi="Arial" w:cs="Arial"/>
          <w:b/>
          <w:bCs/>
        </w:rPr>
        <w:t xml:space="preserve">CHOOSING PUBLIC HEALTH DENTISTRY AS A CAREER </w:t>
      </w:r>
      <w:r w:rsidR="003B4154" w:rsidRPr="003712FD">
        <w:rPr>
          <w:rFonts w:ascii="Arial" w:hAnsi="Arial" w:cs="Arial"/>
          <w:b/>
          <w:bCs/>
        </w:rPr>
        <w:t>OPTION</w:t>
      </w:r>
    </w:p>
    <w:p w14:paraId="5E770D1B" w14:textId="1EFAC01E" w:rsidR="00055E63" w:rsidRDefault="00055E63" w:rsidP="00592107">
      <w:pPr>
        <w:jc w:val="both"/>
        <w:rPr>
          <w:rFonts w:ascii="Arial" w:hAnsi="Arial" w:cs="Arial"/>
          <w:b/>
          <w:bCs/>
          <w:sz w:val="20"/>
          <w:szCs w:val="20"/>
        </w:rPr>
      </w:pPr>
    </w:p>
    <w:p w14:paraId="14A8FC45" w14:textId="77777777" w:rsidR="00004461" w:rsidRPr="003712FD" w:rsidRDefault="00004461" w:rsidP="00592107">
      <w:pPr>
        <w:jc w:val="both"/>
        <w:rPr>
          <w:rFonts w:ascii="Arial" w:hAnsi="Arial" w:cs="Arial"/>
          <w:b/>
          <w:bCs/>
          <w:sz w:val="20"/>
          <w:szCs w:val="20"/>
        </w:rPr>
      </w:pPr>
      <w:bookmarkStart w:id="0" w:name="_GoBack"/>
      <w:bookmarkEnd w:id="0"/>
    </w:p>
    <w:tbl>
      <w:tblPr>
        <w:tblStyle w:val="TableGrid"/>
        <w:tblpPr w:leftFromText="180" w:rightFromText="180" w:vertAnchor="text" w:horzAnchor="margin" w:tblpY="329"/>
        <w:tblW w:w="0" w:type="auto"/>
        <w:tblLook w:val="04A0" w:firstRow="1" w:lastRow="0" w:firstColumn="1" w:lastColumn="0" w:noHBand="0" w:noVBand="1"/>
      </w:tblPr>
      <w:tblGrid>
        <w:gridCol w:w="9350"/>
      </w:tblGrid>
      <w:tr w:rsidR="00F8159B" w:rsidRPr="003712FD" w14:paraId="577A663B" w14:textId="77777777" w:rsidTr="00F8159B">
        <w:tc>
          <w:tcPr>
            <w:tcW w:w="9350" w:type="dxa"/>
          </w:tcPr>
          <w:p w14:paraId="2D53840B" w14:textId="77777777" w:rsidR="00021653" w:rsidRDefault="00F8159B" w:rsidP="00F8159B">
            <w:pPr>
              <w:pStyle w:val="NormalWeb"/>
              <w:jc w:val="both"/>
              <w:rPr>
                <w:rFonts w:ascii="Arial" w:hAnsi="Arial" w:cs="Arial"/>
                <w:sz w:val="20"/>
                <w:szCs w:val="20"/>
              </w:rPr>
            </w:pPr>
            <w:r w:rsidRPr="003712FD">
              <w:rPr>
                <w:rStyle w:val="Strong"/>
                <w:rFonts w:ascii="Arial" w:hAnsi="Arial" w:cs="Arial"/>
                <w:sz w:val="22"/>
                <w:szCs w:val="22"/>
              </w:rPr>
              <w:t>Background</w:t>
            </w:r>
            <w:r w:rsidRPr="003712FD">
              <w:rPr>
                <w:rStyle w:val="Strong"/>
                <w:rFonts w:ascii="Arial" w:hAnsi="Arial" w:cs="Arial"/>
                <w:sz w:val="20"/>
                <w:szCs w:val="20"/>
              </w:rPr>
              <w:t>:</w:t>
            </w:r>
            <w:r w:rsidRPr="003712FD">
              <w:rPr>
                <w:rFonts w:ascii="Arial" w:hAnsi="Arial" w:cs="Arial"/>
                <w:sz w:val="20"/>
                <w:szCs w:val="20"/>
              </w:rPr>
              <w:br/>
              <w:t>Public Health Dentistry plays a vital role in improving oral health at the population level through prevention, education, and policy advocacy. Despite its importance, this specialty often receives less attention compared to clinical branches, with students’ career choices frequently influenced by financial and clinical factors. Understanding students' perceptions and motivations can help guide educational strategies to strengthen interest in PHD and ensure a workforce equipped to address community oral health needs.</w:t>
            </w:r>
          </w:p>
          <w:p w14:paraId="46FA9297" w14:textId="56559C21" w:rsidR="00F8159B" w:rsidRPr="003712FD" w:rsidRDefault="00F8159B" w:rsidP="00F8159B">
            <w:pPr>
              <w:pStyle w:val="NormalWeb"/>
              <w:jc w:val="both"/>
              <w:rPr>
                <w:rFonts w:ascii="Arial" w:hAnsi="Arial" w:cs="Arial"/>
                <w:sz w:val="20"/>
                <w:szCs w:val="20"/>
              </w:rPr>
            </w:pPr>
            <w:r w:rsidRPr="003712FD">
              <w:rPr>
                <w:rStyle w:val="Strong"/>
                <w:rFonts w:ascii="Arial" w:hAnsi="Arial" w:cs="Arial"/>
                <w:sz w:val="22"/>
                <w:szCs w:val="22"/>
              </w:rPr>
              <w:t>Aim:</w:t>
            </w:r>
            <w:r w:rsidRPr="003712FD">
              <w:rPr>
                <w:rFonts w:ascii="Arial" w:hAnsi="Arial" w:cs="Arial"/>
                <w:sz w:val="22"/>
                <w:szCs w:val="22"/>
              </w:rPr>
              <w:br/>
            </w:r>
            <w:r w:rsidRPr="003712FD">
              <w:rPr>
                <w:rFonts w:ascii="Arial" w:hAnsi="Arial" w:cs="Arial"/>
                <w:sz w:val="20"/>
                <w:szCs w:val="20"/>
              </w:rPr>
              <w:t>To examine the attitude of dental students towards selecting Public Health Dentistry (PHD) as a career.</w:t>
            </w:r>
          </w:p>
          <w:p w14:paraId="5FD327AC" w14:textId="5A824ED3" w:rsidR="00F8159B" w:rsidRPr="003712FD" w:rsidRDefault="00F8159B" w:rsidP="00F8159B">
            <w:pPr>
              <w:pStyle w:val="NormalWeb"/>
              <w:jc w:val="both"/>
              <w:rPr>
                <w:rFonts w:ascii="Arial" w:hAnsi="Arial" w:cs="Arial"/>
                <w:sz w:val="20"/>
                <w:szCs w:val="20"/>
              </w:rPr>
            </w:pPr>
            <w:r w:rsidRPr="003712FD">
              <w:rPr>
                <w:rStyle w:val="Strong"/>
                <w:rFonts w:ascii="Arial" w:hAnsi="Arial" w:cs="Arial"/>
                <w:sz w:val="22"/>
                <w:szCs w:val="22"/>
              </w:rPr>
              <w:t>Methods:</w:t>
            </w:r>
            <w:r w:rsidRPr="003712FD">
              <w:rPr>
                <w:rFonts w:ascii="Arial" w:hAnsi="Arial" w:cs="Arial"/>
                <w:sz w:val="22"/>
                <w:szCs w:val="22"/>
              </w:rPr>
              <w:br/>
            </w:r>
            <w:r w:rsidRPr="003712FD">
              <w:rPr>
                <w:rFonts w:ascii="Arial" w:hAnsi="Arial" w:cs="Arial"/>
                <w:sz w:val="20"/>
                <w:szCs w:val="20"/>
              </w:rPr>
              <w:t>A descriptive cross-sectional study was conducted among third-year, fourth-year, and CRRI dental students at Adhiparasakthi Dental College and Hospital. A self-administered questionnaire evaluated motivations for choosing dentistry, career aspirations, and views on PHD. Data were analyzed using SPSS</w:t>
            </w:r>
            <w:r w:rsidR="00856828">
              <w:rPr>
                <w:rFonts w:ascii="Arial" w:hAnsi="Arial" w:cs="Arial"/>
                <w:sz w:val="20"/>
                <w:szCs w:val="20"/>
              </w:rPr>
              <w:t xml:space="preserve"> software </w:t>
            </w:r>
            <w:r w:rsidR="00856828" w:rsidRPr="00856828">
              <w:rPr>
                <w:rFonts w:ascii="Arial" w:hAnsi="Arial" w:cs="Arial"/>
                <w:sz w:val="20"/>
                <w:szCs w:val="20"/>
              </w:rPr>
              <w:t>(version 23.0, IBM Corp., USA).</w:t>
            </w:r>
            <w:r w:rsidRPr="003712FD">
              <w:rPr>
                <w:rFonts w:ascii="Arial" w:hAnsi="Arial" w:cs="Arial"/>
                <w:sz w:val="20"/>
                <w:szCs w:val="20"/>
              </w:rPr>
              <w:t xml:space="preserve"> Descriptive statistics (frequencies, percentages) and Chi-square tests were applied to determine associations between academic year and responses (p &lt; 0.05).</w:t>
            </w:r>
          </w:p>
          <w:p w14:paraId="42A5E6AC" w14:textId="77777777" w:rsidR="00F8159B" w:rsidRPr="003712FD" w:rsidRDefault="00F8159B" w:rsidP="00F8159B">
            <w:pPr>
              <w:pStyle w:val="NormalWeb"/>
              <w:jc w:val="both"/>
              <w:rPr>
                <w:rFonts w:ascii="Arial" w:hAnsi="Arial" w:cs="Arial"/>
                <w:sz w:val="20"/>
                <w:szCs w:val="20"/>
              </w:rPr>
            </w:pPr>
            <w:r w:rsidRPr="003712FD">
              <w:rPr>
                <w:rStyle w:val="Strong"/>
                <w:rFonts w:ascii="Arial" w:hAnsi="Arial" w:cs="Arial"/>
                <w:sz w:val="22"/>
                <w:szCs w:val="22"/>
              </w:rPr>
              <w:t>Results:</w:t>
            </w:r>
            <w:r w:rsidRPr="003712FD">
              <w:rPr>
                <w:rFonts w:ascii="Arial" w:hAnsi="Arial" w:cs="Arial"/>
                <w:sz w:val="22"/>
                <w:szCs w:val="22"/>
              </w:rPr>
              <w:br/>
            </w:r>
            <w:r w:rsidRPr="003712FD">
              <w:rPr>
                <w:rFonts w:ascii="Arial" w:hAnsi="Arial" w:cs="Arial"/>
                <w:sz w:val="20"/>
                <w:szCs w:val="20"/>
              </w:rPr>
              <w:t>Among 253 participants (68 males, 185 females), 73% viewed PHD as emotionally and socially rewarding. Career preference was significantly associated with perceived ease of employment (p = 0.027), work difficulty (p = 0.008), and personality development opportunities (p = 0.041). Over 92% acknowledged PHD’s role in oral health awareness, and 85% identified strong prospects in teaching and research.</w:t>
            </w:r>
          </w:p>
          <w:p w14:paraId="1D6F7223" w14:textId="0DB0C425" w:rsidR="00F8159B" w:rsidRPr="003712FD" w:rsidRDefault="00F8159B" w:rsidP="00F8159B">
            <w:pPr>
              <w:pStyle w:val="NormalWeb"/>
              <w:jc w:val="both"/>
              <w:rPr>
                <w:rFonts w:ascii="Arial" w:hAnsi="Arial" w:cs="Arial"/>
                <w:sz w:val="20"/>
                <w:szCs w:val="20"/>
              </w:rPr>
            </w:pPr>
            <w:r w:rsidRPr="00021653">
              <w:rPr>
                <w:rStyle w:val="Strong"/>
                <w:rFonts w:ascii="Arial" w:hAnsi="Arial" w:cs="Arial"/>
                <w:sz w:val="22"/>
                <w:szCs w:val="22"/>
              </w:rPr>
              <w:t>Conclusion:</w:t>
            </w:r>
            <w:r w:rsidRPr="00021653">
              <w:rPr>
                <w:rFonts w:ascii="Arial" w:hAnsi="Arial" w:cs="Arial"/>
                <w:sz w:val="22"/>
                <w:szCs w:val="22"/>
              </w:rPr>
              <w:br/>
            </w:r>
            <w:r w:rsidRPr="003712FD">
              <w:rPr>
                <w:rFonts w:ascii="Arial" w:hAnsi="Arial" w:cs="Arial"/>
                <w:sz w:val="20"/>
                <w:szCs w:val="20"/>
              </w:rPr>
              <w:t>Dental students demonstrated a positive attitude toward PHD, valuing its social impact and academic potential. Integrating mentorship, community-based education, and structured career guidance could further foster interest in this specialty.</w:t>
            </w:r>
          </w:p>
        </w:tc>
      </w:tr>
    </w:tbl>
    <w:p w14:paraId="698AFE72" w14:textId="1C1EA39A" w:rsidR="003B4154" w:rsidRPr="003712FD" w:rsidRDefault="008973A5" w:rsidP="00592107">
      <w:pPr>
        <w:jc w:val="both"/>
        <w:rPr>
          <w:rFonts w:ascii="Arial" w:hAnsi="Arial" w:cs="Arial"/>
          <w:b/>
          <w:bCs/>
          <w:sz w:val="22"/>
          <w:szCs w:val="22"/>
        </w:rPr>
      </w:pPr>
      <w:r w:rsidRPr="003712FD">
        <w:rPr>
          <w:rFonts w:ascii="Arial" w:hAnsi="Arial" w:cs="Arial"/>
          <w:b/>
          <w:bCs/>
          <w:sz w:val="22"/>
          <w:szCs w:val="22"/>
        </w:rPr>
        <w:t xml:space="preserve">ABSTRACT </w:t>
      </w:r>
    </w:p>
    <w:p w14:paraId="25EC4BBB" w14:textId="77777777" w:rsidR="00F8159B" w:rsidRPr="003712FD" w:rsidRDefault="00F8159B" w:rsidP="00592107">
      <w:pPr>
        <w:pStyle w:val="NormalWeb"/>
        <w:jc w:val="both"/>
        <w:divId w:val="642586506"/>
        <w:rPr>
          <w:rStyle w:val="Strong"/>
          <w:rFonts w:ascii="Arial" w:hAnsi="Arial" w:cs="Arial"/>
          <w:b w:val="0"/>
          <w:bCs w:val="0"/>
          <w:i/>
          <w:iCs/>
          <w:sz w:val="20"/>
          <w:szCs w:val="20"/>
        </w:rPr>
      </w:pPr>
    </w:p>
    <w:p w14:paraId="3964C4A6" w14:textId="516189B2" w:rsidR="00D31338" w:rsidRPr="003712FD" w:rsidRDefault="00D31338" w:rsidP="00592107">
      <w:pPr>
        <w:pStyle w:val="NormalWeb"/>
        <w:jc w:val="both"/>
        <w:divId w:val="642586506"/>
        <w:rPr>
          <w:rFonts w:ascii="Arial" w:hAnsi="Arial" w:cs="Arial"/>
          <w:i/>
          <w:iCs/>
          <w:sz w:val="20"/>
          <w:szCs w:val="20"/>
        </w:rPr>
      </w:pPr>
      <w:r w:rsidRPr="003712FD">
        <w:rPr>
          <w:rStyle w:val="Strong"/>
          <w:rFonts w:ascii="Arial" w:hAnsi="Arial" w:cs="Arial"/>
          <w:b w:val="0"/>
          <w:bCs w:val="0"/>
          <w:i/>
          <w:iCs/>
          <w:sz w:val="20"/>
          <w:szCs w:val="20"/>
        </w:rPr>
        <w:t>Keywords:</w:t>
      </w:r>
      <w:r w:rsidRPr="003712FD">
        <w:rPr>
          <w:rFonts w:ascii="Arial" w:hAnsi="Arial" w:cs="Arial"/>
          <w:b/>
          <w:bCs/>
          <w:i/>
          <w:iCs/>
          <w:sz w:val="20"/>
          <w:szCs w:val="20"/>
        </w:rPr>
        <w:t xml:space="preserve"> </w:t>
      </w:r>
      <w:r w:rsidRPr="003712FD">
        <w:rPr>
          <w:rFonts w:ascii="Arial" w:hAnsi="Arial" w:cs="Arial"/>
          <w:i/>
          <w:iCs/>
          <w:sz w:val="20"/>
          <w:szCs w:val="20"/>
        </w:rPr>
        <w:t>Public Health Dentistry, Career Choice, Dental Students, Attitudes, Oral Health, Dental Education</w:t>
      </w:r>
    </w:p>
    <w:p w14:paraId="1D141EBE" w14:textId="77777777" w:rsidR="00D31338" w:rsidRPr="003712FD" w:rsidRDefault="00D31338" w:rsidP="00592107">
      <w:pPr>
        <w:pStyle w:val="z-TopofForm"/>
        <w:jc w:val="both"/>
        <w:divId w:val="43604964"/>
        <w:rPr>
          <w:sz w:val="20"/>
          <w:szCs w:val="20"/>
        </w:rPr>
      </w:pPr>
      <w:r w:rsidRPr="003712FD">
        <w:rPr>
          <w:sz w:val="20"/>
          <w:szCs w:val="20"/>
        </w:rPr>
        <w:t>Top of Form</w:t>
      </w:r>
    </w:p>
    <w:p w14:paraId="16585CF3" w14:textId="4DE7AB6F" w:rsidR="00D31338" w:rsidRPr="003712FD" w:rsidRDefault="00D31338" w:rsidP="00592107">
      <w:pPr>
        <w:jc w:val="both"/>
        <w:divId w:val="1632443193"/>
        <w:rPr>
          <w:rFonts w:ascii="Arial" w:eastAsia="Times New Roman" w:hAnsi="Arial" w:cs="Arial"/>
          <w:sz w:val="20"/>
          <w:szCs w:val="20"/>
        </w:rPr>
      </w:pPr>
    </w:p>
    <w:p w14:paraId="56F2A3E7" w14:textId="5E4E7DAD" w:rsidR="00D31338" w:rsidRPr="001E1970" w:rsidRDefault="001E1970" w:rsidP="00592107">
      <w:pPr>
        <w:pStyle w:val="z-BottomofForm"/>
        <w:jc w:val="both"/>
        <w:divId w:val="43604964"/>
        <w:rPr>
          <w:b/>
          <w:bCs/>
          <w:sz w:val="22"/>
          <w:szCs w:val="22"/>
        </w:rPr>
      </w:pPr>
      <w:r>
        <w:rPr>
          <w:b/>
          <w:bCs/>
          <w:vanish w:val="0"/>
          <w:sz w:val="22"/>
          <w:szCs w:val="22"/>
        </w:rPr>
        <w:t>1.</w:t>
      </w:r>
      <w:r w:rsidR="00D31338" w:rsidRPr="001E1970">
        <w:rPr>
          <w:b/>
          <w:bCs/>
          <w:sz w:val="22"/>
          <w:szCs w:val="22"/>
        </w:rPr>
        <w:t>Bottom of Form</w:t>
      </w:r>
    </w:p>
    <w:p w14:paraId="088D5DCF" w14:textId="0B67835E" w:rsidR="004F3BAA" w:rsidRPr="003712FD" w:rsidRDefault="004F3BAA" w:rsidP="00592107">
      <w:pPr>
        <w:jc w:val="both"/>
        <w:divId w:val="1800567248"/>
        <w:rPr>
          <w:rFonts w:ascii="Arial" w:eastAsia="Times New Roman" w:hAnsi="Arial" w:cs="Arial"/>
          <w:sz w:val="20"/>
          <w:szCs w:val="20"/>
        </w:rPr>
      </w:pPr>
      <w:r w:rsidRPr="001E1970">
        <w:rPr>
          <w:rFonts w:ascii="Arial" w:eastAsia="Times New Roman" w:hAnsi="Arial" w:cs="Arial"/>
          <w:b/>
          <w:bCs/>
          <w:sz w:val="22"/>
          <w:szCs w:val="22"/>
        </w:rPr>
        <w:t>INTRODUCTION</w:t>
      </w:r>
    </w:p>
    <w:p w14:paraId="32547550" w14:textId="1E04C5B8" w:rsidR="004F3BAA" w:rsidRPr="003712FD" w:rsidRDefault="004F3BAA"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Public </w:t>
      </w:r>
      <w:r w:rsidR="00503A2E" w:rsidRPr="003712FD">
        <w:rPr>
          <w:rFonts w:ascii="Arial" w:eastAsia="Times New Roman" w:hAnsi="Arial" w:cs="Arial"/>
          <w:sz w:val="20"/>
          <w:szCs w:val="20"/>
        </w:rPr>
        <w:t xml:space="preserve">Health Dentistry (PHD) </w:t>
      </w:r>
      <w:r w:rsidRPr="003712FD">
        <w:rPr>
          <w:rFonts w:ascii="Arial" w:eastAsia="Times New Roman" w:hAnsi="Arial" w:cs="Arial"/>
          <w:sz w:val="20"/>
          <w:szCs w:val="20"/>
        </w:rPr>
        <w:t>comprises a specialty in the field of dentistry that is directed not only at treating patients, but also at mitigating disease, extending awareness about oral health, and improving accessibility of dental services at the community and populational levels. This field earns primary importance for prospective dentists who seek a health professional career with significant time spent in clinical practice incorporating service, community development, and research.</w:t>
      </w:r>
    </w:p>
    <w:p w14:paraId="6D2550DB" w14:textId="77777777" w:rsidR="004F3BAA" w:rsidRPr="003712FD" w:rsidRDefault="004F3BAA"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In the past few decades, oral health in India has taken the back seat.[1] Oral disease continues to remain a burden for developing nations like India and especially among rural populations.[2] The increased prevalence of dental disease coincides with a rapid nutritional transition experienced in the last few decades and would hypothetically be one of its consequences.[3,4] Research and practice in dental public health (DPH) has been focused almost exclusively upon the two major problems: dental caries and periodontal disease. More recently, practitioner attention has placed considerable emphasis upon promoting the public's health, of which dentists are a part of the health care professional group, in society.[5] Given the current conditions surrounding the field of health care it continues to be an eye-catching field of professions for dentists in particular.[6]</w:t>
      </w:r>
    </w:p>
    <w:p w14:paraId="4B9BD6BF" w14:textId="77777777" w:rsidR="004F3BAA" w:rsidRPr="003712FD" w:rsidRDefault="004F3BAA"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Numerous studies examining the motivations and aspirations of dental students have been conducted across the world. However, only a small number of studies have investigated the factors that impact one’s decision to pursue postgraduate education, particularly in one of the myriad disciplines of postgraduate training. Public Health Dentistry (PHD) is unique among specialties in dentistry, as it focuses on community and population health concerns rather than the treatment of individual patients. PHD is the specialty branch of dentistry that is responsible for overseeing population oral health surveillance, developing policies and programs, and implementing disease prevention and health promotion in community settings. [7]</w:t>
      </w:r>
    </w:p>
    <w:p w14:paraId="14F5A001" w14:textId="0749C972" w:rsidR="00FA35C8" w:rsidRPr="003712FD" w:rsidRDefault="004F3BAA"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In India, the students are evaluating postgraduate specialty options, holds far less regard for PHD. PHD is the basis upon which dental health care services are built it is also key to understanding a higher awareness of its disciplinary attributes if there is any sociological role and social responsibility. Student interest in dental specialty education, such as PHD, also seems to have the potential to be influenced by a multitude of factors in their decision to pursue a specific career and to choose a specific educational institution.</w:t>
      </w:r>
    </w:p>
    <w:p w14:paraId="00B1EF02" w14:textId="260F67AE" w:rsidR="00DE2AE4" w:rsidRPr="00504E8B" w:rsidRDefault="00FA35C8"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Public Health Dentistry is important in the resolution of oral health disparities, the advancement of preventive care, and enhancing oral health among communities.</w:t>
      </w:r>
      <w:r w:rsidR="00E30040" w:rsidRPr="003712FD">
        <w:rPr>
          <w:rFonts w:ascii="Arial" w:eastAsia="Times New Roman" w:hAnsi="Arial" w:cs="Arial"/>
          <w:sz w:val="20"/>
          <w:szCs w:val="20"/>
        </w:rPr>
        <w:t xml:space="preserve"> </w:t>
      </w:r>
      <w:r w:rsidRPr="003712FD">
        <w:rPr>
          <w:rFonts w:ascii="Arial" w:eastAsia="Times New Roman" w:hAnsi="Arial" w:cs="Arial"/>
          <w:sz w:val="20"/>
          <w:szCs w:val="20"/>
        </w:rPr>
        <w:t>Not</w:t>
      </w:r>
      <w:r w:rsidR="00E30040" w:rsidRPr="003712FD">
        <w:rPr>
          <w:rFonts w:ascii="Arial" w:eastAsia="Times New Roman" w:hAnsi="Arial" w:cs="Arial"/>
          <w:sz w:val="20"/>
          <w:szCs w:val="20"/>
        </w:rPr>
        <w:t xml:space="preserve"> wit</w:t>
      </w:r>
      <w:r w:rsidRPr="003712FD">
        <w:rPr>
          <w:rFonts w:ascii="Arial" w:eastAsia="Times New Roman" w:hAnsi="Arial" w:cs="Arial"/>
          <w:sz w:val="20"/>
          <w:szCs w:val="20"/>
        </w:rPr>
        <w:t xml:space="preserve">hstanding its significance, PHD is a less desirable specialty for dental graduates, who might choose clinical or commercially rewarding disciplines. This can result in a deficit of public health professionals, compromising community outreach and oral health promotion activities. Knowledge of attitudes, perceptions, and motivations of dental students toward PHD is critical for determining gaps in awareness, dispelling misinformation, and developing education interventions. The research is highly pertinent in the Indian scenario, where the oral disease burden is high, and the demand for population-based dental care professionals is </w:t>
      </w:r>
      <w:proofErr w:type="spellStart"/>
      <w:proofErr w:type="gramStart"/>
      <w:r w:rsidRPr="003712FD">
        <w:rPr>
          <w:rFonts w:ascii="Arial" w:eastAsia="Times New Roman" w:hAnsi="Arial" w:cs="Arial"/>
          <w:sz w:val="20"/>
          <w:szCs w:val="20"/>
        </w:rPr>
        <w:t>increasing.</w:t>
      </w:r>
      <w:r w:rsidR="00504E8B">
        <w:rPr>
          <w:rFonts w:ascii="Arial" w:eastAsia="Times New Roman" w:hAnsi="Arial" w:cs="Arial"/>
          <w:sz w:val="20"/>
          <w:szCs w:val="20"/>
        </w:rPr>
        <w:t>The</w:t>
      </w:r>
      <w:proofErr w:type="spellEnd"/>
      <w:proofErr w:type="gramEnd"/>
      <w:r w:rsidR="00504E8B">
        <w:rPr>
          <w:rFonts w:ascii="Arial" w:eastAsia="Times New Roman" w:hAnsi="Arial" w:cs="Arial"/>
          <w:sz w:val="20"/>
          <w:szCs w:val="20"/>
        </w:rPr>
        <w:t xml:space="preserve"> o</w:t>
      </w:r>
      <w:r w:rsidRPr="00504E8B">
        <w:rPr>
          <w:rFonts w:ascii="Arial" w:eastAsia="Times New Roman" w:hAnsi="Arial" w:cs="Arial"/>
          <w:sz w:val="20"/>
          <w:szCs w:val="20"/>
        </w:rPr>
        <w:t>bjective of the Study</w:t>
      </w:r>
      <w:r w:rsidR="00504E8B">
        <w:rPr>
          <w:rFonts w:ascii="Arial" w:eastAsia="Times New Roman" w:hAnsi="Arial" w:cs="Arial"/>
          <w:sz w:val="20"/>
          <w:szCs w:val="20"/>
        </w:rPr>
        <w:t xml:space="preserve"> is to </w:t>
      </w:r>
      <w:r w:rsidRPr="003712FD">
        <w:rPr>
          <w:rFonts w:ascii="Arial" w:eastAsia="Times New Roman" w:hAnsi="Arial" w:cs="Arial"/>
          <w:sz w:val="20"/>
          <w:szCs w:val="20"/>
        </w:rPr>
        <w:t>evaluate the perceptions and attitudes of third-year, fourth-year, and CRRI dental students regarding selecting Public Health Dentistry as a career, and to determine the important factors affecting their career choices.</w:t>
      </w:r>
    </w:p>
    <w:p w14:paraId="13B51211" w14:textId="7C700EC0" w:rsidR="00DE2AE4" w:rsidRPr="00277AE1" w:rsidRDefault="001E1970" w:rsidP="00592107">
      <w:pPr>
        <w:jc w:val="both"/>
        <w:divId w:val="1800567248"/>
        <w:rPr>
          <w:rFonts w:ascii="Arial" w:eastAsia="Times New Roman" w:hAnsi="Arial" w:cs="Arial"/>
          <w:b/>
          <w:bCs/>
          <w:sz w:val="22"/>
          <w:szCs w:val="22"/>
        </w:rPr>
      </w:pPr>
      <w:r w:rsidRPr="00277AE1">
        <w:rPr>
          <w:rFonts w:ascii="Arial" w:eastAsia="Times New Roman" w:hAnsi="Arial" w:cs="Arial"/>
          <w:b/>
          <w:bCs/>
          <w:sz w:val="22"/>
          <w:szCs w:val="22"/>
        </w:rPr>
        <w:t>2.</w:t>
      </w:r>
      <w:r w:rsidR="00DE2AE4" w:rsidRPr="00277AE1">
        <w:rPr>
          <w:rFonts w:ascii="Arial" w:eastAsia="Times New Roman" w:hAnsi="Arial" w:cs="Arial"/>
          <w:b/>
          <w:bCs/>
          <w:sz w:val="22"/>
          <w:szCs w:val="22"/>
        </w:rPr>
        <w:t>MATERIALS AND METHODS</w:t>
      </w:r>
    </w:p>
    <w:p w14:paraId="2482D677" w14:textId="340EF8C4"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Pr>
          <w:rFonts w:ascii="Arial" w:eastAsia="Times New Roman" w:hAnsi="Arial" w:cs="Arial"/>
          <w:b/>
          <w:bCs/>
          <w:sz w:val="20"/>
          <w:szCs w:val="20"/>
        </w:rPr>
        <w:t>1.</w:t>
      </w:r>
      <w:r w:rsidR="00DE2AE4" w:rsidRPr="003712FD">
        <w:rPr>
          <w:rFonts w:ascii="Arial" w:eastAsia="Times New Roman" w:hAnsi="Arial" w:cs="Arial"/>
          <w:b/>
          <w:bCs/>
          <w:sz w:val="20"/>
          <w:szCs w:val="20"/>
        </w:rPr>
        <w:t>Study</w:t>
      </w:r>
      <w:proofErr w:type="gramEnd"/>
      <w:r w:rsidR="00DE2AE4" w:rsidRPr="003712FD">
        <w:rPr>
          <w:rFonts w:ascii="Arial" w:eastAsia="Times New Roman" w:hAnsi="Arial" w:cs="Arial"/>
          <w:b/>
          <w:bCs/>
          <w:sz w:val="20"/>
          <w:szCs w:val="20"/>
        </w:rPr>
        <w:t xml:space="preserve"> Design</w:t>
      </w:r>
    </w:p>
    <w:p w14:paraId="6F06E74C" w14:textId="4373AD3B"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The study was a cross-sectional, questionnaire survey of undergraduate dental students to determine their attitudes towards considering Public Health Dentistry (PHD) as a career option in the future.</w:t>
      </w:r>
    </w:p>
    <w:p w14:paraId="76E43688" w14:textId="43E5F757"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Pr>
          <w:rFonts w:ascii="Arial" w:eastAsia="Times New Roman" w:hAnsi="Arial" w:cs="Arial"/>
          <w:b/>
          <w:bCs/>
          <w:sz w:val="20"/>
          <w:szCs w:val="20"/>
        </w:rPr>
        <w:t>2.</w:t>
      </w:r>
      <w:r w:rsidR="00DE2AE4" w:rsidRPr="003712FD">
        <w:rPr>
          <w:rFonts w:ascii="Arial" w:eastAsia="Times New Roman" w:hAnsi="Arial" w:cs="Arial"/>
          <w:b/>
          <w:bCs/>
          <w:sz w:val="20"/>
          <w:szCs w:val="20"/>
        </w:rPr>
        <w:t>Study</w:t>
      </w:r>
      <w:proofErr w:type="gramEnd"/>
      <w:r w:rsidR="00DE2AE4" w:rsidRPr="003712FD">
        <w:rPr>
          <w:rFonts w:ascii="Arial" w:eastAsia="Times New Roman" w:hAnsi="Arial" w:cs="Arial"/>
          <w:b/>
          <w:bCs/>
          <w:sz w:val="20"/>
          <w:szCs w:val="20"/>
        </w:rPr>
        <w:t xml:space="preserve"> Setting and Population</w:t>
      </w:r>
    </w:p>
    <w:p w14:paraId="7D590DB9" w14:textId="229BF4A4" w:rsidR="00DE2AE4" w:rsidRPr="00B56D40"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The research was held in Adhiparasakthi Dental College and Hospital, which is situated in Melmaruvathur, Tamil Nadu, India. The study population of the research was undergraduate dental students studying in the institution, more specifically those who are in the 3</w:t>
      </w:r>
      <w:r w:rsidRPr="003712FD">
        <w:rPr>
          <w:rFonts w:ascii="Arial" w:eastAsia="Times New Roman" w:hAnsi="Arial" w:cs="Arial"/>
          <w:sz w:val="20"/>
          <w:szCs w:val="20"/>
          <w:vertAlign w:val="superscript"/>
        </w:rPr>
        <w:t>rd</w:t>
      </w:r>
      <w:r w:rsidRPr="003712FD">
        <w:rPr>
          <w:rFonts w:ascii="Arial" w:eastAsia="Times New Roman" w:hAnsi="Arial" w:cs="Arial"/>
          <w:sz w:val="20"/>
          <w:szCs w:val="20"/>
        </w:rPr>
        <w:t xml:space="preserve"> year, final year, and Compulsory Rotatory Residential Internship (CRRI) periods of their course of study.</w:t>
      </w:r>
    </w:p>
    <w:p w14:paraId="627A2586" w14:textId="5E1BAE57"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Pr>
          <w:rFonts w:ascii="Arial" w:eastAsia="Times New Roman" w:hAnsi="Arial" w:cs="Arial"/>
          <w:b/>
          <w:bCs/>
          <w:sz w:val="20"/>
          <w:szCs w:val="20"/>
        </w:rPr>
        <w:t>3.</w:t>
      </w:r>
      <w:r w:rsidR="00DE2AE4" w:rsidRPr="003712FD">
        <w:rPr>
          <w:rFonts w:ascii="Arial" w:eastAsia="Times New Roman" w:hAnsi="Arial" w:cs="Arial"/>
          <w:b/>
          <w:bCs/>
          <w:sz w:val="20"/>
          <w:szCs w:val="20"/>
        </w:rPr>
        <w:t>Inclusion</w:t>
      </w:r>
      <w:proofErr w:type="gramEnd"/>
      <w:r w:rsidR="00DE2AE4" w:rsidRPr="003712FD">
        <w:rPr>
          <w:rFonts w:ascii="Arial" w:eastAsia="Times New Roman" w:hAnsi="Arial" w:cs="Arial"/>
          <w:b/>
          <w:bCs/>
          <w:sz w:val="20"/>
          <w:szCs w:val="20"/>
        </w:rPr>
        <w:t xml:space="preserve"> Criteria</w:t>
      </w:r>
    </w:p>
    <w:p w14:paraId="78E76655" w14:textId="786C0C36"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Undergraduate dental students in the 3</w:t>
      </w:r>
      <w:r w:rsidRPr="003712FD">
        <w:rPr>
          <w:rFonts w:ascii="Arial" w:eastAsia="Times New Roman" w:hAnsi="Arial" w:cs="Arial"/>
          <w:sz w:val="20"/>
          <w:szCs w:val="20"/>
          <w:vertAlign w:val="superscript"/>
        </w:rPr>
        <w:t>rd</w:t>
      </w:r>
      <w:r w:rsidRPr="003712FD">
        <w:rPr>
          <w:rFonts w:ascii="Arial" w:eastAsia="Times New Roman" w:hAnsi="Arial" w:cs="Arial"/>
          <w:sz w:val="20"/>
          <w:szCs w:val="20"/>
        </w:rPr>
        <w:t xml:space="preserve"> year, final year, and CRRI levels who are presently studying in Adhiparasakthi Dental College and Hospital.</w:t>
      </w:r>
    </w:p>
    <w:p w14:paraId="2133073A" w14:textId="1F6B0E51"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Volunteer students willing to participate in the study.</w:t>
      </w:r>
    </w:p>
    <w:p w14:paraId="15E934CD" w14:textId="1F226525"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B56D40">
        <w:rPr>
          <w:rFonts w:ascii="Arial" w:eastAsia="Times New Roman" w:hAnsi="Arial" w:cs="Arial"/>
          <w:b/>
          <w:bCs/>
          <w:sz w:val="20"/>
          <w:szCs w:val="20"/>
        </w:rPr>
        <w:t>4.</w:t>
      </w:r>
      <w:r w:rsidR="00DE2AE4" w:rsidRPr="003712FD">
        <w:rPr>
          <w:rFonts w:ascii="Arial" w:eastAsia="Times New Roman" w:hAnsi="Arial" w:cs="Arial"/>
          <w:b/>
          <w:bCs/>
          <w:sz w:val="20"/>
          <w:szCs w:val="20"/>
        </w:rPr>
        <w:t>Exclusion</w:t>
      </w:r>
      <w:proofErr w:type="gramEnd"/>
      <w:r w:rsidR="00DE2AE4" w:rsidRPr="003712FD">
        <w:rPr>
          <w:rFonts w:ascii="Arial" w:eastAsia="Times New Roman" w:hAnsi="Arial" w:cs="Arial"/>
          <w:b/>
          <w:bCs/>
          <w:sz w:val="20"/>
          <w:szCs w:val="20"/>
        </w:rPr>
        <w:t xml:space="preserve"> Criteria</w:t>
      </w:r>
    </w:p>
    <w:p w14:paraId="17C14A2B" w14:textId="497E4153"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Students who refused or did not agree to be part of the survey.</w:t>
      </w:r>
    </w:p>
    <w:p w14:paraId="6D47079E" w14:textId="5AD596AB"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B56D40">
        <w:rPr>
          <w:rFonts w:ascii="Arial" w:eastAsia="Times New Roman" w:hAnsi="Arial" w:cs="Arial"/>
          <w:b/>
          <w:bCs/>
          <w:sz w:val="20"/>
          <w:szCs w:val="20"/>
        </w:rPr>
        <w:t>5</w:t>
      </w:r>
      <w:r>
        <w:rPr>
          <w:rFonts w:ascii="Arial" w:eastAsia="Times New Roman" w:hAnsi="Arial" w:cs="Arial"/>
          <w:b/>
          <w:bCs/>
          <w:sz w:val="20"/>
          <w:szCs w:val="20"/>
        </w:rPr>
        <w:t>.</w:t>
      </w:r>
      <w:r w:rsidR="00DE2AE4" w:rsidRPr="003712FD">
        <w:rPr>
          <w:rFonts w:ascii="Arial" w:eastAsia="Times New Roman" w:hAnsi="Arial" w:cs="Arial"/>
          <w:b/>
          <w:bCs/>
          <w:sz w:val="20"/>
          <w:szCs w:val="20"/>
        </w:rPr>
        <w:t>Sampling</w:t>
      </w:r>
      <w:proofErr w:type="gramEnd"/>
      <w:r w:rsidR="00DE2AE4" w:rsidRPr="003712FD">
        <w:rPr>
          <w:rFonts w:ascii="Arial" w:eastAsia="Times New Roman" w:hAnsi="Arial" w:cs="Arial"/>
          <w:b/>
          <w:bCs/>
          <w:sz w:val="20"/>
          <w:szCs w:val="20"/>
        </w:rPr>
        <w:t xml:space="preserve"> Method and Sample Size</w:t>
      </w:r>
    </w:p>
    <w:p w14:paraId="5F6A79D0" w14:textId="39C6C735"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Convenience sampling was used to obtain participants. The questionnaire was sent online through social media platforms, that is, WhatsApp groups of the students. 253 dental students replied and filled the survey.</w:t>
      </w:r>
    </w:p>
    <w:p w14:paraId="12CFF862" w14:textId="193F0DCB"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B56D40">
        <w:rPr>
          <w:rFonts w:ascii="Arial" w:eastAsia="Times New Roman" w:hAnsi="Arial" w:cs="Arial"/>
          <w:b/>
          <w:bCs/>
          <w:sz w:val="20"/>
          <w:szCs w:val="20"/>
        </w:rPr>
        <w:t>6</w:t>
      </w:r>
      <w:r>
        <w:rPr>
          <w:rFonts w:ascii="Arial" w:eastAsia="Times New Roman" w:hAnsi="Arial" w:cs="Arial"/>
          <w:b/>
          <w:bCs/>
          <w:sz w:val="20"/>
          <w:szCs w:val="20"/>
        </w:rPr>
        <w:t>.</w:t>
      </w:r>
      <w:r w:rsidR="00DE2AE4" w:rsidRPr="003712FD">
        <w:rPr>
          <w:rFonts w:ascii="Arial" w:eastAsia="Times New Roman" w:hAnsi="Arial" w:cs="Arial"/>
          <w:b/>
          <w:bCs/>
          <w:sz w:val="20"/>
          <w:szCs w:val="20"/>
        </w:rPr>
        <w:t>Study</w:t>
      </w:r>
      <w:proofErr w:type="gramEnd"/>
      <w:r w:rsidR="00DE2AE4" w:rsidRPr="003712FD">
        <w:rPr>
          <w:rFonts w:ascii="Arial" w:eastAsia="Times New Roman" w:hAnsi="Arial" w:cs="Arial"/>
          <w:b/>
          <w:bCs/>
          <w:sz w:val="20"/>
          <w:szCs w:val="20"/>
        </w:rPr>
        <w:t xml:space="preserve"> Instrument</w:t>
      </w:r>
    </w:p>
    <w:p w14:paraId="0AD35C67" w14:textId="5C946703"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A self-administered, structured, and closed-ended questionnaire was designed using Google Forms. The questionnaire consisted of two main sections:</w:t>
      </w:r>
      <w:r w:rsidR="00592107" w:rsidRPr="003712FD">
        <w:rPr>
          <w:rFonts w:ascii="Arial" w:eastAsia="Times New Roman" w:hAnsi="Arial" w:cs="Arial"/>
          <w:sz w:val="20"/>
          <w:szCs w:val="20"/>
        </w:rPr>
        <w:t xml:space="preserve"> </w:t>
      </w:r>
      <w:r w:rsidRPr="003712FD">
        <w:rPr>
          <w:rFonts w:ascii="Arial" w:eastAsia="Times New Roman" w:hAnsi="Arial" w:cs="Arial"/>
          <w:sz w:val="20"/>
          <w:szCs w:val="20"/>
        </w:rPr>
        <w:t>Section A</w:t>
      </w:r>
      <w:r w:rsidR="00BE695F" w:rsidRPr="003712FD">
        <w:rPr>
          <w:rFonts w:ascii="Arial" w:eastAsia="Times New Roman" w:hAnsi="Arial" w:cs="Arial"/>
          <w:sz w:val="20"/>
          <w:szCs w:val="20"/>
        </w:rPr>
        <w:t xml:space="preserve"> include</w:t>
      </w:r>
      <w:r w:rsidR="00592107" w:rsidRPr="003712FD">
        <w:rPr>
          <w:rFonts w:ascii="Arial" w:eastAsia="Times New Roman" w:hAnsi="Arial" w:cs="Arial"/>
          <w:sz w:val="20"/>
          <w:szCs w:val="20"/>
        </w:rPr>
        <w:t>d</w:t>
      </w:r>
      <w:r w:rsidR="00BE695F" w:rsidRPr="003712FD">
        <w:rPr>
          <w:rFonts w:ascii="Arial" w:eastAsia="Times New Roman" w:hAnsi="Arial" w:cs="Arial"/>
          <w:sz w:val="20"/>
          <w:szCs w:val="20"/>
        </w:rPr>
        <w:t xml:space="preserve"> </w:t>
      </w:r>
      <w:r w:rsidRPr="003712FD">
        <w:rPr>
          <w:rFonts w:ascii="Arial" w:eastAsia="Times New Roman" w:hAnsi="Arial" w:cs="Arial"/>
          <w:sz w:val="20"/>
          <w:szCs w:val="20"/>
        </w:rPr>
        <w:t>Demographic and Academic Information</w:t>
      </w:r>
      <w:r w:rsidR="0070122B" w:rsidRPr="003712FD">
        <w:rPr>
          <w:rFonts w:ascii="Arial" w:eastAsia="Times New Roman" w:hAnsi="Arial" w:cs="Arial"/>
          <w:sz w:val="20"/>
          <w:szCs w:val="20"/>
        </w:rPr>
        <w:t xml:space="preserve"> includ</w:t>
      </w:r>
      <w:r w:rsidR="00592107" w:rsidRPr="003712FD">
        <w:rPr>
          <w:rFonts w:ascii="Arial" w:eastAsia="Times New Roman" w:hAnsi="Arial" w:cs="Arial"/>
          <w:sz w:val="20"/>
          <w:szCs w:val="20"/>
        </w:rPr>
        <w:t>ing a</w:t>
      </w:r>
      <w:r w:rsidRPr="003712FD">
        <w:rPr>
          <w:rFonts w:ascii="Arial" w:eastAsia="Times New Roman" w:hAnsi="Arial" w:cs="Arial"/>
          <w:sz w:val="20"/>
          <w:szCs w:val="20"/>
        </w:rPr>
        <w:t>ge, gender, academic year (3</w:t>
      </w:r>
      <w:r w:rsidRPr="003712FD">
        <w:rPr>
          <w:rFonts w:ascii="Arial" w:eastAsia="Times New Roman" w:hAnsi="Arial" w:cs="Arial"/>
          <w:sz w:val="20"/>
          <w:szCs w:val="20"/>
          <w:vertAlign w:val="superscript"/>
        </w:rPr>
        <w:t>rd</w:t>
      </w:r>
      <w:r w:rsidRPr="003712FD">
        <w:rPr>
          <w:rFonts w:ascii="Arial" w:eastAsia="Times New Roman" w:hAnsi="Arial" w:cs="Arial"/>
          <w:sz w:val="20"/>
          <w:szCs w:val="20"/>
        </w:rPr>
        <w:t xml:space="preserve"> year, final year, CRRI)</w:t>
      </w:r>
      <w:r w:rsidR="0070122B" w:rsidRPr="003712FD">
        <w:rPr>
          <w:rFonts w:ascii="Arial" w:eastAsia="Times New Roman" w:hAnsi="Arial" w:cs="Arial"/>
          <w:sz w:val="20"/>
          <w:szCs w:val="20"/>
        </w:rPr>
        <w:t xml:space="preserve">, </w:t>
      </w:r>
      <w:r w:rsidRPr="003712FD">
        <w:rPr>
          <w:rFonts w:ascii="Arial" w:eastAsia="Times New Roman" w:hAnsi="Arial" w:cs="Arial"/>
          <w:sz w:val="20"/>
          <w:szCs w:val="20"/>
        </w:rPr>
        <w:t>Reason for choosing dentistry as a profession</w:t>
      </w:r>
      <w:r w:rsidR="0070122B" w:rsidRPr="003712FD">
        <w:rPr>
          <w:rFonts w:ascii="Arial" w:eastAsia="Times New Roman" w:hAnsi="Arial" w:cs="Arial"/>
          <w:sz w:val="20"/>
          <w:szCs w:val="20"/>
        </w:rPr>
        <w:t xml:space="preserve">, </w:t>
      </w:r>
      <w:r w:rsidRPr="003712FD">
        <w:rPr>
          <w:rFonts w:ascii="Arial" w:eastAsia="Times New Roman" w:hAnsi="Arial" w:cs="Arial"/>
          <w:sz w:val="20"/>
          <w:szCs w:val="20"/>
        </w:rPr>
        <w:t>Future career plans</w:t>
      </w:r>
      <w:r w:rsidR="0070122B" w:rsidRPr="003712FD">
        <w:rPr>
          <w:rFonts w:ascii="Arial" w:eastAsia="Times New Roman" w:hAnsi="Arial" w:cs="Arial"/>
          <w:sz w:val="20"/>
          <w:szCs w:val="20"/>
        </w:rPr>
        <w:t xml:space="preserve">, </w:t>
      </w:r>
      <w:r w:rsidRPr="003712FD">
        <w:rPr>
          <w:rFonts w:ascii="Arial" w:eastAsia="Times New Roman" w:hAnsi="Arial" w:cs="Arial"/>
          <w:sz w:val="20"/>
          <w:szCs w:val="20"/>
        </w:rPr>
        <w:t>Subject preference within dentistry</w:t>
      </w:r>
      <w:r w:rsidR="00BE695F" w:rsidRPr="003712FD">
        <w:rPr>
          <w:rFonts w:ascii="Arial" w:eastAsia="Times New Roman" w:hAnsi="Arial" w:cs="Arial"/>
          <w:sz w:val="20"/>
          <w:szCs w:val="20"/>
        </w:rPr>
        <w:t xml:space="preserve"> and </w:t>
      </w:r>
      <w:r w:rsidRPr="003712FD">
        <w:rPr>
          <w:rFonts w:ascii="Arial" w:eastAsia="Times New Roman" w:hAnsi="Arial" w:cs="Arial"/>
          <w:sz w:val="20"/>
          <w:szCs w:val="20"/>
        </w:rPr>
        <w:t>Section B</w:t>
      </w:r>
      <w:r w:rsidR="00592107" w:rsidRPr="003712FD">
        <w:rPr>
          <w:rFonts w:ascii="Arial" w:eastAsia="Times New Roman" w:hAnsi="Arial" w:cs="Arial"/>
          <w:sz w:val="20"/>
          <w:szCs w:val="20"/>
        </w:rPr>
        <w:t xml:space="preserve"> focused on attitude towards </w:t>
      </w:r>
      <w:r w:rsidRPr="003712FD">
        <w:rPr>
          <w:rFonts w:ascii="Arial" w:eastAsia="Times New Roman" w:hAnsi="Arial" w:cs="Arial"/>
          <w:sz w:val="20"/>
          <w:szCs w:val="20"/>
        </w:rPr>
        <w:t>Public Health Dentistry</w:t>
      </w:r>
      <w:r w:rsidR="00BE695F" w:rsidRPr="003712FD">
        <w:rPr>
          <w:rFonts w:ascii="Arial" w:eastAsia="Times New Roman" w:hAnsi="Arial" w:cs="Arial"/>
          <w:sz w:val="20"/>
          <w:szCs w:val="20"/>
        </w:rPr>
        <w:t>.</w:t>
      </w:r>
      <w:r w:rsidR="00592107" w:rsidRPr="003712FD">
        <w:rPr>
          <w:rFonts w:ascii="Arial" w:eastAsia="Times New Roman" w:hAnsi="Arial" w:cs="Arial"/>
          <w:sz w:val="20"/>
          <w:szCs w:val="20"/>
        </w:rPr>
        <w:t xml:space="preserve"> </w:t>
      </w:r>
      <w:r w:rsidRPr="003712FD">
        <w:rPr>
          <w:rFonts w:ascii="Arial" w:eastAsia="Times New Roman" w:hAnsi="Arial" w:cs="Arial"/>
          <w:sz w:val="20"/>
          <w:szCs w:val="20"/>
        </w:rPr>
        <w:t xml:space="preserve">This section contained 13 </w:t>
      </w:r>
      <w:r w:rsidR="000E4630" w:rsidRPr="003712FD">
        <w:rPr>
          <w:rFonts w:ascii="Arial" w:eastAsia="Times New Roman" w:hAnsi="Arial" w:cs="Arial"/>
          <w:sz w:val="20"/>
          <w:szCs w:val="20"/>
        </w:rPr>
        <w:t xml:space="preserve">questions </w:t>
      </w:r>
      <w:r w:rsidRPr="003712FD">
        <w:rPr>
          <w:rFonts w:ascii="Arial" w:eastAsia="Times New Roman" w:hAnsi="Arial" w:cs="Arial"/>
          <w:sz w:val="20"/>
          <w:szCs w:val="20"/>
        </w:rPr>
        <w:t>designed to assess the students’ attitudes towards selecting Public Health Dentistry as a career.</w:t>
      </w:r>
      <w:r w:rsidR="00592107" w:rsidRPr="003712FD">
        <w:rPr>
          <w:rFonts w:ascii="Arial" w:eastAsia="Times New Roman" w:hAnsi="Arial" w:cs="Arial"/>
          <w:sz w:val="20"/>
          <w:szCs w:val="20"/>
        </w:rPr>
        <w:t xml:space="preserve"> </w:t>
      </w:r>
      <w:r w:rsidR="000E4630" w:rsidRPr="003712FD">
        <w:rPr>
          <w:rFonts w:ascii="Arial" w:eastAsia="Times New Roman" w:hAnsi="Arial" w:cs="Arial"/>
          <w:sz w:val="20"/>
          <w:szCs w:val="20"/>
        </w:rPr>
        <w:t>An</w:t>
      </w:r>
      <w:r w:rsidRPr="003712FD">
        <w:rPr>
          <w:rFonts w:ascii="Arial" w:eastAsia="Times New Roman" w:hAnsi="Arial" w:cs="Arial"/>
          <w:sz w:val="20"/>
          <w:szCs w:val="20"/>
        </w:rPr>
        <w:t>swers were captured on a five-point Likert scale</w:t>
      </w:r>
      <w:r w:rsidR="00592107" w:rsidRPr="003712FD">
        <w:rPr>
          <w:rFonts w:ascii="Arial" w:eastAsia="Times New Roman" w:hAnsi="Arial" w:cs="Arial"/>
          <w:sz w:val="20"/>
          <w:szCs w:val="20"/>
        </w:rPr>
        <w:t xml:space="preserve"> -</w:t>
      </w:r>
      <w:r w:rsidR="006234AE" w:rsidRPr="003712FD">
        <w:rPr>
          <w:rFonts w:ascii="Arial" w:eastAsia="Times New Roman" w:hAnsi="Arial" w:cs="Arial"/>
          <w:sz w:val="20"/>
          <w:szCs w:val="20"/>
        </w:rPr>
        <w:t xml:space="preserve"> str</w:t>
      </w:r>
      <w:r w:rsidRPr="003712FD">
        <w:rPr>
          <w:rFonts w:ascii="Arial" w:eastAsia="Times New Roman" w:hAnsi="Arial" w:cs="Arial"/>
          <w:sz w:val="20"/>
          <w:szCs w:val="20"/>
        </w:rPr>
        <w:t xml:space="preserve">ongly </w:t>
      </w:r>
      <w:proofErr w:type="gramStart"/>
      <w:r w:rsidRPr="003712FD">
        <w:rPr>
          <w:rFonts w:ascii="Arial" w:eastAsia="Times New Roman" w:hAnsi="Arial" w:cs="Arial"/>
          <w:sz w:val="20"/>
          <w:szCs w:val="20"/>
        </w:rPr>
        <w:t>Agree</w:t>
      </w:r>
      <w:r w:rsidR="006234AE" w:rsidRPr="003712FD">
        <w:rPr>
          <w:rFonts w:ascii="Arial" w:eastAsia="Times New Roman" w:hAnsi="Arial" w:cs="Arial"/>
          <w:sz w:val="20"/>
          <w:szCs w:val="20"/>
        </w:rPr>
        <w:t xml:space="preserve">,  </w:t>
      </w:r>
      <w:r w:rsidRPr="003712FD">
        <w:rPr>
          <w:rFonts w:ascii="Arial" w:eastAsia="Times New Roman" w:hAnsi="Arial" w:cs="Arial"/>
          <w:sz w:val="20"/>
          <w:szCs w:val="20"/>
        </w:rPr>
        <w:t>Agree</w:t>
      </w:r>
      <w:proofErr w:type="gramEnd"/>
      <w:r w:rsidR="006234AE" w:rsidRPr="003712FD">
        <w:rPr>
          <w:rFonts w:ascii="Arial" w:eastAsia="Times New Roman" w:hAnsi="Arial" w:cs="Arial"/>
          <w:sz w:val="20"/>
          <w:szCs w:val="20"/>
        </w:rPr>
        <w:t xml:space="preserve">, </w:t>
      </w:r>
      <w:r w:rsidRPr="003712FD">
        <w:rPr>
          <w:rFonts w:ascii="Arial" w:eastAsia="Times New Roman" w:hAnsi="Arial" w:cs="Arial"/>
          <w:sz w:val="20"/>
          <w:szCs w:val="20"/>
        </w:rPr>
        <w:t>Neutral</w:t>
      </w:r>
      <w:r w:rsidR="006234AE" w:rsidRPr="003712FD">
        <w:rPr>
          <w:rFonts w:ascii="Arial" w:eastAsia="Times New Roman" w:hAnsi="Arial" w:cs="Arial"/>
          <w:sz w:val="20"/>
          <w:szCs w:val="20"/>
        </w:rPr>
        <w:t xml:space="preserve">, </w:t>
      </w:r>
      <w:r w:rsidRPr="003712FD">
        <w:rPr>
          <w:rFonts w:ascii="Arial" w:eastAsia="Times New Roman" w:hAnsi="Arial" w:cs="Arial"/>
          <w:sz w:val="20"/>
          <w:szCs w:val="20"/>
        </w:rPr>
        <w:t>Disagree</w:t>
      </w:r>
      <w:r w:rsidR="000C2553" w:rsidRPr="003712FD">
        <w:rPr>
          <w:rFonts w:ascii="Arial" w:eastAsia="Times New Roman" w:hAnsi="Arial" w:cs="Arial"/>
          <w:sz w:val="20"/>
          <w:szCs w:val="20"/>
        </w:rPr>
        <w:t xml:space="preserve">, </w:t>
      </w:r>
      <w:r w:rsidRPr="003712FD">
        <w:rPr>
          <w:rFonts w:ascii="Arial" w:eastAsia="Times New Roman" w:hAnsi="Arial" w:cs="Arial"/>
          <w:sz w:val="20"/>
          <w:szCs w:val="20"/>
        </w:rPr>
        <w:t>Strongly Disagree</w:t>
      </w:r>
      <w:r w:rsidR="000C2553" w:rsidRPr="003712FD">
        <w:rPr>
          <w:rFonts w:ascii="Arial" w:eastAsia="Times New Roman" w:hAnsi="Arial" w:cs="Arial"/>
          <w:sz w:val="20"/>
          <w:szCs w:val="20"/>
        </w:rPr>
        <w:t xml:space="preserve">. </w:t>
      </w:r>
      <w:r w:rsidRPr="003712FD">
        <w:rPr>
          <w:rFonts w:ascii="Arial" w:eastAsia="Times New Roman" w:hAnsi="Arial" w:cs="Arial"/>
          <w:sz w:val="20"/>
          <w:szCs w:val="20"/>
        </w:rPr>
        <w:t>The pre-test questionnaire was administered to a small sample to check for clarity and relevance before the final distribution.</w:t>
      </w:r>
    </w:p>
    <w:p w14:paraId="698C9BA1" w14:textId="730C2D86"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B56D40">
        <w:rPr>
          <w:rFonts w:ascii="Arial" w:eastAsia="Times New Roman" w:hAnsi="Arial" w:cs="Arial"/>
          <w:b/>
          <w:bCs/>
          <w:sz w:val="20"/>
          <w:szCs w:val="20"/>
        </w:rPr>
        <w:t>7</w:t>
      </w:r>
      <w:r>
        <w:rPr>
          <w:rFonts w:ascii="Arial" w:eastAsia="Times New Roman" w:hAnsi="Arial" w:cs="Arial"/>
          <w:b/>
          <w:bCs/>
          <w:sz w:val="20"/>
          <w:szCs w:val="20"/>
        </w:rPr>
        <w:t>.</w:t>
      </w:r>
      <w:r w:rsidR="00DE2AE4" w:rsidRPr="003712FD">
        <w:rPr>
          <w:rFonts w:ascii="Arial" w:eastAsia="Times New Roman" w:hAnsi="Arial" w:cs="Arial"/>
          <w:b/>
          <w:bCs/>
          <w:sz w:val="20"/>
          <w:szCs w:val="20"/>
        </w:rPr>
        <w:t>Data</w:t>
      </w:r>
      <w:proofErr w:type="gramEnd"/>
      <w:r w:rsidR="00DE2AE4" w:rsidRPr="003712FD">
        <w:rPr>
          <w:rFonts w:ascii="Arial" w:eastAsia="Times New Roman" w:hAnsi="Arial" w:cs="Arial"/>
          <w:b/>
          <w:bCs/>
          <w:sz w:val="20"/>
          <w:szCs w:val="20"/>
        </w:rPr>
        <w:t xml:space="preserve"> Collection </w:t>
      </w:r>
    </w:p>
    <w:p w14:paraId="2367A6DE" w14:textId="470E6F79"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The final questionnaire was sent electronically via WhatsApp to students’ academic </w:t>
      </w:r>
      <w:r w:rsidR="00792AC7" w:rsidRPr="003712FD">
        <w:rPr>
          <w:rFonts w:ascii="Arial" w:eastAsia="Times New Roman" w:hAnsi="Arial" w:cs="Arial"/>
          <w:sz w:val="20"/>
          <w:szCs w:val="20"/>
        </w:rPr>
        <w:t>groups. It</w:t>
      </w:r>
      <w:r w:rsidRPr="003712FD">
        <w:rPr>
          <w:rFonts w:ascii="Arial" w:eastAsia="Times New Roman" w:hAnsi="Arial" w:cs="Arial"/>
          <w:sz w:val="20"/>
          <w:szCs w:val="20"/>
        </w:rPr>
        <w:t xml:space="preserve"> was voluntary, anonymous, and students were notified of the study purpose.</w:t>
      </w:r>
      <w:r w:rsidR="004D5FF4" w:rsidRPr="003712FD">
        <w:rPr>
          <w:rFonts w:ascii="Arial" w:eastAsia="Times New Roman" w:hAnsi="Arial" w:cs="Arial"/>
          <w:sz w:val="20"/>
          <w:szCs w:val="20"/>
        </w:rPr>
        <w:t xml:space="preserve"> D</w:t>
      </w:r>
      <w:r w:rsidRPr="003712FD">
        <w:rPr>
          <w:rFonts w:ascii="Arial" w:eastAsia="Times New Roman" w:hAnsi="Arial" w:cs="Arial"/>
          <w:sz w:val="20"/>
          <w:szCs w:val="20"/>
        </w:rPr>
        <w:t>ata was collected within a specific time frame until the target number of responses was reached.</w:t>
      </w:r>
    </w:p>
    <w:p w14:paraId="5A79661E" w14:textId="7F1CBC79"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CA5886">
        <w:rPr>
          <w:rFonts w:ascii="Arial" w:eastAsia="Times New Roman" w:hAnsi="Arial" w:cs="Arial"/>
          <w:b/>
          <w:bCs/>
          <w:sz w:val="20"/>
          <w:szCs w:val="20"/>
        </w:rPr>
        <w:t>8</w:t>
      </w:r>
      <w:r>
        <w:rPr>
          <w:rFonts w:ascii="Arial" w:eastAsia="Times New Roman" w:hAnsi="Arial" w:cs="Arial"/>
          <w:b/>
          <w:bCs/>
          <w:sz w:val="20"/>
          <w:szCs w:val="20"/>
        </w:rPr>
        <w:t>.</w:t>
      </w:r>
      <w:r w:rsidR="00DE2AE4" w:rsidRPr="003712FD">
        <w:rPr>
          <w:rFonts w:ascii="Arial" w:eastAsia="Times New Roman" w:hAnsi="Arial" w:cs="Arial"/>
          <w:b/>
          <w:bCs/>
          <w:sz w:val="20"/>
          <w:szCs w:val="20"/>
        </w:rPr>
        <w:t>Ethical</w:t>
      </w:r>
      <w:proofErr w:type="gramEnd"/>
      <w:r w:rsidR="00DE2AE4" w:rsidRPr="003712FD">
        <w:rPr>
          <w:rFonts w:ascii="Arial" w:eastAsia="Times New Roman" w:hAnsi="Arial" w:cs="Arial"/>
          <w:b/>
          <w:bCs/>
          <w:sz w:val="20"/>
          <w:szCs w:val="20"/>
        </w:rPr>
        <w:t xml:space="preserve"> Considerations</w:t>
      </w:r>
    </w:p>
    <w:p w14:paraId="2AD4A963" w14:textId="0AE3987A"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Participation was voluntary and no personal identifiers were gathered, maintaining anonymity and confidentiality.</w:t>
      </w:r>
      <w:r w:rsidR="00792AC7" w:rsidRPr="003712FD">
        <w:rPr>
          <w:rFonts w:ascii="Arial" w:eastAsia="Times New Roman" w:hAnsi="Arial" w:cs="Arial"/>
          <w:sz w:val="20"/>
          <w:szCs w:val="20"/>
        </w:rPr>
        <w:t xml:space="preserve"> </w:t>
      </w:r>
      <w:r w:rsidRPr="003712FD">
        <w:rPr>
          <w:rFonts w:ascii="Arial" w:eastAsia="Times New Roman" w:hAnsi="Arial" w:cs="Arial"/>
          <w:sz w:val="20"/>
          <w:szCs w:val="20"/>
        </w:rPr>
        <w:t>The research followed ethical research principles, and informed consent was implied by virtue of completing the questionnaire.</w:t>
      </w:r>
    </w:p>
    <w:p w14:paraId="3B72F9AE" w14:textId="5C5F915A"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CA5886">
        <w:rPr>
          <w:rFonts w:ascii="Arial" w:eastAsia="Times New Roman" w:hAnsi="Arial" w:cs="Arial"/>
          <w:b/>
          <w:bCs/>
          <w:sz w:val="20"/>
          <w:szCs w:val="20"/>
        </w:rPr>
        <w:t>9</w:t>
      </w:r>
      <w:r>
        <w:rPr>
          <w:rFonts w:ascii="Arial" w:eastAsia="Times New Roman" w:hAnsi="Arial" w:cs="Arial"/>
          <w:b/>
          <w:bCs/>
          <w:sz w:val="20"/>
          <w:szCs w:val="20"/>
        </w:rPr>
        <w:t>.</w:t>
      </w:r>
      <w:r w:rsidR="00DE2AE4" w:rsidRPr="003712FD">
        <w:rPr>
          <w:rFonts w:ascii="Arial" w:eastAsia="Times New Roman" w:hAnsi="Arial" w:cs="Arial"/>
          <w:b/>
          <w:bCs/>
          <w:sz w:val="20"/>
          <w:szCs w:val="20"/>
        </w:rPr>
        <w:t>Statistical</w:t>
      </w:r>
      <w:proofErr w:type="gramEnd"/>
      <w:r w:rsidR="00DE2AE4" w:rsidRPr="003712FD">
        <w:rPr>
          <w:rFonts w:ascii="Arial" w:eastAsia="Times New Roman" w:hAnsi="Arial" w:cs="Arial"/>
          <w:b/>
          <w:bCs/>
          <w:sz w:val="20"/>
          <w:szCs w:val="20"/>
        </w:rPr>
        <w:t xml:space="preserve"> Analysis</w:t>
      </w:r>
    </w:p>
    <w:p w14:paraId="19034BE6" w14:textId="38314B16"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Data from completed Google Forms responses were downloaded to Microsoft Excel for initial tabulation.</w:t>
      </w:r>
      <w:r w:rsidR="000C09D4" w:rsidRPr="003712FD">
        <w:rPr>
          <w:rFonts w:ascii="Arial" w:eastAsia="Times New Roman" w:hAnsi="Arial" w:cs="Arial"/>
          <w:sz w:val="20"/>
          <w:szCs w:val="20"/>
        </w:rPr>
        <w:t xml:space="preserve"> T</w:t>
      </w:r>
      <w:r w:rsidRPr="003712FD">
        <w:rPr>
          <w:rFonts w:ascii="Arial" w:eastAsia="Times New Roman" w:hAnsi="Arial" w:cs="Arial"/>
          <w:sz w:val="20"/>
          <w:szCs w:val="20"/>
        </w:rPr>
        <w:t>he responses were quantified in terms of frequencies and percentages.</w:t>
      </w:r>
      <w:r w:rsidR="000C09D4" w:rsidRPr="003712FD">
        <w:rPr>
          <w:rFonts w:ascii="Arial" w:eastAsia="Times New Roman" w:hAnsi="Arial" w:cs="Arial"/>
          <w:sz w:val="20"/>
          <w:szCs w:val="20"/>
        </w:rPr>
        <w:t xml:space="preserve"> </w:t>
      </w:r>
      <w:r w:rsidRPr="003712FD">
        <w:rPr>
          <w:rFonts w:ascii="Arial" w:eastAsia="Times New Roman" w:hAnsi="Arial" w:cs="Arial"/>
          <w:sz w:val="20"/>
          <w:szCs w:val="20"/>
        </w:rPr>
        <w:t>To evaluate statistically significant correlations between demographic variables (e.g., academic year) and Public Health Dentistry attitudes, the Chi-square test was utilized with the aid of proper statistical software</w:t>
      </w:r>
      <w:r w:rsidR="00452AE8" w:rsidRPr="003712FD">
        <w:rPr>
          <w:rFonts w:ascii="Arial" w:eastAsia="Times New Roman" w:hAnsi="Arial" w:cs="Arial"/>
          <w:sz w:val="20"/>
          <w:szCs w:val="20"/>
        </w:rPr>
        <w:t xml:space="preserve"> SPSS </w:t>
      </w:r>
      <w:r w:rsidR="00E4302A">
        <w:rPr>
          <w:rFonts w:ascii="Arial" w:eastAsia="Times New Roman" w:hAnsi="Arial" w:cs="Arial"/>
          <w:sz w:val="20"/>
          <w:szCs w:val="20"/>
        </w:rPr>
        <w:t xml:space="preserve">software </w:t>
      </w:r>
      <w:r w:rsidR="00856828" w:rsidRPr="00856828">
        <w:rPr>
          <w:rFonts w:ascii="Arial" w:eastAsia="Times New Roman" w:hAnsi="Arial" w:cs="Arial"/>
          <w:sz w:val="20"/>
          <w:szCs w:val="20"/>
        </w:rPr>
        <w:t>(version 23.0, IBM Corp., USA)</w:t>
      </w:r>
      <w:r w:rsidRPr="003712FD">
        <w:rPr>
          <w:rFonts w:ascii="Arial" w:eastAsia="Times New Roman" w:hAnsi="Arial" w:cs="Arial"/>
          <w:sz w:val="20"/>
          <w:szCs w:val="20"/>
        </w:rPr>
        <w:t>.</w:t>
      </w:r>
      <w:r w:rsidR="00792AC7" w:rsidRPr="003712FD">
        <w:rPr>
          <w:rFonts w:ascii="Arial" w:eastAsia="Times New Roman" w:hAnsi="Arial" w:cs="Arial"/>
          <w:sz w:val="20"/>
          <w:szCs w:val="20"/>
        </w:rPr>
        <w:t xml:space="preserve"> </w:t>
      </w:r>
      <w:r w:rsidR="00093333" w:rsidRPr="003712FD">
        <w:rPr>
          <w:rFonts w:ascii="Arial" w:eastAsia="Times New Roman" w:hAnsi="Arial" w:cs="Arial"/>
          <w:sz w:val="20"/>
          <w:szCs w:val="20"/>
        </w:rPr>
        <w:t>A p-value of &lt;0.05 (p &lt; 0.05) was considered statistically significant.</w:t>
      </w:r>
    </w:p>
    <w:p w14:paraId="07BDFBFC" w14:textId="0BF89C4F" w:rsidR="00BA5DD0" w:rsidRPr="00EF0270" w:rsidRDefault="001E1970" w:rsidP="00592107">
      <w:pPr>
        <w:jc w:val="both"/>
        <w:divId w:val="1800567248"/>
        <w:rPr>
          <w:rFonts w:ascii="Arial" w:eastAsia="Times New Roman" w:hAnsi="Arial" w:cs="Arial"/>
          <w:b/>
          <w:bCs/>
          <w:sz w:val="22"/>
          <w:szCs w:val="22"/>
        </w:rPr>
      </w:pPr>
      <w:r w:rsidRPr="00EF0270">
        <w:rPr>
          <w:rFonts w:ascii="Arial" w:eastAsia="Times New Roman" w:hAnsi="Arial" w:cs="Arial"/>
          <w:b/>
          <w:bCs/>
          <w:sz w:val="22"/>
          <w:szCs w:val="22"/>
        </w:rPr>
        <w:t>3.</w:t>
      </w:r>
      <w:r w:rsidR="001C491D" w:rsidRPr="00EF0270">
        <w:rPr>
          <w:rFonts w:ascii="Arial" w:eastAsia="Times New Roman" w:hAnsi="Arial" w:cs="Arial"/>
          <w:b/>
          <w:bCs/>
          <w:sz w:val="22"/>
          <w:szCs w:val="22"/>
        </w:rPr>
        <w:t xml:space="preserve">RESULTS </w:t>
      </w:r>
    </w:p>
    <w:p w14:paraId="26A41536" w14:textId="77777777" w:rsidR="00C94D54" w:rsidRPr="003712FD" w:rsidRDefault="00073335"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The </w:t>
      </w:r>
      <w:r w:rsidR="009F10DE" w:rsidRPr="003712FD">
        <w:rPr>
          <w:rFonts w:ascii="Arial" w:eastAsia="Times New Roman" w:hAnsi="Arial" w:cs="Arial"/>
          <w:sz w:val="20"/>
          <w:szCs w:val="20"/>
        </w:rPr>
        <w:t xml:space="preserve">present study includes </w:t>
      </w:r>
      <w:r w:rsidR="00E41E34" w:rsidRPr="003712FD">
        <w:rPr>
          <w:rFonts w:ascii="Arial" w:eastAsia="Times New Roman" w:hAnsi="Arial" w:cs="Arial"/>
          <w:sz w:val="20"/>
          <w:szCs w:val="20"/>
        </w:rPr>
        <w:t>185</w:t>
      </w:r>
      <w:r w:rsidR="007B7F37" w:rsidRPr="003712FD">
        <w:rPr>
          <w:rFonts w:ascii="Arial" w:eastAsia="Times New Roman" w:hAnsi="Arial" w:cs="Arial"/>
          <w:sz w:val="20"/>
          <w:szCs w:val="20"/>
        </w:rPr>
        <w:t xml:space="preserve"> </w:t>
      </w:r>
      <w:r w:rsidR="00E41E34" w:rsidRPr="003712FD">
        <w:rPr>
          <w:rFonts w:ascii="Arial" w:eastAsia="Times New Roman" w:hAnsi="Arial" w:cs="Arial"/>
          <w:sz w:val="20"/>
          <w:szCs w:val="20"/>
        </w:rPr>
        <w:t>females and 68 male</w:t>
      </w:r>
      <w:r w:rsidR="00D037F1" w:rsidRPr="003712FD">
        <w:rPr>
          <w:rFonts w:ascii="Arial" w:eastAsia="Times New Roman" w:hAnsi="Arial" w:cs="Arial"/>
          <w:sz w:val="20"/>
          <w:szCs w:val="20"/>
        </w:rPr>
        <w:t>s of which 107</w:t>
      </w:r>
      <w:r w:rsidR="0060600F" w:rsidRPr="003712FD">
        <w:rPr>
          <w:rFonts w:ascii="Arial" w:eastAsia="Times New Roman" w:hAnsi="Arial" w:cs="Arial"/>
          <w:sz w:val="20"/>
          <w:szCs w:val="20"/>
        </w:rPr>
        <w:t xml:space="preserve"> 3</w:t>
      </w:r>
      <w:r w:rsidR="0060600F" w:rsidRPr="003712FD">
        <w:rPr>
          <w:rFonts w:ascii="Arial" w:eastAsia="Times New Roman" w:hAnsi="Arial" w:cs="Arial"/>
          <w:sz w:val="20"/>
          <w:szCs w:val="20"/>
          <w:vertAlign w:val="superscript"/>
        </w:rPr>
        <w:t>rd</w:t>
      </w:r>
      <w:r w:rsidR="0060600F" w:rsidRPr="003712FD">
        <w:rPr>
          <w:rFonts w:ascii="Arial" w:eastAsia="Times New Roman" w:hAnsi="Arial" w:cs="Arial"/>
          <w:sz w:val="20"/>
          <w:szCs w:val="20"/>
        </w:rPr>
        <w:t xml:space="preserve"> year, </w:t>
      </w:r>
      <w:r w:rsidR="007B7F37" w:rsidRPr="003712FD">
        <w:rPr>
          <w:rFonts w:ascii="Arial" w:eastAsia="Times New Roman" w:hAnsi="Arial" w:cs="Arial"/>
          <w:sz w:val="20"/>
          <w:szCs w:val="20"/>
        </w:rPr>
        <w:t>58 final year and 88 CRRI students</w:t>
      </w:r>
      <w:r w:rsidR="005B2269" w:rsidRPr="003712FD">
        <w:rPr>
          <w:rFonts w:ascii="Arial" w:eastAsia="Times New Roman" w:hAnsi="Arial" w:cs="Arial"/>
          <w:sz w:val="20"/>
          <w:szCs w:val="20"/>
        </w:rPr>
        <w:t>, after administering the question</w:t>
      </w:r>
      <w:r w:rsidR="00D5295F" w:rsidRPr="003712FD">
        <w:rPr>
          <w:rFonts w:ascii="Arial" w:eastAsia="Times New Roman" w:hAnsi="Arial" w:cs="Arial"/>
          <w:sz w:val="20"/>
          <w:szCs w:val="20"/>
        </w:rPr>
        <w:t>naire, only completed responses were included for analysis.</w:t>
      </w:r>
      <w:r w:rsidR="00413DD8" w:rsidRPr="003712FD">
        <w:rPr>
          <w:rFonts w:ascii="Arial" w:eastAsia="Times New Roman" w:hAnsi="Arial" w:cs="Arial"/>
          <w:sz w:val="20"/>
          <w:szCs w:val="20"/>
        </w:rPr>
        <w:t xml:space="preserve"> The findings from Table 1 reveal a comprehensive overview of students’ perceptions and motivational factors influencing their choice of Public Health Dentistry (PHD) as a postgraduate specialization.</w:t>
      </w:r>
      <w:r w:rsidR="007C6393" w:rsidRPr="003712FD">
        <w:rPr>
          <w:rFonts w:ascii="Arial" w:eastAsia="Times New Roman" w:hAnsi="Arial" w:cs="Arial"/>
          <w:sz w:val="20"/>
          <w:szCs w:val="20"/>
        </w:rPr>
        <w:t xml:space="preserve"> </w:t>
      </w:r>
      <w:r w:rsidR="00413DD8" w:rsidRPr="003712FD">
        <w:rPr>
          <w:rFonts w:ascii="Arial" w:eastAsia="Times New Roman" w:hAnsi="Arial" w:cs="Arial"/>
          <w:sz w:val="20"/>
          <w:szCs w:val="20"/>
        </w:rPr>
        <w:t xml:space="preserve">Across the three academic groups—III BDS, IV BDS, and CRI (Compulsory Rotatory Interns)—the dominant factors guiding the decision to choose PHD appear to be personal interest (64.4%), inspiration from established dentists (66%), and encouragement by teachers (65.2%). This indicates that intrinsic motivation and professional </w:t>
      </w:r>
      <w:r w:rsidR="00413DD8" w:rsidRPr="003712FD">
        <w:rPr>
          <w:rFonts w:ascii="Arial" w:eastAsia="Times New Roman" w:hAnsi="Arial" w:cs="Arial"/>
          <w:sz w:val="20"/>
          <w:szCs w:val="20"/>
        </w:rPr>
        <w:lastRenderedPageBreak/>
        <w:t>role models play a crucial role in shaping students’ attitudes towards this specialty. Such results emphasize the importance of mentorship and exposure to inspiring figures during undergraduate training, as these can strongly influence students’ postgraduate aspirations.</w:t>
      </w:r>
      <w:r w:rsidR="007C6393" w:rsidRPr="003712FD">
        <w:rPr>
          <w:rFonts w:ascii="Arial" w:eastAsia="Times New Roman" w:hAnsi="Arial" w:cs="Arial"/>
          <w:sz w:val="20"/>
          <w:szCs w:val="20"/>
        </w:rPr>
        <w:t xml:space="preserve"> </w:t>
      </w:r>
    </w:p>
    <w:p w14:paraId="59D39D54" w14:textId="4BE6BE6F" w:rsidR="00940B5A" w:rsidRDefault="00413DD8"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In addition, the emotional, social, and economic benefits (58.9%) associated with the field, along with the specialty’s contribution to improving community oral health awareness (54.9%), were also appreciated by many students. This demonstrates that students recognize PHD as a field that offers both personal fulfillment and societal impact, aligning with values of public service and preventive care.</w:t>
      </w:r>
      <w:r w:rsidR="007C6393" w:rsidRPr="003712FD">
        <w:rPr>
          <w:rFonts w:ascii="Arial" w:eastAsia="Times New Roman" w:hAnsi="Arial" w:cs="Arial"/>
          <w:sz w:val="20"/>
          <w:szCs w:val="20"/>
        </w:rPr>
        <w:t xml:space="preserve"> </w:t>
      </w:r>
      <w:r w:rsidRPr="003712FD">
        <w:rPr>
          <w:rFonts w:ascii="Arial" w:eastAsia="Times New Roman" w:hAnsi="Arial" w:cs="Arial"/>
          <w:sz w:val="20"/>
          <w:szCs w:val="20"/>
        </w:rPr>
        <w:t xml:space="preserve">However, the study also identified that perceptions were not uniform across all groups. </w:t>
      </w:r>
      <w:r w:rsidR="006D019B" w:rsidRPr="003712FD">
        <w:rPr>
          <w:rFonts w:ascii="Arial" w:eastAsia="Times New Roman" w:hAnsi="Arial" w:cs="Arial"/>
          <w:sz w:val="20"/>
          <w:szCs w:val="20"/>
        </w:rPr>
        <w:t>A moderate</w:t>
      </w:r>
      <w:r w:rsidRPr="003712FD">
        <w:rPr>
          <w:rFonts w:ascii="Arial" w:eastAsia="Times New Roman" w:hAnsi="Arial" w:cs="Arial"/>
          <w:sz w:val="20"/>
          <w:szCs w:val="20"/>
        </w:rPr>
        <w:t xml:space="preserve"> association (p = 0.027) was observed concerning the availability of job opportunities indicating significant variability in how different student groups view career prospects in PHD. While some may perceive it as a stable and expanding domain, others—especially undergraduates—might still harbor uncertainty about employability or income potential compared to clinical specialties.</w:t>
      </w:r>
    </w:p>
    <w:p w14:paraId="75C87072" w14:textId="77777777" w:rsidR="00940B5A" w:rsidRPr="003712FD" w:rsidRDefault="00940B5A" w:rsidP="008B63B5">
      <w:pPr>
        <w:jc w:val="both"/>
        <w:rPr>
          <w:rFonts w:ascii="Arial" w:eastAsia="Times New Roman" w:hAnsi="Arial" w:cs="Arial"/>
          <w:b/>
          <w:bCs/>
          <w:sz w:val="20"/>
          <w:szCs w:val="20"/>
        </w:rPr>
      </w:pPr>
      <w:r w:rsidRPr="003712FD">
        <w:rPr>
          <w:rFonts w:ascii="Arial" w:eastAsia="Times New Roman" w:hAnsi="Arial" w:cs="Arial"/>
          <w:b/>
          <w:bCs/>
          <w:sz w:val="20"/>
          <w:szCs w:val="20"/>
        </w:rPr>
        <w:t>TABLE 1: Distribution of participant’s willingness to choose PHD as PG option</w:t>
      </w:r>
    </w:p>
    <w:tbl>
      <w:tblPr>
        <w:tblW w:w="10451"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2968"/>
        <w:gridCol w:w="30"/>
        <w:gridCol w:w="1671"/>
        <w:gridCol w:w="1276"/>
        <w:gridCol w:w="1261"/>
        <w:gridCol w:w="1061"/>
        <w:gridCol w:w="1092"/>
        <w:gridCol w:w="1092"/>
      </w:tblGrid>
      <w:tr w:rsidR="00940B5A" w:rsidRPr="003712FD" w14:paraId="1BAEFD5A" w14:textId="77777777" w:rsidTr="008B63B5">
        <w:trPr>
          <w:trHeight w:val="770"/>
        </w:trPr>
        <w:tc>
          <w:tcPr>
            <w:tcW w:w="2998"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8EB00A"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Question</w:t>
            </w:r>
          </w:p>
        </w:tc>
        <w:tc>
          <w:tcPr>
            <w:tcW w:w="167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E043563"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Response</w:t>
            </w:r>
          </w:p>
        </w:tc>
        <w:tc>
          <w:tcPr>
            <w:tcW w:w="127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2811B4A"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III YEAR BDS</w:t>
            </w:r>
          </w:p>
          <w:p w14:paraId="1E00B72F"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26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C803CA0"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IV YEAR BDS</w:t>
            </w:r>
          </w:p>
          <w:p w14:paraId="7EA28297"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06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B78CB19"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CRI</w:t>
            </w:r>
          </w:p>
          <w:p w14:paraId="24145BAB"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0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C0D83F1"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Total</w:t>
            </w:r>
          </w:p>
        </w:tc>
        <w:tc>
          <w:tcPr>
            <w:tcW w:w="1092" w:type="dxa"/>
            <w:tcBorders>
              <w:top w:val="single" w:sz="6" w:space="0" w:color="000000"/>
              <w:left w:val="nil"/>
              <w:bottom w:val="single" w:sz="6" w:space="0" w:color="000000"/>
              <w:right w:val="single" w:sz="6" w:space="0" w:color="000000"/>
            </w:tcBorders>
          </w:tcPr>
          <w:p w14:paraId="6D8B7FB4"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 xml:space="preserve">P value </w:t>
            </w:r>
          </w:p>
        </w:tc>
      </w:tr>
      <w:tr w:rsidR="00940B5A" w:rsidRPr="003712FD" w14:paraId="5C97B43E" w14:textId="77777777" w:rsidTr="008B63B5">
        <w:trPr>
          <w:trHeight w:val="455"/>
        </w:trPr>
        <w:tc>
          <w:tcPr>
            <w:tcW w:w="2998" w:type="dxa"/>
            <w:gridSpan w:val="2"/>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33A1AD2"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I wish to choose the subject Public Health Dentistry as a career option in MDS as it is my career of interest</w:t>
            </w:r>
          </w:p>
        </w:tc>
        <w:tc>
          <w:tcPr>
            <w:tcW w:w="167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723BBD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0E8E60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69(27.3)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CCFDE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33(13.0)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303611B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61(21.1)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5535E2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163(64.4)</w:t>
            </w:r>
          </w:p>
        </w:tc>
        <w:tc>
          <w:tcPr>
            <w:tcW w:w="1092" w:type="dxa"/>
            <w:vMerge w:val="restart"/>
            <w:tcBorders>
              <w:top w:val="nil"/>
              <w:left w:val="nil"/>
              <w:right w:val="single" w:sz="6" w:space="0" w:color="000000"/>
            </w:tcBorders>
          </w:tcPr>
          <w:p w14:paraId="0A50E617"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0.819</w:t>
            </w:r>
          </w:p>
        </w:tc>
      </w:tr>
      <w:tr w:rsidR="00940B5A" w:rsidRPr="003712FD" w14:paraId="3CC4E559" w14:textId="77777777" w:rsidTr="008B63B5">
        <w:trPr>
          <w:trHeight w:val="455"/>
        </w:trPr>
        <w:tc>
          <w:tcPr>
            <w:tcW w:w="2998" w:type="dxa"/>
            <w:gridSpan w:val="2"/>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EA9357" w14:textId="77777777" w:rsidR="00940B5A" w:rsidRPr="003712FD" w:rsidRDefault="00940B5A" w:rsidP="008B63B5">
            <w:pPr>
              <w:spacing w:after="100"/>
              <w:jc w:val="both"/>
              <w:rPr>
                <w:rFonts w:ascii="Arial" w:hAnsi="Arial" w:cs="Arial"/>
                <w:sz w:val="20"/>
                <w:szCs w:val="20"/>
                <w:highlight w:val="white"/>
              </w:rPr>
            </w:pPr>
          </w:p>
        </w:tc>
        <w:tc>
          <w:tcPr>
            <w:tcW w:w="167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C23468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0564FD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A40A81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1D7C754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AAC349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92" w:type="dxa"/>
            <w:vMerge/>
            <w:tcBorders>
              <w:left w:val="nil"/>
              <w:right w:val="single" w:sz="6" w:space="0" w:color="000000"/>
            </w:tcBorders>
          </w:tcPr>
          <w:p w14:paraId="4B6A0169"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7E7FB592" w14:textId="77777777" w:rsidTr="008B63B5">
        <w:trPr>
          <w:trHeight w:val="455"/>
        </w:trPr>
        <w:tc>
          <w:tcPr>
            <w:tcW w:w="2998" w:type="dxa"/>
            <w:gridSpan w:val="2"/>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89F56C1" w14:textId="77777777" w:rsidR="00940B5A" w:rsidRPr="003712FD" w:rsidRDefault="00940B5A" w:rsidP="008B63B5">
            <w:pPr>
              <w:spacing w:after="100"/>
              <w:jc w:val="both"/>
              <w:rPr>
                <w:rFonts w:ascii="Arial" w:hAnsi="Arial" w:cs="Arial"/>
                <w:sz w:val="20"/>
                <w:szCs w:val="20"/>
                <w:highlight w:val="white"/>
              </w:rPr>
            </w:pPr>
          </w:p>
        </w:tc>
        <w:tc>
          <w:tcPr>
            <w:tcW w:w="167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018A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14DD59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208F54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16(6.3)</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6CB6675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15(5.9)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CA6E6B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54(21.3)</w:t>
            </w:r>
          </w:p>
        </w:tc>
        <w:tc>
          <w:tcPr>
            <w:tcW w:w="1092" w:type="dxa"/>
            <w:vMerge/>
            <w:tcBorders>
              <w:left w:val="nil"/>
              <w:right w:val="single" w:sz="6" w:space="0" w:color="000000"/>
            </w:tcBorders>
          </w:tcPr>
          <w:p w14:paraId="19EEF027"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30C59ED" w14:textId="77777777" w:rsidTr="008B63B5">
        <w:trPr>
          <w:trHeight w:val="455"/>
        </w:trPr>
        <w:tc>
          <w:tcPr>
            <w:tcW w:w="2998" w:type="dxa"/>
            <w:gridSpan w:val="2"/>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465A518" w14:textId="77777777" w:rsidR="00940B5A" w:rsidRPr="003712FD" w:rsidRDefault="00940B5A" w:rsidP="008B63B5">
            <w:pPr>
              <w:spacing w:after="100"/>
              <w:jc w:val="both"/>
              <w:rPr>
                <w:rFonts w:ascii="Arial" w:hAnsi="Arial" w:cs="Arial"/>
                <w:sz w:val="20"/>
                <w:szCs w:val="20"/>
                <w:highlight w:val="white"/>
              </w:rPr>
            </w:pPr>
          </w:p>
        </w:tc>
        <w:tc>
          <w:tcPr>
            <w:tcW w:w="167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A7B315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3214D4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12(4.7)</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F9E286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5180FD9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11(4.3)</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C8E561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31(12.3)</w:t>
            </w:r>
          </w:p>
        </w:tc>
        <w:tc>
          <w:tcPr>
            <w:tcW w:w="1092" w:type="dxa"/>
            <w:vMerge/>
            <w:tcBorders>
              <w:left w:val="nil"/>
              <w:right w:val="single" w:sz="6" w:space="0" w:color="000000"/>
            </w:tcBorders>
          </w:tcPr>
          <w:p w14:paraId="5B8972F7"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5D0E3B6" w14:textId="77777777" w:rsidTr="008B63B5">
        <w:trPr>
          <w:trHeight w:val="665"/>
        </w:trPr>
        <w:tc>
          <w:tcPr>
            <w:tcW w:w="2998" w:type="dxa"/>
            <w:gridSpan w:val="2"/>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BE2BE07" w14:textId="77777777" w:rsidR="00940B5A" w:rsidRPr="003712FD" w:rsidRDefault="00940B5A" w:rsidP="008B63B5">
            <w:pPr>
              <w:spacing w:after="100"/>
              <w:jc w:val="both"/>
              <w:rPr>
                <w:rFonts w:ascii="Arial" w:hAnsi="Arial" w:cs="Arial"/>
                <w:sz w:val="20"/>
                <w:szCs w:val="20"/>
                <w:highlight w:val="white"/>
              </w:rPr>
            </w:pPr>
          </w:p>
        </w:tc>
        <w:tc>
          <w:tcPr>
            <w:tcW w:w="167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4A0DFB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AB3732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154984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563773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3E28B5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2508988B"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1F6C596" w14:textId="77777777" w:rsidTr="008B63B5">
        <w:trPr>
          <w:trHeight w:val="1430"/>
        </w:trPr>
        <w:tc>
          <w:tcPr>
            <w:tcW w:w="2968"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BCA771" w14:textId="77777777" w:rsidR="00940B5A" w:rsidRPr="003712FD" w:rsidRDefault="00940B5A" w:rsidP="008B63B5">
            <w:pPr>
              <w:spacing w:after="100" w:line="288" w:lineRule="auto"/>
              <w:jc w:val="both"/>
              <w:rPr>
                <w:rFonts w:ascii="Arial" w:hAnsi="Arial" w:cs="Arial"/>
                <w:b/>
                <w:sz w:val="20"/>
                <w:szCs w:val="20"/>
              </w:rPr>
            </w:pPr>
            <w:r w:rsidRPr="003712FD">
              <w:rPr>
                <w:rFonts w:ascii="Arial" w:hAnsi="Arial" w:cs="Arial"/>
                <w:b/>
                <w:sz w:val="20"/>
                <w:szCs w:val="20"/>
              </w:rPr>
              <w:t xml:space="preserve">I am inspired by </w:t>
            </w:r>
            <w:proofErr w:type="gramStart"/>
            <w:r w:rsidRPr="003712FD">
              <w:rPr>
                <w:rFonts w:ascii="Arial" w:hAnsi="Arial" w:cs="Arial"/>
                <w:b/>
                <w:sz w:val="20"/>
                <w:szCs w:val="20"/>
              </w:rPr>
              <w:t>my an</w:t>
            </w:r>
            <w:proofErr w:type="gramEnd"/>
            <w:r w:rsidRPr="003712FD">
              <w:rPr>
                <w:rFonts w:ascii="Arial" w:hAnsi="Arial" w:cs="Arial"/>
                <w:b/>
                <w:sz w:val="20"/>
                <w:szCs w:val="20"/>
              </w:rPr>
              <w:t xml:space="preserve"> eminent public health dentist </w:t>
            </w: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706A39"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Agree</w:t>
            </w:r>
          </w:p>
        </w:tc>
        <w:tc>
          <w:tcPr>
            <w:tcW w:w="1276"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4A7F42F"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71(28.1)</w:t>
            </w:r>
          </w:p>
        </w:tc>
        <w:tc>
          <w:tcPr>
            <w:tcW w:w="12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4F82FE"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29(11.5)</w:t>
            </w:r>
          </w:p>
        </w:tc>
        <w:tc>
          <w:tcPr>
            <w:tcW w:w="10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76134E6"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65(25.7)</w:t>
            </w:r>
          </w:p>
        </w:tc>
        <w:tc>
          <w:tcPr>
            <w:tcW w:w="109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737213D"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165(65.2)</w:t>
            </w:r>
          </w:p>
        </w:tc>
        <w:tc>
          <w:tcPr>
            <w:tcW w:w="1092" w:type="dxa"/>
            <w:vMerge w:val="restart"/>
            <w:tcBorders>
              <w:top w:val="nil"/>
              <w:left w:val="single" w:sz="6" w:space="0" w:color="000000"/>
              <w:right w:val="single" w:sz="6" w:space="0" w:color="000000"/>
            </w:tcBorders>
          </w:tcPr>
          <w:p w14:paraId="0902F828" w14:textId="77777777" w:rsidR="00940B5A" w:rsidRPr="003712FD" w:rsidRDefault="00940B5A" w:rsidP="008B63B5">
            <w:pPr>
              <w:spacing w:after="100"/>
              <w:jc w:val="both"/>
              <w:rPr>
                <w:rFonts w:ascii="Arial" w:hAnsi="Arial" w:cs="Arial"/>
                <w:sz w:val="20"/>
                <w:szCs w:val="20"/>
                <w:highlight w:val="white"/>
              </w:rPr>
            </w:pPr>
            <w:r w:rsidRPr="003712FD">
              <w:rPr>
                <w:rFonts w:ascii="Arial" w:hAnsi="Arial" w:cs="Arial"/>
                <w:sz w:val="20"/>
                <w:szCs w:val="20"/>
                <w:highlight w:val="white"/>
              </w:rPr>
              <w:t>0.402</w:t>
            </w:r>
          </w:p>
        </w:tc>
      </w:tr>
      <w:tr w:rsidR="00940B5A" w:rsidRPr="003712FD" w14:paraId="02DCCFE5"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06E808" w14:textId="77777777" w:rsidR="00940B5A" w:rsidRPr="003712FD" w:rsidRDefault="00940B5A" w:rsidP="008B63B5">
            <w:pPr>
              <w:spacing w:after="100"/>
              <w:jc w:val="both"/>
              <w:rPr>
                <w:rFonts w:ascii="Arial" w:hAnsi="Arial" w:cs="Arial"/>
                <w:sz w:val="20"/>
                <w:szCs w:val="20"/>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003AE5"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2E041AE"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2(0.8)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0447C90"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2(0.8)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1E6B7DAD"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CC115C4"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5(2.0)</w:t>
            </w:r>
          </w:p>
        </w:tc>
        <w:tc>
          <w:tcPr>
            <w:tcW w:w="1092" w:type="dxa"/>
            <w:vMerge/>
            <w:tcBorders>
              <w:left w:val="single" w:sz="6" w:space="0" w:color="000000"/>
              <w:right w:val="single" w:sz="6" w:space="0" w:color="000000"/>
            </w:tcBorders>
          </w:tcPr>
          <w:p w14:paraId="366CB15B"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7FDFDA3F"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2043E1" w14:textId="77777777" w:rsidR="00940B5A" w:rsidRPr="003712FD" w:rsidRDefault="00940B5A" w:rsidP="008B63B5">
            <w:pPr>
              <w:spacing w:after="100"/>
              <w:jc w:val="both"/>
              <w:rPr>
                <w:rFonts w:ascii="Arial" w:hAnsi="Arial" w:cs="Arial"/>
                <w:sz w:val="20"/>
                <w:szCs w:val="20"/>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CD8F7B7"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A40452"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26(10.3)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146734A"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21(8.3)</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26C1ABE3"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17(6.7)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EEBDA4F"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64(25.3)</w:t>
            </w:r>
          </w:p>
        </w:tc>
        <w:tc>
          <w:tcPr>
            <w:tcW w:w="1092" w:type="dxa"/>
            <w:vMerge/>
            <w:tcBorders>
              <w:left w:val="single" w:sz="6" w:space="0" w:color="000000"/>
              <w:right w:val="single" w:sz="6" w:space="0" w:color="000000"/>
            </w:tcBorders>
          </w:tcPr>
          <w:p w14:paraId="69230767"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1AE0C1C3"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C4AF4D" w14:textId="77777777" w:rsidR="00940B5A" w:rsidRPr="003712FD" w:rsidRDefault="00940B5A" w:rsidP="008B63B5">
            <w:pPr>
              <w:spacing w:after="100"/>
              <w:jc w:val="both"/>
              <w:rPr>
                <w:rFonts w:ascii="Arial" w:hAnsi="Arial" w:cs="Arial"/>
                <w:sz w:val="20"/>
                <w:szCs w:val="20"/>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8605F3"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59F011C"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8(3.2)</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FFA7419"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6(2.4)</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4644D69F"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4(1.6)</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9EA6F0C"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18(7.1)</w:t>
            </w:r>
          </w:p>
        </w:tc>
        <w:tc>
          <w:tcPr>
            <w:tcW w:w="1092" w:type="dxa"/>
            <w:vMerge/>
            <w:tcBorders>
              <w:left w:val="single" w:sz="6" w:space="0" w:color="000000"/>
              <w:right w:val="single" w:sz="6" w:space="0" w:color="000000"/>
            </w:tcBorders>
          </w:tcPr>
          <w:p w14:paraId="11B2FEAC"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65CF177F" w14:textId="77777777" w:rsidTr="008B63B5">
        <w:trPr>
          <w:trHeight w:val="66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760EF0" w14:textId="77777777" w:rsidR="00940B5A" w:rsidRPr="003712FD" w:rsidRDefault="00940B5A" w:rsidP="008B63B5">
            <w:pPr>
              <w:spacing w:after="100"/>
              <w:jc w:val="both"/>
              <w:rPr>
                <w:rFonts w:ascii="Arial" w:hAnsi="Arial" w:cs="Arial"/>
                <w:sz w:val="20"/>
                <w:szCs w:val="20"/>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27D066"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72B046"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7E13164"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05309982"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47DB67A"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1(0.4)</w:t>
            </w:r>
          </w:p>
        </w:tc>
        <w:tc>
          <w:tcPr>
            <w:tcW w:w="1092" w:type="dxa"/>
            <w:vMerge/>
            <w:tcBorders>
              <w:left w:val="single" w:sz="6" w:space="0" w:color="000000"/>
              <w:bottom w:val="single" w:sz="6" w:space="0" w:color="000000"/>
              <w:right w:val="single" w:sz="6" w:space="0" w:color="000000"/>
            </w:tcBorders>
          </w:tcPr>
          <w:p w14:paraId="55CE48E3"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027D648C"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4C5625D"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I am inspired by my public health dentistry teacher</w:t>
            </w:r>
          </w:p>
        </w:tc>
        <w:tc>
          <w:tcPr>
            <w:tcW w:w="1701" w:type="dxa"/>
            <w:gridSpan w:val="2"/>
            <w:tcBorders>
              <w:top w:val="nil"/>
              <w:left w:val="nil"/>
              <w:bottom w:val="single" w:sz="6" w:space="0" w:color="000000"/>
              <w:right w:val="single" w:sz="6" w:space="0" w:color="000000"/>
            </w:tcBorders>
            <w:tcMar>
              <w:top w:w="100" w:type="dxa"/>
              <w:left w:w="100" w:type="dxa"/>
              <w:bottom w:w="100" w:type="dxa"/>
              <w:right w:w="100" w:type="dxa"/>
            </w:tcMar>
            <w:vAlign w:val="center"/>
          </w:tcPr>
          <w:p w14:paraId="335B73F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67C669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71(28.1)</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D7911A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20(11.5)</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28A779E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65(25.7)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BFD6AC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165(65.2)</w:t>
            </w:r>
          </w:p>
        </w:tc>
        <w:tc>
          <w:tcPr>
            <w:tcW w:w="1092" w:type="dxa"/>
            <w:vMerge w:val="restart"/>
            <w:tcBorders>
              <w:top w:val="nil"/>
              <w:left w:val="nil"/>
              <w:right w:val="single" w:sz="6" w:space="0" w:color="000000"/>
            </w:tcBorders>
          </w:tcPr>
          <w:p w14:paraId="03F5A9B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0.169</w:t>
            </w:r>
          </w:p>
        </w:tc>
      </w:tr>
      <w:tr w:rsidR="00940B5A" w:rsidRPr="003712FD" w14:paraId="402EEB81"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F86FAC5"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84F1BF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DF1307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8DC4B1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5639D51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3B00F5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92" w:type="dxa"/>
            <w:vMerge/>
            <w:tcBorders>
              <w:left w:val="nil"/>
              <w:right w:val="single" w:sz="6" w:space="0" w:color="000000"/>
            </w:tcBorders>
          </w:tcPr>
          <w:p w14:paraId="14489954"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04933A68"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30D9259"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AB43C0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F70586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26(10.3)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3FD0CA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DDC938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17(6.7)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21488D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64(25.3)</w:t>
            </w:r>
          </w:p>
        </w:tc>
        <w:tc>
          <w:tcPr>
            <w:tcW w:w="1092" w:type="dxa"/>
            <w:vMerge/>
            <w:tcBorders>
              <w:left w:val="nil"/>
              <w:right w:val="single" w:sz="6" w:space="0" w:color="000000"/>
            </w:tcBorders>
          </w:tcPr>
          <w:p w14:paraId="38D2A867"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284C6AB"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F346A18"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8D6EB0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803D40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5EA9C0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0470F0A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BCCA89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18(7.1)</w:t>
            </w:r>
          </w:p>
        </w:tc>
        <w:tc>
          <w:tcPr>
            <w:tcW w:w="1092" w:type="dxa"/>
            <w:vMerge/>
            <w:tcBorders>
              <w:left w:val="nil"/>
              <w:right w:val="single" w:sz="6" w:space="0" w:color="000000"/>
            </w:tcBorders>
          </w:tcPr>
          <w:p w14:paraId="756C3045"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05D3CD5D"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AC674D9"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A7D83C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C35F037"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C4D564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DF3DBF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F4BCFA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6A6A29D5"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77110D3"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97A1B5D"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is rewarding (emotionally/socially/financially)</w:t>
            </w:r>
          </w:p>
        </w:tc>
        <w:tc>
          <w:tcPr>
            <w:tcW w:w="1701" w:type="dxa"/>
            <w:gridSpan w:val="2"/>
            <w:tcBorders>
              <w:top w:val="nil"/>
              <w:left w:val="nil"/>
              <w:bottom w:val="single" w:sz="6" w:space="0" w:color="000000"/>
              <w:right w:val="single" w:sz="6" w:space="0" w:color="000000"/>
            </w:tcBorders>
            <w:tcMar>
              <w:top w:w="100" w:type="dxa"/>
              <w:left w:w="100" w:type="dxa"/>
              <w:bottom w:w="100" w:type="dxa"/>
              <w:right w:w="100" w:type="dxa"/>
            </w:tcMar>
            <w:vAlign w:val="center"/>
          </w:tcPr>
          <w:p w14:paraId="4C78899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7423DC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57(22.5)</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3495E7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29(11.5)</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40BA3DF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63(24.9)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3E8302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149(58.9)</w:t>
            </w:r>
          </w:p>
        </w:tc>
        <w:tc>
          <w:tcPr>
            <w:tcW w:w="1092" w:type="dxa"/>
            <w:vMerge w:val="restart"/>
            <w:tcBorders>
              <w:top w:val="nil"/>
              <w:left w:val="nil"/>
              <w:right w:val="single" w:sz="6" w:space="0" w:color="000000"/>
            </w:tcBorders>
          </w:tcPr>
          <w:p w14:paraId="3D8C38E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0.240</w:t>
            </w:r>
          </w:p>
        </w:tc>
      </w:tr>
      <w:tr w:rsidR="00940B5A" w:rsidRPr="003712FD" w14:paraId="360C8921"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79F4CFC"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55953B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EEC4F3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AA8E23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6BFBA9B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0AA480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92" w:type="dxa"/>
            <w:vMerge/>
            <w:tcBorders>
              <w:left w:val="nil"/>
              <w:right w:val="single" w:sz="6" w:space="0" w:color="000000"/>
            </w:tcBorders>
          </w:tcPr>
          <w:p w14:paraId="0F9A85D2"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BCF8FB3"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9F5878A"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B5D76B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BA07CE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35(13.8)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6E3D6A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20(7.9)</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4DAF65E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CE4BAC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76(30.0)</w:t>
            </w:r>
          </w:p>
        </w:tc>
        <w:tc>
          <w:tcPr>
            <w:tcW w:w="1092" w:type="dxa"/>
            <w:vMerge/>
            <w:tcBorders>
              <w:left w:val="nil"/>
              <w:right w:val="single" w:sz="6" w:space="0" w:color="000000"/>
            </w:tcBorders>
          </w:tcPr>
          <w:p w14:paraId="4DDDAA00"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B75064C"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4C8ADBA"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1BDA16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2E57E0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920A05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23B3321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C95A76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92" w:type="dxa"/>
            <w:vMerge/>
            <w:tcBorders>
              <w:left w:val="nil"/>
              <w:right w:val="single" w:sz="6" w:space="0" w:color="000000"/>
            </w:tcBorders>
          </w:tcPr>
          <w:p w14:paraId="0444B8DF"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0B99A862"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37F6FCC"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AF0A4F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CF4CED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6AF589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5FE717F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F900B0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14047F70"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79E8F314"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DD7006"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offers easy employment</w:t>
            </w:r>
          </w:p>
        </w:tc>
        <w:tc>
          <w:tcPr>
            <w:tcW w:w="1701" w:type="dxa"/>
            <w:gridSpan w:val="2"/>
            <w:tcBorders>
              <w:top w:val="nil"/>
              <w:left w:val="nil"/>
              <w:bottom w:val="single" w:sz="6" w:space="0" w:color="000000"/>
              <w:right w:val="single" w:sz="6" w:space="0" w:color="000000"/>
            </w:tcBorders>
            <w:tcMar>
              <w:top w:w="100" w:type="dxa"/>
              <w:left w:w="100" w:type="dxa"/>
              <w:bottom w:w="100" w:type="dxa"/>
              <w:right w:w="100" w:type="dxa"/>
            </w:tcMar>
            <w:vAlign w:val="center"/>
          </w:tcPr>
          <w:p w14:paraId="6A1F676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1CEB05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55(21.7)</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50A06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22(8.7)</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0D254C6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57(22.5)</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AF0065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134(53.0)</w:t>
            </w:r>
          </w:p>
        </w:tc>
        <w:tc>
          <w:tcPr>
            <w:tcW w:w="1092" w:type="dxa"/>
            <w:vMerge w:val="restart"/>
            <w:tcBorders>
              <w:top w:val="nil"/>
              <w:left w:val="nil"/>
              <w:right w:val="single" w:sz="6" w:space="0" w:color="000000"/>
            </w:tcBorders>
          </w:tcPr>
          <w:p w14:paraId="153052E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0.027*</w:t>
            </w:r>
          </w:p>
        </w:tc>
      </w:tr>
      <w:tr w:rsidR="00940B5A" w:rsidRPr="003712FD" w14:paraId="1F0A8A9F" w14:textId="77777777" w:rsidTr="008B63B5">
        <w:trPr>
          <w:trHeight w:val="72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8C248F0"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07516F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7001F8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C7928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54C4BB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B02423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092" w:type="dxa"/>
            <w:vMerge/>
            <w:tcBorders>
              <w:left w:val="nil"/>
              <w:right w:val="single" w:sz="6" w:space="0" w:color="000000"/>
            </w:tcBorders>
          </w:tcPr>
          <w:p w14:paraId="70B3066E"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15AB7E34"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274B560"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25F05E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271790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44(17.4)</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63DF2A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25(9.9)</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3192654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25(9.9)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8443D9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94(37.2)</w:t>
            </w:r>
          </w:p>
        </w:tc>
        <w:tc>
          <w:tcPr>
            <w:tcW w:w="1092" w:type="dxa"/>
            <w:vMerge/>
            <w:tcBorders>
              <w:left w:val="nil"/>
              <w:right w:val="single" w:sz="6" w:space="0" w:color="000000"/>
            </w:tcBorders>
          </w:tcPr>
          <w:p w14:paraId="4CFCB4A8"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2F91FD6B"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155D51"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1A9D0C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ABA5E5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AC234D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771813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876A01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17(6.7)</w:t>
            </w:r>
          </w:p>
        </w:tc>
        <w:tc>
          <w:tcPr>
            <w:tcW w:w="1092" w:type="dxa"/>
            <w:vMerge/>
            <w:tcBorders>
              <w:left w:val="nil"/>
              <w:right w:val="single" w:sz="6" w:space="0" w:color="000000"/>
            </w:tcBorders>
          </w:tcPr>
          <w:p w14:paraId="59E7E03A"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AA6D106"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EB3BE60"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9B2DD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C393C3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AC8A21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3DFE189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802AF2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vMerge/>
            <w:tcBorders>
              <w:left w:val="nil"/>
              <w:bottom w:val="single" w:sz="6" w:space="0" w:color="000000"/>
              <w:right w:val="single" w:sz="6" w:space="0" w:color="000000"/>
            </w:tcBorders>
          </w:tcPr>
          <w:p w14:paraId="7A063186"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3B818B0C"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CADA9DF"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lastRenderedPageBreak/>
              <w:t>The specialty is a vital component in creating oral health awareness in the society</w:t>
            </w:r>
          </w:p>
        </w:tc>
        <w:tc>
          <w:tcPr>
            <w:tcW w:w="1701" w:type="dxa"/>
            <w:gridSpan w:val="2"/>
            <w:tcBorders>
              <w:top w:val="nil"/>
              <w:left w:val="nil"/>
              <w:bottom w:val="single" w:sz="6" w:space="0" w:color="000000"/>
              <w:right w:val="single" w:sz="6" w:space="0" w:color="000000"/>
            </w:tcBorders>
            <w:tcMar>
              <w:top w:w="100" w:type="dxa"/>
              <w:left w:w="100" w:type="dxa"/>
              <w:bottom w:w="100" w:type="dxa"/>
              <w:right w:w="100" w:type="dxa"/>
            </w:tcMar>
            <w:vAlign w:val="center"/>
          </w:tcPr>
          <w:p w14:paraId="3D5AAFE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B1BB76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55(21.7)</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1575C2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27(10.7)</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1F783D4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57(22.5)</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2D3D49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139(54.9)</w:t>
            </w:r>
          </w:p>
        </w:tc>
        <w:tc>
          <w:tcPr>
            <w:tcW w:w="1092" w:type="dxa"/>
            <w:vMerge w:val="restart"/>
            <w:tcBorders>
              <w:top w:val="nil"/>
              <w:left w:val="nil"/>
              <w:right w:val="single" w:sz="6" w:space="0" w:color="000000"/>
            </w:tcBorders>
          </w:tcPr>
          <w:p w14:paraId="738E773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0.109</w:t>
            </w:r>
          </w:p>
        </w:tc>
      </w:tr>
      <w:tr w:rsidR="00940B5A" w:rsidRPr="003712FD" w14:paraId="68C28A0B"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3C0190F"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8E3C27"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AA666A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CBC0CC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4541E88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C83826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vMerge/>
            <w:tcBorders>
              <w:left w:val="nil"/>
              <w:right w:val="single" w:sz="6" w:space="0" w:color="000000"/>
            </w:tcBorders>
          </w:tcPr>
          <w:p w14:paraId="2C2D8135"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70BEE29" w14:textId="77777777" w:rsidTr="008B63B5">
        <w:trPr>
          <w:trHeight w:val="72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A36C641"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60618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68BA2C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41(16.2)</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5EFD76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24(9.5)</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3D2745B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28(11.1)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6A93E6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93(36.8)</w:t>
            </w:r>
          </w:p>
        </w:tc>
        <w:tc>
          <w:tcPr>
            <w:tcW w:w="1092" w:type="dxa"/>
            <w:vMerge/>
            <w:tcBorders>
              <w:left w:val="nil"/>
              <w:right w:val="single" w:sz="6" w:space="0" w:color="000000"/>
            </w:tcBorders>
          </w:tcPr>
          <w:p w14:paraId="45CC3B4E"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3BE54D0"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FBC7808"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C559C47"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B5933A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8202C4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254F244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83000D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92" w:type="dxa"/>
            <w:vMerge/>
            <w:tcBorders>
              <w:left w:val="nil"/>
              <w:right w:val="single" w:sz="6" w:space="0" w:color="000000"/>
            </w:tcBorders>
          </w:tcPr>
          <w:p w14:paraId="149C859B"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33DA144"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7C890AB"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462D98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F40992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C3FC64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5A6879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0AC274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vMerge/>
            <w:tcBorders>
              <w:left w:val="nil"/>
              <w:bottom w:val="single" w:sz="6" w:space="0" w:color="000000"/>
              <w:right w:val="single" w:sz="6" w:space="0" w:color="000000"/>
            </w:tcBorders>
          </w:tcPr>
          <w:p w14:paraId="376BF25D" w14:textId="77777777" w:rsidR="00940B5A" w:rsidRPr="003712FD" w:rsidRDefault="00940B5A" w:rsidP="008B63B5">
            <w:pPr>
              <w:spacing w:after="100"/>
              <w:ind w:left="60" w:right="60"/>
              <w:jc w:val="both"/>
              <w:rPr>
                <w:rFonts w:ascii="Arial" w:hAnsi="Arial" w:cs="Arial"/>
                <w:sz w:val="20"/>
                <w:szCs w:val="20"/>
                <w:highlight w:val="white"/>
              </w:rPr>
            </w:pPr>
          </w:p>
        </w:tc>
      </w:tr>
    </w:tbl>
    <w:p w14:paraId="2E60927C" w14:textId="77777777" w:rsidR="00940B5A" w:rsidRPr="003712FD" w:rsidRDefault="00940B5A" w:rsidP="008B63B5">
      <w:pPr>
        <w:jc w:val="both"/>
        <w:rPr>
          <w:rFonts w:ascii="Arial" w:eastAsia="Times New Roman" w:hAnsi="Arial" w:cs="Arial"/>
          <w:sz w:val="20"/>
          <w:szCs w:val="20"/>
        </w:rPr>
      </w:pPr>
      <w:r w:rsidRPr="003712FD">
        <w:rPr>
          <w:rFonts w:ascii="Arial" w:eastAsia="Times New Roman" w:hAnsi="Arial" w:cs="Arial"/>
          <w:sz w:val="20"/>
          <w:szCs w:val="20"/>
        </w:rPr>
        <w:t>*Statistically significant at p&lt;0.05, Chi-Square test</w:t>
      </w:r>
    </w:p>
    <w:p w14:paraId="23545833" w14:textId="77777777" w:rsidR="00940B5A" w:rsidRPr="003712FD" w:rsidRDefault="00940B5A" w:rsidP="00592107">
      <w:pPr>
        <w:jc w:val="both"/>
        <w:divId w:val="1800567248"/>
        <w:rPr>
          <w:rFonts w:ascii="Arial" w:eastAsia="Times New Roman" w:hAnsi="Arial" w:cs="Arial"/>
          <w:sz w:val="20"/>
          <w:szCs w:val="20"/>
        </w:rPr>
      </w:pPr>
    </w:p>
    <w:p w14:paraId="62226C6A" w14:textId="3275FE22" w:rsidR="001C491D" w:rsidRPr="003712FD" w:rsidRDefault="009E4AD9" w:rsidP="00592107">
      <w:pPr>
        <w:jc w:val="both"/>
        <w:divId w:val="1425154471"/>
        <w:rPr>
          <w:rFonts w:ascii="Arial" w:hAnsi="Arial" w:cs="Arial"/>
          <w:kern w:val="0"/>
          <w:sz w:val="20"/>
          <w:szCs w:val="20"/>
          <w14:ligatures w14:val="none"/>
        </w:rPr>
      </w:pPr>
      <w:r w:rsidRPr="003712FD">
        <w:rPr>
          <w:rFonts w:ascii="Arial" w:eastAsia="Times New Roman" w:hAnsi="Arial" w:cs="Arial"/>
          <w:sz w:val="20"/>
          <w:szCs w:val="20"/>
        </w:rPr>
        <w:t>T</w:t>
      </w:r>
      <w:r w:rsidR="000E3C45" w:rsidRPr="003712FD">
        <w:rPr>
          <w:rFonts w:ascii="Arial" w:hAnsi="Arial" w:cs="Arial"/>
          <w:sz w:val="20"/>
          <w:szCs w:val="20"/>
        </w:rPr>
        <w:t xml:space="preserve">able 2 highlights students’ attitudes regarding the </w:t>
      </w:r>
      <w:r w:rsidR="000E3C45" w:rsidRPr="003712FD">
        <w:rPr>
          <w:rStyle w:val="Strong"/>
          <w:rFonts w:ascii="Arial" w:hAnsi="Arial" w:cs="Arial"/>
          <w:b w:val="0"/>
          <w:bCs w:val="0"/>
          <w:sz w:val="20"/>
          <w:szCs w:val="20"/>
        </w:rPr>
        <w:t>professional and social attractiveness of Public Health Dentistry (PHD)</w:t>
      </w:r>
      <w:r w:rsidR="000E3C45" w:rsidRPr="003712FD">
        <w:rPr>
          <w:rFonts w:ascii="Arial" w:hAnsi="Arial" w:cs="Arial"/>
          <w:sz w:val="20"/>
          <w:szCs w:val="20"/>
        </w:rPr>
        <w:t>. The findings indicate a generally positive perception among respondents, emphasizing both the intellectual and societal value of the specialty.</w:t>
      </w:r>
      <w:r w:rsidR="007C6393" w:rsidRPr="003712FD">
        <w:rPr>
          <w:rFonts w:ascii="Arial" w:hAnsi="Arial" w:cs="Arial"/>
          <w:sz w:val="20"/>
          <w:szCs w:val="20"/>
        </w:rPr>
        <w:t xml:space="preserve"> </w:t>
      </w:r>
      <w:r w:rsidR="000E3C45" w:rsidRPr="003712FD">
        <w:rPr>
          <w:rFonts w:ascii="Arial" w:hAnsi="Arial" w:cs="Arial"/>
          <w:sz w:val="20"/>
          <w:szCs w:val="20"/>
        </w:rPr>
        <w:t xml:space="preserve">A majority of students (61.3%, </w:t>
      </w:r>
      <w:r w:rsidR="000E3C45" w:rsidRPr="003712FD">
        <w:rPr>
          <w:rStyle w:val="Emphasis"/>
          <w:rFonts w:ascii="Arial" w:hAnsi="Arial" w:cs="Arial"/>
          <w:sz w:val="20"/>
          <w:szCs w:val="20"/>
        </w:rPr>
        <w:t>p</w:t>
      </w:r>
      <w:r w:rsidR="000E3C45" w:rsidRPr="003712FD">
        <w:rPr>
          <w:rFonts w:ascii="Arial" w:hAnsi="Arial" w:cs="Arial"/>
          <w:sz w:val="20"/>
          <w:szCs w:val="20"/>
        </w:rPr>
        <w:t xml:space="preserve"> = 0.008) agreed that PHD offers </w:t>
      </w:r>
      <w:r w:rsidR="000E3C45" w:rsidRPr="003712FD">
        <w:rPr>
          <w:rStyle w:val="Strong"/>
          <w:rFonts w:ascii="Arial" w:hAnsi="Arial" w:cs="Arial"/>
          <w:b w:val="0"/>
          <w:bCs w:val="0"/>
          <w:sz w:val="20"/>
          <w:szCs w:val="20"/>
        </w:rPr>
        <w:t>challenging and stimulating work</w:t>
      </w:r>
      <w:r w:rsidR="000E3C45" w:rsidRPr="003712FD">
        <w:rPr>
          <w:rFonts w:ascii="Arial" w:hAnsi="Arial" w:cs="Arial"/>
          <w:b/>
          <w:bCs/>
          <w:sz w:val="20"/>
          <w:szCs w:val="20"/>
        </w:rPr>
        <w:t xml:space="preserve">, </w:t>
      </w:r>
      <w:r w:rsidR="000E3C45" w:rsidRPr="003712FD">
        <w:rPr>
          <w:rFonts w:ascii="Arial" w:hAnsi="Arial" w:cs="Arial"/>
          <w:sz w:val="20"/>
          <w:szCs w:val="20"/>
        </w:rPr>
        <w:t xml:space="preserve">suggesting that they view the field as intellectually engaging and requiring critical thinking, problem-solving, and innovation in addressing community oral health needs. Additionally, 63.2% felt that the profession allows for </w:t>
      </w:r>
      <w:r w:rsidR="000E3C45" w:rsidRPr="003712FD">
        <w:rPr>
          <w:rStyle w:val="Strong"/>
          <w:rFonts w:ascii="Arial" w:hAnsi="Arial" w:cs="Arial"/>
          <w:b w:val="0"/>
          <w:bCs w:val="0"/>
          <w:sz w:val="20"/>
          <w:szCs w:val="20"/>
        </w:rPr>
        <w:t>responsible social participation</w:t>
      </w:r>
      <w:r w:rsidR="000E3C45" w:rsidRPr="003712FD">
        <w:rPr>
          <w:rFonts w:ascii="Arial" w:hAnsi="Arial" w:cs="Arial"/>
          <w:b/>
          <w:bCs/>
          <w:sz w:val="20"/>
          <w:szCs w:val="20"/>
        </w:rPr>
        <w:t xml:space="preserve">, </w:t>
      </w:r>
      <w:r w:rsidR="000E3C45" w:rsidRPr="003712FD">
        <w:rPr>
          <w:rFonts w:ascii="Arial" w:hAnsi="Arial" w:cs="Arial"/>
          <w:sz w:val="20"/>
          <w:szCs w:val="20"/>
        </w:rPr>
        <w:t>reflecting recognition of the specialty’s role in improving population-level oral health and contributing to public welfare through preventive programs, health education, and outreach initiatives.</w:t>
      </w:r>
      <w:r w:rsidR="007C6393" w:rsidRPr="003712FD">
        <w:rPr>
          <w:rFonts w:ascii="Arial" w:hAnsi="Arial" w:cs="Arial"/>
          <w:sz w:val="20"/>
          <w:szCs w:val="20"/>
        </w:rPr>
        <w:t xml:space="preserve"> </w:t>
      </w:r>
      <w:r w:rsidR="000E3C45" w:rsidRPr="003712FD">
        <w:rPr>
          <w:rFonts w:ascii="Arial" w:hAnsi="Arial" w:cs="Arial"/>
          <w:sz w:val="20"/>
          <w:szCs w:val="20"/>
        </w:rPr>
        <w:t xml:space="preserve">Furthermore, 57.7% of respondents believed that pursuing PHD opens </w:t>
      </w:r>
      <w:r w:rsidR="000E3C45" w:rsidRPr="003712FD">
        <w:rPr>
          <w:rStyle w:val="Strong"/>
          <w:rFonts w:ascii="Arial" w:hAnsi="Arial" w:cs="Arial"/>
          <w:b w:val="0"/>
          <w:bCs w:val="0"/>
          <w:sz w:val="20"/>
          <w:szCs w:val="20"/>
        </w:rPr>
        <w:t>international opportunities</w:t>
      </w:r>
      <w:r w:rsidR="000E3C45" w:rsidRPr="003712FD">
        <w:rPr>
          <w:rFonts w:ascii="Arial" w:hAnsi="Arial" w:cs="Arial"/>
          <w:sz w:val="20"/>
          <w:szCs w:val="20"/>
        </w:rPr>
        <w:t xml:space="preserve">—either for advanced studies or professional practice abroad—indicating awareness of its global relevance and the growing demand for public health professionals worldwide. Similarly, 61.3% felt that it provides avenues to </w:t>
      </w:r>
      <w:r w:rsidR="000E3C45" w:rsidRPr="003712FD">
        <w:rPr>
          <w:rStyle w:val="Strong"/>
          <w:rFonts w:ascii="Arial" w:hAnsi="Arial" w:cs="Arial"/>
          <w:b w:val="0"/>
          <w:bCs w:val="0"/>
          <w:sz w:val="20"/>
          <w:szCs w:val="20"/>
        </w:rPr>
        <w:t>help others</w:t>
      </w:r>
      <w:r w:rsidR="000E3C45" w:rsidRPr="003712FD">
        <w:rPr>
          <w:rFonts w:ascii="Arial" w:hAnsi="Arial" w:cs="Arial"/>
          <w:b/>
          <w:bCs/>
          <w:sz w:val="20"/>
          <w:szCs w:val="20"/>
        </w:rPr>
        <w:t>,</w:t>
      </w:r>
      <w:r w:rsidR="000E3C45" w:rsidRPr="003712FD">
        <w:rPr>
          <w:rFonts w:ascii="Arial" w:hAnsi="Arial" w:cs="Arial"/>
          <w:sz w:val="20"/>
          <w:szCs w:val="20"/>
        </w:rPr>
        <w:t xml:space="preserve"> underlining the altruistic and service-oriented nature of the profession.</w:t>
      </w:r>
      <w:r w:rsidR="007C6393" w:rsidRPr="003712FD">
        <w:rPr>
          <w:rFonts w:ascii="Arial" w:hAnsi="Arial" w:cs="Arial"/>
          <w:sz w:val="20"/>
          <w:szCs w:val="20"/>
        </w:rPr>
        <w:t xml:space="preserve"> </w:t>
      </w:r>
      <w:r w:rsidR="000E3C45" w:rsidRPr="003712FD">
        <w:rPr>
          <w:rFonts w:ascii="Arial" w:hAnsi="Arial" w:cs="Arial"/>
          <w:sz w:val="20"/>
          <w:szCs w:val="20"/>
        </w:rPr>
        <w:t xml:space="preserve">A statistically significant association was observed between attitudes toward PHD and the perception of its </w:t>
      </w:r>
      <w:r w:rsidR="000E3C45" w:rsidRPr="003712FD">
        <w:rPr>
          <w:rStyle w:val="Strong"/>
          <w:rFonts w:ascii="Arial" w:hAnsi="Arial" w:cs="Arial"/>
          <w:b w:val="0"/>
          <w:bCs w:val="0"/>
          <w:sz w:val="20"/>
          <w:szCs w:val="20"/>
        </w:rPr>
        <w:t>role in personality development</w:t>
      </w:r>
      <w:r w:rsidR="000E3C45" w:rsidRPr="003712FD">
        <w:rPr>
          <w:rFonts w:ascii="Arial" w:hAnsi="Arial" w:cs="Arial"/>
          <w:b/>
          <w:bCs/>
          <w:sz w:val="20"/>
          <w:szCs w:val="20"/>
        </w:rPr>
        <w:t xml:space="preserve"> </w:t>
      </w:r>
      <w:r w:rsidR="000E3C45" w:rsidRPr="003712FD">
        <w:rPr>
          <w:rFonts w:ascii="Arial" w:hAnsi="Arial" w:cs="Arial"/>
          <w:sz w:val="20"/>
          <w:szCs w:val="20"/>
        </w:rPr>
        <w:t>(</w:t>
      </w:r>
      <w:r w:rsidR="000E3C45" w:rsidRPr="003712FD">
        <w:rPr>
          <w:rStyle w:val="Emphasis"/>
          <w:rFonts w:ascii="Arial" w:hAnsi="Arial" w:cs="Arial"/>
          <w:sz w:val="20"/>
          <w:szCs w:val="20"/>
        </w:rPr>
        <w:t>p</w:t>
      </w:r>
      <w:r w:rsidR="000E3C45" w:rsidRPr="003712FD">
        <w:rPr>
          <w:rFonts w:ascii="Arial" w:hAnsi="Arial" w:cs="Arial"/>
          <w:sz w:val="20"/>
          <w:szCs w:val="20"/>
        </w:rPr>
        <w:t xml:space="preserve"> = 0.041). This suggests that students perceive PHD as a discipline that enhances communication skills, leadership, empathy, and confidence through community engagement and multidisciplinary collaboration.</w:t>
      </w:r>
      <w:r w:rsidR="007C6393" w:rsidRPr="003712FD">
        <w:rPr>
          <w:rFonts w:ascii="Arial" w:hAnsi="Arial" w:cs="Arial"/>
          <w:sz w:val="20"/>
          <w:szCs w:val="20"/>
        </w:rPr>
        <w:t xml:space="preserve"> </w:t>
      </w:r>
      <w:r w:rsidR="00073335" w:rsidRPr="003712FD">
        <w:rPr>
          <w:rFonts w:ascii="Arial" w:eastAsia="Times New Roman" w:hAnsi="Arial" w:cs="Arial"/>
          <w:sz w:val="20"/>
          <w:szCs w:val="20"/>
        </w:rPr>
        <w:t>In general, both tables suggest overall positive responses to PHD as a career, with statistically significant differences between perceptions for ease of employment, challenge, and personality development</w:t>
      </w:r>
      <w:r w:rsidR="00201839" w:rsidRPr="003712FD">
        <w:rPr>
          <w:rFonts w:ascii="Arial" w:eastAsia="Times New Roman" w:hAnsi="Arial" w:cs="Arial"/>
          <w:sz w:val="20"/>
          <w:szCs w:val="20"/>
        </w:rPr>
        <w:t>.</w:t>
      </w:r>
    </w:p>
    <w:p w14:paraId="4E123F1E" w14:textId="77777777" w:rsidR="00FD590F" w:rsidRPr="003712FD" w:rsidRDefault="00FD590F" w:rsidP="008B63B5">
      <w:pPr>
        <w:jc w:val="both"/>
        <w:rPr>
          <w:rFonts w:ascii="Arial" w:eastAsia="Times New Roman" w:hAnsi="Arial" w:cs="Arial"/>
          <w:sz w:val="20"/>
          <w:szCs w:val="20"/>
        </w:rPr>
      </w:pPr>
    </w:p>
    <w:p w14:paraId="2D0C4C4C" w14:textId="77777777" w:rsidR="00FD590F" w:rsidRPr="003712FD" w:rsidRDefault="00FD590F" w:rsidP="008B63B5">
      <w:pPr>
        <w:jc w:val="both"/>
        <w:rPr>
          <w:rFonts w:ascii="Arial" w:eastAsia="Times New Roman" w:hAnsi="Arial" w:cs="Arial"/>
          <w:b/>
          <w:bCs/>
          <w:sz w:val="20"/>
          <w:szCs w:val="20"/>
        </w:rPr>
      </w:pPr>
      <w:r w:rsidRPr="003712FD">
        <w:rPr>
          <w:rFonts w:ascii="Arial" w:eastAsia="Times New Roman" w:hAnsi="Arial" w:cs="Arial"/>
          <w:b/>
          <w:bCs/>
          <w:sz w:val="20"/>
          <w:szCs w:val="20"/>
        </w:rPr>
        <w:t>TABLE 2: Distribution of participants’ attitude towards Public Health Dentistry</w:t>
      </w:r>
    </w:p>
    <w:tbl>
      <w:tblPr>
        <w:tblW w:w="10451"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2968"/>
        <w:gridCol w:w="1559"/>
        <w:gridCol w:w="1320"/>
        <w:gridCol w:w="31"/>
        <w:gridCol w:w="1320"/>
        <w:gridCol w:w="1069"/>
        <w:gridCol w:w="1092"/>
        <w:gridCol w:w="1092"/>
      </w:tblGrid>
      <w:tr w:rsidR="00FD590F" w:rsidRPr="003712FD" w14:paraId="29A31FC9" w14:textId="77777777" w:rsidTr="008B63B5">
        <w:trPr>
          <w:trHeight w:val="770"/>
        </w:trPr>
        <w:tc>
          <w:tcPr>
            <w:tcW w:w="29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D7D6C0"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Question</w:t>
            </w:r>
          </w:p>
        </w:tc>
        <w:tc>
          <w:tcPr>
            <w:tcW w:w="155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256671B"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Response</w:t>
            </w:r>
          </w:p>
        </w:tc>
        <w:tc>
          <w:tcPr>
            <w:tcW w:w="13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BE4B1B"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III YEAR BDS</w:t>
            </w:r>
          </w:p>
          <w:p w14:paraId="1A540B8D"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351" w:type="dxa"/>
            <w:gridSpan w:val="2"/>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54BD14D"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IV YEAR BDS</w:t>
            </w:r>
          </w:p>
          <w:p w14:paraId="68A94FD6"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0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268AEEA"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CRI</w:t>
            </w:r>
          </w:p>
          <w:p w14:paraId="450B2F9C"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0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92E3D07"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Total</w:t>
            </w:r>
          </w:p>
        </w:tc>
        <w:tc>
          <w:tcPr>
            <w:tcW w:w="1092" w:type="dxa"/>
            <w:tcBorders>
              <w:top w:val="single" w:sz="6" w:space="0" w:color="000000"/>
              <w:left w:val="nil"/>
              <w:bottom w:val="single" w:sz="6" w:space="0" w:color="000000"/>
              <w:right w:val="single" w:sz="6" w:space="0" w:color="000000"/>
            </w:tcBorders>
          </w:tcPr>
          <w:p w14:paraId="5DE808B6"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 xml:space="preserve">P value </w:t>
            </w:r>
          </w:p>
        </w:tc>
      </w:tr>
      <w:tr w:rsidR="00FD590F" w:rsidRPr="003712FD" w14:paraId="27423433"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2072A8C" w14:textId="77777777" w:rsidR="00FD590F" w:rsidRPr="003712FD" w:rsidRDefault="00FD590F" w:rsidP="008B63B5">
            <w:pPr>
              <w:spacing w:after="100"/>
              <w:ind w:right="60"/>
              <w:jc w:val="both"/>
              <w:rPr>
                <w:rFonts w:ascii="Arial" w:hAnsi="Arial" w:cs="Arial"/>
                <w:b/>
                <w:sz w:val="20"/>
                <w:szCs w:val="20"/>
                <w:highlight w:val="white"/>
              </w:rPr>
            </w:pPr>
            <w:r w:rsidRPr="003712FD">
              <w:rPr>
                <w:rFonts w:ascii="Arial" w:hAnsi="Arial" w:cs="Arial"/>
                <w:b/>
                <w:sz w:val="20"/>
                <w:szCs w:val="20"/>
                <w:highlight w:val="white"/>
              </w:rPr>
              <w:t>The specialty pay is better than the other branches</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7F8367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84E6BF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53(20.9)</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638FC7E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25(9.9)</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DF5C4F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60(23.7)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891E07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138(54.5)</w:t>
            </w:r>
          </w:p>
        </w:tc>
        <w:tc>
          <w:tcPr>
            <w:tcW w:w="1092" w:type="dxa"/>
            <w:vMerge w:val="restart"/>
            <w:tcBorders>
              <w:top w:val="nil"/>
              <w:left w:val="nil"/>
              <w:right w:val="single" w:sz="6" w:space="0" w:color="000000"/>
            </w:tcBorders>
          </w:tcPr>
          <w:p w14:paraId="0F5E146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0.078</w:t>
            </w:r>
          </w:p>
        </w:tc>
      </w:tr>
      <w:tr w:rsidR="00FD590F" w:rsidRPr="003712FD" w14:paraId="0FE6407F"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1D94E83"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8A5C41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A6091A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5C091B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7A27EA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FE1CBD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092" w:type="dxa"/>
            <w:vMerge/>
            <w:tcBorders>
              <w:left w:val="nil"/>
              <w:right w:val="single" w:sz="6" w:space="0" w:color="000000"/>
            </w:tcBorders>
          </w:tcPr>
          <w:p w14:paraId="44551A7F"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7E512136"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F45111F"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7AE829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CD4BAC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42(16.6)</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80DB7D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24(9.5)</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415357C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55B338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87(34.4)</w:t>
            </w:r>
          </w:p>
        </w:tc>
        <w:tc>
          <w:tcPr>
            <w:tcW w:w="1092" w:type="dxa"/>
            <w:vMerge/>
            <w:tcBorders>
              <w:left w:val="nil"/>
              <w:right w:val="single" w:sz="6" w:space="0" w:color="000000"/>
            </w:tcBorders>
          </w:tcPr>
          <w:p w14:paraId="06D396E9"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4F3BA62C"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9741A25"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61BA4C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D8D4DF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0F5F21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655875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A3601C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19(7.5)</w:t>
            </w:r>
          </w:p>
        </w:tc>
        <w:tc>
          <w:tcPr>
            <w:tcW w:w="1092" w:type="dxa"/>
            <w:vMerge/>
            <w:tcBorders>
              <w:left w:val="nil"/>
              <w:right w:val="single" w:sz="6" w:space="0" w:color="000000"/>
            </w:tcBorders>
          </w:tcPr>
          <w:p w14:paraId="34EEFBB9"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188012E"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62C824"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EA4E4F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46F0DA6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0F7993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5BE30E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C6781F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29F184FF"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7CCF060B"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9A213AF" w14:textId="77777777" w:rsidR="00FD590F" w:rsidRPr="003712FD" w:rsidRDefault="00FD590F"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offers a challenging job</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9D9EF7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8C4D90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62(24.5)</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62C8081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29(11.5)</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2EEA321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64(25.3)</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98F915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155(61.3)</w:t>
            </w:r>
          </w:p>
        </w:tc>
        <w:tc>
          <w:tcPr>
            <w:tcW w:w="1092" w:type="dxa"/>
            <w:vMerge w:val="restart"/>
            <w:tcBorders>
              <w:top w:val="nil"/>
              <w:left w:val="nil"/>
              <w:right w:val="single" w:sz="6" w:space="0" w:color="000000"/>
            </w:tcBorders>
          </w:tcPr>
          <w:p w14:paraId="43C878C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0.008*</w:t>
            </w:r>
          </w:p>
        </w:tc>
      </w:tr>
      <w:tr w:rsidR="00FD590F" w:rsidRPr="003712FD" w14:paraId="4CA66705"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D27CF54"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B49A29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2EFED0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4964DB6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D42625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6C3F64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right w:val="single" w:sz="6" w:space="0" w:color="000000"/>
            </w:tcBorders>
          </w:tcPr>
          <w:p w14:paraId="16CCDF7C"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198DBFF0"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6CB15E4"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81394F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2465FA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37(14.6)</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60CFA18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20(7.9)</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87432B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18(7.1)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CCAD80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75(29.6)</w:t>
            </w:r>
          </w:p>
        </w:tc>
        <w:tc>
          <w:tcPr>
            <w:tcW w:w="1092" w:type="dxa"/>
            <w:vMerge/>
            <w:tcBorders>
              <w:left w:val="nil"/>
              <w:right w:val="single" w:sz="6" w:space="0" w:color="000000"/>
            </w:tcBorders>
          </w:tcPr>
          <w:p w14:paraId="4CCE1879"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7F997D3E"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E0915D4"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D97565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1D7DF8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1A655F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53CD97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A6FAA4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11(4.4)</w:t>
            </w:r>
          </w:p>
        </w:tc>
        <w:tc>
          <w:tcPr>
            <w:tcW w:w="1092" w:type="dxa"/>
            <w:vMerge/>
            <w:tcBorders>
              <w:left w:val="nil"/>
              <w:right w:val="single" w:sz="6" w:space="0" w:color="000000"/>
            </w:tcBorders>
          </w:tcPr>
          <w:p w14:paraId="48E47641"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643D0B99"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66A75D"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32F6D9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4D8BBBF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04B65CC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631226A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A6248E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vMerge/>
            <w:tcBorders>
              <w:left w:val="nil"/>
              <w:bottom w:val="single" w:sz="6" w:space="0" w:color="000000"/>
              <w:right w:val="single" w:sz="6" w:space="0" w:color="000000"/>
            </w:tcBorders>
          </w:tcPr>
          <w:p w14:paraId="3794D85C"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29361F94"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F2E60B" w14:textId="77777777" w:rsidR="00FD590F" w:rsidRPr="003712FD" w:rsidRDefault="00FD590F" w:rsidP="008B63B5">
            <w:pPr>
              <w:spacing w:after="100"/>
              <w:ind w:left="60" w:right="60"/>
              <w:jc w:val="both"/>
              <w:rPr>
                <w:rFonts w:ascii="Arial" w:hAnsi="Arial" w:cs="Arial"/>
                <w:b/>
                <w:sz w:val="20"/>
                <w:szCs w:val="20"/>
                <w:highlight w:val="white"/>
              </w:rPr>
            </w:pPr>
            <w:r w:rsidRPr="003712FD">
              <w:rPr>
                <w:rFonts w:ascii="Arial" w:hAnsi="Arial" w:cs="Arial"/>
                <w:b/>
                <w:sz w:val="20"/>
                <w:szCs w:val="20"/>
                <w:highlight w:val="white"/>
              </w:rPr>
              <w:t>The specialty offers a chance to be a responsible social health activist</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56FF85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396A18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67(26.5)</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4BFB14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33(13)</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7900C69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60(23.7)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DCF419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160(63.2)</w:t>
            </w:r>
          </w:p>
        </w:tc>
        <w:tc>
          <w:tcPr>
            <w:tcW w:w="1092" w:type="dxa"/>
            <w:vMerge w:val="restart"/>
            <w:tcBorders>
              <w:top w:val="nil"/>
              <w:left w:val="nil"/>
              <w:right w:val="single" w:sz="6" w:space="0" w:color="000000"/>
            </w:tcBorders>
          </w:tcPr>
          <w:p w14:paraId="0313C9E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0.540</w:t>
            </w:r>
          </w:p>
        </w:tc>
      </w:tr>
      <w:tr w:rsidR="00FD590F" w:rsidRPr="003712FD" w14:paraId="3DD0F088"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C66372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5DA69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BCD7C4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526505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9E5068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2392D1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92" w:type="dxa"/>
            <w:vMerge/>
            <w:tcBorders>
              <w:left w:val="nil"/>
              <w:right w:val="single" w:sz="6" w:space="0" w:color="000000"/>
            </w:tcBorders>
          </w:tcPr>
          <w:p w14:paraId="26845581"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5E6418BB"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3A873DD"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071B2B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4E0D5C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29(11.5)</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075932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17(6.7)</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99AF59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19(7.5)</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8CB909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65(25.7)</w:t>
            </w:r>
          </w:p>
        </w:tc>
        <w:tc>
          <w:tcPr>
            <w:tcW w:w="1092" w:type="dxa"/>
            <w:vMerge/>
            <w:tcBorders>
              <w:left w:val="nil"/>
              <w:right w:val="single" w:sz="6" w:space="0" w:color="000000"/>
            </w:tcBorders>
          </w:tcPr>
          <w:p w14:paraId="2476032A"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5E32F792"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11599CC"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4B9F51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1CFD106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11(4.3)</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36A57F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1BC985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B2BEDC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24(9.5)</w:t>
            </w:r>
          </w:p>
        </w:tc>
        <w:tc>
          <w:tcPr>
            <w:tcW w:w="1092" w:type="dxa"/>
            <w:vMerge/>
            <w:tcBorders>
              <w:left w:val="nil"/>
              <w:right w:val="single" w:sz="6" w:space="0" w:color="000000"/>
            </w:tcBorders>
          </w:tcPr>
          <w:p w14:paraId="2F4DFEC1"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0F5AFFDF"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450847D"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FF7913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789E03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5F6B688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6961F5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83D491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2228B957"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0990E66F" w14:textId="77777777" w:rsidTr="008B63B5">
        <w:trPr>
          <w:trHeight w:val="455"/>
        </w:trPr>
        <w:tc>
          <w:tcPr>
            <w:tcW w:w="2968"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16C982" w14:textId="77777777" w:rsidR="00FD590F" w:rsidRPr="003712FD" w:rsidRDefault="00FD590F" w:rsidP="008B63B5">
            <w:pPr>
              <w:spacing w:after="100"/>
              <w:ind w:left="60" w:right="60"/>
              <w:jc w:val="both"/>
              <w:rPr>
                <w:rFonts w:ascii="Arial" w:hAnsi="Arial" w:cs="Arial"/>
                <w:b/>
                <w:sz w:val="20"/>
                <w:szCs w:val="20"/>
                <w:highlight w:val="white"/>
              </w:rPr>
            </w:pPr>
            <w:r w:rsidRPr="003712FD">
              <w:rPr>
                <w:rFonts w:ascii="Arial" w:hAnsi="Arial" w:cs="Arial"/>
                <w:b/>
                <w:sz w:val="20"/>
                <w:szCs w:val="20"/>
                <w:highlight w:val="white"/>
              </w:rPr>
              <w:t>The specialty offers good opportunities to continue education/work abroad</w:t>
            </w:r>
          </w:p>
        </w:tc>
        <w:tc>
          <w:tcPr>
            <w:tcW w:w="155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23D3C3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23D035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61(24.1)</w:t>
            </w:r>
          </w:p>
        </w:tc>
        <w:tc>
          <w:tcPr>
            <w:tcW w:w="1351" w:type="dxa"/>
            <w:gridSpan w:val="2"/>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9B530B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25(9.9)</w:t>
            </w:r>
          </w:p>
        </w:tc>
        <w:tc>
          <w:tcPr>
            <w:tcW w:w="10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71B953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60(23.7)</w:t>
            </w:r>
          </w:p>
        </w:tc>
        <w:tc>
          <w:tcPr>
            <w:tcW w:w="10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838D8B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146(57.7)</w:t>
            </w:r>
          </w:p>
        </w:tc>
        <w:tc>
          <w:tcPr>
            <w:tcW w:w="1092" w:type="dxa"/>
            <w:vMerge w:val="restart"/>
            <w:tcBorders>
              <w:top w:val="single" w:sz="6" w:space="0" w:color="000000"/>
              <w:left w:val="nil"/>
              <w:right w:val="single" w:sz="6" w:space="0" w:color="000000"/>
            </w:tcBorders>
          </w:tcPr>
          <w:p w14:paraId="07DECDF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0.175</w:t>
            </w:r>
          </w:p>
        </w:tc>
      </w:tr>
      <w:tr w:rsidR="00FD590F" w:rsidRPr="003712FD" w14:paraId="3A59E214"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E4F868"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91A7D9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85081C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38EFE5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FC11E8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EBD450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92" w:type="dxa"/>
            <w:vMerge/>
            <w:tcBorders>
              <w:left w:val="nil"/>
              <w:right w:val="single" w:sz="6" w:space="0" w:color="000000"/>
            </w:tcBorders>
          </w:tcPr>
          <w:p w14:paraId="4E0F41BE"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2A593BD1"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42DAC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0CEEE8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6DA0ED9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34(13.4)</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1C8413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0A7B39E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19(7.5)</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468C84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76(30.0)</w:t>
            </w:r>
          </w:p>
        </w:tc>
        <w:tc>
          <w:tcPr>
            <w:tcW w:w="1092" w:type="dxa"/>
            <w:vMerge/>
            <w:tcBorders>
              <w:left w:val="nil"/>
              <w:right w:val="single" w:sz="6" w:space="0" w:color="000000"/>
            </w:tcBorders>
          </w:tcPr>
          <w:p w14:paraId="32D82D93"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1A798F2C"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588B7B"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BEBBD4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0DC8631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9(3.6)</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B8D781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9(3.6)</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D43E57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0C5DB8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24(9.5)</w:t>
            </w:r>
          </w:p>
        </w:tc>
        <w:tc>
          <w:tcPr>
            <w:tcW w:w="1092" w:type="dxa"/>
            <w:vMerge/>
            <w:tcBorders>
              <w:left w:val="nil"/>
              <w:right w:val="single" w:sz="6" w:space="0" w:color="000000"/>
            </w:tcBorders>
          </w:tcPr>
          <w:p w14:paraId="118445E1"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6F74CFC1" w14:textId="77777777" w:rsidTr="008B63B5">
        <w:trPr>
          <w:trHeight w:val="66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765AEF"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8B556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B57E3F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5D1B0F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087E774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6B1C0C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vMerge/>
            <w:tcBorders>
              <w:left w:val="nil"/>
              <w:bottom w:val="single" w:sz="6" w:space="0" w:color="000000"/>
              <w:right w:val="single" w:sz="6" w:space="0" w:color="000000"/>
            </w:tcBorders>
          </w:tcPr>
          <w:p w14:paraId="1C3D1C56"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5C46FC42"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530803" w14:textId="77777777" w:rsidR="00FD590F" w:rsidRPr="003712FD" w:rsidRDefault="00FD590F"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offers a chance to help people</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5F67405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171B4C8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67(26.5)</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D5490F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30(11.9)</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004B3CF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58(22.9)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16E774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155(61.3)</w:t>
            </w:r>
          </w:p>
        </w:tc>
        <w:tc>
          <w:tcPr>
            <w:tcW w:w="1092" w:type="dxa"/>
            <w:vMerge w:val="restart"/>
            <w:tcBorders>
              <w:top w:val="nil"/>
              <w:left w:val="nil"/>
              <w:right w:val="single" w:sz="6" w:space="0" w:color="000000"/>
            </w:tcBorders>
          </w:tcPr>
          <w:p w14:paraId="65E34E7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0.334</w:t>
            </w:r>
          </w:p>
        </w:tc>
      </w:tr>
      <w:tr w:rsidR="00FD590F" w:rsidRPr="003712FD" w14:paraId="70C27BC7"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484A9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261674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5DC4F1E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78016B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7F4130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98A648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92" w:type="dxa"/>
            <w:vMerge/>
            <w:tcBorders>
              <w:left w:val="nil"/>
              <w:right w:val="single" w:sz="6" w:space="0" w:color="000000"/>
            </w:tcBorders>
          </w:tcPr>
          <w:p w14:paraId="3D408F33"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1952980"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01382D7"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78F748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15774E9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28(11.1)</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1D0DE87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99CFF1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6F3F77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72(28.5)</w:t>
            </w:r>
          </w:p>
        </w:tc>
        <w:tc>
          <w:tcPr>
            <w:tcW w:w="1092" w:type="dxa"/>
            <w:vMerge/>
            <w:tcBorders>
              <w:left w:val="nil"/>
              <w:right w:val="single" w:sz="6" w:space="0" w:color="000000"/>
            </w:tcBorders>
          </w:tcPr>
          <w:p w14:paraId="68697AB4"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5E41D71"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65F2BC"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C1DEAF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02CBE95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3C264E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3A5A64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4E97AD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19(7.5)</w:t>
            </w:r>
          </w:p>
        </w:tc>
        <w:tc>
          <w:tcPr>
            <w:tcW w:w="1092" w:type="dxa"/>
            <w:vMerge/>
            <w:tcBorders>
              <w:left w:val="nil"/>
              <w:right w:val="single" w:sz="6" w:space="0" w:color="000000"/>
            </w:tcBorders>
          </w:tcPr>
          <w:p w14:paraId="3C196929"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028C76A5"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4A3FD6"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A7FA8A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4E767D3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2AF743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00925E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A0038A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vMerge/>
            <w:tcBorders>
              <w:left w:val="nil"/>
              <w:bottom w:val="single" w:sz="6" w:space="0" w:color="000000"/>
              <w:right w:val="single" w:sz="6" w:space="0" w:color="000000"/>
            </w:tcBorders>
          </w:tcPr>
          <w:p w14:paraId="0589624A"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102CC53C"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1B04F89" w14:textId="77777777" w:rsidR="00FD590F" w:rsidRPr="003712FD" w:rsidRDefault="00FD590F"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helps in the development of personality in a society point of view</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3E8326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DE399E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74(29.2)</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F93002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30(11.9)</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25792FC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66(26.1)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52AE92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170(67.2)</w:t>
            </w:r>
          </w:p>
        </w:tc>
        <w:tc>
          <w:tcPr>
            <w:tcW w:w="1092" w:type="dxa"/>
            <w:vMerge w:val="restart"/>
            <w:tcBorders>
              <w:top w:val="nil"/>
              <w:left w:val="nil"/>
              <w:right w:val="single" w:sz="6" w:space="0" w:color="000000"/>
            </w:tcBorders>
          </w:tcPr>
          <w:p w14:paraId="4A3FE47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0.041*</w:t>
            </w:r>
          </w:p>
        </w:tc>
      </w:tr>
      <w:tr w:rsidR="00FD590F" w:rsidRPr="003712FD" w14:paraId="704F023A"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974905"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6D8FD7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D807DF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56E693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67C74B0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3973D6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vMerge/>
            <w:tcBorders>
              <w:left w:val="nil"/>
              <w:right w:val="single" w:sz="6" w:space="0" w:color="000000"/>
            </w:tcBorders>
          </w:tcPr>
          <w:p w14:paraId="3C1AEEFC"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5D3FE57"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2154C4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61B23B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A3615F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7F5B9E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22(8.7)</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78EA125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15(5.9)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6CF30C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60(23.7)</w:t>
            </w:r>
          </w:p>
        </w:tc>
        <w:tc>
          <w:tcPr>
            <w:tcW w:w="1092" w:type="dxa"/>
            <w:vMerge/>
            <w:tcBorders>
              <w:left w:val="nil"/>
              <w:right w:val="single" w:sz="6" w:space="0" w:color="000000"/>
            </w:tcBorders>
          </w:tcPr>
          <w:p w14:paraId="158F4EF0"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750F357E"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D12F7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15C1B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1B658A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10(4.0)</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B732B0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C47504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6DFF42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092" w:type="dxa"/>
            <w:vMerge/>
            <w:tcBorders>
              <w:left w:val="nil"/>
              <w:right w:val="single" w:sz="6" w:space="0" w:color="000000"/>
            </w:tcBorders>
          </w:tcPr>
          <w:p w14:paraId="28A5A09B"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D04E35C" w14:textId="77777777" w:rsidTr="008B63B5">
        <w:trPr>
          <w:trHeight w:val="665"/>
        </w:trPr>
        <w:tc>
          <w:tcPr>
            <w:tcW w:w="2968" w:type="dxa"/>
            <w:vMerge/>
            <w:tcBorders>
              <w:top w:val="nil"/>
              <w:left w:val="single" w:sz="6" w:space="0" w:color="000000"/>
              <w:bottom w:val="nil"/>
              <w:right w:val="single" w:sz="6" w:space="0" w:color="000000"/>
            </w:tcBorders>
            <w:tcMar>
              <w:top w:w="100" w:type="dxa"/>
              <w:left w:w="100" w:type="dxa"/>
              <w:bottom w:w="100" w:type="dxa"/>
              <w:right w:w="100" w:type="dxa"/>
            </w:tcMar>
          </w:tcPr>
          <w:p w14:paraId="63842526"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nil"/>
              <w:right w:val="single" w:sz="6" w:space="0" w:color="000000"/>
            </w:tcBorders>
            <w:tcMar>
              <w:top w:w="100" w:type="dxa"/>
              <w:left w:w="100" w:type="dxa"/>
              <w:bottom w:w="100" w:type="dxa"/>
              <w:right w:w="100" w:type="dxa"/>
            </w:tcMar>
          </w:tcPr>
          <w:p w14:paraId="5F91FEB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20" w:type="dxa"/>
            <w:tcBorders>
              <w:top w:val="nil"/>
              <w:left w:val="nil"/>
              <w:bottom w:val="nil"/>
              <w:right w:val="single" w:sz="6" w:space="0" w:color="000000"/>
            </w:tcBorders>
            <w:tcMar>
              <w:top w:w="100" w:type="dxa"/>
              <w:left w:w="100" w:type="dxa"/>
              <w:bottom w:w="100" w:type="dxa"/>
              <w:right w:w="100" w:type="dxa"/>
            </w:tcMar>
          </w:tcPr>
          <w:p w14:paraId="7EE693F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51" w:type="dxa"/>
            <w:gridSpan w:val="2"/>
            <w:tcBorders>
              <w:top w:val="nil"/>
              <w:left w:val="nil"/>
              <w:bottom w:val="nil"/>
              <w:right w:val="single" w:sz="6" w:space="0" w:color="000000"/>
            </w:tcBorders>
            <w:tcMar>
              <w:top w:w="100" w:type="dxa"/>
              <w:left w:w="100" w:type="dxa"/>
              <w:bottom w:w="100" w:type="dxa"/>
              <w:right w:w="100" w:type="dxa"/>
            </w:tcMar>
          </w:tcPr>
          <w:p w14:paraId="6EC8505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nil"/>
              <w:right w:val="single" w:sz="6" w:space="0" w:color="000000"/>
            </w:tcBorders>
            <w:tcMar>
              <w:top w:w="100" w:type="dxa"/>
              <w:left w:w="100" w:type="dxa"/>
              <w:bottom w:w="100" w:type="dxa"/>
              <w:right w:w="100" w:type="dxa"/>
            </w:tcMar>
          </w:tcPr>
          <w:p w14:paraId="15BFD89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nil"/>
              <w:right w:val="single" w:sz="6" w:space="0" w:color="000000"/>
            </w:tcBorders>
            <w:tcMar>
              <w:top w:w="100" w:type="dxa"/>
              <w:left w:w="100" w:type="dxa"/>
              <w:bottom w:w="100" w:type="dxa"/>
              <w:right w:w="100" w:type="dxa"/>
            </w:tcMar>
          </w:tcPr>
          <w:p w14:paraId="7BE462A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p w14:paraId="03AAA0E7" w14:textId="77777777" w:rsidR="00FD590F" w:rsidRPr="003712FD" w:rsidRDefault="00FD590F" w:rsidP="008B63B5">
            <w:pPr>
              <w:spacing w:after="100"/>
              <w:jc w:val="both"/>
              <w:rPr>
                <w:rFonts w:ascii="Arial" w:hAnsi="Arial" w:cs="Arial"/>
                <w:sz w:val="20"/>
                <w:szCs w:val="20"/>
                <w:highlight w:val="white"/>
              </w:rPr>
            </w:pPr>
          </w:p>
        </w:tc>
        <w:tc>
          <w:tcPr>
            <w:tcW w:w="1092" w:type="dxa"/>
            <w:vMerge/>
            <w:tcBorders>
              <w:left w:val="nil"/>
              <w:right w:val="single" w:sz="6" w:space="0" w:color="000000"/>
            </w:tcBorders>
          </w:tcPr>
          <w:p w14:paraId="43EB82C7" w14:textId="77777777" w:rsidR="00FD590F" w:rsidRPr="003712FD" w:rsidRDefault="00FD590F" w:rsidP="008B63B5">
            <w:pPr>
              <w:spacing w:after="100"/>
              <w:ind w:left="60" w:right="60"/>
              <w:jc w:val="both"/>
              <w:rPr>
                <w:rFonts w:ascii="Arial" w:hAnsi="Arial" w:cs="Arial"/>
                <w:sz w:val="20"/>
                <w:szCs w:val="20"/>
                <w:highlight w:val="white"/>
              </w:rPr>
            </w:pPr>
          </w:p>
        </w:tc>
      </w:tr>
    </w:tbl>
    <w:p w14:paraId="49C5099D" w14:textId="6E2474F9" w:rsidR="00FD590F" w:rsidRPr="00FD590F" w:rsidRDefault="00FD590F" w:rsidP="008B63B5">
      <w:pPr>
        <w:jc w:val="both"/>
        <w:rPr>
          <w:rFonts w:ascii="Arial" w:hAnsi="Arial" w:cs="Arial"/>
          <w:sz w:val="20"/>
          <w:szCs w:val="20"/>
          <w:highlight w:val="white"/>
        </w:rPr>
      </w:pPr>
      <w:r w:rsidRPr="003712FD">
        <w:rPr>
          <w:rFonts w:ascii="Arial" w:hAnsi="Arial" w:cs="Arial"/>
          <w:sz w:val="20"/>
          <w:szCs w:val="20"/>
          <w:highlight w:val="white"/>
        </w:rPr>
        <w:t>*Statistically significant at p&lt;0.05, Chi-Square test</w:t>
      </w:r>
    </w:p>
    <w:p w14:paraId="31F80E23" w14:textId="77777777" w:rsidR="00C94D54" w:rsidRPr="003712FD" w:rsidRDefault="00C94D54" w:rsidP="00592107">
      <w:pPr>
        <w:jc w:val="both"/>
        <w:divId w:val="1800567248"/>
        <w:rPr>
          <w:rFonts w:ascii="Arial" w:eastAsia="Times New Roman" w:hAnsi="Arial" w:cs="Arial"/>
          <w:b/>
          <w:bCs/>
          <w:sz w:val="20"/>
          <w:szCs w:val="20"/>
        </w:rPr>
      </w:pPr>
    </w:p>
    <w:p w14:paraId="7C336A0E" w14:textId="6D8A6600" w:rsidR="00C85A19" w:rsidRPr="00EF0270" w:rsidRDefault="001E1970" w:rsidP="00592107">
      <w:pPr>
        <w:jc w:val="both"/>
        <w:divId w:val="1800567248"/>
        <w:rPr>
          <w:rFonts w:ascii="Arial" w:eastAsia="Times New Roman" w:hAnsi="Arial" w:cs="Arial"/>
          <w:b/>
          <w:bCs/>
          <w:sz w:val="22"/>
          <w:szCs w:val="22"/>
        </w:rPr>
      </w:pPr>
      <w:r w:rsidRPr="00EF0270">
        <w:rPr>
          <w:rFonts w:ascii="Arial" w:eastAsia="Times New Roman" w:hAnsi="Arial" w:cs="Arial"/>
          <w:b/>
          <w:bCs/>
          <w:sz w:val="22"/>
          <w:szCs w:val="22"/>
        </w:rPr>
        <w:t>4.</w:t>
      </w:r>
      <w:r w:rsidR="00C85A19" w:rsidRPr="00EF0270">
        <w:rPr>
          <w:rFonts w:ascii="Arial" w:eastAsia="Times New Roman" w:hAnsi="Arial" w:cs="Arial"/>
          <w:b/>
          <w:bCs/>
          <w:sz w:val="22"/>
          <w:szCs w:val="22"/>
        </w:rPr>
        <w:t>DISCUSSION</w:t>
      </w:r>
    </w:p>
    <w:p w14:paraId="5B789EA9" w14:textId="62C2B90E" w:rsidR="00C85A19" w:rsidRPr="003712FD" w:rsidRDefault="00C85A1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The study assessed undergraduate dental students’ perceptions and attitudes toward community service, Public Health Dentistry (PHD) as a discipline, and as a career option for postgraduate study. The results indicated a largely favorable response toward community involvement and PHD in the undergraduate curriculum. In addition, employability, job challenge, and personality development were three factors that positively influenced the decision to choose PHD as a career. These results are consistent with previous studies noting an increased awareness of the social and preventive aspects of </w:t>
      </w:r>
      <w:proofErr w:type="gramStart"/>
      <w:r w:rsidRPr="003712FD">
        <w:rPr>
          <w:rFonts w:ascii="Arial" w:eastAsia="Times New Roman" w:hAnsi="Arial" w:cs="Arial"/>
          <w:sz w:val="20"/>
          <w:szCs w:val="20"/>
        </w:rPr>
        <w:t>dentistry[</w:t>
      </w:r>
      <w:proofErr w:type="gramEnd"/>
      <w:r w:rsidRPr="003712FD">
        <w:rPr>
          <w:rFonts w:ascii="Arial" w:eastAsia="Times New Roman" w:hAnsi="Arial" w:cs="Arial"/>
          <w:sz w:val="20"/>
          <w:szCs w:val="20"/>
        </w:rPr>
        <w:t>8,9,10].</w:t>
      </w:r>
    </w:p>
    <w:p w14:paraId="3E458AAF" w14:textId="7648F5D1"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 xml:space="preserve">The present study found that 91.4 % of the responders were prepared to become involved in community oral health programs, suggesting that there may be a robust ability for social accountability among dental undergraduates. This finding is comparable to results from Sharma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 xml:space="preserve">11], who noted over 85 % of Indian dental students recognized the importance of community service. Du Toit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12]also recognized that altruism and the desire to serve society were common influencing factors for choosing a career in dentistry globally. These results may support the suggestion that exposure to community programs and promotion of social accountability in undergraduate health programs is significant.</w:t>
      </w:r>
    </w:p>
    <w:p w14:paraId="754304B2" w14:textId="414CC3CE"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Although the altruistic tendency is admirable, the tendency to convert this altruism to long-term practice in communities hinges on being enabled to do so through outreach programs that are intentionally planned and sanctioned by curricula, government policies, and </w:t>
      </w:r>
      <w:proofErr w:type="gramStart"/>
      <w:r w:rsidRPr="003712FD">
        <w:rPr>
          <w:rFonts w:ascii="Arial" w:eastAsia="Times New Roman" w:hAnsi="Arial" w:cs="Arial"/>
          <w:sz w:val="20"/>
          <w:szCs w:val="20"/>
        </w:rPr>
        <w:t>remuneration[</w:t>
      </w:r>
      <w:proofErr w:type="gramEnd"/>
      <w:r w:rsidRPr="003712FD">
        <w:rPr>
          <w:rFonts w:ascii="Arial" w:eastAsia="Times New Roman" w:hAnsi="Arial" w:cs="Arial"/>
          <w:sz w:val="20"/>
          <w:szCs w:val="20"/>
        </w:rPr>
        <w:t>13]. The non-significant associations (p = 0.34) between willingness to change and all other variables collected in this study may denote a similarly high baseline of community orientation or a tendency to respond with social desirability. Regardless, this study suggests the potential for using this enthusiasm as a springboard for rethinking educational curriculums, policies and support.</w:t>
      </w:r>
    </w:p>
    <w:p w14:paraId="14184D42" w14:textId="1EDAE055"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Almost all students (96 %) in our study had a positive perception of PHD, either as “very interesting” or “good.” This overall positivity indicates that the PHD education was conducted successfully in this institution. The addition of community surveys, health camps, and field exercises in epidemiology may have helped to provide practical engagement in student learning, thereby alleviating the perception that PHD is merely theoretical consulting.</w:t>
      </w:r>
    </w:p>
    <w:p w14:paraId="4EA490D1" w14:textId="7F395F86"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Conflicting information has been reported in other Indian studies. Devi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 xml:space="preserve">14] showed that only 52 % positively perceived PHD as a subject, while Sharma et al.[11] indicated that many students were neutral or unaware of the subject matter further. Similarly, Daud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15]reported patterns in Qatar but found that students valued the community engaged with their dental experience but considered PHD less clinically appealing. Consequently, the newer cohort may have experienced educator</w:t>
      </w:r>
      <w:r w:rsidR="002C2F89" w:rsidRPr="003712FD">
        <w:rPr>
          <w:rFonts w:ascii="Arial" w:eastAsia="Times New Roman" w:hAnsi="Arial" w:cs="Arial"/>
          <w:sz w:val="20"/>
          <w:szCs w:val="20"/>
        </w:rPr>
        <w:t xml:space="preserve">’s </w:t>
      </w:r>
      <w:r w:rsidRPr="003712FD">
        <w:rPr>
          <w:rFonts w:ascii="Arial" w:eastAsia="Times New Roman" w:hAnsi="Arial" w:cs="Arial"/>
          <w:sz w:val="20"/>
          <w:szCs w:val="20"/>
        </w:rPr>
        <w:t>pedagogical innovations or a strengthened institutional focus on community health.</w:t>
      </w:r>
    </w:p>
    <w:p w14:paraId="36451E11" w14:textId="63BCD595"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Evolving an appreciation for PHD seems to coincide with early or more highly interactive experiences. Involvement in interactive teaching, exposure to problem-based learning activities, and organizing environmental and community field research components also supports positive perception and </w:t>
      </w:r>
      <w:proofErr w:type="gramStart"/>
      <w:r w:rsidRPr="003712FD">
        <w:rPr>
          <w:rFonts w:ascii="Arial" w:eastAsia="Times New Roman" w:hAnsi="Arial" w:cs="Arial"/>
          <w:sz w:val="20"/>
          <w:szCs w:val="20"/>
        </w:rPr>
        <w:t>retention[</w:t>
      </w:r>
      <w:proofErr w:type="gramEnd"/>
      <w:r w:rsidRPr="003712FD">
        <w:rPr>
          <w:rFonts w:ascii="Arial" w:eastAsia="Times New Roman" w:hAnsi="Arial" w:cs="Arial"/>
          <w:sz w:val="20"/>
          <w:szCs w:val="20"/>
        </w:rPr>
        <w:t>16]. Since the vast majority of our study population consisted of third-year and fourth-year students, the observed effect may be due in part to their simultaneous exposure to various public health queue lines during this course.</w:t>
      </w:r>
    </w:p>
    <w:p w14:paraId="1621BB51" w14:textId="56FB54D6" w:rsidR="00624D39"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This study indicated that a majority (73%) of those surveyed reported the value of a PHD as being social and emotionally rewarding regarding their specialty choice. </w:t>
      </w:r>
      <w:proofErr w:type="gramStart"/>
      <w:r w:rsidRPr="003712FD">
        <w:rPr>
          <w:rFonts w:ascii="Arial" w:eastAsia="Times New Roman" w:hAnsi="Arial" w:cs="Arial"/>
          <w:sz w:val="20"/>
          <w:szCs w:val="20"/>
        </w:rPr>
        <w:t>Practical</w:t>
      </w:r>
      <w:r w:rsidR="00624D39" w:rsidRPr="003712FD">
        <w:rPr>
          <w:rFonts w:ascii="Arial" w:eastAsia="Times New Roman" w:hAnsi="Arial" w:cs="Arial"/>
          <w:sz w:val="20"/>
          <w:szCs w:val="20"/>
        </w:rPr>
        <w:t xml:space="preserve"> </w:t>
      </w:r>
      <w:r w:rsidRPr="003712FD">
        <w:rPr>
          <w:rFonts w:ascii="Arial" w:eastAsia="Times New Roman" w:hAnsi="Arial" w:cs="Arial"/>
          <w:sz w:val="20"/>
          <w:szCs w:val="20"/>
        </w:rPr>
        <w:t xml:space="preserve"> </w:t>
      </w:r>
      <w:r w:rsidR="00624D39" w:rsidRPr="003712FD">
        <w:rPr>
          <w:rFonts w:ascii="Arial" w:eastAsia="Times New Roman" w:hAnsi="Arial" w:cs="Arial"/>
          <w:sz w:val="20"/>
          <w:szCs w:val="20"/>
        </w:rPr>
        <w:t>considerations</w:t>
      </w:r>
      <w:proofErr w:type="gramEnd"/>
      <w:r w:rsidR="00624D39" w:rsidRPr="003712FD">
        <w:rPr>
          <w:rFonts w:ascii="Arial" w:eastAsia="Times New Roman" w:hAnsi="Arial" w:cs="Arial"/>
          <w:sz w:val="20"/>
          <w:szCs w:val="20"/>
        </w:rPr>
        <w:t xml:space="preserve">—including ease of employment (p=0.027), the nature of the job (p=0.008), and personal development (p=0.041)—were also found to impact their preferences significantly. Overall, it appears that student choice incorporates both altruistic and practical rationales for their </w:t>
      </w:r>
      <w:proofErr w:type="gramStart"/>
      <w:r w:rsidR="00624D39" w:rsidRPr="003712FD">
        <w:rPr>
          <w:rFonts w:ascii="Arial" w:eastAsia="Times New Roman" w:hAnsi="Arial" w:cs="Arial"/>
          <w:sz w:val="20"/>
          <w:szCs w:val="20"/>
        </w:rPr>
        <w:t>choices[</w:t>
      </w:r>
      <w:proofErr w:type="gramEnd"/>
      <w:r w:rsidR="00624D39" w:rsidRPr="003712FD">
        <w:rPr>
          <w:rFonts w:ascii="Arial" w:eastAsia="Times New Roman" w:hAnsi="Arial" w:cs="Arial"/>
          <w:sz w:val="20"/>
          <w:szCs w:val="20"/>
        </w:rPr>
        <w:t>17].</w:t>
      </w:r>
    </w:p>
    <w:p w14:paraId="6FE5BC31" w14:textId="535703A8" w:rsidR="00624D39"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Similar research conducted in Saudi Arabia and India, supports the idea of this hybrid influence. </w:t>
      </w:r>
      <w:proofErr w:type="spellStart"/>
      <w:r w:rsidRPr="003712FD">
        <w:rPr>
          <w:rFonts w:ascii="Arial" w:eastAsia="Times New Roman" w:hAnsi="Arial" w:cs="Arial"/>
          <w:sz w:val="20"/>
          <w:szCs w:val="20"/>
        </w:rPr>
        <w:t>Halawany</w:t>
      </w:r>
      <w:proofErr w:type="spellEnd"/>
      <w:r w:rsidRPr="003712FD">
        <w:rPr>
          <w:rFonts w:ascii="Arial" w:eastAsia="Times New Roman" w:hAnsi="Arial" w:cs="Arial"/>
          <w:sz w:val="20"/>
          <w:szCs w:val="20"/>
        </w:rPr>
        <w:t xml:space="preserve"> et al. reported that motivations for specialty choices included income security, professional esteem, and intellectual challenge amongst many others. Moreover, </w:t>
      </w:r>
      <w:proofErr w:type="spellStart"/>
      <w:r w:rsidRPr="003712FD">
        <w:rPr>
          <w:rFonts w:ascii="Arial" w:eastAsia="Times New Roman" w:hAnsi="Arial" w:cs="Arial"/>
          <w:sz w:val="20"/>
          <w:szCs w:val="20"/>
        </w:rPr>
        <w:t>Halawany's</w:t>
      </w:r>
      <w:proofErr w:type="spellEnd"/>
      <w:r w:rsidRPr="003712FD">
        <w:rPr>
          <w:rFonts w:ascii="Arial" w:eastAsia="Times New Roman" w:hAnsi="Arial" w:cs="Arial"/>
          <w:sz w:val="20"/>
          <w:szCs w:val="20"/>
        </w:rPr>
        <w:t xml:space="preserve"> survey which compared graduate student choices in two different countries, revealed that career choice was shaped by intrinsic interest, albeit also by "perceived job availability" and social recognition. In India, for instance, Public Health Dentistry is often seen as less lucrative than clinical specialties (e.g. orthodontics or oral surgery) thus dissuading potential aspirants from pursuing a specialty, even if it appears to carry social </w:t>
      </w:r>
      <w:proofErr w:type="gramStart"/>
      <w:r w:rsidRPr="003712FD">
        <w:rPr>
          <w:rFonts w:ascii="Arial" w:eastAsia="Times New Roman" w:hAnsi="Arial" w:cs="Arial"/>
          <w:sz w:val="20"/>
          <w:szCs w:val="20"/>
        </w:rPr>
        <w:t>value[</w:t>
      </w:r>
      <w:proofErr w:type="gramEnd"/>
      <w:r w:rsidRPr="003712FD">
        <w:rPr>
          <w:rFonts w:ascii="Arial" w:eastAsia="Times New Roman" w:hAnsi="Arial" w:cs="Arial"/>
          <w:sz w:val="20"/>
          <w:szCs w:val="20"/>
        </w:rPr>
        <w:t>18,</w:t>
      </w:r>
      <w:r w:rsidR="00D73F56" w:rsidRPr="003712FD">
        <w:rPr>
          <w:rFonts w:ascii="Arial" w:eastAsia="Times New Roman" w:hAnsi="Arial" w:cs="Arial"/>
          <w:sz w:val="20"/>
          <w:szCs w:val="20"/>
        </w:rPr>
        <w:t>0</w:t>
      </w:r>
      <w:r w:rsidRPr="003712FD">
        <w:rPr>
          <w:rFonts w:ascii="Arial" w:eastAsia="Times New Roman" w:hAnsi="Arial" w:cs="Arial"/>
          <w:sz w:val="20"/>
          <w:szCs w:val="20"/>
        </w:rPr>
        <w:t>19].</w:t>
      </w:r>
    </w:p>
    <w:p w14:paraId="5B718A87" w14:textId="77777777" w:rsidR="00624D39"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In addition, through various types of qualitative methodology, researchers were able to cite career desirability most related to PHD if it was framed as dynamic, intellectual stimulating, and with various employable opportunities, particularly if they are in academia, research, program management, or policy making. This study's participants supported, with a range of over 85%, the options to teach and pursue research through a PHD program, and 92% recognized that PHD provides options to develop community knowledge, all reflective of the specialty's multidimensional value.</w:t>
      </w:r>
    </w:p>
    <w:p w14:paraId="74604BB4" w14:textId="6C8C1215" w:rsidR="00624D39"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Although the overall trend towards PHD in this study is greater than previously reported, the general trend of the influences remains consistent. Sharma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 xml:space="preserve">11] concluded that while many students recognized the value of a PHD, only one-third saw this as a career due to the uncertainty about job outcomes. Devi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14] found similar limiting influences in that a lack of awareness of jobs and low salaries diminished the early interest they had developed.</w:t>
      </w:r>
    </w:p>
    <w:p w14:paraId="4F65E155" w14:textId="7BF14F10" w:rsidR="00624D39"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Conversely, the current sample suggested that career practicality (easy employment and a challenge) was a strong predictor of interest, which implies that informing prospective students about viable pathways promotes engagement. This observation represents an important shift in paradigm: when prospective students are educated on the broader domain of public health dentistry (e.g., teaching, epidemiology, research administration, and health policy), the specialty becomes more </w:t>
      </w:r>
      <w:proofErr w:type="gramStart"/>
      <w:r w:rsidRPr="003712FD">
        <w:rPr>
          <w:rFonts w:ascii="Arial" w:eastAsia="Times New Roman" w:hAnsi="Arial" w:cs="Arial"/>
          <w:sz w:val="20"/>
          <w:szCs w:val="20"/>
        </w:rPr>
        <w:t>appealing[</w:t>
      </w:r>
      <w:proofErr w:type="gramEnd"/>
      <w:r w:rsidRPr="003712FD">
        <w:rPr>
          <w:rFonts w:ascii="Arial" w:eastAsia="Times New Roman" w:hAnsi="Arial" w:cs="Arial"/>
          <w:sz w:val="20"/>
          <w:szCs w:val="20"/>
        </w:rPr>
        <w:t>20].</w:t>
      </w:r>
    </w:p>
    <w:p w14:paraId="3B4056A6" w14:textId="648A40C1" w:rsidR="00E33316"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Niven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21] in the UK, theorized dental career decision-making occurs in four phases including exposure, exploration, experience, and engagement. It seems the cohort in this study are operating in the “experience” phase of decision making and are developing preferences for specialties based on direct contacts with fieldwork and mentors, which in turn causes their preferences to shift. Exposure may explain the higher percentages of</w:t>
      </w:r>
      <w:r w:rsidR="00E33316" w:rsidRPr="003712FD">
        <w:rPr>
          <w:rFonts w:ascii="Arial" w:eastAsia="Times New Roman" w:hAnsi="Arial" w:cs="Arial"/>
          <w:sz w:val="20"/>
          <w:szCs w:val="20"/>
        </w:rPr>
        <w:t xml:space="preserve"> positive responses than less exposed localities previously reported.</w:t>
      </w:r>
    </w:p>
    <w:p w14:paraId="1E3925AC" w14:textId="1D2D459D" w:rsidR="00E33316" w:rsidRPr="003712FD" w:rsidRDefault="00E33316"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The observation that “easy employment” and “challenging nature of work” are significant motivating factors may seem contradictory; however, it illustrates students’ balanced expectations—stable work that is also stimulating. The other important variable, personality development, verifies students’ awareness of soft-skill development in PHDs, particularly regarding competencies that support communication, leadership, and community involvement.</w:t>
      </w:r>
    </w:p>
    <w:p w14:paraId="48525287" w14:textId="5C62EDCC" w:rsidR="00E33316" w:rsidRPr="003712FD" w:rsidRDefault="00E33316"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This resonates with qualitative findings by Daud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15] in BMC Medical Education, who emphasized that professional growth and developing interpersonal relationships were important motivational themes for their dental students. With these traits worth noting alongside PHD preference, it becomes apparent that students see value in self-efficacy, contribution to academia, and relevance to the community, in addition to monetary compensation.</w:t>
      </w:r>
      <w:r w:rsidR="00965F28" w:rsidRPr="003712FD">
        <w:rPr>
          <w:rFonts w:ascii="Arial" w:eastAsia="Times New Roman" w:hAnsi="Arial" w:cs="Arial"/>
          <w:sz w:val="20"/>
          <w:szCs w:val="20"/>
        </w:rPr>
        <w:t xml:space="preserve"> </w:t>
      </w:r>
      <w:r w:rsidR="002C2F89" w:rsidRPr="003712FD">
        <w:rPr>
          <w:rFonts w:ascii="Arial" w:eastAsia="Times New Roman" w:hAnsi="Arial" w:cs="Arial"/>
          <w:sz w:val="20"/>
          <w:szCs w:val="20"/>
        </w:rPr>
        <w:t xml:space="preserve">A </w:t>
      </w:r>
      <w:r w:rsidRPr="003712FD">
        <w:rPr>
          <w:rFonts w:ascii="Arial" w:eastAsia="Times New Roman" w:hAnsi="Arial" w:cs="Arial"/>
          <w:sz w:val="20"/>
          <w:szCs w:val="20"/>
        </w:rPr>
        <w:t xml:space="preserve">limitation </w:t>
      </w:r>
      <w:r w:rsidR="002C2F89" w:rsidRPr="003712FD">
        <w:rPr>
          <w:rFonts w:ascii="Arial" w:eastAsia="Times New Roman" w:hAnsi="Arial" w:cs="Arial"/>
          <w:sz w:val="20"/>
          <w:szCs w:val="20"/>
        </w:rPr>
        <w:t xml:space="preserve">of the present student was cross-sectional study design with </w:t>
      </w:r>
      <w:r w:rsidRPr="003712FD">
        <w:rPr>
          <w:rFonts w:ascii="Arial" w:eastAsia="Times New Roman" w:hAnsi="Arial" w:cs="Arial"/>
          <w:sz w:val="20"/>
          <w:szCs w:val="20"/>
        </w:rPr>
        <w:t>self-reported responses that may have potential social desirability bias, especially on questions pertaining to commitment to their community. Additionally, data collection came from one dental institution, thus care should be taken in applying findings to other dental institutions. It is likely that responses would differ depending on the curriculum variation in clinical exposure, meaning faculty engagement in practice, and/or student engagement and exposure in community outreach.</w:t>
      </w:r>
      <w:r w:rsidR="002C2F89" w:rsidRPr="003712FD">
        <w:rPr>
          <w:rFonts w:ascii="Arial" w:eastAsia="Times New Roman" w:hAnsi="Arial" w:cs="Arial"/>
          <w:sz w:val="20"/>
          <w:szCs w:val="20"/>
        </w:rPr>
        <w:t xml:space="preserve"> </w:t>
      </w:r>
      <w:r w:rsidRPr="003712FD">
        <w:rPr>
          <w:rFonts w:ascii="Arial" w:eastAsia="Times New Roman" w:hAnsi="Arial" w:cs="Arial"/>
          <w:sz w:val="20"/>
          <w:szCs w:val="20"/>
        </w:rPr>
        <w:t>Another potential limitation was that the data collected did not have multivariate analysis to account for potential confounders (gender, socio-economic situation, year in dental school) where possible. Using qualitative interviews in future research would offer an additional understanding of the underlying beliefs of students, peer influences, and parental expectations.</w:t>
      </w:r>
    </w:p>
    <w:p w14:paraId="3C43BCCB" w14:textId="77777777" w:rsidR="002C2F89" w:rsidRPr="003712FD" w:rsidRDefault="002C2F89" w:rsidP="00592107">
      <w:pPr>
        <w:jc w:val="both"/>
        <w:divId w:val="1800567248"/>
        <w:rPr>
          <w:rFonts w:ascii="Arial" w:eastAsia="Times New Roman" w:hAnsi="Arial" w:cs="Arial"/>
          <w:sz w:val="20"/>
          <w:szCs w:val="20"/>
        </w:rPr>
      </w:pPr>
    </w:p>
    <w:p w14:paraId="3F4453F0" w14:textId="21E8DF21" w:rsidR="000C1EB6" w:rsidRPr="003712FD" w:rsidRDefault="001E1970" w:rsidP="00AC3CB9">
      <w:pPr>
        <w:jc w:val="both"/>
        <w:divId w:val="1800567248"/>
        <w:rPr>
          <w:rFonts w:ascii="Arial" w:eastAsia="Times New Roman" w:hAnsi="Arial" w:cs="Arial"/>
          <w:b/>
          <w:bCs/>
          <w:sz w:val="20"/>
          <w:szCs w:val="20"/>
        </w:rPr>
      </w:pPr>
      <w:r>
        <w:rPr>
          <w:rFonts w:ascii="Arial" w:eastAsia="Times New Roman" w:hAnsi="Arial" w:cs="Arial"/>
          <w:b/>
          <w:bCs/>
          <w:sz w:val="20"/>
          <w:szCs w:val="20"/>
        </w:rPr>
        <w:t>5.</w:t>
      </w:r>
      <w:r w:rsidR="00E33316" w:rsidRPr="003712FD">
        <w:rPr>
          <w:rFonts w:ascii="Arial" w:eastAsia="Times New Roman" w:hAnsi="Arial" w:cs="Arial"/>
          <w:b/>
          <w:bCs/>
          <w:sz w:val="20"/>
          <w:szCs w:val="20"/>
        </w:rPr>
        <w:t xml:space="preserve">CONCLUSION  </w:t>
      </w:r>
    </w:p>
    <w:p w14:paraId="05717C24" w14:textId="77777777" w:rsidR="008C45E1" w:rsidRPr="003712FD" w:rsidRDefault="008C45E1"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The study points out that dental students have a largely positive attitude towards Public Health Dentistry as a realistic and rewarding career option. This disposition is more so based on intrinsic factors—altruism, a sense of serving the underprivileged, and a desire for professional satisfaction—than on sheer economic rewards. Most students appreciate the singular chance Public Health Dentistry offers to leave a meaningful mark on population health, bridge gaps in oral health care, and bring about systemic change.</w:t>
      </w:r>
    </w:p>
    <w:p w14:paraId="1C2CD38F" w14:textId="78A78B36" w:rsidR="007C5545" w:rsidRDefault="008C45E1"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To continue to foster this interest, institutions have the potential to play a crucial role by incorporating formal mentorship programs, community-based learning opportunities, and focused career guidance into dental curricula. Exposure to actual public health environments not only reaffirms the social significance of the specialty but also makes students more aware of its challenges and rewards. Mentorship by experts in the discipline can instill confidence and advice regarding educational and career development. By these supportive measures, dental schools may encourage a socially responsible attitude among future professionals, ultimately leading to a more equitable and community-oriented dental workforce ready to address public health demands.</w:t>
      </w:r>
    </w:p>
    <w:p w14:paraId="4DDE44FE" w14:textId="77777777" w:rsidR="001F062F" w:rsidRPr="006C44BB" w:rsidRDefault="001F062F" w:rsidP="00592107">
      <w:pPr>
        <w:jc w:val="both"/>
        <w:divId w:val="1800567248"/>
        <w:rPr>
          <w:rFonts w:ascii="Arial" w:eastAsia="Times New Roman" w:hAnsi="Arial" w:cs="Arial"/>
          <w:b/>
          <w:bCs/>
          <w:sz w:val="20"/>
          <w:szCs w:val="20"/>
          <w:shd w:val="clear" w:color="auto" w:fill="FFFFFF"/>
        </w:rPr>
      </w:pPr>
      <w:r w:rsidRPr="006C44BB">
        <w:rPr>
          <w:rFonts w:ascii="Arial" w:eastAsia="Times New Roman" w:hAnsi="Arial" w:cs="Arial"/>
          <w:b/>
          <w:bCs/>
          <w:sz w:val="20"/>
          <w:szCs w:val="20"/>
          <w:shd w:val="clear" w:color="auto" w:fill="FFFFFF"/>
        </w:rPr>
        <w:t xml:space="preserve">Consent </w:t>
      </w:r>
    </w:p>
    <w:p w14:paraId="4A87008C" w14:textId="77777777" w:rsidR="0043107C" w:rsidRDefault="001F062F" w:rsidP="00592107">
      <w:pPr>
        <w:jc w:val="both"/>
        <w:divId w:val="1800567248"/>
        <w:rPr>
          <w:rFonts w:ascii="Arial" w:eastAsia="Times New Roman" w:hAnsi="Arial" w:cs="Arial"/>
          <w:sz w:val="20"/>
          <w:szCs w:val="20"/>
          <w:shd w:val="clear" w:color="auto" w:fill="FFFFFF"/>
        </w:rPr>
      </w:pPr>
      <w:r w:rsidRPr="001F062F">
        <w:rPr>
          <w:rFonts w:ascii="Arial" w:eastAsia="Times New Roman" w:hAnsi="Arial" w:cs="Arial"/>
          <w:sz w:val="20"/>
          <w:szCs w:val="20"/>
          <w:shd w:val="clear" w:color="auto" w:fill="FFFFFF"/>
        </w:rPr>
        <w:t>It’s</w:t>
      </w:r>
      <w:r w:rsidR="007C5545" w:rsidRPr="001F062F">
        <w:rPr>
          <w:rFonts w:ascii="Arial" w:eastAsia="Times New Roman" w:hAnsi="Arial" w:cs="Arial"/>
          <w:sz w:val="20"/>
          <w:szCs w:val="20"/>
          <w:shd w:val="clear" w:color="auto" w:fill="FFFFFF"/>
        </w:rPr>
        <w:t xml:space="preserve"> not </w:t>
      </w:r>
      <w:r w:rsidR="0043107C" w:rsidRPr="001F062F">
        <w:rPr>
          <w:rFonts w:ascii="Arial" w:eastAsia="Times New Roman" w:hAnsi="Arial" w:cs="Arial"/>
          <w:sz w:val="20"/>
          <w:szCs w:val="20"/>
          <w:shd w:val="clear" w:color="auto" w:fill="FFFFFF"/>
        </w:rPr>
        <w:t xml:space="preserve">applicable. </w:t>
      </w:r>
    </w:p>
    <w:p w14:paraId="28BB01CA" w14:textId="77777777" w:rsidR="0043107C" w:rsidRPr="006C44BB" w:rsidRDefault="0043107C" w:rsidP="00592107">
      <w:pPr>
        <w:jc w:val="both"/>
        <w:divId w:val="1800567248"/>
        <w:rPr>
          <w:rFonts w:ascii="Arial" w:eastAsia="Times New Roman" w:hAnsi="Arial" w:cs="Arial"/>
          <w:b/>
          <w:bCs/>
          <w:sz w:val="20"/>
          <w:szCs w:val="20"/>
          <w:shd w:val="clear" w:color="auto" w:fill="FFFFFF"/>
        </w:rPr>
      </w:pPr>
      <w:r w:rsidRPr="006C44BB">
        <w:rPr>
          <w:rFonts w:ascii="Arial" w:eastAsia="Times New Roman" w:hAnsi="Arial" w:cs="Arial"/>
          <w:b/>
          <w:bCs/>
          <w:sz w:val="20"/>
          <w:szCs w:val="20"/>
          <w:shd w:val="clear" w:color="auto" w:fill="FFFFFF"/>
        </w:rPr>
        <w:t>Ethical</w:t>
      </w:r>
      <w:r w:rsidR="007C5545" w:rsidRPr="006C44BB">
        <w:rPr>
          <w:rFonts w:ascii="Arial" w:eastAsia="Times New Roman" w:hAnsi="Arial" w:cs="Arial"/>
          <w:b/>
          <w:bCs/>
          <w:sz w:val="20"/>
          <w:szCs w:val="20"/>
          <w:shd w:val="clear" w:color="auto" w:fill="FFFFFF"/>
        </w:rPr>
        <w:t xml:space="preserve"> </w:t>
      </w:r>
      <w:r w:rsidRPr="006C44BB">
        <w:rPr>
          <w:rFonts w:ascii="Arial" w:eastAsia="Times New Roman" w:hAnsi="Arial" w:cs="Arial"/>
          <w:b/>
          <w:bCs/>
          <w:sz w:val="20"/>
          <w:szCs w:val="20"/>
          <w:shd w:val="clear" w:color="auto" w:fill="FFFFFF"/>
        </w:rPr>
        <w:t xml:space="preserve">Approval </w:t>
      </w:r>
    </w:p>
    <w:p w14:paraId="10297363" w14:textId="77777777" w:rsidR="00A21EB7" w:rsidRDefault="0043107C" w:rsidP="00592107">
      <w:pPr>
        <w:jc w:val="both"/>
        <w:divId w:val="1800567248"/>
        <w:rPr>
          <w:rFonts w:ascii="Arial" w:eastAsia="Times New Roman" w:hAnsi="Arial" w:cs="Arial"/>
          <w:sz w:val="20"/>
          <w:szCs w:val="20"/>
          <w:shd w:val="clear" w:color="auto" w:fill="FFFFFF"/>
        </w:rPr>
      </w:pPr>
      <w:r w:rsidRPr="001F062F">
        <w:rPr>
          <w:rFonts w:ascii="Arial" w:eastAsia="Times New Roman" w:hAnsi="Arial" w:cs="Arial"/>
          <w:sz w:val="20"/>
          <w:szCs w:val="20"/>
          <w:shd w:val="clear" w:color="auto" w:fill="FFFFFF"/>
        </w:rPr>
        <w:t>It’s</w:t>
      </w:r>
      <w:r w:rsidR="007C5545" w:rsidRPr="001F062F">
        <w:rPr>
          <w:rFonts w:ascii="Arial" w:eastAsia="Times New Roman" w:hAnsi="Arial" w:cs="Arial"/>
          <w:sz w:val="20"/>
          <w:szCs w:val="20"/>
          <w:shd w:val="clear" w:color="auto" w:fill="FFFFFF"/>
        </w:rPr>
        <w:t xml:space="preserve"> not </w:t>
      </w:r>
      <w:r w:rsidRPr="001F062F">
        <w:rPr>
          <w:rFonts w:ascii="Arial" w:eastAsia="Times New Roman" w:hAnsi="Arial" w:cs="Arial"/>
          <w:sz w:val="20"/>
          <w:szCs w:val="20"/>
          <w:shd w:val="clear" w:color="auto" w:fill="FFFFFF"/>
        </w:rPr>
        <w:t>applicable.</w:t>
      </w:r>
    </w:p>
    <w:p w14:paraId="227F29DF" w14:textId="71849F06" w:rsidR="00A21EB7" w:rsidRPr="006C44BB" w:rsidRDefault="0043107C" w:rsidP="00592107">
      <w:pPr>
        <w:jc w:val="both"/>
        <w:divId w:val="1800567248"/>
        <w:rPr>
          <w:rFonts w:ascii="Arial" w:eastAsia="Times New Roman" w:hAnsi="Arial" w:cs="Arial"/>
          <w:b/>
          <w:bCs/>
          <w:sz w:val="20"/>
          <w:szCs w:val="20"/>
          <w:shd w:val="clear" w:color="auto" w:fill="FFFFFF"/>
        </w:rPr>
      </w:pPr>
      <w:r w:rsidRPr="006C44BB">
        <w:rPr>
          <w:rFonts w:ascii="Arial" w:eastAsia="Times New Roman" w:hAnsi="Arial" w:cs="Arial"/>
          <w:b/>
          <w:bCs/>
          <w:sz w:val="20"/>
          <w:szCs w:val="20"/>
          <w:shd w:val="clear" w:color="auto" w:fill="FFFFFF"/>
        </w:rPr>
        <w:t>Competing</w:t>
      </w:r>
      <w:r w:rsidR="007C5545" w:rsidRPr="006C44BB">
        <w:rPr>
          <w:rFonts w:ascii="Arial" w:eastAsia="Times New Roman" w:hAnsi="Arial" w:cs="Arial"/>
          <w:b/>
          <w:bCs/>
          <w:sz w:val="20"/>
          <w:szCs w:val="20"/>
          <w:shd w:val="clear" w:color="auto" w:fill="FFFFFF"/>
        </w:rPr>
        <w:t xml:space="preserve"> </w:t>
      </w:r>
      <w:r w:rsidRPr="006C44BB">
        <w:rPr>
          <w:rFonts w:ascii="Arial" w:eastAsia="Times New Roman" w:hAnsi="Arial" w:cs="Arial"/>
          <w:b/>
          <w:bCs/>
          <w:sz w:val="20"/>
          <w:szCs w:val="20"/>
          <w:shd w:val="clear" w:color="auto" w:fill="FFFFFF"/>
        </w:rPr>
        <w:t xml:space="preserve">Interests </w:t>
      </w:r>
    </w:p>
    <w:p w14:paraId="3319589D" w14:textId="62B94C28" w:rsidR="001F062F" w:rsidRDefault="0043107C" w:rsidP="00592107">
      <w:pPr>
        <w:jc w:val="both"/>
        <w:divId w:val="1800567248"/>
        <w:rPr>
          <w:rFonts w:ascii="Arial" w:eastAsia="Times New Roman" w:hAnsi="Arial" w:cs="Arial"/>
          <w:sz w:val="20"/>
          <w:szCs w:val="20"/>
          <w:shd w:val="clear" w:color="auto" w:fill="FFFFFF"/>
        </w:rPr>
      </w:pPr>
      <w:r w:rsidRPr="001F062F">
        <w:rPr>
          <w:rFonts w:ascii="Arial" w:eastAsia="Times New Roman" w:hAnsi="Arial" w:cs="Arial"/>
          <w:sz w:val="20"/>
          <w:szCs w:val="20"/>
          <w:shd w:val="clear" w:color="auto" w:fill="FFFFFF"/>
        </w:rPr>
        <w:t>Authors</w:t>
      </w:r>
      <w:r w:rsidR="00A21EB7">
        <w:rPr>
          <w:rFonts w:ascii="Arial" w:eastAsia="Times New Roman" w:hAnsi="Arial" w:cs="Arial"/>
          <w:sz w:val="20"/>
          <w:szCs w:val="20"/>
          <w:shd w:val="clear" w:color="auto" w:fill="FFFFFF"/>
        </w:rPr>
        <w:t xml:space="preserve"> h</w:t>
      </w:r>
      <w:r w:rsidR="007C5545" w:rsidRPr="001F062F">
        <w:rPr>
          <w:rFonts w:ascii="Arial" w:eastAsia="Times New Roman" w:hAnsi="Arial" w:cs="Arial"/>
          <w:sz w:val="20"/>
          <w:szCs w:val="20"/>
          <w:shd w:val="clear" w:color="auto" w:fill="FFFFFF"/>
        </w:rPr>
        <w:t>ave</w:t>
      </w:r>
      <w:r w:rsidR="00A21EB7">
        <w:rPr>
          <w:rFonts w:ascii="Arial" w:eastAsia="Times New Roman" w:hAnsi="Arial" w:cs="Arial"/>
          <w:sz w:val="20"/>
          <w:szCs w:val="20"/>
          <w:shd w:val="clear" w:color="auto" w:fill="FFFFFF"/>
        </w:rPr>
        <w:t xml:space="preserve"> </w:t>
      </w:r>
      <w:r w:rsidR="007C5545" w:rsidRPr="001F062F">
        <w:rPr>
          <w:rFonts w:ascii="Arial" w:eastAsia="Times New Roman" w:hAnsi="Arial" w:cs="Arial"/>
          <w:sz w:val="20"/>
          <w:szCs w:val="20"/>
          <w:shd w:val="clear" w:color="auto" w:fill="FFFFFF"/>
        </w:rPr>
        <w:t>declared that</w:t>
      </w:r>
      <w:r w:rsidR="00A21EB7">
        <w:rPr>
          <w:rFonts w:ascii="Arial" w:eastAsia="Times New Roman" w:hAnsi="Arial" w:cs="Arial"/>
          <w:sz w:val="20"/>
          <w:szCs w:val="20"/>
          <w:shd w:val="clear" w:color="auto" w:fill="FFFFFF"/>
        </w:rPr>
        <w:t xml:space="preserve"> no </w:t>
      </w:r>
      <w:r w:rsidR="007C5545" w:rsidRPr="001F062F">
        <w:rPr>
          <w:rFonts w:ascii="Arial" w:eastAsia="Times New Roman" w:hAnsi="Arial" w:cs="Arial"/>
          <w:sz w:val="20"/>
          <w:szCs w:val="20"/>
          <w:shd w:val="clear" w:color="auto" w:fill="FFFFFF"/>
        </w:rPr>
        <w:t>competing interests exist.</w:t>
      </w:r>
    </w:p>
    <w:p w14:paraId="0CAA7AA4" w14:textId="77777777" w:rsidR="00635E7A" w:rsidRDefault="00635E7A" w:rsidP="00592107">
      <w:pPr>
        <w:jc w:val="both"/>
        <w:divId w:val="1800567248"/>
        <w:rPr>
          <w:rFonts w:ascii="Arial" w:eastAsia="Times New Roman" w:hAnsi="Arial" w:cs="Arial"/>
          <w:sz w:val="20"/>
          <w:szCs w:val="20"/>
          <w:shd w:val="clear" w:color="auto" w:fill="FFFFFF"/>
        </w:rPr>
      </w:pPr>
    </w:p>
    <w:p w14:paraId="5EB22E91" w14:textId="77777777" w:rsidR="00635E7A" w:rsidRPr="00635E7A" w:rsidRDefault="00635E7A" w:rsidP="00635E7A">
      <w:pPr>
        <w:jc w:val="both"/>
        <w:divId w:val="1800567248"/>
        <w:rPr>
          <w:rFonts w:ascii="Arial" w:eastAsia="Times New Roman" w:hAnsi="Arial" w:cs="Arial"/>
          <w:sz w:val="20"/>
          <w:szCs w:val="20"/>
          <w:shd w:val="clear" w:color="auto" w:fill="FFFFFF"/>
        </w:rPr>
      </w:pPr>
      <w:r w:rsidRPr="00635E7A">
        <w:rPr>
          <w:rFonts w:ascii="Arial" w:eastAsia="Times New Roman" w:hAnsi="Arial" w:cs="Arial"/>
          <w:sz w:val="20"/>
          <w:szCs w:val="20"/>
          <w:shd w:val="clear" w:color="auto" w:fill="FFFFFF"/>
        </w:rPr>
        <w:t>COMPETING INTERESTS DISCLAIMER:</w:t>
      </w:r>
    </w:p>
    <w:p w14:paraId="544EBCE9" w14:textId="74B159CC" w:rsidR="00635E7A" w:rsidRDefault="00635E7A" w:rsidP="00635E7A">
      <w:pPr>
        <w:jc w:val="both"/>
        <w:divId w:val="1800567248"/>
        <w:rPr>
          <w:rFonts w:ascii="Arial" w:eastAsia="Times New Roman" w:hAnsi="Arial" w:cs="Arial"/>
          <w:sz w:val="20"/>
          <w:szCs w:val="20"/>
          <w:shd w:val="clear" w:color="auto" w:fill="FFFFFF"/>
        </w:rPr>
      </w:pPr>
      <w:r w:rsidRPr="00635E7A">
        <w:rPr>
          <w:rFonts w:ascii="Arial" w:eastAsia="Times New Roman" w:hAnsi="Arial" w:cs="Arial"/>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48611609" w14:textId="564513E7" w:rsidR="002269CB" w:rsidRPr="003712FD" w:rsidRDefault="002269CB" w:rsidP="00592107">
      <w:pPr>
        <w:jc w:val="both"/>
        <w:divId w:val="1800567248"/>
        <w:rPr>
          <w:rFonts w:ascii="Arial" w:eastAsia="Times New Roman" w:hAnsi="Arial" w:cs="Arial"/>
          <w:b/>
          <w:bCs/>
          <w:sz w:val="20"/>
          <w:szCs w:val="20"/>
        </w:rPr>
      </w:pPr>
      <w:r w:rsidRPr="003712FD">
        <w:rPr>
          <w:rFonts w:ascii="Arial" w:eastAsia="Times New Roman" w:hAnsi="Arial" w:cs="Arial"/>
          <w:b/>
          <w:bCs/>
          <w:sz w:val="20"/>
          <w:szCs w:val="20"/>
        </w:rPr>
        <w:t>REFERENCES</w:t>
      </w:r>
    </w:p>
    <w:p w14:paraId="78129C05" w14:textId="7F8567DA"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1.Kothia NR, </w:t>
      </w:r>
      <w:proofErr w:type="spellStart"/>
      <w:r w:rsidRPr="003712FD">
        <w:rPr>
          <w:rFonts w:ascii="Arial" w:eastAsia="Times New Roman" w:hAnsi="Arial" w:cs="Arial"/>
          <w:sz w:val="20"/>
          <w:szCs w:val="20"/>
        </w:rPr>
        <w:t>Bommireddy</w:t>
      </w:r>
      <w:proofErr w:type="spellEnd"/>
      <w:r w:rsidRPr="003712FD">
        <w:rPr>
          <w:rFonts w:ascii="Arial" w:eastAsia="Times New Roman" w:hAnsi="Arial" w:cs="Arial"/>
          <w:sz w:val="20"/>
          <w:szCs w:val="20"/>
        </w:rPr>
        <w:t xml:space="preserve"> VS, Devaki T, </w:t>
      </w:r>
      <w:proofErr w:type="spellStart"/>
      <w:r w:rsidRPr="003712FD">
        <w:rPr>
          <w:rFonts w:ascii="Arial" w:eastAsia="Times New Roman" w:hAnsi="Arial" w:cs="Arial"/>
          <w:sz w:val="20"/>
          <w:szCs w:val="20"/>
        </w:rPr>
        <w:t>Vinnakota</w:t>
      </w:r>
      <w:proofErr w:type="spellEnd"/>
      <w:r w:rsidRPr="003712FD">
        <w:rPr>
          <w:rFonts w:ascii="Arial" w:eastAsia="Times New Roman" w:hAnsi="Arial" w:cs="Arial"/>
          <w:sz w:val="20"/>
          <w:szCs w:val="20"/>
        </w:rPr>
        <w:t xml:space="preserve"> NR, </w:t>
      </w:r>
      <w:proofErr w:type="spellStart"/>
      <w:r w:rsidRPr="003712FD">
        <w:rPr>
          <w:rFonts w:ascii="Arial" w:eastAsia="Times New Roman" w:hAnsi="Arial" w:cs="Arial"/>
          <w:sz w:val="20"/>
          <w:szCs w:val="20"/>
        </w:rPr>
        <w:t>Ravoori</w:t>
      </w:r>
      <w:proofErr w:type="spellEnd"/>
      <w:r w:rsidRPr="003712FD">
        <w:rPr>
          <w:rFonts w:ascii="Arial" w:eastAsia="Times New Roman" w:hAnsi="Arial" w:cs="Arial"/>
          <w:sz w:val="20"/>
          <w:szCs w:val="20"/>
        </w:rPr>
        <w:t xml:space="preserve"> S, </w:t>
      </w:r>
      <w:proofErr w:type="spellStart"/>
      <w:r w:rsidRPr="003712FD">
        <w:rPr>
          <w:rFonts w:ascii="Arial" w:eastAsia="Times New Roman" w:hAnsi="Arial" w:cs="Arial"/>
          <w:sz w:val="20"/>
          <w:szCs w:val="20"/>
        </w:rPr>
        <w:t>Sanikommu</w:t>
      </w:r>
      <w:proofErr w:type="spellEnd"/>
      <w:r w:rsidRPr="003712FD">
        <w:rPr>
          <w:rFonts w:ascii="Arial" w:eastAsia="Times New Roman" w:hAnsi="Arial" w:cs="Arial"/>
          <w:sz w:val="20"/>
          <w:szCs w:val="20"/>
        </w:rPr>
        <w:t xml:space="preserve"> S. </w:t>
      </w:r>
      <w:proofErr w:type="spellStart"/>
      <w:r w:rsidRPr="003712FD">
        <w:rPr>
          <w:rFonts w:ascii="Arial" w:eastAsia="Times New Roman" w:hAnsi="Arial" w:cs="Arial"/>
          <w:sz w:val="20"/>
          <w:szCs w:val="20"/>
        </w:rPr>
        <w:t>Assessmentof</w:t>
      </w:r>
      <w:proofErr w:type="spellEnd"/>
      <w:r w:rsidRPr="003712FD">
        <w:rPr>
          <w:rFonts w:ascii="Arial" w:eastAsia="Times New Roman" w:hAnsi="Arial" w:cs="Arial"/>
          <w:sz w:val="20"/>
          <w:szCs w:val="20"/>
        </w:rPr>
        <w:t xml:space="preserve"> the status of national oral health policy in India. Int J Health Policy Manag. </w:t>
      </w:r>
      <w:proofErr w:type="gramStart"/>
      <w:r w:rsidRPr="003712FD">
        <w:rPr>
          <w:rFonts w:ascii="Arial" w:eastAsia="Times New Roman" w:hAnsi="Arial" w:cs="Arial"/>
          <w:sz w:val="20"/>
          <w:szCs w:val="20"/>
        </w:rPr>
        <w:t>2015;4:575</w:t>
      </w:r>
      <w:proofErr w:type="gramEnd"/>
      <w:r w:rsidRPr="003712FD">
        <w:rPr>
          <w:rFonts w:ascii="Arial" w:eastAsia="Times New Roman" w:hAnsi="Arial" w:cs="Arial"/>
          <w:sz w:val="20"/>
          <w:szCs w:val="20"/>
        </w:rPr>
        <w:t>–812.doi: 10.15171/ijhpm.2015.137.</w:t>
      </w:r>
    </w:p>
    <w:p w14:paraId="5F9181CA" w14:textId="5C616FCA"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2.Petersen PE, Bourgeois D, Ogawa H, Estupinan-Day S, Ndiaye C. The global burden of </w:t>
      </w:r>
      <w:proofErr w:type="spellStart"/>
      <w:r w:rsidRPr="003712FD">
        <w:rPr>
          <w:rFonts w:ascii="Arial" w:eastAsia="Times New Roman" w:hAnsi="Arial" w:cs="Arial"/>
          <w:sz w:val="20"/>
          <w:szCs w:val="20"/>
        </w:rPr>
        <w:t>oraldiseases</w:t>
      </w:r>
      <w:proofErr w:type="spellEnd"/>
      <w:r w:rsidRPr="003712FD">
        <w:rPr>
          <w:rFonts w:ascii="Arial" w:eastAsia="Times New Roman" w:hAnsi="Arial" w:cs="Arial"/>
          <w:sz w:val="20"/>
          <w:szCs w:val="20"/>
        </w:rPr>
        <w:t xml:space="preserve"> and risks to oral health. Bull World Health Organ. </w:t>
      </w:r>
      <w:proofErr w:type="gramStart"/>
      <w:r w:rsidRPr="003712FD">
        <w:rPr>
          <w:rFonts w:ascii="Arial" w:eastAsia="Times New Roman" w:hAnsi="Arial" w:cs="Arial"/>
          <w:sz w:val="20"/>
          <w:szCs w:val="20"/>
        </w:rPr>
        <w:t>2005;83:661</w:t>
      </w:r>
      <w:proofErr w:type="gramEnd"/>
      <w:r w:rsidRPr="003712FD">
        <w:rPr>
          <w:rFonts w:ascii="Arial" w:eastAsia="Times New Roman" w:hAnsi="Arial" w:cs="Arial"/>
          <w:sz w:val="20"/>
          <w:szCs w:val="20"/>
        </w:rPr>
        <w:t>–9.</w:t>
      </w:r>
    </w:p>
    <w:p w14:paraId="19BFEFBD" w14:textId="04232DBA"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3.Shetty PS. Nutrition transition in India. Public Health </w:t>
      </w:r>
      <w:proofErr w:type="spellStart"/>
      <w:r w:rsidRPr="003712FD">
        <w:rPr>
          <w:rFonts w:ascii="Arial" w:eastAsia="Times New Roman" w:hAnsi="Arial" w:cs="Arial"/>
          <w:sz w:val="20"/>
          <w:szCs w:val="20"/>
        </w:rPr>
        <w:t>Nutr</w:t>
      </w:r>
      <w:proofErr w:type="spellEnd"/>
      <w:r w:rsidRPr="003712FD">
        <w:rPr>
          <w:rFonts w:ascii="Arial" w:eastAsia="Times New Roman" w:hAnsi="Arial" w:cs="Arial"/>
          <w:sz w:val="20"/>
          <w:szCs w:val="20"/>
        </w:rPr>
        <w:t xml:space="preserve">. </w:t>
      </w:r>
      <w:proofErr w:type="gramStart"/>
      <w:r w:rsidRPr="003712FD">
        <w:rPr>
          <w:rFonts w:ascii="Arial" w:eastAsia="Times New Roman" w:hAnsi="Arial" w:cs="Arial"/>
          <w:sz w:val="20"/>
          <w:szCs w:val="20"/>
        </w:rPr>
        <w:t>2002;5:175</w:t>
      </w:r>
      <w:proofErr w:type="gramEnd"/>
      <w:r w:rsidRPr="003712FD">
        <w:rPr>
          <w:rFonts w:ascii="Arial" w:eastAsia="Times New Roman" w:hAnsi="Arial" w:cs="Arial"/>
          <w:sz w:val="20"/>
          <w:szCs w:val="20"/>
        </w:rPr>
        <w:t>–82. Doi:10.1079/PHN2001291.</w:t>
      </w:r>
    </w:p>
    <w:p w14:paraId="4BA6E986" w14:textId="67A8F2B5"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4.Shah N, Pandey R, Duggal R, Mathur U, Kumar R. Oral Health Survey 2004. </w:t>
      </w:r>
      <w:proofErr w:type="spellStart"/>
      <w:proofErr w:type="gramStart"/>
      <w:r w:rsidRPr="003712FD">
        <w:rPr>
          <w:rFonts w:ascii="Arial" w:eastAsia="Times New Roman" w:hAnsi="Arial" w:cs="Arial"/>
          <w:sz w:val="20"/>
          <w:szCs w:val="20"/>
        </w:rPr>
        <w:t>Geneva,Switzerland</w:t>
      </w:r>
      <w:proofErr w:type="spellEnd"/>
      <w:proofErr w:type="gramEnd"/>
      <w:r w:rsidRPr="003712FD">
        <w:rPr>
          <w:rFonts w:ascii="Arial" w:eastAsia="Times New Roman" w:hAnsi="Arial" w:cs="Arial"/>
          <w:sz w:val="20"/>
          <w:szCs w:val="20"/>
        </w:rPr>
        <w:t xml:space="preserve">: World Health Organization; 2005. Oral Health Survey in </w:t>
      </w:r>
      <w:proofErr w:type="spellStart"/>
      <w:proofErr w:type="gramStart"/>
      <w:r w:rsidRPr="003712FD">
        <w:rPr>
          <w:rFonts w:ascii="Arial" w:eastAsia="Times New Roman" w:hAnsi="Arial" w:cs="Arial"/>
          <w:sz w:val="20"/>
          <w:szCs w:val="20"/>
        </w:rPr>
        <w:t>India:A</w:t>
      </w:r>
      <w:proofErr w:type="spellEnd"/>
      <w:proofErr w:type="gramEnd"/>
      <w:r w:rsidRPr="003712FD">
        <w:rPr>
          <w:rFonts w:ascii="Arial" w:eastAsia="Times New Roman" w:hAnsi="Arial" w:cs="Arial"/>
          <w:sz w:val="20"/>
          <w:szCs w:val="20"/>
        </w:rPr>
        <w:t xml:space="preserve"> Report </w:t>
      </w:r>
      <w:proofErr w:type="spellStart"/>
      <w:r w:rsidRPr="003712FD">
        <w:rPr>
          <w:rFonts w:ascii="Arial" w:eastAsia="Times New Roman" w:hAnsi="Arial" w:cs="Arial"/>
          <w:sz w:val="20"/>
          <w:szCs w:val="20"/>
        </w:rPr>
        <w:t>ofMulticentric</w:t>
      </w:r>
      <w:proofErr w:type="spellEnd"/>
      <w:r w:rsidRPr="003712FD">
        <w:rPr>
          <w:rFonts w:ascii="Arial" w:eastAsia="Times New Roman" w:hAnsi="Arial" w:cs="Arial"/>
          <w:sz w:val="20"/>
          <w:szCs w:val="20"/>
        </w:rPr>
        <w:t xml:space="preserve"> Study, WHO –.</w:t>
      </w:r>
    </w:p>
    <w:p w14:paraId="52EFCACB" w14:textId="2F2CB84C"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5.Arowojolu OM, </w:t>
      </w:r>
      <w:proofErr w:type="spellStart"/>
      <w:r w:rsidRPr="003712FD">
        <w:rPr>
          <w:rFonts w:ascii="Arial" w:eastAsia="Times New Roman" w:hAnsi="Arial" w:cs="Arial"/>
          <w:sz w:val="20"/>
          <w:szCs w:val="20"/>
        </w:rPr>
        <w:t>Aderinokun</w:t>
      </w:r>
      <w:proofErr w:type="spellEnd"/>
      <w:r w:rsidRPr="003712FD">
        <w:rPr>
          <w:rFonts w:ascii="Arial" w:eastAsia="Times New Roman" w:hAnsi="Arial" w:cs="Arial"/>
          <w:sz w:val="20"/>
          <w:szCs w:val="20"/>
        </w:rPr>
        <w:t xml:space="preserve"> GA, </w:t>
      </w:r>
      <w:proofErr w:type="spellStart"/>
      <w:r w:rsidRPr="003712FD">
        <w:rPr>
          <w:rFonts w:ascii="Arial" w:eastAsia="Times New Roman" w:hAnsi="Arial" w:cs="Arial"/>
          <w:sz w:val="20"/>
          <w:szCs w:val="20"/>
        </w:rPr>
        <w:t>Arotiba</w:t>
      </w:r>
      <w:proofErr w:type="spellEnd"/>
      <w:r w:rsidRPr="003712FD">
        <w:rPr>
          <w:rFonts w:ascii="Arial" w:eastAsia="Times New Roman" w:hAnsi="Arial" w:cs="Arial"/>
          <w:sz w:val="20"/>
          <w:szCs w:val="20"/>
        </w:rPr>
        <w:t xml:space="preserve"> JY, </w:t>
      </w:r>
      <w:proofErr w:type="spellStart"/>
      <w:r w:rsidRPr="003712FD">
        <w:rPr>
          <w:rFonts w:ascii="Arial" w:eastAsia="Times New Roman" w:hAnsi="Arial" w:cs="Arial"/>
          <w:sz w:val="20"/>
          <w:szCs w:val="20"/>
        </w:rPr>
        <w:t>Dosumu</w:t>
      </w:r>
      <w:proofErr w:type="spellEnd"/>
      <w:r w:rsidRPr="003712FD">
        <w:rPr>
          <w:rFonts w:ascii="Arial" w:eastAsia="Times New Roman" w:hAnsi="Arial" w:cs="Arial"/>
          <w:sz w:val="20"/>
          <w:szCs w:val="20"/>
        </w:rPr>
        <w:t xml:space="preserve"> OO. Choice of </w:t>
      </w:r>
      <w:proofErr w:type="spellStart"/>
      <w:r w:rsidRPr="003712FD">
        <w:rPr>
          <w:rFonts w:ascii="Arial" w:eastAsia="Times New Roman" w:hAnsi="Arial" w:cs="Arial"/>
          <w:sz w:val="20"/>
          <w:szCs w:val="20"/>
        </w:rPr>
        <w:t>speciality</w:t>
      </w:r>
      <w:proofErr w:type="spellEnd"/>
      <w:r w:rsidRPr="003712FD">
        <w:rPr>
          <w:rFonts w:ascii="Arial" w:eastAsia="Times New Roman" w:hAnsi="Arial" w:cs="Arial"/>
          <w:sz w:val="20"/>
          <w:szCs w:val="20"/>
        </w:rPr>
        <w:t xml:space="preserve"> training </w:t>
      </w:r>
      <w:proofErr w:type="spellStart"/>
      <w:r w:rsidRPr="003712FD">
        <w:rPr>
          <w:rFonts w:ascii="Arial" w:eastAsia="Times New Roman" w:hAnsi="Arial" w:cs="Arial"/>
          <w:sz w:val="20"/>
          <w:szCs w:val="20"/>
        </w:rPr>
        <w:t>amongNigerian</w:t>
      </w:r>
      <w:proofErr w:type="spellEnd"/>
      <w:r w:rsidRPr="003712FD">
        <w:rPr>
          <w:rFonts w:ascii="Arial" w:eastAsia="Times New Roman" w:hAnsi="Arial" w:cs="Arial"/>
          <w:sz w:val="20"/>
          <w:szCs w:val="20"/>
        </w:rPr>
        <w:t xml:space="preserve"> dental graduates. </w:t>
      </w:r>
      <w:proofErr w:type="spellStart"/>
      <w:r w:rsidRPr="003712FD">
        <w:rPr>
          <w:rFonts w:ascii="Arial" w:eastAsia="Times New Roman" w:hAnsi="Arial" w:cs="Arial"/>
          <w:sz w:val="20"/>
          <w:szCs w:val="20"/>
        </w:rPr>
        <w:t>Odontostomatol</w:t>
      </w:r>
      <w:proofErr w:type="spellEnd"/>
      <w:r w:rsidRPr="003712FD">
        <w:rPr>
          <w:rFonts w:ascii="Arial" w:eastAsia="Times New Roman" w:hAnsi="Arial" w:cs="Arial"/>
          <w:sz w:val="20"/>
          <w:szCs w:val="20"/>
        </w:rPr>
        <w:t xml:space="preserve"> Trop. </w:t>
      </w:r>
      <w:proofErr w:type="gramStart"/>
      <w:r w:rsidRPr="003712FD">
        <w:rPr>
          <w:rFonts w:ascii="Arial" w:eastAsia="Times New Roman" w:hAnsi="Arial" w:cs="Arial"/>
          <w:sz w:val="20"/>
          <w:szCs w:val="20"/>
        </w:rPr>
        <w:t>1997;77:21</w:t>
      </w:r>
      <w:proofErr w:type="gramEnd"/>
      <w:r w:rsidRPr="003712FD">
        <w:rPr>
          <w:rFonts w:ascii="Arial" w:eastAsia="Times New Roman" w:hAnsi="Arial" w:cs="Arial"/>
          <w:sz w:val="20"/>
          <w:szCs w:val="20"/>
        </w:rPr>
        <w:t>–4.</w:t>
      </w:r>
    </w:p>
    <w:p w14:paraId="45C85167" w14:textId="664E536A" w:rsidR="002269CB" w:rsidRPr="003712FD" w:rsidRDefault="002269CB" w:rsidP="00592107">
      <w:pPr>
        <w:jc w:val="both"/>
        <w:divId w:val="1800567248"/>
        <w:rPr>
          <w:rFonts w:ascii="Arial" w:eastAsia="Times New Roman" w:hAnsi="Arial" w:cs="Arial"/>
          <w:sz w:val="20"/>
          <w:szCs w:val="20"/>
        </w:rPr>
      </w:pPr>
      <w:proofErr w:type="gramStart"/>
      <w:r w:rsidRPr="003712FD">
        <w:rPr>
          <w:rFonts w:ascii="Arial" w:eastAsia="Times New Roman" w:hAnsi="Arial" w:cs="Arial"/>
          <w:sz w:val="20"/>
          <w:szCs w:val="20"/>
        </w:rPr>
        <w:t>6..Singh</w:t>
      </w:r>
      <w:proofErr w:type="gramEnd"/>
      <w:r w:rsidRPr="003712FD">
        <w:rPr>
          <w:rFonts w:ascii="Arial" w:eastAsia="Times New Roman" w:hAnsi="Arial" w:cs="Arial"/>
          <w:sz w:val="20"/>
          <w:szCs w:val="20"/>
        </w:rPr>
        <w:t xml:space="preserve"> G, Hiremath SS, Kaur A. Community dentistry as a career perspective among </w:t>
      </w:r>
      <w:proofErr w:type="spellStart"/>
      <w:r w:rsidRPr="003712FD">
        <w:rPr>
          <w:rFonts w:ascii="Arial" w:eastAsia="Times New Roman" w:hAnsi="Arial" w:cs="Arial"/>
          <w:sz w:val="20"/>
          <w:szCs w:val="20"/>
        </w:rPr>
        <w:t>thestudents</w:t>
      </w:r>
      <w:proofErr w:type="spellEnd"/>
      <w:r w:rsidRPr="003712FD">
        <w:rPr>
          <w:rFonts w:ascii="Arial" w:eastAsia="Times New Roman" w:hAnsi="Arial" w:cs="Arial"/>
          <w:sz w:val="20"/>
          <w:szCs w:val="20"/>
        </w:rPr>
        <w:t xml:space="preserve"> pursuing masters course. AOSR. </w:t>
      </w:r>
      <w:proofErr w:type="gramStart"/>
      <w:r w:rsidRPr="003712FD">
        <w:rPr>
          <w:rFonts w:ascii="Arial" w:eastAsia="Times New Roman" w:hAnsi="Arial" w:cs="Arial"/>
          <w:sz w:val="20"/>
          <w:szCs w:val="20"/>
        </w:rPr>
        <w:t>2011;1:146</w:t>
      </w:r>
      <w:proofErr w:type="gramEnd"/>
      <w:r w:rsidRPr="003712FD">
        <w:rPr>
          <w:rFonts w:ascii="Arial" w:eastAsia="Times New Roman" w:hAnsi="Arial" w:cs="Arial"/>
          <w:sz w:val="20"/>
          <w:szCs w:val="20"/>
        </w:rPr>
        <w:t>–51.</w:t>
      </w:r>
    </w:p>
    <w:p w14:paraId="421A2CBD" w14:textId="1EFCB70C"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 xml:space="preserve">7.Fulton JT, Blackerby PE, Russell AL. Trends in public health </w:t>
      </w:r>
      <w:proofErr w:type="spellStart"/>
      <w:proofErr w:type="gramStart"/>
      <w:r w:rsidRPr="003712FD">
        <w:rPr>
          <w:rFonts w:ascii="Arial" w:eastAsia="Times New Roman" w:hAnsi="Arial" w:cs="Arial"/>
          <w:sz w:val="20"/>
          <w:szCs w:val="20"/>
        </w:rPr>
        <w:t>dentistry;dental</w:t>
      </w:r>
      <w:proofErr w:type="spellEnd"/>
      <w:proofErr w:type="gramEnd"/>
      <w:r w:rsidRPr="003712FD">
        <w:rPr>
          <w:rFonts w:ascii="Arial" w:eastAsia="Times New Roman" w:hAnsi="Arial" w:cs="Arial"/>
          <w:sz w:val="20"/>
          <w:szCs w:val="20"/>
        </w:rPr>
        <w:t xml:space="preserve"> health </w:t>
      </w:r>
      <w:proofErr w:type="spellStart"/>
      <w:r w:rsidRPr="003712FD">
        <w:rPr>
          <w:rFonts w:ascii="Arial" w:eastAsia="Times New Roman" w:hAnsi="Arial" w:cs="Arial"/>
          <w:sz w:val="20"/>
          <w:szCs w:val="20"/>
        </w:rPr>
        <w:t>section.Am</w:t>
      </w:r>
      <w:proofErr w:type="spellEnd"/>
      <w:r w:rsidRPr="003712FD">
        <w:rPr>
          <w:rFonts w:ascii="Arial" w:eastAsia="Times New Roman" w:hAnsi="Arial" w:cs="Arial"/>
          <w:sz w:val="20"/>
          <w:szCs w:val="20"/>
        </w:rPr>
        <w:t xml:space="preserve"> J Public Health Nations Health. </w:t>
      </w:r>
      <w:proofErr w:type="gramStart"/>
      <w:r w:rsidRPr="003712FD">
        <w:rPr>
          <w:rFonts w:ascii="Arial" w:eastAsia="Times New Roman" w:hAnsi="Arial" w:cs="Arial"/>
          <w:sz w:val="20"/>
          <w:szCs w:val="20"/>
        </w:rPr>
        <w:t>1956;46:353</w:t>
      </w:r>
      <w:proofErr w:type="gramEnd"/>
      <w:r w:rsidRPr="003712FD">
        <w:rPr>
          <w:rFonts w:ascii="Arial" w:eastAsia="Times New Roman" w:hAnsi="Arial" w:cs="Arial"/>
          <w:sz w:val="20"/>
          <w:szCs w:val="20"/>
        </w:rPr>
        <w:t>–6. Doi: 10.2105/ajph.46.3.353.</w:t>
      </w:r>
    </w:p>
    <w:p w14:paraId="21A8938E" w14:textId="72B39544"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8.Petersen PE. The World Oral Health Report 2003. Community Dent Oral Epidemiol. 2003;31(Suppl 1):3-23.</w:t>
      </w:r>
    </w:p>
    <w:p w14:paraId="13157FC3" w14:textId="5BBF08B6"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9.Gallagher JE, Patel R. The emerging role of dental public health in global health: challenges and opportunities. Br Dent J. 2014;216(5):237-241.</w:t>
      </w:r>
    </w:p>
    <w:p w14:paraId="4E8961E4" w14:textId="28BD7FCC"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10.Kandelman D, Petersen PE, Ueda H. Oral health, general health, and quality of life in older people. Spec Care Dentist. 2008;28(6):224-236.</w:t>
      </w:r>
    </w:p>
    <w:p w14:paraId="6A55D9EA" w14:textId="36EAD857"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11.Sharma N, et al. Attitude toward Public Health Dentistry as a career among dental students in Odisha: A cross-sectional study. J Indian Assoc Public Health Dent. 2016;14(3):252-256. Available from: </w:t>
      </w:r>
      <w:hyperlink r:id="rId7" w:history="1">
        <w:r w:rsidRPr="003712FD">
          <w:rPr>
            <w:rStyle w:val="Hyperlink"/>
            <w:rFonts w:ascii="Arial" w:eastAsia="Times New Roman" w:hAnsi="Arial" w:cs="Arial"/>
            <w:sz w:val="20"/>
            <w:szCs w:val="20"/>
          </w:rPr>
          <w:t>https://pmc.ncbi.nlm.nih.gov/articles/PMC5256018/</w:t>
        </w:r>
      </w:hyperlink>
    </w:p>
    <w:p w14:paraId="5F3B2A80" w14:textId="1886CCC4"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12.Du Toit J, Jain S, </w:t>
      </w:r>
      <w:proofErr w:type="spellStart"/>
      <w:r w:rsidRPr="003712FD">
        <w:rPr>
          <w:rFonts w:ascii="Arial" w:eastAsia="Times New Roman" w:hAnsi="Arial" w:cs="Arial"/>
          <w:sz w:val="20"/>
          <w:szCs w:val="20"/>
        </w:rPr>
        <w:t>Montalli</w:t>
      </w:r>
      <w:proofErr w:type="spellEnd"/>
      <w:r w:rsidRPr="003712FD">
        <w:rPr>
          <w:rFonts w:ascii="Arial" w:eastAsia="Times New Roman" w:hAnsi="Arial" w:cs="Arial"/>
          <w:sz w:val="20"/>
          <w:szCs w:val="20"/>
        </w:rPr>
        <w:t xml:space="preserve"> V, Govender U. Dental Students’ Motivations for Their Career Choice: An International Investigative Report. J Dent Educ. 2014;78(3):605-613.</w:t>
      </w:r>
    </w:p>
    <w:p w14:paraId="036ADA5D" w14:textId="3AA15365"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13.Gallagher JE, Clarke W. Workforce issues in dental public health. Br Dent J. 2018;225(4):347-353.</w:t>
      </w:r>
    </w:p>
    <w:p w14:paraId="1FB63E0C" w14:textId="5D9EF55D"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14.Devi SS, Divyapriya GK, Viswanathan K, et al. Public Health Dentistry as a Career Choice—Attitude of Dental Undergraduate Students in Puducherry. J Pharm </w:t>
      </w:r>
      <w:proofErr w:type="spellStart"/>
      <w:r w:rsidRPr="003712FD">
        <w:rPr>
          <w:rFonts w:ascii="Arial" w:eastAsia="Times New Roman" w:hAnsi="Arial" w:cs="Arial"/>
          <w:sz w:val="20"/>
          <w:szCs w:val="20"/>
        </w:rPr>
        <w:t>Bioallied</w:t>
      </w:r>
      <w:proofErr w:type="spellEnd"/>
      <w:r w:rsidRPr="003712FD">
        <w:rPr>
          <w:rFonts w:ascii="Arial" w:eastAsia="Times New Roman" w:hAnsi="Arial" w:cs="Arial"/>
          <w:sz w:val="20"/>
          <w:szCs w:val="20"/>
        </w:rPr>
        <w:t xml:space="preserve"> Sci. 2023;15(Suppl 1</w:t>
      </w:r>
      <w:proofErr w:type="gramStart"/>
      <w:r w:rsidRPr="003712FD">
        <w:rPr>
          <w:rFonts w:ascii="Arial" w:eastAsia="Times New Roman" w:hAnsi="Arial" w:cs="Arial"/>
          <w:sz w:val="20"/>
          <w:szCs w:val="20"/>
        </w:rPr>
        <w:t>):S</w:t>
      </w:r>
      <w:proofErr w:type="gramEnd"/>
      <w:r w:rsidRPr="003712FD">
        <w:rPr>
          <w:rFonts w:ascii="Arial" w:eastAsia="Times New Roman" w:hAnsi="Arial" w:cs="Arial"/>
          <w:sz w:val="20"/>
          <w:szCs w:val="20"/>
        </w:rPr>
        <w:t xml:space="preserve">112-S118. Available from: </w:t>
      </w:r>
      <w:hyperlink r:id="rId8" w:history="1">
        <w:r w:rsidRPr="003712FD">
          <w:rPr>
            <w:rStyle w:val="Hyperlink"/>
            <w:rFonts w:ascii="Arial" w:eastAsia="Times New Roman" w:hAnsi="Arial" w:cs="Arial"/>
            <w:sz w:val="20"/>
            <w:szCs w:val="20"/>
          </w:rPr>
          <w:t>https://journals.lww.com/jpbs/fulltext/2023/15001/public_health_dentistry_as_a_career_choice__.112.aspx</w:t>
        </w:r>
      </w:hyperlink>
    </w:p>
    <w:p w14:paraId="4F073C49" w14:textId="1213F09D"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15.Daud A, </w:t>
      </w:r>
      <w:proofErr w:type="spellStart"/>
      <w:r w:rsidRPr="003712FD">
        <w:rPr>
          <w:rFonts w:ascii="Arial" w:eastAsia="Times New Roman" w:hAnsi="Arial" w:cs="Arial"/>
          <w:sz w:val="20"/>
          <w:szCs w:val="20"/>
        </w:rPr>
        <w:t>Matoug-Elwerfelli</w:t>
      </w:r>
      <w:proofErr w:type="spellEnd"/>
      <w:r w:rsidRPr="003712FD">
        <w:rPr>
          <w:rFonts w:ascii="Arial" w:eastAsia="Times New Roman" w:hAnsi="Arial" w:cs="Arial"/>
          <w:sz w:val="20"/>
          <w:szCs w:val="20"/>
        </w:rPr>
        <w:t xml:space="preserve"> M, Du X, et al. A qualitative enquiry into dental students’ perceptions of dentistry as a career choice in the State of Qatar. BMC Med Educ. 2022;22(1):452. Available from: </w:t>
      </w:r>
      <w:hyperlink r:id="rId9" w:history="1">
        <w:r w:rsidRPr="003712FD">
          <w:rPr>
            <w:rStyle w:val="Hyperlink"/>
            <w:rFonts w:ascii="Arial" w:eastAsia="Times New Roman" w:hAnsi="Arial" w:cs="Arial"/>
            <w:sz w:val="20"/>
            <w:szCs w:val="20"/>
          </w:rPr>
          <w:t>https://bmcmededuc.biomedcentral.com/articles/10.1186/s12909-022-03522-4</w:t>
        </w:r>
      </w:hyperlink>
    </w:p>
    <w:p w14:paraId="24D180C8" w14:textId="3F868427"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16.Choudhury B, et al. Teaching public health dentistry through experiential learning: A review. J Dent Educ. 2019;83(10):1151-1159.</w:t>
      </w:r>
    </w:p>
    <w:p w14:paraId="6E2E3861" w14:textId="77777777" w:rsidR="00BF371A"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17.Nalliah RP, et al. Factors influencing dental students’ career choices: a review. J Dent Educ. 2018;82(8):828-834.</w:t>
      </w:r>
    </w:p>
    <w:p w14:paraId="4113DA96" w14:textId="22C7FF06"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18.Halawany HS. Career Motivations, Perceptions of the Future of Dentistry, and Preferred Dental Specialties among Saudi Dental Students. Open Dent J. </w:t>
      </w:r>
      <w:proofErr w:type="gramStart"/>
      <w:r w:rsidRPr="003712FD">
        <w:rPr>
          <w:rFonts w:ascii="Arial" w:eastAsia="Times New Roman" w:hAnsi="Arial" w:cs="Arial"/>
          <w:sz w:val="20"/>
          <w:szCs w:val="20"/>
        </w:rPr>
        <w:t>2014;8:129</w:t>
      </w:r>
      <w:proofErr w:type="gramEnd"/>
      <w:r w:rsidRPr="003712FD">
        <w:rPr>
          <w:rFonts w:ascii="Arial" w:eastAsia="Times New Roman" w:hAnsi="Arial" w:cs="Arial"/>
          <w:sz w:val="20"/>
          <w:szCs w:val="20"/>
        </w:rPr>
        <w:t xml:space="preserve">-135. Available from: </w:t>
      </w:r>
      <w:hyperlink r:id="rId10" w:history="1">
        <w:r w:rsidRPr="003712FD">
          <w:rPr>
            <w:rStyle w:val="Hyperlink"/>
            <w:rFonts w:ascii="Arial" w:eastAsia="Times New Roman" w:hAnsi="Arial" w:cs="Arial"/>
            <w:sz w:val="20"/>
            <w:szCs w:val="20"/>
          </w:rPr>
          <w:t>https://opendentistryjournal.com/VOLUME/8/PAGE/129/</w:t>
        </w:r>
      </w:hyperlink>
    </w:p>
    <w:p w14:paraId="1E05E480" w14:textId="74422B82"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19.Halawany HS, et al. Dental specialty, career preferences and their influencing factors. Saudi Dent J. 2017;29(2):84-91.</w:t>
      </w:r>
    </w:p>
    <w:p w14:paraId="392C88FA" w14:textId="28630868"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20.Gritzer L, et al. The Dental Public Health Workforce: Employer Opportunities and Training Needs. J Dent Educ. 2022;86(5):541-548.</w:t>
      </w:r>
    </w:p>
    <w:p w14:paraId="7C8FA7B9" w14:textId="77777777"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21.Niven V, et al. Journey towards a dental career: the career decision-making journey. Br Dent J. 2023;235(9):561-566.</w:t>
      </w:r>
    </w:p>
    <w:p w14:paraId="2AC4355F" w14:textId="77777777" w:rsidR="00C71017" w:rsidRPr="003712FD" w:rsidRDefault="00C71017" w:rsidP="00592107">
      <w:pPr>
        <w:jc w:val="both"/>
        <w:divId w:val="1800567248"/>
        <w:rPr>
          <w:rFonts w:ascii="Arial" w:eastAsia="Times New Roman" w:hAnsi="Arial" w:cs="Arial"/>
          <w:sz w:val="20"/>
          <w:szCs w:val="20"/>
        </w:rPr>
      </w:pPr>
    </w:p>
    <w:sectPr w:rsidR="00C71017" w:rsidRPr="003712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A041B" w14:textId="77777777" w:rsidR="002E3F43" w:rsidRDefault="002E3F43" w:rsidP="006A49D4">
      <w:pPr>
        <w:spacing w:after="0" w:line="240" w:lineRule="auto"/>
      </w:pPr>
      <w:r>
        <w:separator/>
      </w:r>
    </w:p>
  </w:endnote>
  <w:endnote w:type="continuationSeparator" w:id="0">
    <w:p w14:paraId="582B1882" w14:textId="77777777" w:rsidR="002E3F43" w:rsidRDefault="002E3F43" w:rsidP="006A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C802" w14:textId="77777777" w:rsidR="00004461" w:rsidRDefault="00004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C71D" w14:textId="77777777" w:rsidR="00004461" w:rsidRDefault="00004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D7A0" w14:textId="77777777" w:rsidR="00004461" w:rsidRDefault="0000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337A0" w14:textId="77777777" w:rsidR="002E3F43" w:rsidRDefault="002E3F43" w:rsidP="006A49D4">
      <w:pPr>
        <w:spacing w:after="0" w:line="240" w:lineRule="auto"/>
      </w:pPr>
      <w:r>
        <w:separator/>
      </w:r>
    </w:p>
  </w:footnote>
  <w:footnote w:type="continuationSeparator" w:id="0">
    <w:p w14:paraId="7DB9D0A5" w14:textId="77777777" w:rsidR="002E3F43" w:rsidRDefault="002E3F43" w:rsidP="006A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53D1" w14:textId="0298AC2E" w:rsidR="00004461" w:rsidRDefault="00004461">
    <w:pPr>
      <w:pStyle w:val="Header"/>
    </w:pPr>
    <w:r>
      <w:rPr>
        <w:noProof/>
      </w:rPr>
      <w:pict w14:anchorId="35791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DBC7" w14:textId="535D099C" w:rsidR="00004461" w:rsidRDefault="00004461">
    <w:pPr>
      <w:pStyle w:val="Header"/>
    </w:pPr>
    <w:r>
      <w:rPr>
        <w:noProof/>
      </w:rPr>
      <w:pict w14:anchorId="3F44F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7546" w14:textId="02E6F34D" w:rsidR="00004461" w:rsidRDefault="00004461">
    <w:pPr>
      <w:pStyle w:val="Header"/>
    </w:pPr>
    <w:r>
      <w:rPr>
        <w:noProof/>
      </w:rPr>
      <w:pict w14:anchorId="35792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502E7"/>
    <w:multiLevelType w:val="hybridMultilevel"/>
    <w:tmpl w:val="EAC0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6B"/>
    <w:rsid w:val="00004461"/>
    <w:rsid w:val="00010213"/>
    <w:rsid w:val="00021653"/>
    <w:rsid w:val="00023BD5"/>
    <w:rsid w:val="000461C8"/>
    <w:rsid w:val="0005256A"/>
    <w:rsid w:val="00053560"/>
    <w:rsid w:val="00055E63"/>
    <w:rsid w:val="00055E80"/>
    <w:rsid w:val="0006130F"/>
    <w:rsid w:val="00063F5F"/>
    <w:rsid w:val="00064A52"/>
    <w:rsid w:val="00073335"/>
    <w:rsid w:val="000743B7"/>
    <w:rsid w:val="0007601E"/>
    <w:rsid w:val="00083E0E"/>
    <w:rsid w:val="00093333"/>
    <w:rsid w:val="0009567F"/>
    <w:rsid w:val="000A30BA"/>
    <w:rsid w:val="000A5FA7"/>
    <w:rsid w:val="000B21F8"/>
    <w:rsid w:val="000B4983"/>
    <w:rsid w:val="000C09D4"/>
    <w:rsid w:val="000C1EB6"/>
    <w:rsid w:val="000C2553"/>
    <w:rsid w:val="000C25C3"/>
    <w:rsid w:val="000E3C45"/>
    <w:rsid w:val="000E4630"/>
    <w:rsid w:val="000F4A27"/>
    <w:rsid w:val="000F53E1"/>
    <w:rsid w:val="000F5C97"/>
    <w:rsid w:val="001200F1"/>
    <w:rsid w:val="001238DA"/>
    <w:rsid w:val="00130800"/>
    <w:rsid w:val="00151488"/>
    <w:rsid w:val="00155C95"/>
    <w:rsid w:val="00180C27"/>
    <w:rsid w:val="001822D4"/>
    <w:rsid w:val="00183FD9"/>
    <w:rsid w:val="0019278E"/>
    <w:rsid w:val="001A4A20"/>
    <w:rsid w:val="001C491D"/>
    <w:rsid w:val="001D7C46"/>
    <w:rsid w:val="001E1970"/>
    <w:rsid w:val="001F062F"/>
    <w:rsid w:val="001F63D3"/>
    <w:rsid w:val="001F69B4"/>
    <w:rsid w:val="001F7CEE"/>
    <w:rsid w:val="00201839"/>
    <w:rsid w:val="00202F41"/>
    <w:rsid w:val="00213C73"/>
    <w:rsid w:val="00220BE2"/>
    <w:rsid w:val="002269CB"/>
    <w:rsid w:val="00235C36"/>
    <w:rsid w:val="002427D6"/>
    <w:rsid w:val="002442D8"/>
    <w:rsid w:val="00246ADA"/>
    <w:rsid w:val="00250E67"/>
    <w:rsid w:val="00252FCF"/>
    <w:rsid w:val="00252FFC"/>
    <w:rsid w:val="00253363"/>
    <w:rsid w:val="002564EF"/>
    <w:rsid w:val="00257AE9"/>
    <w:rsid w:val="0026667C"/>
    <w:rsid w:val="00277AE1"/>
    <w:rsid w:val="002944BE"/>
    <w:rsid w:val="002A2D80"/>
    <w:rsid w:val="002B0E73"/>
    <w:rsid w:val="002C2F89"/>
    <w:rsid w:val="002D3A8E"/>
    <w:rsid w:val="002E3F43"/>
    <w:rsid w:val="002E4DED"/>
    <w:rsid w:val="002F6E13"/>
    <w:rsid w:val="00304787"/>
    <w:rsid w:val="00313160"/>
    <w:rsid w:val="00323E8E"/>
    <w:rsid w:val="003267E0"/>
    <w:rsid w:val="0032709C"/>
    <w:rsid w:val="0035598D"/>
    <w:rsid w:val="0035641A"/>
    <w:rsid w:val="00360A2A"/>
    <w:rsid w:val="0036286B"/>
    <w:rsid w:val="003712FD"/>
    <w:rsid w:val="00373488"/>
    <w:rsid w:val="00376130"/>
    <w:rsid w:val="00381818"/>
    <w:rsid w:val="003968B4"/>
    <w:rsid w:val="003B4154"/>
    <w:rsid w:val="003C701F"/>
    <w:rsid w:val="003D07F2"/>
    <w:rsid w:val="003D42A6"/>
    <w:rsid w:val="00413DD8"/>
    <w:rsid w:val="00420C10"/>
    <w:rsid w:val="00430DC7"/>
    <w:rsid w:val="0043107C"/>
    <w:rsid w:val="00442C19"/>
    <w:rsid w:val="00445614"/>
    <w:rsid w:val="004526BC"/>
    <w:rsid w:val="00452AE8"/>
    <w:rsid w:val="0047503B"/>
    <w:rsid w:val="00492B01"/>
    <w:rsid w:val="00493842"/>
    <w:rsid w:val="004C0EB5"/>
    <w:rsid w:val="004C357F"/>
    <w:rsid w:val="004C6D8F"/>
    <w:rsid w:val="004D5FF4"/>
    <w:rsid w:val="004D6165"/>
    <w:rsid w:val="004F18C3"/>
    <w:rsid w:val="004F2300"/>
    <w:rsid w:val="004F3BAA"/>
    <w:rsid w:val="00502185"/>
    <w:rsid w:val="00503A2E"/>
    <w:rsid w:val="00504E8B"/>
    <w:rsid w:val="0051147C"/>
    <w:rsid w:val="00514273"/>
    <w:rsid w:val="0051488B"/>
    <w:rsid w:val="0053104B"/>
    <w:rsid w:val="00534F87"/>
    <w:rsid w:val="00535F81"/>
    <w:rsid w:val="0054309E"/>
    <w:rsid w:val="00544E20"/>
    <w:rsid w:val="005453AC"/>
    <w:rsid w:val="005506D0"/>
    <w:rsid w:val="00553601"/>
    <w:rsid w:val="00554B52"/>
    <w:rsid w:val="00562791"/>
    <w:rsid w:val="00570554"/>
    <w:rsid w:val="00572483"/>
    <w:rsid w:val="005748E0"/>
    <w:rsid w:val="00580B3F"/>
    <w:rsid w:val="00592107"/>
    <w:rsid w:val="00593A2F"/>
    <w:rsid w:val="005A4190"/>
    <w:rsid w:val="005A43E1"/>
    <w:rsid w:val="005B2269"/>
    <w:rsid w:val="005B6762"/>
    <w:rsid w:val="005E103F"/>
    <w:rsid w:val="005F5191"/>
    <w:rsid w:val="0060600F"/>
    <w:rsid w:val="00621E4D"/>
    <w:rsid w:val="006234AE"/>
    <w:rsid w:val="006249EB"/>
    <w:rsid w:val="00624D39"/>
    <w:rsid w:val="00627D36"/>
    <w:rsid w:val="0063345A"/>
    <w:rsid w:val="00635E7A"/>
    <w:rsid w:val="006606DD"/>
    <w:rsid w:val="00686A54"/>
    <w:rsid w:val="006928CE"/>
    <w:rsid w:val="006970CD"/>
    <w:rsid w:val="006A49D4"/>
    <w:rsid w:val="006B0F84"/>
    <w:rsid w:val="006B5E4F"/>
    <w:rsid w:val="006B6590"/>
    <w:rsid w:val="006B72CF"/>
    <w:rsid w:val="006C190A"/>
    <w:rsid w:val="006C44BB"/>
    <w:rsid w:val="006C6673"/>
    <w:rsid w:val="006D019B"/>
    <w:rsid w:val="006E11AB"/>
    <w:rsid w:val="006E4040"/>
    <w:rsid w:val="006E53E1"/>
    <w:rsid w:val="006F3205"/>
    <w:rsid w:val="0070122B"/>
    <w:rsid w:val="00710519"/>
    <w:rsid w:val="00711D62"/>
    <w:rsid w:val="0073080C"/>
    <w:rsid w:val="0074641E"/>
    <w:rsid w:val="0076573E"/>
    <w:rsid w:val="00766241"/>
    <w:rsid w:val="0077647C"/>
    <w:rsid w:val="00791648"/>
    <w:rsid w:val="00792AC7"/>
    <w:rsid w:val="007B7F37"/>
    <w:rsid w:val="007C2F5A"/>
    <w:rsid w:val="007C5545"/>
    <w:rsid w:val="007C6393"/>
    <w:rsid w:val="007C72BF"/>
    <w:rsid w:val="007D4862"/>
    <w:rsid w:val="007D5B69"/>
    <w:rsid w:val="007D5BEE"/>
    <w:rsid w:val="007E15D3"/>
    <w:rsid w:val="007E61F5"/>
    <w:rsid w:val="00803268"/>
    <w:rsid w:val="008202DB"/>
    <w:rsid w:val="00831748"/>
    <w:rsid w:val="00846B90"/>
    <w:rsid w:val="008478F4"/>
    <w:rsid w:val="00856828"/>
    <w:rsid w:val="00865828"/>
    <w:rsid w:val="008703AB"/>
    <w:rsid w:val="00873F4B"/>
    <w:rsid w:val="008769D1"/>
    <w:rsid w:val="008856D8"/>
    <w:rsid w:val="00887E97"/>
    <w:rsid w:val="0089654B"/>
    <w:rsid w:val="00896BED"/>
    <w:rsid w:val="008973A5"/>
    <w:rsid w:val="008A3CB5"/>
    <w:rsid w:val="008B4CED"/>
    <w:rsid w:val="008C45E1"/>
    <w:rsid w:val="008C52ED"/>
    <w:rsid w:val="008F4CC4"/>
    <w:rsid w:val="00910B4E"/>
    <w:rsid w:val="009270C8"/>
    <w:rsid w:val="00930050"/>
    <w:rsid w:val="00940B5A"/>
    <w:rsid w:val="00946535"/>
    <w:rsid w:val="00947034"/>
    <w:rsid w:val="00961BD9"/>
    <w:rsid w:val="009645D7"/>
    <w:rsid w:val="00965F28"/>
    <w:rsid w:val="009668E4"/>
    <w:rsid w:val="00971B96"/>
    <w:rsid w:val="00975CCF"/>
    <w:rsid w:val="00981558"/>
    <w:rsid w:val="00987529"/>
    <w:rsid w:val="009A0630"/>
    <w:rsid w:val="009A0D3E"/>
    <w:rsid w:val="009A49AC"/>
    <w:rsid w:val="009A50BF"/>
    <w:rsid w:val="009B07BC"/>
    <w:rsid w:val="009B0922"/>
    <w:rsid w:val="009C61EC"/>
    <w:rsid w:val="009C7522"/>
    <w:rsid w:val="009D3521"/>
    <w:rsid w:val="009D42CD"/>
    <w:rsid w:val="009D4D28"/>
    <w:rsid w:val="009D6124"/>
    <w:rsid w:val="009D74D9"/>
    <w:rsid w:val="009E47F4"/>
    <w:rsid w:val="009E4AD9"/>
    <w:rsid w:val="009F10DE"/>
    <w:rsid w:val="00A10B85"/>
    <w:rsid w:val="00A21EB7"/>
    <w:rsid w:val="00A53082"/>
    <w:rsid w:val="00A565B7"/>
    <w:rsid w:val="00A5713B"/>
    <w:rsid w:val="00A709DB"/>
    <w:rsid w:val="00A82A9E"/>
    <w:rsid w:val="00A86490"/>
    <w:rsid w:val="00A87128"/>
    <w:rsid w:val="00AA6E4C"/>
    <w:rsid w:val="00AB7E36"/>
    <w:rsid w:val="00AC3CB9"/>
    <w:rsid w:val="00AD1835"/>
    <w:rsid w:val="00AF1D54"/>
    <w:rsid w:val="00AF4F6B"/>
    <w:rsid w:val="00B100C1"/>
    <w:rsid w:val="00B146A4"/>
    <w:rsid w:val="00B26CEE"/>
    <w:rsid w:val="00B47168"/>
    <w:rsid w:val="00B53175"/>
    <w:rsid w:val="00B56D40"/>
    <w:rsid w:val="00B74AB0"/>
    <w:rsid w:val="00B768A0"/>
    <w:rsid w:val="00B813A9"/>
    <w:rsid w:val="00BA5DD0"/>
    <w:rsid w:val="00BA7538"/>
    <w:rsid w:val="00BB2B32"/>
    <w:rsid w:val="00BB44E4"/>
    <w:rsid w:val="00BB5CCD"/>
    <w:rsid w:val="00BC44A0"/>
    <w:rsid w:val="00BC4848"/>
    <w:rsid w:val="00BD09DD"/>
    <w:rsid w:val="00BD6449"/>
    <w:rsid w:val="00BE0A42"/>
    <w:rsid w:val="00BE695F"/>
    <w:rsid w:val="00BF371A"/>
    <w:rsid w:val="00BF451C"/>
    <w:rsid w:val="00C01735"/>
    <w:rsid w:val="00C05F99"/>
    <w:rsid w:val="00C07596"/>
    <w:rsid w:val="00C34F2B"/>
    <w:rsid w:val="00C50F3C"/>
    <w:rsid w:val="00C60969"/>
    <w:rsid w:val="00C6268B"/>
    <w:rsid w:val="00C71017"/>
    <w:rsid w:val="00C727EA"/>
    <w:rsid w:val="00C85A19"/>
    <w:rsid w:val="00C94D54"/>
    <w:rsid w:val="00CA5886"/>
    <w:rsid w:val="00CB76D2"/>
    <w:rsid w:val="00CD066B"/>
    <w:rsid w:val="00CD26DF"/>
    <w:rsid w:val="00CD4C12"/>
    <w:rsid w:val="00CD518F"/>
    <w:rsid w:val="00CE5F47"/>
    <w:rsid w:val="00CE728C"/>
    <w:rsid w:val="00CF0D95"/>
    <w:rsid w:val="00CF2B60"/>
    <w:rsid w:val="00CF34DB"/>
    <w:rsid w:val="00D037F1"/>
    <w:rsid w:val="00D03F6A"/>
    <w:rsid w:val="00D0645C"/>
    <w:rsid w:val="00D1328C"/>
    <w:rsid w:val="00D20A5F"/>
    <w:rsid w:val="00D31338"/>
    <w:rsid w:val="00D37FFE"/>
    <w:rsid w:val="00D5295F"/>
    <w:rsid w:val="00D52F28"/>
    <w:rsid w:val="00D676B9"/>
    <w:rsid w:val="00D73F56"/>
    <w:rsid w:val="00D76898"/>
    <w:rsid w:val="00D778E9"/>
    <w:rsid w:val="00D871AA"/>
    <w:rsid w:val="00DA0FEB"/>
    <w:rsid w:val="00DC0A76"/>
    <w:rsid w:val="00DD3597"/>
    <w:rsid w:val="00DE2AE4"/>
    <w:rsid w:val="00DF09BD"/>
    <w:rsid w:val="00E061CE"/>
    <w:rsid w:val="00E0757D"/>
    <w:rsid w:val="00E11DB2"/>
    <w:rsid w:val="00E14CC6"/>
    <w:rsid w:val="00E15D73"/>
    <w:rsid w:val="00E30040"/>
    <w:rsid w:val="00E33316"/>
    <w:rsid w:val="00E36BD3"/>
    <w:rsid w:val="00E41E34"/>
    <w:rsid w:val="00E4302A"/>
    <w:rsid w:val="00E50D04"/>
    <w:rsid w:val="00E72E48"/>
    <w:rsid w:val="00E80B2A"/>
    <w:rsid w:val="00E82E55"/>
    <w:rsid w:val="00E857E1"/>
    <w:rsid w:val="00E867F9"/>
    <w:rsid w:val="00EA2F4E"/>
    <w:rsid w:val="00EA490C"/>
    <w:rsid w:val="00EB672B"/>
    <w:rsid w:val="00EC0C39"/>
    <w:rsid w:val="00EC0EBD"/>
    <w:rsid w:val="00EC2ADC"/>
    <w:rsid w:val="00EC3FE4"/>
    <w:rsid w:val="00EC4544"/>
    <w:rsid w:val="00EE39A3"/>
    <w:rsid w:val="00EE6C16"/>
    <w:rsid w:val="00EF0270"/>
    <w:rsid w:val="00EF070B"/>
    <w:rsid w:val="00EF5710"/>
    <w:rsid w:val="00EF6657"/>
    <w:rsid w:val="00F05C13"/>
    <w:rsid w:val="00F07290"/>
    <w:rsid w:val="00F0763A"/>
    <w:rsid w:val="00F31BFB"/>
    <w:rsid w:val="00F64C96"/>
    <w:rsid w:val="00F8159B"/>
    <w:rsid w:val="00F81CE9"/>
    <w:rsid w:val="00F82C36"/>
    <w:rsid w:val="00FA35C8"/>
    <w:rsid w:val="00FA4707"/>
    <w:rsid w:val="00FB5C3D"/>
    <w:rsid w:val="00FC7A59"/>
    <w:rsid w:val="00FD0F99"/>
    <w:rsid w:val="00FD590F"/>
    <w:rsid w:val="00FF196A"/>
    <w:rsid w:val="00FF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F4AC82"/>
  <w15:chartTrackingRefBased/>
  <w15:docId w15:val="{5FFA0F18-CC97-424E-8B9D-C24779C7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F6B"/>
    <w:rPr>
      <w:rFonts w:eastAsiaTheme="majorEastAsia" w:cstheme="majorBidi"/>
      <w:color w:val="272727" w:themeColor="text1" w:themeTint="D8"/>
    </w:rPr>
  </w:style>
  <w:style w:type="paragraph" w:styleId="Title">
    <w:name w:val="Title"/>
    <w:basedOn w:val="Normal"/>
    <w:next w:val="Normal"/>
    <w:link w:val="TitleChar"/>
    <w:uiPriority w:val="10"/>
    <w:qFormat/>
    <w:rsid w:val="00AF4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F6B"/>
    <w:pPr>
      <w:spacing w:before="160"/>
      <w:jc w:val="center"/>
    </w:pPr>
    <w:rPr>
      <w:i/>
      <w:iCs/>
      <w:color w:val="404040" w:themeColor="text1" w:themeTint="BF"/>
    </w:rPr>
  </w:style>
  <w:style w:type="character" w:customStyle="1" w:styleId="QuoteChar">
    <w:name w:val="Quote Char"/>
    <w:basedOn w:val="DefaultParagraphFont"/>
    <w:link w:val="Quote"/>
    <w:uiPriority w:val="29"/>
    <w:rsid w:val="00AF4F6B"/>
    <w:rPr>
      <w:i/>
      <w:iCs/>
      <w:color w:val="404040" w:themeColor="text1" w:themeTint="BF"/>
    </w:rPr>
  </w:style>
  <w:style w:type="paragraph" w:styleId="ListParagraph">
    <w:name w:val="List Paragraph"/>
    <w:basedOn w:val="Normal"/>
    <w:uiPriority w:val="34"/>
    <w:qFormat/>
    <w:rsid w:val="00AF4F6B"/>
    <w:pPr>
      <w:ind w:left="720"/>
      <w:contextualSpacing/>
    </w:pPr>
  </w:style>
  <w:style w:type="character" w:styleId="IntenseEmphasis">
    <w:name w:val="Intense Emphasis"/>
    <w:basedOn w:val="DefaultParagraphFont"/>
    <w:uiPriority w:val="21"/>
    <w:qFormat/>
    <w:rsid w:val="00AF4F6B"/>
    <w:rPr>
      <w:i/>
      <w:iCs/>
      <w:color w:val="0F4761" w:themeColor="accent1" w:themeShade="BF"/>
    </w:rPr>
  </w:style>
  <w:style w:type="paragraph" w:styleId="IntenseQuote">
    <w:name w:val="Intense Quote"/>
    <w:basedOn w:val="Normal"/>
    <w:next w:val="Normal"/>
    <w:link w:val="IntenseQuoteChar"/>
    <w:uiPriority w:val="30"/>
    <w:qFormat/>
    <w:rsid w:val="00AF4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F6B"/>
    <w:rPr>
      <w:i/>
      <w:iCs/>
      <w:color w:val="0F4761" w:themeColor="accent1" w:themeShade="BF"/>
    </w:rPr>
  </w:style>
  <w:style w:type="character" w:styleId="IntenseReference">
    <w:name w:val="Intense Reference"/>
    <w:basedOn w:val="DefaultParagraphFont"/>
    <w:uiPriority w:val="32"/>
    <w:qFormat/>
    <w:rsid w:val="00AF4F6B"/>
    <w:rPr>
      <w:b/>
      <w:bCs/>
      <w:smallCaps/>
      <w:color w:val="0F4761" w:themeColor="accent1" w:themeShade="BF"/>
      <w:spacing w:val="5"/>
    </w:rPr>
  </w:style>
  <w:style w:type="character" w:styleId="Hyperlink">
    <w:name w:val="Hyperlink"/>
    <w:basedOn w:val="DefaultParagraphFont"/>
    <w:uiPriority w:val="99"/>
    <w:unhideWhenUsed/>
    <w:rsid w:val="008202DB"/>
    <w:rPr>
      <w:color w:val="0000FF"/>
      <w:u w:val="single"/>
    </w:rPr>
  </w:style>
  <w:style w:type="paragraph" w:styleId="NormalWeb">
    <w:name w:val="Normal (Web)"/>
    <w:basedOn w:val="Normal"/>
    <w:uiPriority w:val="99"/>
    <w:unhideWhenUsed/>
    <w:rsid w:val="00D3133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31338"/>
    <w:rPr>
      <w:b/>
      <w:bCs/>
    </w:rPr>
  </w:style>
  <w:style w:type="paragraph" w:styleId="z-TopofForm">
    <w:name w:val="HTML Top of Form"/>
    <w:basedOn w:val="Normal"/>
    <w:next w:val="Normal"/>
    <w:link w:val="z-TopofFormChar"/>
    <w:hidden/>
    <w:uiPriority w:val="99"/>
    <w:semiHidden/>
    <w:unhideWhenUsed/>
    <w:rsid w:val="00D31338"/>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31338"/>
    <w:rPr>
      <w:rFonts w:ascii="Arial" w:hAnsi="Arial" w:cs="Arial"/>
      <w:vanish/>
      <w:kern w:val="0"/>
      <w:sz w:val="16"/>
      <w:szCs w:val="16"/>
      <w14:ligatures w14:val="none"/>
    </w:rPr>
  </w:style>
  <w:style w:type="paragraph" w:customStyle="1" w:styleId="placeholder">
    <w:name w:val="placeholder"/>
    <w:basedOn w:val="Normal"/>
    <w:rsid w:val="00D31338"/>
    <w:pPr>
      <w:spacing w:before="100" w:beforeAutospacing="1" w:after="100" w:afterAutospacing="1" w:line="240" w:lineRule="auto"/>
    </w:pPr>
    <w:rPr>
      <w:rFonts w:ascii="Times New Roman" w:hAnsi="Times New Roman" w:cs="Times New Roman"/>
      <w:kern w:val="0"/>
      <w14:ligatures w14:val="none"/>
    </w:rPr>
  </w:style>
  <w:style w:type="character" w:customStyle="1" w:styleId="ps-1">
    <w:name w:val="ps-1"/>
    <w:basedOn w:val="DefaultParagraphFont"/>
    <w:rsid w:val="00D31338"/>
  </w:style>
  <w:style w:type="paragraph" w:styleId="z-BottomofForm">
    <w:name w:val="HTML Bottom of Form"/>
    <w:basedOn w:val="Normal"/>
    <w:next w:val="Normal"/>
    <w:link w:val="z-BottomofFormChar"/>
    <w:hidden/>
    <w:uiPriority w:val="99"/>
    <w:semiHidden/>
    <w:unhideWhenUsed/>
    <w:rsid w:val="00D31338"/>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31338"/>
    <w:rPr>
      <w:rFonts w:ascii="Arial" w:hAnsi="Arial" w:cs="Arial"/>
      <w:vanish/>
      <w:kern w:val="0"/>
      <w:sz w:val="16"/>
      <w:szCs w:val="16"/>
      <w14:ligatures w14:val="none"/>
    </w:rPr>
  </w:style>
  <w:style w:type="character" w:styleId="UnresolvedMention">
    <w:name w:val="Unresolved Mention"/>
    <w:basedOn w:val="DefaultParagraphFont"/>
    <w:uiPriority w:val="99"/>
    <w:semiHidden/>
    <w:unhideWhenUsed/>
    <w:rsid w:val="002269CB"/>
    <w:rPr>
      <w:color w:val="605E5C"/>
      <w:shd w:val="clear" w:color="auto" w:fill="E1DFDD"/>
    </w:rPr>
  </w:style>
  <w:style w:type="character" w:styleId="Emphasis">
    <w:name w:val="Emphasis"/>
    <w:basedOn w:val="DefaultParagraphFont"/>
    <w:uiPriority w:val="20"/>
    <w:qFormat/>
    <w:rsid w:val="000E3C45"/>
    <w:rPr>
      <w:i/>
      <w:iCs/>
    </w:rPr>
  </w:style>
  <w:style w:type="table" w:styleId="TableGrid">
    <w:name w:val="Table Grid"/>
    <w:basedOn w:val="TableNormal"/>
    <w:uiPriority w:val="39"/>
    <w:rsid w:val="004C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9D4"/>
  </w:style>
  <w:style w:type="paragraph" w:styleId="Footer">
    <w:name w:val="footer"/>
    <w:basedOn w:val="Normal"/>
    <w:link w:val="FooterChar"/>
    <w:uiPriority w:val="99"/>
    <w:unhideWhenUsed/>
    <w:rsid w:val="006A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228015">
      <w:bodyDiv w:val="1"/>
      <w:marLeft w:val="0"/>
      <w:marRight w:val="0"/>
      <w:marTop w:val="0"/>
      <w:marBottom w:val="0"/>
      <w:divBdr>
        <w:top w:val="none" w:sz="0" w:space="0" w:color="auto"/>
        <w:left w:val="none" w:sz="0" w:space="0" w:color="auto"/>
        <w:bottom w:val="none" w:sz="0" w:space="0" w:color="auto"/>
        <w:right w:val="none" w:sz="0" w:space="0" w:color="auto"/>
      </w:divBdr>
      <w:divsChild>
        <w:div w:id="1684089026">
          <w:marLeft w:val="0"/>
          <w:marRight w:val="0"/>
          <w:marTop w:val="0"/>
          <w:marBottom w:val="0"/>
          <w:divBdr>
            <w:top w:val="none" w:sz="0" w:space="0" w:color="auto"/>
            <w:left w:val="none" w:sz="0" w:space="0" w:color="auto"/>
            <w:bottom w:val="none" w:sz="0" w:space="0" w:color="auto"/>
            <w:right w:val="none" w:sz="0" w:space="0" w:color="auto"/>
          </w:divBdr>
          <w:divsChild>
            <w:div w:id="561599426">
              <w:marLeft w:val="0"/>
              <w:marRight w:val="0"/>
              <w:marTop w:val="0"/>
              <w:marBottom w:val="0"/>
              <w:divBdr>
                <w:top w:val="none" w:sz="0" w:space="0" w:color="auto"/>
                <w:left w:val="none" w:sz="0" w:space="0" w:color="auto"/>
                <w:bottom w:val="none" w:sz="0" w:space="0" w:color="auto"/>
                <w:right w:val="none" w:sz="0" w:space="0" w:color="auto"/>
              </w:divBdr>
              <w:divsChild>
                <w:div w:id="857498532">
                  <w:marLeft w:val="0"/>
                  <w:marRight w:val="0"/>
                  <w:marTop w:val="0"/>
                  <w:marBottom w:val="0"/>
                  <w:divBdr>
                    <w:top w:val="none" w:sz="0" w:space="0" w:color="auto"/>
                    <w:left w:val="none" w:sz="0" w:space="0" w:color="auto"/>
                    <w:bottom w:val="none" w:sz="0" w:space="0" w:color="auto"/>
                    <w:right w:val="none" w:sz="0" w:space="0" w:color="auto"/>
                  </w:divBdr>
                </w:div>
              </w:divsChild>
            </w:div>
            <w:div w:id="1609045382">
              <w:marLeft w:val="0"/>
              <w:marRight w:val="0"/>
              <w:marTop w:val="0"/>
              <w:marBottom w:val="0"/>
              <w:divBdr>
                <w:top w:val="none" w:sz="0" w:space="0" w:color="auto"/>
                <w:left w:val="none" w:sz="0" w:space="0" w:color="auto"/>
                <w:bottom w:val="none" w:sz="0" w:space="0" w:color="auto"/>
                <w:right w:val="none" w:sz="0" w:space="0" w:color="auto"/>
              </w:divBdr>
              <w:divsChild>
                <w:div w:id="1873418891">
                  <w:marLeft w:val="0"/>
                  <w:marRight w:val="0"/>
                  <w:marTop w:val="0"/>
                  <w:marBottom w:val="0"/>
                  <w:divBdr>
                    <w:top w:val="none" w:sz="0" w:space="0" w:color="auto"/>
                    <w:left w:val="none" w:sz="0" w:space="0" w:color="auto"/>
                    <w:bottom w:val="none" w:sz="0" w:space="0" w:color="auto"/>
                    <w:right w:val="none" w:sz="0" w:space="0" w:color="auto"/>
                  </w:divBdr>
                  <w:divsChild>
                    <w:div w:id="1974560948">
                      <w:marLeft w:val="0"/>
                      <w:marRight w:val="0"/>
                      <w:marTop w:val="0"/>
                      <w:marBottom w:val="0"/>
                      <w:divBdr>
                        <w:top w:val="none" w:sz="0" w:space="0" w:color="auto"/>
                        <w:left w:val="none" w:sz="0" w:space="0" w:color="auto"/>
                        <w:bottom w:val="none" w:sz="0" w:space="0" w:color="auto"/>
                        <w:right w:val="none" w:sz="0" w:space="0" w:color="auto"/>
                      </w:divBdr>
                      <w:divsChild>
                        <w:div w:id="908152570">
                          <w:marLeft w:val="0"/>
                          <w:marRight w:val="0"/>
                          <w:marTop w:val="0"/>
                          <w:marBottom w:val="0"/>
                          <w:divBdr>
                            <w:top w:val="none" w:sz="0" w:space="0" w:color="auto"/>
                            <w:left w:val="none" w:sz="0" w:space="0" w:color="auto"/>
                            <w:bottom w:val="none" w:sz="0" w:space="0" w:color="auto"/>
                            <w:right w:val="none" w:sz="0" w:space="0" w:color="auto"/>
                          </w:divBdr>
                          <w:divsChild>
                            <w:div w:id="1759208243">
                              <w:marLeft w:val="0"/>
                              <w:marRight w:val="0"/>
                              <w:marTop w:val="0"/>
                              <w:marBottom w:val="0"/>
                              <w:divBdr>
                                <w:top w:val="none" w:sz="0" w:space="0" w:color="auto"/>
                                <w:left w:val="none" w:sz="0" w:space="0" w:color="auto"/>
                                <w:bottom w:val="none" w:sz="0" w:space="0" w:color="auto"/>
                                <w:right w:val="none" w:sz="0" w:space="0" w:color="auto"/>
                              </w:divBdr>
                              <w:divsChild>
                                <w:div w:id="419764902">
                                  <w:marLeft w:val="0"/>
                                  <w:marRight w:val="0"/>
                                  <w:marTop w:val="0"/>
                                  <w:marBottom w:val="0"/>
                                  <w:divBdr>
                                    <w:top w:val="none" w:sz="0" w:space="0" w:color="auto"/>
                                    <w:left w:val="none" w:sz="0" w:space="0" w:color="auto"/>
                                    <w:bottom w:val="none" w:sz="0" w:space="0" w:color="auto"/>
                                    <w:right w:val="none" w:sz="0" w:space="0" w:color="auto"/>
                                  </w:divBdr>
                                  <w:divsChild>
                                    <w:div w:id="36591510">
                                      <w:marLeft w:val="0"/>
                                      <w:marRight w:val="0"/>
                                      <w:marTop w:val="0"/>
                                      <w:marBottom w:val="0"/>
                                      <w:divBdr>
                                        <w:top w:val="none" w:sz="0" w:space="0" w:color="auto"/>
                                        <w:left w:val="none" w:sz="0" w:space="0" w:color="auto"/>
                                        <w:bottom w:val="none" w:sz="0" w:space="0" w:color="auto"/>
                                        <w:right w:val="none" w:sz="0" w:space="0" w:color="auto"/>
                                      </w:divBdr>
                                      <w:divsChild>
                                        <w:div w:id="1736968753">
                                          <w:marLeft w:val="0"/>
                                          <w:marRight w:val="0"/>
                                          <w:marTop w:val="0"/>
                                          <w:marBottom w:val="0"/>
                                          <w:divBdr>
                                            <w:top w:val="none" w:sz="0" w:space="0" w:color="auto"/>
                                            <w:left w:val="none" w:sz="0" w:space="0" w:color="auto"/>
                                            <w:bottom w:val="none" w:sz="0" w:space="0" w:color="auto"/>
                                            <w:right w:val="none" w:sz="0" w:space="0" w:color="auto"/>
                                          </w:divBdr>
                                          <w:divsChild>
                                            <w:div w:id="6124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9549">
                                      <w:marLeft w:val="0"/>
                                      <w:marRight w:val="0"/>
                                      <w:marTop w:val="0"/>
                                      <w:marBottom w:val="0"/>
                                      <w:divBdr>
                                        <w:top w:val="none" w:sz="0" w:space="0" w:color="auto"/>
                                        <w:left w:val="none" w:sz="0" w:space="0" w:color="auto"/>
                                        <w:bottom w:val="none" w:sz="0" w:space="0" w:color="auto"/>
                                        <w:right w:val="none" w:sz="0" w:space="0" w:color="auto"/>
                                      </w:divBdr>
                                      <w:divsChild>
                                        <w:div w:id="941260354">
                                          <w:marLeft w:val="0"/>
                                          <w:marRight w:val="0"/>
                                          <w:marTop w:val="0"/>
                                          <w:marBottom w:val="0"/>
                                          <w:divBdr>
                                            <w:top w:val="none" w:sz="0" w:space="0" w:color="auto"/>
                                            <w:left w:val="none" w:sz="0" w:space="0" w:color="auto"/>
                                            <w:bottom w:val="none" w:sz="0" w:space="0" w:color="auto"/>
                                            <w:right w:val="none" w:sz="0" w:space="0" w:color="auto"/>
                                          </w:divBdr>
                                          <w:divsChild>
                                            <w:div w:id="150563429">
                                              <w:marLeft w:val="0"/>
                                              <w:marRight w:val="0"/>
                                              <w:marTop w:val="0"/>
                                              <w:marBottom w:val="0"/>
                                              <w:divBdr>
                                                <w:top w:val="none" w:sz="0" w:space="0" w:color="auto"/>
                                                <w:left w:val="none" w:sz="0" w:space="0" w:color="auto"/>
                                                <w:bottom w:val="none" w:sz="0" w:space="0" w:color="auto"/>
                                                <w:right w:val="none" w:sz="0" w:space="0" w:color="auto"/>
                                              </w:divBdr>
                                              <w:divsChild>
                                                <w:div w:id="2027097639">
                                                  <w:marLeft w:val="0"/>
                                                  <w:marRight w:val="0"/>
                                                  <w:marTop w:val="0"/>
                                                  <w:marBottom w:val="0"/>
                                                  <w:divBdr>
                                                    <w:top w:val="none" w:sz="0" w:space="0" w:color="auto"/>
                                                    <w:left w:val="none" w:sz="0" w:space="0" w:color="auto"/>
                                                    <w:bottom w:val="none" w:sz="0" w:space="0" w:color="auto"/>
                                                    <w:right w:val="none" w:sz="0" w:space="0" w:color="auto"/>
                                                  </w:divBdr>
                                                  <w:divsChild>
                                                    <w:div w:id="11545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018">
                                              <w:marLeft w:val="0"/>
                                              <w:marRight w:val="0"/>
                                              <w:marTop w:val="0"/>
                                              <w:marBottom w:val="0"/>
                                              <w:divBdr>
                                                <w:top w:val="none" w:sz="0" w:space="0" w:color="auto"/>
                                                <w:left w:val="none" w:sz="0" w:space="0" w:color="auto"/>
                                                <w:bottom w:val="none" w:sz="0" w:space="0" w:color="auto"/>
                                                <w:right w:val="none" w:sz="0" w:space="0" w:color="auto"/>
                                              </w:divBdr>
                                              <w:divsChild>
                                                <w:div w:id="1565291583">
                                                  <w:marLeft w:val="0"/>
                                                  <w:marRight w:val="0"/>
                                                  <w:marTop w:val="0"/>
                                                  <w:marBottom w:val="0"/>
                                                  <w:divBdr>
                                                    <w:top w:val="none" w:sz="0" w:space="0" w:color="auto"/>
                                                    <w:left w:val="none" w:sz="0" w:space="0" w:color="auto"/>
                                                    <w:bottom w:val="none" w:sz="0" w:space="0" w:color="auto"/>
                                                    <w:right w:val="none" w:sz="0" w:space="0" w:color="auto"/>
                                                  </w:divBdr>
                                                  <w:divsChild>
                                                    <w:div w:id="1320574251">
                                                      <w:marLeft w:val="0"/>
                                                      <w:marRight w:val="0"/>
                                                      <w:marTop w:val="0"/>
                                                      <w:marBottom w:val="0"/>
                                                      <w:divBdr>
                                                        <w:top w:val="none" w:sz="0" w:space="0" w:color="auto"/>
                                                        <w:left w:val="none" w:sz="0" w:space="0" w:color="auto"/>
                                                        <w:bottom w:val="none" w:sz="0" w:space="0" w:color="auto"/>
                                                        <w:right w:val="none" w:sz="0" w:space="0" w:color="auto"/>
                                                      </w:divBdr>
                                                      <w:divsChild>
                                                        <w:div w:id="14367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28505">
                                              <w:marLeft w:val="0"/>
                                              <w:marRight w:val="0"/>
                                              <w:marTop w:val="0"/>
                                              <w:marBottom w:val="0"/>
                                              <w:divBdr>
                                                <w:top w:val="none" w:sz="0" w:space="0" w:color="auto"/>
                                                <w:left w:val="none" w:sz="0" w:space="0" w:color="auto"/>
                                                <w:bottom w:val="none" w:sz="0" w:space="0" w:color="auto"/>
                                                <w:right w:val="none" w:sz="0" w:space="0" w:color="auto"/>
                                              </w:divBdr>
                                              <w:divsChild>
                                                <w:div w:id="14208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554789">
          <w:marLeft w:val="0"/>
          <w:marRight w:val="0"/>
          <w:marTop w:val="0"/>
          <w:marBottom w:val="0"/>
          <w:divBdr>
            <w:top w:val="none" w:sz="0" w:space="0" w:color="auto"/>
            <w:left w:val="none" w:sz="0" w:space="0" w:color="auto"/>
            <w:bottom w:val="none" w:sz="0" w:space="0" w:color="auto"/>
            <w:right w:val="none" w:sz="0" w:space="0" w:color="auto"/>
          </w:divBdr>
          <w:divsChild>
            <w:div w:id="1573543138">
              <w:marLeft w:val="0"/>
              <w:marRight w:val="0"/>
              <w:marTop w:val="0"/>
              <w:marBottom w:val="0"/>
              <w:divBdr>
                <w:top w:val="none" w:sz="0" w:space="0" w:color="auto"/>
                <w:left w:val="none" w:sz="0" w:space="0" w:color="auto"/>
                <w:bottom w:val="none" w:sz="0" w:space="0" w:color="auto"/>
                <w:right w:val="none" w:sz="0" w:space="0" w:color="auto"/>
              </w:divBdr>
              <w:divsChild>
                <w:div w:id="1726027803">
                  <w:marLeft w:val="0"/>
                  <w:marRight w:val="0"/>
                  <w:marTop w:val="0"/>
                  <w:marBottom w:val="0"/>
                  <w:divBdr>
                    <w:top w:val="none" w:sz="0" w:space="0" w:color="auto"/>
                    <w:left w:val="none" w:sz="0" w:space="0" w:color="auto"/>
                    <w:bottom w:val="none" w:sz="0" w:space="0" w:color="auto"/>
                    <w:right w:val="none" w:sz="0" w:space="0" w:color="auto"/>
                  </w:divBdr>
                  <w:divsChild>
                    <w:div w:id="508375049">
                      <w:marLeft w:val="0"/>
                      <w:marRight w:val="0"/>
                      <w:marTop w:val="0"/>
                      <w:marBottom w:val="0"/>
                      <w:divBdr>
                        <w:top w:val="none" w:sz="0" w:space="0" w:color="auto"/>
                        <w:left w:val="none" w:sz="0" w:space="0" w:color="auto"/>
                        <w:bottom w:val="none" w:sz="0" w:space="0" w:color="auto"/>
                        <w:right w:val="none" w:sz="0" w:space="0" w:color="auto"/>
                      </w:divBdr>
                      <w:divsChild>
                        <w:div w:id="521748061">
                          <w:marLeft w:val="0"/>
                          <w:marRight w:val="0"/>
                          <w:marTop w:val="0"/>
                          <w:marBottom w:val="0"/>
                          <w:divBdr>
                            <w:top w:val="none" w:sz="0" w:space="0" w:color="auto"/>
                            <w:left w:val="none" w:sz="0" w:space="0" w:color="auto"/>
                            <w:bottom w:val="none" w:sz="0" w:space="0" w:color="auto"/>
                            <w:right w:val="none" w:sz="0" w:space="0" w:color="auto"/>
                          </w:divBdr>
                          <w:divsChild>
                            <w:div w:id="793985072">
                              <w:marLeft w:val="0"/>
                              <w:marRight w:val="0"/>
                              <w:marTop w:val="0"/>
                              <w:marBottom w:val="0"/>
                              <w:divBdr>
                                <w:top w:val="none" w:sz="0" w:space="0" w:color="auto"/>
                                <w:left w:val="none" w:sz="0" w:space="0" w:color="auto"/>
                                <w:bottom w:val="none" w:sz="0" w:space="0" w:color="auto"/>
                                <w:right w:val="none" w:sz="0" w:space="0" w:color="auto"/>
                              </w:divBdr>
                              <w:divsChild>
                                <w:div w:id="1075127964">
                                  <w:marLeft w:val="0"/>
                                  <w:marRight w:val="0"/>
                                  <w:marTop w:val="0"/>
                                  <w:marBottom w:val="0"/>
                                  <w:divBdr>
                                    <w:top w:val="none" w:sz="0" w:space="0" w:color="auto"/>
                                    <w:left w:val="none" w:sz="0" w:space="0" w:color="auto"/>
                                    <w:bottom w:val="none" w:sz="0" w:space="0" w:color="auto"/>
                                    <w:right w:val="none" w:sz="0" w:space="0" w:color="auto"/>
                                  </w:divBdr>
                                  <w:divsChild>
                                    <w:div w:id="1638756251">
                                      <w:marLeft w:val="0"/>
                                      <w:marRight w:val="0"/>
                                      <w:marTop w:val="0"/>
                                      <w:marBottom w:val="0"/>
                                      <w:divBdr>
                                        <w:top w:val="none" w:sz="0" w:space="0" w:color="auto"/>
                                        <w:left w:val="none" w:sz="0" w:space="0" w:color="auto"/>
                                        <w:bottom w:val="none" w:sz="0" w:space="0" w:color="auto"/>
                                        <w:right w:val="none" w:sz="0" w:space="0" w:color="auto"/>
                                      </w:divBdr>
                                      <w:divsChild>
                                        <w:div w:id="385690186">
                                          <w:marLeft w:val="0"/>
                                          <w:marRight w:val="0"/>
                                          <w:marTop w:val="0"/>
                                          <w:marBottom w:val="0"/>
                                          <w:divBdr>
                                            <w:top w:val="none" w:sz="0" w:space="0" w:color="auto"/>
                                            <w:left w:val="none" w:sz="0" w:space="0" w:color="auto"/>
                                            <w:bottom w:val="none" w:sz="0" w:space="0" w:color="auto"/>
                                            <w:right w:val="none" w:sz="0" w:space="0" w:color="auto"/>
                                          </w:divBdr>
                                          <w:divsChild>
                                            <w:div w:id="3322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950198">
      <w:bodyDiv w:val="1"/>
      <w:marLeft w:val="0"/>
      <w:marRight w:val="0"/>
      <w:marTop w:val="0"/>
      <w:marBottom w:val="0"/>
      <w:divBdr>
        <w:top w:val="none" w:sz="0" w:space="0" w:color="auto"/>
        <w:left w:val="none" w:sz="0" w:space="0" w:color="auto"/>
        <w:bottom w:val="none" w:sz="0" w:space="0" w:color="auto"/>
        <w:right w:val="none" w:sz="0" w:space="0" w:color="auto"/>
      </w:divBdr>
      <w:divsChild>
        <w:div w:id="47344967">
          <w:marLeft w:val="0"/>
          <w:marRight w:val="0"/>
          <w:marTop w:val="0"/>
          <w:marBottom w:val="0"/>
          <w:divBdr>
            <w:top w:val="none" w:sz="0" w:space="0" w:color="auto"/>
            <w:left w:val="none" w:sz="0" w:space="0" w:color="auto"/>
            <w:bottom w:val="none" w:sz="0" w:space="0" w:color="auto"/>
            <w:right w:val="none" w:sz="0" w:space="0" w:color="auto"/>
          </w:divBdr>
          <w:divsChild>
            <w:div w:id="1021787310">
              <w:marLeft w:val="0"/>
              <w:marRight w:val="0"/>
              <w:marTop w:val="0"/>
              <w:marBottom w:val="0"/>
              <w:divBdr>
                <w:top w:val="none" w:sz="0" w:space="0" w:color="auto"/>
                <w:left w:val="none" w:sz="0" w:space="0" w:color="auto"/>
                <w:bottom w:val="none" w:sz="0" w:space="0" w:color="auto"/>
                <w:right w:val="none" w:sz="0" w:space="0" w:color="auto"/>
              </w:divBdr>
              <w:divsChild>
                <w:div w:id="486752012">
                  <w:marLeft w:val="0"/>
                  <w:marRight w:val="0"/>
                  <w:marTop w:val="0"/>
                  <w:marBottom w:val="0"/>
                  <w:divBdr>
                    <w:top w:val="none" w:sz="0" w:space="0" w:color="auto"/>
                    <w:left w:val="none" w:sz="0" w:space="0" w:color="auto"/>
                    <w:bottom w:val="none" w:sz="0" w:space="0" w:color="auto"/>
                    <w:right w:val="none" w:sz="0" w:space="0" w:color="auto"/>
                  </w:divBdr>
                  <w:divsChild>
                    <w:div w:id="933709636">
                      <w:marLeft w:val="0"/>
                      <w:marRight w:val="0"/>
                      <w:marTop w:val="0"/>
                      <w:marBottom w:val="0"/>
                      <w:divBdr>
                        <w:top w:val="none" w:sz="0" w:space="0" w:color="auto"/>
                        <w:left w:val="none" w:sz="0" w:space="0" w:color="auto"/>
                        <w:bottom w:val="none" w:sz="0" w:space="0" w:color="auto"/>
                        <w:right w:val="none" w:sz="0" w:space="0" w:color="auto"/>
                      </w:divBdr>
                      <w:divsChild>
                        <w:div w:id="723604467">
                          <w:marLeft w:val="0"/>
                          <w:marRight w:val="0"/>
                          <w:marTop w:val="0"/>
                          <w:marBottom w:val="0"/>
                          <w:divBdr>
                            <w:top w:val="none" w:sz="0" w:space="0" w:color="auto"/>
                            <w:left w:val="none" w:sz="0" w:space="0" w:color="auto"/>
                            <w:bottom w:val="none" w:sz="0" w:space="0" w:color="auto"/>
                            <w:right w:val="none" w:sz="0" w:space="0" w:color="auto"/>
                          </w:divBdr>
                          <w:divsChild>
                            <w:div w:id="946814471">
                              <w:marLeft w:val="0"/>
                              <w:marRight w:val="0"/>
                              <w:marTop w:val="0"/>
                              <w:marBottom w:val="0"/>
                              <w:divBdr>
                                <w:top w:val="none" w:sz="0" w:space="0" w:color="auto"/>
                                <w:left w:val="none" w:sz="0" w:space="0" w:color="auto"/>
                                <w:bottom w:val="none" w:sz="0" w:space="0" w:color="auto"/>
                                <w:right w:val="none" w:sz="0" w:space="0" w:color="auto"/>
                              </w:divBdr>
                              <w:divsChild>
                                <w:div w:id="906107157">
                                  <w:marLeft w:val="0"/>
                                  <w:marRight w:val="0"/>
                                  <w:marTop w:val="0"/>
                                  <w:marBottom w:val="0"/>
                                  <w:divBdr>
                                    <w:top w:val="none" w:sz="0" w:space="0" w:color="auto"/>
                                    <w:left w:val="none" w:sz="0" w:space="0" w:color="auto"/>
                                    <w:bottom w:val="none" w:sz="0" w:space="0" w:color="auto"/>
                                    <w:right w:val="none" w:sz="0" w:space="0" w:color="auto"/>
                                  </w:divBdr>
                                  <w:divsChild>
                                    <w:div w:id="886070363">
                                      <w:marLeft w:val="0"/>
                                      <w:marRight w:val="0"/>
                                      <w:marTop w:val="0"/>
                                      <w:marBottom w:val="0"/>
                                      <w:divBdr>
                                        <w:top w:val="none" w:sz="0" w:space="0" w:color="auto"/>
                                        <w:left w:val="none" w:sz="0" w:space="0" w:color="auto"/>
                                        <w:bottom w:val="none" w:sz="0" w:space="0" w:color="auto"/>
                                        <w:right w:val="none" w:sz="0" w:space="0" w:color="auto"/>
                                      </w:divBdr>
                                      <w:divsChild>
                                        <w:div w:id="444354543">
                                          <w:marLeft w:val="0"/>
                                          <w:marRight w:val="0"/>
                                          <w:marTop w:val="0"/>
                                          <w:marBottom w:val="0"/>
                                          <w:divBdr>
                                            <w:top w:val="none" w:sz="0" w:space="0" w:color="auto"/>
                                            <w:left w:val="none" w:sz="0" w:space="0" w:color="auto"/>
                                            <w:bottom w:val="none" w:sz="0" w:space="0" w:color="auto"/>
                                            <w:right w:val="none" w:sz="0" w:space="0" w:color="auto"/>
                                          </w:divBdr>
                                          <w:divsChild>
                                            <w:div w:id="6425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841558">
          <w:marLeft w:val="0"/>
          <w:marRight w:val="0"/>
          <w:marTop w:val="0"/>
          <w:marBottom w:val="0"/>
          <w:divBdr>
            <w:top w:val="none" w:sz="0" w:space="0" w:color="auto"/>
            <w:left w:val="none" w:sz="0" w:space="0" w:color="auto"/>
            <w:bottom w:val="none" w:sz="0" w:space="0" w:color="auto"/>
            <w:right w:val="none" w:sz="0" w:space="0" w:color="auto"/>
          </w:divBdr>
          <w:divsChild>
            <w:div w:id="1800567248">
              <w:marLeft w:val="0"/>
              <w:marRight w:val="0"/>
              <w:marTop w:val="0"/>
              <w:marBottom w:val="0"/>
              <w:divBdr>
                <w:top w:val="none" w:sz="0" w:space="0" w:color="auto"/>
                <w:left w:val="none" w:sz="0" w:space="0" w:color="auto"/>
                <w:bottom w:val="none" w:sz="0" w:space="0" w:color="auto"/>
                <w:right w:val="none" w:sz="0" w:space="0" w:color="auto"/>
              </w:divBdr>
              <w:divsChild>
                <w:div w:id="1561406737">
                  <w:marLeft w:val="0"/>
                  <w:marRight w:val="0"/>
                  <w:marTop w:val="0"/>
                  <w:marBottom w:val="0"/>
                  <w:divBdr>
                    <w:top w:val="none" w:sz="0" w:space="0" w:color="auto"/>
                    <w:left w:val="none" w:sz="0" w:space="0" w:color="auto"/>
                    <w:bottom w:val="none" w:sz="0" w:space="0" w:color="auto"/>
                    <w:right w:val="none" w:sz="0" w:space="0" w:color="auto"/>
                  </w:divBdr>
                </w:div>
                <w:div w:id="2004579361">
                  <w:marLeft w:val="0"/>
                  <w:marRight w:val="0"/>
                  <w:marTop w:val="0"/>
                  <w:marBottom w:val="0"/>
                  <w:divBdr>
                    <w:top w:val="none" w:sz="0" w:space="0" w:color="auto"/>
                    <w:left w:val="none" w:sz="0" w:space="0" w:color="auto"/>
                    <w:bottom w:val="none" w:sz="0" w:space="0" w:color="auto"/>
                    <w:right w:val="none" w:sz="0" w:space="0" w:color="auto"/>
                  </w:divBdr>
                </w:div>
                <w:div w:id="14251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04322">
          <w:marLeft w:val="0"/>
          <w:marRight w:val="0"/>
          <w:marTop w:val="0"/>
          <w:marBottom w:val="0"/>
          <w:divBdr>
            <w:top w:val="none" w:sz="0" w:space="0" w:color="auto"/>
            <w:left w:val="none" w:sz="0" w:space="0" w:color="auto"/>
            <w:bottom w:val="none" w:sz="0" w:space="0" w:color="auto"/>
            <w:right w:val="none" w:sz="0" w:space="0" w:color="auto"/>
          </w:divBdr>
          <w:divsChild>
            <w:div w:id="1913730833">
              <w:marLeft w:val="0"/>
              <w:marRight w:val="0"/>
              <w:marTop w:val="0"/>
              <w:marBottom w:val="0"/>
              <w:divBdr>
                <w:top w:val="none" w:sz="0" w:space="0" w:color="auto"/>
                <w:left w:val="none" w:sz="0" w:space="0" w:color="auto"/>
                <w:bottom w:val="none" w:sz="0" w:space="0" w:color="auto"/>
                <w:right w:val="none" w:sz="0" w:space="0" w:color="auto"/>
              </w:divBdr>
              <w:divsChild>
                <w:div w:id="1261915451">
                  <w:marLeft w:val="0"/>
                  <w:marRight w:val="0"/>
                  <w:marTop w:val="0"/>
                  <w:marBottom w:val="0"/>
                  <w:divBdr>
                    <w:top w:val="none" w:sz="0" w:space="0" w:color="auto"/>
                    <w:left w:val="none" w:sz="0" w:space="0" w:color="auto"/>
                    <w:bottom w:val="none" w:sz="0" w:space="0" w:color="auto"/>
                    <w:right w:val="none" w:sz="0" w:space="0" w:color="auto"/>
                  </w:divBdr>
                  <w:divsChild>
                    <w:div w:id="43604964">
                      <w:marLeft w:val="0"/>
                      <w:marRight w:val="0"/>
                      <w:marTop w:val="0"/>
                      <w:marBottom w:val="0"/>
                      <w:divBdr>
                        <w:top w:val="none" w:sz="0" w:space="0" w:color="auto"/>
                        <w:left w:val="none" w:sz="0" w:space="0" w:color="auto"/>
                        <w:bottom w:val="none" w:sz="0" w:space="0" w:color="auto"/>
                        <w:right w:val="none" w:sz="0" w:space="0" w:color="auto"/>
                      </w:divBdr>
                      <w:divsChild>
                        <w:div w:id="1945767530">
                          <w:marLeft w:val="0"/>
                          <w:marRight w:val="0"/>
                          <w:marTop w:val="0"/>
                          <w:marBottom w:val="0"/>
                          <w:divBdr>
                            <w:top w:val="none" w:sz="0" w:space="0" w:color="auto"/>
                            <w:left w:val="none" w:sz="0" w:space="0" w:color="auto"/>
                            <w:bottom w:val="none" w:sz="0" w:space="0" w:color="auto"/>
                            <w:right w:val="none" w:sz="0" w:space="0" w:color="auto"/>
                          </w:divBdr>
                          <w:divsChild>
                            <w:div w:id="854146899">
                              <w:marLeft w:val="0"/>
                              <w:marRight w:val="0"/>
                              <w:marTop w:val="0"/>
                              <w:marBottom w:val="0"/>
                              <w:divBdr>
                                <w:top w:val="none" w:sz="0" w:space="0" w:color="auto"/>
                                <w:left w:val="none" w:sz="0" w:space="0" w:color="auto"/>
                                <w:bottom w:val="none" w:sz="0" w:space="0" w:color="auto"/>
                                <w:right w:val="none" w:sz="0" w:space="0" w:color="auto"/>
                              </w:divBdr>
                              <w:divsChild>
                                <w:div w:id="748237083">
                                  <w:marLeft w:val="0"/>
                                  <w:marRight w:val="0"/>
                                  <w:marTop w:val="0"/>
                                  <w:marBottom w:val="0"/>
                                  <w:divBdr>
                                    <w:top w:val="none" w:sz="0" w:space="0" w:color="auto"/>
                                    <w:left w:val="none" w:sz="0" w:space="0" w:color="auto"/>
                                    <w:bottom w:val="none" w:sz="0" w:space="0" w:color="auto"/>
                                    <w:right w:val="none" w:sz="0" w:space="0" w:color="auto"/>
                                  </w:divBdr>
                                  <w:divsChild>
                                    <w:div w:id="684093055">
                                      <w:marLeft w:val="0"/>
                                      <w:marRight w:val="0"/>
                                      <w:marTop w:val="0"/>
                                      <w:marBottom w:val="0"/>
                                      <w:divBdr>
                                        <w:top w:val="none" w:sz="0" w:space="0" w:color="auto"/>
                                        <w:left w:val="none" w:sz="0" w:space="0" w:color="auto"/>
                                        <w:bottom w:val="none" w:sz="0" w:space="0" w:color="auto"/>
                                        <w:right w:val="none" w:sz="0" w:space="0" w:color="auto"/>
                                      </w:divBdr>
                                      <w:divsChild>
                                        <w:div w:id="14063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8090">
                                  <w:marLeft w:val="0"/>
                                  <w:marRight w:val="0"/>
                                  <w:marTop w:val="0"/>
                                  <w:marBottom w:val="0"/>
                                  <w:divBdr>
                                    <w:top w:val="none" w:sz="0" w:space="0" w:color="auto"/>
                                    <w:left w:val="none" w:sz="0" w:space="0" w:color="auto"/>
                                    <w:bottom w:val="none" w:sz="0" w:space="0" w:color="auto"/>
                                    <w:right w:val="none" w:sz="0" w:space="0" w:color="auto"/>
                                  </w:divBdr>
                                  <w:divsChild>
                                    <w:div w:id="25373767">
                                      <w:marLeft w:val="0"/>
                                      <w:marRight w:val="0"/>
                                      <w:marTop w:val="0"/>
                                      <w:marBottom w:val="0"/>
                                      <w:divBdr>
                                        <w:top w:val="none" w:sz="0" w:space="0" w:color="auto"/>
                                        <w:left w:val="none" w:sz="0" w:space="0" w:color="auto"/>
                                        <w:bottom w:val="none" w:sz="0" w:space="0" w:color="auto"/>
                                        <w:right w:val="none" w:sz="0" w:space="0" w:color="auto"/>
                                      </w:divBdr>
                                      <w:divsChild>
                                        <w:div w:id="1426152750">
                                          <w:marLeft w:val="0"/>
                                          <w:marRight w:val="0"/>
                                          <w:marTop w:val="0"/>
                                          <w:marBottom w:val="0"/>
                                          <w:divBdr>
                                            <w:top w:val="none" w:sz="0" w:space="0" w:color="auto"/>
                                            <w:left w:val="none" w:sz="0" w:space="0" w:color="auto"/>
                                            <w:bottom w:val="none" w:sz="0" w:space="0" w:color="auto"/>
                                            <w:right w:val="none" w:sz="0" w:space="0" w:color="auto"/>
                                          </w:divBdr>
                                          <w:divsChild>
                                            <w:div w:id="1552229260">
                                              <w:marLeft w:val="0"/>
                                              <w:marRight w:val="0"/>
                                              <w:marTop w:val="0"/>
                                              <w:marBottom w:val="0"/>
                                              <w:divBdr>
                                                <w:top w:val="none" w:sz="0" w:space="0" w:color="auto"/>
                                                <w:left w:val="none" w:sz="0" w:space="0" w:color="auto"/>
                                                <w:bottom w:val="none" w:sz="0" w:space="0" w:color="auto"/>
                                                <w:right w:val="none" w:sz="0" w:space="0" w:color="auto"/>
                                              </w:divBdr>
                                              <w:divsChild>
                                                <w:div w:id="16324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746">
                                          <w:marLeft w:val="0"/>
                                          <w:marRight w:val="0"/>
                                          <w:marTop w:val="0"/>
                                          <w:marBottom w:val="0"/>
                                          <w:divBdr>
                                            <w:top w:val="none" w:sz="0" w:space="0" w:color="auto"/>
                                            <w:left w:val="none" w:sz="0" w:space="0" w:color="auto"/>
                                            <w:bottom w:val="none" w:sz="0" w:space="0" w:color="auto"/>
                                            <w:right w:val="none" w:sz="0" w:space="0" w:color="auto"/>
                                          </w:divBdr>
                                          <w:divsChild>
                                            <w:div w:id="1970813749">
                                              <w:marLeft w:val="0"/>
                                              <w:marRight w:val="0"/>
                                              <w:marTop w:val="0"/>
                                              <w:marBottom w:val="0"/>
                                              <w:divBdr>
                                                <w:top w:val="none" w:sz="0" w:space="0" w:color="auto"/>
                                                <w:left w:val="none" w:sz="0" w:space="0" w:color="auto"/>
                                                <w:bottom w:val="none" w:sz="0" w:space="0" w:color="auto"/>
                                                <w:right w:val="none" w:sz="0" w:space="0" w:color="auto"/>
                                              </w:divBdr>
                                              <w:divsChild>
                                                <w:div w:id="1415056004">
                                                  <w:marLeft w:val="0"/>
                                                  <w:marRight w:val="0"/>
                                                  <w:marTop w:val="0"/>
                                                  <w:marBottom w:val="0"/>
                                                  <w:divBdr>
                                                    <w:top w:val="none" w:sz="0" w:space="0" w:color="auto"/>
                                                    <w:left w:val="none" w:sz="0" w:space="0" w:color="auto"/>
                                                    <w:bottom w:val="none" w:sz="0" w:space="0" w:color="auto"/>
                                                    <w:right w:val="none" w:sz="0" w:space="0" w:color="auto"/>
                                                  </w:divBdr>
                                                  <w:divsChild>
                                                    <w:div w:id="14341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224">
                                          <w:marLeft w:val="0"/>
                                          <w:marRight w:val="0"/>
                                          <w:marTop w:val="0"/>
                                          <w:marBottom w:val="0"/>
                                          <w:divBdr>
                                            <w:top w:val="none" w:sz="0" w:space="0" w:color="auto"/>
                                            <w:left w:val="none" w:sz="0" w:space="0" w:color="auto"/>
                                            <w:bottom w:val="none" w:sz="0" w:space="0" w:color="auto"/>
                                            <w:right w:val="none" w:sz="0" w:space="0" w:color="auto"/>
                                          </w:divBdr>
                                          <w:divsChild>
                                            <w:div w:id="6338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jpbs/fulltext/2023/15001/public_health_dentistry_as_a_career_choice__.112.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mc.ncbi.nlm.nih.gov/articles/PMC525601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pendentistryjournal.com/VOLUME/8/PAGE/129/" TargetMode="External"/><Relationship Id="rId4" Type="http://schemas.openxmlformats.org/officeDocument/2006/relationships/webSettings" Target="webSettings.xml"/><Relationship Id="rId9" Type="http://schemas.openxmlformats.org/officeDocument/2006/relationships/hyperlink" Target="https://bmcmededuc.biomedcentral.com/articles/10.1186/s12909-022-0352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Mathi Kamala Kannan</dc:creator>
  <cp:keywords/>
  <dc:description/>
  <cp:lastModifiedBy>SDI 1084</cp:lastModifiedBy>
  <cp:revision>88</cp:revision>
  <dcterms:created xsi:type="dcterms:W3CDTF">2025-11-11T03:51:00Z</dcterms:created>
  <dcterms:modified xsi:type="dcterms:W3CDTF">2026-02-18T08:25:00Z</dcterms:modified>
</cp:coreProperties>
</file>