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95DA4" w14:textId="77777777" w:rsidR="00122A72" w:rsidRPr="00122A72" w:rsidRDefault="00122A72" w:rsidP="00122A72">
      <w:pPr>
        <w:pStyle w:val="Heading1"/>
        <w:rPr>
          <w:i/>
          <w:iCs/>
          <w:sz w:val="48"/>
          <w:u w:val="single"/>
        </w:rPr>
      </w:pPr>
      <w:bookmarkStart w:id="0" w:name="_GoBack"/>
      <w:bookmarkEnd w:id="0"/>
      <w:r w:rsidRPr="00122A72">
        <w:rPr>
          <w:i/>
          <w:iCs/>
          <w:sz w:val="48"/>
          <w:u w:val="single"/>
        </w:rPr>
        <w:t>Review Article</w:t>
      </w:r>
    </w:p>
    <w:p w14:paraId="6B100BBA" w14:textId="77777777" w:rsidR="009B0E43" w:rsidRPr="009B0E43" w:rsidRDefault="009B0E43" w:rsidP="00565D3E">
      <w:pPr>
        <w:pStyle w:val="Heading1"/>
        <w:spacing w:before="0" w:after="0" w:line="240" w:lineRule="auto"/>
        <w:rPr>
          <w:sz w:val="48"/>
          <w:lang w:val="en-GB"/>
        </w:rPr>
      </w:pPr>
      <w:r w:rsidRPr="009B0E43">
        <w:rPr>
          <w:sz w:val="48"/>
          <w:lang w:val="en-GB"/>
        </w:rPr>
        <w:t>Multiparametric Cardiac M</w:t>
      </w:r>
      <w:r>
        <w:rPr>
          <w:sz w:val="48"/>
          <w:lang w:val="en-GB"/>
        </w:rPr>
        <w:t>RI</w:t>
      </w:r>
      <w:r w:rsidRPr="009B0E43">
        <w:rPr>
          <w:sz w:val="48"/>
          <w:lang w:val="en-GB"/>
        </w:rPr>
        <w:t xml:space="preserve"> In Myocarditis, N</w:t>
      </w:r>
      <w:r>
        <w:rPr>
          <w:sz w:val="48"/>
          <w:lang w:val="en-GB"/>
        </w:rPr>
        <w:t>on-Ischaemic Cardiomyopathies, a</w:t>
      </w:r>
      <w:r w:rsidRPr="009B0E43">
        <w:rPr>
          <w:sz w:val="48"/>
          <w:lang w:val="en-GB"/>
        </w:rPr>
        <w:t>nd Silent Myocardial Ischaemia: Diagnos</w:t>
      </w:r>
      <w:r>
        <w:rPr>
          <w:sz w:val="48"/>
          <w:lang w:val="en-GB"/>
        </w:rPr>
        <w:t xml:space="preserve">tic </w:t>
      </w:r>
      <w:proofErr w:type="gramStart"/>
      <w:r>
        <w:rPr>
          <w:sz w:val="48"/>
          <w:lang w:val="en-GB"/>
        </w:rPr>
        <w:t>And</w:t>
      </w:r>
      <w:proofErr w:type="gramEnd"/>
      <w:r>
        <w:rPr>
          <w:sz w:val="48"/>
          <w:lang w:val="en-GB"/>
        </w:rPr>
        <w:t xml:space="preserve"> Prognostic Integration i</w:t>
      </w:r>
      <w:r w:rsidRPr="009B0E43">
        <w:rPr>
          <w:sz w:val="48"/>
          <w:lang w:val="en-GB"/>
        </w:rPr>
        <w:t>n Modern Cardiology</w:t>
      </w:r>
    </w:p>
    <w:p w14:paraId="619ECB37" w14:textId="77777777" w:rsidR="00565D3E" w:rsidRDefault="00565D3E" w:rsidP="009B0E43">
      <w:pPr>
        <w:pStyle w:val="Heading2"/>
        <w:rPr>
          <w:lang w:val="en-GB"/>
        </w:rPr>
      </w:pPr>
    </w:p>
    <w:p w14:paraId="23E6E582" w14:textId="77777777" w:rsidR="009B0E43" w:rsidRPr="009B0E43" w:rsidRDefault="009B0E43" w:rsidP="009B0E43">
      <w:pPr>
        <w:pStyle w:val="Heading2"/>
        <w:rPr>
          <w:lang w:val="en-GB"/>
        </w:rPr>
      </w:pPr>
      <w:r w:rsidRPr="009B0E43">
        <w:rPr>
          <w:lang w:val="en-GB"/>
        </w:rPr>
        <w:t>Abstract</w:t>
      </w:r>
    </w:p>
    <w:p w14:paraId="6BFF6E9C" w14:textId="77777777" w:rsidR="009B0E43" w:rsidRPr="009B0E43" w:rsidRDefault="009B0E43" w:rsidP="009B0E43">
      <w:pPr>
        <w:pStyle w:val="NormalWeb"/>
        <w:rPr>
          <w:lang w:val="en-GB"/>
        </w:rPr>
      </w:pPr>
      <w:r w:rsidRPr="009B0E43">
        <w:rPr>
          <w:lang w:val="en-GB"/>
        </w:rPr>
        <w:t>Cardiac magnetic resonance imaging, more precisely cardiovascular magnetic resonance (CMR), has moved from a predominantly morphological tool to a comprehensive method for myocardial tissue characterisation, perfusion assessment, and risk stratification. Its strongest contemporary contribution lies in multiparametric integration, whereby cine imaging, late gadolinium enhancement, T1 mapping, T2 mapping, extracellular volume estimation, and stress perfusion are interpreted together rather than in isolation. This integrated approach is particularly valuable in myocarditis, non-ischaemic cardiomyopathies, and silent myocardial ischaemia, three settings in which symptoms and routine tests often underestimate the true extent or nature of myocardial disease. In myocarditis, CMR has improved non-invasive diagnosis through the updated Lake Louise framework and has also emerged as a prognostic tool through the identification of residual scar, ventricular dysfunction, and persistent tissue abnormality. In non-ischaemic cardiomyopathies, CMR refines phenotyping across dilated, hypertrophic, infiltrative, and inflammatory disorders while adding prognostic information that extends beyond left ventricular ejection fraction alone. In silent myocardial ischaemia, stress perfusion CMR and scar imaging disclose inducible perfusion abnormalities, microvascular dysfunction, and unrecognised infarction, thereby linking clinically occult disease to future cardiovascular events. The central modern challenge is no longer whether CMR can detect abnormality, but how its multiple qualitative and quantitative signals should be synthesised with clinical data, biomarkers, and sometimes genetics to guide management. This review examines the diagnostic and prognostic value of multiparametric CMR across these three domains and argues that its greatest importance in contemporary cardiology lies in biologically informed integration rather than single-sequence interpretation.</w:t>
      </w:r>
    </w:p>
    <w:p w14:paraId="41435454" w14:textId="77777777" w:rsidR="009B0E43" w:rsidRPr="009B0E43" w:rsidRDefault="009B0E43" w:rsidP="009B0E43">
      <w:pPr>
        <w:pStyle w:val="NormalWeb"/>
        <w:rPr>
          <w:lang w:val="en-GB"/>
        </w:rPr>
      </w:pPr>
      <w:r w:rsidRPr="009B0E43">
        <w:rPr>
          <w:rStyle w:val="Strong"/>
          <w:lang w:val="en-GB"/>
        </w:rPr>
        <w:t>Keywords:</w:t>
      </w:r>
      <w:r w:rsidRPr="009B0E43">
        <w:rPr>
          <w:lang w:val="en-GB"/>
        </w:rPr>
        <w:t xml:space="preserve"> cardiac magnetic resonance, cardiovascular magnetic resonance, myocarditis, non-ischaemic cardiomyopathy, silent myocardial ischaemia, stress perfusion, late gadolinium enhancement, T1 mapping, T2 mapping, extracellular volume</w:t>
      </w:r>
    </w:p>
    <w:p w14:paraId="4F06E585" w14:textId="77777777" w:rsidR="009B0E43" w:rsidRPr="009B0E43" w:rsidRDefault="009B0E43" w:rsidP="009B0E43">
      <w:pPr>
        <w:pStyle w:val="Heading2"/>
        <w:rPr>
          <w:lang w:val="en-GB"/>
        </w:rPr>
      </w:pPr>
      <w:r w:rsidRPr="009B0E43">
        <w:rPr>
          <w:lang w:val="en-GB"/>
        </w:rPr>
        <w:lastRenderedPageBreak/>
        <w:t>1. Introduction</w:t>
      </w:r>
    </w:p>
    <w:p w14:paraId="569FF256" w14:textId="77777777" w:rsidR="009B0E43" w:rsidRPr="009B0E43" w:rsidRDefault="009B0E43" w:rsidP="009B0E43">
      <w:pPr>
        <w:pStyle w:val="NormalWeb"/>
        <w:rPr>
          <w:lang w:val="en-GB"/>
        </w:rPr>
      </w:pPr>
      <w:r w:rsidRPr="009B0E43">
        <w:rPr>
          <w:lang w:val="en-GB"/>
        </w:rPr>
        <w:t xml:space="preserve">Cardiovascular medicine increasingly depends on precise phenotyping rather than broad descriptive labels alone. In that environment, cardiac magnetic resonance imaging has become uniquely important because it can assess cardiac volumes, function, tissue composition, and perfusion within one examination. Unlike methods that focus mainly on anatomy or </w:t>
      </w:r>
      <w:proofErr w:type="spellStart"/>
      <w:r w:rsidRPr="009B0E43">
        <w:rPr>
          <w:lang w:val="en-GB"/>
        </w:rPr>
        <w:t>haemodynamics</w:t>
      </w:r>
      <w:proofErr w:type="spellEnd"/>
      <w:r w:rsidRPr="009B0E43">
        <w:rPr>
          <w:lang w:val="en-GB"/>
        </w:rPr>
        <w:t xml:space="preserve">, multiparametric CMR provides direct or indirect insight into myocardial oedema, necrosis, replacement fibrosis, diffuse interstitial expansion, and inducible ischaemia. This has made it particularly valuable in disorders where symptoms, electrocardiography, echocardiography, and circulating biomarkers do not fully explain the underlying myocardial process. Myocarditis, non-ischaemic cardiomyopathies, and silent myocardial ischaemia exemplify this problem and also illustrate why CMR has become central to contemporary cardiology (Friedrich et al., 2009; Kramer et al., 2020; </w:t>
      </w:r>
      <w:proofErr w:type="spellStart"/>
      <w:r w:rsidRPr="009B0E43">
        <w:rPr>
          <w:lang w:val="en-GB"/>
        </w:rPr>
        <w:t>Hosadurg</w:t>
      </w:r>
      <w:proofErr w:type="spellEnd"/>
      <w:r w:rsidRPr="009B0E43">
        <w:rPr>
          <w:lang w:val="en-GB"/>
        </w:rPr>
        <w:t xml:space="preserve"> et al., 2025).</w:t>
      </w:r>
    </w:p>
    <w:p w14:paraId="5120B0F9" w14:textId="77777777" w:rsidR="009B0E43" w:rsidRPr="009B0E43" w:rsidRDefault="009B0E43" w:rsidP="009B0E43">
      <w:pPr>
        <w:pStyle w:val="NormalWeb"/>
        <w:rPr>
          <w:lang w:val="en-GB"/>
        </w:rPr>
      </w:pPr>
      <w:r w:rsidRPr="009B0E43">
        <w:rPr>
          <w:lang w:val="en-GB"/>
        </w:rPr>
        <w:t>The significance of CMR is no longer confined to diagnosis. Over the past decade, a substantial body of work has shown that late gadolinium enhancement, parametric mapping, extracellular volume, and perfusion abnormalities carry prognostic information independent of conventional metrics such as left ventricular ejection fraction. In myocarditis, the distinction between active inflammation and healed scar has implications for follow-up, exercise advice, and arrhythmic vigilance. In non-ischaemic cardiomyopathies, tissue characterisation often separates phenotypes that appear similar on echocardiography but differ considerably in mechanism and risk. In silent ischaemia, perfusion and scar imaging reveal a clinically hidden burden of coronary disease or prior infarction that may otherwise remain untreated. Accordingly, CMR now occupies a position between diagnosis and decision-making rather than serving as a purely confirmatory investigation (Ferreira et al., 2018; Gulati et al., 2013; Eichhorn et al., 2024; Hamilton-Craig et al., 2023).</w:t>
      </w:r>
    </w:p>
    <w:p w14:paraId="6E32113A" w14:textId="77777777" w:rsidR="009B0E43" w:rsidRPr="009B0E43" w:rsidRDefault="009B0E43" w:rsidP="009B0E43">
      <w:pPr>
        <w:pStyle w:val="NormalWeb"/>
        <w:rPr>
          <w:lang w:val="en-GB"/>
        </w:rPr>
      </w:pPr>
      <w:r w:rsidRPr="009B0E43">
        <w:rPr>
          <w:lang w:val="en-GB"/>
        </w:rPr>
        <w:t>Another reason for the growing importance of multiparametric CMR is that myocardial disorders often exist along a continuum rather than within neat diagnostic compartments. Acute inflammation may resolve completely, evolve into fibrosis, or contribute to a chronic cardiomyopathic phenotype. A non-ischaemic cardiomyopathy may include inflammatory, infiltrative, or arrhythmic substrates that cannot be inferred from chamber size alone. Silent myocardial ischaemia may culminate in unrecognised infarction, which then becomes visible as scar rather than as reversible perfusion abnormality. Because CMR captures these distinct biological states, it offers a coherent framework for integrating active injury, chronic substrate, and functional consequence. That integrated capacity is the focus of this review.</w:t>
      </w:r>
    </w:p>
    <w:p w14:paraId="11CBD6EF" w14:textId="77777777" w:rsidR="009B0E43" w:rsidRPr="009B0E43" w:rsidRDefault="009B0E43" w:rsidP="009B0E43">
      <w:pPr>
        <w:pStyle w:val="Heading3"/>
        <w:rPr>
          <w:lang w:val="en-GB"/>
        </w:rPr>
      </w:pPr>
      <w:r w:rsidRPr="009B0E43">
        <w:rPr>
          <w:lang w:val="en-GB"/>
        </w:rPr>
        <w:t>1.1. Scope and objective of the article</w:t>
      </w:r>
    </w:p>
    <w:p w14:paraId="540141D9" w14:textId="77777777" w:rsidR="009B0E43" w:rsidRPr="009B0E43" w:rsidRDefault="009B0E43" w:rsidP="009B0E43">
      <w:pPr>
        <w:pStyle w:val="NormalWeb"/>
        <w:rPr>
          <w:lang w:val="en-GB"/>
        </w:rPr>
      </w:pPr>
      <w:r w:rsidRPr="009B0E43">
        <w:rPr>
          <w:lang w:val="en-GB"/>
        </w:rPr>
        <w:t>The objective of this review is to examine how multiparametric cardiac MRI contributes to diagnosis and prognosis in myocarditis, non-ischaemic cardiomyopathies, and silent myocardial ischaemia, and to explain how these contributions can be integrated into a contemporary framework for clinical decision-making. The emphasis is on combined interpretation of functional, tissue, and perfusion data rather than isolated sequence findings.</w:t>
      </w:r>
    </w:p>
    <w:p w14:paraId="4F48166B" w14:textId="77777777" w:rsidR="009B0E43" w:rsidRPr="009B0E43" w:rsidRDefault="009B0E43" w:rsidP="009B0E43">
      <w:pPr>
        <w:pStyle w:val="Heading2"/>
        <w:rPr>
          <w:lang w:val="en-GB"/>
        </w:rPr>
      </w:pPr>
      <w:r w:rsidRPr="009B0E43">
        <w:rPr>
          <w:lang w:val="en-GB"/>
        </w:rPr>
        <w:t>2. Methods for literature selection</w:t>
      </w:r>
    </w:p>
    <w:p w14:paraId="1B90F8FD" w14:textId="77777777" w:rsidR="009B0E43" w:rsidRPr="009B0E43" w:rsidRDefault="009B0E43" w:rsidP="009B0E43">
      <w:pPr>
        <w:pStyle w:val="NormalWeb"/>
        <w:rPr>
          <w:lang w:val="en-GB"/>
        </w:rPr>
      </w:pPr>
      <w:r w:rsidRPr="009B0E43">
        <w:rPr>
          <w:lang w:val="en-GB"/>
        </w:rPr>
        <w:lastRenderedPageBreak/>
        <w:t>This review was developed as a focused narrative review informed by a structured literature search. PubMed, Web of Science, Scopus, and Google Scholar were searched for English-language publications from January 2005 to March 2026. Search strings combined terms such as “cardiac magnetic resonance”, “cardiovascular magnetic resonance”, “multiparametric CMR”, “myocarditis”, “Lake Louise criteria”, “non-ischaemic cardiomyopathy”, “dilated cardiomyopathy”, “hypertrophic cardiomyopathy”, “amyloidosis”, “sarcoidosis”, “stress perfusion CMR”, “silent ischaemia”, and “unrecognised myocardial infarction”. Priority was given to peer-reviewed original studies, meta-analyses, expert consensus documents, and major review articles from established academic journals. Duplicates, conference abstracts without full peer-reviewed publication, isolated case reports, and papers with insufficient methodological detail were excluded. Reference lists of key articles were also screened to identify influential papers relevant to diagnosis, phenotyping, and prognosis.</w:t>
      </w:r>
    </w:p>
    <w:p w14:paraId="23ACCDE4" w14:textId="77777777" w:rsidR="00490292" w:rsidRDefault="00490292" w:rsidP="00490292">
      <w:pPr>
        <w:pStyle w:val="Heading2"/>
      </w:pPr>
      <w:r>
        <w:t>3. Multiparametric CMR as an integrative platform</w:t>
      </w:r>
    </w:p>
    <w:p w14:paraId="37635E59" w14:textId="77777777" w:rsidR="00490292" w:rsidRDefault="00490292" w:rsidP="00490292">
      <w:pPr>
        <w:pStyle w:val="NormalWeb"/>
      </w:pPr>
      <w:r>
        <w:t xml:space="preserve">A contemporary CMR examination is best understood as an integrated diagnostic framework rather than a simple collection of separate imaging sequences. Its strength lies in the ability to assess cardiac morphology, ventricular function, tissue composition, and myocardial perfusion within a single examination, thereby allowing the clinician to move from description to mechanism. Cine imaging provides the structural and functional scaffold by defining ventricular volumes, mass, wall thickness, and regional wall motion. Late gadolinium enhancement identifies focal fibrosis, scar, or necrosis, thereby helping distinguish replacement fibrosis from normal myocardium and clarifying whether damage follows an </w:t>
      </w:r>
      <w:proofErr w:type="spellStart"/>
      <w:r>
        <w:t>ischaemic</w:t>
      </w:r>
      <w:proofErr w:type="spellEnd"/>
      <w:r>
        <w:t xml:space="preserve"> or non-</w:t>
      </w:r>
      <w:proofErr w:type="spellStart"/>
      <w:r>
        <w:t>ischaemic</w:t>
      </w:r>
      <w:proofErr w:type="spellEnd"/>
      <w:r>
        <w:t xml:space="preserve"> distribution. Native T1 mapping and extracellular volume fraction provide insight into diffuse interstitial expansion, whether related to inflammation, infiltration, or chronic fibrosis, whereas T2-based techniques reflect tissue water content and are especially valuable when myocardial oedema or active inflammatory injury is suspected. Stress perfusion imaging extends this framework by detecting inducible hypoperfusion and, in more advanced applications, by quantifying myocardial blood flow and myocardial perfusion reserve. Taken together, these components allow CMR to function not merely as an imaging test, but as a platform for myocardial phenotyping and clinical integration (Kramer et al., 2020; Ferreira et al., 2018; </w:t>
      </w:r>
      <w:proofErr w:type="spellStart"/>
      <w:r>
        <w:t>Chiribiri</w:t>
      </w:r>
      <w:proofErr w:type="spellEnd"/>
      <w:r>
        <w:t xml:space="preserve"> et al., 2025).</w:t>
      </w:r>
    </w:p>
    <w:p w14:paraId="7A2750D9" w14:textId="77777777" w:rsidR="00490292" w:rsidRDefault="00490292" w:rsidP="00490292">
      <w:pPr>
        <w:pStyle w:val="NormalWeb"/>
      </w:pPr>
      <w:r>
        <w:t xml:space="preserve">The idea of integration is central because no single component of CMR is fully sufficient on its own. A reduced ejection fraction may indicate advanced myocardial disease, but it says little about the underlying biological process. Likewise, an isolated area of late gadolinium enhancement can identify focal scar, yet without the context of ventricular </w:t>
      </w:r>
      <w:proofErr w:type="spellStart"/>
      <w:r>
        <w:t>remodelling</w:t>
      </w:r>
      <w:proofErr w:type="spellEnd"/>
      <w:r>
        <w:t xml:space="preserve">, </w:t>
      </w:r>
      <w:proofErr w:type="spellStart"/>
      <w:r>
        <w:t>oedema</w:t>
      </w:r>
      <w:proofErr w:type="spellEnd"/>
      <w:r>
        <w:t xml:space="preserve">-sensitive markers, or perfusion status, its diagnostic and prognostic meaning may remain incomplete. Mapping abnormalities illustrate the same principle. Elevated native T1 may reflect diffuse fibrosis, oedema, or infiltration, but it is the surrounding pattern of findings that determines which explanation is most plausible. CMR therefore gains its greatest value when the various parameters are interpreted together as interlocking indicators of myocardial biology. In modern cardiology, this integrative reading is especially important because many cardiac disorders share overlapping clinical presentations while differing greatly in substrate and prognosis. Multiparametric CMR helps resolve that ambiguity by revealing whether the </w:t>
      </w:r>
      <w:r>
        <w:lastRenderedPageBreak/>
        <w:t xml:space="preserve">dominant abnormality reflects active injury, chronic scar, diffuse interstitial change, or physiologically significant perfusion disturbance (Ferreira et al., 2018; </w:t>
      </w:r>
      <w:proofErr w:type="spellStart"/>
      <w:r>
        <w:t>Hosadurg</w:t>
      </w:r>
      <w:proofErr w:type="spellEnd"/>
      <w:r>
        <w:t xml:space="preserve"> et al., 2025).</w:t>
      </w:r>
    </w:p>
    <w:p w14:paraId="515590D6" w14:textId="77777777" w:rsidR="00490292" w:rsidRDefault="00490292" w:rsidP="00490292">
      <w:pPr>
        <w:pStyle w:val="NormalWeb"/>
      </w:pPr>
      <w:r>
        <w:t xml:space="preserve">Another important aspect of CMR as an integrative platform is </w:t>
      </w:r>
      <w:proofErr w:type="spellStart"/>
      <w:r>
        <w:t>standardisation</w:t>
      </w:r>
      <w:proofErr w:type="spellEnd"/>
      <w:r>
        <w:t xml:space="preserve">. A technique becomes clinically powerful only when its acquisition and interpretation can be reproduced across </w:t>
      </w:r>
      <w:proofErr w:type="spellStart"/>
      <w:r>
        <w:t>centres</w:t>
      </w:r>
      <w:proofErr w:type="spellEnd"/>
      <w:r>
        <w:t xml:space="preserve">. </w:t>
      </w:r>
      <w:proofErr w:type="spellStart"/>
      <w:r>
        <w:t>Standardised</w:t>
      </w:r>
      <w:proofErr w:type="spellEnd"/>
      <w:r>
        <w:t xml:space="preserve"> CMR protocols help ensure that core components such as cine imaging, LGE, mapping, and perfusion are obtained in a consistent and clinically meaningful way. This is not merely a technical concern. </w:t>
      </w:r>
      <w:proofErr w:type="spellStart"/>
      <w:r>
        <w:t>Standardisation</w:t>
      </w:r>
      <w:proofErr w:type="spellEnd"/>
      <w:r>
        <w:t xml:space="preserve"> underpins the reliability of serial follow-up, multicentre comparison, and risk interpretation. If the examination is performed systematically, the clinician can compare present findings with previous studies, relate them to established disease patterns, and use them more confidently in therapeutic discussions. In this sense, protocol </w:t>
      </w:r>
      <w:proofErr w:type="spellStart"/>
      <w:r>
        <w:t>standardisation</w:t>
      </w:r>
      <w:proofErr w:type="spellEnd"/>
      <w:r>
        <w:t xml:space="preserve"> is not separate from clinical integration; it is one of the conditions that makes integration trustworthy and scalable in routine practice (Kramer et al., 2020).</w:t>
      </w:r>
    </w:p>
    <w:p w14:paraId="5AA25342" w14:textId="77777777" w:rsidR="00490292" w:rsidRDefault="00490292" w:rsidP="00490292">
      <w:pPr>
        <w:pStyle w:val="NormalWeb"/>
      </w:pPr>
      <w:r>
        <w:t>The clinical usefulness of this platform becomes clearer when one considers the questions it can answer. First, CMR can define phenotype with a level of precision that conventional functional imaging alone often cannot achieve. A dilated ventricle may reflect primary non-</w:t>
      </w:r>
      <w:proofErr w:type="spellStart"/>
      <w:r>
        <w:t>ischaemic</w:t>
      </w:r>
      <w:proofErr w:type="spellEnd"/>
      <w:r>
        <w:t xml:space="preserve"> cardiomyopathy, inflammatory injury, occult </w:t>
      </w:r>
      <w:proofErr w:type="spellStart"/>
      <w:r>
        <w:t>ischaemic</w:t>
      </w:r>
      <w:proofErr w:type="spellEnd"/>
      <w:r>
        <w:t xml:space="preserve"> scar, or mixed pathology, and the distinction matters because each carries different therapeutic and prognostic implications. Secondly, CMR can distinguish active from chronic processes. Oedema-sensitive and injury-sensitive markers together can suggest whether disease is currently active or whether the principal finding is a residual fibrotic substrate left by prior injury. Thirdly, CMR can relate visible abnormalities to risk. Focal scar, diffuse interstitial expansion, and perfusion impairment may all influence prognosis in ways that are not captured adequately by chamber size or global systolic function alone. This ability to answer questions of phenotype, disease activity, and probable risk within one modality is what makes multiparametric CMR particularly valuable in modern cardiovascular practice (Ferreira et al., 2018; </w:t>
      </w:r>
      <w:proofErr w:type="spellStart"/>
      <w:r>
        <w:t>Hosadurg</w:t>
      </w:r>
      <w:proofErr w:type="spellEnd"/>
      <w:r>
        <w:t xml:space="preserve"> et al., 2025; </w:t>
      </w:r>
      <w:proofErr w:type="spellStart"/>
      <w:r>
        <w:t>Chiribiri</w:t>
      </w:r>
      <w:proofErr w:type="spellEnd"/>
      <w:r>
        <w:t xml:space="preserve"> et al., 2025).</w:t>
      </w:r>
    </w:p>
    <w:p w14:paraId="2060EBF0" w14:textId="77777777" w:rsidR="00490292" w:rsidRDefault="00490292" w:rsidP="00490292">
      <w:pPr>
        <w:pStyle w:val="NormalWeb"/>
      </w:pPr>
      <w:r>
        <w:t>The platform is also integrative in a broader clinical sense because it links imaging findings to decision-making. CMR does not operate in isolation from history, biomarkers, electrocardiography, or invasive assessment when required; rather, it provides a tissue-based framework into which those other data can be placed. When interpreted properly, the examination helps clarify whether an apparently similar clinical syndrome in two patients actually represents the same myocardial disease. This is especially important in an era of precision cardiology, where management depends increasingly on the nature of myocardial substrate and not simply on whether the ventricle is thickened, dilated, or impaired. In that regard, CMR has evolved beyond a confirmatory role. It now often shapes downstream choices by clarifying the biological meaning of structural abnormalities and by strengthening the link between imaging phenotype and clinical strategy (</w:t>
      </w:r>
      <w:proofErr w:type="spellStart"/>
      <w:r>
        <w:t>Hosadurg</w:t>
      </w:r>
      <w:proofErr w:type="spellEnd"/>
      <w:r>
        <w:t xml:space="preserve"> et al., 2025; </w:t>
      </w:r>
      <w:proofErr w:type="spellStart"/>
      <w:r>
        <w:t>Chiribiri</w:t>
      </w:r>
      <w:proofErr w:type="spellEnd"/>
      <w:r>
        <w:t xml:space="preserve"> et al., 2025).</w:t>
      </w:r>
    </w:p>
    <w:p w14:paraId="41480B50" w14:textId="77777777" w:rsidR="00490292" w:rsidRDefault="00490292" w:rsidP="00490292">
      <w:pPr>
        <w:pStyle w:val="NormalWeb"/>
      </w:pPr>
      <w:r>
        <w:t xml:space="preserve">A further strength of multiparametric CMR is that it encourages a more nuanced view of myocardial disease as a continuum rather than a set of rigid categories. Inflammatory injury may progress to chronic fibrosis. Diffuse interstitial expansion may precede overt ventricular </w:t>
      </w:r>
      <w:proofErr w:type="spellStart"/>
      <w:r>
        <w:t>remodelling</w:t>
      </w:r>
      <w:proofErr w:type="spellEnd"/>
      <w:r>
        <w:t xml:space="preserve">. Perfusion abnormality may coexist with or evolve into scar. Because CMR captures these states in a complementary way, it is particularly well suited to diseases that unfold over </w:t>
      </w:r>
      <w:r>
        <w:lastRenderedPageBreak/>
        <w:t>time or contain overlapping components. This is one reason why the modality has become so important in conditions such as myocarditis, non-</w:t>
      </w:r>
      <w:proofErr w:type="spellStart"/>
      <w:r>
        <w:t>ischaemic</w:t>
      </w:r>
      <w:proofErr w:type="spellEnd"/>
      <w:r>
        <w:t xml:space="preserve"> cardiomyopathies, and silent myocardial </w:t>
      </w:r>
      <w:proofErr w:type="spellStart"/>
      <w:r>
        <w:t>ischaemia</w:t>
      </w:r>
      <w:proofErr w:type="spellEnd"/>
      <w:r>
        <w:t xml:space="preserve">. In each of these, the clinical problem is not simply whether the heart is abnormal, but what type of abnormality is present, whether it is active, and what that implies for future risk. Multiparametric CMR provides a practical method for answering those questions within a single coherent examination (Ferreira et al., 2018; </w:t>
      </w:r>
      <w:proofErr w:type="spellStart"/>
      <w:r>
        <w:t>Hosadurg</w:t>
      </w:r>
      <w:proofErr w:type="spellEnd"/>
      <w:r>
        <w:t xml:space="preserve"> et al., 2025).</w:t>
      </w:r>
    </w:p>
    <w:p w14:paraId="03E6CD97" w14:textId="77777777" w:rsidR="00490292" w:rsidRDefault="00490292" w:rsidP="00490292">
      <w:pPr>
        <w:pStyle w:val="NormalWeb"/>
      </w:pPr>
      <w:r>
        <w:t xml:space="preserve">Finally, the concept of an integrative platform increasingly includes quantification. The movement towards quantitative perfusion, reference-based mapping interpretation, and more reproducible scar estimation reflects the wider maturation of CMR from expert visual assessment towards </w:t>
      </w:r>
      <w:proofErr w:type="spellStart"/>
      <w:r>
        <w:t>standardised</w:t>
      </w:r>
      <w:proofErr w:type="spellEnd"/>
      <w:r>
        <w:t xml:space="preserve"> biological measurement. Quantification does not replace interpretative judgement, but it strengthens it by making findings more comparable across patients and over time. As these methods become more widely implemented, the role of CMR as an integrative platform is likely to grow further. Its future importance will depend not only on its capacity to show abnormality, but also on its ability to measure myocardial disease in a reproducible way that supports diagnosis, prognosis, and treatment planning within the same clinical pathway (Kramer et al., 2020; </w:t>
      </w:r>
      <w:proofErr w:type="spellStart"/>
      <w:r>
        <w:t>Chiribiri</w:t>
      </w:r>
      <w:proofErr w:type="spellEnd"/>
      <w:r>
        <w:t xml:space="preserve"> et al., 2025).</w:t>
      </w:r>
    </w:p>
    <w:p w14:paraId="4869BEF2" w14:textId="77777777" w:rsidR="00490292" w:rsidRDefault="00490292" w:rsidP="009B0E43">
      <w:pPr>
        <w:pStyle w:val="Heading2"/>
        <w:rPr>
          <w:lang w:val="en-GB"/>
        </w:rPr>
      </w:pPr>
    </w:p>
    <w:p w14:paraId="1BCF2062" w14:textId="77777777" w:rsidR="009B0E43" w:rsidRPr="009B0E43" w:rsidRDefault="009B0E43" w:rsidP="009B0E43">
      <w:pPr>
        <w:pStyle w:val="Heading2"/>
        <w:rPr>
          <w:lang w:val="en-GB"/>
        </w:rPr>
      </w:pPr>
      <w:r w:rsidRPr="009B0E43">
        <w:rPr>
          <w:lang w:val="en-GB"/>
        </w:rPr>
        <w:t>4. Multiparametric CMR in myocarditis</w:t>
      </w:r>
    </w:p>
    <w:p w14:paraId="741A1A9A" w14:textId="77777777" w:rsidR="009B0E43" w:rsidRPr="009B0E43" w:rsidRDefault="009B0E43" w:rsidP="009B0E43">
      <w:pPr>
        <w:pStyle w:val="Heading3"/>
        <w:rPr>
          <w:lang w:val="en-GB"/>
        </w:rPr>
      </w:pPr>
      <w:r w:rsidRPr="009B0E43">
        <w:rPr>
          <w:lang w:val="en-GB"/>
        </w:rPr>
        <w:t>4.1. Diagnostic integration</w:t>
      </w:r>
    </w:p>
    <w:p w14:paraId="287B7F55" w14:textId="77777777" w:rsidR="009B0E43" w:rsidRPr="009B0E43" w:rsidRDefault="009B0E43" w:rsidP="009B0E43">
      <w:pPr>
        <w:pStyle w:val="NormalWeb"/>
        <w:rPr>
          <w:lang w:val="en-GB"/>
        </w:rPr>
      </w:pPr>
      <w:r w:rsidRPr="009B0E43">
        <w:rPr>
          <w:lang w:val="en-GB"/>
        </w:rPr>
        <w:t>Myocarditis is clinically heterogeneous and may present with chest pain, raised troponin concentrations, heart failure, arrhythmia, or minimal symptoms. This heterogeneity explains why diagnosis based on clinical features alone remains difficult. Endomyocardial biopsy remains the histopathological reference method, but in routine practice CMR has become the leading non-invasive technique because it can visualise both myocardial injury and inflammatory activity (Friedrich et al., 2009).</w:t>
      </w:r>
    </w:p>
    <w:p w14:paraId="24D09D3F" w14:textId="77777777" w:rsidR="009B0E43" w:rsidRPr="009B0E43" w:rsidRDefault="009B0E43" w:rsidP="009B0E43">
      <w:pPr>
        <w:pStyle w:val="NormalWeb"/>
        <w:rPr>
          <w:lang w:val="en-GB"/>
        </w:rPr>
      </w:pPr>
      <w:r w:rsidRPr="009B0E43">
        <w:rPr>
          <w:lang w:val="en-GB"/>
        </w:rPr>
        <w:t>The original Lake Louise criteria formalised the diagnostic use of CMR in myocarditis by combining oedema-sensitive imaging, hyperaemia-related enhancement, and non-ischaemic late gadolinium enhancement. The 2018 update substantially improved biological coherence by placing parametric mapping at the centre of assessment. In the updated framework, diagnostic confidence is strongest when at least one T1-based marker of non-ischaemic myocardial injury is combined with at least one T2-based marker of oedema. This approach acknowledges that inflammation is not always focal and that mapping techniques can reveal diffuse abnormalities not fully captured by conventional weighted imaging (Ferreira et al., 2018).</w:t>
      </w:r>
    </w:p>
    <w:p w14:paraId="722D4AA8" w14:textId="77777777" w:rsidR="009B0E43" w:rsidRPr="009B0E43" w:rsidRDefault="009B0E43" w:rsidP="009B0E43">
      <w:pPr>
        <w:pStyle w:val="NormalWeb"/>
        <w:rPr>
          <w:lang w:val="en-GB"/>
        </w:rPr>
      </w:pPr>
      <w:r w:rsidRPr="009B0E43">
        <w:rPr>
          <w:lang w:val="en-GB"/>
        </w:rPr>
        <w:t>Subsequent validation work supported the updated approach. In a validation cohort, the 2018 criteria increased sensitivity compared with the original criteria while maintaining high diagnostic accuracy (</w:t>
      </w:r>
      <w:proofErr w:type="spellStart"/>
      <w:r w:rsidRPr="009B0E43">
        <w:rPr>
          <w:lang w:val="en-GB"/>
        </w:rPr>
        <w:t>Luetkens</w:t>
      </w:r>
      <w:proofErr w:type="spellEnd"/>
      <w:r w:rsidRPr="009B0E43">
        <w:rPr>
          <w:lang w:val="en-GB"/>
        </w:rPr>
        <w:t xml:space="preserve"> et al., 2019). Likewise, a systematic review and meta-analysis concluded that CMR has good diagnostic performance in acute myocarditis, particularly when tissue characterisation parameters are combined rather than interpreted separately (</w:t>
      </w:r>
      <w:proofErr w:type="spellStart"/>
      <w:r w:rsidRPr="009B0E43">
        <w:rPr>
          <w:lang w:val="en-GB"/>
        </w:rPr>
        <w:t>Kotanidis</w:t>
      </w:r>
      <w:proofErr w:type="spellEnd"/>
      <w:r w:rsidRPr="009B0E43">
        <w:rPr>
          <w:lang w:val="en-GB"/>
        </w:rPr>
        <w:t xml:space="preserve"> et al., 2018). More recent meta-analytic work focusing on mapping parameters reinforced the importance of native T1, T2, and extracellular volume in the modified Lake Louise framework, </w:t>
      </w:r>
      <w:r w:rsidRPr="009B0E43">
        <w:rPr>
          <w:lang w:val="en-GB"/>
        </w:rPr>
        <w:lastRenderedPageBreak/>
        <w:t>again underscoring the logic of multiparametric integration rather than single-sequence reliance (Giri et al., 2025).</w:t>
      </w:r>
    </w:p>
    <w:p w14:paraId="4E9607E4" w14:textId="77777777" w:rsidR="009B0E43" w:rsidRPr="009B0E43" w:rsidRDefault="009B0E43" w:rsidP="009B0E43">
      <w:pPr>
        <w:pStyle w:val="NormalWeb"/>
        <w:rPr>
          <w:lang w:val="en-GB"/>
        </w:rPr>
      </w:pPr>
      <w:r w:rsidRPr="009B0E43">
        <w:rPr>
          <w:lang w:val="en-GB"/>
        </w:rPr>
        <w:t>Although CMR is highly informative, interpretation remains dependent on timing and clinical context. Imaging performed early in the disease course is more likely to detect oedema and active injury. Later studies may show only residual scar. Furthermore, mapping abnormalities are not entirely specific to myocarditis and can also occur in diffuse fibrosis or infiltrative disease. For that reason, the diagnosis of myocarditis by CMR should be anchored to the clinical scenario, biomarkers, and the exclusion of coronary ischaemic injury. The value of CMR lies in strengthening and refining the diagnosis, not in replacing clinical reasoning.</w:t>
      </w:r>
    </w:p>
    <w:p w14:paraId="6CB98F37" w14:textId="77777777" w:rsidR="009B0E43" w:rsidRPr="009B0E43" w:rsidRDefault="009B0E43" w:rsidP="009B0E43">
      <w:pPr>
        <w:pStyle w:val="Heading3"/>
        <w:rPr>
          <w:lang w:val="en-GB"/>
        </w:rPr>
      </w:pPr>
      <w:r w:rsidRPr="009B0E43">
        <w:rPr>
          <w:lang w:val="en-GB"/>
        </w:rPr>
        <w:t>4.2. Prognostic integration</w:t>
      </w:r>
    </w:p>
    <w:p w14:paraId="25B82592" w14:textId="77777777" w:rsidR="009B0E43" w:rsidRPr="009B0E43" w:rsidRDefault="009B0E43" w:rsidP="009B0E43">
      <w:pPr>
        <w:pStyle w:val="NormalWeb"/>
        <w:rPr>
          <w:lang w:val="en-GB"/>
        </w:rPr>
      </w:pPr>
      <w:r w:rsidRPr="009B0E43">
        <w:rPr>
          <w:lang w:val="en-GB"/>
        </w:rPr>
        <w:t>The prognostic role of CMR in myocarditis has become increasingly important because patient trajectories vary widely. Some patients recover fully, whereas others develop persistent ventricular dysfunction, recurrent inflammation, or ventricular arrhythmias. CMR helps to distinguish these trajectories by separating active inflammation from healed injury and by identifying residual scar burden.</w:t>
      </w:r>
    </w:p>
    <w:p w14:paraId="24861DCB" w14:textId="77777777" w:rsidR="009B0E43" w:rsidRPr="009B0E43" w:rsidRDefault="009B0E43" w:rsidP="009B0E43">
      <w:pPr>
        <w:pStyle w:val="NormalWeb"/>
        <w:rPr>
          <w:lang w:val="en-GB"/>
        </w:rPr>
      </w:pPr>
      <w:r w:rsidRPr="009B0E43">
        <w:rPr>
          <w:lang w:val="en-GB"/>
        </w:rPr>
        <w:t>A large observational study of patients with suspected myocarditis showed that CMR tissue characterisation findings were associated with outcome, with scar-related abnormalities and ventricular dysfunction indicating higher risk (</w:t>
      </w:r>
      <w:proofErr w:type="spellStart"/>
      <w:r w:rsidRPr="009B0E43">
        <w:rPr>
          <w:lang w:val="en-GB"/>
        </w:rPr>
        <w:t>Gräni</w:t>
      </w:r>
      <w:proofErr w:type="spellEnd"/>
      <w:r w:rsidRPr="009B0E43">
        <w:rPr>
          <w:lang w:val="en-GB"/>
        </w:rPr>
        <w:t xml:space="preserve"> et al., 2017). Among individual markers, late gadolinium enhancement has emerged as particularly important because it reflects irreversible injury and potential arrhythmic substrate. However, the significance of LGE is not uniform. Small inferolateral subepicardial enhancement in an otherwise recovered patient does not necessarily carry the same implications as persistent septal or extensive fibrosis accompanied by ventricular dysfunction or ongoing mapping abnormality.</w:t>
      </w:r>
    </w:p>
    <w:p w14:paraId="4831C0B9" w14:textId="77777777" w:rsidR="009B0E43" w:rsidRPr="009B0E43" w:rsidRDefault="009B0E43" w:rsidP="009B0E43">
      <w:pPr>
        <w:pStyle w:val="NormalWeb"/>
        <w:rPr>
          <w:lang w:val="en-GB"/>
        </w:rPr>
      </w:pPr>
      <w:r w:rsidRPr="009B0E43">
        <w:rPr>
          <w:lang w:val="en-GB"/>
        </w:rPr>
        <w:t>This distinction between active injury and chronic substrate is clinically relevant. T2 elevation suggests ongoing oedema and potentially active inflammation, whereas isolated non-ischaemic LGE with normal T2 is more compatible with a healed process. Patients who appear clinically well but retain scar on CMR may still warrant careful follow-up, particularly if the scar burden is substantial or strategically located. Thus, in myocarditis the greatest prognostic contribution of multiparametric CMR is not a single high-risk sign, but the ability to position the patient on a continuum from active inflammation to chronic remodelling.</w:t>
      </w:r>
    </w:p>
    <w:p w14:paraId="37BB5A17" w14:textId="77777777" w:rsidR="009B0E43" w:rsidRPr="009B0E43" w:rsidRDefault="009B0E43" w:rsidP="009B0E43">
      <w:pPr>
        <w:pStyle w:val="Heading2"/>
        <w:rPr>
          <w:lang w:val="en-GB"/>
        </w:rPr>
      </w:pPr>
      <w:r w:rsidRPr="009B0E43">
        <w:rPr>
          <w:lang w:val="en-GB"/>
        </w:rPr>
        <w:t>5. Multiparametric CMR in non-ischaemic cardiomyopathies</w:t>
      </w:r>
    </w:p>
    <w:p w14:paraId="297BF8E0" w14:textId="77777777" w:rsidR="009B0E43" w:rsidRPr="009B0E43" w:rsidRDefault="009B0E43" w:rsidP="009B0E43">
      <w:pPr>
        <w:pStyle w:val="Heading3"/>
        <w:rPr>
          <w:lang w:val="en-GB"/>
        </w:rPr>
      </w:pPr>
      <w:r w:rsidRPr="009B0E43">
        <w:rPr>
          <w:lang w:val="en-GB"/>
        </w:rPr>
        <w:t>5.1. General principles</w:t>
      </w:r>
    </w:p>
    <w:p w14:paraId="14077F05" w14:textId="77777777" w:rsidR="009B0E43" w:rsidRPr="009B0E43" w:rsidRDefault="009B0E43" w:rsidP="009B0E43">
      <w:pPr>
        <w:pStyle w:val="NormalWeb"/>
        <w:rPr>
          <w:lang w:val="en-GB"/>
        </w:rPr>
      </w:pPr>
      <w:r w:rsidRPr="009B0E43">
        <w:rPr>
          <w:lang w:val="en-GB"/>
        </w:rPr>
        <w:t>Non-ischaemic cardiomyopathies are ideal candidates for CMR because they are phenotypically diverse and often biologically heterogeneous. Chamber size, wall thickness, and systolic function alone rarely convey the full nature of disease. CMR adds tissue characterisation, which often clarifies aetiology and materially improves risk assessment. Recent review literature has emphasised that this combination of morphological and tissue information is precisely what makes CMR indispensable in the evaluation and management of non-ischaemic cardiomyopathies (</w:t>
      </w:r>
      <w:proofErr w:type="spellStart"/>
      <w:r w:rsidRPr="009B0E43">
        <w:rPr>
          <w:lang w:val="en-GB"/>
        </w:rPr>
        <w:t>Hosadurg</w:t>
      </w:r>
      <w:proofErr w:type="spellEnd"/>
      <w:r w:rsidRPr="009B0E43">
        <w:rPr>
          <w:lang w:val="en-GB"/>
        </w:rPr>
        <w:t xml:space="preserve"> et al., 2025).</w:t>
      </w:r>
    </w:p>
    <w:p w14:paraId="7EA0ADE4" w14:textId="77777777" w:rsidR="009B0E43" w:rsidRPr="009B0E43" w:rsidRDefault="009B0E43" w:rsidP="009B0E43">
      <w:pPr>
        <w:pStyle w:val="Heading3"/>
        <w:rPr>
          <w:lang w:val="en-GB"/>
        </w:rPr>
      </w:pPr>
      <w:r w:rsidRPr="009B0E43">
        <w:rPr>
          <w:lang w:val="en-GB"/>
        </w:rPr>
        <w:lastRenderedPageBreak/>
        <w:t>5.2. Dilated cardiomyopathy</w:t>
      </w:r>
    </w:p>
    <w:p w14:paraId="753C042D" w14:textId="77777777" w:rsidR="009B0E43" w:rsidRPr="009B0E43" w:rsidRDefault="009B0E43" w:rsidP="009B0E43">
      <w:pPr>
        <w:pStyle w:val="NormalWeb"/>
        <w:rPr>
          <w:lang w:val="en-GB"/>
        </w:rPr>
      </w:pPr>
      <w:r w:rsidRPr="009B0E43">
        <w:rPr>
          <w:lang w:val="en-GB"/>
        </w:rPr>
        <w:t>In dilated cardiomyopathy, CMR has moved beyond confirming ventricular dilation and reduced systolic function. The decisive advance has been the demonstration that myocardial fibrosis detected by late gadolinium enhancement, especially in a mid-wall pattern, confers prognostic information that is not captured adequately by ejection fraction alone. In a landmark study, Gulati and colleagues showed that fibrosis identified by LGE was independently associated with mortality and sudden cardiac death in non-ischaemic dilated cardiomyopathy, thereby establishing focal scar as a clinically meaningful arrhythmic substrate rather than a descriptive imaging finding (Gulati et al., 2013).</w:t>
      </w:r>
    </w:p>
    <w:p w14:paraId="1A793866" w14:textId="77777777" w:rsidR="009B0E43" w:rsidRPr="009B0E43" w:rsidRDefault="009B0E43" w:rsidP="009B0E43">
      <w:pPr>
        <w:pStyle w:val="NormalWeb"/>
        <w:rPr>
          <w:lang w:val="en-GB"/>
        </w:rPr>
      </w:pPr>
      <w:r w:rsidRPr="009B0E43">
        <w:rPr>
          <w:lang w:val="en-GB"/>
        </w:rPr>
        <w:t>Meta-analytic data confirmed and extended that observation. Kuruvilla et al. (2014) showed that the presence of LGE predicts adverse cardiovascular outcomes in non-ischaemic cardiomyopathy, including mortality and arrhythmic events. More recently, a large JAMA meta-analysis including 103 studies and 29,687 patients found that the presence and extent of LGE were consistently associated with arrhythmic, heart failure, and mortality outcomes, whereas left ventricular ejection fraction was not significantly associated with mortality or arrhythmic end points. Higher native T1 values were also associated with arrhythmic outcomes and major adverse cardiac events (Eichhorn et al., 2024).</w:t>
      </w:r>
    </w:p>
    <w:p w14:paraId="377552E2" w14:textId="77777777" w:rsidR="009B0E43" w:rsidRPr="009B0E43" w:rsidRDefault="009B0E43" w:rsidP="009B0E43">
      <w:pPr>
        <w:pStyle w:val="NormalWeb"/>
        <w:rPr>
          <w:lang w:val="en-GB"/>
        </w:rPr>
      </w:pPr>
      <w:r w:rsidRPr="009B0E43">
        <w:rPr>
          <w:lang w:val="en-GB"/>
        </w:rPr>
        <w:t>This has practical implications for management. Risk stratification based only on left ventricular ejection fraction may miss patients with relatively preserved function but substantial scar substrate, while overestimating risk in others whose systolic impairment exists without significant fibrosis. Multiparametric CMR therefore supports a more biologically grounded approach to arrhythmic surveillance and shared decision-making regarding device therapy.</w:t>
      </w:r>
    </w:p>
    <w:p w14:paraId="2AF979ED" w14:textId="77777777" w:rsidR="009B0E43" w:rsidRPr="009B0E43" w:rsidRDefault="009B0E43" w:rsidP="009B0E43">
      <w:pPr>
        <w:pStyle w:val="Heading3"/>
        <w:rPr>
          <w:lang w:val="en-GB"/>
        </w:rPr>
      </w:pPr>
      <w:r w:rsidRPr="009B0E43">
        <w:rPr>
          <w:lang w:val="en-GB"/>
        </w:rPr>
        <w:t>5.3. Hypertrophic cardiomyopathy</w:t>
      </w:r>
    </w:p>
    <w:p w14:paraId="3FC73A10" w14:textId="77777777" w:rsidR="009B0E43" w:rsidRPr="009B0E43" w:rsidRDefault="009B0E43" w:rsidP="009B0E43">
      <w:pPr>
        <w:pStyle w:val="NormalWeb"/>
        <w:rPr>
          <w:lang w:val="en-GB"/>
        </w:rPr>
      </w:pPr>
      <w:r w:rsidRPr="009B0E43">
        <w:rPr>
          <w:lang w:val="en-GB"/>
        </w:rPr>
        <w:t>In hypertrophic cardiomyopathy, CMR improves diagnosis by depicting the distribution of hypertrophy, apical variants, aneurysms, crypts, and papillary muscle abnormalities more clearly than echocardiography alone. Its prognostic value, however, is closely tied to fibrosis assessment. Late gadolinium enhancement reflects replacement fibrosis and functions as a marker of arrhythmogenic substrate. A meta-analysis by Weng et al. (2016) showed that LGE on CMR is associated with adverse outcomes in hypertrophic cardiomyopathy, including sudden cardiac death-related events.</w:t>
      </w:r>
    </w:p>
    <w:p w14:paraId="590B3DCB" w14:textId="77777777" w:rsidR="009B0E43" w:rsidRPr="009B0E43" w:rsidRDefault="009B0E43" w:rsidP="009B0E43">
      <w:pPr>
        <w:pStyle w:val="NormalWeb"/>
        <w:rPr>
          <w:lang w:val="en-GB"/>
        </w:rPr>
      </w:pPr>
      <w:r w:rsidRPr="009B0E43">
        <w:rPr>
          <w:lang w:val="en-GB"/>
        </w:rPr>
        <w:t>The field has recently shifted from merely asking whether LGE is present to asking how much is present. A 2024 meta-analysis including 11 studies and 5,550 patients demonstrated that quantitative LGE extent is prognostically informative for sudden cardiac death risk, with an LGE burden of 10% by the 6-standard-deviation technique performing well as a discriminatory threshold in the available data (</w:t>
      </w:r>
      <w:proofErr w:type="spellStart"/>
      <w:r w:rsidRPr="009B0E43">
        <w:rPr>
          <w:lang w:val="en-GB"/>
        </w:rPr>
        <w:t>Kiaos</w:t>
      </w:r>
      <w:proofErr w:type="spellEnd"/>
      <w:r w:rsidRPr="009B0E43">
        <w:rPr>
          <w:lang w:val="en-GB"/>
        </w:rPr>
        <w:t xml:space="preserve"> et al., 2024). Although fibrosis burden is not a standalone risk model, it materially enriches risk assessment when integrated with clinical variables.</w:t>
      </w:r>
    </w:p>
    <w:p w14:paraId="1F4E879D" w14:textId="77777777" w:rsidR="009B0E43" w:rsidRDefault="009B0E43" w:rsidP="009B0E43">
      <w:pPr>
        <w:pStyle w:val="Heading3"/>
      </w:pPr>
      <w:r>
        <w:t>5.4. Infiltrative and inflammatory phenotypes</w:t>
      </w:r>
    </w:p>
    <w:p w14:paraId="22B556F9" w14:textId="77777777" w:rsidR="009B0E43" w:rsidRDefault="009B0E43" w:rsidP="009B0E43">
      <w:pPr>
        <w:pStyle w:val="NormalWeb"/>
      </w:pPr>
      <w:r>
        <w:lastRenderedPageBreak/>
        <w:t>Cardiac amyloidosis demonstrates the value of mapping and extracellular volume particularly well. In this disease, the abnormality is often diffuse rather than focal, so parametric techniques may be more revealing than LGE alone. In transthyretin amyloidosis, Martinez-</w:t>
      </w:r>
      <w:proofErr w:type="spellStart"/>
      <w:r>
        <w:t>Naharro</w:t>
      </w:r>
      <w:proofErr w:type="spellEnd"/>
      <w:r>
        <w:t xml:space="preserve"> et al. (2019) showed that both native T1 and extracellular volume were diagnostically informative, but extracellular volume provided especially strong prognostic information. This illustrates one of the major strengths of multiparametric CMR: the same examination can identify a specific infiltrative phenotype and also grade the burden of disease in a way that predicts outcome. Additional illustrative reports from 10.9734-prefix journals support the broader diagnostic role of CMR across less common non-</w:t>
      </w:r>
      <w:proofErr w:type="spellStart"/>
      <w:r>
        <w:t>ischaemic</w:t>
      </w:r>
      <w:proofErr w:type="spellEnd"/>
      <w:r>
        <w:t xml:space="preserve"> phenotypes. In left ventricular non-compaction cardiomyopathy, </w:t>
      </w:r>
      <w:proofErr w:type="spellStart"/>
      <w:r>
        <w:t>Maatof</w:t>
      </w:r>
      <w:proofErr w:type="spellEnd"/>
      <w:r>
        <w:t xml:space="preserve"> et al. (2023) highlighted the complementary role of echocardiography and cardiac MRI in early diagnosis, management, and follow-up. Likewise, in cardiac sarcoidosis progressing to restrictive cardiomyopathy, </w:t>
      </w:r>
      <w:proofErr w:type="spellStart"/>
      <w:r>
        <w:t>Ejjebli</w:t>
      </w:r>
      <w:proofErr w:type="spellEnd"/>
      <w:r>
        <w:t xml:space="preserve"> et al. (2025) described a case in which cardiac MRI contributed to the identification of myocardial inflammation and arrhythmic risk, reinforcing the importance of early imaging-based recognition in inflammatory cardiomyopathic phenotypes. Cardiac sarcoidosis offers another example of the importance of integrated CMR phenotyping. Patchy non-coronary LGE patterns, often with septal or multifocal involvement, may suggest sarcoid-related myocardial damage, but not all LGE-positive patients share the same risk. In a cohort of 504 patients with suspected cardiac sarcoidosis, Athwal et al. (2022) found that CMR phenotypes incorporating left ventricular ejection fraction and specific LGE features were associated with markedly different arrhythmic and heart failure outcomes. The implication is that CMR is most useful when it moves beyond binary disease detection and defines the specific pattern and context of myocardial injury.</w:t>
      </w:r>
    </w:p>
    <w:p w14:paraId="21D64622" w14:textId="77777777" w:rsidR="009B0E43" w:rsidRPr="009B0E43" w:rsidRDefault="009B0E43" w:rsidP="009B0E43">
      <w:pPr>
        <w:pStyle w:val="Heading2"/>
        <w:rPr>
          <w:lang w:val="en-GB"/>
        </w:rPr>
      </w:pPr>
      <w:r w:rsidRPr="009B0E43">
        <w:rPr>
          <w:lang w:val="en-GB"/>
        </w:rPr>
        <w:t>6. Multiparametric CMR in silent myocardial ischaemia</w:t>
      </w:r>
    </w:p>
    <w:p w14:paraId="344D3841" w14:textId="77777777" w:rsidR="009B0E43" w:rsidRPr="009B0E43" w:rsidRDefault="009B0E43" w:rsidP="009B0E43">
      <w:pPr>
        <w:pStyle w:val="Heading3"/>
        <w:rPr>
          <w:lang w:val="en-GB"/>
        </w:rPr>
      </w:pPr>
      <w:r w:rsidRPr="009B0E43">
        <w:rPr>
          <w:lang w:val="en-GB"/>
        </w:rPr>
        <w:t>6.1. Occult ischaemia and the role of stress perfusion CMR</w:t>
      </w:r>
    </w:p>
    <w:p w14:paraId="1173EE68" w14:textId="77777777" w:rsidR="009B0E43" w:rsidRPr="009B0E43" w:rsidRDefault="009B0E43" w:rsidP="009B0E43">
      <w:pPr>
        <w:pStyle w:val="NormalWeb"/>
        <w:rPr>
          <w:lang w:val="en-GB"/>
        </w:rPr>
      </w:pPr>
      <w:r w:rsidRPr="009B0E43">
        <w:rPr>
          <w:lang w:val="en-GB"/>
        </w:rPr>
        <w:t>Silent myocardial ischaemia is clinically important precisely because it is under-recognised. Patients may have no angina or only atypical symptoms despite physiologically significant coronary disease, microvascular dysfunction, or prior infarction. In this context, stress perfusion CMR is attractive because it combines perfusion analysis, ventricular function, and scar imaging in one examination without ionising radiation (Patel et al., 2021; Hamilton-Craig et al., 2023).</w:t>
      </w:r>
    </w:p>
    <w:p w14:paraId="278DC8A0" w14:textId="77777777" w:rsidR="009B0E43" w:rsidRPr="009B0E43" w:rsidRDefault="009B0E43" w:rsidP="009B0E43">
      <w:pPr>
        <w:pStyle w:val="NormalWeb"/>
        <w:rPr>
          <w:lang w:val="en-GB"/>
        </w:rPr>
      </w:pPr>
      <w:r w:rsidRPr="009B0E43">
        <w:rPr>
          <w:lang w:val="en-GB"/>
        </w:rPr>
        <w:t>This one-stop character matters in clinically silent disease. A reversible perfusion defect without scar suggests inducible ischaemia and potentially salvageable myocardium, whereas subendocardial or transmural scar on late gadolinium enhancement implies prior infarction even if no infarction was recognised clinically. Thus, stress CMR can identify both the active physiological burden of ischaemia and the anatomical legacy of missed events.</w:t>
      </w:r>
    </w:p>
    <w:p w14:paraId="0556687D" w14:textId="77777777" w:rsidR="009B0E43" w:rsidRPr="009B0E43" w:rsidRDefault="009B0E43" w:rsidP="009B0E43">
      <w:pPr>
        <w:pStyle w:val="NormalWeb"/>
        <w:rPr>
          <w:lang w:val="en-GB"/>
        </w:rPr>
      </w:pPr>
      <w:r w:rsidRPr="009B0E43">
        <w:rPr>
          <w:lang w:val="en-GB"/>
        </w:rPr>
        <w:t>The management relevance of perfusion CMR was demonstrated in MR-INFORM. In that trial, 918 patients were randomised to a perfusion CMR-guided strategy or an invasive fractional flow reserve-guided strategy; the CMR-guided approach was non-inferior for major adverse cardiac events and led to fewer revascularisations (Nagel et al., 2019). Although the trial enrolled patients with stable angina rather than asymptomatic screening cohorts, its significance for silent or minimally symptomatic disease is substantial because it shows that CMR can guide management decisions at a level comparable to invasive physiology.</w:t>
      </w:r>
    </w:p>
    <w:p w14:paraId="5EF32607" w14:textId="77777777" w:rsidR="009B0E43" w:rsidRPr="009B0E43" w:rsidRDefault="009B0E43" w:rsidP="009B0E43">
      <w:pPr>
        <w:pStyle w:val="Heading3"/>
        <w:rPr>
          <w:lang w:val="en-GB"/>
        </w:rPr>
      </w:pPr>
      <w:r w:rsidRPr="009B0E43">
        <w:rPr>
          <w:lang w:val="en-GB"/>
        </w:rPr>
        <w:lastRenderedPageBreak/>
        <w:t>6.2. Quantitative perfusion and microvascular disease</w:t>
      </w:r>
    </w:p>
    <w:p w14:paraId="3106B13C" w14:textId="77777777" w:rsidR="009B0E43" w:rsidRPr="009B0E43" w:rsidRDefault="009B0E43" w:rsidP="009B0E43">
      <w:pPr>
        <w:pStyle w:val="NormalWeb"/>
        <w:rPr>
          <w:lang w:val="en-GB"/>
        </w:rPr>
      </w:pPr>
      <w:r w:rsidRPr="009B0E43">
        <w:rPr>
          <w:lang w:val="en-GB"/>
        </w:rPr>
        <w:t>The next major step in silent ischaemia assessment is the move from visual perfusion interpretation to quantitative perfusion analysis. A recent systematic review and meta-analysis of 41 studies involving 38,030 patients found that both qualitative and quantitative stress CMR abnormalities were associated with worse outcomes in known or suspected coronary artery disease, supporting the prognostic value of perfusion CMR across a broad clinical spectrum (Yarahmadi et al., 2024).</w:t>
      </w:r>
    </w:p>
    <w:p w14:paraId="68CA2AB4" w14:textId="77777777" w:rsidR="009B0E43" w:rsidRPr="009B0E43" w:rsidRDefault="009B0E43" w:rsidP="009B0E43">
      <w:pPr>
        <w:pStyle w:val="NormalWeb"/>
        <w:rPr>
          <w:lang w:val="en-GB"/>
        </w:rPr>
      </w:pPr>
      <w:r w:rsidRPr="009B0E43">
        <w:rPr>
          <w:lang w:val="en-GB"/>
        </w:rPr>
        <w:t>Quantitative perfusion is especially relevant when epicardial coronary obstruction is absent or uncertain. The 2025 SCMR expert consensus statement emphasised that quantitative myocardial perfusion CMR is at least as accurate as visual analysis for detecting significant obstructive coronary disease, provides a more accurate estimate of total ischaemic burden, and offers unique insights into microvascular disease, including ischaemia with non-obstructive coronary arteries (</w:t>
      </w:r>
      <w:proofErr w:type="spellStart"/>
      <w:r w:rsidRPr="009B0E43">
        <w:rPr>
          <w:lang w:val="en-GB"/>
        </w:rPr>
        <w:t>Chiribiri</w:t>
      </w:r>
      <w:proofErr w:type="spellEnd"/>
      <w:r w:rsidRPr="009B0E43">
        <w:rPr>
          <w:lang w:val="en-GB"/>
        </w:rPr>
        <w:t xml:space="preserve"> et al., 2025). For silent myocardial ischaemia, this is important because clinically occult disease may be driven by diffuse physiological impairment rather than a readily obvious epicardial lesion.</w:t>
      </w:r>
    </w:p>
    <w:p w14:paraId="2ED5286A" w14:textId="77777777" w:rsidR="009B0E43" w:rsidRPr="009B0E43" w:rsidRDefault="009B0E43" w:rsidP="009B0E43">
      <w:pPr>
        <w:pStyle w:val="NormalWeb"/>
        <w:rPr>
          <w:lang w:val="en-GB"/>
        </w:rPr>
      </w:pPr>
      <w:r w:rsidRPr="009B0E43">
        <w:rPr>
          <w:lang w:val="en-GB"/>
        </w:rPr>
        <w:t>Accordingly, multiparametric CMR expands the concept of silent ischaemia. It is not restricted to detecting focal reversible perfusion defects; it can also reveal abnormal myocardial blood flow reserve and diffuse subendocardial hypoperfusion consistent with coronary microvascular dysfunction. That wider physiological perspective is likely to become increasingly relevant in preventive cardiology.</w:t>
      </w:r>
    </w:p>
    <w:p w14:paraId="427C2900" w14:textId="77777777" w:rsidR="009B0E43" w:rsidRPr="009B0E43" w:rsidRDefault="009B0E43" w:rsidP="009B0E43">
      <w:pPr>
        <w:pStyle w:val="Heading3"/>
        <w:rPr>
          <w:lang w:val="en-GB"/>
        </w:rPr>
      </w:pPr>
      <w:r w:rsidRPr="009B0E43">
        <w:rPr>
          <w:lang w:val="en-GB"/>
        </w:rPr>
        <w:t>6.3. Unrecognised infarction as the scar endpoint of silent ischaemia</w:t>
      </w:r>
    </w:p>
    <w:p w14:paraId="303DAB36" w14:textId="77777777" w:rsidR="009B0E43" w:rsidRPr="009B0E43" w:rsidRDefault="009B0E43" w:rsidP="009B0E43">
      <w:pPr>
        <w:pStyle w:val="NormalWeb"/>
        <w:rPr>
          <w:lang w:val="en-GB"/>
        </w:rPr>
      </w:pPr>
      <w:r w:rsidRPr="009B0E43">
        <w:rPr>
          <w:lang w:val="en-GB"/>
        </w:rPr>
        <w:t>The scar correlate of silent myocardial ischaemia is unrecognised myocardial infarction. Late gadolinium enhancement CMR can identify subclinical infarction with far greater sensitivity than electrocardiography alone. This is not a trivial imaging observation. In the ICELAND MI Study, a cohort of 935 community-dwelling older adults, unrecognised myocardial infarction detected by CMR was associated with higher long-term mortality and major adverse cardiac events than no infarction and, by 10 years, mortality associated with unrecognised infarction was similar to that of recognised infarction (Acharya et al., 2018).</w:t>
      </w:r>
    </w:p>
    <w:p w14:paraId="48DDF1A9" w14:textId="77777777" w:rsidR="009B0E43" w:rsidRPr="009B0E43" w:rsidRDefault="009B0E43" w:rsidP="009B0E43">
      <w:pPr>
        <w:pStyle w:val="NormalWeb"/>
        <w:rPr>
          <w:lang w:val="en-GB"/>
        </w:rPr>
      </w:pPr>
      <w:r w:rsidRPr="009B0E43">
        <w:rPr>
          <w:lang w:val="en-GB"/>
        </w:rPr>
        <w:t>The broader evidence base points in the same direction. A systematic review and meta-analysis by Yang et al. (2020) found that unrecognised myocardial infarction identified by electrocardiography or CMR is associated with adverse long-term prognosis. These findings support the view that silent myocardial injury is not benign and that CMR can uncover clinically important disease that routine assessment may miss. In practical terms, when stress perfusion CMR identifies inducible ischaemia and LGE identifies prior unrecognised infarction, the examination provides both the active and cumulative burden of occult coronary disease.</w:t>
      </w:r>
    </w:p>
    <w:p w14:paraId="058CBF55" w14:textId="77777777" w:rsidR="00C70E25" w:rsidRDefault="00C70E25" w:rsidP="00C70E25">
      <w:pPr>
        <w:pStyle w:val="Heading2"/>
      </w:pPr>
      <w:r>
        <w:t>7. Diagnostic and prognostic integration in modern cardiology</w:t>
      </w:r>
    </w:p>
    <w:p w14:paraId="0394D8AE" w14:textId="77777777" w:rsidR="00C70E25" w:rsidRDefault="00C70E25" w:rsidP="00C70E25">
      <w:pPr>
        <w:pStyle w:val="NormalWeb"/>
      </w:pPr>
      <w:r>
        <w:t>Across myocarditis, non-</w:t>
      </w:r>
      <w:proofErr w:type="spellStart"/>
      <w:r>
        <w:t>ischaemic</w:t>
      </w:r>
      <w:proofErr w:type="spellEnd"/>
      <w:r>
        <w:t xml:space="preserve"> cardiomyopathies, and silent myocardial </w:t>
      </w:r>
      <w:proofErr w:type="spellStart"/>
      <w:r>
        <w:t>ischaemia</w:t>
      </w:r>
      <w:proofErr w:type="spellEnd"/>
      <w:r>
        <w:t xml:space="preserve">, the central message of contemporary CMR is that its greatest clinical value lies in integration rather </w:t>
      </w:r>
      <w:r>
        <w:lastRenderedPageBreak/>
        <w:t xml:space="preserve">than in the isolated interpretation of individual sequences. Cine imaging, late gadolinium enhancement, mapping techniques, extracellular volume estimation, and perfusion analysis each provide important but incomplete information when read separately. Their true usefulness emerges when they are </w:t>
      </w:r>
      <w:proofErr w:type="spellStart"/>
      <w:r>
        <w:t>synthesised</w:t>
      </w:r>
      <w:proofErr w:type="spellEnd"/>
      <w:r>
        <w:t xml:space="preserve"> into a biologically coherent account of myocardial disease. In practical terms, this means that a modern CMR examination should not simply describe ventricular function, the presence or absence of enhancement, or a numerical mapping abnormality. Instead, it should define the dominant myocardial phenotype, indicate whether the abnormality reflects active injury or chronic substrate, and clarify how the overall pattern may influence clinical risk and subsequent management (Ferreira et al., 2018; Eichhorn et al., 2024; </w:t>
      </w:r>
      <w:proofErr w:type="spellStart"/>
      <w:r>
        <w:t>Chiribiri</w:t>
      </w:r>
      <w:proofErr w:type="spellEnd"/>
      <w:r>
        <w:t xml:space="preserve"> et al., 2025). </w:t>
      </w:r>
    </w:p>
    <w:p w14:paraId="0049328D" w14:textId="77777777" w:rsidR="00C70E25" w:rsidRDefault="00C70E25" w:rsidP="00C70E25">
      <w:pPr>
        <w:pStyle w:val="NormalWeb"/>
      </w:pPr>
      <w:r>
        <w:t xml:space="preserve">This integrative logic is especially important because contemporary cardiology increasingly depends on substrate-based decision-making. Traditional risk assessment often relied heavily on symptoms, electrocardiographic changes, and left ventricular ejection fraction. Although these remain important, they can be insufficient when myocardial disease is diffuse, clinically silent, or biologically complex. CMR helps close that gap by revealing whether myocardial dysfunction is associated with active inflammation, replacement fibrosis, diffuse interstitial expansion, or abnormal perfusion. The consequence is that apparently similar patients may be separated into clinically different categories once their myocardial substrate is </w:t>
      </w:r>
      <w:proofErr w:type="spellStart"/>
      <w:r>
        <w:t>characterised</w:t>
      </w:r>
      <w:proofErr w:type="spellEnd"/>
      <w:r>
        <w:t xml:space="preserve">. Such differentiation is central to modern precision cardiology, in which treatment intensity, rhythm surveillance, and follow-up strategy increasingly depend on the nature of the tissue abnormality rather than on chamber function alone (Ferreira et al., 2018; Eichhorn et al., 2024). </w:t>
      </w:r>
    </w:p>
    <w:p w14:paraId="13250C90" w14:textId="77777777" w:rsidR="00C70E25" w:rsidRDefault="00C70E25" w:rsidP="00C70E25">
      <w:pPr>
        <w:pStyle w:val="NormalWeb"/>
      </w:pPr>
      <w:r>
        <w:t>In myocarditis, diagnostic and prognostic integration begins with distinguishing active myocardial inflammation from residual injury after the inflammatory episode has subsided. This distinction is essential because the clinical implications are not the same. A patient with elevated T1- and T2-based markers, consistent with ongoing inflammation, may require a different follow-up strategy from a patient with normal oedema-sensitive parameters but persistent non-</w:t>
      </w:r>
      <w:proofErr w:type="spellStart"/>
      <w:r>
        <w:t>ischaemic</w:t>
      </w:r>
      <w:proofErr w:type="spellEnd"/>
      <w:r>
        <w:t xml:space="preserve"> late gadolinium enhancement indicating healed scar. In this setting, CMR does more than support diagnosis; it places the patient on a biological continuum extending from acute injury to chronic </w:t>
      </w:r>
      <w:proofErr w:type="spellStart"/>
      <w:r>
        <w:t>remodelling</w:t>
      </w:r>
      <w:proofErr w:type="spellEnd"/>
      <w:r>
        <w:t xml:space="preserve">. That continuum is important because it shapes how clinicians think about recovery, recurrence risk, arrhythmic vulnerability, and the appropriate timing of repeat assessment. The broader significance of the updated myocarditis framework is therefore not only improved diagnostic sensitivity, but also its ability to relate tissue phenotype to short- and medium-term clinical interpretation (Ferreira et al., 2018). </w:t>
      </w:r>
    </w:p>
    <w:p w14:paraId="0F5FB2C7" w14:textId="77777777" w:rsidR="00C70E25" w:rsidRDefault="00C70E25" w:rsidP="00C70E25">
      <w:pPr>
        <w:pStyle w:val="NormalWeb"/>
      </w:pPr>
      <w:r>
        <w:t>In non-</w:t>
      </w:r>
      <w:proofErr w:type="spellStart"/>
      <w:r>
        <w:t>ischaemic</w:t>
      </w:r>
      <w:proofErr w:type="spellEnd"/>
      <w:r>
        <w:t xml:space="preserve"> cardiomyopathies, integration is equally important but often serves a different purpose. Here, the clinical challenge is frequently not whether disease is present, but which phenotype is present and what degree of risk it confers. The growing evidence </w:t>
      </w:r>
      <w:proofErr w:type="spellStart"/>
      <w:r>
        <w:t>synthesised</w:t>
      </w:r>
      <w:proofErr w:type="spellEnd"/>
      <w:r>
        <w:t xml:space="preserve"> in the recent meta-analytic literature shows that CMR-derived markers, especially the presence and extent of late gadolinium enhancement, are consistently associated with adverse outcomes in non-</w:t>
      </w:r>
      <w:proofErr w:type="spellStart"/>
      <w:r>
        <w:t>ischaemic</w:t>
      </w:r>
      <w:proofErr w:type="spellEnd"/>
      <w:r>
        <w:t xml:space="preserve"> dilated cardiomyopathy, whereas left ventricular ejection fraction alone does not fully capture mortality or arrhythmic risk. This has major implications. It suggests that ventricular dysfunction should no longer be regarded as the sole or even dominant expression of risk in many patients. Instead, focal fibrosis, diffuse tissue abnormality, and their extent may be more directly relevant to the identification of unstable substrate. Such findings do not eliminate </w:t>
      </w:r>
      <w:r>
        <w:lastRenderedPageBreak/>
        <w:t xml:space="preserve">the value of conventional functional assessment, but they substantially refine it by identifying those patients in whom apparently modest ventricular impairment coexists with disproportionately important tissue-level risk (Eichhorn et al., 2024). </w:t>
      </w:r>
    </w:p>
    <w:p w14:paraId="655A428E" w14:textId="77777777" w:rsidR="00C70E25" w:rsidRDefault="00C70E25" w:rsidP="00C70E25">
      <w:pPr>
        <w:pStyle w:val="NormalWeb"/>
      </w:pPr>
      <w:r>
        <w:t xml:space="preserve">The same principle applies to hypertrophic, infiltrative, and inflammatory cardiomyopathic phenotypes. In these disorders, morphology alone rarely captures biological severity. A thickened ventricle may represent myocyte hypertrophy, extracellular infiltration, or inflammatory </w:t>
      </w:r>
      <w:proofErr w:type="spellStart"/>
      <w:r>
        <w:t>remodelling</w:t>
      </w:r>
      <w:proofErr w:type="spellEnd"/>
      <w:r>
        <w:t xml:space="preserve">, each with different implications for progression and clinical management. By combining tissue </w:t>
      </w:r>
      <w:proofErr w:type="spellStart"/>
      <w:r>
        <w:t>characterisation</w:t>
      </w:r>
      <w:proofErr w:type="spellEnd"/>
      <w:r>
        <w:t xml:space="preserve"> with global function, CMR allows the clinician to move from descriptive anatomy to mechanism-informed interpretation. This is one of the key reasons why multiparametric CMR now occupies such an important place in the evaluation of non-</w:t>
      </w:r>
      <w:proofErr w:type="spellStart"/>
      <w:r>
        <w:t>ischaemic</w:t>
      </w:r>
      <w:proofErr w:type="spellEnd"/>
      <w:r>
        <w:t xml:space="preserve"> heart muscle disease. It does not merely confirm abnormal structure; it clarifies what the structure means in biological and prognostic terms (Eichhorn et al., 2024). </w:t>
      </w:r>
    </w:p>
    <w:p w14:paraId="52B831CF" w14:textId="77777777" w:rsidR="00C70E25" w:rsidRDefault="00C70E25" w:rsidP="00C70E25">
      <w:pPr>
        <w:pStyle w:val="NormalWeb"/>
      </w:pPr>
      <w:r>
        <w:t xml:space="preserve">In silent myocardial </w:t>
      </w:r>
      <w:proofErr w:type="spellStart"/>
      <w:r>
        <w:t>ischaemia</w:t>
      </w:r>
      <w:proofErr w:type="spellEnd"/>
      <w:r>
        <w:t xml:space="preserve">, the role of integration is again distinctive. Here, CMR must determine whether clinically occult disease is physiologically active, structurally established, or both. Stress perfusion reveals inducible hypoperfusion, but the interpretation of that finding becomes much stronger when considered alongside scar imaging and, increasingly, quantitative perfusion measures. A reversible perfusion abnormality without infarct-pattern scar suggests </w:t>
      </w:r>
      <w:proofErr w:type="spellStart"/>
      <w:r>
        <w:t>jeopardised</w:t>
      </w:r>
      <w:proofErr w:type="spellEnd"/>
      <w:r>
        <w:t xml:space="preserve"> but potentially salvageable myocardium, whereas matched scar indicates prior clinically </w:t>
      </w:r>
      <w:proofErr w:type="spellStart"/>
      <w:r>
        <w:t>unrecognised</w:t>
      </w:r>
      <w:proofErr w:type="spellEnd"/>
      <w:r>
        <w:t xml:space="preserve"> infarction. Quantitative perfusion analysis extends this framework further by enabling a more precise estimate of total </w:t>
      </w:r>
      <w:proofErr w:type="spellStart"/>
      <w:r>
        <w:t>ischaemic</w:t>
      </w:r>
      <w:proofErr w:type="spellEnd"/>
      <w:r>
        <w:t xml:space="preserve"> burden and by improving the evaluation of coronary microvascular dysfunction, especially in patients without obvious obstructive epicardial disease. This matters in modern cardiology because silent </w:t>
      </w:r>
      <w:proofErr w:type="spellStart"/>
      <w:r>
        <w:t>ischaemia</w:t>
      </w:r>
      <w:proofErr w:type="spellEnd"/>
      <w:r>
        <w:t xml:space="preserve"> is not always the result of a single discrete coronary stenosis; it may instead reflect diffuse physiological impairment that would be underestimated by symptom-based assessment alone (</w:t>
      </w:r>
      <w:proofErr w:type="spellStart"/>
      <w:r>
        <w:t>Chiribiri</w:t>
      </w:r>
      <w:proofErr w:type="spellEnd"/>
      <w:r>
        <w:t xml:space="preserve"> et al., 2025). </w:t>
      </w:r>
    </w:p>
    <w:p w14:paraId="7F5BB7A6" w14:textId="77777777" w:rsidR="00C70E25" w:rsidRDefault="00C70E25" w:rsidP="00C70E25">
      <w:pPr>
        <w:pStyle w:val="NormalWeb"/>
      </w:pPr>
      <w:r>
        <w:t xml:space="preserve">A further strength of integrated CMR is that it supports a more rational relationship between diagnosis and management. Rather than functioning as a detached imaging endpoint, it contributes to decisions about monitoring intensity, repeat imaging, arrhythmic evaluation, and the need for further invasive or disease-specific investigation. Importantly, this contribution depends on synthesis. An isolated abnormal native T1 value, an isolated focus of enhancement, or an isolated perfusion defect is seldom sufficient on its own to define prognosis or dictate management. The clinical meaning emerges from the overall pattern, the extent of abnormality, and its concordance with the patient’s presentation. In this sense, the value of CMR in modern cardiology is inseparable from the move towards integrated, phenotype-driven care (Ferreira et al., 2018; Eichhorn et al., 2024; </w:t>
      </w:r>
      <w:proofErr w:type="spellStart"/>
      <w:r>
        <w:t>Chiribiri</w:t>
      </w:r>
      <w:proofErr w:type="spellEnd"/>
      <w:r>
        <w:t xml:space="preserve"> et al., 2025). </w:t>
      </w:r>
    </w:p>
    <w:p w14:paraId="7CA15941" w14:textId="77777777" w:rsidR="00C70E25" w:rsidRDefault="00C70E25" w:rsidP="00C70E25">
      <w:pPr>
        <w:pStyle w:val="NormalWeb"/>
      </w:pPr>
      <w:r>
        <w:t xml:space="preserve">Finally, the future of diagnostic and prognostic integration will probably depend increasingly on quantification. The more reproducibly CMR can measure scar burden, interstitial expansion, myocardial blood flow, and perfusion reserve, the more effectively it can support longitudinal comparison and risk refinement. Quantitative methods do not replace clinical judgement, but they strengthen it by making myocardial disease less dependent on subjective visual interpretation alone. The direction of travel is therefore clear: modern cardiology is moving from </w:t>
      </w:r>
      <w:r>
        <w:lastRenderedPageBreak/>
        <w:t xml:space="preserve">descriptive imaging towards integrated biological phenotyping, and multiparametric CMR is one of the principal technologies driving that transition (Eichhorn et al., 2024; </w:t>
      </w:r>
      <w:proofErr w:type="spellStart"/>
      <w:r>
        <w:t>Chiribiri</w:t>
      </w:r>
      <w:proofErr w:type="spellEnd"/>
      <w:r>
        <w:t xml:space="preserve"> et al., 2025). </w:t>
      </w:r>
    </w:p>
    <w:p w14:paraId="54EA1FDA" w14:textId="77777777" w:rsidR="009B0E43" w:rsidRPr="009B0E43" w:rsidRDefault="009B0E43" w:rsidP="009B0E43">
      <w:pPr>
        <w:pStyle w:val="Heading2"/>
        <w:rPr>
          <w:lang w:val="en-GB"/>
        </w:rPr>
      </w:pPr>
      <w:r w:rsidRPr="009B0E43">
        <w:rPr>
          <w:lang w:val="en-GB"/>
        </w:rPr>
        <w:t>8. Limitations</w:t>
      </w:r>
    </w:p>
    <w:p w14:paraId="34D4D72C" w14:textId="77777777" w:rsidR="009B0E43" w:rsidRPr="009B0E43" w:rsidRDefault="009B0E43" w:rsidP="009B0E43">
      <w:pPr>
        <w:pStyle w:val="NormalWeb"/>
        <w:rPr>
          <w:lang w:val="en-GB"/>
        </w:rPr>
      </w:pPr>
      <w:r w:rsidRPr="009B0E43">
        <w:rPr>
          <w:lang w:val="en-GB"/>
        </w:rPr>
        <w:t>This article is a narrative review rather than a formal systematic review with pooled quantitative analysis. The literature discussed is heterogeneous with respect to scanner field strength, pulse-sequence implementation, contrast protocols, post-processing methods, and outcome definitions. Some findings, particularly those involving quantitative thresholds, may therefore vary across centres. In addition, cardiac MRI should not be interpreted in isolation from the clinical setting, biomarkers, electrocardiography, genetics, and invasive testing when indicated. Finally, access to advanced CMR, mapping, and quantitative perfusion analysis remains uneven across healthcare systems, which may limit immediate universal implementation.</w:t>
      </w:r>
    </w:p>
    <w:p w14:paraId="644F78D1" w14:textId="77777777" w:rsidR="009B0E43" w:rsidRPr="009B0E43" w:rsidRDefault="009B0E43" w:rsidP="009B0E43">
      <w:pPr>
        <w:pStyle w:val="Heading2"/>
        <w:rPr>
          <w:lang w:val="en-GB"/>
        </w:rPr>
      </w:pPr>
      <w:r w:rsidRPr="009B0E43">
        <w:rPr>
          <w:lang w:val="en-GB"/>
        </w:rPr>
        <w:t>9. Conclusions</w:t>
      </w:r>
    </w:p>
    <w:p w14:paraId="57DACEDA" w14:textId="77777777" w:rsidR="009B0E43" w:rsidRPr="009B0E43" w:rsidRDefault="009B0E43" w:rsidP="009B0E43">
      <w:pPr>
        <w:pStyle w:val="NormalWeb"/>
        <w:rPr>
          <w:lang w:val="en-GB"/>
        </w:rPr>
      </w:pPr>
      <w:r w:rsidRPr="009B0E43">
        <w:rPr>
          <w:lang w:val="en-GB"/>
        </w:rPr>
        <w:t>Multiparametric cardiac MRI has become one of the most powerful integrative tools in modern cardiology. In myocarditis, it provides a biologically coherent non-invasive means of identifying active inflammation, residual injury, and future risk. In non-ischaemic cardiomyopathies, it refines diagnosis and phenotyping while improving prognostic assessment beyond global ventricular function alone. In silent myocardial ischaemia, it reveals occult perfusion abnormalities, microvascular dysfunction, and unrecognised infarction that may otherwise remain hidden until late clinical presentation. The defining strength of contemporary CMR is therefore not any individual sequence but the integration of function, tissue characterisation, and perfusion into one clinically meaningful framework. As standardisation and quantification continue to advance, multiparametric CMR is likely to play an even greater role in the transition from descriptive cardiology to precision cardiology.</w:t>
      </w:r>
    </w:p>
    <w:p w14:paraId="003E74BD" w14:textId="77777777" w:rsidR="009B0E43" w:rsidRPr="009B0E43" w:rsidRDefault="009B0E43" w:rsidP="009B0E43">
      <w:pPr>
        <w:pStyle w:val="Heading2"/>
        <w:rPr>
          <w:lang w:val="en-GB"/>
        </w:rPr>
      </w:pPr>
      <w:r w:rsidRPr="009B0E43">
        <w:rPr>
          <w:lang w:val="en-GB"/>
        </w:rPr>
        <w:t>References</w:t>
      </w:r>
    </w:p>
    <w:p w14:paraId="77112D94" w14:textId="77777777" w:rsidR="00565D3E" w:rsidRPr="009B0E43" w:rsidRDefault="00565D3E" w:rsidP="00565D3E">
      <w:pPr>
        <w:pStyle w:val="NormalWeb"/>
        <w:rPr>
          <w:lang w:val="en-GB"/>
        </w:rPr>
      </w:pPr>
      <w:r w:rsidRPr="009B0E43">
        <w:rPr>
          <w:lang w:val="en-GB"/>
        </w:rPr>
        <w:t xml:space="preserve">Acharya, T., Aspelund, T., Jonasson, T. F., Schelbert, E. B., Cao, J. J., Sathya, B., Dyke, C. K., </w:t>
      </w:r>
      <w:proofErr w:type="spellStart"/>
      <w:r w:rsidRPr="009B0E43">
        <w:rPr>
          <w:lang w:val="en-GB"/>
        </w:rPr>
        <w:t>Aletras</w:t>
      </w:r>
      <w:proofErr w:type="spellEnd"/>
      <w:r w:rsidRPr="009B0E43">
        <w:rPr>
          <w:lang w:val="en-GB"/>
        </w:rPr>
        <w:t xml:space="preserve">, A. H., Sigurdsson, S., </w:t>
      </w:r>
      <w:proofErr w:type="spellStart"/>
      <w:r w:rsidRPr="009B0E43">
        <w:rPr>
          <w:lang w:val="en-GB"/>
        </w:rPr>
        <w:t>Thorgeirsson</w:t>
      </w:r>
      <w:proofErr w:type="spellEnd"/>
      <w:r w:rsidRPr="009B0E43">
        <w:rPr>
          <w:lang w:val="en-GB"/>
        </w:rPr>
        <w:t xml:space="preserve">, G., Eiriksdottir, G., Harris, T. B., Launer, L. J., Gudnason, V., &amp; Arai, A. E. (2018). Association of unrecognized myocardial infarction with long-term outcomes in community-dwelling older adults: The ICELAND MI Study. </w:t>
      </w:r>
      <w:r w:rsidRPr="009B0E43">
        <w:rPr>
          <w:rStyle w:val="Emphasis"/>
          <w:lang w:val="en-GB"/>
        </w:rPr>
        <w:t>JAMA Cardiology, 3</w:t>
      </w:r>
      <w:r w:rsidRPr="009B0E43">
        <w:rPr>
          <w:lang w:val="en-GB"/>
        </w:rPr>
        <w:t>(11), 1101-1106. https://doi.org/10.1001/jamacardio.2018.3285</w:t>
      </w:r>
    </w:p>
    <w:p w14:paraId="690E8C70" w14:textId="77777777" w:rsidR="00565D3E" w:rsidRPr="009B0E43" w:rsidRDefault="00565D3E" w:rsidP="00565D3E">
      <w:pPr>
        <w:pStyle w:val="NormalWeb"/>
        <w:rPr>
          <w:lang w:val="en-GB"/>
        </w:rPr>
      </w:pPr>
      <w:r w:rsidRPr="009B0E43">
        <w:rPr>
          <w:lang w:val="en-GB"/>
        </w:rPr>
        <w:t xml:space="preserve">Athwal, P. S. S., </w:t>
      </w:r>
      <w:proofErr w:type="spellStart"/>
      <w:r w:rsidRPr="009B0E43">
        <w:rPr>
          <w:lang w:val="en-GB"/>
        </w:rPr>
        <w:t>Chhikara</w:t>
      </w:r>
      <w:proofErr w:type="spellEnd"/>
      <w:r w:rsidRPr="009B0E43">
        <w:rPr>
          <w:lang w:val="en-GB"/>
        </w:rPr>
        <w:t xml:space="preserve">, S., Ismail, M. F., Ismail, K., </w:t>
      </w:r>
      <w:proofErr w:type="spellStart"/>
      <w:r w:rsidRPr="009B0E43">
        <w:rPr>
          <w:lang w:val="en-GB"/>
        </w:rPr>
        <w:t>Ogugua</w:t>
      </w:r>
      <w:proofErr w:type="spellEnd"/>
      <w:r w:rsidRPr="009B0E43">
        <w:rPr>
          <w:lang w:val="en-GB"/>
        </w:rPr>
        <w:t xml:space="preserve">, F. M., Kazmirczak, F., Bawaskar, P. H., Elton, A. C., Markowitz, J., von Wald, L., </w:t>
      </w:r>
      <w:proofErr w:type="spellStart"/>
      <w:r w:rsidRPr="009B0E43">
        <w:rPr>
          <w:lang w:val="en-GB"/>
        </w:rPr>
        <w:t>Roukoz</w:t>
      </w:r>
      <w:proofErr w:type="spellEnd"/>
      <w:r w:rsidRPr="009B0E43">
        <w:rPr>
          <w:lang w:val="en-GB"/>
        </w:rPr>
        <w:t xml:space="preserve">, H., Bhargava, M., Perlman, D., &amp; Shenoy, C. (2022). Cardiovascular magnetic resonance imaging phenotypes and long-term outcomes in patients with suspected cardiac sarcoidosis. </w:t>
      </w:r>
      <w:r w:rsidRPr="009B0E43">
        <w:rPr>
          <w:rStyle w:val="Emphasis"/>
          <w:lang w:val="en-GB"/>
        </w:rPr>
        <w:t>JAMA Cardiology, 7</w:t>
      </w:r>
      <w:r w:rsidRPr="009B0E43">
        <w:rPr>
          <w:lang w:val="en-GB"/>
        </w:rPr>
        <w:t>(10), 1057-1066. https://doi.org/10.1001/jamacardio.2022.2981</w:t>
      </w:r>
    </w:p>
    <w:p w14:paraId="6E2E8EB5" w14:textId="77777777" w:rsidR="00565D3E" w:rsidRPr="009B0E43" w:rsidRDefault="00565D3E" w:rsidP="00565D3E">
      <w:pPr>
        <w:pStyle w:val="NormalWeb"/>
        <w:rPr>
          <w:lang w:val="en-GB"/>
        </w:rPr>
      </w:pPr>
      <w:proofErr w:type="spellStart"/>
      <w:r w:rsidRPr="009B0E43">
        <w:rPr>
          <w:lang w:val="en-GB"/>
        </w:rPr>
        <w:t>Chiribiri</w:t>
      </w:r>
      <w:proofErr w:type="spellEnd"/>
      <w:r w:rsidRPr="009B0E43">
        <w:rPr>
          <w:lang w:val="en-GB"/>
        </w:rPr>
        <w:t xml:space="preserve">, A., Arai, A. E., DiBella, E., Hsu, L.-Y., Ishida, M., Jerosch-Herold, M., </w:t>
      </w:r>
      <w:proofErr w:type="spellStart"/>
      <w:r w:rsidRPr="009B0E43">
        <w:rPr>
          <w:lang w:val="en-GB"/>
        </w:rPr>
        <w:t>Kozerke</w:t>
      </w:r>
      <w:proofErr w:type="spellEnd"/>
      <w:r w:rsidRPr="009B0E43">
        <w:rPr>
          <w:lang w:val="en-GB"/>
        </w:rPr>
        <w:t xml:space="preserve">, S., </w:t>
      </w:r>
      <w:proofErr w:type="spellStart"/>
      <w:r w:rsidRPr="009B0E43">
        <w:rPr>
          <w:lang w:val="en-GB"/>
        </w:rPr>
        <w:t>Milidonis</w:t>
      </w:r>
      <w:proofErr w:type="spellEnd"/>
      <w:r w:rsidRPr="009B0E43">
        <w:rPr>
          <w:lang w:val="en-GB"/>
        </w:rPr>
        <w:t xml:space="preserve">, X., Nezafat, R., Plein, S., Scannell, C. M., &amp; Salerno, M. (2025). Society for cardiovascular magnetic resonance expert consensus statement on quantitative myocardial </w:t>
      </w:r>
      <w:r w:rsidRPr="009B0E43">
        <w:rPr>
          <w:lang w:val="en-GB"/>
        </w:rPr>
        <w:lastRenderedPageBreak/>
        <w:t xml:space="preserve">perfusion cardiovascular magnetic resonance imaging. </w:t>
      </w:r>
      <w:r w:rsidRPr="009B0E43">
        <w:rPr>
          <w:rStyle w:val="Emphasis"/>
          <w:lang w:val="en-GB"/>
        </w:rPr>
        <w:t>Journal of Cardiovascular Magnetic Resonance, 27</w:t>
      </w:r>
      <w:r w:rsidRPr="009B0E43">
        <w:rPr>
          <w:lang w:val="en-GB"/>
        </w:rPr>
        <w:t>(2), Article 101940. https://doi.org/10.1016/j.jocmr.2025.101940</w:t>
      </w:r>
    </w:p>
    <w:p w14:paraId="0B25B6C9" w14:textId="77777777" w:rsidR="00565D3E" w:rsidRPr="009B0E43" w:rsidRDefault="00565D3E" w:rsidP="00565D3E">
      <w:pPr>
        <w:pStyle w:val="NormalWeb"/>
        <w:rPr>
          <w:lang w:val="en-GB"/>
        </w:rPr>
      </w:pPr>
      <w:r w:rsidRPr="009B0E43">
        <w:rPr>
          <w:lang w:val="en-GB"/>
        </w:rPr>
        <w:t xml:space="preserve">Eichhorn, C., </w:t>
      </w:r>
      <w:proofErr w:type="spellStart"/>
      <w:r w:rsidRPr="009B0E43">
        <w:rPr>
          <w:lang w:val="en-GB"/>
        </w:rPr>
        <w:t>Koeckerling</w:t>
      </w:r>
      <w:proofErr w:type="spellEnd"/>
      <w:r w:rsidRPr="009B0E43">
        <w:rPr>
          <w:lang w:val="en-GB"/>
        </w:rPr>
        <w:t xml:space="preserve">, D., Reddy, R. K., </w:t>
      </w:r>
      <w:proofErr w:type="spellStart"/>
      <w:r w:rsidRPr="009B0E43">
        <w:rPr>
          <w:lang w:val="en-GB"/>
        </w:rPr>
        <w:t>Ardissino</w:t>
      </w:r>
      <w:proofErr w:type="spellEnd"/>
      <w:r w:rsidRPr="009B0E43">
        <w:rPr>
          <w:lang w:val="en-GB"/>
        </w:rPr>
        <w:t xml:space="preserve">, M., Rogowski, M., Coles, B., Hunziker, L., Greulich, S., Shiri, I., Frey, N., Eckstein, J., Windecker, S., Kwong, R. Y., </w:t>
      </w:r>
      <w:proofErr w:type="spellStart"/>
      <w:r w:rsidRPr="009B0E43">
        <w:rPr>
          <w:lang w:val="en-GB"/>
        </w:rPr>
        <w:t>Siontis</w:t>
      </w:r>
      <w:proofErr w:type="spellEnd"/>
      <w:r w:rsidRPr="009B0E43">
        <w:rPr>
          <w:lang w:val="en-GB"/>
        </w:rPr>
        <w:t xml:space="preserve">, G. C. M., &amp; </w:t>
      </w:r>
      <w:proofErr w:type="spellStart"/>
      <w:r w:rsidRPr="009B0E43">
        <w:rPr>
          <w:lang w:val="en-GB"/>
        </w:rPr>
        <w:t>Gräni</w:t>
      </w:r>
      <w:proofErr w:type="spellEnd"/>
      <w:r w:rsidRPr="009B0E43">
        <w:rPr>
          <w:lang w:val="en-GB"/>
        </w:rPr>
        <w:t xml:space="preserve">, C. (2024). Risk stratification in </w:t>
      </w:r>
      <w:proofErr w:type="spellStart"/>
      <w:r w:rsidRPr="009B0E43">
        <w:rPr>
          <w:lang w:val="en-GB"/>
        </w:rPr>
        <w:t>nonischemic</w:t>
      </w:r>
      <w:proofErr w:type="spellEnd"/>
      <w:r w:rsidRPr="009B0E43">
        <w:rPr>
          <w:lang w:val="en-GB"/>
        </w:rPr>
        <w:t xml:space="preserve"> dilated cardiomyopathy using CMR imaging: A systematic review and meta-analysis. </w:t>
      </w:r>
      <w:r w:rsidRPr="009B0E43">
        <w:rPr>
          <w:rStyle w:val="Emphasis"/>
          <w:lang w:val="en-GB"/>
        </w:rPr>
        <w:t>JAMA, 332</w:t>
      </w:r>
      <w:r w:rsidRPr="009B0E43">
        <w:rPr>
          <w:lang w:val="en-GB"/>
        </w:rPr>
        <w:t>(18), 1535-1550. https://doi.org/10.1001/jama.2024.13946</w:t>
      </w:r>
    </w:p>
    <w:p w14:paraId="40E1E867" w14:textId="77777777" w:rsidR="00565D3E" w:rsidRDefault="00565D3E" w:rsidP="00565D3E">
      <w:pPr>
        <w:pStyle w:val="NormalWeb"/>
      </w:pPr>
      <w:proofErr w:type="spellStart"/>
      <w:r>
        <w:t>Ejjebli</w:t>
      </w:r>
      <w:proofErr w:type="spellEnd"/>
      <w:r>
        <w:t xml:space="preserve">, S., </w:t>
      </w:r>
      <w:proofErr w:type="spellStart"/>
      <w:r>
        <w:t>Altimimi</w:t>
      </w:r>
      <w:proofErr w:type="spellEnd"/>
      <w:r>
        <w:t xml:space="preserve">, A., Rezzouk, I., </w:t>
      </w:r>
      <w:proofErr w:type="spellStart"/>
      <w:r>
        <w:t>Elmahi</w:t>
      </w:r>
      <w:proofErr w:type="spellEnd"/>
      <w:r>
        <w:t xml:space="preserve">, A., </w:t>
      </w:r>
      <w:proofErr w:type="spellStart"/>
      <w:r>
        <w:t>Benouna</w:t>
      </w:r>
      <w:proofErr w:type="spellEnd"/>
      <w:r>
        <w:t xml:space="preserve">, G., &amp; Habbal, R. (2025). </w:t>
      </w:r>
      <w:r>
        <w:rPr>
          <w:rStyle w:val="Emphasis"/>
        </w:rPr>
        <w:t>Cardiac sarcoidosis leading to restrictive cardiomyopathy: A case report of fatal ventricular fibrillation in a 45-year-old male</w:t>
      </w:r>
      <w:r>
        <w:t xml:space="preserve">. </w:t>
      </w:r>
      <w:r>
        <w:rPr>
          <w:rStyle w:val="Emphasis"/>
        </w:rPr>
        <w:t>Asian Journal of Cardiology Research, 8</w:t>
      </w:r>
      <w:r>
        <w:t xml:space="preserve">(1), 331-336. </w:t>
      </w:r>
      <w:hyperlink r:id="rId7" w:tgtFrame="_new" w:history="1">
        <w:r>
          <w:rPr>
            <w:rStyle w:val="Hyperlink"/>
          </w:rPr>
          <w:t>https://doi.org/10.9734/ajcr/2025/v8i1282</w:t>
        </w:r>
      </w:hyperlink>
    </w:p>
    <w:p w14:paraId="359D97C7" w14:textId="77777777" w:rsidR="00565D3E" w:rsidRPr="009B0E43" w:rsidRDefault="00565D3E" w:rsidP="00565D3E">
      <w:pPr>
        <w:pStyle w:val="NormalWeb"/>
        <w:rPr>
          <w:lang w:val="en-GB"/>
        </w:rPr>
      </w:pPr>
      <w:r w:rsidRPr="009B0E43">
        <w:rPr>
          <w:lang w:val="en-GB"/>
        </w:rPr>
        <w:t xml:space="preserve">Ferreira, V. M., Schulz-Menger, J., Holmvang, G., Kramer, C. M., Carbone, I., </w:t>
      </w:r>
      <w:proofErr w:type="spellStart"/>
      <w:r w:rsidRPr="009B0E43">
        <w:rPr>
          <w:lang w:val="en-GB"/>
        </w:rPr>
        <w:t>Sechtem</w:t>
      </w:r>
      <w:proofErr w:type="spellEnd"/>
      <w:r w:rsidRPr="009B0E43">
        <w:rPr>
          <w:lang w:val="en-GB"/>
        </w:rPr>
        <w:t xml:space="preserve">, U., Kindermann, I., Gutberlet, M., Cooper, L. T., Liu, P., &amp; Friedrich, M. G. (2018). Cardiovascular magnetic resonance in </w:t>
      </w:r>
      <w:proofErr w:type="spellStart"/>
      <w:r w:rsidRPr="009B0E43">
        <w:rPr>
          <w:lang w:val="en-GB"/>
        </w:rPr>
        <w:t>nonischemic</w:t>
      </w:r>
      <w:proofErr w:type="spellEnd"/>
      <w:r w:rsidRPr="009B0E43">
        <w:rPr>
          <w:lang w:val="en-GB"/>
        </w:rPr>
        <w:t xml:space="preserve"> myocardial inflammation: Expert recommendations. </w:t>
      </w:r>
      <w:r w:rsidRPr="009B0E43">
        <w:rPr>
          <w:rStyle w:val="Emphasis"/>
          <w:lang w:val="en-GB"/>
        </w:rPr>
        <w:t>Journal of the American College of Cardiology, 72</w:t>
      </w:r>
      <w:r w:rsidRPr="009B0E43">
        <w:rPr>
          <w:lang w:val="en-GB"/>
        </w:rPr>
        <w:t>(24), 3158-3176. https://doi.org/10.1016/j.jacc.2018.09.072</w:t>
      </w:r>
    </w:p>
    <w:p w14:paraId="79D47765" w14:textId="77777777" w:rsidR="00565D3E" w:rsidRPr="009B0E43" w:rsidRDefault="00565D3E" w:rsidP="00565D3E">
      <w:pPr>
        <w:pStyle w:val="NormalWeb"/>
        <w:rPr>
          <w:lang w:val="en-GB"/>
        </w:rPr>
      </w:pPr>
      <w:r w:rsidRPr="009B0E43">
        <w:rPr>
          <w:lang w:val="en-GB"/>
        </w:rPr>
        <w:t xml:space="preserve">Friedrich, M. G., </w:t>
      </w:r>
      <w:proofErr w:type="spellStart"/>
      <w:r w:rsidRPr="009B0E43">
        <w:rPr>
          <w:lang w:val="en-GB"/>
        </w:rPr>
        <w:t>Sechtem</w:t>
      </w:r>
      <w:proofErr w:type="spellEnd"/>
      <w:r w:rsidRPr="009B0E43">
        <w:rPr>
          <w:lang w:val="en-GB"/>
        </w:rPr>
        <w:t>, U., Schulz-Menger, J., Holmvang, G., Alakija, P., Cooper, L. T., White, J. A., Abdel-</w:t>
      </w:r>
      <w:proofErr w:type="spellStart"/>
      <w:r w:rsidRPr="009B0E43">
        <w:rPr>
          <w:lang w:val="en-GB"/>
        </w:rPr>
        <w:t>Aty</w:t>
      </w:r>
      <w:proofErr w:type="spellEnd"/>
      <w:r w:rsidRPr="009B0E43">
        <w:rPr>
          <w:lang w:val="en-GB"/>
        </w:rPr>
        <w:t xml:space="preserve">, H., Gutberlet, M., Prasad, S., </w:t>
      </w:r>
      <w:proofErr w:type="spellStart"/>
      <w:r w:rsidRPr="009B0E43">
        <w:rPr>
          <w:lang w:val="en-GB"/>
        </w:rPr>
        <w:t>Aletras</w:t>
      </w:r>
      <w:proofErr w:type="spellEnd"/>
      <w:r w:rsidRPr="009B0E43">
        <w:rPr>
          <w:lang w:val="en-GB"/>
        </w:rPr>
        <w:t xml:space="preserve">, A., </w:t>
      </w:r>
      <w:proofErr w:type="spellStart"/>
      <w:r w:rsidRPr="009B0E43">
        <w:rPr>
          <w:lang w:val="en-GB"/>
        </w:rPr>
        <w:t>Laissy</w:t>
      </w:r>
      <w:proofErr w:type="spellEnd"/>
      <w:r w:rsidRPr="009B0E43">
        <w:rPr>
          <w:lang w:val="en-GB"/>
        </w:rPr>
        <w:t xml:space="preserve">, J.-P., Paterson, I., </w:t>
      </w:r>
      <w:proofErr w:type="spellStart"/>
      <w:r w:rsidRPr="009B0E43">
        <w:rPr>
          <w:lang w:val="en-GB"/>
        </w:rPr>
        <w:t>Filipchuk</w:t>
      </w:r>
      <w:proofErr w:type="spellEnd"/>
      <w:r w:rsidRPr="009B0E43">
        <w:rPr>
          <w:lang w:val="en-GB"/>
        </w:rPr>
        <w:t xml:space="preserve">, N. G., Kumar, A., Pauschinger, M., &amp; Liu, P. (2009). Cardiovascular magnetic resonance in myocarditis: A JACC White Paper. </w:t>
      </w:r>
      <w:r w:rsidRPr="009B0E43">
        <w:rPr>
          <w:rStyle w:val="Emphasis"/>
          <w:lang w:val="en-GB"/>
        </w:rPr>
        <w:t>Journal of the American College of Cardiology, 53</w:t>
      </w:r>
      <w:r w:rsidRPr="009B0E43">
        <w:rPr>
          <w:lang w:val="en-GB"/>
        </w:rPr>
        <w:t>(17), 1475-1487. https://doi.org/10.1016/j.jacc.2009.02.007</w:t>
      </w:r>
    </w:p>
    <w:p w14:paraId="66F5502E" w14:textId="77777777" w:rsidR="00565D3E" w:rsidRPr="009B0E43" w:rsidRDefault="00565D3E" w:rsidP="00565D3E">
      <w:pPr>
        <w:pStyle w:val="NormalWeb"/>
        <w:rPr>
          <w:lang w:val="en-GB"/>
        </w:rPr>
      </w:pPr>
      <w:r w:rsidRPr="009B0E43">
        <w:rPr>
          <w:lang w:val="en-GB"/>
        </w:rPr>
        <w:t xml:space="preserve">Giri, L., Singh, R., Marey, A., Li, Y., Venkatesh, B. A., Abdulla, J., Zimmerman, S., &amp; Umair, M. (2025). Diagnostic performance of cardiovascular magnetic resonance parametric mapping as per modified Lake Louise Criteria in acute myocarditis: An updated systematic review and meta-analysis. </w:t>
      </w:r>
      <w:r w:rsidRPr="009B0E43">
        <w:rPr>
          <w:rStyle w:val="Emphasis"/>
          <w:lang w:val="en-GB"/>
        </w:rPr>
        <w:t>Journal of Cardiovascular Imaging, 33</w:t>
      </w:r>
      <w:r w:rsidRPr="009B0E43">
        <w:rPr>
          <w:lang w:val="en-GB"/>
        </w:rPr>
        <w:t>, Article 5. https://doi.org/10.1186/s44348-025-00048-3</w:t>
      </w:r>
    </w:p>
    <w:p w14:paraId="6C11E387" w14:textId="77777777" w:rsidR="00565D3E" w:rsidRPr="009B0E43" w:rsidRDefault="00565D3E" w:rsidP="00565D3E">
      <w:pPr>
        <w:pStyle w:val="NormalWeb"/>
        <w:rPr>
          <w:lang w:val="en-GB"/>
        </w:rPr>
      </w:pPr>
      <w:proofErr w:type="spellStart"/>
      <w:r w:rsidRPr="009B0E43">
        <w:rPr>
          <w:lang w:val="en-GB"/>
        </w:rPr>
        <w:t>Gräni</w:t>
      </w:r>
      <w:proofErr w:type="spellEnd"/>
      <w:r w:rsidRPr="009B0E43">
        <w:rPr>
          <w:lang w:val="en-GB"/>
        </w:rPr>
        <w:t xml:space="preserve">, C., Eichhorn, C., </w:t>
      </w:r>
      <w:proofErr w:type="spellStart"/>
      <w:r w:rsidRPr="009B0E43">
        <w:rPr>
          <w:lang w:val="en-GB"/>
        </w:rPr>
        <w:t>Bière</w:t>
      </w:r>
      <w:proofErr w:type="spellEnd"/>
      <w:r w:rsidRPr="009B0E43">
        <w:rPr>
          <w:lang w:val="en-GB"/>
        </w:rPr>
        <w:t xml:space="preserve">, L., Murthy, V. L., Agarwal, V., Kaneko, K., Cuddy, S., Aghayev, A., Steigner, M., Blankstein, R., </w:t>
      </w:r>
      <w:proofErr w:type="spellStart"/>
      <w:r w:rsidRPr="009B0E43">
        <w:rPr>
          <w:lang w:val="en-GB"/>
        </w:rPr>
        <w:t>Jerosch</w:t>
      </w:r>
      <w:proofErr w:type="spellEnd"/>
      <w:r w:rsidRPr="009B0E43">
        <w:rPr>
          <w:lang w:val="en-GB"/>
        </w:rPr>
        <w:t xml:space="preserve">-Herold, M., &amp; Kwong, R. Y. (2017). Prognostic value of cardiac magnetic resonance tissue characterization in risk stratifying patients with suspected myocarditis. </w:t>
      </w:r>
      <w:r w:rsidRPr="009B0E43">
        <w:rPr>
          <w:rStyle w:val="Emphasis"/>
          <w:lang w:val="en-GB"/>
        </w:rPr>
        <w:t>Journal of the American College of Cardiology, 70</w:t>
      </w:r>
      <w:r w:rsidRPr="009B0E43">
        <w:rPr>
          <w:lang w:val="en-GB"/>
        </w:rPr>
        <w:t>(16), 1964-1976. https://doi.org/10.1016/j.jacc.2017.08.050</w:t>
      </w:r>
    </w:p>
    <w:p w14:paraId="0552A4B0" w14:textId="77777777" w:rsidR="00565D3E" w:rsidRPr="009B0E43" w:rsidRDefault="00565D3E" w:rsidP="00565D3E">
      <w:pPr>
        <w:pStyle w:val="NormalWeb"/>
        <w:rPr>
          <w:lang w:val="en-GB"/>
        </w:rPr>
      </w:pPr>
      <w:r w:rsidRPr="009B0E43">
        <w:rPr>
          <w:lang w:val="en-GB"/>
        </w:rPr>
        <w:t xml:space="preserve">Gulati, A., Jabbour, A., Ismail, T. F., Guha, K., Khwaja, J., Raza, S., Morarji, K., Brown, T. D. H., Ismail, N. A., Dweck, M. R., Di Pietro, E., Roughton, M., Wage, R., Daryani, Y., O’Hanlon, R., Sheppard, M. N., </w:t>
      </w:r>
      <w:proofErr w:type="spellStart"/>
      <w:r w:rsidRPr="009B0E43">
        <w:rPr>
          <w:lang w:val="en-GB"/>
        </w:rPr>
        <w:t>Alpendurada</w:t>
      </w:r>
      <w:proofErr w:type="spellEnd"/>
      <w:r w:rsidRPr="009B0E43">
        <w:rPr>
          <w:lang w:val="en-GB"/>
        </w:rPr>
        <w:t xml:space="preserve">, F., Lyon, A. R., Cook, S. A., ... Prasad, S. K. (2013). Association of fibrosis with mortality and sudden cardiac death in patients with </w:t>
      </w:r>
      <w:proofErr w:type="spellStart"/>
      <w:r w:rsidRPr="009B0E43">
        <w:rPr>
          <w:lang w:val="en-GB"/>
        </w:rPr>
        <w:t>nonischemic</w:t>
      </w:r>
      <w:proofErr w:type="spellEnd"/>
      <w:r w:rsidRPr="009B0E43">
        <w:rPr>
          <w:lang w:val="en-GB"/>
        </w:rPr>
        <w:t xml:space="preserve"> dilated cardiomyopathy. </w:t>
      </w:r>
      <w:r w:rsidRPr="009B0E43">
        <w:rPr>
          <w:rStyle w:val="Emphasis"/>
          <w:lang w:val="en-GB"/>
        </w:rPr>
        <w:t>JAMA, 309</w:t>
      </w:r>
      <w:r w:rsidRPr="009B0E43">
        <w:rPr>
          <w:lang w:val="en-GB"/>
        </w:rPr>
        <w:t>(9), 896-908. https://doi.org/10.1001/jama.2013.1363</w:t>
      </w:r>
    </w:p>
    <w:p w14:paraId="4E84A41E" w14:textId="77777777" w:rsidR="00565D3E" w:rsidRPr="009B0E43" w:rsidRDefault="00565D3E" w:rsidP="00565D3E">
      <w:pPr>
        <w:pStyle w:val="NormalWeb"/>
        <w:rPr>
          <w:lang w:val="en-GB"/>
        </w:rPr>
      </w:pPr>
      <w:r w:rsidRPr="009B0E43">
        <w:rPr>
          <w:lang w:val="en-GB"/>
        </w:rPr>
        <w:lastRenderedPageBreak/>
        <w:t xml:space="preserve">Hamilton-Craig, C., </w:t>
      </w:r>
      <w:proofErr w:type="spellStart"/>
      <w:r w:rsidRPr="009B0E43">
        <w:rPr>
          <w:lang w:val="en-GB"/>
        </w:rPr>
        <w:t>Ugander</w:t>
      </w:r>
      <w:proofErr w:type="spellEnd"/>
      <w:r w:rsidRPr="009B0E43">
        <w:rPr>
          <w:lang w:val="en-GB"/>
        </w:rPr>
        <w:t xml:space="preserve">, M., Greenwood, J. P., &amp; </w:t>
      </w:r>
      <w:proofErr w:type="spellStart"/>
      <w:r w:rsidRPr="009B0E43">
        <w:rPr>
          <w:lang w:val="en-GB"/>
        </w:rPr>
        <w:t>Kozor</w:t>
      </w:r>
      <w:proofErr w:type="spellEnd"/>
      <w:r w:rsidRPr="009B0E43">
        <w:rPr>
          <w:lang w:val="en-GB"/>
        </w:rPr>
        <w:t xml:space="preserve">, R. (2023). Stress perfusion cardiovascular magnetic resonance imaging: A guide for the general cardiologist. </w:t>
      </w:r>
      <w:r w:rsidRPr="009B0E43">
        <w:rPr>
          <w:rStyle w:val="Emphasis"/>
          <w:lang w:val="en-GB"/>
        </w:rPr>
        <w:t>Heart, 109</w:t>
      </w:r>
      <w:r w:rsidRPr="009B0E43">
        <w:rPr>
          <w:lang w:val="en-GB"/>
        </w:rPr>
        <w:t>(6), 428-433. https://doi.org/10.1136/heartjnl-2022-321630</w:t>
      </w:r>
    </w:p>
    <w:p w14:paraId="5198E4DF" w14:textId="77777777" w:rsidR="00565D3E" w:rsidRPr="009B0E43" w:rsidRDefault="00565D3E" w:rsidP="00565D3E">
      <w:pPr>
        <w:pStyle w:val="NormalWeb"/>
        <w:rPr>
          <w:lang w:val="en-GB"/>
        </w:rPr>
      </w:pPr>
      <w:proofErr w:type="spellStart"/>
      <w:r w:rsidRPr="009B0E43">
        <w:rPr>
          <w:lang w:val="en-GB"/>
        </w:rPr>
        <w:t>Hosadurg</w:t>
      </w:r>
      <w:proofErr w:type="spellEnd"/>
      <w:r w:rsidRPr="009B0E43">
        <w:rPr>
          <w:lang w:val="en-GB"/>
        </w:rPr>
        <w:t xml:space="preserve">, N., Rodriguez Lozano, P., Patel, A. R., &amp; Kramer, C. M. (2025). Cardiac magnetic resonance in the evaluation and management of </w:t>
      </w:r>
      <w:proofErr w:type="spellStart"/>
      <w:r w:rsidRPr="009B0E43">
        <w:rPr>
          <w:lang w:val="en-GB"/>
        </w:rPr>
        <w:t>nonischemic</w:t>
      </w:r>
      <w:proofErr w:type="spellEnd"/>
      <w:r w:rsidRPr="009B0E43">
        <w:rPr>
          <w:lang w:val="en-GB"/>
        </w:rPr>
        <w:t xml:space="preserve"> cardiomyopathies. </w:t>
      </w:r>
      <w:r w:rsidRPr="009B0E43">
        <w:rPr>
          <w:rStyle w:val="Emphasis"/>
          <w:lang w:val="en-GB"/>
        </w:rPr>
        <w:t>JACC: Heart Failure, 13</w:t>
      </w:r>
      <w:r w:rsidRPr="009B0E43">
        <w:rPr>
          <w:lang w:val="en-GB"/>
        </w:rPr>
        <w:t>(9), Article 102525. https://doi.org/10.1016/j.jchf.2025.102525</w:t>
      </w:r>
    </w:p>
    <w:p w14:paraId="71910DE9" w14:textId="77777777" w:rsidR="00565D3E" w:rsidRPr="009B0E43" w:rsidRDefault="00565D3E" w:rsidP="00565D3E">
      <w:pPr>
        <w:pStyle w:val="NormalWeb"/>
        <w:rPr>
          <w:lang w:val="en-GB"/>
        </w:rPr>
      </w:pPr>
      <w:proofErr w:type="spellStart"/>
      <w:r w:rsidRPr="009B0E43">
        <w:rPr>
          <w:lang w:val="en-GB"/>
        </w:rPr>
        <w:t>Kiaos</w:t>
      </w:r>
      <w:proofErr w:type="spellEnd"/>
      <w:r w:rsidRPr="009B0E43">
        <w:rPr>
          <w:lang w:val="en-GB"/>
        </w:rPr>
        <w:t xml:space="preserve">, A., Daskalopoulos, G. N., </w:t>
      </w:r>
      <w:proofErr w:type="spellStart"/>
      <w:r w:rsidRPr="009B0E43">
        <w:rPr>
          <w:lang w:val="en-GB"/>
        </w:rPr>
        <w:t>Kamperidis</w:t>
      </w:r>
      <w:proofErr w:type="spellEnd"/>
      <w:r w:rsidRPr="009B0E43">
        <w:rPr>
          <w:lang w:val="en-GB"/>
        </w:rPr>
        <w:t xml:space="preserve">, V., Ziakas, A., </w:t>
      </w:r>
      <w:proofErr w:type="spellStart"/>
      <w:r w:rsidRPr="009B0E43">
        <w:rPr>
          <w:lang w:val="en-GB"/>
        </w:rPr>
        <w:t>Efthimiadis</w:t>
      </w:r>
      <w:proofErr w:type="spellEnd"/>
      <w:r w:rsidRPr="009B0E43">
        <w:rPr>
          <w:lang w:val="en-GB"/>
        </w:rPr>
        <w:t xml:space="preserve">, G., &amp; </w:t>
      </w:r>
      <w:proofErr w:type="spellStart"/>
      <w:r w:rsidRPr="009B0E43">
        <w:rPr>
          <w:lang w:val="en-GB"/>
        </w:rPr>
        <w:t>Karamitsos</w:t>
      </w:r>
      <w:proofErr w:type="spellEnd"/>
      <w:r w:rsidRPr="009B0E43">
        <w:rPr>
          <w:lang w:val="en-GB"/>
        </w:rPr>
        <w:t xml:space="preserve">, T. D. (2024). Quantitative late gadolinium enhancement cardiac magnetic resonance and sudden death in hypertrophic cardiomyopathy: A meta-analysis. </w:t>
      </w:r>
      <w:r w:rsidRPr="009B0E43">
        <w:rPr>
          <w:rStyle w:val="Emphasis"/>
          <w:lang w:val="en-GB"/>
        </w:rPr>
        <w:t>JACC: Cardiovascular Imaging, 17</w:t>
      </w:r>
      <w:r w:rsidRPr="009B0E43">
        <w:rPr>
          <w:lang w:val="en-GB"/>
        </w:rPr>
        <w:t>(5), 489-497. https://doi.org/10.1016/j.jcmg.2023.07.005</w:t>
      </w:r>
    </w:p>
    <w:p w14:paraId="64CF87BF" w14:textId="77777777" w:rsidR="00565D3E" w:rsidRPr="009B0E43" w:rsidRDefault="00565D3E" w:rsidP="00565D3E">
      <w:pPr>
        <w:pStyle w:val="NormalWeb"/>
        <w:rPr>
          <w:lang w:val="en-GB"/>
        </w:rPr>
      </w:pPr>
      <w:r w:rsidRPr="009B0E43">
        <w:rPr>
          <w:lang w:val="en-GB"/>
        </w:rPr>
        <w:t xml:space="preserve">Kotanidis, C. P., Bazmpani, M.-A., </w:t>
      </w:r>
      <w:proofErr w:type="spellStart"/>
      <w:r w:rsidRPr="009B0E43">
        <w:rPr>
          <w:lang w:val="en-GB"/>
        </w:rPr>
        <w:t>Haidich</w:t>
      </w:r>
      <w:proofErr w:type="spellEnd"/>
      <w:r w:rsidRPr="009B0E43">
        <w:rPr>
          <w:lang w:val="en-GB"/>
        </w:rPr>
        <w:t xml:space="preserve">, A.-B., Karvounis, C., Antoniades, C., &amp; </w:t>
      </w:r>
      <w:proofErr w:type="spellStart"/>
      <w:r w:rsidRPr="009B0E43">
        <w:rPr>
          <w:lang w:val="en-GB"/>
        </w:rPr>
        <w:t>Karamitsos</w:t>
      </w:r>
      <w:proofErr w:type="spellEnd"/>
      <w:r w:rsidRPr="009B0E43">
        <w:rPr>
          <w:lang w:val="en-GB"/>
        </w:rPr>
        <w:t xml:space="preserve">, T. D. (2018). Diagnostic accuracy of cardiovascular magnetic resonance in acute myocarditis: A systematic review and meta-analysis. </w:t>
      </w:r>
      <w:r w:rsidRPr="009B0E43">
        <w:rPr>
          <w:rStyle w:val="Emphasis"/>
          <w:lang w:val="en-GB"/>
        </w:rPr>
        <w:t>JACC: Cardiovascular Imaging, 11</w:t>
      </w:r>
      <w:r w:rsidRPr="009B0E43">
        <w:rPr>
          <w:lang w:val="en-GB"/>
        </w:rPr>
        <w:t>(11), 1583-1590. https://doi.org/10.1016/j.jcmg.2017.12.008</w:t>
      </w:r>
    </w:p>
    <w:p w14:paraId="08979E01" w14:textId="77777777" w:rsidR="00565D3E" w:rsidRPr="009B0E43" w:rsidRDefault="00565D3E" w:rsidP="00565D3E">
      <w:pPr>
        <w:pStyle w:val="NormalWeb"/>
        <w:rPr>
          <w:lang w:val="en-GB"/>
        </w:rPr>
      </w:pPr>
      <w:r w:rsidRPr="009B0E43">
        <w:rPr>
          <w:lang w:val="en-GB"/>
        </w:rPr>
        <w:t xml:space="preserve">Kramer, C. M., </w:t>
      </w:r>
      <w:proofErr w:type="spellStart"/>
      <w:r w:rsidRPr="009B0E43">
        <w:rPr>
          <w:lang w:val="en-GB"/>
        </w:rPr>
        <w:t>Barkhausen</w:t>
      </w:r>
      <w:proofErr w:type="spellEnd"/>
      <w:r w:rsidRPr="009B0E43">
        <w:rPr>
          <w:lang w:val="en-GB"/>
        </w:rPr>
        <w:t xml:space="preserve">, J., Bucciarelli-Ducci, C., Flamm, S. D., Kim, R. J., &amp; Nagel, E. (2020). Standardized cardiovascular magnetic resonance imaging protocols: 2020 update. </w:t>
      </w:r>
      <w:r w:rsidRPr="009B0E43">
        <w:rPr>
          <w:rStyle w:val="Emphasis"/>
          <w:lang w:val="en-GB"/>
        </w:rPr>
        <w:t>Journal of Cardiovascular Magnetic Resonance, 22</w:t>
      </w:r>
      <w:r w:rsidRPr="009B0E43">
        <w:rPr>
          <w:lang w:val="en-GB"/>
        </w:rPr>
        <w:t xml:space="preserve">, Article 17. </w:t>
      </w:r>
      <w:hyperlink r:id="rId8" w:tgtFrame="_new" w:history="1">
        <w:r w:rsidRPr="009B0E43">
          <w:rPr>
            <w:rStyle w:val="Hyperlink"/>
            <w:lang w:val="en-GB"/>
          </w:rPr>
          <w:t>https://doi.org/10.1186/s12968-020-00607-1</w:t>
        </w:r>
      </w:hyperlink>
    </w:p>
    <w:p w14:paraId="3B954A41" w14:textId="77777777" w:rsidR="00565D3E" w:rsidRPr="009B0E43" w:rsidRDefault="00565D3E" w:rsidP="00565D3E">
      <w:pPr>
        <w:pStyle w:val="NormalWeb"/>
        <w:rPr>
          <w:lang w:val="en-GB"/>
        </w:rPr>
      </w:pPr>
      <w:r w:rsidRPr="009B0E43">
        <w:rPr>
          <w:lang w:val="en-GB"/>
        </w:rPr>
        <w:t xml:space="preserve">Kuruvilla, S., </w:t>
      </w:r>
      <w:proofErr w:type="spellStart"/>
      <w:r w:rsidRPr="009B0E43">
        <w:rPr>
          <w:lang w:val="en-GB"/>
        </w:rPr>
        <w:t>Adenaw</w:t>
      </w:r>
      <w:proofErr w:type="spellEnd"/>
      <w:r w:rsidRPr="009B0E43">
        <w:rPr>
          <w:lang w:val="en-GB"/>
        </w:rPr>
        <w:t xml:space="preserve">, N., </w:t>
      </w:r>
      <w:proofErr w:type="spellStart"/>
      <w:r w:rsidRPr="009B0E43">
        <w:rPr>
          <w:lang w:val="en-GB"/>
        </w:rPr>
        <w:t>Katwal</w:t>
      </w:r>
      <w:proofErr w:type="spellEnd"/>
      <w:r w:rsidRPr="009B0E43">
        <w:rPr>
          <w:lang w:val="en-GB"/>
        </w:rPr>
        <w:t xml:space="preserve">, A. B., Lipinski, M. J., Kramer, C. M., &amp; Salerno, M. (2014). Late gadolinium enhancement on cardiac magnetic resonance predicts adverse cardiovascular outcomes in </w:t>
      </w:r>
      <w:proofErr w:type="spellStart"/>
      <w:r w:rsidRPr="009B0E43">
        <w:rPr>
          <w:lang w:val="en-GB"/>
        </w:rPr>
        <w:t>nonischemic</w:t>
      </w:r>
      <w:proofErr w:type="spellEnd"/>
      <w:r w:rsidRPr="009B0E43">
        <w:rPr>
          <w:lang w:val="en-GB"/>
        </w:rPr>
        <w:t xml:space="preserve"> cardiomyopathy: A systematic review and meta-analysis. </w:t>
      </w:r>
      <w:r w:rsidRPr="009B0E43">
        <w:rPr>
          <w:rStyle w:val="Emphasis"/>
          <w:lang w:val="en-GB"/>
        </w:rPr>
        <w:t>Circulation: Cardiovascular Imaging, 7</w:t>
      </w:r>
      <w:r w:rsidRPr="009B0E43">
        <w:rPr>
          <w:lang w:val="en-GB"/>
        </w:rPr>
        <w:t>(2), 250-258. https://doi.org/10.1161/CIRCIMAGING.113.001144</w:t>
      </w:r>
    </w:p>
    <w:p w14:paraId="694E7ACC" w14:textId="77777777" w:rsidR="00565D3E" w:rsidRPr="009B0E43" w:rsidRDefault="00565D3E" w:rsidP="00565D3E">
      <w:pPr>
        <w:pStyle w:val="NormalWeb"/>
        <w:rPr>
          <w:lang w:val="en-GB"/>
        </w:rPr>
      </w:pPr>
      <w:r w:rsidRPr="009B0E43">
        <w:rPr>
          <w:lang w:val="en-GB"/>
        </w:rPr>
        <w:t xml:space="preserve">Luetkens, J. A., Faron, A., Isaak, A., Dabir, D., </w:t>
      </w:r>
      <w:proofErr w:type="spellStart"/>
      <w:r w:rsidRPr="009B0E43">
        <w:rPr>
          <w:lang w:val="en-GB"/>
        </w:rPr>
        <w:t>Kuetting</w:t>
      </w:r>
      <w:proofErr w:type="spellEnd"/>
      <w:r w:rsidRPr="009B0E43">
        <w:rPr>
          <w:lang w:val="en-GB"/>
        </w:rPr>
        <w:t xml:space="preserve">, D., </w:t>
      </w:r>
      <w:proofErr w:type="spellStart"/>
      <w:r w:rsidRPr="009B0E43">
        <w:rPr>
          <w:lang w:val="en-GB"/>
        </w:rPr>
        <w:t>Feisst</w:t>
      </w:r>
      <w:proofErr w:type="spellEnd"/>
      <w:r w:rsidRPr="009B0E43">
        <w:rPr>
          <w:lang w:val="en-GB"/>
        </w:rPr>
        <w:t xml:space="preserve">, A., </w:t>
      </w:r>
      <w:proofErr w:type="spellStart"/>
      <w:r w:rsidRPr="009B0E43">
        <w:rPr>
          <w:lang w:val="en-GB"/>
        </w:rPr>
        <w:t>Schmeel</w:t>
      </w:r>
      <w:proofErr w:type="spellEnd"/>
      <w:r w:rsidRPr="009B0E43">
        <w:rPr>
          <w:lang w:val="en-GB"/>
        </w:rPr>
        <w:t xml:space="preserve">, F. C., </w:t>
      </w:r>
      <w:proofErr w:type="spellStart"/>
      <w:r w:rsidRPr="009B0E43">
        <w:rPr>
          <w:lang w:val="en-GB"/>
        </w:rPr>
        <w:t>Sprinkart</w:t>
      </w:r>
      <w:proofErr w:type="spellEnd"/>
      <w:r w:rsidRPr="009B0E43">
        <w:rPr>
          <w:lang w:val="en-GB"/>
        </w:rPr>
        <w:t xml:space="preserve">, A. M., &amp; Thomas, D. (2019). Comparison of original and 2018 Lake Louise criteria for diagnosis of acute myocarditis: Results of a validation cohort. </w:t>
      </w:r>
      <w:r w:rsidRPr="009B0E43">
        <w:rPr>
          <w:rStyle w:val="Emphasis"/>
          <w:lang w:val="en-GB"/>
        </w:rPr>
        <w:t>Radiology: Cardiothoracic Imaging, 1</w:t>
      </w:r>
      <w:r w:rsidRPr="009B0E43">
        <w:rPr>
          <w:lang w:val="en-GB"/>
        </w:rPr>
        <w:t>(3), e190010. https://doi.org/10.1148/ryct.2019190010</w:t>
      </w:r>
    </w:p>
    <w:p w14:paraId="02C9E67D" w14:textId="77777777" w:rsidR="00565D3E" w:rsidRDefault="00565D3E" w:rsidP="00565D3E">
      <w:pPr>
        <w:pStyle w:val="NormalWeb"/>
      </w:pPr>
      <w:proofErr w:type="spellStart"/>
      <w:r>
        <w:t>Maatof</w:t>
      </w:r>
      <w:proofErr w:type="spellEnd"/>
      <w:r>
        <w:t xml:space="preserve">, B., </w:t>
      </w:r>
      <w:proofErr w:type="spellStart"/>
      <w:r>
        <w:t>Hazzazi</w:t>
      </w:r>
      <w:proofErr w:type="spellEnd"/>
      <w:r>
        <w:t xml:space="preserve">, I., Nabawi, H., </w:t>
      </w:r>
      <w:proofErr w:type="spellStart"/>
      <w:r>
        <w:t>Eljamili</w:t>
      </w:r>
      <w:proofErr w:type="spellEnd"/>
      <w:r>
        <w:t xml:space="preserve">, M., El Karimi, S., &amp; </w:t>
      </w:r>
      <w:proofErr w:type="spellStart"/>
      <w:r>
        <w:t>Elhattaoui</w:t>
      </w:r>
      <w:proofErr w:type="spellEnd"/>
      <w:r>
        <w:t xml:space="preserve">, M. (2023). </w:t>
      </w:r>
      <w:r>
        <w:rPr>
          <w:rStyle w:val="Emphasis"/>
        </w:rPr>
        <w:t>Left ventricular non-compaction cardiomyopathy: Case report and review of literature</w:t>
      </w:r>
      <w:r>
        <w:t xml:space="preserve">. </w:t>
      </w:r>
      <w:r>
        <w:rPr>
          <w:rStyle w:val="Emphasis"/>
        </w:rPr>
        <w:t>Cardiology and Angiology: An International Journal, 12</w:t>
      </w:r>
      <w:r>
        <w:t xml:space="preserve">(3), 121-128. </w:t>
      </w:r>
      <w:hyperlink r:id="rId9" w:tgtFrame="_new" w:history="1">
        <w:r>
          <w:rPr>
            <w:rStyle w:val="Hyperlink"/>
          </w:rPr>
          <w:t>https://doi.org/10.9734/ca/2023/v12i3334</w:t>
        </w:r>
      </w:hyperlink>
    </w:p>
    <w:p w14:paraId="169BFEFD" w14:textId="77777777" w:rsidR="00565D3E" w:rsidRPr="009B0E43" w:rsidRDefault="00565D3E" w:rsidP="00565D3E">
      <w:pPr>
        <w:pStyle w:val="NormalWeb"/>
        <w:rPr>
          <w:lang w:val="en-GB"/>
        </w:rPr>
      </w:pPr>
      <w:r w:rsidRPr="009B0E43">
        <w:rPr>
          <w:lang w:val="en-GB"/>
        </w:rPr>
        <w:t xml:space="preserve">Martinez-Naharro, A., Kotecha, T., Norrington, K., Boldrini, M., Rezk, T., Quarta, C., </w:t>
      </w:r>
      <w:proofErr w:type="spellStart"/>
      <w:r w:rsidRPr="009B0E43">
        <w:rPr>
          <w:lang w:val="en-GB"/>
        </w:rPr>
        <w:t>Treibel</w:t>
      </w:r>
      <w:proofErr w:type="spellEnd"/>
      <w:r w:rsidRPr="009B0E43">
        <w:rPr>
          <w:lang w:val="en-GB"/>
        </w:rPr>
        <w:t xml:space="preserve">, T. A., Whelan, C. J., Knight, D. S., Kellman, P., Ruberg, F. L., Gillmore, J. D., Moon, J. C., Hawkins, P. N., &amp; Fontana, M. (2019). Native T1 and extracellular volume in transthyretin amyloidosis. </w:t>
      </w:r>
      <w:r w:rsidRPr="009B0E43">
        <w:rPr>
          <w:rStyle w:val="Emphasis"/>
          <w:lang w:val="en-GB"/>
        </w:rPr>
        <w:t>JACC: Cardiovascular Imaging, 12</w:t>
      </w:r>
      <w:r w:rsidRPr="009B0E43">
        <w:rPr>
          <w:lang w:val="en-GB"/>
        </w:rPr>
        <w:t>(5), 810-819. https://doi.org/10.1016/j.jcmg.2018.02.006</w:t>
      </w:r>
    </w:p>
    <w:p w14:paraId="7991DE84" w14:textId="77777777" w:rsidR="00565D3E" w:rsidRPr="009B0E43" w:rsidRDefault="00565D3E" w:rsidP="00565D3E">
      <w:pPr>
        <w:pStyle w:val="NormalWeb"/>
        <w:rPr>
          <w:lang w:val="en-GB"/>
        </w:rPr>
      </w:pPr>
      <w:r w:rsidRPr="009B0E43">
        <w:rPr>
          <w:lang w:val="en-GB"/>
        </w:rPr>
        <w:t xml:space="preserve">Nagel, E., Greenwood, J. P., McCann, G. P., Bettencourt, N., Shah, A. M., Hussain, S. T., Perera, D., Plein, S., Bucciarelli-Ducci, C., Paul, M., Westwood, M. A., Marber, M., Richter, </w:t>
      </w:r>
      <w:r w:rsidRPr="009B0E43">
        <w:rPr>
          <w:lang w:val="en-GB"/>
        </w:rPr>
        <w:lastRenderedPageBreak/>
        <w:t xml:space="preserve">W.-S., </w:t>
      </w:r>
      <w:proofErr w:type="spellStart"/>
      <w:r w:rsidRPr="009B0E43">
        <w:rPr>
          <w:lang w:val="en-GB"/>
        </w:rPr>
        <w:t>Puntmann</w:t>
      </w:r>
      <w:proofErr w:type="spellEnd"/>
      <w:r w:rsidRPr="009B0E43">
        <w:rPr>
          <w:lang w:val="en-GB"/>
        </w:rPr>
        <w:t xml:space="preserve">, V. O., Schwenke, C., Schulz-Menger, J., Das, R., Wong, J., </w:t>
      </w:r>
      <w:proofErr w:type="spellStart"/>
      <w:r w:rsidRPr="009B0E43">
        <w:rPr>
          <w:lang w:val="en-GB"/>
        </w:rPr>
        <w:t>Hausenloy</w:t>
      </w:r>
      <w:proofErr w:type="spellEnd"/>
      <w:r w:rsidRPr="009B0E43">
        <w:rPr>
          <w:lang w:val="en-GB"/>
        </w:rPr>
        <w:t xml:space="preserve">, D. J., ... Berry, C. (2019). Magnetic resonance perfusion or fractional flow reserve in coronary disease. </w:t>
      </w:r>
      <w:r w:rsidRPr="009B0E43">
        <w:rPr>
          <w:rStyle w:val="Emphasis"/>
          <w:lang w:val="en-GB"/>
        </w:rPr>
        <w:t>New England Journal of Medicine, 380</w:t>
      </w:r>
      <w:r w:rsidRPr="009B0E43">
        <w:rPr>
          <w:lang w:val="en-GB"/>
        </w:rPr>
        <w:t>(25), 2418-2428. https://doi.org/10.1056/NEJMoa1716734</w:t>
      </w:r>
    </w:p>
    <w:p w14:paraId="6C125E0B" w14:textId="77777777" w:rsidR="00565D3E" w:rsidRPr="009B0E43" w:rsidRDefault="00565D3E" w:rsidP="00565D3E">
      <w:pPr>
        <w:pStyle w:val="NormalWeb"/>
        <w:rPr>
          <w:lang w:val="en-GB"/>
        </w:rPr>
      </w:pPr>
      <w:r w:rsidRPr="009B0E43">
        <w:rPr>
          <w:lang w:val="en-GB"/>
        </w:rPr>
        <w:t xml:space="preserve">Patel, A. R., Salerno, M., Kwong, R. Y., Singh, A., Heydari, B., &amp; Kramer, C. M. (2021). Stress cardiac magnetic resonance myocardial perfusion imaging: JACC Review Topic of the Week. </w:t>
      </w:r>
      <w:r w:rsidRPr="009B0E43">
        <w:rPr>
          <w:rStyle w:val="Emphasis"/>
          <w:lang w:val="en-GB"/>
        </w:rPr>
        <w:t>Journal of the American College of Cardiology, 78</w:t>
      </w:r>
      <w:r w:rsidRPr="009B0E43">
        <w:rPr>
          <w:lang w:val="en-GB"/>
        </w:rPr>
        <w:t>(16), 1655-1668. https://doi.org/10.1016/j.jacc.2021.08.022</w:t>
      </w:r>
    </w:p>
    <w:p w14:paraId="17AEC203" w14:textId="77777777" w:rsidR="00565D3E" w:rsidRPr="009B0E43" w:rsidRDefault="00565D3E" w:rsidP="00565D3E">
      <w:pPr>
        <w:pStyle w:val="NormalWeb"/>
        <w:rPr>
          <w:lang w:val="en-GB"/>
        </w:rPr>
      </w:pPr>
      <w:r w:rsidRPr="009B0E43">
        <w:rPr>
          <w:lang w:val="en-GB"/>
        </w:rPr>
        <w:t xml:space="preserve">Weng, Z., Yao, J., Chan, R. H., He, J., Yang, X., Zhou, Y., &amp; He, Y. (2016). Prognostic value of LGE-CMR in HCM: A meta-analysis. </w:t>
      </w:r>
      <w:r w:rsidRPr="009B0E43">
        <w:rPr>
          <w:rStyle w:val="Emphasis"/>
          <w:lang w:val="en-GB"/>
        </w:rPr>
        <w:t>JACC: Cardiovascular Imaging, 9</w:t>
      </w:r>
      <w:r w:rsidRPr="009B0E43">
        <w:rPr>
          <w:lang w:val="en-GB"/>
        </w:rPr>
        <w:t>(12), 1392-1402. https://doi.org/10.1016/j.jcmg.2016.02.031</w:t>
      </w:r>
    </w:p>
    <w:p w14:paraId="2655A3DD" w14:textId="77777777" w:rsidR="00565D3E" w:rsidRPr="009B0E43" w:rsidRDefault="00565D3E" w:rsidP="00565D3E">
      <w:pPr>
        <w:pStyle w:val="NormalWeb"/>
        <w:rPr>
          <w:lang w:val="en-GB"/>
        </w:rPr>
      </w:pPr>
      <w:r w:rsidRPr="009B0E43">
        <w:rPr>
          <w:lang w:val="en-GB"/>
        </w:rPr>
        <w:t xml:space="preserve">Yang, Y., Li, W., Zhu, H., Pan, X.-F., Hu, Y., Arnott, C., Mai, W., Cai, X., &amp; Huang, Y. (2020). Prognosis of unrecognised myocardial infarction determined by electrocardiography or cardiac magnetic resonance imaging: Systematic review and meta-analysis. </w:t>
      </w:r>
      <w:r w:rsidRPr="009B0E43">
        <w:rPr>
          <w:rStyle w:val="Emphasis"/>
          <w:lang w:val="en-GB"/>
        </w:rPr>
        <w:t>BMJ, 369</w:t>
      </w:r>
      <w:r w:rsidRPr="009B0E43">
        <w:rPr>
          <w:lang w:val="en-GB"/>
        </w:rPr>
        <w:t>, m1184. https://doi.org/10.1136/bmj.m1184</w:t>
      </w:r>
    </w:p>
    <w:p w14:paraId="3E7C26A8" w14:textId="77777777" w:rsidR="00565D3E" w:rsidRDefault="00565D3E" w:rsidP="00565D3E">
      <w:pPr>
        <w:pStyle w:val="NormalWeb"/>
        <w:rPr>
          <w:lang w:val="en-GB"/>
        </w:rPr>
      </w:pPr>
      <w:r w:rsidRPr="009B0E43">
        <w:rPr>
          <w:lang w:val="en-GB"/>
        </w:rPr>
        <w:t xml:space="preserve">Yarahmadi, P., </w:t>
      </w:r>
      <w:proofErr w:type="spellStart"/>
      <w:r w:rsidRPr="009B0E43">
        <w:rPr>
          <w:lang w:val="en-GB"/>
        </w:rPr>
        <w:t>Forouzannia</w:t>
      </w:r>
      <w:proofErr w:type="spellEnd"/>
      <w:r w:rsidRPr="009B0E43">
        <w:rPr>
          <w:lang w:val="en-GB"/>
        </w:rPr>
        <w:t xml:space="preserve">, S. M., </w:t>
      </w:r>
      <w:proofErr w:type="spellStart"/>
      <w:r w:rsidRPr="009B0E43">
        <w:rPr>
          <w:lang w:val="en-GB"/>
        </w:rPr>
        <w:t>Forouzannia</w:t>
      </w:r>
      <w:proofErr w:type="spellEnd"/>
      <w:r w:rsidRPr="009B0E43">
        <w:rPr>
          <w:lang w:val="en-GB"/>
        </w:rPr>
        <w:t xml:space="preserve">, S. A., Malik, S. B., </w:t>
      </w:r>
      <w:proofErr w:type="spellStart"/>
      <w:r w:rsidRPr="009B0E43">
        <w:rPr>
          <w:lang w:val="en-GB"/>
        </w:rPr>
        <w:t>Yousefifard</w:t>
      </w:r>
      <w:proofErr w:type="spellEnd"/>
      <w:r w:rsidRPr="009B0E43">
        <w:rPr>
          <w:lang w:val="en-GB"/>
        </w:rPr>
        <w:t xml:space="preserve">, M., &amp; Nguyen, P. K. (2024). Prognostic value of qualitative and quantitative stress CMR in patients with known or suspected CAD. </w:t>
      </w:r>
      <w:r w:rsidRPr="009B0E43">
        <w:rPr>
          <w:rStyle w:val="Emphasis"/>
          <w:lang w:val="en-GB"/>
        </w:rPr>
        <w:t>JACC: Cardiovascular Imaging, 17</w:t>
      </w:r>
      <w:r w:rsidRPr="009B0E43">
        <w:rPr>
          <w:lang w:val="en-GB"/>
        </w:rPr>
        <w:t xml:space="preserve">(3), 248-265. </w:t>
      </w:r>
      <w:hyperlink r:id="rId10" w:history="1">
        <w:r w:rsidRPr="00AE7ECB">
          <w:rPr>
            <w:rStyle w:val="Hyperlink"/>
            <w:lang w:val="en-GB"/>
          </w:rPr>
          <w:t>https://doi.org/10.1016/j.jcmg.2023.05.025</w:t>
        </w:r>
      </w:hyperlink>
    </w:p>
    <w:p w14:paraId="3BE3DEE9" w14:textId="77777777" w:rsidR="009B0E43" w:rsidRPr="009B0E43" w:rsidRDefault="009B0E43" w:rsidP="009B0E43">
      <w:pPr>
        <w:pStyle w:val="NormalWeb"/>
        <w:rPr>
          <w:lang w:val="en-GB"/>
        </w:rPr>
      </w:pPr>
    </w:p>
    <w:p w14:paraId="2FEB6F5B" w14:textId="77777777" w:rsidR="00A16330" w:rsidRPr="009B0E43" w:rsidRDefault="00DB535E" w:rsidP="009B0E43">
      <w:pPr>
        <w:rPr>
          <w:lang w:val="en-GB"/>
        </w:rPr>
      </w:pPr>
      <w:r w:rsidRPr="009B0E43">
        <w:rPr>
          <w:lang w:val="en-GB"/>
        </w:rPr>
        <w:t xml:space="preserve"> </w:t>
      </w:r>
    </w:p>
    <w:sectPr w:rsidR="00A16330" w:rsidRPr="009B0E43" w:rsidSect="00A1633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4C3C8" w14:textId="77777777" w:rsidR="001058D5" w:rsidRDefault="001058D5" w:rsidP="00753E1B">
      <w:r>
        <w:separator/>
      </w:r>
    </w:p>
  </w:endnote>
  <w:endnote w:type="continuationSeparator" w:id="0">
    <w:p w14:paraId="4739DF66" w14:textId="77777777" w:rsidR="001058D5" w:rsidRDefault="001058D5" w:rsidP="0075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4178B" w14:textId="77777777" w:rsidR="00753E1B" w:rsidRDefault="00753E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A3B51" w14:textId="77777777" w:rsidR="00753E1B" w:rsidRDefault="00753E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14AA2" w14:textId="77777777" w:rsidR="00753E1B" w:rsidRDefault="00753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F1EE5" w14:textId="77777777" w:rsidR="001058D5" w:rsidRDefault="001058D5" w:rsidP="00753E1B">
      <w:r>
        <w:separator/>
      </w:r>
    </w:p>
  </w:footnote>
  <w:footnote w:type="continuationSeparator" w:id="0">
    <w:p w14:paraId="19BF39DC" w14:textId="77777777" w:rsidR="001058D5" w:rsidRDefault="001058D5" w:rsidP="00753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C9EEF" w14:textId="767C7234" w:rsidR="00753E1B" w:rsidRDefault="00753E1B">
    <w:pPr>
      <w:pStyle w:val="Header"/>
    </w:pPr>
    <w:r>
      <w:rPr>
        <w:noProof/>
      </w:rPr>
      <w:pict w14:anchorId="279E14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486142"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A48F3" w14:textId="47F6E8A8" w:rsidR="00753E1B" w:rsidRDefault="00753E1B">
    <w:pPr>
      <w:pStyle w:val="Header"/>
    </w:pPr>
    <w:r>
      <w:rPr>
        <w:noProof/>
      </w:rPr>
      <w:pict w14:anchorId="1F6A31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486143"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FFC3C" w14:textId="3FE8DF6C" w:rsidR="00753E1B" w:rsidRDefault="00753E1B">
    <w:pPr>
      <w:pStyle w:val="Header"/>
    </w:pPr>
    <w:r>
      <w:rPr>
        <w:noProof/>
      </w:rPr>
      <w:pict w14:anchorId="6E57F8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486141"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273E6B"/>
    <w:multiLevelType w:val="hybridMultilevel"/>
    <w:tmpl w:val="8206C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AA3FF5"/>
    <w:multiLevelType w:val="hybridMultilevel"/>
    <w:tmpl w:val="AC360486"/>
    <w:lvl w:ilvl="0" w:tplc="01B26940">
      <w:start w:val="1"/>
      <w:numFmt w:val="bullet"/>
      <w:lvlText w:val="●"/>
      <w:lvlJc w:val="left"/>
      <w:pPr>
        <w:ind w:left="720" w:hanging="360"/>
      </w:pPr>
    </w:lvl>
    <w:lvl w:ilvl="1" w:tplc="4AF02FE0">
      <w:start w:val="1"/>
      <w:numFmt w:val="bullet"/>
      <w:lvlText w:val="○"/>
      <w:lvlJc w:val="left"/>
      <w:pPr>
        <w:ind w:left="1440" w:hanging="360"/>
      </w:pPr>
    </w:lvl>
    <w:lvl w:ilvl="2" w:tplc="0810AC10">
      <w:start w:val="1"/>
      <w:numFmt w:val="bullet"/>
      <w:lvlText w:val="■"/>
      <w:lvlJc w:val="left"/>
      <w:pPr>
        <w:ind w:left="2160" w:hanging="360"/>
      </w:pPr>
    </w:lvl>
    <w:lvl w:ilvl="3" w:tplc="61E653D6">
      <w:start w:val="1"/>
      <w:numFmt w:val="bullet"/>
      <w:lvlText w:val="●"/>
      <w:lvlJc w:val="left"/>
      <w:pPr>
        <w:ind w:left="2880" w:hanging="360"/>
      </w:pPr>
    </w:lvl>
    <w:lvl w:ilvl="4" w:tplc="A906E928">
      <w:start w:val="1"/>
      <w:numFmt w:val="bullet"/>
      <w:lvlText w:val="○"/>
      <w:lvlJc w:val="left"/>
      <w:pPr>
        <w:ind w:left="3600" w:hanging="360"/>
      </w:pPr>
    </w:lvl>
    <w:lvl w:ilvl="5" w:tplc="29564068">
      <w:start w:val="1"/>
      <w:numFmt w:val="bullet"/>
      <w:lvlText w:val="■"/>
      <w:lvlJc w:val="left"/>
      <w:pPr>
        <w:ind w:left="4320" w:hanging="360"/>
      </w:pPr>
    </w:lvl>
    <w:lvl w:ilvl="6" w:tplc="33FCDC44">
      <w:start w:val="1"/>
      <w:numFmt w:val="bullet"/>
      <w:lvlText w:val="●"/>
      <w:lvlJc w:val="left"/>
      <w:pPr>
        <w:ind w:left="5040" w:hanging="360"/>
      </w:pPr>
    </w:lvl>
    <w:lvl w:ilvl="7" w:tplc="AA7A9824">
      <w:start w:val="1"/>
      <w:numFmt w:val="bullet"/>
      <w:lvlText w:val="●"/>
      <w:lvlJc w:val="left"/>
      <w:pPr>
        <w:ind w:left="5760" w:hanging="360"/>
      </w:pPr>
    </w:lvl>
    <w:lvl w:ilvl="8" w:tplc="3E34BEFA">
      <w:start w:val="1"/>
      <w:numFmt w:val="bullet"/>
      <w:lvlText w:val="●"/>
      <w:lvlJc w:val="left"/>
      <w:pPr>
        <w:ind w:left="6480" w:hanging="360"/>
      </w:pPr>
    </w:lvl>
  </w:abstractNum>
  <w:abstractNum w:abstractNumId="2" w15:restartNumberingAfterBreak="0">
    <w:nsid w:val="6AB1641B"/>
    <w:multiLevelType w:val="hybridMultilevel"/>
    <w:tmpl w:val="68C6F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C134D7"/>
    <w:multiLevelType w:val="hybridMultilevel"/>
    <w:tmpl w:val="C046E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6330"/>
    <w:rsid w:val="001058D5"/>
    <w:rsid w:val="00122A72"/>
    <w:rsid w:val="0015399D"/>
    <w:rsid w:val="003033F8"/>
    <w:rsid w:val="0042788A"/>
    <w:rsid w:val="00490292"/>
    <w:rsid w:val="00565D3E"/>
    <w:rsid w:val="00753E1B"/>
    <w:rsid w:val="009B0E43"/>
    <w:rsid w:val="00A16330"/>
    <w:rsid w:val="00BB016F"/>
    <w:rsid w:val="00BF571E"/>
    <w:rsid w:val="00C70E25"/>
    <w:rsid w:val="00DB5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BA90A8"/>
  <w15:docId w15:val="{70640447-646F-4C64-A250-BD09D33C5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16F"/>
  </w:style>
  <w:style w:type="paragraph" w:styleId="Heading1">
    <w:name w:val="heading 1"/>
    <w:qFormat/>
    <w:rsid w:val="00A16330"/>
    <w:pPr>
      <w:spacing w:before="360" w:after="120" w:line="276" w:lineRule="auto"/>
      <w:outlineLvl w:val="0"/>
    </w:pPr>
    <w:rPr>
      <w:b/>
      <w:bCs/>
      <w:color w:val="000000"/>
      <w:sz w:val="26"/>
      <w:szCs w:val="26"/>
    </w:rPr>
  </w:style>
  <w:style w:type="paragraph" w:styleId="Heading2">
    <w:name w:val="heading 2"/>
    <w:qFormat/>
    <w:rsid w:val="00A16330"/>
    <w:pPr>
      <w:spacing w:before="240" w:after="80" w:line="276" w:lineRule="auto"/>
      <w:outlineLvl w:val="1"/>
    </w:pPr>
    <w:rPr>
      <w:b/>
      <w:bCs/>
      <w:color w:val="000000"/>
    </w:rPr>
  </w:style>
  <w:style w:type="paragraph" w:styleId="Heading3">
    <w:name w:val="heading 3"/>
    <w:qFormat/>
    <w:rsid w:val="00A16330"/>
    <w:pPr>
      <w:outlineLvl w:val="2"/>
    </w:pPr>
    <w:rPr>
      <w:color w:val="1F4D78"/>
    </w:rPr>
  </w:style>
  <w:style w:type="paragraph" w:styleId="Heading4">
    <w:name w:val="heading 4"/>
    <w:qFormat/>
    <w:rsid w:val="00A16330"/>
    <w:pPr>
      <w:outlineLvl w:val="3"/>
    </w:pPr>
    <w:rPr>
      <w:i/>
      <w:iCs/>
      <w:color w:val="2E74B5"/>
    </w:rPr>
  </w:style>
  <w:style w:type="paragraph" w:styleId="Heading5">
    <w:name w:val="heading 5"/>
    <w:qFormat/>
    <w:rsid w:val="00A16330"/>
    <w:pPr>
      <w:outlineLvl w:val="4"/>
    </w:pPr>
    <w:rPr>
      <w:color w:val="2E74B5"/>
    </w:rPr>
  </w:style>
  <w:style w:type="paragraph" w:styleId="Heading6">
    <w:name w:val="heading 6"/>
    <w:qFormat/>
    <w:rsid w:val="00A16330"/>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A16330"/>
    <w:rPr>
      <w:sz w:val="56"/>
      <w:szCs w:val="56"/>
    </w:rPr>
  </w:style>
  <w:style w:type="paragraph" w:customStyle="1" w:styleId="Strong1">
    <w:name w:val="Strong1"/>
    <w:qFormat/>
    <w:rsid w:val="00A16330"/>
    <w:rPr>
      <w:b/>
      <w:bCs/>
    </w:rPr>
  </w:style>
  <w:style w:type="paragraph" w:styleId="ListParagraph">
    <w:name w:val="List Paragraph"/>
    <w:qFormat/>
    <w:rsid w:val="00A16330"/>
  </w:style>
  <w:style w:type="character" w:styleId="Hyperlink">
    <w:name w:val="Hyperlink"/>
    <w:uiPriority w:val="99"/>
    <w:unhideWhenUsed/>
    <w:rsid w:val="00A16330"/>
    <w:rPr>
      <w:color w:val="0563C1"/>
      <w:u w:val="single"/>
    </w:rPr>
  </w:style>
  <w:style w:type="character" w:styleId="FootnoteReference">
    <w:name w:val="footnote reference"/>
    <w:uiPriority w:val="99"/>
    <w:semiHidden/>
    <w:unhideWhenUsed/>
    <w:rsid w:val="00A16330"/>
    <w:rPr>
      <w:vertAlign w:val="superscript"/>
    </w:rPr>
  </w:style>
  <w:style w:type="paragraph" w:styleId="FootnoteText">
    <w:name w:val="footnote text"/>
    <w:link w:val="FootnoteTextChar"/>
    <w:uiPriority w:val="99"/>
    <w:semiHidden/>
    <w:unhideWhenUsed/>
    <w:rsid w:val="00A16330"/>
    <w:rPr>
      <w:sz w:val="20"/>
      <w:szCs w:val="20"/>
    </w:rPr>
  </w:style>
  <w:style w:type="character" w:customStyle="1" w:styleId="FootnoteTextChar">
    <w:name w:val="Footnote Text Char"/>
    <w:link w:val="FootnoteText"/>
    <w:uiPriority w:val="99"/>
    <w:semiHidden/>
    <w:unhideWhenUsed/>
    <w:rsid w:val="00A16330"/>
    <w:rPr>
      <w:sz w:val="20"/>
      <w:szCs w:val="20"/>
    </w:rPr>
  </w:style>
  <w:style w:type="paragraph" w:styleId="NormalWeb">
    <w:name w:val="Normal (Web)"/>
    <w:basedOn w:val="Normal"/>
    <w:uiPriority w:val="99"/>
    <w:semiHidden/>
    <w:unhideWhenUsed/>
    <w:rsid w:val="009B0E43"/>
    <w:pPr>
      <w:spacing w:before="100" w:beforeAutospacing="1" w:after="100" w:afterAutospacing="1"/>
    </w:pPr>
  </w:style>
  <w:style w:type="character" w:styleId="Strong">
    <w:name w:val="Strong"/>
    <w:basedOn w:val="DefaultParagraphFont"/>
    <w:uiPriority w:val="22"/>
    <w:qFormat/>
    <w:rsid w:val="009B0E43"/>
    <w:rPr>
      <w:b/>
      <w:bCs/>
    </w:rPr>
  </w:style>
  <w:style w:type="character" w:styleId="Emphasis">
    <w:name w:val="Emphasis"/>
    <w:basedOn w:val="DefaultParagraphFont"/>
    <w:uiPriority w:val="20"/>
    <w:qFormat/>
    <w:rsid w:val="009B0E43"/>
    <w:rPr>
      <w:i/>
      <w:iCs/>
    </w:rPr>
  </w:style>
  <w:style w:type="paragraph" w:styleId="Header">
    <w:name w:val="header"/>
    <w:basedOn w:val="Normal"/>
    <w:link w:val="HeaderChar"/>
    <w:uiPriority w:val="99"/>
    <w:unhideWhenUsed/>
    <w:rsid w:val="00753E1B"/>
    <w:pPr>
      <w:tabs>
        <w:tab w:val="center" w:pos="4680"/>
        <w:tab w:val="right" w:pos="9360"/>
      </w:tabs>
    </w:pPr>
  </w:style>
  <w:style w:type="character" w:customStyle="1" w:styleId="HeaderChar">
    <w:name w:val="Header Char"/>
    <w:basedOn w:val="DefaultParagraphFont"/>
    <w:link w:val="Header"/>
    <w:uiPriority w:val="99"/>
    <w:rsid w:val="00753E1B"/>
  </w:style>
  <w:style w:type="paragraph" w:styleId="Footer">
    <w:name w:val="footer"/>
    <w:basedOn w:val="Normal"/>
    <w:link w:val="FooterChar"/>
    <w:uiPriority w:val="99"/>
    <w:unhideWhenUsed/>
    <w:rsid w:val="00753E1B"/>
    <w:pPr>
      <w:tabs>
        <w:tab w:val="center" w:pos="4680"/>
        <w:tab w:val="right" w:pos="9360"/>
      </w:tabs>
    </w:pPr>
  </w:style>
  <w:style w:type="character" w:customStyle="1" w:styleId="FooterChar">
    <w:name w:val="Footer Char"/>
    <w:basedOn w:val="DefaultParagraphFont"/>
    <w:link w:val="Footer"/>
    <w:uiPriority w:val="99"/>
    <w:rsid w:val="00753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87253">
      <w:bodyDiv w:val="1"/>
      <w:marLeft w:val="0"/>
      <w:marRight w:val="0"/>
      <w:marTop w:val="0"/>
      <w:marBottom w:val="0"/>
      <w:divBdr>
        <w:top w:val="none" w:sz="0" w:space="0" w:color="auto"/>
        <w:left w:val="none" w:sz="0" w:space="0" w:color="auto"/>
        <w:bottom w:val="none" w:sz="0" w:space="0" w:color="auto"/>
        <w:right w:val="none" w:sz="0" w:space="0" w:color="auto"/>
      </w:divBdr>
    </w:div>
    <w:div w:id="426195023">
      <w:bodyDiv w:val="1"/>
      <w:marLeft w:val="0"/>
      <w:marRight w:val="0"/>
      <w:marTop w:val="0"/>
      <w:marBottom w:val="0"/>
      <w:divBdr>
        <w:top w:val="none" w:sz="0" w:space="0" w:color="auto"/>
        <w:left w:val="none" w:sz="0" w:space="0" w:color="auto"/>
        <w:bottom w:val="none" w:sz="0" w:space="0" w:color="auto"/>
        <w:right w:val="none" w:sz="0" w:space="0" w:color="auto"/>
      </w:divBdr>
    </w:div>
    <w:div w:id="450904207">
      <w:bodyDiv w:val="1"/>
      <w:marLeft w:val="0"/>
      <w:marRight w:val="0"/>
      <w:marTop w:val="0"/>
      <w:marBottom w:val="0"/>
      <w:divBdr>
        <w:top w:val="none" w:sz="0" w:space="0" w:color="auto"/>
        <w:left w:val="none" w:sz="0" w:space="0" w:color="auto"/>
        <w:bottom w:val="none" w:sz="0" w:space="0" w:color="auto"/>
        <w:right w:val="none" w:sz="0" w:space="0" w:color="auto"/>
      </w:divBdr>
    </w:div>
    <w:div w:id="899635352">
      <w:bodyDiv w:val="1"/>
      <w:marLeft w:val="0"/>
      <w:marRight w:val="0"/>
      <w:marTop w:val="0"/>
      <w:marBottom w:val="0"/>
      <w:divBdr>
        <w:top w:val="none" w:sz="0" w:space="0" w:color="auto"/>
        <w:left w:val="none" w:sz="0" w:space="0" w:color="auto"/>
        <w:bottom w:val="none" w:sz="0" w:space="0" w:color="auto"/>
        <w:right w:val="none" w:sz="0" w:space="0" w:color="auto"/>
      </w:divBdr>
    </w:div>
    <w:div w:id="2045981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968-020-00607-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9734/ajcr/2025/v8i1282?utm_source=chatgpt.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16/j.jcmg.2023.05.025" TargetMode="External"/><Relationship Id="rId4" Type="http://schemas.openxmlformats.org/officeDocument/2006/relationships/webSettings" Target="webSettings.xml"/><Relationship Id="rId9" Type="http://schemas.openxmlformats.org/officeDocument/2006/relationships/hyperlink" Target="https://doi.org/10.9734/ca/2023/v12i3334?utm_source=chatgpt.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15</Pages>
  <Words>7181</Words>
  <Characters>40933</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9</cp:revision>
  <dcterms:created xsi:type="dcterms:W3CDTF">2026-03-12T05:09:00Z</dcterms:created>
  <dcterms:modified xsi:type="dcterms:W3CDTF">2026-03-12T12:34:00Z</dcterms:modified>
</cp:coreProperties>
</file>