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C2EB0" w14:textId="77777777" w:rsidR="00B86039" w:rsidRPr="00B86039" w:rsidRDefault="00B86039" w:rsidP="00B86039">
      <w:pPr>
        <w:spacing w:line="360" w:lineRule="auto"/>
        <w:jc w:val="both"/>
        <w:rPr>
          <w:b/>
          <w:bCs/>
          <w:i/>
          <w:iCs/>
          <w:color w:val="002060"/>
          <w:sz w:val="28"/>
          <w:szCs w:val="28"/>
          <w:u w:val="single"/>
        </w:rPr>
      </w:pPr>
      <w:r w:rsidRPr="00B86039">
        <w:rPr>
          <w:b/>
          <w:bCs/>
          <w:i/>
          <w:iCs/>
          <w:color w:val="002060"/>
          <w:sz w:val="28"/>
          <w:szCs w:val="28"/>
          <w:u w:val="single"/>
        </w:rPr>
        <w:t xml:space="preserve">Case report </w:t>
      </w:r>
    </w:p>
    <w:p w14:paraId="203108A6" w14:textId="35363A63" w:rsidR="00D91642" w:rsidRPr="00D91642" w:rsidRDefault="00D91642" w:rsidP="00A65381">
      <w:pPr>
        <w:spacing w:line="360" w:lineRule="auto"/>
        <w:jc w:val="both"/>
        <w:rPr>
          <w:b/>
          <w:bCs/>
          <w:color w:val="002060"/>
          <w:sz w:val="28"/>
          <w:szCs w:val="28"/>
        </w:rPr>
      </w:pPr>
      <w:r w:rsidRPr="00D91642">
        <w:rPr>
          <w:b/>
          <w:bCs/>
          <w:color w:val="002060"/>
          <w:sz w:val="28"/>
          <w:szCs w:val="28"/>
        </w:rPr>
        <w:t xml:space="preserve">Tubercular Liver Abscess: A Rare </w:t>
      </w:r>
      <w:r w:rsidR="00B35B36" w:rsidRPr="00B35B36">
        <w:rPr>
          <w:b/>
          <w:bCs/>
          <w:color w:val="002060"/>
          <w:sz w:val="28"/>
          <w:szCs w:val="28"/>
        </w:rPr>
        <w:t xml:space="preserve">Manifestation </w:t>
      </w:r>
      <w:r w:rsidR="00B35B36" w:rsidRPr="00D91642">
        <w:rPr>
          <w:b/>
          <w:bCs/>
          <w:color w:val="002060"/>
          <w:sz w:val="28"/>
          <w:szCs w:val="28"/>
        </w:rPr>
        <w:t>of</w:t>
      </w:r>
      <w:r w:rsidRPr="00D91642">
        <w:rPr>
          <w:b/>
          <w:bCs/>
          <w:color w:val="002060"/>
          <w:sz w:val="28"/>
          <w:szCs w:val="28"/>
        </w:rPr>
        <w:t xml:space="preserve"> Extrapulmonary Tuberculosis</w:t>
      </w:r>
    </w:p>
    <w:p w14:paraId="5C6F3AE6" w14:textId="77777777" w:rsidR="00364E4E" w:rsidRDefault="00364E4E" w:rsidP="00A65381">
      <w:pPr>
        <w:spacing w:line="360" w:lineRule="auto"/>
        <w:jc w:val="both"/>
        <w:rPr>
          <w:b/>
          <w:bCs/>
        </w:rPr>
      </w:pPr>
    </w:p>
    <w:p w14:paraId="55BCA3DC" w14:textId="5FD3D3BF" w:rsidR="00856B25" w:rsidRPr="00856B25" w:rsidRDefault="00EF5CF2" w:rsidP="00A65381">
      <w:pPr>
        <w:spacing w:line="360" w:lineRule="auto"/>
        <w:jc w:val="both"/>
        <w:rPr>
          <w:b/>
          <w:bCs/>
        </w:rPr>
      </w:pPr>
      <w:bookmarkStart w:id="0" w:name="_GoBack"/>
      <w:bookmarkEnd w:id="0"/>
      <w:r w:rsidRPr="00856B25">
        <w:rPr>
          <w:b/>
          <w:bCs/>
        </w:rPr>
        <w:t>ABSTRACT</w:t>
      </w:r>
    </w:p>
    <w:p w14:paraId="40E70923" w14:textId="77777777" w:rsidR="00856B25" w:rsidRPr="00856B25" w:rsidRDefault="00856B25" w:rsidP="00A65381">
      <w:pPr>
        <w:spacing w:line="360" w:lineRule="auto"/>
        <w:jc w:val="both"/>
      </w:pPr>
      <w:r w:rsidRPr="00856B25">
        <w:t>Tubercular liver abscess (TLA) is an uncommon manifestation of extrapulmonary tuberculosis, often misdiagnosed as pyogenic or amoebic abscess. We report the case of a 30-year-old male presenting with right hypochondrial pain, diagnosed with TLA confirmed by CBNAAT positivity in aspirated pus. The patient was successfully managed with percutaneous pigtail drainage and antitubercular therapy (ATT). This case underscores the importance of considering tuberculosis in the differential diagnosis of hepatic abscesses in endemic regions and highlights the role of minimally invasive drainage combined with ATT.</w:t>
      </w:r>
    </w:p>
    <w:p w14:paraId="7A5651DD" w14:textId="77777777" w:rsidR="00856B25" w:rsidRPr="00856B25" w:rsidRDefault="00856B25" w:rsidP="00A65381">
      <w:pPr>
        <w:spacing w:line="360" w:lineRule="auto"/>
        <w:jc w:val="both"/>
      </w:pPr>
      <w:r w:rsidRPr="00856B25">
        <w:rPr>
          <w:b/>
          <w:bCs/>
        </w:rPr>
        <w:t>Keywords:</w:t>
      </w:r>
      <w:r w:rsidRPr="00856B25">
        <w:t xml:space="preserve"> Tubercular liver abscess, CBNAAT, pigtail drainage, extrapulmonary tuberculosis, antitubercular therapy</w:t>
      </w:r>
    </w:p>
    <w:p w14:paraId="06BF5094" w14:textId="4D229A22" w:rsidR="00856B25" w:rsidRDefault="00EF5CF2" w:rsidP="00A65381">
      <w:pPr>
        <w:spacing w:line="360" w:lineRule="auto"/>
        <w:jc w:val="both"/>
        <w:rPr>
          <w:b/>
          <w:bCs/>
        </w:rPr>
      </w:pPr>
      <w:r w:rsidRPr="00856B25">
        <w:rPr>
          <w:b/>
          <w:bCs/>
        </w:rPr>
        <w:t>INTRODUCTION</w:t>
      </w:r>
    </w:p>
    <w:p w14:paraId="7DAFA378" w14:textId="3CAEF0C0" w:rsidR="00D82566" w:rsidRPr="00856B25" w:rsidRDefault="00D82566" w:rsidP="00A65381">
      <w:pPr>
        <w:spacing w:line="360" w:lineRule="auto"/>
        <w:jc w:val="both"/>
      </w:pPr>
      <w:r w:rsidRPr="00D82566">
        <w:t>Tuberculosis (TB) is a communicable disease caused by Mycobacterium tuberculosis. While pulmonary involvement is most common, the infection can affect nearly any organ system, manifesting as extrapulmonary TB. Transmission occurs via inhalation of airborne droplets released by individuals with active pulmonary disease during coughing, sneezing, or even speaking. Despite being both preventable and curable with appropriate chemotherapy, TB continues to pose a significant global health burden, particularly in low‑ and middle‑income countries where socioeconomic constraints and limited health system capacity hinder timely diagnosis and effective treatmen</w:t>
      </w:r>
      <w:r w:rsidR="00A21DAC">
        <w:t>t</w:t>
      </w:r>
      <w:r w:rsidR="00FE3680">
        <w:t xml:space="preserve"> </w:t>
      </w:r>
      <w:sdt>
        <w:sdtPr>
          <w:rPr>
            <w:color w:val="000000"/>
          </w:rPr>
          <w:tag w:val="MENDELEY_CITATION_v3_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"/>
          <w:id w:val="566682833"/>
          <w:placeholder>
            <w:docPart w:val="DefaultPlaceholder_-1854013440"/>
          </w:placeholder>
        </w:sdtPr>
        <w:sdtEndPr/>
        <w:sdtContent>
          <w:r w:rsidR="00F555B5" w:rsidRPr="00F555B5">
            <w:rPr>
              <w:color w:val="000000"/>
            </w:rPr>
            <w:t>[1]</w:t>
          </w:r>
          <w:r w:rsidR="00FE3680">
            <w:rPr>
              <w:color w:val="000000"/>
            </w:rPr>
            <w:t>.</w:t>
          </w:r>
        </w:sdtContent>
      </w:sdt>
    </w:p>
    <w:p w14:paraId="7172B3B1" w14:textId="671F945D" w:rsidR="009115CF" w:rsidRPr="00856B25" w:rsidRDefault="00856B25" w:rsidP="00A65381">
      <w:pPr>
        <w:spacing w:line="360" w:lineRule="auto"/>
        <w:jc w:val="both"/>
      </w:pPr>
      <w:r w:rsidRPr="00856B25">
        <w:t>Hepatic involvement</w:t>
      </w:r>
      <w:r w:rsidR="00A21DAC">
        <w:t xml:space="preserve"> in Tuberculosis </w:t>
      </w:r>
      <w:r w:rsidR="00A21DAC" w:rsidRPr="00856B25">
        <w:t>is</w:t>
      </w:r>
      <w:r w:rsidRPr="00856B25">
        <w:t xml:space="preserve"> rare, and isolated tubercular liver abscess (TLA) is an even rarer entity. Its clinical presentation often mimics pyogenic or amoebic abscess, leading to diagnostic delays</w:t>
      </w:r>
      <w:r w:rsidR="00A21DAC">
        <w:t xml:space="preserve"> </w:t>
      </w:r>
      <w:sdt>
        <w:sdtPr>
          <w:rPr>
            <w:color w:val="000000"/>
          </w:rPr>
          <w:tag w:val="MENDELEY_CITATION_v3_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"/>
          <w:id w:val="-1111737958"/>
          <w:placeholder>
            <w:docPart w:val="DefaultPlaceholder_-1854013440"/>
          </w:placeholder>
        </w:sdtPr>
        <w:sdtEndPr/>
        <w:sdtContent>
          <w:r w:rsidR="00F555B5" w:rsidRPr="00F555B5">
            <w:rPr>
              <w:color w:val="000000"/>
            </w:rPr>
            <w:t>[2]</w:t>
          </w:r>
        </w:sdtContent>
      </w:sdt>
      <w:r w:rsidRPr="00856B25">
        <w:t xml:space="preserve">. </w:t>
      </w:r>
      <w:r w:rsidR="009115CF" w:rsidRPr="009115CF">
        <w:t xml:space="preserve">Tubercular liver abscess (TLA), though rare, should be considered in endemic regions where patients present with hepatic abscesses but routine investigations fail to demonstrate amoebic or pyogenic etiology. In such settings, clinical suspicion supported by imaging findings and </w:t>
      </w:r>
      <w:r w:rsidR="009115CF" w:rsidRPr="00856B25">
        <w:t>Microbiological confirmation is essential for accurate diagnosis</w:t>
      </w:r>
      <w:r w:rsidRPr="00856B25">
        <w:t>. We present a case of TLA in a young male, managed successfully with percutaneous drainage and ATT.</w:t>
      </w:r>
      <w:r w:rsidR="009115CF">
        <w:t xml:space="preserve"> </w:t>
      </w:r>
      <w:r w:rsidR="009115CF" w:rsidRPr="009115CF">
        <w:t>This case highlights the importance of maintaining TLA in the differential diagnosis of liver abscesses in the Indian context, underscoring both the epidemiological relevance and the need for heightened clinical awareness.</w:t>
      </w:r>
    </w:p>
    <w:p w14:paraId="5BC467D8" w14:textId="205888F7" w:rsidR="00856B25" w:rsidRPr="00856B25" w:rsidRDefault="00856B25" w:rsidP="00A65381">
      <w:pPr>
        <w:spacing w:line="360" w:lineRule="auto"/>
        <w:jc w:val="both"/>
      </w:pPr>
    </w:p>
    <w:p w14:paraId="18D0B48B" w14:textId="3BB04D97" w:rsidR="00856B25" w:rsidRDefault="00EF5CF2" w:rsidP="00A65381">
      <w:pPr>
        <w:spacing w:line="360" w:lineRule="auto"/>
        <w:jc w:val="both"/>
        <w:rPr>
          <w:b/>
          <w:bCs/>
        </w:rPr>
      </w:pPr>
      <w:r w:rsidRPr="00856B25">
        <w:rPr>
          <w:b/>
          <w:bCs/>
        </w:rPr>
        <w:t xml:space="preserve">CASE </w:t>
      </w:r>
      <w:r>
        <w:rPr>
          <w:b/>
          <w:bCs/>
        </w:rPr>
        <w:t>DESCRIPTION</w:t>
      </w:r>
    </w:p>
    <w:p w14:paraId="7B6D0191" w14:textId="77777777" w:rsidR="003F69B3" w:rsidRDefault="003F69B3" w:rsidP="00A65381">
      <w:pPr>
        <w:spacing w:line="360" w:lineRule="auto"/>
        <w:jc w:val="both"/>
        <w:rPr>
          <w:b/>
          <w:bCs/>
        </w:rPr>
      </w:pPr>
      <w:r>
        <w:rPr>
          <w:b/>
          <w:bCs/>
        </w:rPr>
        <w:t>Patient Profile:</w:t>
      </w:r>
    </w:p>
    <w:p w14:paraId="03461EFA" w14:textId="240937DC" w:rsidR="009115CF" w:rsidRPr="003F69B3" w:rsidRDefault="004804F6" w:rsidP="00A65381">
      <w:pPr>
        <w:spacing w:line="360" w:lineRule="auto"/>
        <w:jc w:val="both"/>
        <w:rPr>
          <w:b/>
          <w:bCs/>
        </w:rPr>
      </w:pPr>
      <w:r w:rsidRPr="004804F6">
        <w:t>A 30-year-old male ex-smoker with Occasional alcohol consumption, including wine and beer, approximately 180–200 ml per episode, one to two times per month, for the past five years, non-diabetic, non-hypertensive and no past history of TB or ATT intake, presented with right hypochondrial pain for 6 days.</w:t>
      </w:r>
      <w:r>
        <w:t xml:space="preserve"> </w:t>
      </w:r>
      <w:r w:rsidR="009115CF">
        <w:t>T</w:t>
      </w:r>
      <w:r w:rsidR="009115CF" w:rsidRPr="009115CF">
        <w:t>he patient typically experiences pain localized to the right hypochondrium, just beneath the costal margin. The onset is often gradual, developing insidiously</w:t>
      </w:r>
      <w:r w:rsidR="009115CF">
        <w:t>,</w:t>
      </w:r>
      <w:r w:rsidR="009115CF" w:rsidRPr="009115CF">
        <w:t xml:space="preserve"> usually described as dull, aching, or pressure‑like</w:t>
      </w:r>
      <w:r w:rsidR="009115CF">
        <w:t xml:space="preserve"> sensation</w:t>
      </w:r>
      <w:r w:rsidR="009115CF" w:rsidRPr="009115CF">
        <w:t xml:space="preserve">. This discomfort </w:t>
      </w:r>
      <w:r w:rsidR="009115CF">
        <w:t>is</w:t>
      </w:r>
      <w:r w:rsidR="009115CF" w:rsidRPr="009115CF">
        <w:t xml:space="preserve"> radiate to the right shoulder or scapular region</w:t>
      </w:r>
      <w:r w:rsidR="009115CF">
        <w:t xml:space="preserve"> sometime.</w:t>
      </w:r>
      <w:r w:rsidR="009115CF" w:rsidRPr="009115CF">
        <w:t xml:space="preserve"> It is </w:t>
      </w:r>
      <w:r w:rsidR="009115CF">
        <w:t xml:space="preserve">not </w:t>
      </w:r>
      <w:r w:rsidR="009115CF" w:rsidRPr="009115CF">
        <w:t xml:space="preserve">associated with </w:t>
      </w:r>
      <w:r w:rsidR="009115CF">
        <w:t>high fever and chills however patient experiences</w:t>
      </w:r>
      <w:r w:rsidR="009115CF" w:rsidRPr="009115CF">
        <w:t>, malaise</w:t>
      </w:r>
      <w:r w:rsidR="009115CF">
        <w:t xml:space="preserve"> and </w:t>
      </w:r>
      <w:r w:rsidR="009115CF" w:rsidRPr="009115CF">
        <w:t>anorexia</w:t>
      </w:r>
      <w:r w:rsidR="009115CF">
        <w:t>.</w:t>
      </w:r>
      <w:r w:rsidR="009115CF" w:rsidRPr="009115CF">
        <w:t xml:space="preserve"> The pain tends to be persistent and continuous, occasionally fluctuating in intensity. It is exacerbated by deep inspiration, coughing, or movement, while rest and analgesics</w:t>
      </w:r>
      <w:r w:rsidR="009115CF">
        <w:t xml:space="preserve"> </w:t>
      </w:r>
      <w:r w:rsidR="009115CF" w:rsidRPr="009115CF">
        <w:t xml:space="preserve">provide partial relief. The severity </w:t>
      </w:r>
      <w:r w:rsidR="009115CF">
        <w:t xml:space="preserve">was increased </w:t>
      </w:r>
      <w:r w:rsidR="009115CF" w:rsidRPr="009115CF">
        <w:t xml:space="preserve">moderate to severe, significantly affecting daily activities and </w:t>
      </w:r>
      <w:r w:rsidR="009115CF">
        <w:t xml:space="preserve">led </w:t>
      </w:r>
      <w:r w:rsidR="00557AED">
        <w:t xml:space="preserve">to </w:t>
      </w:r>
      <w:r w:rsidR="00557AED" w:rsidRPr="009115CF">
        <w:t>medical</w:t>
      </w:r>
      <w:r w:rsidR="009115CF" w:rsidRPr="009115CF">
        <w:t xml:space="preserve"> evaluation.</w:t>
      </w:r>
      <w:r w:rsidR="009115CF">
        <w:t xml:space="preserve"> There was no history of projectile vomiting, </w:t>
      </w:r>
      <w:r w:rsidR="00557AED">
        <w:t xml:space="preserve">yellowish discoloration of skin or urine, </w:t>
      </w:r>
      <w:r w:rsidR="009115CF">
        <w:t xml:space="preserve">abdominal swelling, </w:t>
      </w:r>
      <w:r w:rsidR="00557AED">
        <w:t>cough, expectoration,</w:t>
      </w:r>
      <w:r w:rsidR="009115CF">
        <w:t xml:space="preserve"> chest </w:t>
      </w:r>
      <w:r w:rsidR="00557AED">
        <w:t>pain,</w:t>
      </w:r>
      <w:r w:rsidR="009115CF">
        <w:t xml:space="preserve"> palpitation, syncope, </w:t>
      </w:r>
      <w:r w:rsidR="00776C3C">
        <w:t>b</w:t>
      </w:r>
      <w:r w:rsidR="009115CF">
        <w:t xml:space="preserve">urning </w:t>
      </w:r>
      <w:r w:rsidR="00557AED">
        <w:t>micturition,</w:t>
      </w:r>
      <w:r w:rsidR="009115CF">
        <w:t xml:space="preserve"> flank </w:t>
      </w:r>
      <w:r w:rsidR="000D6937">
        <w:t>pain, joint</w:t>
      </w:r>
      <w:r w:rsidR="009115CF">
        <w:t xml:space="preserve"> pain or rashes. </w:t>
      </w:r>
    </w:p>
    <w:p w14:paraId="71A8B9E2" w14:textId="1972F9E6" w:rsidR="00856B25" w:rsidRPr="00856B25" w:rsidRDefault="00856B25" w:rsidP="00A65381">
      <w:pPr>
        <w:spacing w:line="360" w:lineRule="auto"/>
        <w:jc w:val="both"/>
      </w:pPr>
      <w:r w:rsidRPr="00856B25">
        <w:t xml:space="preserve"> On </w:t>
      </w:r>
      <w:r w:rsidR="009F5E5B">
        <w:t>c</w:t>
      </w:r>
      <w:r w:rsidRPr="00856B25">
        <w:t xml:space="preserve">linical </w:t>
      </w:r>
      <w:r w:rsidR="009F5E5B">
        <w:t>e</w:t>
      </w:r>
      <w:r w:rsidRPr="00856B25">
        <w:t xml:space="preserve">xamination he was afebrile, conscious oriented hemodynamic stable with </w:t>
      </w:r>
      <w:r w:rsidR="009F5E5B">
        <w:t>t</w:t>
      </w:r>
      <w:r w:rsidRPr="00856B25">
        <w:t xml:space="preserve">enderness in the right hypochondrium with hepatomegaly noted. Other </w:t>
      </w:r>
      <w:r w:rsidR="009F5E5B">
        <w:t>s</w:t>
      </w:r>
      <w:r w:rsidRPr="00856B25">
        <w:t>ystem unremarkable.</w:t>
      </w:r>
    </w:p>
    <w:p w14:paraId="168332C8" w14:textId="22AA6F73" w:rsidR="00856B25" w:rsidRPr="00856B25" w:rsidRDefault="00856B25" w:rsidP="00A65381">
      <w:pPr>
        <w:spacing w:line="360" w:lineRule="auto"/>
        <w:jc w:val="both"/>
      </w:pPr>
      <w:r w:rsidRPr="00856B25">
        <w:rPr>
          <w:b/>
          <w:bCs/>
        </w:rPr>
        <w:t>Investigations:</w:t>
      </w:r>
    </w:p>
    <w:p w14:paraId="11D4B1EA" w14:textId="129B6643" w:rsidR="003B4660" w:rsidRDefault="00856B25" w:rsidP="00343C96">
      <w:pPr>
        <w:spacing w:line="360" w:lineRule="auto"/>
        <w:jc w:val="both"/>
      </w:pPr>
      <w:r w:rsidRPr="003855FC">
        <w:rPr>
          <w:b/>
          <w:bCs/>
        </w:rPr>
        <w:t>Laboratory findings:</w:t>
      </w:r>
      <w:r w:rsidRPr="00856B25">
        <w:t xml:space="preserve"> </w:t>
      </w:r>
      <w:r w:rsidR="00AE3E8C">
        <w:t xml:space="preserve"> </w:t>
      </w:r>
      <w:r w:rsidR="003B4660" w:rsidRPr="00D20EBB">
        <w:t>Baseline hematological and biochemical parameters were obtained at presentation</w:t>
      </w:r>
      <w:r w:rsidR="003B4660">
        <w:t xml:space="preserve"> as shown in Table 1, </w:t>
      </w:r>
      <w:r w:rsidRPr="00856B25">
        <w:t>Hb 11.4 g/dL, TLC 15.1 ×10⁹/</w:t>
      </w:r>
      <w:r w:rsidR="00C24CD3" w:rsidRPr="00856B25">
        <w:t>L, Na</w:t>
      </w:r>
      <w:r w:rsidRPr="00856B25">
        <w:t xml:space="preserve"> 131.7 mmol/</w:t>
      </w:r>
      <w:r w:rsidR="00C24CD3">
        <w:t xml:space="preserve">, </w:t>
      </w:r>
      <w:r w:rsidR="00C24CD3" w:rsidRPr="00856B25">
        <w:t>N</w:t>
      </w:r>
      <w:r w:rsidR="00C24CD3">
        <w:t>ormal Renal and hepatic profile</w:t>
      </w:r>
      <w:r w:rsidRPr="00856B25">
        <w:t>.</w:t>
      </w:r>
      <w:r w:rsidR="00305F7D">
        <w:t xml:space="preserve"> </w:t>
      </w:r>
      <w:r w:rsidR="00305F7D" w:rsidRPr="00305F7D">
        <w:t xml:space="preserve">Serological testing for HIV, HBsAg, and HCV was </w:t>
      </w:r>
      <w:r w:rsidR="001560AE" w:rsidRPr="00305F7D">
        <w:t>negative.</w:t>
      </w:r>
      <w:r w:rsidR="001560AE" w:rsidRPr="001560AE">
        <w:t xml:space="preserve"> Chest radiograph reveals normal lung parenchyma with reactionary mild right pleural effusion</w:t>
      </w:r>
      <w:r w:rsidR="001560AE">
        <w:t>.</w:t>
      </w:r>
      <w:r w:rsidR="00305F7D" w:rsidRPr="00305F7D">
        <w:t xml:space="preserve"> </w:t>
      </w:r>
      <w:r w:rsidR="003B4660" w:rsidRPr="003B4660">
        <w:t>Pus aspirated from the hepatic abscess showed no evidence of pyogenic infection</w:t>
      </w:r>
      <w:r w:rsidR="003B4660">
        <w:t>.</w:t>
      </w:r>
      <w:r w:rsidR="003855FC" w:rsidRPr="003855FC">
        <w:t xml:space="preserve"> Subsequent </w:t>
      </w:r>
      <w:r w:rsidR="00343C96" w:rsidRPr="003855FC">
        <w:t>CBNAAT</w:t>
      </w:r>
      <w:r w:rsidR="00343C96">
        <w:t xml:space="preserve"> (Cepheid</w:t>
      </w:r>
      <w:r w:rsidR="00343C96" w:rsidRPr="00343C96">
        <w:t>, Gene</w:t>
      </w:r>
      <w:r w:rsidR="00343C96">
        <w:t xml:space="preserve"> </w:t>
      </w:r>
      <w:r w:rsidR="00343C96" w:rsidRPr="00343C96">
        <w:t>Xpert System)</w:t>
      </w:r>
      <w:r w:rsidR="003855FC" w:rsidRPr="003855FC">
        <w:t xml:space="preserve"> testing of the aspirated material confirmed the presence of Mycobacterium tuberculosis, with the strain found to be rifampicin-sensitive. These findings established the diagnosis of tubercular hepatic abscess and provided the basis for initiating appropriate anti-tubercular therapy in line with National Tuberculosis Elimination </w:t>
      </w:r>
      <w:proofErr w:type="spellStart"/>
      <w:r w:rsidR="003855FC" w:rsidRPr="003855FC">
        <w:t>Programme</w:t>
      </w:r>
      <w:proofErr w:type="spellEnd"/>
      <w:r w:rsidR="003855FC" w:rsidRPr="003855FC">
        <w:t xml:space="preserve"> (NTEP) guideline</w:t>
      </w:r>
      <w:r w:rsidR="00343C96">
        <w:t>.</w:t>
      </w:r>
    </w:p>
    <w:p w14:paraId="3B24D19E" w14:textId="77777777" w:rsidR="00343C96" w:rsidRDefault="00343C96" w:rsidP="00343C96">
      <w:pPr>
        <w:spacing w:line="360" w:lineRule="auto"/>
        <w:jc w:val="both"/>
      </w:pPr>
    </w:p>
    <w:p w14:paraId="70665C28" w14:textId="77777777" w:rsidR="00343C96" w:rsidRDefault="00343C96" w:rsidP="00343C96">
      <w:pPr>
        <w:spacing w:line="360" w:lineRule="auto"/>
        <w:jc w:val="both"/>
      </w:pPr>
    </w:p>
    <w:p w14:paraId="389A8538" w14:textId="77777777" w:rsidR="00343C96" w:rsidRDefault="00343C96" w:rsidP="00343C96">
      <w:pPr>
        <w:spacing w:line="360" w:lineRule="auto"/>
        <w:jc w:val="both"/>
      </w:pPr>
    </w:p>
    <w:p w14:paraId="5A4B1665" w14:textId="2385F2B0" w:rsidR="0060504E" w:rsidRPr="003B4660" w:rsidRDefault="0060504E" w:rsidP="001560AE">
      <w:pPr>
        <w:spacing w:line="360" w:lineRule="auto"/>
        <w:jc w:val="both"/>
        <w:rPr>
          <w:b/>
          <w:bCs/>
        </w:rPr>
      </w:pPr>
      <w:r w:rsidRPr="003B4660">
        <w:rPr>
          <w:b/>
          <w:bCs/>
        </w:rPr>
        <w:t xml:space="preserve">Table </w:t>
      </w:r>
      <w:r w:rsidR="003B4660" w:rsidRPr="003B4660">
        <w:rPr>
          <w:b/>
          <w:bCs/>
        </w:rPr>
        <w:t xml:space="preserve">1; </w:t>
      </w:r>
      <w:r w:rsidR="00343C96" w:rsidRPr="00343C96">
        <w:rPr>
          <w:b/>
          <w:bCs/>
        </w:rPr>
        <w:t>Patient Laboratory Profile on admission</w:t>
      </w:r>
    </w:p>
    <w:tbl>
      <w:tblPr>
        <w:tblStyle w:val="TableGrid"/>
        <w:tblW w:w="0" w:type="auto"/>
        <w:tblLook w:val="04A0" w:firstRow="1" w:lastRow="0" w:firstColumn="1" w:lastColumn="0" w:noHBand="0" w:noVBand="1"/>
      </w:tblPr>
      <w:tblGrid>
        <w:gridCol w:w="2518"/>
        <w:gridCol w:w="2518"/>
        <w:gridCol w:w="2518"/>
        <w:gridCol w:w="2518"/>
      </w:tblGrid>
      <w:tr w:rsidR="0060504E" w14:paraId="544885D4" w14:textId="77777777" w:rsidTr="0060504E">
        <w:tc>
          <w:tcPr>
            <w:tcW w:w="2518" w:type="dxa"/>
          </w:tcPr>
          <w:p w14:paraId="5C634D0E" w14:textId="050DCC58" w:rsidR="0060504E" w:rsidRPr="0060504E" w:rsidRDefault="0060504E" w:rsidP="001560AE">
            <w:pPr>
              <w:spacing w:line="360" w:lineRule="auto"/>
              <w:jc w:val="both"/>
              <w:rPr>
                <w:b/>
                <w:bCs/>
              </w:rPr>
            </w:pPr>
            <w:r w:rsidRPr="0060504E">
              <w:rPr>
                <w:b/>
                <w:bCs/>
              </w:rPr>
              <w:t>Parameters</w:t>
            </w:r>
          </w:p>
        </w:tc>
        <w:tc>
          <w:tcPr>
            <w:tcW w:w="2518" w:type="dxa"/>
          </w:tcPr>
          <w:p w14:paraId="688FFA29" w14:textId="0481A5D3" w:rsidR="0060504E" w:rsidRPr="0060504E" w:rsidRDefault="0060504E" w:rsidP="001560AE">
            <w:pPr>
              <w:spacing w:line="360" w:lineRule="auto"/>
              <w:jc w:val="both"/>
              <w:rPr>
                <w:b/>
                <w:bCs/>
              </w:rPr>
            </w:pPr>
            <w:r>
              <w:rPr>
                <w:b/>
                <w:bCs/>
              </w:rPr>
              <w:t xml:space="preserve">Patient </w:t>
            </w:r>
            <w:r w:rsidRPr="0060504E">
              <w:rPr>
                <w:b/>
                <w:bCs/>
              </w:rPr>
              <w:t>Values</w:t>
            </w:r>
          </w:p>
        </w:tc>
        <w:tc>
          <w:tcPr>
            <w:tcW w:w="2518" w:type="dxa"/>
          </w:tcPr>
          <w:p w14:paraId="767CDC32" w14:textId="491A831D" w:rsidR="0060504E" w:rsidRPr="0060504E" w:rsidRDefault="0060504E" w:rsidP="001560AE">
            <w:pPr>
              <w:spacing w:line="360" w:lineRule="auto"/>
              <w:jc w:val="both"/>
              <w:rPr>
                <w:b/>
                <w:bCs/>
              </w:rPr>
            </w:pPr>
            <w:r>
              <w:rPr>
                <w:b/>
                <w:bCs/>
              </w:rPr>
              <w:t xml:space="preserve">Reference </w:t>
            </w:r>
          </w:p>
        </w:tc>
        <w:tc>
          <w:tcPr>
            <w:tcW w:w="2518" w:type="dxa"/>
          </w:tcPr>
          <w:p w14:paraId="2F185A2F" w14:textId="014FC0F7" w:rsidR="0060504E" w:rsidRPr="0060504E" w:rsidRDefault="0060504E" w:rsidP="001560AE">
            <w:pPr>
              <w:spacing w:line="360" w:lineRule="auto"/>
              <w:jc w:val="both"/>
              <w:rPr>
                <w:b/>
                <w:bCs/>
              </w:rPr>
            </w:pPr>
            <w:r w:rsidRPr="0060504E">
              <w:rPr>
                <w:b/>
                <w:bCs/>
              </w:rPr>
              <w:t>Units</w:t>
            </w:r>
          </w:p>
        </w:tc>
      </w:tr>
      <w:tr w:rsidR="0060504E" w14:paraId="4D897FB3" w14:textId="77777777" w:rsidTr="0060504E">
        <w:tc>
          <w:tcPr>
            <w:tcW w:w="2518" w:type="dxa"/>
          </w:tcPr>
          <w:p w14:paraId="0BF545E3" w14:textId="6E89041B" w:rsidR="0060504E" w:rsidRDefault="0060504E" w:rsidP="001560AE">
            <w:pPr>
              <w:spacing w:line="360" w:lineRule="auto"/>
              <w:jc w:val="both"/>
            </w:pPr>
            <w:r>
              <w:t>Hb</w:t>
            </w:r>
          </w:p>
        </w:tc>
        <w:tc>
          <w:tcPr>
            <w:tcW w:w="2518" w:type="dxa"/>
          </w:tcPr>
          <w:p w14:paraId="5B86C8B7" w14:textId="093823FF" w:rsidR="0060504E" w:rsidRDefault="0060504E" w:rsidP="001560AE">
            <w:pPr>
              <w:spacing w:line="360" w:lineRule="auto"/>
              <w:jc w:val="both"/>
            </w:pPr>
            <w:r>
              <w:t>11.4</w:t>
            </w:r>
          </w:p>
        </w:tc>
        <w:tc>
          <w:tcPr>
            <w:tcW w:w="2518" w:type="dxa"/>
          </w:tcPr>
          <w:p w14:paraId="5CCEF79C" w14:textId="45EA8A8F" w:rsidR="0060504E" w:rsidRDefault="0060504E" w:rsidP="001560AE">
            <w:pPr>
              <w:spacing w:line="360" w:lineRule="auto"/>
              <w:jc w:val="both"/>
            </w:pPr>
            <w:r>
              <w:t>13.0-17.0</w:t>
            </w:r>
          </w:p>
        </w:tc>
        <w:tc>
          <w:tcPr>
            <w:tcW w:w="2518" w:type="dxa"/>
          </w:tcPr>
          <w:p w14:paraId="0AFE016E" w14:textId="17B53192" w:rsidR="0060504E" w:rsidRDefault="0060504E" w:rsidP="001560AE">
            <w:pPr>
              <w:spacing w:line="360" w:lineRule="auto"/>
              <w:jc w:val="both"/>
            </w:pPr>
            <w:r>
              <w:t>g/dl</w:t>
            </w:r>
          </w:p>
        </w:tc>
      </w:tr>
      <w:tr w:rsidR="0060504E" w14:paraId="0BB6EF64" w14:textId="77777777" w:rsidTr="0060504E">
        <w:tc>
          <w:tcPr>
            <w:tcW w:w="2518" w:type="dxa"/>
          </w:tcPr>
          <w:p w14:paraId="3DF85C87" w14:textId="6C1A0526" w:rsidR="0060504E" w:rsidRDefault="0060504E" w:rsidP="001560AE">
            <w:pPr>
              <w:spacing w:line="360" w:lineRule="auto"/>
              <w:jc w:val="both"/>
            </w:pPr>
            <w:r>
              <w:t>TLC</w:t>
            </w:r>
          </w:p>
        </w:tc>
        <w:tc>
          <w:tcPr>
            <w:tcW w:w="2518" w:type="dxa"/>
          </w:tcPr>
          <w:p w14:paraId="7C028C91" w14:textId="5E38803A" w:rsidR="0060504E" w:rsidRDefault="0060504E" w:rsidP="001560AE">
            <w:pPr>
              <w:spacing w:line="360" w:lineRule="auto"/>
              <w:jc w:val="both"/>
            </w:pPr>
            <w:r>
              <w:t>15.1</w:t>
            </w:r>
          </w:p>
        </w:tc>
        <w:tc>
          <w:tcPr>
            <w:tcW w:w="2518" w:type="dxa"/>
          </w:tcPr>
          <w:p w14:paraId="08D79B9A" w14:textId="0506F5F4" w:rsidR="0060504E" w:rsidRDefault="0060504E" w:rsidP="001560AE">
            <w:pPr>
              <w:spacing w:line="360" w:lineRule="auto"/>
              <w:jc w:val="both"/>
            </w:pPr>
            <w:r>
              <w:t>4.00-10.00</w:t>
            </w:r>
          </w:p>
        </w:tc>
        <w:tc>
          <w:tcPr>
            <w:tcW w:w="2518" w:type="dxa"/>
          </w:tcPr>
          <w:p w14:paraId="52791F69" w14:textId="731ED3EB" w:rsidR="0060504E" w:rsidRDefault="0060504E" w:rsidP="001560AE">
            <w:pPr>
              <w:spacing w:line="360" w:lineRule="auto"/>
              <w:jc w:val="both"/>
            </w:pPr>
            <w:r>
              <w:t>thou/mm</w:t>
            </w:r>
            <w:r w:rsidRPr="0060504E">
              <w:rPr>
                <w:vertAlign w:val="superscript"/>
              </w:rPr>
              <w:t>3</w:t>
            </w:r>
          </w:p>
        </w:tc>
      </w:tr>
      <w:tr w:rsidR="0060504E" w14:paraId="6DAD4CAB" w14:textId="77777777" w:rsidTr="0060504E">
        <w:tc>
          <w:tcPr>
            <w:tcW w:w="2518" w:type="dxa"/>
          </w:tcPr>
          <w:p w14:paraId="02458830" w14:textId="7D6C0046" w:rsidR="0060504E" w:rsidRDefault="0060504E" w:rsidP="001560AE">
            <w:pPr>
              <w:spacing w:line="360" w:lineRule="auto"/>
              <w:jc w:val="both"/>
            </w:pPr>
            <w:r>
              <w:t>Platelet Count</w:t>
            </w:r>
          </w:p>
        </w:tc>
        <w:tc>
          <w:tcPr>
            <w:tcW w:w="2518" w:type="dxa"/>
          </w:tcPr>
          <w:p w14:paraId="408655D4" w14:textId="4DDCFDE6" w:rsidR="0060504E" w:rsidRDefault="0060504E" w:rsidP="001560AE">
            <w:pPr>
              <w:spacing w:line="360" w:lineRule="auto"/>
              <w:jc w:val="both"/>
            </w:pPr>
            <w:r>
              <w:t>308.9</w:t>
            </w:r>
          </w:p>
        </w:tc>
        <w:tc>
          <w:tcPr>
            <w:tcW w:w="2518" w:type="dxa"/>
          </w:tcPr>
          <w:p w14:paraId="7C978F4A" w14:textId="69B4BD94" w:rsidR="0060504E" w:rsidRDefault="0060504E" w:rsidP="001560AE">
            <w:pPr>
              <w:spacing w:line="360" w:lineRule="auto"/>
              <w:jc w:val="both"/>
            </w:pPr>
            <w:r>
              <w:t>150-410</w:t>
            </w:r>
          </w:p>
        </w:tc>
        <w:tc>
          <w:tcPr>
            <w:tcW w:w="2518" w:type="dxa"/>
          </w:tcPr>
          <w:p w14:paraId="5D610297" w14:textId="27224034" w:rsidR="0060504E" w:rsidRDefault="0060504E" w:rsidP="001560AE">
            <w:pPr>
              <w:spacing w:line="360" w:lineRule="auto"/>
              <w:jc w:val="both"/>
            </w:pPr>
            <w:r>
              <w:t>thou/mm</w:t>
            </w:r>
            <w:r w:rsidRPr="0060504E">
              <w:rPr>
                <w:vertAlign w:val="superscript"/>
              </w:rPr>
              <w:t>3</w:t>
            </w:r>
          </w:p>
        </w:tc>
      </w:tr>
      <w:tr w:rsidR="0060504E" w14:paraId="39AB2030" w14:textId="77777777" w:rsidTr="0060504E">
        <w:tc>
          <w:tcPr>
            <w:tcW w:w="2518" w:type="dxa"/>
          </w:tcPr>
          <w:p w14:paraId="40C23D42" w14:textId="006FF47E" w:rsidR="0060504E" w:rsidRDefault="0060504E" w:rsidP="001560AE">
            <w:pPr>
              <w:spacing w:line="360" w:lineRule="auto"/>
              <w:jc w:val="both"/>
            </w:pPr>
            <w:r>
              <w:t>RBS</w:t>
            </w:r>
          </w:p>
        </w:tc>
        <w:tc>
          <w:tcPr>
            <w:tcW w:w="2518" w:type="dxa"/>
          </w:tcPr>
          <w:p w14:paraId="76B4F0B4" w14:textId="328F88B7" w:rsidR="0060504E" w:rsidRDefault="0060504E" w:rsidP="001560AE">
            <w:pPr>
              <w:spacing w:line="360" w:lineRule="auto"/>
              <w:jc w:val="both"/>
            </w:pPr>
            <w:r>
              <w:t>92</w:t>
            </w:r>
          </w:p>
        </w:tc>
        <w:tc>
          <w:tcPr>
            <w:tcW w:w="2518" w:type="dxa"/>
          </w:tcPr>
          <w:p w14:paraId="16832088" w14:textId="2E859C11" w:rsidR="0060504E" w:rsidRDefault="0060504E" w:rsidP="001560AE">
            <w:pPr>
              <w:spacing w:line="360" w:lineRule="auto"/>
              <w:jc w:val="both"/>
            </w:pPr>
            <w:r>
              <w:t>70-140</w:t>
            </w:r>
          </w:p>
        </w:tc>
        <w:tc>
          <w:tcPr>
            <w:tcW w:w="2518" w:type="dxa"/>
          </w:tcPr>
          <w:p w14:paraId="3F83ADB0" w14:textId="0F97FF58" w:rsidR="0060504E" w:rsidRDefault="0060504E" w:rsidP="001560AE">
            <w:pPr>
              <w:spacing w:line="360" w:lineRule="auto"/>
              <w:jc w:val="both"/>
            </w:pPr>
            <w:r>
              <w:t>mg/dl</w:t>
            </w:r>
          </w:p>
        </w:tc>
      </w:tr>
      <w:tr w:rsidR="0060504E" w14:paraId="707C568E" w14:textId="77777777" w:rsidTr="0060504E">
        <w:tc>
          <w:tcPr>
            <w:tcW w:w="2518" w:type="dxa"/>
          </w:tcPr>
          <w:p w14:paraId="36B01F8F" w14:textId="7220FC09" w:rsidR="0060504E" w:rsidRDefault="0060504E" w:rsidP="001560AE">
            <w:pPr>
              <w:spacing w:line="360" w:lineRule="auto"/>
              <w:jc w:val="both"/>
            </w:pPr>
            <w:r>
              <w:t>Urea</w:t>
            </w:r>
          </w:p>
        </w:tc>
        <w:tc>
          <w:tcPr>
            <w:tcW w:w="2518" w:type="dxa"/>
          </w:tcPr>
          <w:p w14:paraId="1DB77AE8" w14:textId="33C8A3E2" w:rsidR="0060504E" w:rsidRDefault="0060504E" w:rsidP="001560AE">
            <w:pPr>
              <w:spacing w:line="360" w:lineRule="auto"/>
              <w:jc w:val="both"/>
            </w:pPr>
            <w:r>
              <w:t>21.7</w:t>
            </w:r>
          </w:p>
        </w:tc>
        <w:tc>
          <w:tcPr>
            <w:tcW w:w="2518" w:type="dxa"/>
          </w:tcPr>
          <w:p w14:paraId="22F2D479" w14:textId="765B5B21" w:rsidR="0060504E" w:rsidRDefault="0060504E" w:rsidP="001560AE">
            <w:pPr>
              <w:spacing w:line="360" w:lineRule="auto"/>
              <w:jc w:val="both"/>
            </w:pPr>
            <w:r>
              <w:t>10-38</w:t>
            </w:r>
          </w:p>
        </w:tc>
        <w:tc>
          <w:tcPr>
            <w:tcW w:w="2518" w:type="dxa"/>
          </w:tcPr>
          <w:p w14:paraId="58CDF6A7" w14:textId="41C378FC" w:rsidR="0060504E" w:rsidRDefault="0060504E" w:rsidP="001560AE">
            <w:pPr>
              <w:spacing w:line="360" w:lineRule="auto"/>
              <w:jc w:val="both"/>
            </w:pPr>
            <w:r>
              <w:t>mg/dl</w:t>
            </w:r>
          </w:p>
        </w:tc>
      </w:tr>
      <w:tr w:rsidR="0060504E" w14:paraId="0172D943" w14:textId="77777777" w:rsidTr="0060504E">
        <w:tc>
          <w:tcPr>
            <w:tcW w:w="2518" w:type="dxa"/>
          </w:tcPr>
          <w:p w14:paraId="114E95EF" w14:textId="62387AA7" w:rsidR="0060504E" w:rsidRDefault="0060504E" w:rsidP="001560AE">
            <w:pPr>
              <w:spacing w:line="360" w:lineRule="auto"/>
              <w:jc w:val="both"/>
            </w:pPr>
            <w:r>
              <w:t>Cr.</w:t>
            </w:r>
          </w:p>
        </w:tc>
        <w:tc>
          <w:tcPr>
            <w:tcW w:w="2518" w:type="dxa"/>
          </w:tcPr>
          <w:p w14:paraId="0EDAA96D" w14:textId="58B43046" w:rsidR="0060504E" w:rsidRDefault="0060504E" w:rsidP="001560AE">
            <w:pPr>
              <w:spacing w:line="360" w:lineRule="auto"/>
              <w:jc w:val="both"/>
            </w:pPr>
            <w:r>
              <w:t>0.74</w:t>
            </w:r>
          </w:p>
        </w:tc>
        <w:tc>
          <w:tcPr>
            <w:tcW w:w="2518" w:type="dxa"/>
          </w:tcPr>
          <w:p w14:paraId="75A26587" w14:textId="24FF4F5F" w:rsidR="0060504E" w:rsidRDefault="0060504E" w:rsidP="001560AE">
            <w:pPr>
              <w:spacing w:line="360" w:lineRule="auto"/>
              <w:jc w:val="both"/>
            </w:pPr>
            <w:r>
              <w:t>0.3-0.7</w:t>
            </w:r>
          </w:p>
        </w:tc>
        <w:tc>
          <w:tcPr>
            <w:tcW w:w="2518" w:type="dxa"/>
          </w:tcPr>
          <w:p w14:paraId="721DEF51" w14:textId="12451DC0" w:rsidR="0060504E" w:rsidRDefault="0060504E" w:rsidP="001560AE">
            <w:pPr>
              <w:spacing w:line="360" w:lineRule="auto"/>
              <w:jc w:val="both"/>
            </w:pPr>
            <w:r>
              <w:t>mg/dl</w:t>
            </w:r>
          </w:p>
        </w:tc>
      </w:tr>
      <w:tr w:rsidR="0060504E" w14:paraId="4E00AEB7" w14:textId="77777777" w:rsidTr="0060504E">
        <w:tc>
          <w:tcPr>
            <w:tcW w:w="2518" w:type="dxa"/>
          </w:tcPr>
          <w:p w14:paraId="38E659C3" w14:textId="07983F60" w:rsidR="0060504E" w:rsidRDefault="0060504E" w:rsidP="001560AE">
            <w:pPr>
              <w:spacing w:line="360" w:lineRule="auto"/>
              <w:jc w:val="both"/>
            </w:pPr>
            <w:r>
              <w:t>Na</w:t>
            </w:r>
          </w:p>
        </w:tc>
        <w:tc>
          <w:tcPr>
            <w:tcW w:w="2518" w:type="dxa"/>
          </w:tcPr>
          <w:p w14:paraId="780E5AA3" w14:textId="2DECA662" w:rsidR="0060504E" w:rsidRDefault="0060504E" w:rsidP="001560AE">
            <w:pPr>
              <w:spacing w:line="360" w:lineRule="auto"/>
              <w:jc w:val="both"/>
            </w:pPr>
            <w:r>
              <w:t>131.7</w:t>
            </w:r>
          </w:p>
        </w:tc>
        <w:tc>
          <w:tcPr>
            <w:tcW w:w="2518" w:type="dxa"/>
          </w:tcPr>
          <w:p w14:paraId="59B82662" w14:textId="400FC6AD" w:rsidR="0060504E" w:rsidRDefault="0060504E" w:rsidP="001560AE">
            <w:pPr>
              <w:spacing w:line="360" w:lineRule="auto"/>
              <w:jc w:val="both"/>
            </w:pPr>
            <w:r>
              <w:t>135-145</w:t>
            </w:r>
          </w:p>
        </w:tc>
        <w:tc>
          <w:tcPr>
            <w:tcW w:w="2518" w:type="dxa"/>
          </w:tcPr>
          <w:p w14:paraId="08A57185" w14:textId="1CCC952E" w:rsidR="0060504E" w:rsidRDefault="0060504E" w:rsidP="001560AE">
            <w:pPr>
              <w:spacing w:line="360" w:lineRule="auto"/>
              <w:jc w:val="both"/>
            </w:pPr>
            <w:proofErr w:type="spellStart"/>
            <w:r>
              <w:t>mEq</w:t>
            </w:r>
            <w:proofErr w:type="spellEnd"/>
            <w:r>
              <w:t>/L</w:t>
            </w:r>
          </w:p>
        </w:tc>
      </w:tr>
      <w:tr w:rsidR="0060504E" w14:paraId="3DA520C7" w14:textId="77777777" w:rsidTr="0060504E">
        <w:tc>
          <w:tcPr>
            <w:tcW w:w="2518" w:type="dxa"/>
          </w:tcPr>
          <w:p w14:paraId="6FEC4FEA" w14:textId="02E73AFA" w:rsidR="0060504E" w:rsidRDefault="0060504E" w:rsidP="001560AE">
            <w:pPr>
              <w:spacing w:line="360" w:lineRule="auto"/>
              <w:jc w:val="both"/>
            </w:pPr>
            <w:r>
              <w:t>K</w:t>
            </w:r>
          </w:p>
        </w:tc>
        <w:tc>
          <w:tcPr>
            <w:tcW w:w="2518" w:type="dxa"/>
          </w:tcPr>
          <w:p w14:paraId="57C2B4C6" w14:textId="456B05C5" w:rsidR="0060504E" w:rsidRDefault="0060504E" w:rsidP="001560AE">
            <w:pPr>
              <w:spacing w:line="360" w:lineRule="auto"/>
              <w:jc w:val="both"/>
            </w:pPr>
            <w:r>
              <w:t>4.4</w:t>
            </w:r>
          </w:p>
        </w:tc>
        <w:tc>
          <w:tcPr>
            <w:tcW w:w="2518" w:type="dxa"/>
          </w:tcPr>
          <w:p w14:paraId="639DF801" w14:textId="0A7FB087" w:rsidR="0060504E" w:rsidRDefault="0060504E" w:rsidP="001560AE">
            <w:pPr>
              <w:spacing w:line="360" w:lineRule="auto"/>
              <w:jc w:val="both"/>
            </w:pPr>
            <w:r>
              <w:t>3.5-5.5</w:t>
            </w:r>
          </w:p>
        </w:tc>
        <w:tc>
          <w:tcPr>
            <w:tcW w:w="2518" w:type="dxa"/>
          </w:tcPr>
          <w:p w14:paraId="3E4023AB" w14:textId="6D86CB21" w:rsidR="0060504E" w:rsidRDefault="0060504E" w:rsidP="001560AE">
            <w:pPr>
              <w:spacing w:line="360" w:lineRule="auto"/>
              <w:jc w:val="both"/>
            </w:pPr>
            <w:proofErr w:type="spellStart"/>
            <w:r>
              <w:t>mEq</w:t>
            </w:r>
            <w:proofErr w:type="spellEnd"/>
            <w:r>
              <w:t>/L</w:t>
            </w:r>
          </w:p>
        </w:tc>
      </w:tr>
      <w:tr w:rsidR="0060504E" w14:paraId="6DD3A6B7" w14:textId="77777777" w:rsidTr="0060504E">
        <w:tc>
          <w:tcPr>
            <w:tcW w:w="2518" w:type="dxa"/>
          </w:tcPr>
          <w:p w14:paraId="33BFF562" w14:textId="6D1CE9DC" w:rsidR="0060504E" w:rsidRDefault="0060504E" w:rsidP="0060504E">
            <w:pPr>
              <w:spacing w:line="360" w:lineRule="auto"/>
              <w:jc w:val="both"/>
            </w:pPr>
            <w:r>
              <w:t>Total Bil.</w:t>
            </w:r>
          </w:p>
        </w:tc>
        <w:tc>
          <w:tcPr>
            <w:tcW w:w="2518" w:type="dxa"/>
          </w:tcPr>
          <w:p w14:paraId="66357263" w14:textId="29EF31E5" w:rsidR="0060504E" w:rsidRDefault="0060504E" w:rsidP="0060504E">
            <w:pPr>
              <w:spacing w:line="360" w:lineRule="auto"/>
              <w:jc w:val="both"/>
            </w:pPr>
            <w:r>
              <w:t>0.5</w:t>
            </w:r>
          </w:p>
        </w:tc>
        <w:tc>
          <w:tcPr>
            <w:tcW w:w="2518" w:type="dxa"/>
          </w:tcPr>
          <w:p w14:paraId="2B722C3D" w14:textId="03B3CEE2" w:rsidR="0060504E" w:rsidRDefault="0060504E" w:rsidP="0060504E">
            <w:pPr>
              <w:spacing w:line="360" w:lineRule="auto"/>
              <w:jc w:val="both"/>
            </w:pPr>
            <w:r>
              <w:t>0.30-1.20</w:t>
            </w:r>
          </w:p>
        </w:tc>
        <w:tc>
          <w:tcPr>
            <w:tcW w:w="2518" w:type="dxa"/>
          </w:tcPr>
          <w:p w14:paraId="5617E5B1" w14:textId="465892FF" w:rsidR="0060504E" w:rsidRDefault="0060504E" w:rsidP="0060504E">
            <w:pPr>
              <w:spacing w:line="360" w:lineRule="auto"/>
              <w:jc w:val="both"/>
            </w:pPr>
            <w:r w:rsidRPr="00B60D69">
              <w:t>mg/d</w:t>
            </w:r>
            <w:r>
              <w:t>l</w:t>
            </w:r>
          </w:p>
        </w:tc>
      </w:tr>
      <w:tr w:rsidR="0060504E" w14:paraId="0459189D" w14:textId="77777777" w:rsidTr="0060504E">
        <w:tc>
          <w:tcPr>
            <w:tcW w:w="2518" w:type="dxa"/>
          </w:tcPr>
          <w:p w14:paraId="70A2960A" w14:textId="22AFB3F6" w:rsidR="0060504E" w:rsidRDefault="0060504E" w:rsidP="0060504E">
            <w:pPr>
              <w:spacing w:line="360" w:lineRule="auto"/>
              <w:jc w:val="both"/>
            </w:pPr>
            <w:r>
              <w:t xml:space="preserve">Direct </w:t>
            </w:r>
          </w:p>
        </w:tc>
        <w:tc>
          <w:tcPr>
            <w:tcW w:w="2518" w:type="dxa"/>
          </w:tcPr>
          <w:p w14:paraId="286302EF" w14:textId="103B74D2" w:rsidR="0060504E" w:rsidRDefault="0060504E" w:rsidP="0060504E">
            <w:pPr>
              <w:spacing w:line="360" w:lineRule="auto"/>
              <w:jc w:val="both"/>
            </w:pPr>
            <w:r>
              <w:t>0.2</w:t>
            </w:r>
          </w:p>
        </w:tc>
        <w:tc>
          <w:tcPr>
            <w:tcW w:w="2518" w:type="dxa"/>
          </w:tcPr>
          <w:p w14:paraId="797443B1" w14:textId="3BFFFF77" w:rsidR="0060504E" w:rsidRDefault="0060504E" w:rsidP="0060504E">
            <w:pPr>
              <w:spacing w:line="360" w:lineRule="auto"/>
              <w:jc w:val="both"/>
            </w:pPr>
            <w:r>
              <w:t>&lt;0.3</w:t>
            </w:r>
          </w:p>
        </w:tc>
        <w:tc>
          <w:tcPr>
            <w:tcW w:w="2518" w:type="dxa"/>
          </w:tcPr>
          <w:p w14:paraId="7C55D854" w14:textId="4F0C2617" w:rsidR="0060504E" w:rsidRDefault="0060504E" w:rsidP="0060504E">
            <w:pPr>
              <w:spacing w:line="360" w:lineRule="auto"/>
              <w:jc w:val="both"/>
            </w:pPr>
            <w:r w:rsidRPr="00B60D69">
              <w:t>mg/d</w:t>
            </w:r>
            <w:r>
              <w:t>l</w:t>
            </w:r>
          </w:p>
        </w:tc>
      </w:tr>
      <w:tr w:rsidR="0060504E" w14:paraId="5650DE48" w14:textId="77777777" w:rsidTr="0060504E">
        <w:tc>
          <w:tcPr>
            <w:tcW w:w="2518" w:type="dxa"/>
          </w:tcPr>
          <w:p w14:paraId="2DC7E6E2" w14:textId="4650BEAC" w:rsidR="0060504E" w:rsidRDefault="0060504E" w:rsidP="0060504E">
            <w:pPr>
              <w:spacing w:line="360" w:lineRule="auto"/>
              <w:jc w:val="both"/>
            </w:pPr>
            <w:r>
              <w:t>Indirect</w:t>
            </w:r>
          </w:p>
        </w:tc>
        <w:tc>
          <w:tcPr>
            <w:tcW w:w="2518" w:type="dxa"/>
          </w:tcPr>
          <w:p w14:paraId="68F13604" w14:textId="0FDF9A9F" w:rsidR="0060504E" w:rsidRDefault="0060504E" w:rsidP="0060504E">
            <w:pPr>
              <w:spacing w:line="360" w:lineRule="auto"/>
              <w:jc w:val="both"/>
            </w:pPr>
            <w:r>
              <w:t>0.3</w:t>
            </w:r>
          </w:p>
        </w:tc>
        <w:tc>
          <w:tcPr>
            <w:tcW w:w="2518" w:type="dxa"/>
          </w:tcPr>
          <w:p w14:paraId="08B22BB5" w14:textId="45B831BA" w:rsidR="0060504E" w:rsidRDefault="0060504E" w:rsidP="0060504E">
            <w:pPr>
              <w:spacing w:line="360" w:lineRule="auto"/>
              <w:jc w:val="both"/>
            </w:pPr>
            <w:r>
              <w:t>&lt;1.1</w:t>
            </w:r>
          </w:p>
        </w:tc>
        <w:tc>
          <w:tcPr>
            <w:tcW w:w="2518" w:type="dxa"/>
          </w:tcPr>
          <w:p w14:paraId="36437E4B" w14:textId="5FDB9F69" w:rsidR="0060504E" w:rsidRPr="00B60D69" w:rsidRDefault="0060504E" w:rsidP="0060504E">
            <w:pPr>
              <w:spacing w:line="360" w:lineRule="auto"/>
              <w:jc w:val="both"/>
            </w:pPr>
            <w:r w:rsidRPr="00B60D69">
              <w:t>mg/d</w:t>
            </w:r>
            <w:r>
              <w:t>l</w:t>
            </w:r>
          </w:p>
        </w:tc>
      </w:tr>
      <w:tr w:rsidR="0060504E" w14:paraId="65420805" w14:textId="77777777" w:rsidTr="0060504E">
        <w:tc>
          <w:tcPr>
            <w:tcW w:w="2518" w:type="dxa"/>
          </w:tcPr>
          <w:p w14:paraId="30585BFB" w14:textId="6F269FB8" w:rsidR="0060504E" w:rsidRDefault="0060504E" w:rsidP="0060504E">
            <w:pPr>
              <w:spacing w:line="360" w:lineRule="auto"/>
              <w:jc w:val="both"/>
            </w:pPr>
            <w:r>
              <w:t>SGOT</w:t>
            </w:r>
          </w:p>
        </w:tc>
        <w:tc>
          <w:tcPr>
            <w:tcW w:w="2518" w:type="dxa"/>
          </w:tcPr>
          <w:p w14:paraId="48CD6DBF" w14:textId="0B729467" w:rsidR="0060504E" w:rsidRDefault="0060504E" w:rsidP="0060504E">
            <w:pPr>
              <w:spacing w:line="360" w:lineRule="auto"/>
              <w:jc w:val="both"/>
            </w:pPr>
            <w:r>
              <w:t>30.25</w:t>
            </w:r>
          </w:p>
        </w:tc>
        <w:tc>
          <w:tcPr>
            <w:tcW w:w="2518" w:type="dxa"/>
          </w:tcPr>
          <w:p w14:paraId="0BF80FC2" w14:textId="67ADEF65" w:rsidR="0060504E" w:rsidRDefault="0060504E" w:rsidP="0060504E">
            <w:pPr>
              <w:spacing w:line="360" w:lineRule="auto"/>
              <w:jc w:val="both"/>
            </w:pPr>
            <w:r>
              <w:t>13-35</w:t>
            </w:r>
          </w:p>
        </w:tc>
        <w:tc>
          <w:tcPr>
            <w:tcW w:w="2518" w:type="dxa"/>
          </w:tcPr>
          <w:p w14:paraId="46813103" w14:textId="3B89AA1A" w:rsidR="0060504E" w:rsidRDefault="0060504E" w:rsidP="0060504E">
            <w:pPr>
              <w:spacing w:line="360" w:lineRule="auto"/>
              <w:jc w:val="both"/>
            </w:pPr>
            <w:r>
              <w:t>U/L</w:t>
            </w:r>
          </w:p>
        </w:tc>
      </w:tr>
      <w:tr w:rsidR="0060504E" w14:paraId="006353ED" w14:textId="77777777" w:rsidTr="0060504E">
        <w:tc>
          <w:tcPr>
            <w:tcW w:w="2518" w:type="dxa"/>
          </w:tcPr>
          <w:p w14:paraId="4E983452" w14:textId="7D974CE3" w:rsidR="0060504E" w:rsidRDefault="0060504E" w:rsidP="0060504E">
            <w:pPr>
              <w:spacing w:line="360" w:lineRule="auto"/>
              <w:jc w:val="both"/>
            </w:pPr>
            <w:r>
              <w:t>SGPT</w:t>
            </w:r>
          </w:p>
        </w:tc>
        <w:tc>
          <w:tcPr>
            <w:tcW w:w="2518" w:type="dxa"/>
          </w:tcPr>
          <w:p w14:paraId="401C1737" w14:textId="76C0CD84" w:rsidR="0060504E" w:rsidRDefault="0060504E" w:rsidP="0060504E">
            <w:pPr>
              <w:spacing w:line="360" w:lineRule="auto"/>
              <w:jc w:val="both"/>
            </w:pPr>
            <w:r>
              <w:t>12.25</w:t>
            </w:r>
          </w:p>
        </w:tc>
        <w:tc>
          <w:tcPr>
            <w:tcW w:w="2518" w:type="dxa"/>
          </w:tcPr>
          <w:p w14:paraId="10B36243" w14:textId="32A7E991" w:rsidR="0060504E" w:rsidRDefault="0060504E" w:rsidP="0060504E">
            <w:pPr>
              <w:spacing w:line="360" w:lineRule="auto"/>
              <w:jc w:val="both"/>
            </w:pPr>
            <w:r>
              <w:t>7-35</w:t>
            </w:r>
          </w:p>
        </w:tc>
        <w:tc>
          <w:tcPr>
            <w:tcW w:w="2518" w:type="dxa"/>
          </w:tcPr>
          <w:p w14:paraId="4CCD708B" w14:textId="5C75FD59" w:rsidR="0060504E" w:rsidRDefault="0060504E" w:rsidP="0060504E">
            <w:pPr>
              <w:spacing w:line="360" w:lineRule="auto"/>
              <w:jc w:val="both"/>
            </w:pPr>
            <w:r>
              <w:t>U/L</w:t>
            </w:r>
          </w:p>
        </w:tc>
      </w:tr>
      <w:tr w:rsidR="0060504E" w14:paraId="3AC5450A" w14:textId="77777777" w:rsidTr="0060504E">
        <w:tc>
          <w:tcPr>
            <w:tcW w:w="2518" w:type="dxa"/>
          </w:tcPr>
          <w:p w14:paraId="71694A15" w14:textId="52138D8E" w:rsidR="0060504E" w:rsidRDefault="0060504E" w:rsidP="0060504E">
            <w:pPr>
              <w:spacing w:line="360" w:lineRule="auto"/>
              <w:jc w:val="both"/>
            </w:pPr>
            <w:r>
              <w:t>SAP</w:t>
            </w:r>
          </w:p>
        </w:tc>
        <w:tc>
          <w:tcPr>
            <w:tcW w:w="2518" w:type="dxa"/>
          </w:tcPr>
          <w:p w14:paraId="6F4BEA75" w14:textId="7AEF2DAD" w:rsidR="0060504E" w:rsidRDefault="0060504E" w:rsidP="0060504E">
            <w:pPr>
              <w:spacing w:line="360" w:lineRule="auto"/>
              <w:jc w:val="both"/>
            </w:pPr>
            <w:r>
              <w:t>107.8</w:t>
            </w:r>
          </w:p>
        </w:tc>
        <w:tc>
          <w:tcPr>
            <w:tcW w:w="2518" w:type="dxa"/>
          </w:tcPr>
          <w:p w14:paraId="4E6E7AD2" w14:textId="7042D8D3" w:rsidR="0060504E" w:rsidRDefault="0060504E" w:rsidP="0060504E">
            <w:pPr>
              <w:spacing w:line="360" w:lineRule="auto"/>
              <w:jc w:val="both"/>
            </w:pPr>
            <w:r>
              <w:t>150-380</w:t>
            </w:r>
          </w:p>
        </w:tc>
        <w:tc>
          <w:tcPr>
            <w:tcW w:w="2518" w:type="dxa"/>
          </w:tcPr>
          <w:p w14:paraId="7F6AAEEA" w14:textId="1EB39E01" w:rsidR="0060504E" w:rsidRDefault="0060504E" w:rsidP="0060504E">
            <w:pPr>
              <w:spacing w:line="360" w:lineRule="auto"/>
              <w:jc w:val="both"/>
            </w:pPr>
            <w:r>
              <w:t>U/L</w:t>
            </w:r>
          </w:p>
        </w:tc>
      </w:tr>
      <w:tr w:rsidR="0060504E" w14:paraId="5B918A77" w14:textId="77777777" w:rsidTr="0060504E">
        <w:tc>
          <w:tcPr>
            <w:tcW w:w="2518" w:type="dxa"/>
          </w:tcPr>
          <w:p w14:paraId="77916F17" w14:textId="62B3D327" w:rsidR="0060504E" w:rsidRDefault="0060504E" w:rsidP="0060504E">
            <w:pPr>
              <w:spacing w:line="360" w:lineRule="auto"/>
              <w:jc w:val="both"/>
            </w:pPr>
            <w:r>
              <w:t>Amylase</w:t>
            </w:r>
          </w:p>
        </w:tc>
        <w:tc>
          <w:tcPr>
            <w:tcW w:w="2518" w:type="dxa"/>
          </w:tcPr>
          <w:p w14:paraId="215FCBDB" w14:textId="65529CEF" w:rsidR="0060504E" w:rsidRDefault="0060504E" w:rsidP="0060504E">
            <w:pPr>
              <w:spacing w:line="360" w:lineRule="auto"/>
              <w:jc w:val="both"/>
            </w:pPr>
            <w:r>
              <w:t>17.2</w:t>
            </w:r>
          </w:p>
        </w:tc>
        <w:tc>
          <w:tcPr>
            <w:tcW w:w="2518" w:type="dxa"/>
          </w:tcPr>
          <w:p w14:paraId="731C45D4" w14:textId="0D9E510D" w:rsidR="0060504E" w:rsidRDefault="0060504E" w:rsidP="0060504E">
            <w:pPr>
              <w:spacing w:line="360" w:lineRule="auto"/>
              <w:jc w:val="both"/>
            </w:pPr>
            <w:r>
              <w:t>30-118</w:t>
            </w:r>
          </w:p>
        </w:tc>
        <w:tc>
          <w:tcPr>
            <w:tcW w:w="2518" w:type="dxa"/>
          </w:tcPr>
          <w:p w14:paraId="1EAFDBD7" w14:textId="6479EC3A" w:rsidR="0060504E" w:rsidRDefault="0060504E" w:rsidP="0060504E">
            <w:pPr>
              <w:spacing w:line="360" w:lineRule="auto"/>
              <w:jc w:val="both"/>
            </w:pPr>
            <w:r>
              <w:t>U/L</w:t>
            </w:r>
          </w:p>
        </w:tc>
      </w:tr>
      <w:tr w:rsidR="0060504E" w14:paraId="0D952651" w14:textId="77777777" w:rsidTr="0060504E">
        <w:tc>
          <w:tcPr>
            <w:tcW w:w="2518" w:type="dxa"/>
          </w:tcPr>
          <w:p w14:paraId="464EF81A" w14:textId="0A162A85" w:rsidR="0060504E" w:rsidRDefault="0060504E" w:rsidP="0060504E">
            <w:pPr>
              <w:spacing w:line="360" w:lineRule="auto"/>
              <w:jc w:val="both"/>
            </w:pPr>
            <w:r>
              <w:t>Lipase</w:t>
            </w:r>
          </w:p>
        </w:tc>
        <w:tc>
          <w:tcPr>
            <w:tcW w:w="2518" w:type="dxa"/>
          </w:tcPr>
          <w:p w14:paraId="5E90CAC5" w14:textId="0EAA315C" w:rsidR="0060504E" w:rsidRDefault="0060504E" w:rsidP="0060504E">
            <w:pPr>
              <w:spacing w:line="360" w:lineRule="auto"/>
              <w:jc w:val="both"/>
            </w:pPr>
            <w:r>
              <w:t>12.00</w:t>
            </w:r>
          </w:p>
        </w:tc>
        <w:tc>
          <w:tcPr>
            <w:tcW w:w="2518" w:type="dxa"/>
          </w:tcPr>
          <w:p w14:paraId="73BFD2C9" w14:textId="30EBCA56" w:rsidR="0060504E" w:rsidRDefault="0060504E" w:rsidP="0060504E">
            <w:pPr>
              <w:spacing w:line="360" w:lineRule="auto"/>
              <w:jc w:val="both"/>
            </w:pPr>
            <w:r>
              <w:t>&lt;60</w:t>
            </w:r>
          </w:p>
        </w:tc>
        <w:tc>
          <w:tcPr>
            <w:tcW w:w="2518" w:type="dxa"/>
          </w:tcPr>
          <w:p w14:paraId="21066674" w14:textId="60BE077A" w:rsidR="0060504E" w:rsidRDefault="0060504E" w:rsidP="0060504E">
            <w:pPr>
              <w:spacing w:line="360" w:lineRule="auto"/>
              <w:jc w:val="both"/>
            </w:pPr>
            <w:r>
              <w:t>U/L</w:t>
            </w:r>
          </w:p>
        </w:tc>
      </w:tr>
      <w:tr w:rsidR="0060504E" w14:paraId="48D09A41" w14:textId="77777777" w:rsidTr="00785DEA">
        <w:tc>
          <w:tcPr>
            <w:tcW w:w="2518" w:type="dxa"/>
          </w:tcPr>
          <w:p w14:paraId="5F7CF1F2" w14:textId="3A9FB685" w:rsidR="0060504E" w:rsidRDefault="0060504E" w:rsidP="0060504E">
            <w:pPr>
              <w:spacing w:line="360" w:lineRule="auto"/>
              <w:jc w:val="both"/>
            </w:pPr>
            <w:r>
              <w:t>HIV</w:t>
            </w:r>
          </w:p>
        </w:tc>
        <w:tc>
          <w:tcPr>
            <w:tcW w:w="7554" w:type="dxa"/>
            <w:gridSpan w:val="3"/>
          </w:tcPr>
          <w:p w14:paraId="5F18786B" w14:textId="34863CAF" w:rsidR="0060504E" w:rsidRDefault="0060504E" w:rsidP="0060504E">
            <w:pPr>
              <w:spacing w:line="360" w:lineRule="auto"/>
              <w:jc w:val="both"/>
            </w:pPr>
            <w:r>
              <w:t>Negative</w:t>
            </w:r>
          </w:p>
        </w:tc>
      </w:tr>
      <w:tr w:rsidR="0060504E" w14:paraId="2FF3FAFF" w14:textId="77777777" w:rsidTr="00FB1A93">
        <w:tc>
          <w:tcPr>
            <w:tcW w:w="2518" w:type="dxa"/>
          </w:tcPr>
          <w:p w14:paraId="64BD69C5" w14:textId="5B33E896" w:rsidR="0060504E" w:rsidRDefault="0060504E" w:rsidP="0060504E">
            <w:pPr>
              <w:spacing w:line="360" w:lineRule="auto"/>
              <w:jc w:val="both"/>
            </w:pPr>
            <w:r>
              <w:t>HBsAg</w:t>
            </w:r>
          </w:p>
        </w:tc>
        <w:tc>
          <w:tcPr>
            <w:tcW w:w="7554" w:type="dxa"/>
            <w:gridSpan w:val="3"/>
          </w:tcPr>
          <w:p w14:paraId="05F8AC3B" w14:textId="2AE48FBD" w:rsidR="0060504E" w:rsidRDefault="0060504E" w:rsidP="0060504E">
            <w:pPr>
              <w:spacing w:line="360" w:lineRule="auto"/>
              <w:jc w:val="both"/>
            </w:pPr>
            <w:r>
              <w:t>Negative</w:t>
            </w:r>
          </w:p>
        </w:tc>
      </w:tr>
      <w:tr w:rsidR="0060504E" w14:paraId="162AA4E7" w14:textId="77777777" w:rsidTr="00B51B4C">
        <w:tc>
          <w:tcPr>
            <w:tcW w:w="2518" w:type="dxa"/>
          </w:tcPr>
          <w:p w14:paraId="4FE5C661" w14:textId="199FCB82" w:rsidR="0060504E" w:rsidRDefault="0060504E" w:rsidP="0060504E">
            <w:pPr>
              <w:spacing w:line="360" w:lineRule="auto"/>
              <w:jc w:val="both"/>
            </w:pPr>
            <w:r>
              <w:t>HCV</w:t>
            </w:r>
          </w:p>
        </w:tc>
        <w:tc>
          <w:tcPr>
            <w:tcW w:w="7554" w:type="dxa"/>
            <w:gridSpan w:val="3"/>
          </w:tcPr>
          <w:p w14:paraId="30FDDD97" w14:textId="751A4070" w:rsidR="0060504E" w:rsidRDefault="0060504E" w:rsidP="0060504E">
            <w:pPr>
              <w:spacing w:line="360" w:lineRule="auto"/>
              <w:jc w:val="both"/>
            </w:pPr>
            <w:r>
              <w:t>Negative</w:t>
            </w:r>
          </w:p>
        </w:tc>
      </w:tr>
    </w:tbl>
    <w:p w14:paraId="032D0342" w14:textId="77777777" w:rsidR="0060504E" w:rsidRDefault="0060504E" w:rsidP="001560AE">
      <w:pPr>
        <w:spacing w:line="360" w:lineRule="auto"/>
        <w:jc w:val="both"/>
      </w:pPr>
    </w:p>
    <w:p w14:paraId="0E2A3A02" w14:textId="4D8F2A37" w:rsidR="00DB6874" w:rsidRDefault="00856B25" w:rsidP="003B4660">
      <w:pPr>
        <w:spacing w:line="360" w:lineRule="auto"/>
        <w:jc w:val="both"/>
      </w:pPr>
      <w:r w:rsidRPr="003855FC">
        <w:rPr>
          <w:b/>
          <w:bCs/>
        </w:rPr>
        <w:t>Imaging:</w:t>
      </w:r>
      <w:r w:rsidR="001560AE">
        <w:t xml:space="preserve"> </w:t>
      </w:r>
      <w:r w:rsidR="00DB6874" w:rsidRPr="00DB6874">
        <w:t>In this case, serial ultrasonography was instrumental in monitoring the evolution of a subcapsular hepatic abscess. Progressive reduction in lesion size, organization of the liquefaction cavity, was clearly documented</w:t>
      </w:r>
      <w:r w:rsidR="001560AE">
        <w:t xml:space="preserve"> on serial imaging</w:t>
      </w:r>
      <w:r w:rsidR="00DB6874">
        <w:t xml:space="preserve"> as shown in Table </w:t>
      </w:r>
      <w:r w:rsidR="00AE3E8C">
        <w:t>2</w:t>
      </w:r>
      <w:r w:rsidR="00DB6874">
        <w:t>.</w:t>
      </w:r>
    </w:p>
    <w:p w14:paraId="0FE50F5D" w14:textId="77777777" w:rsidR="00343C96" w:rsidRDefault="00343C96" w:rsidP="00343C96">
      <w:pPr>
        <w:spacing w:line="360" w:lineRule="auto"/>
        <w:jc w:val="both"/>
        <w:rPr>
          <w:b/>
          <w:bCs/>
        </w:rPr>
      </w:pPr>
    </w:p>
    <w:p w14:paraId="324EBE14" w14:textId="77777777" w:rsidR="00343C96" w:rsidRDefault="00343C96" w:rsidP="00343C96">
      <w:pPr>
        <w:spacing w:line="360" w:lineRule="auto"/>
        <w:jc w:val="both"/>
        <w:rPr>
          <w:b/>
          <w:bCs/>
        </w:rPr>
      </w:pPr>
    </w:p>
    <w:p w14:paraId="2CE5AEB5" w14:textId="77777777" w:rsidR="00343C96" w:rsidRDefault="00343C96" w:rsidP="00343C96">
      <w:pPr>
        <w:spacing w:line="360" w:lineRule="auto"/>
        <w:jc w:val="both"/>
        <w:rPr>
          <w:b/>
          <w:bCs/>
        </w:rPr>
      </w:pPr>
    </w:p>
    <w:p w14:paraId="0A4B38D4" w14:textId="77777777" w:rsidR="00343C96" w:rsidRDefault="00343C96" w:rsidP="00343C96">
      <w:pPr>
        <w:spacing w:line="360" w:lineRule="auto"/>
        <w:jc w:val="both"/>
        <w:rPr>
          <w:b/>
          <w:bCs/>
        </w:rPr>
      </w:pPr>
    </w:p>
    <w:p w14:paraId="77F1AC48" w14:textId="77777777" w:rsidR="00343C96" w:rsidRDefault="00343C96" w:rsidP="00343C96">
      <w:pPr>
        <w:spacing w:line="360" w:lineRule="auto"/>
        <w:jc w:val="both"/>
        <w:rPr>
          <w:b/>
          <w:bCs/>
        </w:rPr>
      </w:pPr>
    </w:p>
    <w:p w14:paraId="7D8021A2" w14:textId="02CFC628" w:rsidR="00DB6874" w:rsidRDefault="00DB6874" w:rsidP="00343C96">
      <w:pPr>
        <w:spacing w:line="360" w:lineRule="auto"/>
        <w:jc w:val="both"/>
        <w:rPr>
          <w:b/>
          <w:bCs/>
        </w:rPr>
      </w:pPr>
      <w:r w:rsidRPr="00DB6874">
        <w:rPr>
          <w:b/>
          <w:bCs/>
        </w:rPr>
        <w:t>Table</w:t>
      </w:r>
      <w:r>
        <w:rPr>
          <w:b/>
          <w:bCs/>
        </w:rPr>
        <w:t xml:space="preserve"> </w:t>
      </w:r>
      <w:r w:rsidR="00AE3E8C">
        <w:rPr>
          <w:b/>
          <w:bCs/>
        </w:rPr>
        <w:t>2</w:t>
      </w:r>
      <w:r w:rsidRPr="00DB6874">
        <w:rPr>
          <w:b/>
          <w:bCs/>
        </w:rPr>
        <w:t xml:space="preserve">: Serial Ultrasonography Findings </w:t>
      </w:r>
      <w:r w:rsidR="00CB5392">
        <w:rPr>
          <w:b/>
          <w:bCs/>
        </w:rPr>
        <w:t>s</w:t>
      </w:r>
      <w:r w:rsidR="00CB5392" w:rsidRPr="00CB5392">
        <w:rPr>
          <w:b/>
          <w:bCs/>
        </w:rPr>
        <w:t>howing progressive resolution of hepatic abscess</w:t>
      </w:r>
    </w:p>
    <w:tbl>
      <w:tblPr>
        <w:tblStyle w:val="TableGrid"/>
        <w:tblW w:w="0" w:type="auto"/>
        <w:tblInd w:w="-5" w:type="dxa"/>
        <w:tblLook w:val="04A0" w:firstRow="1" w:lastRow="0" w:firstColumn="1" w:lastColumn="0" w:noHBand="0" w:noVBand="1"/>
      </w:tblPr>
      <w:tblGrid>
        <w:gridCol w:w="1675"/>
        <w:gridCol w:w="8402"/>
      </w:tblGrid>
      <w:tr w:rsidR="00DB6874" w14:paraId="1D25AE46" w14:textId="77777777" w:rsidTr="00343C96">
        <w:tc>
          <w:tcPr>
            <w:tcW w:w="1675" w:type="dxa"/>
          </w:tcPr>
          <w:p w14:paraId="4153F214" w14:textId="172F122C" w:rsidR="00DB6874" w:rsidRDefault="00DB6874" w:rsidP="00DB6874">
            <w:pPr>
              <w:spacing w:line="360" w:lineRule="auto"/>
              <w:jc w:val="both"/>
              <w:rPr>
                <w:b/>
                <w:bCs/>
              </w:rPr>
            </w:pPr>
            <w:r>
              <w:rPr>
                <w:b/>
                <w:bCs/>
              </w:rPr>
              <w:t>Date</w:t>
            </w:r>
          </w:p>
        </w:tc>
        <w:tc>
          <w:tcPr>
            <w:tcW w:w="0" w:type="auto"/>
          </w:tcPr>
          <w:p w14:paraId="4C7AC6B3" w14:textId="7A5F7E63" w:rsidR="00DB6874" w:rsidRDefault="00DB6874" w:rsidP="00DB6874">
            <w:pPr>
              <w:spacing w:line="360" w:lineRule="auto"/>
              <w:jc w:val="both"/>
              <w:rPr>
                <w:b/>
                <w:bCs/>
              </w:rPr>
            </w:pPr>
            <w:r>
              <w:rPr>
                <w:b/>
                <w:bCs/>
              </w:rPr>
              <w:t>Findings</w:t>
            </w:r>
          </w:p>
        </w:tc>
      </w:tr>
      <w:tr w:rsidR="00DB6874" w14:paraId="33AF1577" w14:textId="77777777" w:rsidTr="00343C96">
        <w:tc>
          <w:tcPr>
            <w:tcW w:w="1675" w:type="dxa"/>
          </w:tcPr>
          <w:p w14:paraId="55A82F10" w14:textId="0381073A" w:rsidR="00DB6874" w:rsidRDefault="00DB6874" w:rsidP="00DB6874">
            <w:pPr>
              <w:spacing w:line="360" w:lineRule="auto"/>
              <w:jc w:val="both"/>
              <w:rPr>
                <w:b/>
                <w:bCs/>
              </w:rPr>
            </w:pPr>
            <w:r w:rsidRPr="00DB6874">
              <w:t>27/12/2025</w:t>
            </w:r>
          </w:p>
        </w:tc>
        <w:tc>
          <w:tcPr>
            <w:tcW w:w="0" w:type="auto"/>
          </w:tcPr>
          <w:p w14:paraId="30226CA7" w14:textId="2C6E7835" w:rsidR="00DB6874" w:rsidRPr="00DB6874"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L</w:t>
            </w:r>
            <w:r>
              <w:rPr>
                <w:rFonts w:eastAsia="Times New Roman"/>
                <w:kern w:val="0"/>
                <w:lang w:bidi="hi-IN"/>
                <w14:ligatures w14:val="none"/>
              </w:rPr>
              <w:t>iver i</w:t>
            </w:r>
            <w:r w:rsidRPr="003855FC">
              <w:rPr>
                <w:rFonts w:eastAsia="Times New Roman"/>
                <w:kern w:val="0"/>
                <w:lang w:bidi="hi-IN"/>
                <w14:ligatures w14:val="none"/>
              </w:rPr>
              <w:t xml:space="preserve">s enlarged in size (~17.6 </w:t>
            </w:r>
            <w:proofErr w:type="spellStart"/>
            <w:r w:rsidRPr="003855FC">
              <w:rPr>
                <w:rFonts w:eastAsia="Times New Roman"/>
                <w:kern w:val="0"/>
                <w:lang w:bidi="hi-IN"/>
                <w14:ligatures w14:val="none"/>
              </w:rPr>
              <w:t>cms</w:t>
            </w:r>
            <w:proofErr w:type="spellEnd"/>
            <w:r w:rsidRPr="003855FC">
              <w:rPr>
                <w:rFonts w:eastAsia="Times New Roman"/>
                <w:kern w:val="0"/>
                <w:lang w:bidi="hi-IN"/>
                <w14:ligatures w14:val="none"/>
              </w:rPr>
              <w:t>). There is evidence of well-defined heterogenous area of size approximately 4.7 x 4.9 x 3.6 cm (volume ~44cc) devoid of internal vascularity with central area of liquefaction in segment VII of liver in subcapsular region. No dilatation of IHBR seen. Hepatic vessels are normal. Portal vein is patent. Heterogeneous lesion with central liquefaction in segment VII of liver.</w:t>
            </w:r>
            <w:r>
              <w:rPr>
                <w:rFonts w:eastAsia="Times New Roman"/>
                <w:kern w:val="0"/>
                <w:lang w:bidi="hi-IN"/>
                <w14:ligatures w14:val="none"/>
              </w:rPr>
              <w:t xml:space="preserve"> (Figure 1)</w:t>
            </w:r>
          </w:p>
        </w:tc>
      </w:tr>
      <w:tr w:rsidR="00DB6874" w14:paraId="39EEAE4A" w14:textId="77777777" w:rsidTr="00343C96">
        <w:tc>
          <w:tcPr>
            <w:tcW w:w="1675" w:type="dxa"/>
          </w:tcPr>
          <w:p w14:paraId="2115A2A0" w14:textId="460936A8" w:rsidR="00DB6874" w:rsidRPr="00DB6874" w:rsidRDefault="00053387" w:rsidP="00DB6874">
            <w:pPr>
              <w:spacing w:line="360" w:lineRule="auto"/>
              <w:jc w:val="both"/>
            </w:pPr>
            <w:r>
              <w:rPr>
                <w:rFonts w:eastAsia="Times New Roman"/>
                <w:kern w:val="0"/>
                <w:lang w:bidi="hi-IN"/>
                <w14:ligatures w14:val="none"/>
              </w:rPr>
              <w:t>0</w:t>
            </w:r>
            <w:r w:rsidR="00DB6874" w:rsidRPr="003855FC">
              <w:rPr>
                <w:rFonts w:eastAsia="Times New Roman"/>
                <w:kern w:val="0"/>
                <w:lang w:bidi="hi-IN"/>
                <w14:ligatures w14:val="none"/>
              </w:rPr>
              <w:t>5/</w:t>
            </w:r>
            <w:r>
              <w:rPr>
                <w:rFonts w:eastAsia="Times New Roman"/>
                <w:kern w:val="0"/>
                <w:lang w:bidi="hi-IN"/>
                <w14:ligatures w14:val="none"/>
              </w:rPr>
              <w:t>0</w:t>
            </w:r>
            <w:r w:rsidR="00DB6874" w:rsidRPr="003855FC">
              <w:rPr>
                <w:rFonts w:eastAsia="Times New Roman"/>
                <w:kern w:val="0"/>
                <w:lang w:bidi="hi-IN"/>
                <w14:ligatures w14:val="none"/>
              </w:rPr>
              <w:t>1/26</w:t>
            </w:r>
          </w:p>
        </w:tc>
        <w:tc>
          <w:tcPr>
            <w:tcW w:w="0" w:type="auto"/>
          </w:tcPr>
          <w:p w14:paraId="560C88F3" w14:textId="04E9FBA9" w:rsidR="00DB6874" w:rsidRPr="003855FC" w:rsidRDefault="00DB6874" w:rsidP="00DB6874">
            <w:pPr>
              <w:spacing w:before="100" w:beforeAutospacing="1" w:after="100" w:afterAutospacing="1" w:line="360" w:lineRule="auto"/>
              <w:rPr>
                <w:rFonts w:eastAsia="Times New Roman"/>
                <w:kern w:val="0"/>
                <w:lang w:bidi="hi-IN"/>
                <w14:ligatures w14:val="none"/>
              </w:rPr>
            </w:pPr>
            <w:r>
              <w:rPr>
                <w:rFonts w:eastAsia="Times New Roman"/>
                <w:kern w:val="0"/>
                <w:lang w:bidi="hi-IN"/>
                <w14:ligatures w14:val="none"/>
              </w:rPr>
              <w:t>E</w:t>
            </w:r>
            <w:r w:rsidRPr="003855FC">
              <w:rPr>
                <w:rFonts w:eastAsia="Times New Roman"/>
                <w:kern w:val="0"/>
                <w:lang w:bidi="hi-IN"/>
                <w14:ligatures w14:val="none"/>
              </w:rPr>
              <w:t>nlarged liver, well defined hypoechoic collection suggestive of residual liver abscess of vol ≈ 52.4 cc with multiple air foci within in Segment VII of liver in subcapsular location with drainage tube within collection</w:t>
            </w:r>
            <w:r>
              <w:rPr>
                <w:rFonts w:eastAsia="Times New Roman"/>
                <w:kern w:val="0"/>
                <w:lang w:bidi="hi-IN"/>
                <w14:ligatures w14:val="none"/>
              </w:rPr>
              <w:t>.</w:t>
            </w:r>
          </w:p>
        </w:tc>
      </w:tr>
      <w:tr w:rsidR="00DB6874" w14:paraId="50F663C2" w14:textId="77777777" w:rsidTr="00343C96">
        <w:tc>
          <w:tcPr>
            <w:tcW w:w="1675" w:type="dxa"/>
          </w:tcPr>
          <w:p w14:paraId="678A591C" w14:textId="31E78614" w:rsidR="00DB6874" w:rsidRPr="003855FC" w:rsidRDefault="00DB6874" w:rsidP="00DB6874">
            <w:pPr>
              <w:spacing w:line="360" w:lineRule="auto"/>
              <w:jc w:val="both"/>
              <w:rPr>
                <w:rFonts w:eastAsia="Times New Roman"/>
                <w:kern w:val="0"/>
                <w:lang w:bidi="hi-IN"/>
                <w14:ligatures w14:val="none"/>
              </w:rPr>
            </w:pPr>
            <w:r w:rsidRPr="00DB6874">
              <w:t>1</w:t>
            </w:r>
            <w:r>
              <w:t>2/0</w:t>
            </w:r>
            <w:r w:rsidR="00053387">
              <w:t>1</w:t>
            </w:r>
            <w:r w:rsidRPr="00DB6874">
              <w:t>/2026</w:t>
            </w:r>
          </w:p>
        </w:tc>
        <w:tc>
          <w:tcPr>
            <w:tcW w:w="0" w:type="auto"/>
          </w:tcPr>
          <w:p w14:paraId="41897265" w14:textId="1244DE79" w:rsidR="00DB6874"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 xml:space="preserve">Residual collection 35 </w:t>
            </w:r>
            <w:r w:rsidR="001560AE">
              <w:rPr>
                <w:rFonts w:eastAsia="Times New Roman"/>
                <w:kern w:val="0"/>
                <w:lang w:bidi="hi-IN"/>
                <w14:ligatures w14:val="none"/>
              </w:rPr>
              <w:t>cc</w:t>
            </w:r>
            <w:r w:rsidRPr="003855FC">
              <w:rPr>
                <w:rFonts w:eastAsia="Times New Roman"/>
                <w:kern w:val="0"/>
                <w:lang w:bidi="hi-IN"/>
                <w14:ligatures w14:val="none"/>
              </w:rPr>
              <w:t xml:space="preserve"> with Pig-tail in situ.</w:t>
            </w:r>
          </w:p>
        </w:tc>
      </w:tr>
      <w:tr w:rsidR="00DB6874" w14:paraId="65025ED1" w14:textId="77777777" w:rsidTr="00343C96">
        <w:tc>
          <w:tcPr>
            <w:tcW w:w="1675" w:type="dxa"/>
          </w:tcPr>
          <w:p w14:paraId="36474C8A" w14:textId="50929F69" w:rsidR="00DB6874" w:rsidRPr="00DB6874" w:rsidRDefault="00DB6874" w:rsidP="00DB6874">
            <w:pPr>
              <w:spacing w:before="100" w:beforeAutospacing="1" w:after="100" w:afterAutospacing="1" w:line="360" w:lineRule="auto"/>
            </w:pPr>
            <w:r w:rsidRPr="003855FC">
              <w:rPr>
                <w:rFonts w:eastAsia="Times New Roman"/>
                <w:kern w:val="0"/>
                <w:lang w:bidi="hi-IN"/>
                <w14:ligatures w14:val="none"/>
              </w:rPr>
              <w:t>17/01/26</w:t>
            </w:r>
          </w:p>
        </w:tc>
        <w:tc>
          <w:tcPr>
            <w:tcW w:w="0" w:type="auto"/>
          </w:tcPr>
          <w:p w14:paraId="685020AC" w14:textId="62A74F02" w:rsidR="00DB6874" w:rsidRPr="003855FC"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Residual abscess (</w:t>
            </w:r>
            <w:r w:rsidR="001560AE">
              <w:rPr>
                <w:i/>
                <w:iCs/>
              </w:rPr>
              <w:sym w:font="Symbol" w:char="F0BB"/>
            </w:r>
            <w:r w:rsidR="001560AE">
              <w:rPr>
                <w:i/>
                <w:iCs/>
              </w:rPr>
              <w:t xml:space="preserve"> </w:t>
            </w:r>
            <w:r w:rsidRPr="003855FC">
              <w:rPr>
                <w:rFonts w:eastAsia="Times New Roman"/>
                <w:kern w:val="0"/>
                <w:lang w:bidi="hi-IN"/>
                <w14:ligatures w14:val="none"/>
              </w:rPr>
              <w:t xml:space="preserve">34 </w:t>
            </w:r>
            <w:r w:rsidR="001560AE">
              <w:rPr>
                <w:rFonts w:eastAsia="Times New Roman"/>
                <w:kern w:val="0"/>
                <w:lang w:bidi="hi-IN"/>
                <w14:ligatures w14:val="none"/>
              </w:rPr>
              <w:t>cc</w:t>
            </w:r>
            <w:r w:rsidRPr="003855FC">
              <w:rPr>
                <w:rFonts w:eastAsia="Times New Roman"/>
                <w:kern w:val="0"/>
                <w:lang w:bidi="hi-IN"/>
                <w14:ligatures w14:val="none"/>
              </w:rPr>
              <w:t>)</w:t>
            </w:r>
          </w:p>
        </w:tc>
      </w:tr>
      <w:tr w:rsidR="00DB6874" w14:paraId="0F872EDD" w14:textId="77777777" w:rsidTr="00343C96">
        <w:tc>
          <w:tcPr>
            <w:tcW w:w="1675" w:type="dxa"/>
          </w:tcPr>
          <w:p w14:paraId="55AC1AB2" w14:textId="569C0890" w:rsidR="00DB6874" w:rsidRPr="003855FC"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02/03/2026</w:t>
            </w:r>
          </w:p>
        </w:tc>
        <w:tc>
          <w:tcPr>
            <w:tcW w:w="0" w:type="auto"/>
          </w:tcPr>
          <w:p w14:paraId="4688F761" w14:textId="5FE295FD" w:rsidR="00DB6874" w:rsidRPr="003855FC"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 xml:space="preserve">Hepatomegaly with residual liver </w:t>
            </w:r>
            <w:r w:rsidR="001560AE" w:rsidRPr="003855FC">
              <w:rPr>
                <w:rFonts w:eastAsia="Times New Roman"/>
                <w:kern w:val="0"/>
                <w:lang w:bidi="hi-IN"/>
                <w14:ligatures w14:val="none"/>
              </w:rPr>
              <w:t>abscess</w:t>
            </w:r>
            <w:r w:rsidR="001560AE">
              <w:rPr>
                <w:rFonts w:eastAsia="Times New Roman"/>
                <w:kern w:val="0"/>
                <w:lang w:bidi="hi-IN"/>
                <w14:ligatures w14:val="none"/>
              </w:rPr>
              <w:t xml:space="preserve"> (</w:t>
            </w:r>
            <w:r w:rsidR="001560AE">
              <w:rPr>
                <w:i/>
                <w:iCs/>
              </w:rPr>
              <w:sym w:font="Symbol" w:char="F0BB"/>
            </w:r>
            <w:r w:rsidR="001560AE">
              <w:rPr>
                <w:i/>
                <w:iCs/>
              </w:rPr>
              <w:t xml:space="preserve">17.0 cc) </w:t>
            </w:r>
            <w:r w:rsidR="001560AE" w:rsidRPr="003855FC">
              <w:rPr>
                <w:rFonts w:eastAsia="Times New Roman"/>
                <w:kern w:val="0"/>
                <w:lang w:bidi="hi-IN"/>
                <w14:ligatures w14:val="none"/>
              </w:rPr>
              <w:t>shows</w:t>
            </w:r>
            <w:r w:rsidRPr="003855FC">
              <w:rPr>
                <w:rFonts w:eastAsia="Times New Roman"/>
                <w:kern w:val="0"/>
                <w:lang w:bidi="hi-IN"/>
                <w14:ligatures w14:val="none"/>
              </w:rPr>
              <w:t xml:space="preserve"> significant interval reduction in size as compare to previous scan dated 0</w:t>
            </w:r>
            <w:r w:rsidR="00053387">
              <w:rPr>
                <w:rFonts w:eastAsia="Times New Roman"/>
                <w:kern w:val="0"/>
                <w:lang w:bidi="hi-IN"/>
                <w14:ligatures w14:val="none"/>
              </w:rPr>
              <w:t>5</w:t>
            </w:r>
            <w:r w:rsidRPr="003855FC">
              <w:rPr>
                <w:rFonts w:eastAsia="Times New Roman"/>
                <w:kern w:val="0"/>
                <w:lang w:bidi="hi-IN"/>
                <w14:ligatures w14:val="none"/>
              </w:rPr>
              <w:t>/01/2026.</w:t>
            </w:r>
            <w:r>
              <w:rPr>
                <w:rFonts w:eastAsia="Times New Roman"/>
                <w:kern w:val="0"/>
                <w:lang w:bidi="hi-IN"/>
                <w14:ligatures w14:val="none"/>
              </w:rPr>
              <w:t xml:space="preserve"> (</w:t>
            </w:r>
            <w:r w:rsidRPr="003855FC">
              <w:rPr>
                <w:rFonts w:eastAsia="Times New Roman"/>
                <w:kern w:val="0"/>
                <w:lang w:bidi="hi-IN"/>
                <w14:ligatures w14:val="none"/>
              </w:rPr>
              <w:t>Fig</w:t>
            </w:r>
            <w:r>
              <w:rPr>
                <w:rFonts w:eastAsia="Times New Roman"/>
                <w:kern w:val="0"/>
                <w:lang w:bidi="hi-IN"/>
                <w14:ligatures w14:val="none"/>
              </w:rPr>
              <w:t>ure 2)</w:t>
            </w:r>
          </w:p>
        </w:tc>
      </w:tr>
    </w:tbl>
    <w:p w14:paraId="08843AD0" w14:textId="73456113" w:rsidR="003855FC" w:rsidRPr="003855FC" w:rsidRDefault="003855FC" w:rsidP="003855FC">
      <w:pPr>
        <w:spacing w:before="100" w:beforeAutospacing="1" w:after="100" w:afterAutospacing="1" w:line="360" w:lineRule="auto"/>
        <w:jc w:val="center"/>
        <w:rPr>
          <w:rFonts w:eastAsia="Times New Roman"/>
          <w:kern w:val="0"/>
          <w:lang w:bidi="hi-IN"/>
          <w14:ligatures w14:val="none"/>
        </w:rPr>
      </w:pPr>
      <w:r w:rsidRPr="003855FC">
        <w:rPr>
          <w:rFonts w:eastAsia="Times New Roman"/>
          <w:noProof/>
          <w:kern w:val="0"/>
          <w:lang w:bidi="hi-IN"/>
          <w14:ligatures w14:val="none"/>
        </w:rPr>
        <w:drawing>
          <wp:inline distT="0" distB="0" distL="0" distR="0" wp14:anchorId="47AA0EC3" wp14:editId="05EDE18B">
            <wp:extent cx="4095750" cy="3032430"/>
            <wp:effectExtent l="0" t="0" r="0" b="0"/>
            <wp:docPr id="14603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241" name=""/>
                    <pic:cNvPicPr/>
                  </pic:nvPicPr>
                  <pic:blipFill>
                    <a:blip r:embed="rId8"/>
                    <a:stretch>
                      <a:fillRect/>
                    </a:stretch>
                  </pic:blipFill>
                  <pic:spPr>
                    <a:xfrm>
                      <a:off x="0" y="0"/>
                      <a:ext cx="4100105" cy="3035654"/>
                    </a:xfrm>
                    <a:prstGeom prst="rect">
                      <a:avLst/>
                    </a:prstGeom>
                  </pic:spPr>
                </pic:pic>
              </a:graphicData>
            </a:graphic>
          </wp:inline>
        </w:drawing>
      </w:r>
    </w:p>
    <w:p w14:paraId="12DEF873" w14:textId="557F9528" w:rsidR="000D6937" w:rsidRDefault="003855FC" w:rsidP="00A437CB">
      <w:pPr>
        <w:spacing w:line="360" w:lineRule="auto"/>
        <w:jc w:val="center"/>
      </w:pPr>
      <w:r>
        <w:t xml:space="preserve">Figure 1; </w:t>
      </w:r>
      <w:r w:rsidR="00A437CB" w:rsidRPr="00A437CB">
        <w:rPr>
          <w:i/>
          <w:iCs/>
        </w:rPr>
        <w:t>Ultrasonography of the liver (27/12/2025) showing a well-defined, hepatic abscess measuring approximately 4.7 × 4.9 × 3.6 cm (volume ~44 cc) in segment VII, subcapsular region</w:t>
      </w:r>
      <w:r w:rsidR="00A437CB">
        <w:t>.</w:t>
      </w:r>
    </w:p>
    <w:p w14:paraId="109B1384" w14:textId="6E0DE845" w:rsidR="000D6937" w:rsidRDefault="000D6937" w:rsidP="000D6937">
      <w:pPr>
        <w:spacing w:line="360" w:lineRule="auto"/>
        <w:jc w:val="center"/>
      </w:pPr>
      <w:r w:rsidRPr="000D6937">
        <w:rPr>
          <w:noProof/>
        </w:rPr>
        <w:lastRenderedPageBreak/>
        <w:drawing>
          <wp:inline distT="0" distB="0" distL="0" distR="0" wp14:anchorId="269482B9" wp14:editId="37F991A0">
            <wp:extent cx="3079750" cy="3285490"/>
            <wp:effectExtent l="0" t="0" r="6350" b="0"/>
            <wp:docPr id="208698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9271" name=""/>
                    <pic:cNvPicPr/>
                  </pic:nvPicPr>
                  <pic:blipFill rotWithShape="1">
                    <a:blip r:embed="rId9"/>
                    <a:srcRect r="51894"/>
                    <a:stretch>
                      <a:fillRect/>
                    </a:stretch>
                  </pic:blipFill>
                  <pic:spPr bwMode="auto">
                    <a:xfrm>
                      <a:off x="0" y="0"/>
                      <a:ext cx="3079750" cy="3285490"/>
                    </a:xfrm>
                    <a:prstGeom prst="rect">
                      <a:avLst/>
                    </a:prstGeom>
                    <a:ln>
                      <a:noFill/>
                    </a:ln>
                    <a:extLst>
                      <a:ext uri="{53640926-AAD7-44D8-BBD7-CCE9431645EC}">
                        <a14:shadowObscured xmlns:a14="http://schemas.microsoft.com/office/drawing/2010/main"/>
                      </a:ext>
                    </a:extLst>
                  </pic:spPr>
                </pic:pic>
              </a:graphicData>
            </a:graphic>
          </wp:inline>
        </w:drawing>
      </w:r>
    </w:p>
    <w:p w14:paraId="00ECCD46" w14:textId="7D9900B3" w:rsidR="00A437CB" w:rsidRPr="00A437CB" w:rsidRDefault="000D6937" w:rsidP="00A437CB">
      <w:pPr>
        <w:spacing w:line="360" w:lineRule="auto"/>
        <w:jc w:val="center"/>
        <w:rPr>
          <w:i/>
          <w:iCs/>
        </w:rPr>
      </w:pPr>
      <w:r w:rsidRPr="000D6937">
        <w:t xml:space="preserve">Figure </w:t>
      </w:r>
      <w:r w:rsidR="003855FC">
        <w:t>2</w:t>
      </w:r>
      <w:r w:rsidR="00A437CB">
        <w:t xml:space="preserve">: </w:t>
      </w:r>
      <w:r w:rsidR="00A437CB" w:rsidRPr="00A437CB">
        <w:rPr>
          <w:i/>
          <w:iCs/>
        </w:rPr>
        <w:t>Ultrasound abdomen on 02/03/2026 showing hepatomegaly with a residual liver abscess</w:t>
      </w:r>
      <w:r w:rsidR="001560AE">
        <w:rPr>
          <w:i/>
          <w:iCs/>
        </w:rPr>
        <w:t xml:space="preserve"> </w:t>
      </w:r>
      <w:r w:rsidR="001560AE">
        <w:rPr>
          <w:i/>
          <w:iCs/>
        </w:rPr>
        <w:sym w:font="Symbol" w:char="F0BB"/>
      </w:r>
      <w:r w:rsidR="001560AE">
        <w:rPr>
          <w:i/>
          <w:iCs/>
        </w:rPr>
        <w:t>17.0 cc</w:t>
      </w:r>
      <w:r w:rsidR="00A437CB" w:rsidRPr="00A437CB">
        <w:rPr>
          <w:i/>
          <w:iCs/>
        </w:rPr>
        <w:t>. The abscess demonstrates significant interval reduction in size compared to the previous scan dated 05/01/2026, indicating favorable response to ATT.</w:t>
      </w:r>
    </w:p>
    <w:p w14:paraId="7B196F55" w14:textId="7C546F47" w:rsidR="00856B25" w:rsidRPr="00856B25" w:rsidRDefault="00EF5CF2" w:rsidP="00A437CB">
      <w:pPr>
        <w:spacing w:line="360" w:lineRule="auto"/>
      </w:pPr>
      <w:r w:rsidRPr="00856B25">
        <w:rPr>
          <w:b/>
          <w:bCs/>
        </w:rPr>
        <w:t>MANAGEMENT</w:t>
      </w:r>
    </w:p>
    <w:p w14:paraId="5E97A893" w14:textId="643AC82D" w:rsidR="00A437CB" w:rsidRPr="00A437CB" w:rsidRDefault="00A437CB" w:rsidP="00A65381">
      <w:pPr>
        <w:spacing w:line="360" w:lineRule="auto"/>
        <w:jc w:val="both"/>
      </w:pPr>
      <w:r w:rsidRPr="00A437CB">
        <w:t>The patient was initially evaluated for his presenting complaints, and the necessary diagnostic workup was undertaken. Following confirmation of the diagnosis, a pigtail catheter was inserted on 01 January 2026, resulting in the drainage of approximately 170 mL of pus. The catheter was subsequently removed on 13 January 2026 after adequate drainage. Anti-tubercular therapy (ATT) was commenced on 07 January 2026 in accordance with the NTEP protocol. In addition, supportive management included analgesics, a proton pump inhibitor, pyridoxine, and nutritional supplements, ensuring comprehensive care and facilitating recovery.</w:t>
      </w:r>
    </w:p>
    <w:p w14:paraId="5CD45BDF" w14:textId="4E3DF3EC" w:rsidR="00856B25" w:rsidRPr="00856B25" w:rsidRDefault="00EF5CF2" w:rsidP="00A65381">
      <w:pPr>
        <w:spacing w:line="360" w:lineRule="auto"/>
        <w:jc w:val="both"/>
      </w:pPr>
      <w:r w:rsidRPr="00856B25">
        <w:rPr>
          <w:b/>
          <w:bCs/>
        </w:rPr>
        <w:t>OUTCOME</w:t>
      </w:r>
      <w:r w:rsidR="00856B25" w:rsidRPr="00856B25">
        <w:br/>
      </w:r>
      <w:r w:rsidR="00A437CB" w:rsidRPr="00A437CB">
        <w:t>The patient showed clinical improvement and was discharged on 16/01/2026 in satisfactory condition. He was advised continuation of ATT, nutritional support, and advised follow-up on OPD basis. On follow</w:t>
      </w:r>
      <w:r w:rsidR="00A437CB" w:rsidRPr="00A437CB">
        <w:noBreakHyphen/>
        <w:t>up, the patient demonstrated clinical improvement, and ultrasonography performed after initiation of anti</w:t>
      </w:r>
      <w:r w:rsidR="00A437CB" w:rsidRPr="00A437CB">
        <w:noBreakHyphen/>
        <w:t>tubercular therapy (ATT) confirmed interval resolution of the abscess. A subsequent ultrasound of the abdomen on 02 March 2026 (Figure</w:t>
      </w:r>
      <w:r w:rsidR="00A437CB">
        <w:t xml:space="preserve"> 2</w:t>
      </w:r>
      <w:r w:rsidR="00A437CB" w:rsidRPr="00A437CB">
        <w:t>) revealed hepatomegaly (approximately 16.6 cm) with a well</w:t>
      </w:r>
      <w:r w:rsidR="00A437CB" w:rsidRPr="00A437CB">
        <w:noBreakHyphen/>
        <w:t xml:space="preserve">defined hypoechoic residual collection in segment VII of the liver, located </w:t>
      </w:r>
      <w:proofErr w:type="spellStart"/>
      <w:r w:rsidR="00A437CB" w:rsidRPr="00A437CB">
        <w:t>subcapsularly</w:t>
      </w:r>
      <w:proofErr w:type="spellEnd"/>
      <w:r w:rsidR="00A437CB" w:rsidRPr="00A437CB">
        <w:t xml:space="preserve">. The </w:t>
      </w:r>
      <w:r w:rsidR="00A437CB" w:rsidRPr="00A437CB">
        <w:lastRenderedPageBreak/>
        <w:t>residual abscess measured 3.4 × 3.1 × 3.0 cm, with an estimated volume of 17.0 cc. Importantly, this represented a significant interval reduction in size compared to the previous scan dated 05 January 2026, indicating a favorable therapeutic response to ATT. No intrahepatic biliary radical dilatation was observed, hepatic vessels appeared normal, and the portal vein remained patent.</w:t>
      </w:r>
    </w:p>
    <w:p w14:paraId="59D569CE" w14:textId="5103ED93" w:rsidR="00856B25" w:rsidRDefault="00EF5CF2" w:rsidP="00A65381">
      <w:pPr>
        <w:spacing w:line="360" w:lineRule="auto"/>
        <w:jc w:val="both"/>
        <w:rPr>
          <w:b/>
          <w:bCs/>
        </w:rPr>
      </w:pPr>
      <w:r w:rsidRPr="00856B25">
        <w:rPr>
          <w:b/>
          <w:bCs/>
        </w:rPr>
        <w:t>DISCUSSION</w:t>
      </w:r>
    </w:p>
    <w:p w14:paraId="39440C44" w14:textId="13BF159B" w:rsidR="00557AED" w:rsidRDefault="00557AED" w:rsidP="00A65381">
      <w:pPr>
        <w:spacing w:line="360" w:lineRule="auto"/>
        <w:jc w:val="both"/>
      </w:pPr>
      <w:r w:rsidRPr="00557AED">
        <w:t xml:space="preserve">Tuberculosis (TB) manifests clinically in two principal forms: pulmonary TB (PTB) and extrapulmonary TB (EPTB). PTB, involving the lungs, is the most frequent presentation, whereas EPTB refers to disease affecting sites outside the lungs such as the pleura, lymph nodes, abdomen, genitourinary tract, skin, bones and joints, or meninges </w:t>
      </w:r>
      <w:sdt>
        <w:sdtPr>
          <w:rPr>
            <w:color w:val="000000"/>
          </w:rPr>
          <w:tag w:val="MENDELEY_CITATION_v3_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"/>
          <w:id w:val="-1660526847"/>
          <w:placeholder>
            <w:docPart w:val="DefaultPlaceholder_-1854013440"/>
          </w:placeholder>
        </w:sdtPr>
        <w:sdtEndPr/>
        <w:sdtContent>
          <w:r w:rsidR="00F555B5" w:rsidRPr="00F555B5">
            <w:rPr>
              <w:color w:val="000000"/>
            </w:rPr>
            <w:t>[3]</w:t>
          </w:r>
        </w:sdtContent>
      </w:sdt>
      <w:r w:rsidRPr="00557AED">
        <w:rPr>
          <w:b/>
          <w:bCs/>
        </w:rPr>
        <w:t xml:space="preserve">. </w:t>
      </w:r>
      <w:r w:rsidRPr="00557AED">
        <w:t>Hepatic TB has been reported in 10-15% of patients having extrapulmonary TB, but tubercular liver abscess is extremely rare with a prevalence of 0.34%</w:t>
      </w:r>
      <w:sdt>
        <w:sdtPr>
          <w:rPr>
            <w:color w:val="000000"/>
          </w:rPr>
          <w:tag w:val="MENDELEY_CITATION_v3_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"/>
          <w:id w:val="931778863"/>
          <w:placeholder>
            <w:docPart w:val="DefaultPlaceholder_-1854013440"/>
          </w:placeholder>
        </w:sdtPr>
        <w:sdtEndPr/>
        <w:sdtContent>
          <w:r w:rsidR="00F555B5" w:rsidRPr="00F555B5">
            <w:rPr>
              <w:color w:val="000000"/>
            </w:rPr>
            <w:t>[4]</w:t>
          </w:r>
        </w:sdtContent>
      </w:sdt>
      <w:r w:rsidR="00856B25" w:rsidRPr="00856B25">
        <w:t>.</w:t>
      </w:r>
    </w:p>
    <w:p w14:paraId="6B48DDF9" w14:textId="1E56C600" w:rsidR="00856B25" w:rsidRDefault="00A65381" w:rsidP="00A65381">
      <w:pPr>
        <w:spacing w:line="360" w:lineRule="auto"/>
        <w:jc w:val="both"/>
      </w:pPr>
      <w:r w:rsidRPr="00A65381">
        <w:t>The clinical presentation of tubercular liver abscess (TLA) is often nonspecific, with patients typically reporting fever, vague abdominal pain, malaise, and weight loss. On physical examination, hepatomegaly is a frequent finding, whereas jaundice is uncommon and, when present, usually indicates biliary involvement due to extra‑ or intrahepatic obstruction. Importantly, the severity of liver disease does not correlate with the occurrence of jaundice</w:t>
      </w:r>
      <w:sdt>
        <w:sdtPr>
          <w:rPr>
            <w:color w:val="000000"/>
          </w:rPr>
          <w:tag w:val="MENDELEY_CITATION_v3_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"/>
          <w:id w:val="1863783692"/>
          <w:placeholder>
            <w:docPart w:val="DefaultPlaceholder_-1854013440"/>
          </w:placeholder>
        </w:sdtPr>
        <w:sdtEndPr/>
        <w:sdtContent>
          <w:r w:rsidR="00FE3680">
            <w:rPr>
              <w:color w:val="000000"/>
            </w:rPr>
            <w:t xml:space="preserve"> </w:t>
          </w:r>
          <w:r w:rsidR="00F555B5" w:rsidRPr="00F555B5">
            <w:rPr>
              <w:color w:val="000000"/>
            </w:rPr>
            <w:t>[5]</w:t>
          </w:r>
        </w:sdtContent>
      </w:sdt>
      <w:r w:rsidRPr="00A65381">
        <w:t>. Although isolated TLA is a rare entity, it should remain an important differential diagnosis in patients presenting with liver abscesses, particularly in endemic regions such as India.</w:t>
      </w:r>
      <w:r>
        <w:t xml:space="preserve"> </w:t>
      </w:r>
      <w:r w:rsidRPr="00557AED">
        <w:t>Hepatic</w:t>
      </w:r>
      <w:r w:rsidR="00557AED" w:rsidRPr="00557AED">
        <w:t xml:space="preserve"> involvement can occasionally manifest in diverse forms. Tubercular liver disease may present as a solitary or multiple hepatic abscesses, as an intrahepatic mass lesion mimicking neoplasm, or as granulomatous hepatitis</w:t>
      </w:r>
      <w:r>
        <w:t xml:space="preserve"> </w:t>
      </w:r>
      <w:sdt>
        <w:sdtPr>
          <w:rPr>
            <w:color w:val="000000"/>
          </w:rPr>
          <w:tag w:val="MENDELEY_CITATION_v3_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"/>
          <w:id w:val="2116860757"/>
          <w:placeholder>
            <w:docPart w:val="DefaultPlaceholder_-1854013440"/>
          </w:placeholder>
        </w:sdtPr>
        <w:sdtEndPr/>
        <w:sdtContent>
          <w:r w:rsidR="00F555B5" w:rsidRPr="00F555B5">
            <w:rPr>
              <w:color w:val="000000"/>
            </w:rPr>
            <w:t>[6]</w:t>
          </w:r>
        </w:sdtContent>
      </w:sdt>
      <w:r w:rsidR="00557AED" w:rsidRPr="00557AED">
        <w:t>. Because amoebic and pyogenic abscesses are far more common in this region, tubercular liver abscess (TLA) is often overlooked unless routine serological and microbiological investigations fail to identify these usual causes. In such endemic settings, maintaining a high index of suspicion for hepatic TB is essential, as timely recognition and initiation of anti‑tubercular therapy can lead to complete resolution and prevent complications.</w:t>
      </w:r>
      <w:r>
        <w:t xml:space="preserve"> </w:t>
      </w:r>
      <w:r w:rsidR="00856B25" w:rsidRPr="00856B25">
        <w:t>CBNAAT positivity in aspirated pus confirmed the diagnosis in this case, highlighting its diagnostic utility in extrapulmonary TB.</w:t>
      </w:r>
    </w:p>
    <w:p w14:paraId="6771EB0A" w14:textId="31B5F178" w:rsidR="00A65381" w:rsidRDefault="00A65381" w:rsidP="00A65381">
      <w:pPr>
        <w:spacing w:line="360" w:lineRule="auto"/>
        <w:jc w:val="both"/>
        <w:rPr>
          <w:b/>
          <w:bCs/>
        </w:rPr>
      </w:pPr>
      <w:r w:rsidRPr="00A65381">
        <w:rPr>
          <w:b/>
          <w:bCs/>
        </w:rPr>
        <w:t xml:space="preserve">Treatment of tubercular liver abscess </w:t>
      </w:r>
      <w:r>
        <w:rPr>
          <w:b/>
          <w:bCs/>
        </w:rPr>
        <w:t>(</w:t>
      </w:r>
      <w:r w:rsidRPr="00A65381">
        <w:rPr>
          <w:b/>
          <w:bCs/>
        </w:rPr>
        <w:t>TLA</w:t>
      </w:r>
      <w:r>
        <w:rPr>
          <w:b/>
          <w:bCs/>
        </w:rPr>
        <w:t>)</w:t>
      </w:r>
    </w:p>
    <w:p w14:paraId="0B6D2123" w14:textId="2F8CDEF0" w:rsidR="00771047" w:rsidRPr="00771047" w:rsidRDefault="00771047" w:rsidP="00771047">
      <w:pPr>
        <w:spacing w:line="360" w:lineRule="auto"/>
        <w:jc w:val="both"/>
        <w:rPr>
          <w:b/>
          <w:bCs/>
        </w:rPr>
      </w:pPr>
      <w:r w:rsidRPr="004579B2">
        <w:rPr>
          <w:b/>
          <w:bCs/>
        </w:rPr>
        <w:t>The</w:t>
      </w:r>
      <w:r w:rsidRPr="00771047">
        <w:rPr>
          <w:b/>
          <w:bCs/>
        </w:rPr>
        <w:t xml:space="preserve"> Basic </w:t>
      </w:r>
      <w:r w:rsidRPr="004579B2">
        <w:rPr>
          <w:b/>
          <w:bCs/>
        </w:rPr>
        <w:t>7R Rule of TB Treatment</w:t>
      </w:r>
      <w:r>
        <w:rPr>
          <w:b/>
          <w:bCs/>
        </w:rPr>
        <w:t xml:space="preserve">: </w:t>
      </w:r>
      <w:r w:rsidRPr="004579B2">
        <w:t>The management of TB, whether pulmonary or extrapulmonary, must adhere to standardized principles to ensure therapeutic success and prevent drug resistance. The 7R Rule of TB Treatment provides a comprehensive framework for patient</w:t>
      </w:r>
      <w:r w:rsidRPr="004579B2">
        <w:noBreakHyphen/>
        <w:t>centered care. This includes</w:t>
      </w:r>
      <w:r>
        <w:t xml:space="preserve"> </w:t>
      </w:r>
      <w:sdt>
        <w:sdtPr>
          <w:rPr>
            <w:color w:val="000000"/>
          </w:rPr>
          <w:tag w:val="MENDELEY_CITATION_v3_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"/>
          <w:id w:val="1151787891"/>
          <w:placeholder>
            <w:docPart w:val="DefaultPlaceholder_-1854013440"/>
          </w:placeholder>
        </w:sdtPr>
        <w:sdtEndPr/>
        <w:sdtContent>
          <w:r w:rsidR="00F555B5" w:rsidRPr="00F555B5">
            <w:rPr>
              <w:color w:val="000000"/>
            </w:rPr>
            <w:t>[7], [8]</w:t>
          </w:r>
        </w:sdtContent>
      </w:sdt>
      <w:r>
        <w:t xml:space="preserve">; </w:t>
      </w:r>
    </w:p>
    <w:p w14:paraId="749CEBAB" w14:textId="77777777" w:rsidR="00771047" w:rsidRPr="004B05CA" w:rsidRDefault="00771047" w:rsidP="000D6937">
      <w:pPr>
        <w:pStyle w:val="ListParagraph"/>
        <w:numPr>
          <w:ilvl w:val="0"/>
          <w:numId w:val="4"/>
        </w:numPr>
        <w:spacing w:after="200" w:line="360" w:lineRule="auto"/>
        <w:jc w:val="both"/>
      </w:pPr>
      <w:r w:rsidRPr="004B05CA">
        <w:rPr>
          <w:b/>
          <w:bCs/>
        </w:rPr>
        <w:lastRenderedPageBreak/>
        <w:t>Right Diagnosis</w:t>
      </w:r>
      <w:r w:rsidRPr="004B05CA">
        <w:t xml:space="preserve">; Early and accurate diagnosis of TB using tools like sputum microscopy, CBNAAT (GeneXpert), </w:t>
      </w:r>
      <w:proofErr w:type="spellStart"/>
      <w:r w:rsidRPr="004B05CA">
        <w:t>TrueNat</w:t>
      </w:r>
      <w:proofErr w:type="spellEnd"/>
      <w:r w:rsidRPr="004B05CA">
        <w:t>, or culture is the foundation of appropriate treatment. Misdiagnosis leads to inappropriate therapy, drug resistance, or ongoing transmission.</w:t>
      </w:r>
    </w:p>
    <w:p w14:paraId="4309E28D" w14:textId="77777777" w:rsidR="00771047" w:rsidRPr="004B05CA" w:rsidRDefault="00771047" w:rsidP="000D6937">
      <w:pPr>
        <w:pStyle w:val="ListParagraph"/>
        <w:numPr>
          <w:ilvl w:val="0"/>
          <w:numId w:val="4"/>
        </w:numPr>
        <w:spacing w:after="200" w:line="360" w:lineRule="auto"/>
        <w:jc w:val="both"/>
      </w:pPr>
      <w:r w:rsidRPr="004B05CA">
        <w:rPr>
          <w:b/>
          <w:bCs/>
        </w:rPr>
        <w:t>Right Drugs (as per NTEP Regimen)</w:t>
      </w:r>
      <w:r w:rsidRPr="004B05CA">
        <w:t>; Use of standardized first-line ATT for drug-sensitive TB (2HRZE/4HRE) or appropriate second-line regimens for drug-resistant TB (DR-TB), in accordance with NTEP and WHO recommendations. Treatment must be guided by drug susceptibility testing (DST).</w:t>
      </w:r>
    </w:p>
    <w:p w14:paraId="6D45168F" w14:textId="77777777" w:rsidR="00771047" w:rsidRPr="004B05CA" w:rsidRDefault="00771047" w:rsidP="000D6937">
      <w:pPr>
        <w:pStyle w:val="ListParagraph"/>
        <w:numPr>
          <w:ilvl w:val="0"/>
          <w:numId w:val="4"/>
        </w:numPr>
        <w:spacing w:after="200" w:line="360" w:lineRule="auto"/>
        <w:jc w:val="both"/>
      </w:pPr>
      <w:r w:rsidRPr="004B05CA">
        <w:rPr>
          <w:b/>
          <w:bCs/>
        </w:rPr>
        <w:t>Right Dosages (Weight-Based)</w:t>
      </w:r>
      <w:r w:rsidRPr="004B05CA">
        <w:t>; Dosages must be prescribed based on the patient's weight band, using Fixed-Dose Combinations (FDCs) to reduce pill burden and ensure appropriate drug ratios. Underdosing or overdosing can result in treatment failure or toxicity.</w:t>
      </w:r>
    </w:p>
    <w:p w14:paraId="0E7F55E7" w14:textId="77777777" w:rsidR="00771047" w:rsidRPr="004B05CA" w:rsidRDefault="00771047" w:rsidP="000D6937">
      <w:pPr>
        <w:pStyle w:val="ListParagraph"/>
        <w:numPr>
          <w:ilvl w:val="0"/>
          <w:numId w:val="4"/>
        </w:numPr>
        <w:spacing w:after="200" w:line="360" w:lineRule="auto"/>
        <w:jc w:val="both"/>
      </w:pPr>
      <w:r w:rsidRPr="004B05CA">
        <w:rPr>
          <w:b/>
          <w:bCs/>
        </w:rPr>
        <w:t xml:space="preserve">Right Time; </w:t>
      </w:r>
      <w:r w:rsidRPr="004B05CA">
        <w:t>All medications must be taken at the same fixed time daily, preferably on an empty stomach. Splitting doses is discouraged as it may compromise peak drug levels and efficacy.</w:t>
      </w:r>
    </w:p>
    <w:p w14:paraId="460F2C66" w14:textId="77777777" w:rsidR="00771047" w:rsidRPr="004B05CA" w:rsidRDefault="00771047" w:rsidP="000D6937">
      <w:pPr>
        <w:pStyle w:val="ListParagraph"/>
        <w:numPr>
          <w:ilvl w:val="0"/>
          <w:numId w:val="4"/>
        </w:numPr>
        <w:spacing w:after="200" w:line="360" w:lineRule="auto"/>
        <w:jc w:val="both"/>
      </w:pPr>
      <w:r w:rsidRPr="004B05CA">
        <w:rPr>
          <w:b/>
          <w:bCs/>
        </w:rPr>
        <w:t xml:space="preserve">Regular Intake; </w:t>
      </w:r>
      <w:r w:rsidRPr="004B05CA">
        <w:t>Strict adherence to daily dosing is critical. Missed or irregular intake can lead to development of drug resistance, treatment failure, and disease relapse.</w:t>
      </w:r>
    </w:p>
    <w:p w14:paraId="513E0F5A" w14:textId="25DEEF52" w:rsidR="00771047" w:rsidRPr="004B05CA" w:rsidRDefault="00771047" w:rsidP="000D6937">
      <w:pPr>
        <w:pStyle w:val="ListParagraph"/>
        <w:numPr>
          <w:ilvl w:val="0"/>
          <w:numId w:val="4"/>
        </w:numPr>
        <w:spacing w:after="200" w:line="360" w:lineRule="auto"/>
        <w:jc w:val="both"/>
      </w:pPr>
      <w:r w:rsidRPr="004B05CA">
        <w:rPr>
          <w:b/>
          <w:bCs/>
        </w:rPr>
        <w:t>Right Duration</w:t>
      </w:r>
      <w:r w:rsidRPr="004B05CA">
        <w:t>; Duration of treatment varies based on the type of TB:</w:t>
      </w:r>
      <w:r>
        <w:t xml:space="preserve"> </w:t>
      </w:r>
      <w:r w:rsidRPr="004B05CA">
        <w:t>6 months for drug-sensitive pulmonary TB,</w:t>
      </w:r>
      <w:r>
        <w:t xml:space="preserve"> </w:t>
      </w:r>
      <w:r w:rsidRPr="004B05CA">
        <w:t>9–12 months or longer for extra-pulmonary or drug-resistant TB (e.g., MDR/XDR-TB).</w:t>
      </w:r>
      <w:r>
        <w:t xml:space="preserve"> </w:t>
      </w:r>
      <w:r w:rsidRPr="004B05CA">
        <w:t>Treatment should be neither prematurely stopped nor unnecessarily prolonged.</w:t>
      </w:r>
    </w:p>
    <w:p w14:paraId="54DFC8A2" w14:textId="77777777" w:rsidR="00771047" w:rsidRPr="004B05CA" w:rsidRDefault="00771047" w:rsidP="000D6937">
      <w:pPr>
        <w:pStyle w:val="ListParagraph"/>
        <w:numPr>
          <w:ilvl w:val="0"/>
          <w:numId w:val="4"/>
        </w:numPr>
        <w:spacing w:after="200" w:line="360" w:lineRule="auto"/>
        <w:jc w:val="both"/>
      </w:pPr>
      <w:r w:rsidRPr="004B05CA">
        <w:rPr>
          <w:b/>
          <w:bCs/>
        </w:rPr>
        <w:t>Report All Cases to NTEP (Mandatory)</w:t>
      </w:r>
      <w:r w:rsidRPr="004B05CA">
        <w:t>; Notification of all diagnosed TB cases is legally mandated under the Government of India's policy. Reporting ensures patient support, adherence monitoring, contact tracing, and data-driven control strategies.</w:t>
      </w:r>
    </w:p>
    <w:p w14:paraId="0B4B9144" w14:textId="6737FCEC" w:rsidR="004579B2" w:rsidRPr="004579B2" w:rsidRDefault="00771047" w:rsidP="004579B2">
      <w:pPr>
        <w:spacing w:line="360" w:lineRule="auto"/>
        <w:jc w:val="both"/>
      </w:pPr>
      <w:r w:rsidRPr="00771047">
        <w:t xml:space="preserve">The 7R Rule of TB treatment is not an official guideline but a simplified framework inferred from the principles outlined in the Standards of TB Care in India (STCI), the National TB Elimination </w:t>
      </w:r>
      <w:proofErr w:type="spellStart"/>
      <w:r w:rsidRPr="00771047">
        <w:t>Programme</w:t>
      </w:r>
      <w:proofErr w:type="spellEnd"/>
      <w:r w:rsidRPr="00771047">
        <w:t xml:space="preserve"> (NTEP), and WHO recommendations. It serves as an easy‑to‑remember tool to reinforce comprehensive care and accountability in TB management.</w:t>
      </w:r>
    </w:p>
    <w:p w14:paraId="30F2C24D" w14:textId="0AB1434B" w:rsidR="00A65381" w:rsidRDefault="004579B2" w:rsidP="00A65381">
      <w:pPr>
        <w:spacing w:line="360" w:lineRule="auto"/>
        <w:jc w:val="both"/>
      </w:pPr>
      <w:r w:rsidRPr="004579B2">
        <w:t>Applying these principles in the present case not only facilitated clinical improvement and radiological resolution but also underscored the importance of structured TB care in extrapulmonary presentations. The 7R framework thus reinforces the need for vigilance, adherence, and systematic reporting to achieve successful outcomes in rare manifestations such as TLA.</w:t>
      </w:r>
    </w:p>
    <w:p w14:paraId="25B6BE1E" w14:textId="4FE1119C" w:rsidR="00FB3389" w:rsidRPr="00FB3389" w:rsidRDefault="00FB3389" w:rsidP="00A65381">
      <w:pPr>
        <w:spacing w:line="360" w:lineRule="auto"/>
        <w:jc w:val="both"/>
        <w:rPr>
          <w:b/>
          <w:bCs/>
        </w:rPr>
      </w:pPr>
      <w:r w:rsidRPr="00FB3389">
        <w:rPr>
          <w:b/>
          <w:bCs/>
        </w:rPr>
        <w:t>Percutaneous drainage (PD) in TLA</w:t>
      </w:r>
    </w:p>
    <w:p w14:paraId="5606B765" w14:textId="500777B5" w:rsidR="00FB3389" w:rsidRDefault="00FB3389" w:rsidP="00A65381">
      <w:pPr>
        <w:spacing w:line="360" w:lineRule="auto"/>
        <w:jc w:val="both"/>
      </w:pPr>
      <w:r w:rsidRPr="00FB3389">
        <w:t xml:space="preserve">Percutaneous drainage (PD) is a minimally invasive, image‑guided procedure used to evacuate pus or infected fluid collections, and it serves as a safe and effective alternative to surgery in conditions such as </w:t>
      </w:r>
      <w:r w:rsidRPr="00FB3389">
        <w:lastRenderedPageBreak/>
        <w:t>tubercular liver abscess (TLA). Although most TLAs respond well to anti‑tubercular therapy (ATT) alone, PD becomes necessary in specific situations. Drainage is indicated for large abscesses, typically greater than 6–8 cm, for cases that fail to improve after 2–3 weeks of ATT, or when the abscess is superficial and at risk of rupture. The procedure is performed under ultrasound or CT guidance, where a needle is introduced into the abscess cavity and a catheter, often a pigtail, is placed for continuous drainage. When combined with ATT, PD provides effective symptom relief and promotes resolution of the collection. Catheter removal is considered once the drain output becomes minimal and follow‑up imaging confirms reduction in abscess size. Thus, PD plays an important adjunctive role in the management of complicated TLAs, ensuring both safety and therapeutic success</w:t>
      </w:r>
      <w:sdt>
        <w:sdtPr>
          <w:rPr>
            <w:color w:val="000000"/>
          </w:rPr>
          <w:tag w:val="MENDELEY_CITATION_v3_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"/>
          <w:id w:val="699825204"/>
          <w:placeholder>
            <w:docPart w:val="DefaultPlaceholder_-1854013440"/>
          </w:placeholder>
        </w:sdtPr>
        <w:sdtEndPr/>
        <w:sdtContent>
          <w:r w:rsidR="00116C95">
            <w:rPr>
              <w:color w:val="000000"/>
            </w:rPr>
            <w:t xml:space="preserve"> </w:t>
          </w:r>
          <w:r w:rsidR="00F555B5" w:rsidRPr="00F555B5">
            <w:rPr>
              <w:color w:val="000000"/>
            </w:rPr>
            <w:t>[9]</w:t>
          </w:r>
        </w:sdtContent>
      </w:sdt>
      <w:r w:rsidRPr="00FB3389">
        <w:t>.</w:t>
      </w:r>
    </w:p>
    <w:p w14:paraId="2A59878E" w14:textId="47B22768" w:rsidR="00FB3389" w:rsidRPr="00FB3389" w:rsidRDefault="00FB3389" w:rsidP="00A65381">
      <w:pPr>
        <w:spacing w:line="360" w:lineRule="auto"/>
        <w:jc w:val="both"/>
        <w:rPr>
          <w:b/>
          <w:bCs/>
        </w:rPr>
      </w:pPr>
      <w:r w:rsidRPr="00856B25">
        <w:rPr>
          <w:b/>
          <w:bCs/>
        </w:rPr>
        <w:t xml:space="preserve">Nutritional support and pyridoxine supplementation </w:t>
      </w:r>
    </w:p>
    <w:p w14:paraId="50ED0087" w14:textId="094EDE02" w:rsidR="00A456D0" w:rsidRDefault="00FB3389" w:rsidP="00A65381">
      <w:pPr>
        <w:spacing w:line="360" w:lineRule="auto"/>
        <w:jc w:val="both"/>
      </w:pPr>
      <w:r>
        <w:t>However p</w:t>
      </w:r>
      <w:r w:rsidR="00856B25" w:rsidRPr="00856B25">
        <w:t xml:space="preserve">ercutaneous drainage combined with ATT remains the cornerstone of management. </w:t>
      </w:r>
      <w:r w:rsidR="00A456D0" w:rsidRPr="00A456D0">
        <w:t>Nutritional support plays a vital role in the management of tubercular liver abscess, as patients often present with weight loss, anorexia, and general debility. Adequate intake of calories, proteins, and micronutrients helps restore immune function, enhances recovery, and improves tolerance to anti‑tubercular therapy (ATT)</w:t>
      </w:r>
      <w:r w:rsidR="00417581">
        <w:t xml:space="preserve"> </w:t>
      </w:r>
      <w:sdt>
        <w:sdtPr>
          <w:rPr>
            <w:color w:val="000000"/>
          </w:rPr>
          <w:tag w:val="MENDELEY_CITATION_v3_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"/>
          <w:id w:val="1477645926"/>
          <w:placeholder>
            <w:docPart w:val="DefaultPlaceholder_-1854013440"/>
          </w:placeholder>
        </w:sdtPr>
        <w:sdtEndPr/>
        <w:sdtContent>
          <w:r w:rsidR="00F555B5" w:rsidRPr="00F555B5">
            <w:rPr>
              <w:color w:val="000000"/>
            </w:rPr>
            <w:t>[10], [11]</w:t>
          </w:r>
        </w:sdtContent>
      </w:sdt>
      <w:r w:rsidR="00A456D0" w:rsidRPr="00A456D0">
        <w:t>. In addition, pyridoxine (vitamin B6) supplementation is routinely recommended during ATT, particularly with isoniazid‑containing regimens, to prevent drug‑induced peripheral neuropathy. This simple but essential measure ensures patient safety, supports adherence, and contributes to overall treatment success in TLA cases.</w:t>
      </w:r>
    </w:p>
    <w:p w14:paraId="65788700" w14:textId="07EE02C5" w:rsidR="00856B25" w:rsidRPr="00856B25" w:rsidRDefault="00856B25" w:rsidP="00A65381">
      <w:pPr>
        <w:spacing w:line="360" w:lineRule="auto"/>
        <w:jc w:val="both"/>
      </w:pPr>
      <w:r w:rsidRPr="00856B25">
        <w:t>This case emphasizes the need for vigilance in atypical hepatic abscess presentations and the role of minimally invasive interventions in improving outcomes.</w:t>
      </w:r>
    </w:p>
    <w:p w14:paraId="3A96B888" w14:textId="79FF2524" w:rsidR="00856B25" w:rsidRPr="00856B25" w:rsidRDefault="00EF5CF2" w:rsidP="00A65381">
      <w:pPr>
        <w:spacing w:line="360" w:lineRule="auto"/>
        <w:jc w:val="both"/>
        <w:rPr>
          <w:b/>
          <w:bCs/>
        </w:rPr>
      </w:pPr>
      <w:r w:rsidRPr="00856B25">
        <w:rPr>
          <w:b/>
          <w:bCs/>
        </w:rPr>
        <w:t>CONCLUSION</w:t>
      </w:r>
    </w:p>
    <w:p w14:paraId="0AC0AC99" w14:textId="0F50331F" w:rsidR="00116C95" w:rsidRDefault="00116C95" w:rsidP="00116C95">
      <w:pPr>
        <w:spacing w:line="360" w:lineRule="auto"/>
        <w:jc w:val="both"/>
      </w:pPr>
      <w:r w:rsidRPr="00116C95">
        <w:t>Tubercular liver abscess, though rare, warrants a high index of suspicion in regions where tuberculosis is endemic. Early microbiological confirmation, particularly through rapid molecular diagnostics, combined with prompt intervention-drainage alongside anti</w:t>
      </w:r>
      <w:r w:rsidRPr="00116C95">
        <w:noBreakHyphen/>
        <w:t>tubercular therapy-can transform a potentially life</w:t>
      </w:r>
      <w:r w:rsidRPr="00116C95">
        <w:noBreakHyphen/>
        <w:t>threatening condition into a favorable outcome. This case contributes to the limited body of literature on tubercular hepatic abscess and highlights the importance of clinical vigilance in high</w:t>
      </w:r>
      <w:r w:rsidRPr="00116C95">
        <w:noBreakHyphen/>
        <w:t>burden countries like India, where tuberculosis continues to present in diverse and often unexpected forms. By recognizing and treating such manifestations early, clinicians can ensure timely recovery and strengthen the collective understanding of this uncommon presentation. This case reminds us that in the battle against tuberculosis, even its rarest shadows must be unmasked-because forewarned is forearmed.</w:t>
      </w:r>
    </w:p>
    <w:p w14:paraId="347E4DEC" w14:textId="49883E09" w:rsidR="000D6937" w:rsidRPr="008E6024" w:rsidRDefault="000D6937" w:rsidP="000D6937">
      <w:pPr>
        <w:spacing w:line="276" w:lineRule="auto"/>
        <w:jc w:val="both"/>
        <w:rPr>
          <w:szCs w:val="22"/>
        </w:rPr>
      </w:pPr>
      <w:r w:rsidRPr="008E6024">
        <w:rPr>
          <w:b/>
          <w:bCs/>
          <w:szCs w:val="22"/>
        </w:rPr>
        <w:lastRenderedPageBreak/>
        <w:t>Conflicts of Interest</w:t>
      </w:r>
      <w:r w:rsidRPr="008E6024">
        <w:rPr>
          <w:szCs w:val="22"/>
        </w:rPr>
        <w:t xml:space="preserve">:     None declared.  </w:t>
      </w:r>
    </w:p>
    <w:p w14:paraId="6C802E2C" w14:textId="4DAFDB59" w:rsidR="000D6937" w:rsidRDefault="000D6937" w:rsidP="000D6937">
      <w:pPr>
        <w:spacing w:line="360" w:lineRule="auto"/>
        <w:jc w:val="both"/>
      </w:pPr>
      <w:r w:rsidRPr="002B239E">
        <w:rPr>
          <w:b/>
          <w:bCs/>
        </w:rPr>
        <w:t xml:space="preserve">Patient Consent: </w:t>
      </w:r>
      <w:r w:rsidRPr="002B239E">
        <w:t xml:space="preserve">Written informed consent was obtained from patient for publication of this case </w:t>
      </w:r>
      <w:r>
        <w:t>report.</w:t>
      </w:r>
    </w:p>
    <w:p w14:paraId="5A82ED7F" w14:textId="6E7EC95C" w:rsidR="00856B25" w:rsidRDefault="00856B25" w:rsidP="00A65381">
      <w:pPr>
        <w:spacing w:line="360" w:lineRule="auto"/>
        <w:jc w:val="both"/>
        <w:rPr>
          <w:b/>
          <w:bCs/>
        </w:rPr>
      </w:pPr>
      <w:r w:rsidRPr="00856B25">
        <w:rPr>
          <w:b/>
          <w:bCs/>
        </w:rPr>
        <w:t>References</w:t>
      </w:r>
    </w:p>
    <w:sdt>
      <w:sdtPr>
        <w:rPr>
          <w:bCs/>
          <w:color w:val="000000"/>
        </w:rPr>
        <w:tag w:val="MENDELEY_BIBLIOGRAPHY"/>
        <w:id w:val="22683076"/>
        <w:placeholder>
          <w:docPart w:val="DefaultPlaceholder_-1854013440"/>
        </w:placeholder>
      </w:sdtPr>
      <w:sdtEndPr/>
      <w:sdtContent>
        <w:p w14:paraId="2D9A644D" w14:textId="77777777" w:rsidR="000D6937" w:rsidRPr="000D6937" w:rsidRDefault="000D6937">
          <w:pPr>
            <w:autoSpaceDE w:val="0"/>
            <w:autoSpaceDN w:val="0"/>
            <w:ind w:hanging="640"/>
            <w:divId w:val="1629047655"/>
            <w:rPr>
              <w:rFonts w:eastAsia="Times New Roman"/>
              <w:bCs/>
              <w:color w:val="000000"/>
              <w:kern w:val="0"/>
              <w14:ligatures w14:val="none"/>
            </w:rPr>
          </w:pPr>
          <w:r w:rsidRPr="000D6937">
            <w:rPr>
              <w:rFonts w:eastAsia="Times New Roman"/>
              <w:bCs/>
              <w:color w:val="000000"/>
            </w:rPr>
            <w:t>[1]</w:t>
          </w:r>
          <w:r w:rsidRPr="000D6937">
            <w:rPr>
              <w:rFonts w:eastAsia="Times New Roman"/>
              <w:bCs/>
              <w:color w:val="000000"/>
            </w:rPr>
            <w:tab/>
            <w:t>WHO, “https://www.who.int/news-room/fact-sheets/detail/tuberculosis,” 2026.</w:t>
          </w:r>
        </w:p>
        <w:p w14:paraId="1706A562" w14:textId="77777777" w:rsidR="000D6937" w:rsidRPr="000D6937" w:rsidRDefault="000D6937">
          <w:pPr>
            <w:autoSpaceDE w:val="0"/>
            <w:autoSpaceDN w:val="0"/>
            <w:ind w:hanging="640"/>
            <w:divId w:val="498892134"/>
            <w:rPr>
              <w:rFonts w:eastAsia="Times New Roman"/>
              <w:bCs/>
              <w:color w:val="000000"/>
            </w:rPr>
          </w:pPr>
          <w:r w:rsidRPr="000D6937">
            <w:rPr>
              <w:rFonts w:eastAsia="Times New Roman"/>
              <w:bCs/>
              <w:color w:val="000000"/>
            </w:rPr>
            <w:t>[2]</w:t>
          </w:r>
          <w:r w:rsidRPr="000D6937">
            <w:rPr>
              <w:rFonts w:eastAsia="Times New Roman"/>
              <w:bCs/>
              <w:color w:val="000000"/>
            </w:rPr>
            <w:tab/>
            <w:t xml:space="preserve">M. Meena, R. Dixit, L. P. Meena, and J. K. Samaria, “Primary/local hepatic tuberculosis without dissemination,” </w:t>
          </w:r>
          <w:r w:rsidRPr="000D6937">
            <w:rPr>
              <w:rFonts w:eastAsia="Times New Roman"/>
              <w:bCs/>
              <w:i/>
              <w:iCs/>
              <w:color w:val="000000"/>
            </w:rPr>
            <w:t>BMJ Case Rep.</w:t>
          </w:r>
          <w:r w:rsidRPr="000D6937">
            <w:rPr>
              <w:rFonts w:eastAsia="Times New Roman"/>
              <w:bCs/>
              <w:color w:val="000000"/>
            </w:rPr>
            <w:t xml:space="preserve">, vol. 2015, p. bcr2014206974, Jan. 2015, </w:t>
          </w:r>
          <w:proofErr w:type="spellStart"/>
          <w:r w:rsidRPr="000D6937">
            <w:rPr>
              <w:rFonts w:eastAsia="Times New Roman"/>
              <w:bCs/>
              <w:color w:val="000000"/>
            </w:rPr>
            <w:t>doi</w:t>
          </w:r>
          <w:proofErr w:type="spellEnd"/>
          <w:r w:rsidRPr="000D6937">
            <w:rPr>
              <w:rFonts w:eastAsia="Times New Roman"/>
              <w:bCs/>
              <w:color w:val="000000"/>
            </w:rPr>
            <w:t>: 10.1136/bcr-2014-206974.</w:t>
          </w:r>
        </w:p>
        <w:p w14:paraId="7503580C" w14:textId="77777777" w:rsidR="000D6937" w:rsidRPr="000D6937" w:rsidRDefault="000D6937">
          <w:pPr>
            <w:autoSpaceDE w:val="0"/>
            <w:autoSpaceDN w:val="0"/>
            <w:ind w:hanging="640"/>
            <w:divId w:val="476000616"/>
            <w:rPr>
              <w:rFonts w:eastAsia="Times New Roman"/>
              <w:bCs/>
              <w:color w:val="000000"/>
            </w:rPr>
          </w:pPr>
          <w:r w:rsidRPr="000D6937">
            <w:rPr>
              <w:rFonts w:eastAsia="Times New Roman"/>
              <w:bCs/>
              <w:color w:val="000000"/>
            </w:rPr>
            <w:t>[3]</w:t>
          </w:r>
          <w:r w:rsidRPr="000D6937">
            <w:rPr>
              <w:rFonts w:eastAsia="Times New Roman"/>
              <w:bCs/>
              <w:color w:val="000000"/>
            </w:rPr>
            <w:tab/>
            <w:t xml:space="preserve">J. Y. Lee, “Diagnosis and treatment of extrapulmonary tuberculosis.,” </w:t>
          </w:r>
          <w:proofErr w:type="spellStart"/>
          <w:r w:rsidRPr="000D6937">
            <w:rPr>
              <w:rFonts w:eastAsia="Times New Roman"/>
              <w:bCs/>
              <w:i/>
              <w:iCs/>
              <w:color w:val="000000"/>
            </w:rPr>
            <w:t>Tuberc</w:t>
          </w:r>
          <w:proofErr w:type="spellEnd"/>
          <w:r w:rsidRPr="000D6937">
            <w:rPr>
              <w:rFonts w:eastAsia="Times New Roman"/>
              <w:bCs/>
              <w:i/>
              <w:iCs/>
              <w:color w:val="000000"/>
            </w:rPr>
            <w:t>. Respir. Dis. (Seoul).</w:t>
          </w:r>
          <w:r w:rsidRPr="000D6937">
            <w:rPr>
              <w:rFonts w:eastAsia="Times New Roman"/>
              <w:bCs/>
              <w:color w:val="000000"/>
            </w:rPr>
            <w:t xml:space="preserve">, vol. 78, no. 2, pp. 47–55, Apr. 2015, </w:t>
          </w:r>
          <w:proofErr w:type="spellStart"/>
          <w:r w:rsidRPr="000D6937">
            <w:rPr>
              <w:rFonts w:eastAsia="Times New Roman"/>
              <w:bCs/>
              <w:color w:val="000000"/>
            </w:rPr>
            <w:t>doi</w:t>
          </w:r>
          <w:proofErr w:type="spellEnd"/>
          <w:r w:rsidRPr="000D6937">
            <w:rPr>
              <w:rFonts w:eastAsia="Times New Roman"/>
              <w:bCs/>
              <w:color w:val="000000"/>
            </w:rPr>
            <w:t>: 10.4046/trd.2015.78.2.47.</w:t>
          </w:r>
        </w:p>
        <w:p w14:paraId="1C55AE16" w14:textId="77777777" w:rsidR="000D6937" w:rsidRPr="000D6937" w:rsidRDefault="000D6937">
          <w:pPr>
            <w:autoSpaceDE w:val="0"/>
            <w:autoSpaceDN w:val="0"/>
            <w:ind w:hanging="640"/>
            <w:divId w:val="1759789755"/>
            <w:rPr>
              <w:rFonts w:eastAsia="Times New Roman"/>
              <w:bCs/>
              <w:color w:val="000000"/>
            </w:rPr>
          </w:pPr>
          <w:r w:rsidRPr="000D6937">
            <w:rPr>
              <w:rFonts w:eastAsia="Times New Roman"/>
              <w:bCs/>
              <w:color w:val="000000"/>
            </w:rPr>
            <w:t>[4]</w:t>
          </w:r>
          <w:r w:rsidRPr="000D6937">
            <w:rPr>
              <w:rFonts w:eastAsia="Times New Roman"/>
              <w:bCs/>
              <w:color w:val="000000"/>
            </w:rPr>
            <w:tab/>
            <w:t xml:space="preserve">S. Dhungel and S. Mishra, “Tubercular Hepatic Abscess: An Incidental Finding.,” </w:t>
          </w:r>
          <w:proofErr w:type="spellStart"/>
          <w:r w:rsidRPr="000D6937">
            <w:rPr>
              <w:rFonts w:eastAsia="Times New Roman"/>
              <w:bCs/>
              <w:i/>
              <w:iCs/>
              <w:color w:val="000000"/>
            </w:rPr>
            <w:t>Cureus</w:t>
          </w:r>
          <w:proofErr w:type="spellEnd"/>
          <w:r w:rsidRPr="000D6937">
            <w:rPr>
              <w:rFonts w:eastAsia="Times New Roman"/>
              <w:bCs/>
              <w:color w:val="000000"/>
            </w:rPr>
            <w:t xml:space="preserve">, vol. 15, no. 2, p. e35447, Feb. 2023, </w:t>
          </w:r>
          <w:proofErr w:type="spellStart"/>
          <w:r w:rsidRPr="000D6937">
            <w:rPr>
              <w:rFonts w:eastAsia="Times New Roman"/>
              <w:bCs/>
              <w:color w:val="000000"/>
            </w:rPr>
            <w:t>doi</w:t>
          </w:r>
          <w:proofErr w:type="spellEnd"/>
          <w:r w:rsidRPr="000D6937">
            <w:rPr>
              <w:rFonts w:eastAsia="Times New Roman"/>
              <w:bCs/>
              <w:color w:val="000000"/>
            </w:rPr>
            <w:t>: 10.7759/cureus.35447.</w:t>
          </w:r>
        </w:p>
        <w:p w14:paraId="1E0440DC" w14:textId="77777777" w:rsidR="000D6937" w:rsidRPr="000D6937" w:rsidRDefault="000D6937">
          <w:pPr>
            <w:autoSpaceDE w:val="0"/>
            <w:autoSpaceDN w:val="0"/>
            <w:ind w:hanging="640"/>
            <w:divId w:val="725686304"/>
            <w:rPr>
              <w:rFonts w:eastAsia="Times New Roman"/>
              <w:bCs/>
              <w:color w:val="000000"/>
            </w:rPr>
          </w:pPr>
          <w:r w:rsidRPr="000D6937">
            <w:rPr>
              <w:rFonts w:eastAsia="Times New Roman"/>
              <w:bCs/>
              <w:color w:val="000000"/>
            </w:rPr>
            <w:t>[5]</w:t>
          </w:r>
          <w:r w:rsidRPr="000D6937">
            <w:rPr>
              <w:rFonts w:eastAsia="Times New Roman"/>
              <w:bCs/>
              <w:color w:val="000000"/>
            </w:rPr>
            <w:tab/>
            <w:t xml:space="preserve">J. Dey </w:t>
          </w:r>
          <w:r w:rsidRPr="000D6937">
            <w:rPr>
              <w:rFonts w:eastAsia="Times New Roman"/>
              <w:bCs/>
              <w:i/>
              <w:iCs/>
              <w:color w:val="000000"/>
            </w:rPr>
            <w:t>et al.</w:t>
          </w:r>
          <w:r w:rsidRPr="000D6937">
            <w:rPr>
              <w:rFonts w:eastAsia="Times New Roman"/>
              <w:bCs/>
              <w:color w:val="000000"/>
            </w:rPr>
            <w:t xml:space="preserve">, “Tuberculosis as an Etiological Factor in Liver Abscess in Adults,” </w:t>
          </w:r>
          <w:proofErr w:type="spellStart"/>
          <w:r w:rsidRPr="000D6937">
            <w:rPr>
              <w:rFonts w:eastAsia="Times New Roman"/>
              <w:bCs/>
              <w:i/>
              <w:iCs/>
              <w:color w:val="000000"/>
            </w:rPr>
            <w:t>Tuberc</w:t>
          </w:r>
          <w:proofErr w:type="spellEnd"/>
          <w:r w:rsidRPr="000D6937">
            <w:rPr>
              <w:rFonts w:eastAsia="Times New Roman"/>
              <w:bCs/>
              <w:i/>
              <w:iCs/>
              <w:color w:val="000000"/>
            </w:rPr>
            <w:t>. Res. Treat.</w:t>
          </w:r>
          <w:r w:rsidRPr="000D6937">
            <w:rPr>
              <w:rFonts w:eastAsia="Times New Roman"/>
              <w:bCs/>
              <w:color w:val="000000"/>
            </w:rPr>
            <w:t xml:space="preserve">, vol. 2016, pp. 1–4, 2016, </w:t>
          </w:r>
          <w:proofErr w:type="spellStart"/>
          <w:r w:rsidRPr="000D6937">
            <w:rPr>
              <w:rFonts w:eastAsia="Times New Roman"/>
              <w:bCs/>
              <w:color w:val="000000"/>
            </w:rPr>
            <w:t>doi</w:t>
          </w:r>
          <w:proofErr w:type="spellEnd"/>
          <w:r w:rsidRPr="000D6937">
            <w:rPr>
              <w:rFonts w:eastAsia="Times New Roman"/>
              <w:bCs/>
              <w:color w:val="000000"/>
            </w:rPr>
            <w:t>: 10.1155/2016/8479456.</w:t>
          </w:r>
        </w:p>
        <w:p w14:paraId="2438FA9C" w14:textId="77777777" w:rsidR="000D6937" w:rsidRPr="000D6937" w:rsidRDefault="000D6937">
          <w:pPr>
            <w:autoSpaceDE w:val="0"/>
            <w:autoSpaceDN w:val="0"/>
            <w:ind w:hanging="640"/>
            <w:divId w:val="813525400"/>
            <w:rPr>
              <w:rFonts w:eastAsia="Times New Roman"/>
              <w:bCs/>
              <w:color w:val="000000"/>
            </w:rPr>
          </w:pPr>
          <w:r w:rsidRPr="000D6937">
            <w:rPr>
              <w:rFonts w:eastAsia="Times New Roman"/>
              <w:bCs/>
              <w:color w:val="000000"/>
            </w:rPr>
            <w:t>[6]</w:t>
          </w:r>
          <w:r w:rsidRPr="000D6937">
            <w:rPr>
              <w:rFonts w:eastAsia="Times New Roman"/>
              <w:bCs/>
              <w:color w:val="000000"/>
            </w:rPr>
            <w:tab/>
            <w:t xml:space="preserve">S. </w:t>
          </w:r>
          <w:proofErr w:type="spellStart"/>
          <w:r w:rsidRPr="000D6937">
            <w:rPr>
              <w:rFonts w:eastAsia="Times New Roman"/>
              <w:bCs/>
              <w:color w:val="000000"/>
            </w:rPr>
            <w:t>Malewadkar</w:t>
          </w:r>
          <w:proofErr w:type="spellEnd"/>
          <w:r w:rsidRPr="000D6937">
            <w:rPr>
              <w:rFonts w:eastAsia="Times New Roman"/>
              <w:bCs/>
              <w:color w:val="000000"/>
            </w:rPr>
            <w:t xml:space="preserve">, V. Shetty, S. Vyas, and N. Doctor, “Undiagnosed Hepatic Tuberculosis Presenting </w:t>
          </w:r>
          <w:proofErr w:type="gramStart"/>
          <w:r w:rsidRPr="000D6937">
            <w:rPr>
              <w:rFonts w:eastAsia="Times New Roman"/>
              <w:bCs/>
              <w:color w:val="000000"/>
            </w:rPr>
            <w:t>With</w:t>
          </w:r>
          <w:proofErr w:type="gramEnd"/>
          <w:r w:rsidRPr="000D6937">
            <w:rPr>
              <w:rFonts w:eastAsia="Times New Roman"/>
              <w:bCs/>
              <w:color w:val="000000"/>
            </w:rPr>
            <w:t xml:space="preserve"> Intraabdominal Rupture and Hemoperitoneum, Requiring Urgent Hepatic Resection,” </w:t>
          </w:r>
          <w:r w:rsidRPr="000D6937">
            <w:rPr>
              <w:rFonts w:eastAsia="Times New Roman"/>
              <w:bCs/>
              <w:i/>
              <w:iCs/>
              <w:color w:val="000000"/>
            </w:rPr>
            <w:t>J. Clin. Exp. Hepatol.</w:t>
          </w:r>
          <w:r w:rsidRPr="000D6937">
            <w:rPr>
              <w:rFonts w:eastAsia="Times New Roman"/>
              <w:bCs/>
              <w:color w:val="000000"/>
            </w:rPr>
            <w:t xml:space="preserve">, vol. 11, no. 4, pp. 506–510, Jul. 2021, </w:t>
          </w:r>
          <w:proofErr w:type="spellStart"/>
          <w:r w:rsidRPr="000D6937">
            <w:rPr>
              <w:rFonts w:eastAsia="Times New Roman"/>
              <w:bCs/>
              <w:color w:val="000000"/>
            </w:rPr>
            <w:t>doi</w:t>
          </w:r>
          <w:proofErr w:type="spellEnd"/>
          <w:r w:rsidRPr="000D6937">
            <w:rPr>
              <w:rFonts w:eastAsia="Times New Roman"/>
              <w:bCs/>
              <w:color w:val="000000"/>
            </w:rPr>
            <w:t>: 10.1016/J.JCEH.2020.09.004.</w:t>
          </w:r>
        </w:p>
        <w:p w14:paraId="7F483E64" w14:textId="0956AADF" w:rsidR="005F011C" w:rsidRDefault="000D6937" w:rsidP="005F011C">
          <w:pPr>
            <w:autoSpaceDE w:val="0"/>
            <w:autoSpaceDN w:val="0"/>
            <w:ind w:hanging="640"/>
            <w:divId w:val="1662779395"/>
            <w:rPr>
              <w:rFonts w:eastAsia="Times New Roman"/>
              <w:bCs/>
              <w:color w:val="000000"/>
            </w:rPr>
          </w:pPr>
          <w:r w:rsidRPr="000D6937">
            <w:rPr>
              <w:rFonts w:eastAsia="Times New Roman"/>
              <w:bCs/>
              <w:color w:val="000000"/>
            </w:rPr>
            <w:t>[7]</w:t>
          </w:r>
          <w:r w:rsidRPr="000D6937">
            <w:rPr>
              <w:rFonts w:eastAsia="Times New Roman"/>
              <w:bCs/>
              <w:color w:val="000000"/>
            </w:rPr>
            <w:tab/>
          </w:r>
          <w:hyperlink r:id="rId10" w:tgtFrame="_blank" w:history="1">
            <w:r w:rsidR="005F011C" w:rsidRPr="005F011C">
              <w:t>Central Tuberculosis Division National Tuberculosis Elimination Programme</w:t>
            </w:r>
          </w:hyperlink>
          <w:r w:rsidR="005F011C" w:rsidRPr="005F011C">
            <w:t xml:space="preserve">. (https://dghs.mohfw.gov.in/). </w:t>
          </w:r>
          <w:hyperlink r:id="rId11" w:history="1">
            <w:r w:rsidR="005F011C" w:rsidRPr="0019410C">
              <w:rPr>
                <w:rStyle w:val="Hyperlink"/>
              </w:rPr>
              <w:t>https://tbcindia-wp.azurewebsites.net/wp content/uploads/2023/05/publication-1.pdf</w:t>
            </w:r>
          </w:hyperlink>
          <w:r w:rsidR="005F011C" w:rsidRPr="005F011C">
            <w:t>.</w:t>
          </w:r>
        </w:p>
        <w:p w14:paraId="5D3FA5C3" w14:textId="3F5A1E46" w:rsidR="000D6937" w:rsidRPr="000D6937" w:rsidRDefault="000D6937" w:rsidP="005F011C">
          <w:pPr>
            <w:autoSpaceDE w:val="0"/>
            <w:autoSpaceDN w:val="0"/>
            <w:ind w:hanging="640"/>
            <w:divId w:val="1662779395"/>
            <w:rPr>
              <w:rFonts w:eastAsia="Times New Roman"/>
              <w:bCs/>
              <w:color w:val="000000"/>
            </w:rPr>
          </w:pPr>
          <w:r w:rsidRPr="000D6937">
            <w:rPr>
              <w:rFonts w:eastAsia="Times New Roman"/>
              <w:bCs/>
              <w:color w:val="000000"/>
            </w:rPr>
            <w:t>[8]</w:t>
          </w:r>
          <w:r w:rsidRPr="000D6937">
            <w:rPr>
              <w:rFonts w:eastAsia="Times New Roman"/>
              <w:bCs/>
              <w:color w:val="000000"/>
            </w:rPr>
            <w:tab/>
          </w:r>
          <w:hyperlink r:id="rId12" w:tgtFrame="_blank" w:history="1">
            <w:r w:rsidR="005F011C" w:rsidRPr="005F011C">
              <w:t>Standard Treatment Workflow (STW) Guidelines for DRUG SENSITIVE-TB TREATMENT AS PER NTEP</w:t>
            </w:r>
          </w:hyperlink>
          <w:r w:rsidR="005F011C" w:rsidRPr="005F011C">
            <w:t xml:space="preserve">. (2022). </w:t>
          </w:r>
          <w:hyperlink r:id="rId13" w:history="1">
            <w:r w:rsidR="005F011C" w:rsidRPr="005F011C">
              <w:t>https://www.icmr.gov.in/icmrobject/uploads/STWs/1725964686_2_ntep_18032022.pdf</w:t>
            </w:r>
          </w:hyperlink>
          <w:r w:rsidR="005F011C" w:rsidRPr="005F011C">
            <w:rPr>
              <w:rFonts w:eastAsia="Times New Roman"/>
              <w:bCs/>
              <w:color w:val="000000"/>
            </w:rPr>
            <w:t>.</w:t>
          </w:r>
        </w:p>
        <w:p w14:paraId="6DC71DC0" w14:textId="77777777" w:rsidR="000D6937" w:rsidRPr="000D6937" w:rsidRDefault="000D6937">
          <w:pPr>
            <w:autoSpaceDE w:val="0"/>
            <w:autoSpaceDN w:val="0"/>
            <w:ind w:hanging="640"/>
            <w:divId w:val="2085444422"/>
            <w:rPr>
              <w:rFonts w:eastAsia="Times New Roman"/>
              <w:bCs/>
              <w:color w:val="000000"/>
            </w:rPr>
          </w:pPr>
          <w:r w:rsidRPr="000D6937">
            <w:rPr>
              <w:rFonts w:eastAsia="Times New Roman"/>
              <w:bCs/>
              <w:color w:val="000000"/>
            </w:rPr>
            <w:t>[9]</w:t>
          </w:r>
          <w:r w:rsidRPr="000D6937">
            <w:rPr>
              <w:rFonts w:eastAsia="Times New Roman"/>
              <w:bCs/>
              <w:color w:val="000000"/>
            </w:rPr>
            <w:tab/>
            <w:t xml:space="preserve">T. P. Harclerode and D. M. </w:t>
          </w:r>
          <w:proofErr w:type="spellStart"/>
          <w:r w:rsidRPr="000D6937">
            <w:rPr>
              <w:rFonts w:eastAsia="Times New Roman"/>
              <w:bCs/>
              <w:color w:val="000000"/>
            </w:rPr>
            <w:t>Gnugnoli</w:t>
          </w:r>
          <w:proofErr w:type="spellEnd"/>
          <w:r w:rsidRPr="000D6937">
            <w:rPr>
              <w:rFonts w:eastAsia="Times New Roman"/>
              <w:bCs/>
              <w:color w:val="000000"/>
            </w:rPr>
            <w:t xml:space="preserve">, </w:t>
          </w:r>
          <w:r w:rsidRPr="000D6937">
            <w:rPr>
              <w:rFonts w:eastAsia="Times New Roman"/>
              <w:bCs/>
              <w:i/>
              <w:iCs/>
              <w:color w:val="000000"/>
            </w:rPr>
            <w:t>Percutaneous Abscess Drainage</w:t>
          </w:r>
          <w:r w:rsidRPr="000D6937">
            <w:rPr>
              <w:rFonts w:eastAsia="Times New Roman"/>
              <w:bCs/>
              <w:color w:val="000000"/>
            </w:rPr>
            <w:t>. 2025.</w:t>
          </w:r>
        </w:p>
        <w:p w14:paraId="0ACD4EE2" w14:textId="52BF620F" w:rsidR="000D6937" w:rsidRPr="000D6937" w:rsidRDefault="000D6937">
          <w:pPr>
            <w:autoSpaceDE w:val="0"/>
            <w:autoSpaceDN w:val="0"/>
            <w:ind w:hanging="640"/>
            <w:divId w:val="117653203"/>
            <w:rPr>
              <w:rFonts w:eastAsia="Times New Roman"/>
              <w:bCs/>
              <w:color w:val="000000"/>
            </w:rPr>
          </w:pPr>
          <w:r w:rsidRPr="000D6937">
            <w:rPr>
              <w:rFonts w:eastAsia="Times New Roman"/>
              <w:bCs/>
              <w:color w:val="000000"/>
            </w:rPr>
            <w:t>[10]</w:t>
          </w:r>
          <w:r w:rsidRPr="000D6937">
            <w:rPr>
              <w:rFonts w:eastAsia="Times New Roman"/>
              <w:bCs/>
              <w:color w:val="000000"/>
            </w:rPr>
            <w:tab/>
            <w:t xml:space="preserve">A. Licata </w:t>
          </w:r>
          <w:r w:rsidRPr="000D6937">
            <w:rPr>
              <w:rFonts w:eastAsia="Times New Roman"/>
              <w:bCs/>
              <w:i/>
              <w:iCs/>
              <w:color w:val="000000"/>
            </w:rPr>
            <w:t>et al.</w:t>
          </w:r>
          <w:r w:rsidRPr="000D6937">
            <w:rPr>
              <w:rFonts w:eastAsia="Times New Roman"/>
              <w:bCs/>
              <w:color w:val="000000"/>
            </w:rPr>
            <w:t xml:space="preserve">, “The Role of Vitamin Deficiency in Liver Disease: To Supplement or Not </w:t>
          </w:r>
          <w:r w:rsidR="005F011C" w:rsidRPr="000D6937">
            <w:rPr>
              <w:rFonts w:eastAsia="Times New Roman"/>
              <w:bCs/>
              <w:color w:val="000000"/>
            </w:rPr>
            <w:t>Supplement,</w:t>
          </w:r>
          <w:r w:rsidRPr="000D6937">
            <w:rPr>
              <w:rFonts w:eastAsia="Times New Roman"/>
              <w:bCs/>
              <w:color w:val="000000"/>
            </w:rPr>
            <w:t xml:space="preserve">” </w:t>
          </w:r>
          <w:r w:rsidRPr="000D6937">
            <w:rPr>
              <w:rFonts w:eastAsia="Times New Roman"/>
              <w:bCs/>
              <w:i/>
              <w:iCs/>
              <w:color w:val="000000"/>
            </w:rPr>
            <w:t>Nutrients</w:t>
          </w:r>
          <w:r w:rsidRPr="000D6937">
            <w:rPr>
              <w:rFonts w:eastAsia="Times New Roman"/>
              <w:bCs/>
              <w:color w:val="000000"/>
            </w:rPr>
            <w:t xml:space="preserve">, vol. 13, no. 11, p. 4014, Nov. 2021, </w:t>
          </w:r>
          <w:proofErr w:type="spellStart"/>
          <w:r w:rsidRPr="000D6937">
            <w:rPr>
              <w:rFonts w:eastAsia="Times New Roman"/>
              <w:bCs/>
              <w:color w:val="000000"/>
            </w:rPr>
            <w:t>doi</w:t>
          </w:r>
          <w:proofErr w:type="spellEnd"/>
          <w:r w:rsidRPr="000D6937">
            <w:rPr>
              <w:rFonts w:eastAsia="Times New Roman"/>
              <w:bCs/>
              <w:color w:val="000000"/>
            </w:rPr>
            <w:t>: 10.3390/nu13114014.</w:t>
          </w:r>
        </w:p>
        <w:p w14:paraId="0157D899" w14:textId="77777777" w:rsidR="000D6937" w:rsidRPr="000D6937" w:rsidRDefault="000D6937">
          <w:pPr>
            <w:autoSpaceDE w:val="0"/>
            <w:autoSpaceDN w:val="0"/>
            <w:ind w:hanging="640"/>
            <w:divId w:val="529029857"/>
            <w:rPr>
              <w:rFonts w:eastAsia="Times New Roman"/>
              <w:bCs/>
              <w:color w:val="000000"/>
            </w:rPr>
          </w:pPr>
          <w:r w:rsidRPr="000D6937">
            <w:rPr>
              <w:rFonts w:eastAsia="Times New Roman"/>
              <w:bCs/>
              <w:color w:val="000000"/>
            </w:rPr>
            <w:t>[11]</w:t>
          </w:r>
          <w:r w:rsidRPr="000D6937">
            <w:rPr>
              <w:rFonts w:eastAsia="Times New Roman"/>
              <w:bCs/>
              <w:color w:val="000000"/>
            </w:rPr>
            <w:tab/>
            <w:t xml:space="preserve">D. </w:t>
          </w:r>
          <w:proofErr w:type="spellStart"/>
          <w:r w:rsidRPr="000D6937">
            <w:rPr>
              <w:rFonts w:eastAsia="Times New Roman"/>
              <w:bCs/>
              <w:color w:val="000000"/>
            </w:rPr>
            <w:t>Jamioł-Milc</w:t>
          </w:r>
          <w:proofErr w:type="spellEnd"/>
          <w:r w:rsidRPr="000D6937">
            <w:rPr>
              <w:rFonts w:eastAsia="Times New Roman"/>
              <w:bCs/>
              <w:color w:val="000000"/>
            </w:rPr>
            <w:t xml:space="preserve"> </w:t>
          </w:r>
          <w:r w:rsidRPr="000D6937">
            <w:rPr>
              <w:rFonts w:eastAsia="Times New Roman"/>
              <w:bCs/>
              <w:i/>
              <w:iCs/>
              <w:color w:val="000000"/>
            </w:rPr>
            <w:t>et al.</w:t>
          </w:r>
          <w:r w:rsidRPr="000D6937">
            <w:rPr>
              <w:rFonts w:eastAsia="Times New Roman"/>
              <w:bCs/>
              <w:color w:val="000000"/>
            </w:rPr>
            <w:t xml:space="preserve">, “Nutritional Support for Liver Diseases.,” </w:t>
          </w:r>
          <w:r w:rsidRPr="000D6937">
            <w:rPr>
              <w:rFonts w:eastAsia="Times New Roman"/>
              <w:bCs/>
              <w:i/>
              <w:iCs/>
              <w:color w:val="000000"/>
            </w:rPr>
            <w:t>Nutrients</w:t>
          </w:r>
          <w:r w:rsidRPr="000D6937">
            <w:rPr>
              <w:rFonts w:eastAsia="Times New Roman"/>
              <w:bCs/>
              <w:color w:val="000000"/>
            </w:rPr>
            <w:t xml:space="preserve">, vol. 15, no. 16, Aug. 2023, </w:t>
          </w:r>
          <w:proofErr w:type="spellStart"/>
          <w:r w:rsidRPr="000D6937">
            <w:rPr>
              <w:rFonts w:eastAsia="Times New Roman"/>
              <w:bCs/>
              <w:color w:val="000000"/>
            </w:rPr>
            <w:t>doi</w:t>
          </w:r>
          <w:proofErr w:type="spellEnd"/>
          <w:r w:rsidRPr="000D6937">
            <w:rPr>
              <w:rFonts w:eastAsia="Times New Roman"/>
              <w:bCs/>
              <w:color w:val="000000"/>
            </w:rPr>
            <w:t>: 10.3390/nu15163640.</w:t>
          </w:r>
        </w:p>
        <w:p w14:paraId="212BB17A" w14:textId="221D044E" w:rsidR="000D6937" w:rsidRDefault="000D6937" w:rsidP="00A65381">
          <w:pPr>
            <w:spacing w:line="360" w:lineRule="auto"/>
            <w:jc w:val="both"/>
            <w:rPr>
              <w:b/>
              <w:bCs/>
            </w:rPr>
          </w:pPr>
          <w:r w:rsidRPr="000D6937">
            <w:rPr>
              <w:rFonts w:eastAsia="Times New Roman"/>
              <w:bCs/>
              <w:color w:val="000000"/>
            </w:rPr>
            <w:t> </w:t>
          </w:r>
        </w:p>
      </w:sdtContent>
    </w:sdt>
    <w:p w14:paraId="2701B6AB" w14:textId="77777777" w:rsidR="00A456D0" w:rsidRPr="00856B25" w:rsidRDefault="00A456D0" w:rsidP="00A65381">
      <w:pPr>
        <w:spacing w:line="360" w:lineRule="auto"/>
        <w:jc w:val="both"/>
        <w:rPr>
          <w:b/>
          <w:bCs/>
        </w:rPr>
      </w:pPr>
    </w:p>
    <w:sectPr w:rsidR="00A456D0" w:rsidRPr="00856B25" w:rsidSect="00BC2C31">
      <w:headerReference w:type="even" r:id="rId14"/>
      <w:headerReference w:type="default" r:id="rId15"/>
      <w:footerReference w:type="even" r:id="rId16"/>
      <w:footerReference w:type="default" r:id="rId17"/>
      <w:headerReference w:type="first" r:id="rId18"/>
      <w:footerReference w:type="first" r:id="rId19"/>
      <w:pgSz w:w="12242" w:h="15842" w:code="1"/>
      <w:pgMar w:top="1094" w:right="862" w:bottom="1094" w:left="1094" w:header="505" w:footer="505" w:gutter="2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D8577" w14:textId="77777777" w:rsidR="00133B35" w:rsidRDefault="00133B35" w:rsidP="00364E4E">
      <w:pPr>
        <w:spacing w:after="0" w:line="240" w:lineRule="auto"/>
      </w:pPr>
      <w:r>
        <w:separator/>
      </w:r>
    </w:p>
  </w:endnote>
  <w:endnote w:type="continuationSeparator" w:id="0">
    <w:p w14:paraId="0D82B706" w14:textId="77777777" w:rsidR="00133B35" w:rsidRDefault="00133B35" w:rsidP="00364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E3D6" w14:textId="77777777" w:rsidR="00364E4E" w:rsidRDefault="00364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B1E2E" w14:textId="77777777" w:rsidR="00364E4E" w:rsidRDefault="00364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43907" w14:textId="77777777" w:rsidR="00364E4E" w:rsidRDefault="00364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4DB88" w14:textId="77777777" w:rsidR="00133B35" w:rsidRDefault="00133B35" w:rsidP="00364E4E">
      <w:pPr>
        <w:spacing w:after="0" w:line="240" w:lineRule="auto"/>
      </w:pPr>
      <w:r>
        <w:separator/>
      </w:r>
    </w:p>
  </w:footnote>
  <w:footnote w:type="continuationSeparator" w:id="0">
    <w:p w14:paraId="50BFB711" w14:textId="77777777" w:rsidR="00133B35" w:rsidRDefault="00133B35" w:rsidP="00364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5855E" w14:textId="109B46AD" w:rsidR="00364E4E" w:rsidRDefault="00364E4E">
    <w:pPr>
      <w:pStyle w:val="Header"/>
    </w:pPr>
    <w:r>
      <w:rPr>
        <w:noProof/>
      </w:rPr>
      <w:pict w14:anchorId="64C5B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668658" o:spid="_x0000_s2050" type="#_x0000_t136" style="position:absolute;margin-left:0;margin-top:0;width:638.6pt;height:72.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1BB7" w14:textId="6D49DCC2" w:rsidR="00364E4E" w:rsidRDefault="00364E4E">
    <w:pPr>
      <w:pStyle w:val="Header"/>
    </w:pPr>
    <w:r>
      <w:rPr>
        <w:noProof/>
      </w:rPr>
      <w:pict w14:anchorId="0ED3C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668659" o:spid="_x0000_s2051" type="#_x0000_t136" style="position:absolute;margin-left:0;margin-top:0;width:638.6pt;height:72.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C4F9" w14:textId="0EDBF204" w:rsidR="00364E4E" w:rsidRDefault="00364E4E">
    <w:pPr>
      <w:pStyle w:val="Header"/>
    </w:pPr>
    <w:r>
      <w:rPr>
        <w:noProof/>
      </w:rPr>
      <w:pict w14:anchorId="27F57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668657" o:spid="_x0000_s2049" type="#_x0000_t136" style="position:absolute;margin-left:0;margin-top:0;width:638.6pt;height:72.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D30"/>
    <w:multiLevelType w:val="hybridMultilevel"/>
    <w:tmpl w:val="E026C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B77FA8"/>
    <w:multiLevelType w:val="multilevel"/>
    <w:tmpl w:val="3FA2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204877"/>
    <w:multiLevelType w:val="hybridMultilevel"/>
    <w:tmpl w:val="6F9AE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E30BD5"/>
    <w:multiLevelType w:val="multilevel"/>
    <w:tmpl w:val="3C3A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6120B7"/>
    <w:multiLevelType w:val="multilevel"/>
    <w:tmpl w:val="A10CF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B25"/>
    <w:rsid w:val="00031083"/>
    <w:rsid w:val="00053387"/>
    <w:rsid w:val="000D6937"/>
    <w:rsid w:val="00116C95"/>
    <w:rsid w:val="00133B35"/>
    <w:rsid w:val="00133E91"/>
    <w:rsid w:val="001362EF"/>
    <w:rsid w:val="001560AE"/>
    <w:rsid w:val="001F4F49"/>
    <w:rsid w:val="002F29D9"/>
    <w:rsid w:val="00305F7D"/>
    <w:rsid w:val="00315F04"/>
    <w:rsid w:val="00343C96"/>
    <w:rsid w:val="00364E4E"/>
    <w:rsid w:val="003855FC"/>
    <w:rsid w:val="00391446"/>
    <w:rsid w:val="003A30E3"/>
    <w:rsid w:val="003B4660"/>
    <w:rsid w:val="003F69B3"/>
    <w:rsid w:val="00417581"/>
    <w:rsid w:val="0042788A"/>
    <w:rsid w:val="004579B2"/>
    <w:rsid w:val="004804F6"/>
    <w:rsid w:val="00557AED"/>
    <w:rsid w:val="005658D6"/>
    <w:rsid w:val="005F011C"/>
    <w:rsid w:val="006030CC"/>
    <w:rsid w:val="0060504E"/>
    <w:rsid w:val="006703A6"/>
    <w:rsid w:val="006C3067"/>
    <w:rsid w:val="006D3E45"/>
    <w:rsid w:val="00771047"/>
    <w:rsid w:val="00771F9F"/>
    <w:rsid w:val="00776C3C"/>
    <w:rsid w:val="00856B25"/>
    <w:rsid w:val="0089412E"/>
    <w:rsid w:val="008D5506"/>
    <w:rsid w:val="009115CF"/>
    <w:rsid w:val="00915B2B"/>
    <w:rsid w:val="00933603"/>
    <w:rsid w:val="009D0441"/>
    <w:rsid w:val="009F5E5B"/>
    <w:rsid w:val="00A21DAC"/>
    <w:rsid w:val="00A437CB"/>
    <w:rsid w:val="00A43B5B"/>
    <w:rsid w:val="00A456D0"/>
    <w:rsid w:val="00A65381"/>
    <w:rsid w:val="00AE3E8C"/>
    <w:rsid w:val="00B24730"/>
    <w:rsid w:val="00B35B36"/>
    <w:rsid w:val="00B86039"/>
    <w:rsid w:val="00BA113A"/>
    <w:rsid w:val="00BB48EB"/>
    <w:rsid w:val="00BC2C31"/>
    <w:rsid w:val="00BF3DEA"/>
    <w:rsid w:val="00C24CD3"/>
    <w:rsid w:val="00C36EC5"/>
    <w:rsid w:val="00C61FB2"/>
    <w:rsid w:val="00CB5392"/>
    <w:rsid w:val="00D82566"/>
    <w:rsid w:val="00D91642"/>
    <w:rsid w:val="00DB6874"/>
    <w:rsid w:val="00EC2904"/>
    <w:rsid w:val="00EF5CF2"/>
    <w:rsid w:val="00F555B5"/>
    <w:rsid w:val="00F62223"/>
    <w:rsid w:val="00FB3389"/>
    <w:rsid w:val="00FE3680"/>
    <w:rsid w:val="00FE78E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E27EEA"/>
  <w15:chartTrackingRefBased/>
  <w15:docId w15:val="{55CB82CF-7E29-47E3-9083-D5B8C38F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B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6B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6B2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6B2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56B2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56B2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56B2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56B2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56B2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B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6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6B2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6B2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56B2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56B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56B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56B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56B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56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B2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6B2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56B25"/>
    <w:pPr>
      <w:spacing w:before="160"/>
      <w:jc w:val="center"/>
    </w:pPr>
    <w:rPr>
      <w:i/>
      <w:iCs/>
      <w:color w:val="404040" w:themeColor="text1" w:themeTint="BF"/>
    </w:rPr>
  </w:style>
  <w:style w:type="character" w:customStyle="1" w:styleId="QuoteChar">
    <w:name w:val="Quote Char"/>
    <w:basedOn w:val="DefaultParagraphFont"/>
    <w:link w:val="Quote"/>
    <w:uiPriority w:val="29"/>
    <w:rsid w:val="00856B25"/>
    <w:rPr>
      <w:i/>
      <w:iCs/>
      <w:color w:val="404040" w:themeColor="text1" w:themeTint="BF"/>
    </w:rPr>
  </w:style>
  <w:style w:type="paragraph" w:styleId="ListParagraph">
    <w:name w:val="List Paragraph"/>
    <w:basedOn w:val="Normal"/>
    <w:uiPriority w:val="1"/>
    <w:qFormat/>
    <w:rsid w:val="00856B25"/>
    <w:pPr>
      <w:ind w:left="720"/>
      <w:contextualSpacing/>
    </w:pPr>
  </w:style>
  <w:style w:type="character" w:styleId="IntenseEmphasis">
    <w:name w:val="Intense Emphasis"/>
    <w:basedOn w:val="DefaultParagraphFont"/>
    <w:uiPriority w:val="21"/>
    <w:qFormat/>
    <w:rsid w:val="00856B25"/>
    <w:rPr>
      <w:i/>
      <w:iCs/>
      <w:color w:val="0F4761" w:themeColor="accent1" w:themeShade="BF"/>
    </w:rPr>
  </w:style>
  <w:style w:type="paragraph" w:styleId="IntenseQuote">
    <w:name w:val="Intense Quote"/>
    <w:basedOn w:val="Normal"/>
    <w:next w:val="Normal"/>
    <w:link w:val="IntenseQuoteChar"/>
    <w:uiPriority w:val="30"/>
    <w:qFormat/>
    <w:rsid w:val="00856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6B25"/>
    <w:rPr>
      <w:i/>
      <w:iCs/>
      <w:color w:val="0F4761" w:themeColor="accent1" w:themeShade="BF"/>
    </w:rPr>
  </w:style>
  <w:style w:type="character" w:styleId="IntenseReference">
    <w:name w:val="Intense Reference"/>
    <w:basedOn w:val="DefaultParagraphFont"/>
    <w:uiPriority w:val="32"/>
    <w:qFormat/>
    <w:rsid w:val="00856B25"/>
    <w:rPr>
      <w:b/>
      <w:bCs/>
      <w:smallCaps/>
      <w:color w:val="0F4761" w:themeColor="accent1" w:themeShade="BF"/>
      <w:spacing w:val="5"/>
    </w:rPr>
  </w:style>
  <w:style w:type="paragraph" w:styleId="NormalWeb">
    <w:name w:val="Normal (Web)"/>
    <w:basedOn w:val="Normal"/>
    <w:uiPriority w:val="99"/>
    <w:semiHidden/>
    <w:unhideWhenUsed/>
    <w:rsid w:val="00305F7D"/>
  </w:style>
  <w:style w:type="character" w:styleId="PlaceholderText">
    <w:name w:val="Placeholder Text"/>
    <w:basedOn w:val="DefaultParagraphFont"/>
    <w:uiPriority w:val="99"/>
    <w:semiHidden/>
    <w:rsid w:val="00A21DAC"/>
    <w:rPr>
      <w:color w:val="666666"/>
    </w:rPr>
  </w:style>
  <w:style w:type="table" w:styleId="TableGrid">
    <w:name w:val="Table Grid"/>
    <w:basedOn w:val="TableNormal"/>
    <w:uiPriority w:val="39"/>
    <w:rsid w:val="00DB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11C"/>
    <w:rPr>
      <w:color w:val="467886" w:themeColor="hyperlink"/>
      <w:u w:val="single"/>
    </w:rPr>
  </w:style>
  <w:style w:type="character" w:styleId="UnresolvedMention">
    <w:name w:val="Unresolved Mention"/>
    <w:basedOn w:val="DefaultParagraphFont"/>
    <w:uiPriority w:val="99"/>
    <w:semiHidden/>
    <w:unhideWhenUsed/>
    <w:rsid w:val="005F011C"/>
    <w:rPr>
      <w:color w:val="605E5C"/>
      <w:shd w:val="clear" w:color="auto" w:fill="E1DFDD"/>
    </w:rPr>
  </w:style>
  <w:style w:type="paragraph" w:styleId="Header">
    <w:name w:val="header"/>
    <w:basedOn w:val="Normal"/>
    <w:link w:val="HeaderChar"/>
    <w:uiPriority w:val="99"/>
    <w:unhideWhenUsed/>
    <w:rsid w:val="00364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4E"/>
  </w:style>
  <w:style w:type="paragraph" w:styleId="Footer">
    <w:name w:val="footer"/>
    <w:basedOn w:val="Normal"/>
    <w:link w:val="FooterChar"/>
    <w:uiPriority w:val="99"/>
    <w:unhideWhenUsed/>
    <w:rsid w:val="00364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53203">
      <w:marLeft w:val="640"/>
      <w:marRight w:val="0"/>
      <w:marTop w:val="0"/>
      <w:marBottom w:val="0"/>
      <w:divBdr>
        <w:top w:val="none" w:sz="0" w:space="0" w:color="auto"/>
        <w:left w:val="none" w:sz="0" w:space="0" w:color="auto"/>
        <w:bottom w:val="none" w:sz="0" w:space="0" w:color="auto"/>
        <w:right w:val="none" w:sz="0" w:space="0" w:color="auto"/>
      </w:divBdr>
    </w:div>
    <w:div w:id="476000616">
      <w:marLeft w:val="640"/>
      <w:marRight w:val="0"/>
      <w:marTop w:val="0"/>
      <w:marBottom w:val="0"/>
      <w:divBdr>
        <w:top w:val="none" w:sz="0" w:space="0" w:color="auto"/>
        <w:left w:val="none" w:sz="0" w:space="0" w:color="auto"/>
        <w:bottom w:val="none" w:sz="0" w:space="0" w:color="auto"/>
        <w:right w:val="none" w:sz="0" w:space="0" w:color="auto"/>
      </w:divBdr>
    </w:div>
    <w:div w:id="498892134">
      <w:marLeft w:val="640"/>
      <w:marRight w:val="0"/>
      <w:marTop w:val="0"/>
      <w:marBottom w:val="0"/>
      <w:divBdr>
        <w:top w:val="none" w:sz="0" w:space="0" w:color="auto"/>
        <w:left w:val="none" w:sz="0" w:space="0" w:color="auto"/>
        <w:bottom w:val="none" w:sz="0" w:space="0" w:color="auto"/>
        <w:right w:val="none" w:sz="0" w:space="0" w:color="auto"/>
      </w:divBdr>
    </w:div>
    <w:div w:id="529029857">
      <w:marLeft w:val="640"/>
      <w:marRight w:val="0"/>
      <w:marTop w:val="0"/>
      <w:marBottom w:val="0"/>
      <w:divBdr>
        <w:top w:val="none" w:sz="0" w:space="0" w:color="auto"/>
        <w:left w:val="none" w:sz="0" w:space="0" w:color="auto"/>
        <w:bottom w:val="none" w:sz="0" w:space="0" w:color="auto"/>
        <w:right w:val="none" w:sz="0" w:space="0" w:color="auto"/>
      </w:divBdr>
    </w:div>
    <w:div w:id="725686304">
      <w:marLeft w:val="640"/>
      <w:marRight w:val="0"/>
      <w:marTop w:val="0"/>
      <w:marBottom w:val="0"/>
      <w:divBdr>
        <w:top w:val="none" w:sz="0" w:space="0" w:color="auto"/>
        <w:left w:val="none" w:sz="0" w:space="0" w:color="auto"/>
        <w:bottom w:val="none" w:sz="0" w:space="0" w:color="auto"/>
        <w:right w:val="none" w:sz="0" w:space="0" w:color="auto"/>
      </w:divBdr>
    </w:div>
    <w:div w:id="813525400">
      <w:marLeft w:val="640"/>
      <w:marRight w:val="0"/>
      <w:marTop w:val="0"/>
      <w:marBottom w:val="0"/>
      <w:divBdr>
        <w:top w:val="none" w:sz="0" w:space="0" w:color="auto"/>
        <w:left w:val="none" w:sz="0" w:space="0" w:color="auto"/>
        <w:bottom w:val="none" w:sz="0" w:space="0" w:color="auto"/>
        <w:right w:val="none" w:sz="0" w:space="0" w:color="auto"/>
      </w:divBdr>
    </w:div>
    <w:div w:id="1525047577">
      <w:marLeft w:val="640"/>
      <w:marRight w:val="0"/>
      <w:marTop w:val="0"/>
      <w:marBottom w:val="0"/>
      <w:divBdr>
        <w:top w:val="none" w:sz="0" w:space="0" w:color="auto"/>
        <w:left w:val="none" w:sz="0" w:space="0" w:color="auto"/>
        <w:bottom w:val="none" w:sz="0" w:space="0" w:color="auto"/>
        <w:right w:val="none" w:sz="0" w:space="0" w:color="auto"/>
      </w:divBdr>
    </w:div>
    <w:div w:id="1629047655">
      <w:marLeft w:val="640"/>
      <w:marRight w:val="0"/>
      <w:marTop w:val="0"/>
      <w:marBottom w:val="0"/>
      <w:divBdr>
        <w:top w:val="none" w:sz="0" w:space="0" w:color="auto"/>
        <w:left w:val="none" w:sz="0" w:space="0" w:color="auto"/>
        <w:bottom w:val="none" w:sz="0" w:space="0" w:color="auto"/>
        <w:right w:val="none" w:sz="0" w:space="0" w:color="auto"/>
      </w:divBdr>
    </w:div>
    <w:div w:id="1662779395">
      <w:marLeft w:val="640"/>
      <w:marRight w:val="0"/>
      <w:marTop w:val="0"/>
      <w:marBottom w:val="0"/>
      <w:divBdr>
        <w:top w:val="none" w:sz="0" w:space="0" w:color="auto"/>
        <w:left w:val="none" w:sz="0" w:space="0" w:color="auto"/>
        <w:bottom w:val="none" w:sz="0" w:space="0" w:color="auto"/>
        <w:right w:val="none" w:sz="0" w:space="0" w:color="auto"/>
      </w:divBdr>
    </w:div>
    <w:div w:id="1759789755">
      <w:marLeft w:val="640"/>
      <w:marRight w:val="0"/>
      <w:marTop w:val="0"/>
      <w:marBottom w:val="0"/>
      <w:divBdr>
        <w:top w:val="none" w:sz="0" w:space="0" w:color="auto"/>
        <w:left w:val="none" w:sz="0" w:space="0" w:color="auto"/>
        <w:bottom w:val="none" w:sz="0" w:space="0" w:color="auto"/>
        <w:right w:val="none" w:sz="0" w:space="0" w:color="auto"/>
      </w:divBdr>
    </w:div>
    <w:div w:id="2085444422">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cmr.gov.in/icmrobject/uploads/STWs/1725964686_2_ntep_18032022.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icmr.gov.in/icmrobject/uploads/STWs/1725964686_2_ntep_1803202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bcindia-wp.azurewebsites.net/wp%20content/uploads/2023/05/publication-1.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bcindia-wp.azurewebsites.net/wp-content/uploads/2023/05/publication-1.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56362C5-7D5D-4CA4-90D0-0357DCC24004}"/>
      </w:docPartPr>
      <w:docPartBody>
        <w:p w:rsidR="00CB2FC2" w:rsidRDefault="00D00AFA">
          <w:r w:rsidRPr="00F94B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AFA"/>
    <w:rsid w:val="00031083"/>
    <w:rsid w:val="002C6451"/>
    <w:rsid w:val="0042788A"/>
    <w:rsid w:val="004737D7"/>
    <w:rsid w:val="0049293A"/>
    <w:rsid w:val="00630034"/>
    <w:rsid w:val="006C3067"/>
    <w:rsid w:val="00943374"/>
    <w:rsid w:val="00B319B7"/>
    <w:rsid w:val="00B4786B"/>
    <w:rsid w:val="00BB48EB"/>
    <w:rsid w:val="00CB2FC2"/>
    <w:rsid w:val="00D00AFA"/>
    <w:rsid w:val="00DD5A4C"/>
    <w:rsid w:val="00EC290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0AF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ED3F57-3623-41B6-8757-930CD048C9AB}">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2703121846"/>
    <we:property name="MENDELEY_CITATIONS" value="[{&quot;citationID&quot;:&quot;MENDELEY_CITATION_4646fbd2-ee35-4c1e-bb5f-e29bca40d17e&quot;,&quot;properties&quot;:{&quot;noteIndex&quot;:0},&quot;isEdited&quot;:false,&quot;manualOverride&quot;:{&quot;isManuallyOverridden&quot;:false,&quot;citeprocText&quot;:&quot;[1]&quot;,&quot;manualOverrideText&quot;:&quot;&quot;},&quot;citationTag&quot;:&quot;MENDELEY_CITATION_v3_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&quot;,&quot;citationItems&quot;:[{&quot;id&quot;:&quot;e71045d5-e1fd-3e46-ad28-5ff43eefcd26&quot;,&quot;itemData&quot;:{&quot;type&quot;:&quot;webpage&quot;,&quot;id&quot;:&quot;e71045d5-e1fd-3e46-ad28-5ff43eefcd26&quot;,&quot;title&quot;:&quot;https://www.who.int/news-room/fact-sheets/detail/tuberculosis&quot;,&quot;author&quot;:[{&quot;family&quot;:&quot;WHO&quot;,&quot;given&quot;:&quot;&quot;,&quot;parse-names&quot;:false,&quot;dropping-particle&quot;:&quot;&quot;,&quot;non-dropping-particle&quot;:&quot;&quot;}],&quot;container-title&quot;:&quot;2026&quot;,&quot;container-title-short&quot;:&quot;&quot;},&quot;isTemporary&quot;:false}]},{&quot;citationID&quot;:&quot;MENDELEY_CITATION_30de22d8-2d83-45c2-9a89-a8b1fffc403a&quot;,&quot;properties&quot;:{&quot;noteIndex&quot;:0},&quot;isEdited&quot;:false,&quot;manualOverride&quot;:{&quot;isManuallyOverridden&quot;:false,&quot;citeprocText&quot;:&quot;[2]&quot;,&quot;manualOverrideText&quot;:&quot;&quot;},&quot;citationTag&quot;:&quot;MENDELEY_CITATION_v3_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&quot;,&quot;citationItems&quot;:[{&quot;id&quot;:&quot;3c4b4ea0-cdd0-3cd1-8cec-79481aac5459&quot;,&quot;itemData&quot;:{&quot;type&quot;:&quot;article-journal&quot;,&quot;id&quot;:&quot;3c4b4ea0-cdd0-3cd1-8cec-79481aac5459&quot;,&quot;title&quot;:&quot;Primary/local hepatic tuberculosis without dissemination&quot;,&quot;author&quot;:[{&quot;family&quot;:&quot;Meena&quot;,&quot;given&quot;:&quot;Manoj&quot;,&quot;parse-names&quot;:false,&quot;dropping-particle&quot;:&quot;&quot;,&quot;non-dropping-particle&quot;:&quot;&quot;},{&quot;family&quot;:&quot;Dixit&quot;,&quot;given&quot;:&quot;Ramakant&quot;,&quot;parse-names&quot;:false,&quot;dropping-particle&quot;:&quot;&quot;,&quot;non-dropping-particle&quot;:&quot;&quot;},{&quot;family&quot;:&quot;Meena&quot;,&quot;given&quot;:&quot;Lalit Prashant&quot;,&quot;parse-names&quot;:false,&quot;dropping-particle&quot;:&quot;&quot;,&quot;non-dropping-particle&quot;:&quot;&quot;},{&quot;family&quot;:&quot;Samaria&quot;,&quot;given&quot;:&quot;Jai Kumar&quot;,&quot;parse-names&quot;:false,&quot;dropping-particle&quot;:&quot;&quot;,&quot;non-dropping-particle&quot;:&quot;&quot;}],&quot;container-title&quot;:&quot;BMJ Case Reports&quot;,&quot;container-title-short&quot;:&quot;BMJ Case Rep.&quot;,&quot;DOI&quot;:&quot;10.1136/bcr-2014-206974&quot;,&quot;ISSN&quot;:&quot;1757-790X&quot;,&quot;issued&quot;:{&quot;date-parts&quot;:[[2015,1,27]]},&quot;page&quot;:&quot;bcr2014206974&quot;,&quot;abstract&quot;:&quot;&lt;p&gt; We present a rare case of primary hepatic tuberculosis in a 50-year-old man who presented with pain at the right hypochondrium. The diagnosis was established by fine-needle aspiration cytology (FNAC) of the primary hepatic lesions in both lobes of the liver, which was further supported by histopathological examination and tissue PCR for &lt;italic&gt;Mycobacterium tuberculosis&lt;/italic&gt; in the FNAC specimens. &lt;/p&gt;&quot;,&quot;volume&quot;:&quot;2015&quot;},&quot;isTemporary&quot;:false}]},{&quot;citationID&quot;:&quot;MENDELEY_CITATION_cd29b59f-1d27-41ce-acb0-c0da409ea2a0&quot;,&quot;properties&quot;:{&quot;noteIndex&quot;:0},&quot;isEdited&quot;:false,&quot;manualOverride&quot;:{&quot;isManuallyOverridden&quot;:false,&quot;citeprocText&quot;:&quot;[3]&quot;,&quot;manualOverrideText&quot;:&quot;&quot;},&quot;citationTag&quot;:&quot;MENDELEY_CITATION_v3_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&quot;,&quot;citationItems&quot;:[{&quot;id&quot;:&quot;e8565018-b7cf-3289-b0e9-73c1568ea984&quot;,&quot;itemData&quot;:{&quot;type&quot;:&quot;article-journal&quot;,&quot;id&quot;:&quot;e8565018-b7cf-3289-b0e9-73c1568ea984&quot;,&quot;title&quot;:&quot;Diagnosis and treatment of extrapulmonary tuberculosis.&quot;,&quot;author&quot;:[{&quot;family&quot;:&quot;Lee&quot;,&quot;given&quot;:&quot;Ji Yeon&quot;,&quot;parse-names&quot;:false,&quot;dropping-particle&quot;:&quot;&quot;,&quot;non-dropping-particle&quot;:&quot;&quot;}],&quot;container-title&quot;:&quot;Tuberculosis and respiratory diseases&quot;,&quot;container-title-short&quot;:&quot;Tuberc. Respir. Dis. (Seoul).&quot;,&quot;DOI&quot;:&quot;10.4046/trd.2015.78.2.47&quot;,&quot;ISSN&quot;:&quot;1738-3536&quot;,&quot;PMID&quot;:&quot;25861336&quot;,&quot;issued&quot;:{&quot;date-parts&quot;:[[2015,4]]},&quot;page&quot;:&quot;47-55&quot;,&quot;abstract&quot;:&quot;Extrapulmonary tuberculosis (EPTB) constitutes about 20% of all cases of tuberculosis (TB) in Korea. Diagnosing EPTB remains challenging because clinical samples obtained from relatively inaccessible sites may be paucibacillary, thus decreasing the sensitivity of diagnostic tests. Whenever practical, every effort should be made to obtain appropriate specimens for both mycobacteriologic and histopathologic examinations. The measurement of biochemical markers in TB-affected serosal fluids (adenosine deaminase or gamma interferon) and molecular biology techniques such as polymerase chain reaction may be useful adjuncts in the diagnosis of EPTB. Although the disease usually responds to standard anti-TB drug therapy, the ideal regimen and duration of treatment have not yet been established. A paradoxical response frequently occurs during anti-TB therapy. It should be distinguished from other causes of clinical deterioration. Surgery is required mainly to obtain valid diagnostic specimens and to manage complications. Because smear microscopy or culture is not available to monitor patients with EPTB, clinical monitoring is the usual way to assess the response to treatment.&quot;,&quot;issue&quot;:&quot;2&quot;,&quot;volume&quot;:&quot;78&quot;},&quot;isTemporary&quot;:false}]},{&quot;citationID&quot;:&quot;MENDELEY_CITATION_1024a07b-7f1f-414e-9953-cfef19a0edd6&quot;,&quot;properties&quot;:{&quot;noteIndex&quot;:0},&quot;isEdited&quot;:false,&quot;manualOverride&quot;:{&quot;isManuallyOverridden&quot;:false,&quot;citeprocText&quot;:&quot;[4]&quot;,&quot;manualOverrideText&quot;:&quot;&quot;},&quot;citationTag&quot;:&quot;MENDELEY_CITATION_v3_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&quot;,&quot;citationItems&quot;:[{&quot;id&quot;:&quot;d06b7421-8997-30ba-9967-9bd56db36b2b&quot;,&quot;itemData&quot;:{&quot;type&quot;:&quot;article-journal&quot;,&quot;id&quot;:&quot;d06b7421-8997-30ba-9967-9bd56db36b2b&quot;,&quot;title&quot;:&quot;Tubercular Hepatic Abscess: An Incidental Finding.&quot;,&quot;author&quot;:[{&quot;family&quot;:&quot;Dhungel&quot;,&quot;given&quot;:&quot;Swati&quot;,&quot;parse-names&quot;:false,&quot;dropping-particle&quot;:&quot;&quot;,&quot;non-dropping-particle&quot;:&quot;&quot;},{&quot;family&quot;:&quot;Mishra&quot;,&quot;given&quot;:&quot;Satya&quot;,&quot;parse-names&quot;:false,&quot;dropping-particle&quot;:&quot;&quot;,&quot;non-dropping-particle&quot;:&quot;&quot;}],&quot;container-title&quot;:&quot;Cureus&quot;,&quot;container-title-short&quot;:&quot;Cureus&quot;,&quot;DOI&quot;:&quot;10.7759/cureus.35447&quot;,&quot;ISSN&quot;:&quot;2168-8184&quot;,&quot;PMID&quot;:&quot;36994275&quot;,&quot;issued&quot;:{&quot;date-parts&quot;:[[2023,2]]},&quot;page&quot;:&quot;e35447&quot;,&quot;abstract&quot;:&quot;Tuberculosis (TB) is an infectious disease caused by a bacterium, Mycobacterium tuberculosis. It is known to generally affects the lungs, but it can also affect multiple other parts of the body. Liver involvement with hepatic abscess is an infrequent manifestation of TB which is missed because of the rarity and non-specific symptoms, especially in the west. A thorough literature review shows very few case reports published in the western world. We present a rare case of isoniazid-resistant pulmonary TB associated with a hepatic abscess in the United States. It was diagnosed by aspiration of the abscess that later grew M. tuberculosis and treated with antitubercular drugs.&quot;,&quot;issue&quot;:&quot;2&quot;,&quot;volume&quot;:&quot;15&quot;},&quot;isTemporary&quot;:false}]},{&quot;citationID&quot;:&quot;MENDELEY_CITATION_27123fc1-f064-483c-9670-7d62c0de3de4&quot;,&quot;properties&quot;:{&quot;noteIndex&quot;:0},&quot;isEdited&quot;:false,&quot;manualOverride&quot;:{&quot;isManuallyOverridden&quot;:false,&quot;citeprocText&quot;:&quot;[5]&quot;,&quot;manualOverrideText&quot;:&quot;&quot;},&quot;citationTag&quot;:&quot;MENDELEY_CITATION_v3_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&quot;,&quot;citationItems&quot;:[{&quot;id&quot;:&quot;0e7da111-95c0-3894-b699-2d23de5da934&quot;,&quot;itemData&quot;:{&quot;type&quot;:&quot;article-journal&quot;,&quot;id&quot;:&quot;0e7da111-95c0-3894-b699-2d23de5da934&quot;,&quot;title&quot;:&quot;Tuberculosis as an Etiological Factor in Liver Abscess in Adults&quot;,&quot;author&quot;:[{&quot;family&quot;:&quot;Dey&quot;,&quot;given&quot;:&quot;Jaideep&quot;,&quot;parse-names&quot;:false,&quot;dropping-particle&quot;:&quot;&quot;,&quot;non-dropping-particle&quot;:&quot;&quot;},{&quot;family&quot;:&quot;Gautam&quot;,&quot;given&quot;:&quot;Hitender&quot;,&quot;parse-names&quot;:false,&quot;dropping-particle&quot;:&quot;&quot;,&quot;non-dropping-particle&quot;:&quot;&quot;},{&quot;family&quot;:&quot;Venugopal&quot;,&quot;given&quot;:&quot;Shwetha&quot;,&quot;parse-names&quot;:false,&quot;dropping-particle&quot;:&quot;&quot;,&quot;non-dropping-particle&quot;:&quot;&quot;},{&quot;family&quot;:&quot;Porwal&quot;,&quot;given&quot;:&quot;Chhavi&quot;,&quot;parse-names&quot;:false,&quot;dropping-particle&quot;:&quot;&quot;,&quot;non-dropping-particle&quot;:&quot;&quot;},{&quot;family&quot;:&quot;Mirdha&quot;,&quot;given&quot;:&quot;Bijay Ranjan&quot;,&quot;parse-names&quot;:false,&quot;dropping-particle&quot;:&quot;&quot;,&quot;non-dropping-particle&quot;:&quot;&quot;},{&quot;family&quot;:&quot;Gupta&quot;,&quot;given&quot;:&quot;Naresh&quot;,&quot;parse-names&quot;:false,&quot;dropping-particle&quot;:&quot;&quot;,&quot;non-dropping-particle&quot;:&quot;&quot;},{&quot;family&quot;:&quot;Singh&quot;,&quot;given&quot;:&quot;Urvashi B.&quot;,&quot;parse-names&quot;:false,&quot;dropping-particle&quot;:&quot;&quot;,&quot;non-dropping-particle&quot;:&quot;&quot;}],&quot;container-title&quot;:&quot;Tuberculosis Research and Treatment&quot;,&quot;container-title-short&quot;:&quot;Tuberc. Res. Treat.&quot;,&quot;DOI&quot;:&quot;10.1155/2016/8479456&quot;,&quot;ISSN&quot;:&quot;2090-150X&quot;,&quot;issued&quot;:{&quot;date-parts&quot;:[[2016]]},&quot;page&quot;:&quot;1-4&quot;,&quot;abstract&quot;:&quot;&lt;p&gt; &lt;italic&gt;Background&lt;/italic&gt; . Tuberculosis of the liver without active pulmonary or miliary tuberculosis is considered as an uncommon diagnosis. The aim of the present study was to determine the etiological role of tuberculosis in adult patients presenting with features of liver abscess. &lt;italic&gt;Methods&lt;/italic&gt; . A total of 40 patients with liver abscess were included in the study. The liver abscess aspirate was subjected to microscopy, culture, and polymerase chain reaction to determine the role of tuberculosis as an etiological factor in liver abscess. &lt;italic&gt;Results&lt;/italic&gt; . Of the 40 patients enrolled, 25% (10/40) were diagnosed with having tubercular liver abscess. In a total of 40 specimens, 2.5% (1/40) were positive for acid fast bacilli by Ziehl-Neelsen method, while 10% (4/40) were positive for &lt;italic&gt;M. tuberculosis&lt;/italic&gt; by culture using BACTEC 460 and the yield increased to 25% (10/40) by polymerase chain reaction for &lt;italic&gt;M. tuberculosis&lt;/italic&gt; . &lt;italic&gt;Conclusion&lt;/italic&gt; . 25% of the patients presenting with liver abscess had tubercular etiology without features of active pulmonary or miliary tuberculosis. Liver can act as the primary site of involvement in the absence of activity elsewhere in the body. Tuberculosis should be considered as an important differential diagnosis of liver abscess irrespective of evidence of active tuberculosis elsewhere in the body. &lt;/p&gt;&quot;,&quot;volume&quot;:&quot;2016&quot;},&quot;isTemporary&quot;:false}]},{&quot;citationID&quot;:&quot;MENDELEY_CITATION_bfe71387-3463-4796-aa69-17adc630c042&quot;,&quot;properties&quot;:{&quot;noteIndex&quot;:0},&quot;isEdited&quot;:false,&quot;manualOverride&quot;:{&quot;isManuallyOverridden&quot;:false,&quot;citeprocText&quot;:&quot;[6]&quot;,&quot;manualOverrideText&quot;:&quot;&quot;},&quot;citationTag&quot;:&quot;MENDELEY_CITATION_v3_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&quot;,&quot;citationItems&quot;:[{&quot;id&quot;:&quot;99b85ed4-288f-3ea5-abdd-18b011cfd540&quot;,&quot;itemData&quot;:{&quot;type&quot;:&quot;article-journal&quot;,&quot;id&quot;:&quot;99b85ed4-288f-3ea5-abdd-18b011cfd540&quot;,&quot;title&quot;:&quot;Undiagnosed Hepatic Tuberculosis Presenting With Intraabdominal Rupture and Hemoperitoneum, Requiring Urgent Hepatic Resection&quot;,&quot;author&quot;:[{&quot;family&quot;:&quot;Malewadkar&quot;,&quot;given&quot;:&quot;Shitesh&quot;,&quot;parse-names&quot;:false,&quot;dropping-particle&quot;:&quot;&quot;,&quot;non-dropping-particle&quot;:&quot;&quot;},{&quot;family&quot;:&quot;Shetty&quot;,&quot;given&quot;:&quot;Vivek&quot;,&quot;parse-names&quot;:false,&quot;dropping-particle&quot;:&quot;&quot;,&quot;non-dropping-particle&quot;:&quot;&quot;},{&quot;family&quot;:&quot;Vyas&quot;,&quot;given&quot;:&quot;Soumil&quot;,&quot;parse-names&quot;:false,&quot;dropping-particle&quot;:&quot;&quot;,&quot;non-dropping-particle&quot;:&quot;&quot;},{&quot;family&quot;:&quot;Doctor&quot;,&quot;given&quot;:&quot;Nilesh&quot;,&quot;parse-names&quot;:false,&quot;dropping-particle&quot;:&quot;&quot;,&quot;non-dropping-particle&quot;:&quot;&quot;}],&quot;container-title&quot;:&quot;Journal of Clinical and Experimental Hepatology&quot;,&quot;container-title-short&quot;:&quot;J. Clin. Exp. Hepatol.&quot;,&quot;accessed&quot;:{&quot;date-parts&quot;:[[2026,3,5]]},&quot;DOI&quot;:&quot;10.1016/J.JCEH.2020.09.004&quot;,&quot;ISSN&quot;:&quot;0973-6883&quot;,&quot;issued&quot;:{&quot;date-parts&quot;:[[2021,7,1]]},&quot;page&quot;:&quot;506-510&quot;,&quot;abstract&quot;:&quot;Tuberculosis (TB) affecting the liver is unusual, and isolated liver TB presenting as a liver abscess more so, even in countries where the disease is endemic. As clinical symptoms and imaging are not typical, a high index of suspicion is necessary for diagnosis. We present here a lady who was admitted with fever and chills. Ultrasound imaging showed a liver abscess. She developed bleeding into the abscess cavity, necessitating an emergency right liver resection. Final histology confirmed mycobacterial granulomatous infection of the liver. Isolated hepatic abscess of tubercular origin is a rare cause of hemorrhage but should be considered as a differential diagnosis. Suspicious features on computerized tomography (CT) scan should prompt microbiological assessment of aspirate from the abscess, establishing the diagnosis, so appropriate treatment can be started, avoiding such complications.&quot;,&quot;publisher&quot;:&quot;Elsevier&quot;,&quot;issue&quot;:&quot;4&quot;,&quot;volume&quot;:&quot;11&quot;},&quot;isTemporary&quot;:false}]},{&quot;citationID&quot;:&quot;MENDELEY_CITATION_1fab2421-44a3-49ae-92a7-4f15df7fd3e5&quot;,&quot;properties&quot;:{&quot;noteIndex&quot;:0},&quot;isEdited&quot;:false,&quot;manualOverride&quot;:{&quot;isManuallyOverridden&quot;:false,&quot;citeprocText&quot;:&quot;[7], [8]&quot;,&quot;manualOverrideText&quot;:&quot;&quot;},&quot;citationTag&quot;:&quot;MENDELEY_CITATION_v3_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&quot;,&quot;citationItems&quot;:[{&quot;id&quot;:&quot;f9db890f-9ab7-392a-a767-2d20f373f174&quot;,&quot;itemData&quot;:{&quot;type&quot;:&quot;webpage&quot;,&quot;id&quot;:&quot;f9db890f-9ab7-392a-a767-2d20f373f174&quot;,&quot;title&quot;:&quot;https://dghs.mohfw.gov.in/national-tuberculosis-elimination-programme.php&quot;,&quot;author&quot;:[{&quot;family&quot;:&quot;NTEP&quot;,&quot;given&quot;:&quot;&quot;,&quot;parse-names&quot;:false,&quot;dropping-particle&quot;:&quot;&quot;,&quot;non-dropping-particle&quot;:&quot;&quot;}],&quot;issued&quot;:{&quot;date-parts&quot;:[[2026,2]]},&quot;container-title-short&quot;:&quot;&quot;},&quot;isTemporary&quot;:false},{&quot;id&quot;:&quot;fb1fb136-0071-3cf9-a3e0-fbb7906b93e3&quot;,&quot;itemData&quot;:{&quot;type&quot;:&quot;article-journal&quot;,&quot;id&quot;:&quot;fb1fb136-0071-3cf9-a3e0-fbb7906b93e3&quot;,&quot;title&quot;:&quot;1725964686_2_ntep_18032022&quot;,&quot;container-title-short&quot;:&quot;&quot;},&quot;isTemporary&quot;:false}]},{&quot;citationID&quot;:&quot;MENDELEY_CITATION_d842633d-39b7-4877-83d5-30f51f309248&quot;,&quot;properties&quot;:{&quot;noteIndex&quot;:0},&quot;isEdited&quot;:false,&quot;manualOverride&quot;:{&quot;isManuallyOverridden&quot;:false,&quot;citeprocText&quot;:&quot;[9]&quot;,&quot;manualOverrideText&quot;:&quot;&quot;},&quot;citationTag&quot;:&quot;MENDELEY_CITATION_v3_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&quot;,&quot;citationItems&quot;:[{&quot;id&quot;:&quot;23bac49c-adbc-3da0-8ac8-48e1d6c96bf4&quot;,&quot;itemData&quot;:{&quot;type&quot;:&quot;book&quot;,&quot;id&quot;:&quot;23bac49c-adbc-3da0-8ac8-48e1d6c96bf4&quot;,&quot;title&quot;:&quot;Percutaneous Abscess Drainage&quot;,&quot;author&quot;:[{&quot;family&quot;:&quot;Harclerode&quot;,&quot;given&quot;:&quot;Tyler P.&quot;,&quot;parse-names&quot;:false,&quot;dropping-particle&quot;:&quot;&quot;,&quot;non-dropping-particle&quot;:&quot;&quot;},{&quot;family&quot;:&quot;Gnugnoli&quot;,&quot;given&quot;:&quot;David M.&quot;,&quot;parse-names&quot;:false,&quot;dropping-particle&quot;:&quot;&quot;,&quot;non-dropping-particle&quot;:&quot;&quot;}],&quot;PMID&quot;:&quot;33232026&quot;,&quot;issued&quot;:{&quot;date-parts&quot;:[[2025]]},&quot;abstract&quot;:&quot;Placing a drain or catheter percutaneously under imaging guidance has become an increasingly utilized medical procedure, offering a minimally invasive alternative to open surgical interventions. Interventional radiologists and similarly trained providers are the primary practitioners of this technique, which is essential for managing abscesses that cannot be addressed through simple incision and drainage. This approach effectively bridges the gap between noninvasive treatments and more invasive surgical procedures. The choice between ultrasound and computed tomography (CT) guidance for drainage catheter placement depends on the provider's preference, expertise, and the abscess's location. Ultrasound offers real-time imaging without radiation exposure, making it suitable for superficial or easily accessible collections. Conversely, CT guidance provides superior anatomical detail, which is advantageous for deep-seated or complex abscesses. Percutaneous drainage is indicated in various clinical scenarios, including diverticular abscesses, complicated or ruptured appendicitis, liver abscesses, intraabdominal abscesses, and intramuscular fluid collections. Prompt and effective drainage is crucial, as untreated abscesses can lead to severe complications such as sepsis due to the hematogenous spread of infection. Over the past 2 decades, image-guided percutaneous drainage has emerged as a safe and effective alternative to operative treatment, reducing complication rates and shorter hospital stays.&quot;,&quot;container-title-short&quot;:&quot;&quot;},&quot;isTemporary&quot;:false}]},{&quot;citationID&quot;:&quot;MENDELEY_CITATION_6837f514-0ab4-4682-b939-f10bbc81179d&quot;,&quot;properties&quot;:{&quot;noteIndex&quot;:0},&quot;isEdited&quot;:false,&quot;manualOverride&quot;:{&quot;isManuallyOverridden&quot;:false,&quot;citeprocText&quot;:&quot;[10], [11]&quot;,&quot;manualOverrideText&quot;:&quot;&quot;},&quot;citationTag&quot;:&quot;MENDELEY_CITATION_v3_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&quot;,&quot;citationItems&quot;:[{&quot;id&quot;:&quot;819bf08d-e974-3e28-8512-34d00db922f2&quot;,&quot;itemData&quot;:{&quot;type&quot;:&quot;article-journal&quot;,&quot;id&quot;:&quot;819bf08d-e974-3e28-8512-34d00db922f2&quot;,&quot;title&quot;:&quot;The Role of Vitamin Deficiency in Liver Disease: To Supplement or Not Supplement?&quot;,&quot;author&quot;:[{&quot;family&quot;:&quot;Licata&quot;,&quot;given&quot;:&quot;Anna&quot;,&quot;parse-names&quot;:false,&quot;dropping-particle&quot;:&quot;&quot;,&quot;non-dropping-particle&quot;:&quot;&quot;},{&quot;family&quot;:&quot;Zerbo&quot;,&quot;given&quot;:&quot;Maddalena&quot;,&quot;parse-names&quot;:false,&quot;dropping-particle&quot;:&quot;&quot;,&quot;non-dropping-particle&quot;:&quot;&quot;},{&quot;family&quot;:&quot;Como&quot;,&quot;given&quot;:&quot;Silvia&quot;,&quot;parse-names&quot;:false,&quot;dropping-particle&quot;:&quot;&quot;,&quot;non-dropping-particle&quot;:&quot;&quot;},{&quot;family&quot;:&quot;Cammilleri&quot;,&quot;given&quot;:&quot;Marcella&quot;,&quot;parse-names&quot;:false,&quot;dropping-particle&quot;:&quot;&quot;,&quot;non-dropping-particle&quot;:&quot;&quot;},{&quot;family&quot;:&quot;Soresi&quot;,&quot;given&quot;:&quot;Maurizio&quot;,&quot;parse-names&quot;:false,&quot;dropping-particle&quot;:&quot;&quot;,&quot;non-dropping-particle&quot;:&quot;&quot;},{&quot;family&quot;:&quot;Montalto&quot;,&quot;given&quot;:&quot;Giuseppe&quot;,&quot;parse-names&quot;:false,&quot;dropping-particle&quot;:&quot;&quot;,&quot;non-dropping-particle&quot;:&quot;&quot;},{&quot;family&quot;:&quot;Giannitrapani&quot;,&quot;given&quot;:&quot;Lydia&quot;,&quot;parse-names&quot;:false,&quot;dropping-particle&quot;:&quot;&quot;,&quot;non-dropping-particle&quot;:&quot;&quot;}],&quot;container-title&quot;:&quot;Nutrients&quot;,&quot;container-title-short&quot;:&quot;Nutrients&quot;,&quot;DOI&quot;:&quot;10.3390/nu13114014&quot;,&quot;ISSN&quot;:&quot;2072-6643&quot;,&quot;issued&quot;:{&quot;date-parts&quot;:[[2021,11,10]]},&quot;page&quot;:&quot;4014&quot;,&quot;abstract&quot;:&quot;&lt;p&gt;Over the past few years, growing interest has been shown for the impact of dietary requirements and nutritional factors on chronic diseases. As a result, nutritional programs have been reinforced by public health policies. The precise role of micronutrients in chronic liver disease is currently receiving particular attention since abnormalities in vitamin levels are often detected. At present, treatment programs are focused on correcting vitamin deficiencies, which are frequently correlated to higher rates of comorbidities with poor outcomes. The literature reviewed here indicates that liver diseases are often related to vitamin disorders, due to both liver impairment and abnormal intake. More specific knowledge about the role of vitamins in liver disease is currently emerging from various results and recent evidence. The most significant benefits in this area may be observed when improved vitamin intake is combined with a pharmacological treatment that may also affect the progression of the liver disease, especially in the case of liver tumors. However, further studies are needed.&lt;/p&gt;&quot;,&quot;issue&quot;:&quot;11&quot;,&quot;volume&quot;:&quot;13&quot;},&quot;isTemporary&quot;:false},{&quot;id&quot;:&quot;8a070dd5-98fc-31cf-9be6-2b16685d014d&quot;,&quot;itemData&quot;:{&quot;type&quot;:&quot;article-journal&quot;,&quot;id&quot;:&quot;8a070dd5-98fc-31cf-9be6-2b16685d014d&quot;,&quot;title&quot;:&quot;Nutritional Support for Liver Diseases.&quot;,&quot;author&quot;:[{&quot;family&quot;:&quot;Jamioł-Milc&quot;,&quot;given&quot;:&quot;Dominika&quot;,&quot;parse-names&quot;:false,&quot;dropping-particle&quot;:&quot;&quot;,&quot;non-dropping-particle&quot;:&quot;&quot;},{&quot;family&quot;:&quot;Gudan&quot;,&quot;given&quot;:&quot;Anna&quot;,&quot;parse-names&quot;:false,&quot;dropping-particle&quot;:&quot;&quot;,&quot;non-dropping-particle&quot;:&quot;&quot;},{&quot;family&quot;:&quot;Kaźmierczak-Siedlecka&quot;,&quot;given&quot;:&quot;Karolina&quot;,&quot;parse-names&quot;:false,&quot;dropping-particle&quot;:&quot;&quot;,&quot;non-dropping-particle&quot;:&quot;&quot;},{&quot;family&quot;:&quot;Hołowko-Ziółek&quot;,&quot;given&quot;:&quot;Joanna&quot;,&quot;parse-names&quot;:false,&quot;dropping-particle&quot;:&quot;&quot;,&quot;non-dropping-particle&quot;:&quot;&quot;},{&quot;family&quot;:&quot;Maciejewska-Markiewicz&quot;,&quot;given&quot;:&quot;Dominika&quot;,&quot;parse-names&quot;:false,&quot;dropping-particle&quot;:&quot;&quot;,&quot;non-dropping-particle&quot;:&quot;&quot;},{&quot;family&quot;:&quot;Janda-Milczarek&quot;,&quot;given&quot;:&quot;Katarzyna&quot;,&quot;parse-names&quot;:false,&quot;dropping-particle&quot;:&quot;&quot;,&quot;non-dropping-particle&quot;:&quot;&quot;},{&quot;family&quot;:&quot;Stachowska&quot;,&quot;given&quot;:&quot;Ewa&quot;,&quot;parse-names&quot;:false,&quot;dropping-particle&quot;:&quot;&quot;,&quot;non-dropping-particle&quot;:&quot;&quot;}],&quot;container-title&quot;:&quot;Nutrients&quot;,&quot;container-title-short&quot;:&quot;Nutrients&quot;,&quot;DOI&quot;:&quot;10.3390/nu15163640&quot;,&quot;ISSN&quot;:&quot;2072-6643&quot;,&quot;PMID&quot;:&quot;37630830&quot;,&quot;issued&quot;:{&quot;date-parts&quot;:[[2023,8,19]]},&quot;abstract&quot;:&quot;The liver is a key organ that is responsible for the metabolism of proteins, fats, and carbohydrates and the absorption and storage of micronutrients. Unfortunately, the prevalence of chronic liver diseases at various stages of advancement in the world population is significant. Due to the physiological function of the liver, its dysfunction can lead to malnutrition and sarcopenia, and the patient's nutritional status is an important prognostic factor. This review discusses key issues related to the diet therapy of patients with chronic liver diseases, as well as those qualified for liver transplantation and in the postoperative period.&quot;,&quot;issue&quot;:&quot;16&quot;,&quot;volume&quot;:&quot;15&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FFEFCD6-0332-4105-8E0B-949FCD72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9</Pages>
  <Words>2799</Words>
  <Characters>15957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Ravi Kumar Sharma</dc:creator>
  <cp:keywords/>
  <dc:description/>
  <cp:lastModifiedBy>SDI 1084</cp:lastModifiedBy>
  <cp:revision>25</cp:revision>
  <dcterms:created xsi:type="dcterms:W3CDTF">2026-03-05T08:06:00Z</dcterms:created>
  <dcterms:modified xsi:type="dcterms:W3CDTF">2026-03-12T12:37:00Z</dcterms:modified>
</cp:coreProperties>
</file>