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22C" w:rsidRPr="008D52F6" w:rsidRDefault="000B086A">
      <w:pPr>
        <w:spacing w:line="360" w:lineRule="auto"/>
        <w:jc w:val="center"/>
        <w:rPr>
          <w:rFonts w:ascii="Times New Roman" w:hAnsi="Times New Roman" w:cs="Times New Roman"/>
          <w:b/>
          <w:bCs/>
          <w:sz w:val="24"/>
          <w:szCs w:val="24"/>
        </w:rPr>
      </w:pPr>
      <w:r w:rsidRPr="008D52F6">
        <w:rPr>
          <w:rFonts w:ascii="Times New Roman" w:hAnsi="Times New Roman" w:cs="Times New Roman"/>
          <w:b/>
          <w:bCs/>
          <w:sz w:val="24"/>
          <w:szCs w:val="24"/>
        </w:rPr>
        <w:t>A CASE REPORT ON TAKAYASU ARTERITIS</w:t>
      </w:r>
    </w:p>
    <w:p w:rsidR="00507C74" w:rsidRDefault="00507C74">
      <w:pPr>
        <w:spacing w:line="360" w:lineRule="auto"/>
        <w:rPr>
          <w:rFonts w:ascii="Times New Roman" w:hAnsi="Times New Roman" w:cs="Times New Roman"/>
          <w:bCs/>
          <w:sz w:val="24"/>
          <w:szCs w:val="24"/>
        </w:rPr>
      </w:pPr>
    </w:p>
    <w:p w:rsidR="00507C74" w:rsidRDefault="00507C74">
      <w:pPr>
        <w:spacing w:line="360" w:lineRule="auto"/>
        <w:rPr>
          <w:rFonts w:ascii="Times New Roman" w:hAnsi="Times New Roman" w:cs="Times New Roman"/>
          <w:bCs/>
          <w:sz w:val="24"/>
          <w:szCs w:val="24"/>
        </w:rPr>
      </w:pPr>
      <w:bookmarkStart w:id="0" w:name="_GoBack"/>
      <w:bookmarkEnd w:id="0"/>
    </w:p>
    <w:p w:rsidR="0082222C" w:rsidRDefault="000B086A">
      <w:pPr>
        <w:spacing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ABSTRACT</w:t>
      </w:r>
    </w:p>
    <w:p w:rsidR="0082222C" w:rsidRDefault="000B086A">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Background:</w:t>
      </w:r>
      <w:r>
        <w:rPr>
          <w:rFonts w:ascii="Times New Roman" w:hAnsi="Times New Roman" w:cs="Times New Roman"/>
          <w:bCs/>
          <w:sz w:val="24"/>
          <w:szCs w:val="24"/>
        </w:rPr>
        <w:t xml:space="preserve"> Takayasu arteritis is a rare, chronic granulomatous large-vessel vasculitis that primarily affects young women and involves the aorta and its major branches. Owing to its nonspecific early manifestations, diagnosis is frequently delayed until significant </w:t>
      </w:r>
      <w:r>
        <w:rPr>
          <w:rFonts w:ascii="Times New Roman" w:hAnsi="Times New Roman" w:cs="Times New Roman"/>
          <w:bCs/>
          <w:sz w:val="24"/>
          <w:szCs w:val="24"/>
        </w:rPr>
        <w:t xml:space="preserve">vascular involvement develops. </w:t>
      </w:r>
    </w:p>
    <w:p w:rsidR="0082222C" w:rsidRDefault="000B086A">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Case Presentation:</w:t>
      </w:r>
      <w:r>
        <w:rPr>
          <w:rFonts w:ascii="Times New Roman" w:hAnsi="Times New Roman" w:cs="Times New Roman"/>
          <w:bCs/>
          <w:sz w:val="24"/>
          <w:szCs w:val="24"/>
        </w:rPr>
        <w:t xml:space="preserve"> We present the case of a 32-year-old female who presented with sudden onset generalized weakness and breathlessness, along with a one-year history of headache, visual blurring, numbness, and progressive we</w:t>
      </w:r>
      <w:r>
        <w:rPr>
          <w:rFonts w:ascii="Times New Roman" w:hAnsi="Times New Roman" w:cs="Times New Roman"/>
          <w:bCs/>
          <w:sz w:val="24"/>
          <w:szCs w:val="24"/>
        </w:rPr>
        <w:t>akness of the upper limbs. On examination, she was hypotensive with asymmetric upper-limb motor power. Laboratory investigations revealed severe microcytic hypochromic anaemia with neutrophilic leukocytosis and thrombocytosis. Two-dimensional echocardiogra</w:t>
      </w:r>
      <w:r>
        <w:rPr>
          <w:rFonts w:ascii="Times New Roman" w:hAnsi="Times New Roman" w:cs="Times New Roman"/>
          <w:bCs/>
          <w:sz w:val="24"/>
          <w:szCs w:val="24"/>
        </w:rPr>
        <w:t xml:space="preserve">phy demonstrated global left ventricular hypokinesia, moderate aortic regurgitation, and mild left ventricular systolic dysfunction. Doppler imaging of the upper-limb arterial system revealed diffuse circumferential wall thickening and significant luminal </w:t>
      </w:r>
      <w:r>
        <w:rPr>
          <w:rFonts w:ascii="Times New Roman" w:hAnsi="Times New Roman" w:cs="Times New Roman"/>
          <w:bCs/>
          <w:sz w:val="24"/>
          <w:szCs w:val="24"/>
        </w:rPr>
        <w:t>narrowing of the bilateral carotid and subclavian arteries, along with an echogenic thrombus causing critical stenosis of the right subclavian artery. These findings were consistent with large-vessel arteritis. Based on clinical features and imaging findin</w:t>
      </w:r>
      <w:r>
        <w:rPr>
          <w:rFonts w:ascii="Times New Roman" w:hAnsi="Times New Roman" w:cs="Times New Roman"/>
          <w:bCs/>
          <w:sz w:val="24"/>
          <w:szCs w:val="24"/>
        </w:rPr>
        <w:t>gs, a diagnosis of Takayasu arteritis was established. The patient was managed with high-dose intravenous corticosteroids, anticoagulation and supportive care, following which she was referred to a tertiary cardiac centre for further evaluation and definit</w:t>
      </w:r>
      <w:r>
        <w:rPr>
          <w:rFonts w:ascii="Times New Roman" w:hAnsi="Times New Roman" w:cs="Times New Roman"/>
          <w:bCs/>
          <w:sz w:val="24"/>
          <w:szCs w:val="24"/>
        </w:rPr>
        <w:t xml:space="preserve">ive management. </w:t>
      </w:r>
    </w:p>
    <w:p w:rsidR="0082222C" w:rsidRDefault="000B086A">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Conclusion:</w:t>
      </w:r>
      <w:r>
        <w:rPr>
          <w:rFonts w:ascii="Times New Roman" w:hAnsi="Times New Roman" w:cs="Times New Roman"/>
          <w:bCs/>
          <w:sz w:val="24"/>
          <w:szCs w:val="24"/>
        </w:rPr>
        <w:t xml:space="preserve"> This case emphasizes the importance of maintaining a high index of suspicion for Takayasu arteritis in young women presenting with unexplained neurological and cardiovascular symptoms, as early diagnosis and timely immunosuppre</w:t>
      </w:r>
      <w:r>
        <w:rPr>
          <w:rFonts w:ascii="Times New Roman" w:hAnsi="Times New Roman" w:cs="Times New Roman"/>
          <w:bCs/>
          <w:sz w:val="24"/>
          <w:szCs w:val="24"/>
        </w:rPr>
        <w:t>ssive therapy are crucial to prevent disease progression and long-term complications.</w:t>
      </w:r>
    </w:p>
    <w:p w:rsidR="0082222C" w:rsidRDefault="000B086A">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INTRODUCTION</w:t>
      </w:r>
    </w:p>
    <w:p w:rsidR="0082222C" w:rsidRDefault="000B086A">
      <w:pPr>
        <w:spacing w:before="100" w:beforeAutospacing="1" w:after="100" w:afterAutospacing="1" w:line="360" w:lineRule="auto"/>
        <w:ind w:right="57"/>
        <w:jc w:val="both"/>
        <w:rPr>
          <w:rFonts w:ascii="Times New Roman" w:hAnsi="Times New Roman" w:cs="Times New Roman"/>
          <w:sz w:val="24"/>
          <w:szCs w:val="24"/>
        </w:rPr>
      </w:pPr>
      <w:r>
        <w:rPr>
          <w:rFonts w:ascii="Times New Roman" w:hAnsi="Times New Roman" w:cs="Times New Roman"/>
          <w:sz w:val="24"/>
          <w:szCs w:val="24"/>
        </w:rPr>
        <w:t>Takayasu arteritis is also known as pulse-less disease. It leads to inflammation of the large and medium arteries with their branches. It presents with monon</w:t>
      </w:r>
      <w:r>
        <w:rPr>
          <w:rFonts w:ascii="Times New Roman" w:hAnsi="Times New Roman" w:cs="Times New Roman"/>
          <w:sz w:val="24"/>
          <w:szCs w:val="24"/>
        </w:rPr>
        <w:t xml:space="preserve">uclear and granulomatous </w:t>
      </w:r>
      <w:r>
        <w:rPr>
          <w:rFonts w:ascii="Times New Roman" w:hAnsi="Times New Roman" w:cs="Times New Roman"/>
          <w:sz w:val="24"/>
          <w:szCs w:val="24"/>
        </w:rPr>
        <w:lastRenderedPageBreak/>
        <w:t>changes. This leads to transmural fibrous thickening of the walls of arteries. This further results in several vascular occlusions and/or aneurysmal dilatation which may lead to ischemic changes and other constitutional symptoms li</w:t>
      </w:r>
      <w:r>
        <w:rPr>
          <w:rFonts w:ascii="Times New Roman" w:hAnsi="Times New Roman" w:cs="Times New Roman"/>
          <w:sz w:val="24"/>
          <w:szCs w:val="24"/>
        </w:rPr>
        <w:t>ke headache, fever, unalike blood pressure, syncopal attacks</w:t>
      </w:r>
      <w:r>
        <w:rPr>
          <w:rFonts w:ascii="Times New Roman" w:hAnsi="Times New Roman" w:cs="Times New Roman"/>
          <w:sz w:val="24"/>
          <w:szCs w:val="24"/>
          <w:vertAlign w:val="superscript"/>
        </w:rPr>
        <w:t>13</w:t>
      </w:r>
      <w:r>
        <w:rPr>
          <w:rFonts w:ascii="Times New Roman" w:hAnsi="Times New Roman" w:cs="Times New Roman"/>
          <w:sz w:val="24"/>
          <w:szCs w:val="24"/>
        </w:rPr>
        <w:t>. Women are affected in 80 to 90 percent of cases, typically before the age of 40 years. A positive association with HLA-B52 and HLA-B39 has been demonstrated in several studies, suggesting an i</w:t>
      </w:r>
      <w:r>
        <w:rPr>
          <w:rFonts w:ascii="Times New Roman" w:hAnsi="Times New Roman" w:cs="Times New Roman"/>
          <w:sz w:val="24"/>
          <w:szCs w:val="24"/>
        </w:rPr>
        <w:t>mmunogenic association. Systemic symptoms are common in the early phase of TA, including fatigue, weight loss, and low-grade fever. However, some cases may be asymptomatic until vascular involvement becomes clinically apparent due to dilatation, narrowing,</w:t>
      </w:r>
      <w:r>
        <w:rPr>
          <w:rFonts w:ascii="Times New Roman" w:hAnsi="Times New Roman" w:cs="Times New Roman"/>
          <w:sz w:val="24"/>
          <w:szCs w:val="24"/>
        </w:rPr>
        <w:t xml:space="preserve"> or occlusion of the proximal or distal branches of the aorta</w:t>
      </w:r>
      <w:r>
        <w:rPr>
          <w:rFonts w:ascii="Times New Roman" w:hAnsi="Times New Roman" w:cs="Times New Roman"/>
          <w:sz w:val="24"/>
          <w:szCs w:val="24"/>
          <w:vertAlign w:val="superscript"/>
        </w:rPr>
        <w:t>2</w:t>
      </w:r>
      <w:r>
        <w:rPr>
          <w:rFonts w:ascii="Times New Roman" w:hAnsi="Times New Roman" w:cs="Times New Roman"/>
          <w:sz w:val="24"/>
          <w:szCs w:val="24"/>
        </w:rPr>
        <w:t>. In the world, widely many Takayasu arteritis are reported but shows higher prevalence in East and South Asia, including Japan and India, compared with Europe and North America</w:t>
      </w:r>
      <w:r>
        <w:rPr>
          <w:rFonts w:ascii="Times New Roman" w:hAnsi="Times New Roman" w:cs="Times New Roman"/>
          <w:sz w:val="24"/>
          <w:szCs w:val="24"/>
          <w:vertAlign w:val="superscript"/>
        </w:rPr>
        <w:t>6, 8</w:t>
      </w:r>
      <w:r>
        <w:rPr>
          <w:rFonts w:ascii="Times New Roman" w:hAnsi="Times New Roman" w:cs="Times New Roman"/>
          <w:sz w:val="24"/>
          <w:szCs w:val="24"/>
        </w:rPr>
        <w:t xml:space="preserve">. It affects </w:t>
      </w:r>
      <w:r>
        <w:rPr>
          <w:rFonts w:ascii="Times New Roman" w:hAnsi="Times New Roman" w:cs="Times New Roman"/>
          <w:sz w:val="24"/>
          <w:szCs w:val="24"/>
        </w:rPr>
        <w:t>women eight times more frequently than men, and is more common in the young. The median age at onset is 25 years; however, approximately 25% of cases begin before age 20, and 10% to 20% after age 40 years</w:t>
      </w:r>
      <w:r>
        <w:rPr>
          <w:rFonts w:ascii="Times New Roman" w:hAnsi="Times New Roman" w:cs="Times New Roman"/>
          <w:sz w:val="24"/>
          <w:szCs w:val="24"/>
          <w:vertAlign w:val="superscript"/>
        </w:rPr>
        <w:t>3</w:t>
      </w:r>
      <w:r>
        <w:rPr>
          <w:rFonts w:ascii="Times New Roman" w:hAnsi="Times New Roman" w:cs="Times New Roman"/>
          <w:sz w:val="24"/>
          <w:szCs w:val="24"/>
        </w:rPr>
        <w:t>.</w:t>
      </w:r>
    </w:p>
    <w:p w:rsidR="0082222C" w:rsidRDefault="000B086A">
      <w:pPr>
        <w:spacing w:after="120" w:line="360" w:lineRule="auto"/>
        <w:ind w:right="-755"/>
        <w:jc w:val="both"/>
        <w:rPr>
          <w:rFonts w:ascii="Times New Roman" w:hAnsi="Times New Roman" w:cs="Times New Roman"/>
          <w:b/>
          <w:sz w:val="24"/>
          <w:szCs w:val="24"/>
          <w:u w:val="single"/>
        </w:rPr>
      </w:pPr>
      <w:r>
        <w:rPr>
          <w:rFonts w:ascii="Times New Roman" w:hAnsi="Times New Roman" w:cs="Times New Roman"/>
          <w:b/>
          <w:sz w:val="24"/>
          <w:szCs w:val="24"/>
          <w:u w:val="single"/>
        </w:rPr>
        <w:t>CASE PRESENTATION</w:t>
      </w:r>
    </w:p>
    <w:p w:rsidR="0082222C" w:rsidRDefault="000B086A">
      <w:pPr>
        <w:spacing w:after="120" w:line="360" w:lineRule="auto"/>
        <w:ind w:right="-64"/>
        <w:jc w:val="both"/>
        <w:rPr>
          <w:rFonts w:ascii="Times New Roman" w:hAnsi="Times New Roman" w:cs="Times New Roman"/>
          <w:sz w:val="24"/>
          <w:szCs w:val="24"/>
        </w:rPr>
      </w:pPr>
      <w:r>
        <w:rPr>
          <w:rFonts w:ascii="Times New Roman" w:hAnsi="Times New Roman" w:cs="Times New Roman"/>
          <w:sz w:val="24"/>
          <w:szCs w:val="24"/>
        </w:rPr>
        <w:t>A 32-year-old female patient pr</w:t>
      </w:r>
      <w:r>
        <w:rPr>
          <w:rFonts w:ascii="Times New Roman" w:hAnsi="Times New Roman" w:cs="Times New Roman"/>
          <w:sz w:val="24"/>
          <w:szCs w:val="24"/>
        </w:rPr>
        <w:t xml:space="preserve">esented to the Emergency unit with the complaints of generalized weakness which is sudden in onset, gradually progressive in nature, no aggravating and relieving factors. And breathlessness, sudden in onset, gradually progressive in nature, no aggravating </w:t>
      </w:r>
      <w:r>
        <w:rPr>
          <w:rFonts w:ascii="Times New Roman" w:hAnsi="Times New Roman" w:cs="Times New Roman"/>
          <w:sz w:val="24"/>
          <w:szCs w:val="24"/>
        </w:rPr>
        <w:t>and relieving factors at evening after starting transfusion of PRBC. Her past history says that she had also complaints of generalized weakness, headache, vision blurring, numbness and weakness of upper limbs and tremors of lower limbs while walking from p</w:t>
      </w:r>
      <w:r>
        <w:rPr>
          <w:rFonts w:ascii="Times New Roman" w:hAnsi="Times New Roman" w:cs="Times New Roman"/>
          <w:sz w:val="24"/>
          <w:szCs w:val="24"/>
        </w:rPr>
        <w:t>ast 1 year. The patient has not had any history of bleeding manifestation, rashes, fever. The patient is not having any Medical and Family history. Her general physical examination includes Pallor was found to be positive, Blood pressure is 80/50mmHg, GRBS</w:t>
      </w:r>
      <w:r>
        <w:rPr>
          <w:rFonts w:ascii="Times New Roman" w:hAnsi="Times New Roman" w:cs="Times New Roman"/>
          <w:sz w:val="24"/>
          <w:szCs w:val="24"/>
        </w:rPr>
        <w:t xml:space="preserve"> value is 391 mg/dl, SpO2 is 97% while receiving 2L/min oxygen. On examination of power in her upper limbs, it was 4/5 in the left upper limb as compared to 5/5 in the muscles of right upper limb. Gradually it becomes 1/5 in the left upper limb. An ECG per</w:t>
      </w:r>
      <w:r>
        <w:rPr>
          <w:rFonts w:ascii="Times New Roman" w:hAnsi="Times New Roman" w:cs="Times New Roman"/>
          <w:sz w:val="24"/>
          <w:szCs w:val="24"/>
        </w:rPr>
        <w:t>formed was indicative of - Sinus tachycardia with sinus arrhythmia, left ventricular hypertrophy, Possible subsequent T wave abnormality.</w:t>
      </w:r>
    </w:p>
    <w:p w:rsidR="0082222C" w:rsidRDefault="000B086A">
      <w:pPr>
        <w:spacing w:after="120" w:line="360" w:lineRule="auto"/>
        <w:ind w:right="1077"/>
        <w:jc w:val="both"/>
        <w:rPr>
          <w:rFonts w:ascii="Times New Roman" w:hAnsi="Times New Roman" w:cs="Times New Roman"/>
          <w:b/>
          <w:sz w:val="24"/>
          <w:szCs w:val="24"/>
        </w:rPr>
      </w:pPr>
      <w:r>
        <w:rPr>
          <w:rFonts w:ascii="Times New Roman" w:hAnsi="Times New Roman" w:cs="Times New Roman"/>
          <w:b/>
          <w:sz w:val="24"/>
          <w:szCs w:val="24"/>
        </w:rPr>
        <w:t>On Systemic examination-</w:t>
      </w:r>
    </w:p>
    <w:p w:rsidR="0082222C" w:rsidRDefault="000B086A">
      <w:pPr>
        <w:spacing w:after="120" w:line="360" w:lineRule="auto"/>
        <w:ind w:right="1077"/>
        <w:jc w:val="both"/>
        <w:rPr>
          <w:rFonts w:ascii="Times New Roman" w:hAnsi="Times New Roman" w:cs="Times New Roman"/>
          <w:sz w:val="24"/>
          <w:szCs w:val="24"/>
        </w:rPr>
      </w:pPr>
      <w:r>
        <w:rPr>
          <w:rFonts w:ascii="Times New Roman" w:hAnsi="Times New Roman" w:cs="Times New Roman"/>
          <w:sz w:val="24"/>
          <w:szCs w:val="24"/>
        </w:rPr>
        <w:t>Respiratory system: Bilateral air entry was positive, No added sounds</w:t>
      </w:r>
    </w:p>
    <w:p w:rsidR="0082222C" w:rsidRDefault="000B086A">
      <w:pPr>
        <w:spacing w:after="120" w:line="360" w:lineRule="auto"/>
        <w:ind w:right="1077"/>
        <w:jc w:val="both"/>
        <w:rPr>
          <w:rFonts w:ascii="Times New Roman" w:hAnsi="Times New Roman" w:cs="Times New Roman"/>
          <w:sz w:val="24"/>
          <w:szCs w:val="24"/>
        </w:rPr>
      </w:pPr>
      <w:r>
        <w:rPr>
          <w:rFonts w:ascii="Times New Roman" w:hAnsi="Times New Roman" w:cs="Times New Roman"/>
          <w:sz w:val="24"/>
          <w:szCs w:val="24"/>
        </w:rPr>
        <w:t>CVS: S1, S2 was positiv</w:t>
      </w:r>
      <w:r>
        <w:rPr>
          <w:rFonts w:ascii="Times New Roman" w:hAnsi="Times New Roman" w:cs="Times New Roman"/>
          <w:sz w:val="24"/>
          <w:szCs w:val="24"/>
        </w:rPr>
        <w:t>e</w:t>
      </w:r>
    </w:p>
    <w:p w:rsidR="0082222C" w:rsidRDefault="000B086A">
      <w:pPr>
        <w:spacing w:after="120" w:line="360" w:lineRule="auto"/>
        <w:ind w:right="1077"/>
        <w:jc w:val="both"/>
        <w:rPr>
          <w:rFonts w:ascii="Times New Roman" w:hAnsi="Times New Roman" w:cs="Times New Roman"/>
          <w:sz w:val="24"/>
          <w:szCs w:val="24"/>
        </w:rPr>
      </w:pPr>
      <w:r>
        <w:rPr>
          <w:rFonts w:ascii="Times New Roman" w:hAnsi="Times New Roman" w:cs="Times New Roman"/>
          <w:sz w:val="24"/>
          <w:szCs w:val="24"/>
        </w:rPr>
        <w:lastRenderedPageBreak/>
        <w:t>P/A: soft and Nontender</w:t>
      </w:r>
    </w:p>
    <w:p w:rsidR="0082222C" w:rsidRDefault="000B086A">
      <w:pPr>
        <w:spacing w:after="120" w:line="360" w:lineRule="auto"/>
        <w:ind w:right="1077"/>
        <w:jc w:val="both"/>
        <w:rPr>
          <w:rFonts w:ascii="Times New Roman" w:hAnsi="Times New Roman" w:cs="Times New Roman"/>
          <w:sz w:val="24"/>
          <w:szCs w:val="24"/>
        </w:rPr>
      </w:pPr>
      <w:r>
        <w:rPr>
          <w:rFonts w:ascii="Times New Roman" w:hAnsi="Times New Roman" w:cs="Times New Roman"/>
          <w:sz w:val="24"/>
          <w:szCs w:val="24"/>
        </w:rPr>
        <w:t>CNS: Conscious, oriented, No focal deficit</w:t>
      </w:r>
    </w:p>
    <w:p w:rsidR="0082222C" w:rsidRDefault="000B086A">
      <w:pPr>
        <w:spacing w:after="120" w:line="360" w:lineRule="auto"/>
        <w:ind w:right="1077"/>
        <w:rPr>
          <w:rFonts w:ascii="Times New Roman" w:hAnsi="Times New Roman" w:cs="Times New Roman"/>
          <w:b/>
          <w:sz w:val="24"/>
          <w:szCs w:val="24"/>
        </w:rPr>
      </w:pPr>
      <w:r>
        <w:rPr>
          <w:rFonts w:ascii="Times New Roman" w:hAnsi="Times New Roman" w:cs="Times New Roman"/>
          <w:b/>
          <w:sz w:val="24"/>
          <w:szCs w:val="24"/>
        </w:rPr>
        <w:t>Cardiovascular Examination-</w:t>
      </w:r>
    </w:p>
    <w:p w:rsidR="0082222C" w:rsidRDefault="000B086A">
      <w:pPr>
        <w:spacing w:after="120" w:line="360" w:lineRule="auto"/>
        <w:ind w:right="1077"/>
        <w:rPr>
          <w:rFonts w:ascii="Times New Roman" w:hAnsi="Times New Roman" w:cs="Times New Roman"/>
          <w:sz w:val="24"/>
          <w:szCs w:val="24"/>
        </w:rPr>
      </w:pPr>
      <w:r>
        <w:rPr>
          <w:rFonts w:ascii="Times New Roman" w:hAnsi="Times New Roman" w:cs="Times New Roman"/>
          <w:sz w:val="24"/>
          <w:szCs w:val="24"/>
        </w:rPr>
        <w:t>Inspection of neck: JVP-not raised, Trachea-midline</w:t>
      </w:r>
    </w:p>
    <w:p w:rsidR="0082222C" w:rsidRDefault="000B086A">
      <w:pPr>
        <w:spacing w:after="120" w:line="360" w:lineRule="auto"/>
        <w:ind w:right="-334"/>
        <w:rPr>
          <w:rFonts w:ascii="Times New Roman" w:hAnsi="Times New Roman" w:cs="Times New Roman"/>
          <w:sz w:val="24"/>
          <w:szCs w:val="24"/>
        </w:rPr>
      </w:pPr>
      <w:r>
        <w:rPr>
          <w:rFonts w:ascii="Times New Roman" w:hAnsi="Times New Roman" w:cs="Times New Roman"/>
          <w:sz w:val="24"/>
          <w:szCs w:val="24"/>
        </w:rPr>
        <w:t>Inspection of chest: Chest wall shape &amp; symmetry, no chest wall deformities, no dilated veins/scars/sinuses</w:t>
      </w:r>
    </w:p>
    <w:p w:rsidR="0082222C" w:rsidRDefault="000B086A">
      <w:pPr>
        <w:spacing w:after="120" w:line="360" w:lineRule="auto"/>
        <w:ind w:right="-424"/>
        <w:rPr>
          <w:rFonts w:ascii="Times New Roman" w:hAnsi="Times New Roman" w:cs="Times New Roman"/>
          <w:sz w:val="24"/>
          <w:szCs w:val="24"/>
        </w:rPr>
      </w:pPr>
      <w:r>
        <w:rPr>
          <w:rFonts w:ascii="Times New Roman" w:hAnsi="Times New Roman" w:cs="Times New Roman"/>
          <w:sz w:val="24"/>
          <w:szCs w:val="24"/>
        </w:rPr>
        <w:t>Palpation: Apical impulse- 5th ICS left to sternal MCL, no palpable thrills &amp; murmurs, no dilated veins</w:t>
      </w:r>
    </w:p>
    <w:p w:rsidR="0082222C" w:rsidRDefault="000B086A">
      <w:pPr>
        <w:spacing w:after="120" w:line="360" w:lineRule="auto"/>
        <w:ind w:right="-334"/>
        <w:rPr>
          <w:rFonts w:ascii="Times New Roman" w:hAnsi="Times New Roman" w:cs="Times New Roman"/>
          <w:sz w:val="24"/>
          <w:szCs w:val="24"/>
        </w:rPr>
      </w:pPr>
      <w:r>
        <w:rPr>
          <w:rFonts w:ascii="Times New Roman" w:hAnsi="Times New Roman" w:cs="Times New Roman"/>
          <w:sz w:val="24"/>
          <w:szCs w:val="24"/>
        </w:rPr>
        <w:t>Percussion: right border-corresponds to right sternal border, left border-corresponds to apex beat</w:t>
      </w:r>
    </w:p>
    <w:p w:rsidR="0082222C" w:rsidRDefault="008D52F6">
      <w:pPr>
        <w:spacing w:after="120" w:line="360" w:lineRule="auto"/>
        <w:ind w:right="1077"/>
        <w:jc w:val="both"/>
        <w:rPr>
          <w:rFonts w:ascii="Times New Roman" w:hAnsi="Times New Roman" w:cs="Times New Roman"/>
          <w:b/>
          <w:sz w:val="24"/>
          <w:szCs w:val="24"/>
        </w:rPr>
      </w:pPr>
      <w:r>
        <w:rPr>
          <w:rFonts w:ascii="Times New Roman" w:hAnsi="Times New Roman" w:cs="Times New Roman"/>
          <w:b/>
          <w:sz w:val="24"/>
          <w:szCs w:val="24"/>
        </w:rPr>
        <w:t>Table 1: Laboratory details:</w:t>
      </w:r>
    </w:p>
    <w:tbl>
      <w:tblPr>
        <w:tblStyle w:val="TableGrid1"/>
        <w:tblW w:w="0" w:type="auto"/>
        <w:tblLook w:val="04A0" w:firstRow="1" w:lastRow="0" w:firstColumn="1" w:lastColumn="0" w:noHBand="0" w:noVBand="1"/>
      </w:tblPr>
      <w:tblGrid>
        <w:gridCol w:w="3084"/>
        <w:gridCol w:w="3062"/>
        <w:gridCol w:w="3096"/>
      </w:tblGrid>
      <w:tr w:rsidR="0082222C">
        <w:tc>
          <w:tcPr>
            <w:tcW w:w="3192" w:type="dxa"/>
          </w:tcPr>
          <w:p w:rsidR="0082222C" w:rsidRDefault="000B086A">
            <w:pPr>
              <w:jc w:val="center"/>
              <w:rPr>
                <w:rFonts w:ascii="Times New Roman" w:hAnsi="Times New Roman" w:cs="Times New Roman"/>
                <w:b/>
                <w:sz w:val="24"/>
                <w:szCs w:val="24"/>
              </w:rPr>
            </w:pPr>
            <w:r>
              <w:rPr>
                <w:rFonts w:ascii="Times New Roman" w:hAnsi="Times New Roman" w:cs="Times New Roman"/>
                <w:b/>
                <w:sz w:val="24"/>
                <w:szCs w:val="24"/>
              </w:rPr>
              <w:t>TEST NAME</w:t>
            </w:r>
          </w:p>
        </w:tc>
        <w:tc>
          <w:tcPr>
            <w:tcW w:w="3192" w:type="dxa"/>
          </w:tcPr>
          <w:p w:rsidR="0082222C" w:rsidRDefault="000B086A">
            <w:pPr>
              <w:jc w:val="center"/>
              <w:rPr>
                <w:rFonts w:ascii="Times New Roman" w:hAnsi="Times New Roman" w:cs="Times New Roman"/>
                <w:b/>
                <w:sz w:val="24"/>
                <w:szCs w:val="24"/>
              </w:rPr>
            </w:pPr>
            <w:r>
              <w:rPr>
                <w:rFonts w:ascii="Times New Roman" w:hAnsi="Times New Roman" w:cs="Times New Roman"/>
                <w:b/>
                <w:sz w:val="24"/>
                <w:szCs w:val="24"/>
              </w:rPr>
              <w:t>RESULT</w:t>
            </w:r>
          </w:p>
        </w:tc>
        <w:tc>
          <w:tcPr>
            <w:tcW w:w="3192" w:type="dxa"/>
          </w:tcPr>
          <w:p w:rsidR="0082222C" w:rsidRDefault="000B086A">
            <w:pPr>
              <w:jc w:val="center"/>
              <w:rPr>
                <w:rFonts w:ascii="Times New Roman" w:hAnsi="Times New Roman" w:cs="Times New Roman"/>
                <w:b/>
                <w:sz w:val="24"/>
                <w:szCs w:val="24"/>
              </w:rPr>
            </w:pPr>
            <w:r>
              <w:rPr>
                <w:rFonts w:ascii="Times New Roman" w:hAnsi="Times New Roman" w:cs="Times New Roman"/>
                <w:b/>
                <w:sz w:val="24"/>
                <w:szCs w:val="24"/>
              </w:rPr>
              <w:t>REFERE</w:t>
            </w:r>
            <w:r>
              <w:rPr>
                <w:rFonts w:ascii="Times New Roman" w:hAnsi="Times New Roman" w:cs="Times New Roman"/>
                <w:b/>
                <w:sz w:val="24"/>
                <w:szCs w:val="24"/>
              </w:rPr>
              <w:t>NCE RANGE</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Hb</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7.0</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12-16 g/dl</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RBC</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3.93</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3.5-5.0 X 10</w:t>
            </w:r>
            <w:r>
              <w:rPr>
                <w:rFonts w:ascii="Times New Roman" w:hAnsi="Times New Roman" w:cs="Times New Roman"/>
                <w:sz w:val="24"/>
                <w:szCs w:val="24"/>
                <w:vertAlign w:val="superscript"/>
              </w:rPr>
              <w:t>6</w:t>
            </w:r>
            <w:r>
              <w:rPr>
                <w:rFonts w:ascii="Times New Roman" w:hAnsi="Times New Roman" w:cs="Times New Roman"/>
                <w:sz w:val="24"/>
                <w:szCs w:val="24"/>
              </w:rPr>
              <w:t>/mm</w:t>
            </w:r>
            <w:r>
              <w:rPr>
                <w:rFonts w:ascii="Times New Roman" w:hAnsi="Times New Roman" w:cs="Times New Roman"/>
                <w:sz w:val="24"/>
                <w:szCs w:val="24"/>
                <w:vertAlign w:val="superscript"/>
              </w:rPr>
              <w:t>3</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WBC</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11,850</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4500-11,000 cells/cumm</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Hematocrit</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22.2</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39-49%</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MCV</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56.5</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76-100 fl</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MCH</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17.9</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27-33 pg/cell</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MCHC</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31.6</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33-37 g/dl</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Neutrophils</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86</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40-75%</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Lymphocytes</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20-5-%</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Sr. Creatinine</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0.4</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 xml:space="preserve">0.6-1.2 </w:t>
            </w:r>
            <w:r>
              <w:rPr>
                <w:rFonts w:ascii="Times New Roman" w:hAnsi="Times New Roman" w:cs="Times New Roman"/>
                <w:sz w:val="24"/>
                <w:szCs w:val="24"/>
              </w:rPr>
              <w:t>mg/dl</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Sr. Urea</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20-50 mg/dl</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Sr. Uric acid</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2.1</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2.6-6 mg/dl</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Sr. total protein</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5.7</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6.6-8.3 gm/dl</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Albumin</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3.4-5 gm/dl</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Globulin</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3.7</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2-3.5 g/dl</w:t>
            </w:r>
          </w:p>
        </w:tc>
      </w:tr>
    </w:tbl>
    <w:p w:rsidR="0082222C" w:rsidRDefault="0082222C">
      <w:pPr>
        <w:spacing w:after="120" w:line="360" w:lineRule="auto"/>
        <w:ind w:right="1077"/>
        <w:jc w:val="both"/>
        <w:rPr>
          <w:rFonts w:ascii="Times New Roman" w:hAnsi="Times New Roman" w:cs="Times New Roman"/>
          <w:b/>
          <w:sz w:val="24"/>
          <w:szCs w:val="24"/>
        </w:rPr>
      </w:pPr>
    </w:p>
    <w:p w:rsidR="0082222C" w:rsidRDefault="000B086A">
      <w:pPr>
        <w:spacing w:after="120" w:line="360" w:lineRule="auto"/>
        <w:ind w:right="1077"/>
        <w:rPr>
          <w:rFonts w:ascii="Times New Roman" w:hAnsi="Times New Roman" w:cs="Times New Roman"/>
          <w:b/>
          <w:sz w:val="24"/>
          <w:szCs w:val="24"/>
          <w:u w:val="single"/>
        </w:rPr>
      </w:pPr>
      <w:r>
        <w:rPr>
          <w:rFonts w:ascii="Times New Roman" w:hAnsi="Times New Roman" w:cs="Times New Roman"/>
          <w:b/>
          <w:sz w:val="24"/>
          <w:szCs w:val="24"/>
          <w:u w:val="single"/>
        </w:rPr>
        <w:t>PERIPHERAL SMEAR:</w:t>
      </w:r>
    </w:p>
    <w:p w:rsidR="0082222C" w:rsidRDefault="000B086A">
      <w:pPr>
        <w:spacing w:after="120" w:line="360" w:lineRule="auto"/>
        <w:ind w:right="-334"/>
        <w:rPr>
          <w:rFonts w:ascii="Times New Roman" w:hAnsi="Times New Roman" w:cs="Times New Roman"/>
          <w:sz w:val="24"/>
          <w:szCs w:val="24"/>
        </w:rPr>
      </w:pPr>
      <w:r>
        <w:rPr>
          <w:rFonts w:ascii="Times New Roman" w:hAnsi="Times New Roman" w:cs="Times New Roman"/>
          <w:b/>
          <w:sz w:val="24"/>
          <w:szCs w:val="24"/>
        </w:rPr>
        <w:t>RBC's:</w:t>
      </w:r>
      <w:r>
        <w:rPr>
          <w:rFonts w:ascii="Times New Roman" w:hAnsi="Times New Roman" w:cs="Times New Roman"/>
          <w:sz w:val="24"/>
          <w:szCs w:val="24"/>
        </w:rPr>
        <w:t xml:space="preserve"> Are predominantly microcytic hypochromic cells with few normocytic hypochromic cells. Anisopoikilocytosis seen with tear drop cells, pencil shaped cells and target cells. No nRBC's/ polychromatophils/ hemoparasites seen.</w:t>
      </w:r>
      <w:r>
        <w:rPr>
          <w:rFonts w:ascii="Times New Roman" w:hAnsi="Times New Roman" w:cs="Times New Roman"/>
          <w:sz w:val="24"/>
          <w:szCs w:val="24"/>
        </w:rPr>
        <w:tab/>
      </w:r>
      <w:r>
        <w:rPr>
          <w:rFonts w:ascii="Times New Roman" w:hAnsi="Times New Roman" w:cs="Times New Roman"/>
          <w:sz w:val="24"/>
          <w:szCs w:val="24"/>
        </w:rPr>
        <w:tab/>
      </w:r>
    </w:p>
    <w:p w:rsidR="0082222C" w:rsidRDefault="000B086A">
      <w:pPr>
        <w:spacing w:after="120" w:line="360" w:lineRule="auto"/>
        <w:ind w:right="-244"/>
        <w:rPr>
          <w:rFonts w:ascii="Times New Roman" w:hAnsi="Times New Roman" w:cs="Times New Roman"/>
          <w:sz w:val="24"/>
          <w:szCs w:val="24"/>
        </w:rPr>
      </w:pPr>
      <w:r>
        <w:rPr>
          <w:rFonts w:ascii="Times New Roman" w:hAnsi="Times New Roman" w:cs="Times New Roman"/>
          <w:b/>
          <w:sz w:val="24"/>
          <w:szCs w:val="24"/>
        </w:rPr>
        <w:t xml:space="preserve">WBC's: </w:t>
      </w:r>
      <w:r>
        <w:rPr>
          <w:rFonts w:ascii="Times New Roman" w:hAnsi="Times New Roman" w:cs="Times New Roman"/>
          <w:sz w:val="24"/>
          <w:szCs w:val="24"/>
        </w:rPr>
        <w:t xml:space="preserve">Increased in number with </w:t>
      </w:r>
      <w:r>
        <w:rPr>
          <w:rFonts w:ascii="Times New Roman" w:hAnsi="Times New Roman" w:cs="Times New Roman"/>
          <w:sz w:val="24"/>
          <w:szCs w:val="24"/>
        </w:rPr>
        <w:t>increase in the distribution of neutrophils. No abnormal cells seen.</w:t>
      </w:r>
    </w:p>
    <w:p w:rsidR="0082222C" w:rsidRDefault="000B086A">
      <w:pPr>
        <w:spacing w:after="120" w:line="360" w:lineRule="auto"/>
        <w:ind w:right="-244"/>
        <w:rPr>
          <w:rFonts w:ascii="Times New Roman" w:hAnsi="Times New Roman" w:cs="Times New Roman"/>
          <w:sz w:val="24"/>
          <w:szCs w:val="24"/>
        </w:rPr>
      </w:pPr>
      <w:r>
        <w:rPr>
          <w:rFonts w:ascii="Times New Roman" w:hAnsi="Times New Roman" w:cs="Times New Roman"/>
          <w:b/>
          <w:sz w:val="24"/>
          <w:szCs w:val="24"/>
        </w:rPr>
        <w:t xml:space="preserve">Platelets: </w:t>
      </w:r>
      <w:r>
        <w:rPr>
          <w:rFonts w:ascii="Times New Roman" w:hAnsi="Times New Roman" w:cs="Times New Roman"/>
          <w:sz w:val="24"/>
          <w:szCs w:val="24"/>
        </w:rPr>
        <w:t>Increased in number, seen in singles &amp; clumps.</w:t>
      </w:r>
    </w:p>
    <w:p w:rsidR="0082222C" w:rsidRDefault="000B086A">
      <w:pPr>
        <w:spacing w:after="120" w:line="360" w:lineRule="auto"/>
        <w:ind w:right="-244"/>
        <w:rPr>
          <w:rFonts w:ascii="Times New Roman" w:hAnsi="Times New Roman" w:cs="Times New Roman"/>
          <w:b/>
          <w:sz w:val="24"/>
          <w:szCs w:val="24"/>
        </w:rPr>
      </w:pPr>
      <w:r>
        <w:rPr>
          <w:rFonts w:ascii="Times New Roman" w:hAnsi="Times New Roman" w:cs="Times New Roman"/>
          <w:b/>
          <w:sz w:val="24"/>
          <w:szCs w:val="24"/>
          <w:u w:val="single"/>
        </w:rPr>
        <w:lastRenderedPageBreak/>
        <w:t>Impression</w:t>
      </w:r>
      <w:r>
        <w:rPr>
          <w:rFonts w:ascii="Times New Roman" w:hAnsi="Times New Roman" w:cs="Times New Roman"/>
          <w:b/>
          <w:sz w:val="24"/>
          <w:szCs w:val="24"/>
        </w:rPr>
        <w:t>: Microcytic Hypochromic Anaemia with Neutrophilic Leucocytosis and Thrombocytosis.</w:t>
      </w:r>
      <w:r>
        <w:rPr>
          <w:rFonts w:ascii="Times New Roman" w:hAnsi="Times New Roman" w:cs="Times New Roman"/>
          <w:b/>
          <w:sz w:val="24"/>
          <w:szCs w:val="24"/>
        </w:rPr>
        <w:tab/>
      </w:r>
      <w:r>
        <w:rPr>
          <w:rFonts w:ascii="Times New Roman" w:hAnsi="Times New Roman" w:cs="Times New Roman"/>
          <w:b/>
          <w:sz w:val="24"/>
          <w:szCs w:val="24"/>
        </w:rPr>
        <w:tab/>
      </w:r>
    </w:p>
    <w:p w:rsidR="0082222C" w:rsidRDefault="000B086A">
      <w:pPr>
        <w:spacing w:after="120" w:line="360" w:lineRule="auto"/>
        <w:ind w:right="1077"/>
        <w:jc w:val="both"/>
        <w:rPr>
          <w:rFonts w:ascii="Times New Roman" w:hAnsi="Times New Roman" w:cs="Times New Roman"/>
          <w:b/>
          <w:sz w:val="24"/>
          <w:szCs w:val="24"/>
        </w:rPr>
      </w:pPr>
      <w:r>
        <w:rPr>
          <w:rFonts w:ascii="Times New Roman" w:hAnsi="Times New Roman" w:cs="Times New Roman"/>
          <w:b/>
          <w:sz w:val="24"/>
          <w:szCs w:val="24"/>
          <w:u w:val="single"/>
        </w:rPr>
        <w:t>2D ECHO DONE</w:t>
      </w:r>
      <w:r>
        <w:rPr>
          <w:rFonts w:ascii="Times New Roman" w:hAnsi="Times New Roman" w:cs="Times New Roman"/>
          <w:b/>
          <w:sz w:val="24"/>
          <w:szCs w:val="24"/>
        </w:rPr>
        <w:t>: SHOWED GLOBAL HYPOK</w:t>
      </w:r>
      <w:r>
        <w:rPr>
          <w:rFonts w:ascii="Times New Roman" w:hAnsi="Times New Roman" w:cs="Times New Roman"/>
          <w:b/>
          <w:sz w:val="24"/>
          <w:szCs w:val="24"/>
        </w:rPr>
        <w:t>INESIA OF LV</w:t>
      </w:r>
    </w:p>
    <w:p w:rsidR="0082222C" w:rsidRDefault="000B086A">
      <w:pPr>
        <w:spacing w:after="120" w:line="360" w:lineRule="auto"/>
        <w:ind w:right="1077"/>
        <w:jc w:val="both"/>
        <w:rPr>
          <w:rFonts w:ascii="Times New Roman" w:hAnsi="Times New Roman" w:cs="Times New Roman"/>
          <w:sz w:val="24"/>
          <w:szCs w:val="24"/>
        </w:rPr>
      </w:pPr>
      <w:r>
        <w:rPr>
          <w:rFonts w:ascii="Times New Roman" w:hAnsi="Times New Roman" w:cs="Times New Roman"/>
          <w:sz w:val="24"/>
          <w:szCs w:val="24"/>
        </w:rPr>
        <w:t>MODERATE AR</w:t>
      </w:r>
    </w:p>
    <w:p w:rsidR="0082222C" w:rsidRDefault="000B086A">
      <w:pPr>
        <w:spacing w:after="120" w:line="360" w:lineRule="auto"/>
        <w:ind w:right="1077"/>
        <w:jc w:val="both"/>
        <w:rPr>
          <w:rFonts w:ascii="Times New Roman" w:hAnsi="Times New Roman" w:cs="Times New Roman"/>
          <w:sz w:val="24"/>
          <w:szCs w:val="24"/>
        </w:rPr>
      </w:pPr>
      <w:r>
        <w:rPr>
          <w:rFonts w:ascii="Times New Roman" w:hAnsi="Times New Roman" w:cs="Times New Roman"/>
          <w:sz w:val="24"/>
          <w:szCs w:val="24"/>
        </w:rPr>
        <w:t>MILD TR/PAH</w:t>
      </w:r>
    </w:p>
    <w:p w:rsidR="0082222C" w:rsidRDefault="000B086A">
      <w:pPr>
        <w:spacing w:after="120" w:line="360" w:lineRule="auto"/>
        <w:ind w:right="1077"/>
        <w:jc w:val="both"/>
        <w:rPr>
          <w:rFonts w:ascii="Times New Roman" w:hAnsi="Times New Roman" w:cs="Times New Roman"/>
          <w:sz w:val="24"/>
          <w:szCs w:val="24"/>
        </w:rPr>
      </w:pPr>
      <w:r>
        <w:rPr>
          <w:rFonts w:ascii="Times New Roman" w:hAnsi="Times New Roman" w:cs="Times New Roman"/>
          <w:sz w:val="24"/>
          <w:szCs w:val="24"/>
        </w:rPr>
        <w:t>MILD MR</w:t>
      </w:r>
    </w:p>
    <w:p w:rsidR="0082222C" w:rsidRDefault="000B086A">
      <w:pPr>
        <w:spacing w:after="120" w:line="360" w:lineRule="auto"/>
        <w:ind w:right="1077"/>
        <w:jc w:val="both"/>
        <w:rPr>
          <w:rFonts w:ascii="Times New Roman" w:hAnsi="Times New Roman" w:cs="Times New Roman"/>
          <w:sz w:val="24"/>
          <w:szCs w:val="24"/>
        </w:rPr>
      </w:pPr>
      <w:r>
        <w:rPr>
          <w:rFonts w:ascii="Times New Roman" w:hAnsi="Times New Roman" w:cs="Times New Roman"/>
          <w:sz w:val="24"/>
          <w:szCs w:val="24"/>
        </w:rPr>
        <w:t>MILD LV SYSTOLIC DYSFUNCTION</w:t>
      </w:r>
    </w:p>
    <w:p w:rsidR="0082222C" w:rsidRDefault="000B086A">
      <w:pPr>
        <w:spacing w:after="120" w:line="360" w:lineRule="auto"/>
        <w:ind w:right="1077"/>
        <w:jc w:val="both"/>
        <w:rPr>
          <w:rFonts w:ascii="Times New Roman" w:hAnsi="Times New Roman" w:cs="Times New Roman"/>
          <w:sz w:val="24"/>
          <w:szCs w:val="24"/>
        </w:rPr>
      </w:pPr>
      <w:r>
        <w:rPr>
          <w:rFonts w:ascii="Times New Roman" w:hAnsi="Times New Roman" w:cs="Times New Roman"/>
          <w:sz w:val="24"/>
          <w:szCs w:val="24"/>
        </w:rPr>
        <w:t>LV EF-49%</w:t>
      </w:r>
    </w:p>
    <w:p w:rsidR="0082222C" w:rsidRDefault="000B086A">
      <w:pPr>
        <w:spacing w:after="120" w:line="360" w:lineRule="auto"/>
        <w:ind w:right="1077"/>
        <w:jc w:val="both"/>
        <w:rPr>
          <w:rFonts w:ascii="Times New Roman" w:hAnsi="Times New Roman" w:cs="Times New Roman"/>
          <w:sz w:val="24"/>
          <w:szCs w:val="24"/>
        </w:rPr>
      </w:pPr>
      <w:r>
        <w:rPr>
          <w:rFonts w:ascii="Times New Roman" w:hAnsi="Times New Roman" w:cs="Times New Roman"/>
          <w:sz w:val="24"/>
          <w:szCs w:val="24"/>
        </w:rPr>
        <w:t>IVC-NON-COLLAPSING</w:t>
      </w:r>
    </w:p>
    <w:p w:rsidR="0082222C" w:rsidRDefault="000B086A">
      <w:pPr>
        <w:spacing w:after="120" w:line="360" w:lineRule="auto"/>
        <w:ind w:right="1077"/>
        <w:jc w:val="both"/>
        <w:rPr>
          <w:rFonts w:ascii="Times New Roman" w:hAnsi="Times New Roman" w:cs="Times New Roman"/>
          <w:b/>
          <w:sz w:val="24"/>
          <w:szCs w:val="24"/>
          <w:u w:val="single"/>
        </w:rPr>
      </w:pPr>
      <w:r>
        <w:rPr>
          <w:rFonts w:ascii="Times New Roman" w:hAnsi="Times New Roman" w:cs="Times New Roman"/>
          <w:b/>
          <w:sz w:val="24"/>
          <w:szCs w:val="24"/>
          <w:u w:val="single"/>
        </w:rPr>
        <w:t>DOPPLER STUDY OF UPPER LIMB ARTERIAL SYSTEM:</w:t>
      </w:r>
    </w:p>
    <w:p w:rsidR="0082222C" w:rsidRDefault="000B086A">
      <w:pPr>
        <w:spacing w:after="120" w:line="360" w:lineRule="auto"/>
        <w:ind w:right="1077"/>
        <w:jc w:val="both"/>
        <w:rPr>
          <w:rFonts w:ascii="Times New Roman" w:hAnsi="Times New Roman" w:cs="Times New Roman"/>
          <w:b/>
          <w:sz w:val="24"/>
          <w:szCs w:val="24"/>
        </w:rPr>
      </w:pPr>
      <w:r>
        <w:rPr>
          <w:rFonts w:ascii="Times New Roman" w:hAnsi="Times New Roman" w:cs="Times New Roman"/>
          <w:b/>
          <w:sz w:val="24"/>
          <w:szCs w:val="24"/>
        </w:rPr>
        <w:t xml:space="preserve">LEFT: </w:t>
      </w:r>
    </w:p>
    <w:p w:rsidR="0082222C" w:rsidRDefault="000B086A">
      <w:pPr>
        <w:spacing w:after="120" w:line="240" w:lineRule="auto"/>
        <w:ind w:right="1077"/>
        <w:jc w:val="both"/>
        <w:rPr>
          <w:rFonts w:ascii="Times New Roman" w:hAnsi="Times New Roman" w:cs="Times New Roman"/>
          <w:sz w:val="24"/>
          <w:szCs w:val="24"/>
        </w:rPr>
      </w:pPr>
      <w:r>
        <w:rPr>
          <w:rFonts w:ascii="Times New Roman" w:hAnsi="Times New Roman" w:cs="Times New Roman"/>
          <w:sz w:val="24"/>
          <w:szCs w:val="24"/>
        </w:rPr>
        <w:t>Proximal subclavian artery poorly visualized due to poor window.</w:t>
      </w:r>
    </w:p>
    <w:p w:rsidR="0082222C" w:rsidRDefault="000B086A">
      <w:pPr>
        <w:spacing w:after="120" w:line="240" w:lineRule="auto"/>
        <w:ind w:right="-64"/>
        <w:jc w:val="both"/>
        <w:rPr>
          <w:rFonts w:ascii="Times New Roman" w:hAnsi="Times New Roman" w:cs="Times New Roman"/>
          <w:sz w:val="24"/>
          <w:szCs w:val="24"/>
        </w:rPr>
      </w:pPr>
      <w:r>
        <w:rPr>
          <w:rFonts w:ascii="Times New Roman" w:hAnsi="Times New Roman" w:cs="Times New Roman"/>
          <w:sz w:val="24"/>
          <w:szCs w:val="24"/>
        </w:rPr>
        <w:t xml:space="preserve">Diffuse circumferential wall </w:t>
      </w:r>
      <w:r>
        <w:rPr>
          <w:rFonts w:ascii="Times New Roman" w:hAnsi="Times New Roman" w:cs="Times New Roman"/>
          <w:sz w:val="24"/>
          <w:szCs w:val="24"/>
        </w:rPr>
        <w:t>thickening involving carotid and mid and distal subclavian artery causing moderate luminal narrowing.</w:t>
      </w:r>
    </w:p>
    <w:p w:rsidR="0082222C" w:rsidRDefault="000B086A">
      <w:pPr>
        <w:tabs>
          <w:tab w:val="left" w:pos="9000"/>
        </w:tabs>
        <w:spacing w:after="120" w:line="240" w:lineRule="auto"/>
        <w:ind w:right="-154"/>
        <w:jc w:val="both"/>
        <w:rPr>
          <w:rFonts w:ascii="Times New Roman" w:hAnsi="Times New Roman" w:cs="Times New Roman"/>
          <w:sz w:val="24"/>
          <w:szCs w:val="24"/>
        </w:rPr>
      </w:pPr>
      <w:r>
        <w:rPr>
          <w:rFonts w:ascii="Times New Roman" w:hAnsi="Times New Roman" w:cs="Times New Roman"/>
          <w:sz w:val="24"/>
          <w:szCs w:val="24"/>
        </w:rPr>
        <w:t>Monophasic flow pattern noted.</w:t>
      </w:r>
    </w:p>
    <w:p w:rsidR="0082222C" w:rsidRDefault="000B086A">
      <w:pPr>
        <w:spacing w:after="120" w:line="240" w:lineRule="auto"/>
        <w:ind w:right="-244"/>
        <w:jc w:val="both"/>
        <w:rPr>
          <w:rFonts w:ascii="Times New Roman" w:hAnsi="Times New Roman" w:cs="Times New Roman"/>
          <w:sz w:val="24"/>
          <w:szCs w:val="24"/>
        </w:rPr>
      </w:pPr>
      <w:r>
        <w:rPr>
          <w:rFonts w:ascii="Times New Roman" w:hAnsi="Times New Roman" w:cs="Times New Roman"/>
          <w:sz w:val="24"/>
          <w:szCs w:val="24"/>
        </w:rPr>
        <w:t>Axillary brachial radial and ulnar arteries are normal in caliber, no e/o wall thickening, pulse wave doppler show Monophas</w:t>
      </w:r>
      <w:r>
        <w:rPr>
          <w:rFonts w:ascii="Times New Roman" w:hAnsi="Times New Roman" w:cs="Times New Roman"/>
          <w:sz w:val="24"/>
          <w:szCs w:val="24"/>
        </w:rPr>
        <w:t>ic flow pattern.</w:t>
      </w:r>
    </w:p>
    <w:p w:rsidR="0082222C" w:rsidRDefault="000B086A">
      <w:pPr>
        <w:spacing w:after="120" w:line="360" w:lineRule="auto"/>
        <w:ind w:right="1077"/>
        <w:jc w:val="both"/>
        <w:rPr>
          <w:rFonts w:ascii="Times New Roman" w:hAnsi="Times New Roman" w:cs="Times New Roman"/>
          <w:b/>
          <w:sz w:val="24"/>
          <w:szCs w:val="24"/>
        </w:rPr>
      </w:pPr>
      <w:r>
        <w:rPr>
          <w:rFonts w:ascii="Times New Roman" w:hAnsi="Times New Roman" w:cs="Times New Roman"/>
          <w:b/>
          <w:sz w:val="24"/>
          <w:szCs w:val="24"/>
        </w:rPr>
        <w:t>RIGHT:</w:t>
      </w:r>
    </w:p>
    <w:p w:rsidR="0082222C" w:rsidRDefault="000B086A">
      <w:pPr>
        <w:spacing w:after="120" w:line="240" w:lineRule="auto"/>
        <w:ind w:right="-244"/>
        <w:jc w:val="both"/>
        <w:rPr>
          <w:rFonts w:ascii="Times New Roman" w:hAnsi="Times New Roman" w:cs="Times New Roman"/>
          <w:sz w:val="24"/>
          <w:szCs w:val="24"/>
        </w:rPr>
      </w:pPr>
      <w:r>
        <w:rPr>
          <w:rFonts w:ascii="Times New Roman" w:hAnsi="Times New Roman" w:cs="Times New Roman"/>
          <w:sz w:val="24"/>
          <w:szCs w:val="24"/>
        </w:rPr>
        <w:t>Echogenic thrombus measuring 9 x 4 mm is noted in the Right subclavian artery, causing 80% luminal narrowing and reduced flow.</w:t>
      </w:r>
    </w:p>
    <w:p w:rsidR="0082222C" w:rsidRDefault="000B086A">
      <w:pPr>
        <w:spacing w:after="120" w:line="240" w:lineRule="auto"/>
        <w:ind w:right="-424"/>
        <w:jc w:val="both"/>
        <w:rPr>
          <w:rFonts w:ascii="Times New Roman" w:hAnsi="Times New Roman" w:cs="Times New Roman"/>
          <w:sz w:val="24"/>
          <w:szCs w:val="24"/>
        </w:rPr>
      </w:pPr>
      <w:r>
        <w:rPr>
          <w:rFonts w:ascii="Times New Roman" w:hAnsi="Times New Roman" w:cs="Times New Roman"/>
          <w:sz w:val="24"/>
          <w:szCs w:val="24"/>
        </w:rPr>
        <w:t>Diffuse circumferential wall thickening involving carotid, Brachio cephalic trunk and subclavian artery c</w:t>
      </w:r>
      <w:r>
        <w:rPr>
          <w:rFonts w:ascii="Times New Roman" w:hAnsi="Times New Roman" w:cs="Times New Roman"/>
          <w:sz w:val="24"/>
          <w:szCs w:val="24"/>
        </w:rPr>
        <w:t>ausing significant luminal narrowing and showing monophasic flow pattern in distal arteries.</w:t>
      </w:r>
    </w:p>
    <w:p w:rsidR="0082222C" w:rsidRDefault="000B086A">
      <w:pPr>
        <w:spacing w:after="120" w:line="360" w:lineRule="auto"/>
        <w:ind w:left="1440" w:right="-424" w:firstLine="270"/>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3124200" cy="1914525"/>
            <wp:effectExtent l="0" t="0" r="0" b="9525"/>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srcRect/>
                    <a:stretch/>
                  </pic:blipFill>
                  <pic:spPr>
                    <a:xfrm>
                      <a:off x="0" y="0"/>
                      <a:ext cx="3124200" cy="1914525"/>
                    </a:xfrm>
                    <a:prstGeom prst="rect">
                      <a:avLst/>
                    </a:prstGeom>
                  </pic:spPr>
                </pic:pic>
              </a:graphicData>
            </a:graphic>
          </wp:inline>
        </w:drawing>
      </w:r>
    </w:p>
    <w:p w:rsidR="0082222C" w:rsidRDefault="000B086A">
      <w:pPr>
        <w:spacing w:after="120" w:line="360" w:lineRule="auto"/>
        <w:ind w:right="1077"/>
        <w:jc w:val="both"/>
        <w:rPr>
          <w:rFonts w:ascii="Times New Roman" w:hAnsi="Times New Roman" w:cs="Times New Roman"/>
          <w:b/>
          <w:sz w:val="24"/>
          <w:szCs w:val="24"/>
        </w:rPr>
      </w:pPr>
      <w:r>
        <w:rPr>
          <w:rFonts w:ascii="Times New Roman" w:hAnsi="Times New Roman" w:cs="Times New Roman"/>
          <w:b/>
          <w:sz w:val="24"/>
          <w:szCs w:val="24"/>
        </w:rPr>
        <w:t xml:space="preserve">                        Figure1: </w:t>
      </w:r>
      <w:r>
        <w:rPr>
          <w:rFonts w:ascii="Times New Roman" w:hAnsi="Times New Roman" w:cs="Times New Roman"/>
          <w:sz w:val="24"/>
          <w:szCs w:val="24"/>
        </w:rPr>
        <w:t>Doppler Study of Upper Limb Arterial System</w:t>
      </w:r>
    </w:p>
    <w:p w:rsidR="0082222C" w:rsidRDefault="000B086A">
      <w:pPr>
        <w:spacing w:after="120" w:line="360" w:lineRule="auto"/>
        <w:ind w:right="-154"/>
        <w:jc w:val="both"/>
        <w:rPr>
          <w:rFonts w:ascii="Times New Roman" w:hAnsi="Times New Roman" w:cs="Times New Roman"/>
          <w:b/>
          <w:sz w:val="24"/>
          <w:szCs w:val="24"/>
        </w:rPr>
      </w:pPr>
      <w:r>
        <w:rPr>
          <w:rFonts w:ascii="Times New Roman" w:hAnsi="Times New Roman" w:cs="Times New Roman"/>
          <w:b/>
          <w:sz w:val="24"/>
          <w:szCs w:val="24"/>
          <w:u w:val="single"/>
        </w:rPr>
        <w:lastRenderedPageBreak/>
        <w:t>Impression</w:t>
      </w:r>
      <w:r>
        <w:rPr>
          <w:rFonts w:ascii="Times New Roman" w:hAnsi="Times New Roman" w:cs="Times New Roman"/>
          <w:b/>
          <w:sz w:val="24"/>
          <w:szCs w:val="24"/>
        </w:rPr>
        <w:t>: Imaging features s/o arteritis involving bilateral carotid, subclavian a</w:t>
      </w:r>
      <w:r>
        <w:rPr>
          <w:rFonts w:ascii="Times New Roman" w:hAnsi="Times New Roman" w:cs="Times New Roman"/>
          <w:b/>
          <w:sz w:val="24"/>
          <w:szCs w:val="24"/>
        </w:rPr>
        <w:t>rteries and right Brachio cephalic trunk.</w:t>
      </w:r>
    </w:p>
    <w:p w:rsidR="0082222C" w:rsidRDefault="0082222C">
      <w:pPr>
        <w:spacing w:after="120" w:line="360" w:lineRule="auto"/>
        <w:ind w:right="-154"/>
        <w:jc w:val="both"/>
        <w:rPr>
          <w:rFonts w:ascii="Times New Roman" w:hAnsi="Times New Roman" w:cs="Times New Roman"/>
          <w:b/>
          <w:sz w:val="24"/>
          <w:szCs w:val="24"/>
        </w:rPr>
      </w:pPr>
    </w:p>
    <w:p w:rsidR="0082222C" w:rsidRDefault="000B086A">
      <w:pPr>
        <w:spacing w:after="120" w:line="360" w:lineRule="auto"/>
        <w:ind w:right="1077"/>
        <w:jc w:val="both"/>
        <w:rPr>
          <w:rFonts w:ascii="Times New Roman" w:hAnsi="Times New Roman" w:cs="Times New Roman"/>
          <w:b/>
          <w:sz w:val="24"/>
          <w:szCs w:val="24"/>
          <w:u w:val="single"/>
        </w:rPr>
      </w:pPr>
      <w:r>
        <w:rPr>
          <w:rFonts w:ascii="Times New Roman" w:hAnsi="Times New Roman" w:cs="Times New Roman"/>
          <w:b/>
          <w:sz w:val="24"/>
          <w:szCs w:val="24"/>
          <w:u w:val="single"/>
        </w:rPr>
        <w:t>ULTRASOUND SCAN OF ABDOMEN AND PELVIS:</w:t>
      </w:r>
    </w:p>
    <w:p w:rsidR="0082222C" w:rsidRDefault="000B086A">
      <w:pPr>
        <w:spacing w:after="120" w:line="360" w:lineRule="auto"/>
        <w:ind w:right="1077"/>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t>Right ovarian simple cyst</w:t>
      </w:r>
    </w:p>
    <w:p w:rsidR="0082222C" w:rsidRDefault="000B086A">
      <w:pPr>
        <w:spacing w:after="120" w:line="360" w:lineRule="auto"/>
        <w:ind w:right="1077"/>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t>Left ovarian hemorrhagic cyst</w:t>
      </w:r>
    </w:p>
    <w:p w:rsidR="0082222C" w:rsidRDefault="000B086A">
      <w:pPr>
        <w:spacing w:after="120" w:line="360" w:lineRule="auto"/>
        <w:ind w:right="1077"/>
        <w:jc w:val="both"/>
        <w:rPr>
          <w:rFonts w:ascii="Times New Roman" w:hAnsi="Times New Roman" w:cs="Times New Roman"/>
          <w:b/>
          <w:sz w:val="24"/>
          <w:szCs w:val="24"/>
        </w:rPr>
      </w:pPr>
      <w:r>
        <w:rPr>
          <w:rFonts w:ascii="Times New Roman" w:hAnsi="Times New Roman" w:cs="Times New Roman"/>
          <w:b/>
          <w:sz w:val="24"/>
          <w:szCs w:val="24"/>
        </w:rPr>
        <w:t>TREATMENT</w:t>
      </w:r>
    </w:p>
    <w:p w:rsidR="0082222C" w:rsidRDefault="008D52F6">
      <w:pPr>
        <w:spacing w:after="120" w:line="360" w:lineRule="auto"/>
        <w:ind w:right="-244"/>
        <w:jc w:val="both"/>
        <w:rPr>
          <w:rFonts w:ascii="Times New Roman" w:hAnsi="Times New Roman" w:cs="Times New Roman"/>
          <w:b/>
          <w:sz w:val="24"/>
          <w:szCs w:val="24"/>
        </w:rPr>
      </w:pPr>
      <w:bookmarkStart w:id="1" w:name="_Hlk223358095"/>
      <w:r>
        <w:rPr>
          <w:rFonts w:ascii="Times New Roman" w:hAnsi="Times New Roman" w:cs="Times New Roman"/>
          <w:b/>
          <w:sz w:val="24"/>
          <w:szCs w:val="24"/>
        </w:rPr>
        <w:t xml:space="preserve">Table </w:t>
      </w:r>
      <w:bookmarkEnd w:id="1"/>
      <w:r>
        <w:rPr>
          <w:rFonts w:ascii="Times New Roman" w:hAnsi="Times New Roman" w:cs="Times New Roman"/>
          <w:b/>
          <w:sz w:val="24"/>
          <w:szCs w:val="24"/>
        </w:rPr>
        <w:t>2: During the 4 days stay at the hospital the patient was treated with following drugs:</w:t>
      </w:r>
    </w:p>
    <w:tbl>
      <w:tblPr>
        <w:tblStyle w:val="TableGrid2"/>
        <w:tblW w:w="9468" w:type="dxa"/>
        <w:tblLook w:val="04A0" w:firstRow="1" w:lastRow="0" w:firstColumn="1" w:lastColumn="0" w:noHBand="0" w:noVBand="1"/>
      </w:tblPr>
      <w:tblGrid>
        <w:gridCol w:w="990"/>
        <w:gridCol w:w="3189"/>
        <w:gridCol w:w="1419"/>
        <w:gridCol w:w="1291"/>
        <w:gridCol w:w="1181"/>
        <w:gridCol w:w="1398"/>
      </w:tblGrid>
      <w:tr w:rsidR="0082222C">
        <w:tc>
          <w:tcPr>
            <w:tcW w:w="990" w:type="dxa"/>
          </w:tcPr>
          <w:p w:rsidR="0082222C" w:rsidRDefault="000B086A">
            <w:pPr>
              <w:rPr>
                <w:rFonts w:ascii="Times New Roman" w:hAnsi="Times New Roman" w:cs="Times New Roman"/>
                <w:b/>
                <w:sz w:val="24"/>
                <w:szCs w:val="24"/>
              </w:rPr>
            </w:pPr>
            <w:r>
              <w:rPr>
                <w:rFonts w:ascii="Times New Roman" w:hAnsi="Times New Roman" w:cs="Times New Roman"/>
                <w:b/>
                <w:sz w:val="24"/>
                <w:szCs w:val="24"/>
              </w:rPr>
              <w:t>SL.NO.</w:t>
            </w:r>
          </w:p>
        </w:tc>
        <w:tc>
          <w:tcPr>
            <w:tcW w:w="3189" w:type="dxa"/>
          </w:tcPr>
          <w:p w:rsidR="0082222C" w:rsidRDefault="000B086A">
            <w:pPr>
              <w:rPr>
                <w:rFonts w:ascii="Times New Roman" w:hAnsi="Times New Roman" w:cs="Times New Roman"/>
                <w:b/>
                <w:sz w:val="24"/>
                <w:szCs w:val="24"/>
              </w:rPr>
            </w:pPr>
            <w:r>
              <w:rPr>
                <w:rFonts w:ascii="Times New Roman" w:hAnsi="Times New Roman" w:cs="Times New Roman"/>
                <w:b/>
                <w:sz w:val="24"/>
                <w:szCs w:val="24"/>
              </w:rPr>
              <w:t>DRUGS GIVEN</w:t>
            </w:r>
          </w:p>
        </w:tc>
        <w:tc>
          <w:tcPr>
            <w:tcW w:w="1419" w:type="dxa"/>
          </w:tcPr>
          <w:p w:rsidR="0082222C" w:rsidRDefault="000B086A">
            <w:pPr>
              <w:rPr>
                <w:rFonts w:ascii="Times New Roman" w:hAnsi="Times New Roman" w:cs="Times New Roman"/>
                <w:b/>
                <w:sz w:val="24"/>
                <w:szCs w:val="24"/>
              </w:rPr>
            </w:pPr>
            <w:r>
              <w:rPr>
                <w:rFonts w:ascii="Times New Roman" w:hAnsi="Times New Roman" w:cs="Times New Roman"/>
                <w:b/>
                <w:sz w:val="24"/>
                <w:szCs w:val="24"/>
              </w:rPr>
              <w:t>DOSE</w:t>
            </w:r>
          </w:p>
        </w:tc>
        <w:tc>
          <w:tcPr>
            <w:tcW w:w="1291" w:type="dxa"/>
          </w:tcPr>
          <w:p w:rsidR="0082222C" w:rsidRDefault="000B086A">
            <w:pPr>
              <w:rPr>
                <w:rFonts w:ascii="Times New Roman" w:hAnsi="Times New Roman" w:cs="Times New Roman"/>
                <w:b/>
                <w:sz w:val="24"/>
                <w:szCs w:val="24"/>
              </w:rPr>
            </w:pPr>
            <w:r>
              <w:rPr>
                <w:rFonts w:ascii="Times New Roman" w:hAnsi="Times New Roman" w:cs="Times New Roman"/>
                <w:b/>
                <w:sz w:val="24"/>
                <w:szCs w:val="24"/>
              </w:rPr>
              <w:t>ROUTE</w:t>
            </w:r>
          </w:p>
        </w:tc>
        <w:tc>
          <w:tcPr>
            <w:tcW w:w="1181" w:type="dxa"/>
          </w:tcPr>
          <w:p w:rsidR="0082222C" w:rsidRDefault="000B086A">
            <w:pPr>
              <w:rPr>
                <w:rFonts w:ascii="Times New Roman" w:hAnsi="Times New Roman" w:cs="Times New Roman"/>
                <w:b/>
                <w:sz w:val="24"/>
                <w:szCs w:val="24"/>
              </w:rPr>
            </w:pPr>
            <w:r>
              <w:rPr>
                <w:rFonts w:ascii="Times New Roman" w:hAnsi="Times New Roman" w:cs="Times New Roman"/>
                <w:b/>
                <w:sz w:val="24"/>
                <w:szCs w:val="24"/>
              </w:rPr>
              <w:t>FREQ</w:t>
            </w:r>
          </w:p>
        </w:tc>
        <w:tc>
          <w:tcPr>
            <w:tcW w:w="1398" w:type="dxa"/>
          </w:tcPr>
          <w:p w:rsidR="0082222C" w:rsidRDefault="000B086A">
            <w:pPr>
              <w:rPr>
                <w:rFonts w:ascii="Times New Roman" w:hAnsi="Times New Roman" w:cs="Times New Roman"/>
                <w:b/>
                <w:sz w:val="24"/>
                <w:szCs w:val="24"/>
              </w:rPr>
            </w:pPr>
            <w:r>
              <w:rPr>
                <w:rFonts w:ascii="Times New Roman" w:hAnsi="Times New Roman" w:cs="Times New Roman"/>
                <w:b/>
                <w:sz w:val="24"/>
                <w:szCs w:val="24"/>
              </w:rPr>
              <w:t>No. of days given</w:t>
            </w:r>
          </w:p>
        </w:tc>
      </w:tr>
      <w:tr w:rsidR="0082222C">
        <w:tc>
          <w:tcPr>
            <w:tcW w:w="990"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w:t>
            </w:r>
          </w:p>
        </w:tc>
        <w:tc>
          <w:tcPr>
            <w:tcW w:w="31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Inj. HYDROCORTISONE</w:t>
            </w:r>
          </w:p>
        </w:tc>
        <w:tc>
          <w:tcPr>
            <w:tcW w:w="141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100 mg</w:t>
            </w:r>
          </w:p>
        </w:tc>
        <w:tc>
          <w:tcPr>
            <w:tcW w:w="129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IV</w:t>
            </w:r>
          </w:p>
        </w:tc>
        <w:tc>
          <w:tcPr>
            <w:tcW w:w="118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1-1-1-1</w:t>
            </w:r>
          </w:p>
        </w:tc>
        <w:tc>
          <w:tcPr>
            <w:tcW w:w="1398"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 days</w:t>
            </w:r>
          </w:p>
        </w:tc>
      </w:tr>
      <w:tr w:rsidR="0082222C">
        <w:tc>
          <w:tcPr>
            <w:tcW w:w="990"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w:t>
            </w:r>
          </w:p>
        </w:tc>
        <w:tc>
          <w:tcPr>
            <w:tcW w:w="31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Inj. ONDANSETRON</w:t>
            </w:r>
          </w:p>
        </w:tc>
        <w:tc>
          <w:tcPr>
            <w:tcW w:w="141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4 mg</w:t>
            </w:r>
          </w:p>
        </w:tc>
        <w:tc>
          <w:tcPr>
            <w:tcW w:w="129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IV</w:t>
            </w:r>
          </w:p>
        </w:tc>
        <w:tc>
          <w:tcPr>
            <w:tcW w:w="118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1-1-1</w:t>
            </w:r>
          </w:p>
        </w:tc>
        <w:tc>
          <w:tcPr>
            <w:tcW w:w="1398"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4 days</w:t>
            </w:r>
          </w:p>
        </w:tc>
      </w:tr>
      <w:tr w:rsidR="0082222C">
        <w:tc>
          <w:tcPr>
            <w:tcW w:w="990"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3</w:t>
            </w:r>
          </w:p>
        </w:tc>
        <w:tc>
          <w:tcPr>
            <w:tcW w:w="31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Inj. PANTOPRAZOLE</w:t>
            </w:r>
          </w:p>
        </w:tc>
        <w:tc>
          <w:tcPr>
            <w:tcW w:w="141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40 mg</w:t>
            </w:r>
          </w:p>
        </w:tc>
        <w:tc>
          <w:tcPr>
            <w:tcW w:w="129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IV</w:t>
            </w:r>
          </w:p>
        </w:tc>
        <w:tc>
          <w:tcPr>
            <w:tcW w:w="118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1-0-0</w:t>
            </w:r>
          </w:p>
        </w:tc>
        <w:tc>
          <w:tcPr>
            <w:tcW w:w="1398"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4 days</w:t>
            </w:r>
          </w:p>
        </w:tc>
      </w:tr>
      <w:tr w:rsidR="0082222C">
        <w:tc>
          <w:tcPr>
            <w:tcW w:w="990"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4</w:t>
            </w:r>
          </w:p>
        </w:tc>
        <w:tc>
          <w:tcPr>
            <w:tcW w:w="31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NS IV Fluids</w:t>
            </w:r>
          </w:p>
        </w:tc>
        <w:tc>
          <w:tcPr>
            <w:tcW w:w="141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100 ml/hr</w:t>
            </w:r>
          </w:p>
        </w:tc>
        <w:tc>
          <w:tcPr>
            <w:tcW w:w="129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IV</w:t>
            </w:r>
          </w:p>
        </w:tc>
        <w:tc>
          <w:tcPr>
            <w:tcW w:w="1181" w:type="dxa"/>
          </w:tcPr>
          <w:p w:rsidR="0082222C" w:rsidRDefault="0082222C">
            <w:pPr>
              <w:jc w:val="center"/>
              <w:rPr>
                <w:rFonts w:ascii="Times New Roman" w:hAnsi="Times New Roman" w:cs="Times New Roman"/>
                <w:sz w:val="24"/>
                <w:szCs w:val="24"/>
              </w:rPr>
            </w:pPr>
          </w:p>
        </w:tc>
        <w:tc>
          <w:tcPr>
            <w:tcW w:w="1398"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4 days</w:t>
            </w:r>
          </w:p>
        </w:tc>
      </w:tr>
      <w:tr w:rsidR="0082222C">
        <w:tc>
          <w:tcPr>
            <w:tcW w:w="990"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5</w:t>
            </w:r>
          </w:p>
        </w:tc>
        <w:tc>
          <w:tcPr>
            <w:tcW w:w="31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Inj. ADRENALINE</w:t>
            </w:r>
          </w:p>
        </w:tc>
        <w:tc>
          <w:tcPr>
            <w:tcW w:w="141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 ml in 9 ml NS</w:t>
            </w:r>
          </w:p>
        </w:tc>
        <w:tc>
          <w:tcPr>
            <w:tcW w:w="129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IV</w:t>
            </w:r>
          </w:p>
        </w:tc>
        <w:tc>
          <w:tcPr>
            <w:tcW w:w="1181" w:type="dxa"/>
          </w:tcPr>
          <w:p w:rsidR="0082222C" w:rsidRDefault="0082222C">
            <w:pPr>
              <w:jc w:val="center"/>
              <w:rPr>
                <w:rFonts w:ascii="Times New Roman" w:hAnsi="Times New Roman" w:cs="Times New Roman"/>
                <w:sz w:val="24"/>
                <w:szCs w:val="24"/>
              </w:rPr>
            </w:pPr>
          </w:p>
        </w:tc>
        <w:tc>
          <w:tcPr>
            <w:tcW w:w="1398"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day</w:t>
            </w:r>
          </w:p>
        </w:tc>
      </w:tr>
      <w:tr w:rsidR="0082222C">
        <w:tc>
          <w:tcPr>
            <w:tcW w:w="990"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6</w:t>
            </w:r>
          </w:p>
        </w:tc>
        <w:tc>
          <w:tcPr>
            <w:tcW w:w="31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Inj. PHENIRAMINE</w:t>
            </w:r>
          </w:p>
        </w:tc>
        <w:tc>
          <w:tcPr>
            <w:tcW w:w="141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1amp</w:t>
            </w:r>
          </w:p>
        </w:tc>
        <w:tc>
          <w:tcPr>
            <w:tcW w:w="129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IV</w:t>
            </w:r>
          </w:p>
        </w:tc>
        <w:tc>
          <w:tcPr>
            <w:tcW w:w="118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1-1-1</w:t>
            </w:r>
          </w:p>
        </w:tc>
        <w:tc>
          <w:tcPr>
            <w:tcW w:w="1398"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 days</w:t>
            </w:r>
          </w:p>
        </w:tc>
      </w:tr>
      <w:tr w:rsidR="0082222C">
        <w:tc>
          <w:tcPr>
            <w:tcW w:w="990"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7</w:t>
            </w:r>
          </w:p>
        </w:tc>
        <w:tc>
          <w:tcPr>
            <w:tcW w:w="31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Inj. Human Regular Insulin</w:t>
            </w:r>
          </w:p>
        </w:tc>
        <w:tc>
          <w:tcPr>
            <w:tcW w:w="141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12 IU</w:t>
            </w:r>
          </w:p>
        </w:tc>
        <w:tc>
          <w:tcPr>
            <w:tcW w:w="129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S/C</w:t>
            </w:r>
          </w:p>
        </w:tc>
        <w:tc>
          <w:tcPr>
            <w:tcW w:w="118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Q8H</w:t>
            </w:r>
          </w:p>
        </w:tc>
        <w:tc>
          <w:tcPr>
            <w:tcW w:w="1398"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 days</w:t>
            </w:r>
          </w:p>
        </w:tc>
      </w:tr>
      <w:tr w:rsidR="0082222C">
        <w:tc>
          <w:tcPr>
            <w:tcW w:w="990"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8</w:t>
            </w:r>
          </w:p>
        </w:tc>
        <w:tc>
          <w:tcPr>
            <w:tcW w:w="31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Inj. CEFTRIAXONE</w:t>
            </w:r>
          </w:p>
        </w:tc>
        <w:tc>
          <w:tcPr>
            <w:tcW w:w="141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 gm</w:t>
            </w:r>
          </w:p>
        </w:tc>
        <w:tc>
          <w:tcPr>
            <w:tcW w:w="129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IV</w:t>
            </w:r>
          </w:p>
        </w:tc>
        <w:tc>
          <w:tcPr>
            <w:tcW w:w="118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1-0-1</w:t>
            </w:r>
          </w:p>
        </w:tc>
        <w:tc>
          <w:tcPr>
            <w:tcW w:w="1398"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3 days</w:t>
            </w:r>
          </w:p>
        </w:tc>
      </w:tr>
      <w:tr w:rsidR="0082222C">
        <w:tc>
          <w:tcPr>
            <w:tcW w:w="990"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9</w:t>
            </w:r>
          </w:p>
        </w:tc>
        <w:tc>
          <w:tcPr>
            <w:tcW w:w="31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Iron supplement infusion</w:t>
            </w:r>
          </w:p>
        </w:tc>
        <w:tc>
          <w:tcPr>
            <w:tcW w:w="141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100 mg in 100 ml NS</w:t>
            </w:r>
          </w:p>
        </w:tc>
        <w:tc>
          <w:tcPr>
            <w:tcW w:w="129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IV</w:t>
            </w:r>
          </w:p>
        </w:tc>
        <w:tc>
          <w:tcPr>
            <w:tcW w:w="118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0-1-0</w:t>
            </w:r>
          </w:p>
        </w:tc>
        <w:tc>
          <w:tcPr>
            <w:tcW w:w="1398"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2days</w:t>
            </w:r>
          </w:p>
        </w:tc>
      </w:tr>
      <w:tr w:rsidR="0082222C">
        <w:tc>
          <w:tcPr>
            <w:tcW w:w="990"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10</w:t>
            </w:r>
          </w:p>
        </w:tc>
        <w:tc>
          <w:tcPr>
            <w:tcW w:w="31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Inj. ENOXAPARIN</w:t>
            </w:r>
          </w:p>
        </w:tc>
        <w:tc>
          <w:tcPr>
            <w:tcW w:w="141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40 mg</w:t>
            </w:r>
          </w:p>
        </w:tc>
        <w:tc>
          <w:tcPr>
            <w:tcW w:w="129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S/C</w:t>
            </w:r>
          </w:p>
        </w:tc>
        <w:tc>
          <w:tcPr>
            <w:tcW w:w="118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1-0-1</w:t>
            </w:r>
          </w:p>
        </w:tc>
        <w:tc>
          <w:tcPr>
            <w:tcW w:w="1398"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2days</w:t>
            </w:r>
          </w:p>
        </w:tc>
      </w:tr>
      <w:tr w:rsidR="0082222C">
        <w:tc>
          <w:tcPr>
            <w:tcW w:w="990"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11</w:t>
            </w:r>
          </w:p>
        </w:tc>
        <w:tc>
          <w:tcPr>
            <w:tcW w:w="31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 xml:space="preserve">Inj. </w:t>
            </w:r>
            <w:r>
              <w:rPr>
                <w:rFonts w:ascii="Times New Roman" w:hAnsi="Times New Roman" w:cs="Times New Roman"/>
                <w:sz w:val="24"/>
                <w:szCs w:val="24"/>
              </w:rPr>
              <w:t>METHYLPREDNISOLONE</w:t>
            </w:r>
          </w:p>
        </w:tc>
        <w:tc>
          <w:tcPr>
            <w:tcW w:w="141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1000mg</w:t>
            </w:r>
          </w:p>
        </w:tc>
        <w:tc>
          <w:tcPr>
            <w:tcW w:w="129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IV</w:t>
            </w:r>
          </w:p>
        </w:tc>
        <w:tc>
          <w:tcPr>
            <w:tcW w:w="118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Stat</w:t>
            </w:r>
          </w:p>
        </w:tc>
        <w:tc>
          <w:tcPr>
            <w:tcW w:w="1398"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 day</w:t>
            </w:r>
          </w:p>
        </w:tc>
      </w:tr>
    </w:tbl>
    <w:p w:rsidR="0082222C" w:rsidRDefault="0082222C">
      <w:pPr>
        <w:spacing w:after="120" w:line="360" w:lineRule="auto"/>
        <w:ind w:right="1077"/>
        <w:jc w:val="both"/>
        <w:rPr>
          <w:rFonts w:ascii="Times New Roman" w:hAnsi="Times New Roman" w:cs="Times New Roman"/>
          <w:b/>
          <w:sz w:val="24"/>
          <w:szCs w:val="24"/>
        </w:rPr>
      </w:pPr>
    </w:p>
    <w:p w:rsidR="0082222C" w:rsidRDefault="000B086A">
      <w:pPr>
        <w:spacing w:after="120" w:line="360" w:lineRule="auto"/>
        <w:ind w:right="-424"/>
        <w:jc w:val="both"/>
        <w:rPr>
          <w:rFonts w:ascii="Times New Roman" w:hAnsi="Times New Roman" w:cs="Times New Roman"/>
          <w:sz w:val="24"/>
          <w:szCs w:val="24"/>
        </w:rPr>
      </w:pPr>
      <w:r>
        <w:rPr>
          <w:rFonts w:ascii="Times New Roman" w:hAnsi="Times New Roman" w:cs="Times New Roman"/>
          <w:sz w:val="24"/>
          <w:szCs w:val="24"/>
        </w:rPr>
        <w:t>The vitals are monitored and the patient was referred to Higher Center for further evaluation.</w:t>
      </w:r>
    </w:p>
    <w:p w:rsidR="0082222C" w:rsidRDefault="008D52F6">
      <w:pPr>
        <w:spacing w:after="120" w:line="360" w:lineRule="auto"/>
        <w:ind w:right="-424"/>
        <w:jc w:val="both"/>
        <w:rPr>
          <w:rFonts w:ascii="Times New Roman" w:hAnsi="Times New Roman" w:cs="Times New Roman"/>
          <w:b/>
          <w:sz w:val="24"/>
          <w:szCs w:val="24"/>
        </w:rPr>
      </w:pPr>
      <w:r>
        <w:rPr>
          <w:rFonts w:ascii="Times New Roman" w:hAnsi="Times New Roman" w:cs="Times New Roman"/>
          <w:b/>
          <w:sz w:val="24"/>
          <w:szCs w:val="24"/>
        </w:rPr>
        <w:t>Table 3: DISCHARGE MEDICATION</w:t>
      </w:r>
    </w:p>
    <w:tbl>
      <w:tblPr>
        <w:tblStyle w:val="TableGrid3"/>
        <w:tblW w:w="9468" w:type="dxa"/>
        <w:tblLook w:val="04A0" w:firstRow="1" w:lastRow="0" w:firstColumn="1" w:lastColumn="0" w:noHBand="0" w:noVBand="1"/>
      </w:tblPr>
      <w:tblGrid>
        <w:gridCol w:w="917"/>
        <w:gridCol w:w="3707"/>
        <w:gridCol w:w="1553"/>
        <w:gridCol w:w="1489"/>
        <w:gridCol w:w="1802"/>
      </w:tblGrid>
      <w:tr w:rsidR="0082222C">
        <w:tc>
          <w:tcPr>
            <w:tcW w:w="917" w:type="dxa"/>
          </w:tcPr>
          <w:p w:rsidR="0082222C" w:rsidRDefault="000B086A">
            <w:pPr>
              <w:jc w:val="center"/>
              <w:rPr>
                <w:rFonts w:ascii="Times New Roman" w:hAnsi="Times New Roman" w:cs="Times New Roman"/>
                <w:b/>
                <w:sz w:val="24"/>
                <w:szCs w:val="24"/>
              </w:rPr>
            </w:pPr>
            <w:r>
              <w:rPr>
                <w:rFonts w:ascii="Times New Roman" w:hAnsi="Times New Roman" w:cs="Times New Roman"/>
                <w:b/>
                <w:sz w:val="24"/>
                <w:szCs w:val="24"/>
              </w:rPr>
              <w:t>Sl.NO.</w:t>
            </w:r>
          </w:p>
        </w:tc>
        <w:tc>
          <w:tcPr>
            <w:tcW w:w="3707" w:type="dxa"/>
          </w:tcPr>
          <w:p w:rsidR="0082222C" w:rsidRDefault="000B086A">
            <w:pPr>
              <w:jc w:val="center"/>
              <w:rPr>
                <w:rFonts w:ascii="Times New Roman" w:hAnsi="Times New Roman" w:cs="Times New Roman"/>
                <w:b/>
                <w:sz w:val="24"/>
                <w:szCs w:val="24"/>
              </w:rPr>
            </w:pPr>
            <w:r>
              <w:rPr>
                <w:rFonts w:ascii="Times New Roman" w:hAnsi="Times New Roman" w:cs="Times New Roman"/>
                <w:b/>
                <w:sz w:val="24"/>
                <w:szCs w:val="24"/>
              </w:rPr>
              <w:t>DRUGS GIVEN</w:t>
            </w:r>
          </w:p>
        </w:tc>
        <w:tc>
          <w:tcPr>
            <w:tcW w:w="1553" w:type="dxa"/>
          </w:tcPr>
          <w:p w:rsidR="0082222C" w:rsidRDefault="000B086A">
            <w:pPr>
              <w:jc w:val="center"/>
              <w:rPr>
                <w:rFonts w:ascii="Times New Roman" w:hAnsi="Times New Roman" w:cs="Times New Roman"/>
                <w:b/>
                <w:sz w:val="24"/>
                <w:szCs w:val="24"/>
              </w:rPr>
            </w:pPr>
            <w:r>
              <w:rPr>
                <w:rFonts w:ascii="Times New Roman" w:hAnsi="Times New Roman" w:cs="Times New Roman"/>
                <w:b/>
                <w:sz w:val="24"/>
                <w:szCs w:val="24"/>
              </w:rPr>
              <w:t>DOSE</w:t>
            </w:r>
          </w:p>
        </w:tc>
        <w:tc>
          <w:tcPr>
            <w:tcW w:w="1489" w:type="dxa"/>
          </w:tcPr>
          <w:p w:rsidR="0082222C" w:rsidRDefault="000B086A">
            <w:pPr>
              <w:jc w:val="center"/>
              <w:rPr>
                <w:rFonts w:ascii="Times New Roman" w:hAnsi="Times New Roman" w:cs="Times New Roman"/>
                <w:b/>
                <w:sz w:val="24"/>
                <w:szCs w:val="24"/>
              </w:rPr>
            </w:pPr>
            <w:r>
              <w:rPr>
                <w:rFonts w:ascii="Times New Roman" w:hAnsi="Times New Roman" w:cs="Times New Roman"/>
                <w:b/>
                <w:sz w:val="24"/>
                <w:szCs w:val="24"/>
              </w:rPr>
              <w:t>ROUTE</w:t>
            </w:r>
          </w:p>
        </w:tc>
        <w:tc>
          <w:tcPr>
            <w:tcW w:w="1802" w:type="dxa"/>
          </w:tcPr>
          <w:p w:rsidR="0082222C" w:rsidRDefault="000B086A">
            <w:pPr>
              <w:jc w:val="center"/>
              <w:rPr>
                <w:rFonts w:ascii="Times New Roman" w:hAnsi="Times New Roman" w:cs="Times New Roman"/>
                <w:b/>
                <w:sz w:val="24"/>
                <w:szCs w:val="24"/>
              </w:rPr>
            </w:pPr>
            <w:r>
              <w:rPr>
                <w:rFonts w:ascii="Times New Roman" w:hAnsi="Times New Roman" w:cs="Times New Roman"/>
                <w:b/>
                <w:sz w:val="24"/>
                <w:szCs w:val="24"/>
              </w:rPr>
              <w:t>FREQ.</w:t>
            </w:r>
          </w:p>
        </w:tc>
      </w:tr>
      <w:tr w:rsidR="0082222C">
        <w:tc>
          <w:tcPr>
            <w:tcW w:w="917"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w:t>
            </w:r>
          </w:p>
        </w:tc>
        <w:tc>
          <w:tcPr>
            <w:tcW w:w="3707"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Tab. PREDNISOLONE</w:t>
            </w:r>
          </w:p>
        </w:tc>
        <w:tc>
          <w:tcPr>
            <w:tcW w:w="1553"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40 mg</w:t>
            </w:r>
          </w:p>
        </w:tc>
        <w:tc>
          <w:tcPr>
            <w:tcW w:w="14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P/O</w:t>
            </w:r>
          </w:p>
        </w:tc>
        <w:tc>
          <w:tcPr>
            <w:tcW w:w="180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3-0-0</w:t>
            </w:r>
          </w:p>
        </w:tc>
      </w:tr>
      <w:tr w:rsidR="0082222C">
        <w:tc>
          <w:tcPr>
            <w:tcW w:w="917"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w:t>
            </w:r>
          </w:p>
        </w:tc>
        <w:tc>
          <w:tcPr>
            <w:tcW w:w="3707"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 xml:space="preserve">Inj. </w:t>
            </w:r>
            <w:r>
              <w:rPr>
                <w:rFonts w:ascii="Times New Roman" w:hAnsi="Times New Roman" w:cs="Times New Roman"/>
                <w:sz w:val="24"/>
                <w:szCs w:val="24"/>
              </w:rPr>
              <w:t>ENOXAPARIN</w:t>
            </w:r>
          </w:p>
        </w:tc>
        <w:tc>
          <w:tcPr>
            <w:tcW w:w="1553"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40mg</w:t>
            </w:r>
          </w:p>
        </w:tc>
        <w:tc>
          <w:tcPr>
            <w:tcW w:w="14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S/C</w:t>
            </w:r>
          </w:p>
        </w:tc>
        <w:tc>
          <w:tcPr>
            <w:tcW w:w="180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1-0-1</w:t>
            </w:r>
          </w:p>
        </w:tc>
      </w:tr>
    </w:tbl>
    <w:p w:rsidR="0082222C" w:rsidRDefault="0082222C">
      <w:pPr>
        <w:spacing w:after="120" w:line="360" w:lineRule="auto"/>
        <w:ind w:right="1077"/>
        <w:jc w:val="both"/>
        <w:rPr>
          <w:rFonts w:ascii="Times New Roman" w:hAnsi="Times New Roman" w:cs="Times New Roman"/>
          <w:b/>
          <w:sz w:val="24"/>
          <w:szCs w:val="24"/>
        </w:rPr>
      </w:pPr>
    </w:p>
    <w:p w:rsidR="0082222C" w:rsidRDefault="000B086A">
      <w:pPr>
        <w:spacing w:after="120" w:line="360" w:lineRule="auto"/>
        <w:ind w:right="1077"/>
        <w:jc w:val="both"/>
        <w:rPr>
          <w:rFonts w:ascii="Times New Roman" w:hAnsi="Times New Roman" w:cs="Times New Roman"/>
          <w:sz w:val="24"/>
          <w:szCs w:val="24"/>
        </w:rPr>
      </w:pPr>
      <w:r>
        <w:rPr>
          <w:rFonts w:ascii="Times New Roman" w:hAnsi="Times New Roman" w:cs="Times New Roman"/>
          <w:sz w:val="24"/>
          <w:szCs w:val="24"/>
        </w:rPr>
        <w:t>Above drugs should be continued till surgical intervention for Takayasu Arteritis.</w:t>
      </w:r>
    </w:p>
    <w:p w:rsidR="0082222C" w:rsidRDefault="000B086A">
      <w:pPr>
        <w:spacing w:after="120" w:line="360" w:lineRule="auto"/>
        <w:ind w:right="1077"/>
        <w:jc w:val="both"/>
        <w:rPr>
          <w:rFonts w:ascii="Times New Roman" w:hAnsi="Times New Roman" w:cs="Times New Roman"/>
          <w:b/>
          <w:sz w:val="24"/>
          <w:szCs w:val="24"/>
          <w:u w:val="single"/>
        </w:rPr>
      </w:pPr>
      <w:r>
        <w:rPr>
          <w:rFonts w:ascii="Times New Roman" w:hAnsi="Times New Roman" w:cs="Times New Roman"/>
          <w:b/>
          <w:sz w:val="24"/>
          <w:szCs w:val="24"/>
          <w:u w:val="single"/>
        </w:rPr>
        <w:t>DISCUSSION</w:t>
      </w:r>
    </w:p>
    <w:p w:rsidR="0082222C" w:rsidRDefault="000B086A">
      <w:pPr>
        <w:spacing w:after="120" w:line="360" w:lineRule="auto"/>
        <w:ind w:right="-154"/>
        <w:jc w:val="both"/>
        <w:rPr>
          <w:rFonts w:ascii="Times New Roman" w:hAnsi="Times New Roman" w:cs="Times New Roman"/>
          <w:bCs/>
          <w:sz w:val="24"/>
          <w:szCs w:val="24"/>
        </w:rPr>
      </w:pPr>
      <w:r>
        <w:rPr>
          <w:rFonts w:ascii="Times New Roman" w:hAnsi="Times New Roman" w:cs="Times New Roman"/>
          <w:bCs/>
          <w:sz w:val="24"/>
          <w:szCs w:val="24"/>
        </w:rPr>
        <w:t xml:space="preserve">Takayasu Arteritis (TA) is a rare, chronic granulomatous large-vessel vasculitis that primarily affects young women and involves the </w:t>
      </w:r>
      <w:r>
        <w:rPr>
          <w:rFonts w:ascii="Times New Roman" w:hAnsi="Times New Roman" w:cs="Times New Roman"/>
          <w:bCs/>
          <w:sz w:val="24"/>
          <w:szCs w:val="24"/>
        </w:rPr>
        <w:t>aorta and its major branches. In this case report, a 32-</w:t>
      </w:r>
      <w:r>
        <w:rPr>
          <w:rFonts w:ascii="Times New Roman" w:hAnsi="Times New Roman" w:cs="Times New Roman"/>
          <w:bCs/>
          <w:sz w:val="24"/>
          <w:szCs w:val="24"/>
        </w:rPr>
        <w:lastRenderedPageBreak/>
        <w:t xml:space="preserve">year-old female presented with sudden weakness and breathlessness alongside a history of visual blurring and upper limb numbness. A similar acute neurological presentation, where a 28-year-old female </w:t>
      </w:r>
      <w:r>
        <w:rPr>
          <w:rFonts w:ascii="Times New Roman" w:hAnsi="Times New Roman" w:cs="Times New Roman"/>
          <w:bCs/>
          <w:sz w:val="24"/>
          <w:szCs w:val="24"/>
        </w:rPr>
        <w:t>presented with acute onset left-sided weakness and numbness due to an infarct</w:t>
      </w:r>
      <w:r>
        <w:rPr>
          <w:rFonts w:ascii="Times New Roman" w:hAnsi="Times New Roman" w:cs="Times New Roman"/>
          <w:bCs/>
          <w:sz w:val="24"/>
          <w:szCs w:val="24"/>
          <w:vertAlign w:val="superscript"/>
        </w:rPr>
        <w:t>3</w:t>
      </w:r>
      <w:r>
        <w:rPr>
          <w:rFonts w:ascii="Times New Roman" w:hAnsi="Times New Roman" w:cs="Times New Roman"/>
          <w:bCs/>
          <w:sz w:val="24"/>
          <w:szCs w:val="24"/>
        </w:rPr>
        <w:t>. Furthermore, an article describes a 24-year-old female whose initial symptom was acute left heart failure, presenting with abrupt respiratory distress</w:t>
      </w:r>
      <w:r>
        <w:rPr>
          <w:rFonts w:ascii="Times New Roman" w:hAnsi="Times New Roman" w:cs="Times New Roman"/>
          <w:bCs/>
          <w:sz w:val="24"/>
          <w:szCs w:val="24"/>
          <w:vertAlign w:val="superscript"/>
        </w:rPr>
        <w:t>4</w:t>
      </w:r>
      <w:r>
        <w:rPr>
          <w:rFonts w:ascii="Times New Roman" w:hAnsi="Times New Roman" w:cs="Times New Roman"/>
          <w:bCs/>
          <w:sz w:val="24"/>
          <w:szCs w:val="24"/>
        </w:rPr>
        <w:t>.</w:t>
      </w:r>
    </w:p>
    <w:p w:rsidR="0082222C" w:rsidRDefault="000B086A">
      <w:pPr>
        <w:spacing w:after="120" w:line="360" w:lineRule="auto"/>
        <w:ind w:right="-154"/>
        <w:jc w:val="both"/>
        <w:rPr>
          <w:rFonts w:ascii="Times New Roman" w:hAnsi="Times New Roman" w:cs="Times New Roman"/>
          <w:bCs/>
          <w:sz w:val="24"/>
          <w:szCs w:val="24"/>
        </w:rPr>
      </w:pPr>
      <w:r>
        <w:rPr>
          <w:rFonts w:ascii="Times New Roman" w:hAnsi="Times New Roman" w:cs="Times New Roman"/>
          <w:bCs/>
          <w:sz w:val="24"/>
          <w:szCs w:val="24"/>
        </w:rPr>
        <w:t xml:space="preserve">Diagnosis is based on </w:t>
      </w:r>
      <w:r>
        <w:rPr>
          <w:rFonts w:ascii="Times New Roman" w:hAnsi="Times New Roman" w:cs="Times New Roman"/>
          <w:bCs/>
          <w:sz w:val="24"/>
          <w:szCs w:val="24"/>
        </w:rPr>
        <w:t>suspicion as well arteriographic findings. There continues to be a substantial lack of understanding of the pathogenesis of Takayasu arteritis however Involvement of CD4+ and CD8+ T cells may play a key role in the pathophysiology of Takayasu arteritis, as</w:t>
      </w:r>
      <w:r>
        <w:rPr>
          <w:rFonts w:ascii="Times New Roman" w:hAnsi="Times New Roman" w:cs="Times New Roman"/>
          <w:bCs/>
          <w:sz w:val="24"/>
          <w:szCs w:val="24"/>
        </w:rPr>
        <w:t xml:space="preserve"> these cells support the formation of granulomas and potentially activate the activities of various proteases such as matrix metalloproteinase (MMP), as well as other cells which promote chronic inflammation and fibrosis formation. There has also been spec</w:t>
      </w:r>
      <w:r>
        <w:rPr>
          <w:rFonts w:ascii="Times New Roman" w:hAnsi="Times New Roman" w:cs="Times New Roman"/>
          <w:bCs/>
          <w:sz w:val="24"/>
          <w:szCs w:val="24"/>
        </w:rPr>
        <w:t>ulation about a potential link with certain human leukocyte antigens (HLA). The strongest association has been established with HLA-B52 in Japanese and other populations</w:t>
      </w:r>
      <w:r>
        <w:rPr>
          <w:rFonts w:ascii="Times New Roman" w:hAnsi="Times New Roman" w:cs="Times New Roman"/>
          <w:bCs/>
          <w:sz w:val="24"/>
          <w:szCs w:val="24"/>
          <w:vertAlign w:val="superscript"/>
        </w:rPr>
        <w:t>13</w:t>
      </w:r>
      <w:r>
        <w:rPr>
          <w:rFonts w:ascii="Times New Roman" w:hAnsi="Times New Roman" w:cs="Times New Roman"/>
          <w:bCs/>
          <w:sz w:val="24"/>
          <w:szCs w:val="24"/>
        </w:rPr>
        <w:t>.</w:t>
      </w:r>
    </w:p>
    <w:p w:rsidR="0082222C" w:rsidRDefault="000B086A">
      <w:pPr>
        <w:spacing w:after="120" w:line="360" w:lineRule="auto"/>
        <w:ind w:right="-154"/>
        <w:jc w:val="both"/>
        <w:rPr>
          <w:rFonts w:ascii="Times New Roman" w:hAnsi="Times New Roman" w:cs="Times New Roman"/>
          <w:bCs/>
          <w:sz w:val="24"/>
          <w:szCs w:val="24"/>
        </w:rPr>
      </w:pPr>
      <w:r>
        <w:rPr>
          <w:rFonts w:ascii="Times New Roman" w:hAnsi="Times New Roman" w:cs="Times New Roman"/>
          <w:bCs/>
          <w:sz w:val="24"/>
          <w:szCs w:val="24"/>
        </w:rPr>
        <w:t>The disease is often called a "great masquerader" because early symptoms are non-sp</w:t>
      </w:r>
      <w:r>
        <w:rPr>
          <w:rFonts w:ascii="Times New Roman" w:hAnsi="Times New Roman" w:cs="Times New Roman"/>
          <w:bCs/>
          <w:sz w:val="24"/>
          <w:szCs w:val="24"/>
        </w:rPr>
        <w:t xml:space="preserve">ecific, leading to delayed diagnosis until significant vascular involvement develops. This interpretation is supported by an article by Shah B </w:t>
      </w:r>
      <w:r>
        <w:rPr>
          <w:rFonts w:ascii="Times New Roman" w:hAnsi="Times New Roman" w:cs="Times New Roman"/>
          <w:bCs/>
          <w:i/>
          <w:iCs/>
          <w:sz w:val="24"/>
          <w:szCs w:val="24"/>
        </w:rPr>
        <w:t>et al.,</w:t>
      </w:r>
      <w:r>
        <w:rPr>
          <w:rFonts w:ascii="Times New Roman" w:hAnsi="Times New Roman" w:cs="Times New Roman"/>
          <w:bCs/>
          <w:sz w:val="24"/>
          <w:szCs w:val="24"/>
        </w:rPr>
        <w:t xml:space="preserve"> which defines TA as a chronic progressive granulomatous necrotizing large-vessel panvasculitis</w:t>
      </w:r>
      <w:r>
        <w:rPr>
          <w:rFonts w:ascii="Times New Roman" w:hAnsi="Times New Roman" w:cs="Times New Roman"/>
          <w:bCs/>
          <w:sz w:val="24"/>
          <w:szCs w:val="24"/>
          <w:vertAlign w:val="superscript"/>
        </w:rPr>
        <w:t>1</w:t>
      </w:r>
      <w:r>
        <w:rPr>
          <w:rFonts w:ascii="Times New Roman" w:hAnsi="Times New Roman" w:cs="Times New Roman"/>
          <w:bCs/>
          <w:sz w:val="24"/>
          <w:szCs w:val="24"/>
        </w:rPr>
        <w:t>. The cond</w:t>
      </w:r>
      <w:r>
        <w:rPr>
          <w:rFonts w:ascii="Times New Roman" w:hAnsi="Times New Roman" w:cs="Times New Roman"/>
          <w:bCs/>
          <w:sz w:val="24"/>
          <w:szCs w:val="24"/>
        </w:rPr>
        <w:t>ition can present with many non-specific symptoms, necessitating a high index of clinical suspicion</w:t>
      </w:r>
      <w:r>
        <w:rPr>
          <w:rFonts w:ascii="Times New Roman" w:hAnsi="Times New Roman" w:cs="Times New Roman"/>
          <w:bCs/>
          <w:sz w:val="24"/>
          <w:szCs w:val="24"/>
          <w:vertAlign w:val="superscript"/>
        </w:rPr>
        <w:t>4</w:t>
      </w:r>
      <w:r>
        <w:rPr>
          <w:rFonts w:ascii="Times New Roman" w:hAnsi="Times New Roman" w:cs="Times New Roman"/>
          <w:bCs/>
          <w:sz w:val="24"/>
          <w:szCs w:val="24"/>
        </w:rPr>
        <w:t>.</w:t>
      </w:r>
    </w:p>
    <w:p w:rsidR="0082222C" w:rsidRDefault="000B086A">
      <w:pPr>
        <w:spacing w:after="120" w:line="360" w:lineRule="auto"/>
        <w:ind w:right="-154"/>
        <w:jc w:val="both"/>
        <w:rPr>
          <w:rFonts w:ascii="Times New Roman" w:hAnsi="Times New Roman" w:cs="Times New Roman"/>
          <w:bCs/>
          <w:sz w:val="24"/>
          <w:szCs w:val="24"/>
        </w:rPr>
      </w:pPr>
      <w:r>
        <w:rPr>
          <w:rFonts w:ascii="Times New Roman" w:hAnsi="Times New Roman" w:cs="Times New Roman"/>
          <w:bCs/>
          <w:sz w:val="24"/>
          <w:szCs w:val="24"/>
        </w:rPr>
        <w:t>While the primary case involves a 32-year-old female, the condition is also seen in much younger patients, such as a 16-year-old female presenting with ma</w:t>
      </w:r>
      <w:r>
        <w:rPr>
          <w:rFonts w:ascii="Times New Roman" w:hAnsi="Times New Roman" w:cs="Times New Roman"/>
          <w:bCs/>
          <w:sz w:val="24"/>
          <w:szCs w:val="24"/>
        </w:rPr>
        <w:t>lignant stroke</w:t>
      </w:r>
      <w:r>
        <w:rPr>
          <w:rFonts w:ascii="Times New Roman" w:hAnsi="Times New Roman" w:cs="Times New Roman"/>
          <w:bCs/>
          <w:sz w:val="24"/>
          <w:szCs w:val="24"/>
          <w:vertAlign w:val="superscript"/>
        </w:rPr>
        <w:t>1</w:t>
      </w:r>
      <w:r>
        <w:rPr>
          <w:rFonts w:ascii="Times New Roman" w:hAnsi="Times New Roman" w:cs="Times New Roman"/>
          <w:bCs/>
          <w:sz w:val="24"/>
          <w:szCs w:val="24"/>
        </w:rPr>
        <w:t>. Although it is most common in women, its occurrence is also seen in a 28-year-old male presenting with a mass-like lesion</w:t>
      </w:r>
      <w:r>
        <w:rPr>
          <w:rFonts w:ascii="Times New Roman" w:hAnsi="Times New Roman" w:cs="Times New Roman"/>
          <w:bCs/>
          <w:sz w:val="24"/>
          <w:szCs w:val="24"/>
          <w:vertAlign w:val="superscript"/>
        </w:rPr>
        <w:t>4</w:t>
      </w:r>
      <w:r>
        <w:rPr>
          <w:rFonts w:ascii="Times New Roman" w:hAnsi="Times New Roman" w:cs="Times New Roman"/>
          <w:bCs/>
          <w:sz w:val="24"/>
          <w:szCs w:val="24"/>
        </w:rPr>
        <w:t>. Vascular involvement also varies significantly; while this case involved the carotid and subclavian arteries, the d</w:t>
      </w:r>
      <w:r>
        <w:rPr>
          <w:rFonts w:ascii="Times New Roman" w:hAnsi="Times New Roman" w:cs="Times New Roman"/>
          <w:bCs/>
          <w:sz w:val="24"/>
          <w:szCs w:val="24"/>
        </w:rPr>
        <w:t>isease can involve intracranial vessels, which was previously thought to be rare</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In contrast to the upper-limb focus of patient, an article by Kawano H </w:t>
      </w:r>
      <w:r>
        <w:rPr>
          <w:rFonts w:ascii="Times New Roman" w:hAnsi="Times New Roman" w:cs="Times New Roman"/>
          <w:bCs/>
          <w:i/>
          <w:iCs/>
          <w:sz w:val="24"/>
          <w:szCs w:val="24"/>
        </w:rPr>
        <w:t>et al.</w:t>
      </w:r>
      <w:r>
        <w:rPr>
          <w:rFonts w:ascii="Times New Roman" w:hAnsi="Times New Roman" w:cs="Times New Roman"/>
          <w:bCs/>
          <w:sz w:val="24"/>
          <w:szCs w:val="24"/>
        </w:rPr>
        <w:t xml:space="preserve"> reports an atypical presentation involving peripheral artery disease in the legs </w:t>
      </w:r>
      <w:r>
        <w:rPr>
          <w:rFonts w:ascii="Times New Roman" w:hAnsi="Times New Roman" w:cs="Times New Roman"/>
          <w:bCs/>
          <w:sz w:val="24"/>
          <w:szCs w:val="24"/>
          <w:vertAlign w:val="superscript"/>
        </w:rPr>
        <w:t>2</w:t>
      </w:r>
      <w:r>
        <w:rPr>
          <w:rFonts w:ascii="Times New Roman" w:hAnsi="Times New Roman" w:cs="Times New Roman"/>
          <w:bCs/>
          <w:sz w:val="24"/>
          <w:szCs w:val="24"/>
        </w:rPr>
        <w:t>. Additionall</w:t>
      </w:r>
      <w:r>
        <w:rPr>
          <w:rFonts w:ascii="Times New Roman" w:hAnsi="Times New Roman" w:cs="Times New Roman"/>
          <w:bCs/>
          <w:sz w:val="24"/>
          <w:szCs w:val="24"/>
        </w:rPr>
        <w:t>y, reports an extreme case of vascular destruction presenting as a dissecting aortic aneurysm are also seen</w:t>
      </w:r>
      <w:r>
        <w:rPr>
          <w:rFonts w:ascii="Times New Roman" w:hAnsi="Times New Roman" w:cs="Times New Roman"/>
          <w:bCs/>
          <w:sz w:val="24"/>
          <w:szCs w:val="24"/>
          <w:vertAlign w:val="superscript"/>
        </w:rPr>
        <w:t>4</w:t>
      </w:r>
      <w:r>
        <w:rPr>
          <w:rFonts w:ascii="Times New Roman" w:hAnsi="Times New Roman" w:cs="Times New Roman"/>
          <w:bCs/>
          <w:sz w:val="24"/>
          <w:szCs w:val="24"/>
        </w:rPr>
        <w:t>.</w:t>
      </w:r>
    </w:p>
    <w:p w:rsidR="0082222C" w:rsidRDefault="000B086A">
      <w:pPr>
        <w:tabs>
          <w:tab w:val="left" w:pos="8100"/>
        </w:tabs>
        <w:spacing w:after="120" w:line="360" w:lineRule="auto"/>
        <w:ind w:right="-154"/>
        <w:jc w:val="both"/>
        <w:rPr>
          <w:rFonts w:ascii="Times New Roman" w:hAnsi="Times New Roman" w:cs="Times New Roman"/>
          <w:bCs/>
          <w:sz w:val="24"/>
          <w:szCs w:val="24"/>
        </w:rPr>
      </w:pPr>
      <w:r>
        <w:rPr>
          <w:rFonts w:ascii="Times New Roman" w:hAnsi="Times New Roman" w:cs="Times New Roman"/>
          <w:bCs/>
          <w:sz w:val="24"/>
          <w:szCs w:val="24"/>
        </w:rPr>
        <w:t>Management of TA primarily focuses on controlling inflammation and preventing disease progression. High dose corticosteroids remain the first line</w:t>
      </w:r>
      <w:r>
        <w:rPr>
          <w:rFonts w:ascii="Times New Roman" w:hAnsi="Times New Roman" w:cs="Times New Roman"/>
          <w:bCs/>
          <w:sz w:val="24"/>
          <w:szCs w:val="24"/>
        </w:rPr>
        <w:t xml:space="preserve"> therapy, while immunosuppressive agents and anticoagulation are considered in selected cases. For clinical imaging in TA, 18F-FDG PET (18F-fluorodeoxyglucose-positron-emission tomography) has recently demonstrated the ability measure the extent and locali</w:t>
      </w:r>
      <w:r>
        <w:rPr>
          <w:rFonts w:ascii="Times New Roman" w:hAnsi="Times New Roman" w:cs="Times New Roman"/>
          <w:bCs/>
          <w:sz w:val="24"/>
          <w:szCs w:val="24"/>
        </w:rPr>
        <w:t>ze inflammation, indicating it has a gold standard test.</w:t>
      </w:r>
    </w:p>
    <w:p w:rsidR="0082222C" w:rsidRDefault="000B086A">
      <w:pPr>
        <w:spacing w:after="120" w:line="360" w:lineRule="auto"/>
        <w:ind w:right="-154"/>
        <w:jc w:val="both"/>
        <w:rPr>
          <w:rFonts w:ascii="Times New Roman" w:hAnsi="Times New Roman" w:cs="Times New Roman"/>
          <w:bCs/>
          <w:sz w:val="24"/>
          <w:szCs w:val="24"/>
          <w:u w:val="single"/>
        </w:rPr>
      </w:pPr>
      <w:r>
        <w:rPr>
          <w:rFonts w:ascii="Times New Roman" w:hAnsi="Times New Roman" w:cs="Times New Roman"/>
          <w:bCs/>
          <w:sz w:val="24"/>
          <w:szCs w:val="24"/>
        </w:rPr>
        <w:lastRenderedPageBreak/>
        <w:t xml:space="preserve">Differentials to our case includes Transfusion related Acute lung injury and Hypotension(shock), Dilated cardiomyopathy, Right subclavian artery thrombus. Evidence based radiological and examination </w:t>
      </w:r>
      <w:r>
        <w:rPr>
          <w:rFonts w:ascii="Times New Roman" w:hAnsi="Times New Roman" w:cs="Times New Roman"/>
          <w:bCs/>
          <w:sz w:val="24"/>
          <w:szCs w:val="24"/>
        </w:rPr>
        <w:t>led us to the diagnosis of Takayasu arteritis.</w:t>
      </w:r>
    </w:p>
    <w:p w:rsidR="0082222C" w:rsidRDefault="000B086A">
      <w:pPr>
        <w:spacing w:after="120" w:line="360" w:lineRule="auto"/>
        <w:ind w:right="-334"/>
        <w:jc w:val="both"/>
        <w:rPr>
          <w:rFonts w:ascii="Times New Roman" w:hAnsi="Times New Roman" w:cs="Times New Roman"/>
          <w:b/>
          <w:sz w:val="24"/>
          <w:szCs w:val="24"/>
          <w:u w:val="single"/>
        </w:rPr>
      </w:pPr>
      <w:r>
        <w:rPr>
          <w:rFonts w:ascii="Times New Roman" w:hAnsi="Times New Roman" w:cs="Times New Roman"/>
          <w:b/>
          <w:sz w:val="24"/>
          <w:szCs w:val="24"/>
          <w:u w:val="single"/>
        </w:rPr>
        <w:t>CONCLUSION</w:t>
      </w:r>
    </w:p>
    <w:p w:rsidR="0082222C" w:rsidRDefault="000B086A">
      <w:pPr>
        <w:spacing w:after="120" w:line="360" w:lineRule="auto"/>
        <w:ind w:right="-334"/>
        <w:jc w:val="both"/>
        <w:rPr>
          <w:rFonts w:ascii="Times New Roman" w:hAnsi="Times New Roman" w:cs="Times New Roman"/>
          <w:sz w:val="24"/>
          <w:szCs w:val="24"/>
        </w:rPr>
      </w:pPr>
      <w:r>
        <w:rPr>
          <w:rFonts w:ascii="Times New Roman" w:hAnsi="Times New Roman" w:cs="Times New Roman"/>
          <w:sz w:val="24"/>
          <w:szCs w:val="24"/>
        </w:rPr>
        <w:t>Takayasu arteritis should be considered in young women presenting with unexplained neurological symptoms, limb weakness, and cardiovascular abnormalities. This case highlights the importance of earl</w:t>
      </w:r>
      <w:r>
        <w:rPr>
          <w:rFonts w:ascii="Times New Roman" w:hAnsi="Times New Roman" w:cs="Times New Roman"/>
          <w:sz w:val="24"/>
          <w:szCs w:val="24"/>
        </w:rPr>
        <w:t>y clinical suspicion and prompt vascular imaging in achieving timely diagnosis. Early initiation of immunosuppressive therapy can significantly reduce disease progression and prevent irreversible vascular complications. A multidisciplinary approach is cruc</w:t>
      </w:r>
      <w:r>
        <w:rPr>
          <w:rFonts w:ascii="Times New Roman" w:hAnsi="Times New Roman" w:cs="Times New Roman"/>
          <w:sz w:val="24"/>
          <w:szCs w:val="24"/>
        </w:rPr>
        <w:t>ial for optimal long-term outcomes in patients with Takayasu arteritis.</w:t>
      </w:r>
    </w:p>
    <w:p w:rsidR="0082222C" w:rsidRDefault="000B086A">
      <w:pPr>
        <w:spacing w:after="120" w:line="360" w:lineRule="auto"/>
        <w:ind w:right="1077"/>
        <w:jc w:val="both"/>
        <w:rPr>
          <w:rFonts w:ascii="Times New Roman" w:hAnsi="Times New Roman" w:cs="Times New Roman"/>
          <w:sz w:val="24"/>
          <w:szCs w:val="24"/>
          <w:u w:val="single"/>
        </w:rPr>
      </w:pPr>
      <w:r>
        <w:rPr>
          <w:rFonts w:ascii="Times New Roman" w:hAnsi="Times New Roman" w:cs="Times New Roman"/>
          <w:b/>
          <w:bCs/>
          <w:sz w:val="24"/>
          <w:szCs w:val="24"/>
          <w:u w:val="single"/>
        </w:rPr>
        <w:t>REFERENCE</w:t>
      </w:r>
    </w:p>
    <w:p w:rsidR="0082222C" w:rsidRDefault="000B086A">
      <w:pPr>
        <w:pStyle w:val="ListParagraph"/>
        <w:numPr>
          <w:ilvl w:val="0"/>
          <w:numId w:val="1"/>
        </w:numPr>
        <w:spacing w:after="120" w:line="360" w:lineRule="auto"/>
        <w:ind w:right="-244"/>
        <w:jc w:val="both"/>
        <w:rPr>
          <w:rFonts w:ascii="Times New Roman" w:hAnsi="Times New Roman" w:cs="Times New Roman"/>
          <w:sz w:val="24"/>
          <w:szCs w:val="24"/>
        </w:rPr>
      </w:pPr>
      <w:r>
        <w:rPr>
          <w:rFonts w:ascii="Times New Roman" w:hAnsi="Times New Roman" w:cs="Times New Roman"/>
          <w:sz w:val="24"/>
          <w:szCs w:val="24"/>
        </w:rPr>
        <w:t xml:space="preserve">Shah B, Chhetri R.  Malignant Ischemic Stroke in a Young Female: A Rare Primary Manifestation of Takayasu Arteritis. </w:t>
      </w:r>
      <w:r>
        <w:rPr>
          <w:rFonts w:ascii="Times New Roman" w:hAnsi="Times New Roman" w:cs="Times New Roman"/>
          <w:i/>
          <w:iCs/>
          <w:sz w:val="24"/>
          <w:szCs w:val="24"/>
        </w:rPr>
        <w:t>Case Reports in Neurological Medicine. 2019</w:t>
      </w:r>
      <w:r>
        <w:rPr>
          <w:rFonts w:ascii="Times New Roman" w:hAnsi="Times New Roman" w:cs="Times New Roman"/>
          <w:sz w:val="24"/>
          <w:szCs w:val="24"/>
        </w:rPr>
        <w:t xml:space="preserve"> Feb 18;2019:7942825. Available from: </w:t>
      </w:r>
      <w:hyperlink r:id="rId9" w:history="1">
        <w:r>
          <w:rPr>
            <w:rStyle w:val="Hyperlink"/>
            <w:rFonts w:ascii="Times New Roman" w:hAnsi="Times New Roman" w:cs="Times New Roman"/>
            <w:sz w:val="24"/>
            <w:szCs w:val="24"/>
          </w:rPr>
          <w:t>https://doi.org/10.1155/2019/7942825</w:t>
        </w:r>
      </w:hyperlink>
      <w:r>
        <w:rPr>
          <w:rFonts w:ascii="Times New Roman" w:hAnsi="Times New Roman" w:cs="Times New Roman"/>
          <w:sz w:val="24"/>
          <w:szCs w:val="24"/>
        </w:rPr>
        <w:t>.</w:t>
      </w:r>
    </w:p>
    <w:p w:rsidR="0082222C" w:rsidRDefault="000B086A">
      <w:pPr>
        <w:pStyle w:val="ListParagraph"/>
        <w:numPr>
          <w:ilvl w:val="0"/>
          <w:numId w:val="1"/>
        </w:numPr>
        <w:spacing w:after="120" w:line="360" w:lineRule="auto"/>
        <w:ind w:right="-334"/>
        <w:jc w:val="both"/>
        <w:rPr>
          <w:rFonts w:ascii="Times New Roman" w:hAnsi="Times New Roman" w:cs="Times New Roman"/>
          <w:sz w:val="24"/>
          <w:szCs w:val="24"/>
        </w:rPr>
      </w:pPr>
      <w:r>
        <w:rPr>
          <w:rFonts w:ascii="Times New Roman" w:hAnsi="Times New Roman" w:cs="Times New Roman"/>
          <w:sz w:val="24"/>
          <w:szCs w:val="24"/>
        </w:rPr>
        <w:t>Kawano H, Hanibuchi M, Yoshijima T, Toyoda Y, Kishi J, Tezuka T, Nishioka Y. A case of atypical Takayasu arteritis initially pr</w:t>
      </w:r>
      <w:r>
        <w:rPr>
          <w:rFonts w:ascii="Times New Roman" w:hAnsi="Times New Roman" w:cs="Times New Roman"/>
          <w:sz w:val="24"/>
          <w:szCs w:val="24"/>
        </w:rPr>
        <w:t xml:space="preserve">esenting with peripheral artery disease. </w:t>
      </w:r>
      <w:r>
        <w:rPr>
          <w:rFonts w:ascii="Times New Roman" w:hAnsi="Times New Roman" w:cs="Times New Roman"/>
          <w:i/>
          <w:iCs/>
          <w:sz w:val="24"/>
          <w:szCs w:val="24"/>
        </w:rPr>
        <w:t>Case Reports in Clinical  Pathology. 2015;</w:t>
      </w:r>
      <w:r>
        <w:rPr>
          <w:rFonts w:ascii="Times New Roman" w:hAnsi="Times New Roman" w:cs="Times New Roman"/>
          <w:sz w:val="24"/>
          <w:szCs w:val="24"/>
        </w:rPr>
        <w:t>2(2):34-40. doi: 10.5430/crcp.v2n2p34.</w:t>
      </w:r>
    </w:p>
    <w:p w:rsidR="0082222C" w:rsidRDefault="000B086A">
      <w:pPr>
        <w:pStyle w:val="ListParagraph"/>
        <w:numPr>
          <w:ilvl w:val="0"/>
          <w:numId w:val="1"/>
        </w:numPr>
        <w:spacing w:after="120" w:line="360" w:lineRule="auto"/>
        <w:ind w:right="-334"/>
        <w:jc w:val="both"/>
        <w:rPr>
          <w:rFonts w:ascii="Times New Roman" w:hAnsi="Times New Roman" w:cs="Times New Roman"/>
          <w:sz w:val="24"/>
          <w:szCs w:val="24"/>
        </w:rPr>
      </w:pPr>
      <w:r>
        <w:rPr>
          <w:rFonts w:ascii="Times New Roman" w:hAnsi="Times New Roman" w:cs="Times New Roman"/>
          <w:sz w:val="24"/>
          <w:szCs w:val="24"/>
        </w:rPr>
        <w:t>Tee JAS, Juangco DNA, Dejan Jr R. Recurrent stroke in Takayasu arteritis: a case report and review of literature. Int J Res Med Sci. 2</w:t>
      </w:r>
      <w:r>
        <w:rPr>
          <w:rFonts w:ascii="Times New Roman" w:hAnsi="Times New Roman" w:cs="Times New Roman"/>
          <w:sz w:val="24"/>
          <w:szCs w:val="24"/>
        </w:rPr>
        <w:t>023 Jun;11(6):2273-8. doi: 10.18203/2320-6012.ijrms20231653.</w:t>
      </w:r>
    </w:p>
    <w:p w:rsidR="0082222C" w:rsidRDefault="000B086A">
      <w:pPr>
        <w:pStyle w:val="ListParagraph"/>
        <w:numPr>
          <w:ilvl w:val="0"/>
          <w:numId w:val="1"/>
        </w:numPr>
        <w:spacing w:after="120" w:line="360" w:lineRule="auto"/>
        <w:ind w:right="-334"/>
        <w:jc w:val="both"/>
        <w:rPr>
          <w:rFonts w:ascii="Times New Roman" w:hAnsi="Times New Roman" w:cs="Times New Roman"/>
          <w:sz w:val="24"/>
          <w:szCs w:val="24"/>
        </w:rPr>
      </w:pPr>
      <w:r>
        <w:rPr>
          <w:rFonts w:ascii="Times New Roman" w:hAnsi="Times New Roman" w:cs="Times New Roman"/>
          <w:sz w:val="24"/>
          <w:szCs w:val="24"/>
        </w:rPr>
        <w:t>O'Connor MB, Murphy E, O'Donovan N, Murphy M, Phelan MJ, Regan MJ. Takayasu's Arteritis presenting as a dissecting aortic aneurysm history: a case report. Cases J. 2008 Jul 21;1(1):52. doi: 10.11</w:t>
      </w:r>
      <w:r>
        <w:rPr>
          <w:rFonts w:ascii="Times New Roman" w:hAnsi="Times New Roman" w:cs="Times New Roman"/>
          <w:sz w:val="24"/>
          <w:szCs w:val="24"/>
        </w:rPr>
        <w:t>86/1757-1626-1-52.</w:t>
      </w:r>
    </w:p>
    <w:p w:rsidR="0082222C" w:rsidRDefault="000B086A">
      <w:pPr>
        <w:pStyle w:val="ListParagraph"/>
        <w:numPr>
          <w:ilvl w:val="0"/>
          <w:numId w:val="1"/>
        </w:numPr>
        <w:spacing w:after="120" w:line="360" w:lineRule="auto"/>
        <w:ind w:right="-334"/>
        <w:jc w:val="both"/>
        <w:rPr>
          <w:rFonts w:ascii="Times New Roman" w:hAnsi="Times New Roman" w:cs="Times New Roman"/>
          <w:sz w:val="24"/>
          <w:szCs w:val="24"/>
        </w:rPr>
      </w:pPr>
      <w:r>
        <w:rPr>
          <w:rFonts w:ascii="Times New Roman" w:hAnsi="Times New Roman" w:cs="Times New Roman"/>
          <w:sz w:val="24"/>
          <w:szCs w:val="24"/>
        </w:rPr>
        <w:t xml:space="preserve">Sanchez-Alvarez C, Kermani TA, Crowson CS, et al. The epidemiology of Takayasu Arteritis, a population-based study. Semin Arthritis Rheum. 2021;51(1):185-192. doi:10.1016/j.semarthrit.2020.11.008 </w:t>
      </w:r>
    </w:p>
    <w:p w:rsidR="0082222C" w:rsidRDefault="000B086A">
      <w:pPr>
        <w:pStyle w:val="ListParagraph"/>
        <w:numPr>
          <w:ilvl w:val="0"/>
          <w:numId w:val="1"/>
        </w:numPr>
        <w:spacing w:after="120" w:line="360" w:lineRule="auto"/>
        <w:ind w:right="-334" w:hanging="450"/>
        <w:jc w:val="both"/>
        <w:rPr>
          <w:rFonts w:ascii="Times New Roman" w:hAnsi="Times New Roman" w:cs="Times New Roman"/>
          <w:b/>
          <w:bCs/>
          <w:sz w:val="24"/>
          <w:szCs w:val="24"/>
        </w:rPr>
      </w:pPr>
      <w:r>
        <w:rPr>
          <w:rFonts w:ascii="Times New Roman" w:hAnsi="Times New Roman" w:cs="Times New Roman"/>
          <w:sz w:val="24"/>
          <w:szCs w:val="24"/>
        </w:rPr>
        <w:t xml:space="preserve">Alnabwani D, Patel P, Kata P, Patel V, Okere A, Cheriyath P. The Epidemiology and Clinical Manifestations of Takayasu Arteritis: A Descriptive Study of Case Reports. Cureus. 2021 Sep 15;13(9):e17998. </w:t>
      </w:r>
    </w:p>
    <w:p w:rsidR="0082222C" w:rsidRDefault="000B086A">
      <w:pPr>
        <w:pStyle w:val="ListParagraph"/>
        <w:numPr>
          <w:ilvl w:val="0"/>
          <w:numId w:val="1"/>
        </w:numPr>
        <w:spacing w:after="120" w:line="360" w:lineRule="auto"/>
        <w:ind w:right="-424"/>
        <w:jc w:val="both"/>
        <w:rPr>
          <w:rFonts w:ascii="Times New Roman" w:hAnsi="Times New Roman" w:cs="Times New Roman"/>
          <w:b/>
          <w:bCs/>
          <w:sz w:val="24"/>
          <w:szCs w:val="24"/>
        </w:rPr>
      </w:pPr>
      <w:r>
        <w:rPr>
          <w:rFonts w:ascii="Times New Roman" w:hAnsi="Times New Roman" w:cs="Times New Roman"/>
          <w:sz w:val="24"/>
          <w:szCs w:val="24"/>
        </w:rPr>
        <w:t>Gloor AD, Schutzbach S, Schonenberger CA, et al. Takaya</w:t>
      </w:r>
      <w:r>
        <w:rPr>
          <w:rFonts w:ascii="Times New Roman" w:hAnsi="Times New Roman" w:cs="Times New Roman"/>
          <w:sz w:val="24"/>
          <w:szCs w:val="24"/>
        </w:rPr>
        <w:t>su arteritis: Prevalence and clinical presentation in Switzerland. PLoS One. 2021;16(6):e0250025. doi:10.1371/journal.pone.0250025</w:t>
      </w:r>
    </w:p>
    <w:p w:rsidR="0082222C" w:rsidRDefault="000B086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Rutter M, Watts RA, Graves SR, et al. A systematic review and meta-analysis of the incidence rate of Takayasu arteritis. Rheu</w:t>
      </w:r>
      <w:r>
        <w:rPr>
          <w:rFonts w:ascii="Times New Roman" w:hAnsi="Times New Roman" w:cs="Times New Roman"/>
          <w:sz w:val="24"/>
          <w:szCs w:val="24"/>
        </w:rPr>
        <w:t xml:space="preserve">matology (Oxford). 2021;60(11):4982-4990. doi:10.1093/rheumatology/keab196 </w:t>
      </w:r>
    </w:p>
    <w:p w:rsidR="0082222C" w:rsidRDefault="000B086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Marwah S, Rajput M, Mohindra R, Gaikwad HS, Sharma M, Topden SR. Takayasu's Arteritis in Pregnancy: A Rare Case Report from a Tertiary Care Infirmary in India. Case Rep Obstet Gyne</w:t>
      </w:r>
      <w:r>
        <w:rPr>
          <w:rFonts w:ascii="Times New Roman" w:hAnsi="Times New Roman" w:cs="Times New Roman"/>
          <w:sz w:val="24"/>
          <w:szCs w:val="24"/>
        </w:rPr>
        <w:t>col. 2017;2017:2403451. doi: 10.1155/2017/2403451.</w:t>
      </w:r>
    </w:p>
    <w:p w:rsidR="0082222C" w:rsidRDefault="000B086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Partalidou S, Gialafos E, Koutsogeorgopoulou I, et al. Pregnancy outcomes in Takayasu arteritis patients: A systematic review and meta-analysis. Semin Arthritis Rheum. 2023;58:152124. doi:10.1016/j.semarth</w:t>
      </w:r>
      <w:r>
        <w:rPr>
          <w:rFonts w:ascii="Times New Roman" w:hAnsi="Times New Roman" w:cs="Times New Roman"/>
          <w:sz w:val="24"/>
          <w:szCs w:val="24"/>
        </w:rPr>
        <w:t>rit.2022.152124</w:t>
      </w:r>
    </w:p>
    <w:p w:rsidR="0082222C" w:rsidRDefault="000B086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David LS, Rai R, Gupta A, et al. Obstetric and perinatal outcomes in pregnant women with Takayasu arteritis: A single center experience. Int J Gynaecol Obstet. 2020;149(1):77-82. doi:10.1002/ijgo.13098 </w:t>
      </w:r>
    </w:p>
    <w:p w:rsidR="0082222C" w:rsidRDefault="000B086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Comarmond C, Mirault T, Biard L, Niza</w:t>
      </w:r>
      <w:r>
        <w:rPr>
          <w:rFonts w:ascii="Times New Roman" w:hAnsi="Times New Roman" w:cs="Times New Roman"/>
          <w:sz w:val="24"/>
          <w:szCs w:val="24"/>
        </w:rPr>
        <w:t>rd J, Lambert M, Wechsler B, Hachulla E, Chiche L, Koskas F, Gaudric J, Cluzel P, Messas E, Resche-Rigon M, Piette JC, Cacoub P, Saadoun D; French Takayasu Network. Takayasu Arteritis and Pregnancy. Arthritis Rheumatol. 2015 Dec;67(12):3262-9. doi: 10.1002</w:t>
      </w:r>
      <w:r>
        <w:rPr>
          <w:rFonts w:ascii="Times New Roman" w:hAnsi="Times New Roman" w:cs="Times New Roman"/>
          <w:sz w:val="24"/>
          <w:szCs w:val="24"/>
        </w:rPr>
        <w:t>/art.39335.</w:t>
      </w:r>
    </w:p>
    <w:p w:rsidR="0082222C" w:rsidRDefault="000B086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Sirohi P, Sharma P, Gupta R, Vishwakarma M. Vasculitis masquerading as a mass: a case report of Takayasu arteritis in a 28-year old male. Int J Res Med Sci 2024;12:2157-9.</w:t>
      </w:r>
    </w:p>
    <w:p w:rsidR="0082222C" w:rsidRDefault="000B086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Li T, Liu J, Zhang N, et al. Acute left heart failure is the initial man</w:t>
      </w:r>
      <w:r>
        <w:rPr>
          <w:rFonts w:ascii="Times New Roman" w:hAnsi="Times New Roman" w:cs="Times New Roman"/>
          <w:sz w:val="24"/>
          <w:szCs w:val="24"/>
        </w:rPr>
        <w:t>ifestation of Takayasu arteritis: a case report. BMC Cardiovasc Disord. 2025;25:607.</w:t>
      </w:r>
    </w:p>
    <w:p w:rsidR="0082222C" w:rsidRDefault="0082222C">
      <w:pPr>
        <w:spacing w:after="120" w:line="360" w:lineRule="auto"/>
        <w:ind w:right="1077"/>
        <w:jc w:val="both"/>
        <w:rPr>
          <w:rFonts w:ascii="Times New Roman" w:hAnsi="Times New Roman" w:cs="Times New Roman"/>
          <w:b/>
          <w:bCs/>
          <w:sz w:val="24"/>
          <w:szCs w:val="24"/>
        </w:rPr>
      </w:pPr>
    </w:p>
    <w:sectPr w:rsidR="0082222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86A" w:rsidRDefault="000B086A" w:rsidP="00507C74">
      <w:pPr>
        <w:spacing w:after="0" w:line="240" w:lineRule="auto"/>
      </w:pPr>
      <w:r>
        <w:separator/>
      </w:r>
    </w:p>
  </w:endnote>
  <w:endnote w:type="continuationSeparator" w:id="0">
    <w:p w:rsidR="000B086A" w:rsidRDefault="000B086A" w:rsidP="00507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C74" w:rsidRDefault="00507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C74" w:rsidRDefault="00507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C74" w:rsidRDefault="00507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86A" w:rsidRDefault="000B086A" w:rsidP="00507C74">
      <w:pPr>
        <w:spacing w:after="0" w:line="240" w:lineRule="auto"/>
      </w:pPr>
      <w:r>
        <w:separator/>
      </w:r>
    </w:p>
  </w:footnote>
  <w:footnote w:type="continuationSeparator" w:id="0">
    <w:p w:rsidR="000B086A" w:rsidRDefault="000B086A" w:rsidP="00507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C74" w:rsidRDefault="00507C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67697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C74" w:rsidRDefault="00507C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67697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C74" w:rsidRDefault="00507C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67696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44ECB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000002"/>
    <w:multiLevelType w:val="hybridMultilevel"/>
    <w:tmpl w:val="AD787E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1AFCBF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hybridMultilevel"/>
    <w:tmpl w:val="DEFABB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3CBC593E"/>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77257C9"/>
    <w:multiLevelType w:val="multilevel"/>
    <w:tmpl w:val="2C86A0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22C"/>
    <w:rsid w:val="000B086A"/>
    <w:rsid w:val="00507C74"/>
    <w:rsid w:val="0082222C"/>
    <w:rsid w:val="008D52F6"/>
    <w:rsid w:val="009D44D0"/>
    <w:rsid w:val="00B15335"/>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30461C"/>
  <w15:docId w15:val="{D7375A91-6E27-4CB3-9C37-9A324111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unga"/>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unga"/>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unga"/>
      <w:color w:val="2F5496"/>
      <w:sz w:val="32"/>
      <w:szCs w:val="32"/>
    </w:rPr>
  </w:style>
  <w:style w:type="character" w:customStyle="1" w:styleId="Heading3Char">
    <w:name w:val="Heading 3 Char"/>
    <w:basedOn w:val="DefaultParagraphFont"/>
    <w:link w:val="Heading3"/>
    <w:uiPriority w:val="9"/>
    <w:rPr>
      <w:rFonts w:eastAsia="SimSun" w:cs="Tunga"/>
      <w:color w:val="2F5496"/>
      <w:sz w:val="28"/>
      <w:szCs w:val="28"/>
    </w:rPr>
  </w:style>
  <w:style w:type="character" w:customStyle="1" w:styleId="Heading4Char">
    <w:name w:val="Heading 4 Char"/>
    <w:basedOn w:val="DefaultParagraphFont"/>
    <w:link w:val="Heading4"/>
    <w:uiPriority w:val="9"/>
    <w:rPr>
      <w:rFonts w:eastAsia="SimSun" w:cs="Tunga"/>
      <w:i/>
      <w:iCs/>
      <w:color w:val="2F5496"/>
    </w:rPr>
  </w:style>
  <w:style w:type="character" w:customStyle="1" w:styleId="Heading5Char">
    <w:name w:val="Heading 5 Char"/>
    <w:basedOn w:val="DefaultParagraphFont"/>
    <w:link w:val="Heading5"/>
    <w:uiPriority w:val="9"/>
    <w:rPr>
      <w:rFonts w:eastAsia="SimSun" w:cs="Tunga"/>
      <w:color w:val="2F5496"/>
    </w:rPr>
  </w:style>
  <w:style w:type="character" w:customStyle="1" w:styleId="Heading6Char">
    <w:name w:val="Heading 6 Char"/>
    <w:basedOn w:val="DefaultParagraphFont"/>
    <w:link w:val="Heading6"/>
    <w:uiPriority w:val="9"/>
    <w:rPr>
      <w:rFonts w:eastAsia="SimSun" w:cs="Tunga"/>
      <w:i/>
      <w:iCs/>
      <w:color w:val="595959"/>
    </w:rPr>
  </w:style>
  <w:style w:type="character" w:customStyle="1" w:styleId="Heading7Char">
    <w:name w:val="Heading 7 Char"/>
    <w:basedOn w:val="DefaultParagraphFont"/>
    <w:link w:val="Heading7"/>
    <w:uiPriority w:val="9"/>
    <w:rPr>
      <w:rFonts w:eastAsia="SimSun" w:cs="Tunga"/>
      <w:color w:val="595959"/>
    </w:rPr>
  </w:style>
  <w:style w:type="character" w:customStyle="1" w:styleId="Heading8Char">
    <w:name w:val="Heading 8 Char"/>
    <w:basedOn w:val="DefaultParagraphFont"/>
    <w:link w:val="Heading8"/>
    <w:uiPriority w:val="9"/>
    <w:rPr>
      <w:rFonts w:eastAsia="SimSun" w:cs="Tunga"/>
      <w:i/>
      <w:iCs/>
      <w:color w:val="272727"/>
    </w:rPr>
  </w:style>
  <w:style w:type="character" w:customStyle="1" w:styleId="Heading9Char">
    <w:name w:val="Heading 9 Char"/>
    <w:basedOn w:val="DefaultParagraphFont"/>
    <w:link w:val="Heading9"/>
    <w:uiPriority w:val="9"/>
    <w:rPr>
      <w:rFonts w:eastAsia="SimSun" w:cs="Tunga"/>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unga"/>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Tunga"/>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1Light-Accent41">
    <w:name w:val="List Table 1 Light - Accent 41"/>
    <w:basedOn w:val="TableNormal"/>
    <w:uiPriority w:val="46"/>
    <w:pPr>
      <w:spacing w:after="0" w:line="240" w:lineRule="auto"/>
    </w:p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7Colorful-Accent41">
    <w:name w:val="List Table 7 Colorful - Accent 41"/>
    <w:basedOn w:val="TableNormal"/>
    <w:uiPriority w:val="52"/>
    <w:pPr>
      <w:spacing w:after="0" w:line="240" w:lineRule="auto"/>
    </w:pPr>
    <w:rPr>
      <w:color w:val="BF8F00"/>
    </w:rPr>
    <w:tblPr>
      <w:tblStyleRowBandSize w:val="1"/>
      <w:tblStyleColBandSize w:val="1"/>
    </w:tblPr>
    <w:tblStylePr w:type="firstRow">
      <w:rPr>
        <w:rFonts w:ascii="Calibri Light" w:eastAsia="SimSun" w:hAnsi="Calibri Light" w:cs="Tunga"/>
        <w:i/>
        <w:iCs/>
        <w:sz w:val="26"/>
      </w:rPr>
      <w:tblPr/>
      <w:tcPr>
        <w:tcBorders>
          <w:bottom w:val="single" w:sz="4" w:space="0" w:color="FFC000"/>
        </w:tcBorders>
        <w:shd w:val="clear" w:color="auto" w:fill="FFFFFF"/>
      </w:tcPr>
    </w:tblStylePr>
    <w:tblStylePr w:type="lastRow">
      <w:rPr>
        <w:rFonts w:ascii="Calibri Light" w:eastAsia="SimSun" w:hAnsi="Calibri Light" w:cs="Tunga"/>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unga"/>
        <w:i/>
        <w:iCs/>
        <w:sz w:val="26"/>
      </w:rPr>
      <w:tblPr/>
      <w:tcPr>
        <w:tcBorders>
          <w:right w:val="single" w:sz="4" w:space="0" w:color="FFC000"/>
        </w:tcBorders>
        <w:shd w:val="clear" w:color="auto" w:fill="FFFFFF"/>
      </w:tcPr>
    </w:tblStylePr>
    <w:tblStylePr w:type="lastCol">
      <w:rPr>
        <w:rFonts w:ascii="Calibri Light" w:eastAsia="SimSun" w:hAnsi="Calibri Light" w:cs="Tunga"/>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customStyle="1" w:styleId="TableGrid1">
    <w:name w:val="Table Grid1"/>
    <w:basedOn w:val="TableNormal"/>
    <w:next w:val="TableGrid"/>
    <w:uiPriority w:val="5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44D0"/>
    <w:rPr>
      <w:color w:val="605E5C"/>
      <w:shd w:val="clear" w:color="auto" w:fill="E1DFDD"/>
    </w:rPr>
  </w:style>
  <w:style w:type="paragraph" w:styleId="Header">
    <w:name w:val="header"/>
    <w:basedOn w:val="Normal"/>
    <w:link w:val="HeaderChar"/>
    <w:uiPriority w:val="99"/>
    <w:unhideWhenUsed/>
    <w:rsid w:val="00507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C74"/>
  </w:style>
  <w:style w:type="paragraph" w:styleId="Footer">
    <w:name w:val="footer"/>
    <w:basedOn w:val="Normal"/>
    <w:link w:val="FooterChar"/>
    <w:uiPriority w:val="99"/>
    <w:unhideWhenUsed/>
    <w:rsid w:val="00507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55/2019/794282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Bhu19</b:Tag>
    <b:SourceType>Report</b:SourceType>
    <b:Guid>{6842CD69-574A-4592-84B0-2F26C10D4760}</b:Guid>
    <b:Title>Malignant Ischaemic Stroke in Young Female : A Rare Primary Manifestationof Takayasu Arteritis </b:Title>
    <b:Year>2019</b:Year>
    <b:City>Nepal</b:City>
    <b:Publisher>Case Reports in Neurological Medicine</b:Publisher>
    <b:Author>
      <b:Author>
        <b:NameList>
          <b:Person>
            <b:Last>Chhetri</b:Last>
            <b:First>Bhupendra</b:First>
            <b:Middle>Shah and Roshan</b:Middle>
          </b:Person>
        </b:NameList>
      </b:Author>
    </b:Author>
    <b:RefOrder>1</b:RefOrder>
  </b:Source>
</b:Sources>
</file>

<file path=customXml/itemProps1.xml><?xml version="1.0" encoding="utf-8"?>
<ds:datastoreItem xmlns:ds="http://schemas.openxmlformats.org/officeDocument/2006/customXml" ds:itemID="{98AEFB75-4A62-4C41-87F8-6F854507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Pages>
  <Words>2251</Words>
  <Characters>12837</Characters>
  <Application>Microsoft Office Word</Application>
  <DocSecurity>0</DocSecurity>
  <Lines>106</Lines>
  <Paragraphs>30</Paragraphs>
  <ScaleCrop>false</ScaleCrop>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Ananya HS</dc:creator>
  <cp:lastModifiedBy>SDI 1084</cp:lastModifiedBy>
  <cp:revision>53</cp:revision>
  <dcterms:created xsi:type="dcterms:W3CDTF">2026-02-22T09:30:00Z</dcterms:created>
  <dcterms:modified xsi:type="dcterms:W3CDTF">2026-03-02T11:14:00Z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cd6dd3a4b86747bb8bf19df63b5472cf</vt:lpwstr>
  </property>
</Properties>
</file>