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B6D36" w14:textId="77777777" w:rsidR="00AB79C9" w:rsidRPr="00AB79C9" w:rsidRDefault="00AB79C9" w:rsidP="00AB79C9">
      <w:pPr>
        <w:pStyle w:val="Title"/>
        <w:jc w:val="center"/>
        <w:rPr>
          <w:rFonts w:asciiTheme="minorBidi" w:hAnsiTheme="minorBidi"/>
          <w:b/>
          <w:bCs/>
          <w:i/>
          <w:iCs/>
          <w:sz w:val="36"/>
          <w:szCs w:val="36"/>
          <w:u w:val="single"/>
          <w:lang w:val="en-US"/>
        </w:rPr>
      </w:pPr>
      <w:r w:rsidRPr="00AB79C9">
        <w:rPr>
          <w:rFonts w:asciiTheme="minorBidi" w:hAnsiTheme="minorBidi"/>
          <w:b/>
          <w:bCs/>
          <w:i/>
          <w:iCs/>
          <w:sz w:val="36"/>
          <w:szCs w:val="36"/>
          <w:u w:val="single"/>
          <w:lang w:val="en-US"/>
        </w:rPr>
        <w:t xml:space="preserve">Case report </w:t>
      </w:r>
    </w:p>
    <w:p w14:paraId="7EF93D57" w14:textId="77777777" w:rsidR="00BB601B" w:rsidRPr="00BB601B" w:rsidRDefault="00BB601B" w:rsidP="00BB601B">
      <w:pPr>
        <w:pStyle w:val="Title"/>
        <w:spacing w:after="0"/>
        <w:jc w:val="center"/>
        <w:rPr>
          <w:rFonts w:asciiTheme="minorBidi" w:hAnsiTheme="minorBidi" w:cstheme="minorBidi"/>
          <w:b/>
          <w:bCs/>
          <w:sz w:val="36"/>
          <w:szCs w:val="36"/>
        </w:rPr>
      </w:pPr>
      <w:r w:rsidRPr="00BB601B">
        <w:rPr>
          <w:rFonts w:asciiTheme="minorBidi" w:hAnsiTheme="minorBidi" w:cstheme="minorBidi"/>
          <w:b/>
          <w:bCs/>
          <w:sz w:val="36"/>
          <w:szCs w:val="36"/>
        </w:rPr>
        <w:t>An interesting case of hypersensitivity pneumonitis, presenting as spontaneous pneumomediastinum and pneumopericardium</w:t>
      </w:r>
    </w:p>
    <w:p w14:paraId="3AB33E33" w14:textId="77777777" w:rsidR="00BB601B" w:rsidRPr="00BB601B" w:rsidRDefault="00BB601B" w:rsidP="00BB601B">
      <w:pPr>
        <w:pStyle w:val="Author"/>
        <w:spacing w:line="240" w:lineRule="auto"/>
        <w:jc w:val="both"/>
        <w:rPr>
          <w:rFonts w:asciiTheme="minorBidi" w:hAnsiTheme="minorBidi" w:cstheme="minorBidi"/>
          <w:sz w:val="36"/>
        </w:rPr>
      </w:pPr>
    </w:p>
    <w:p w14:paraId="4D808733" w14:textId="549238BF" w:rsidR="001A56D5" w:rsidRDefault="001A56D5">
      <w:pPr>
        <w:rPr>
          <w:rFonts w:asciiTheme="minorBidi" w:hAnsiTheme="minorBidi"/>
          <w:sz w:val="20"/>
          <w:szCs w:val="20"/>
          <w:lang w:val="en-US"/>
        </w:rPr>
      </w:pPr>
    </w:p>
    <w:p w14:paraId="0897D008" w14:textId="77777777" w:rsidR="00475026" w:rsidRDefault="00475026">
      <w:pPr>
        <w:rPr>
          <w:rFonts w:asciiTheme="minorBidi" w:hAnsiTheme="minorBidi"/>
          <w:sz w:val="20"/>
          <w:szCs w:val="20"/>
          <w:lang w:val="en-US"/>
        </w:rPr>
      </w:pPr>
    </w:p>
    <w:p w14:paraId="2BA07EB1" w14:textId="0DACE1A3" w:rsidR="00BB601B" w:rsidRDefault="00BB601B" w:rsidP="00BB601B">
      <w:pPr>
        <w:rPr>
          <w:rFonts w:asciiTheme="minorBidi" w:hAnsiTheme="minorBidi"/>
          <w:b/>
          <w:bCs/>
          <w:sz w:val="22"/>
          <w:szCs w:val="22"/>
          <w:lang w:val="en-US"/>
        </w:rPr>
      </w:pPr>
      <w:r w:rsidRPr="00BB601B">
        <w:rPr>
          <w:rFonts w:asciiTheme="minorBidi" w:hAnsiTheme="minorBidi"/>
          <w:b/>
          <w:bCs/>
          <w:sz w:val="22"/>
          <w:szCs w:val="22"/>
          <w:lang w:val="en-US"/>
        </w:rPr>
        <w:t xml:space="preserve">ABSTRACT </w:t>
      </w:r>
    </w:p>
    <w:p w14:paraId="694238ED" w14:textId="0690D466" w:rsidR="00BB601B" w:rsidRPr="00BB601B" w:rsidRDefault="00BB601B" w:rsidP="00BB601B">
      <w:pPr>
        <w:rPr>
          <w:rFonts w:asciiTheme="minorBidi" w:hAnsiTheme="minorBidi"/>
          <w:b/>
          <w:bCs/>
          <w:sz w:val="22"/>
          <w:szCs w:val="22"/>
          <w:lang w:val="en-US"/>
        </w:rPr>
      </w:pPr>
      <w:r>
        <w:rPr>
          <w:rFonts w:asciiTheme="minorBidi" w:hAnsiTheme="minorBidi"/>
          <w:b/>
          <w:bCs/>
          <w:sz w:val="22"/>
          <w:szCs w:val="22"/>
          <w:lang w:val="en-US"/>
        </w:rPr>
        <w:t>Aims</w:t>
      </w:r>
    </w:p>
    <w:p w14:paraId="594AB178" w14:textId="77777777" w:rsidR="00BB601B" w:rsidRDefault="00BB601B" w:rsidP="00BB601B">
      <w:pPr>
        <w:rPr>
          <w:rFonts w:asciiTheme="minorBidi" w:hAnsiTheme="minorBidi"/>
          <w:sz w:val="20"/>
          <w:szCs w:val="20"/>
          <w:lang w:val="en-US"/>
        </w:rPr>
      </w:pPr>
      <w:r w:rsidRPr="00BB601B">
        <w:rPr>
          <w:rFonts w:asciiTheme="minorBidi" w:hAnsiTheme="minorBidi"/>
          <w:sz w:val="20"/>
          <w:szCs w:val="20"/>
          <w:lang w:val="en-US"/>
        </w:rPr>
        <w:t xml:space="preserve">Here we present a rare case of hypersensitivity pneumonitis that presented with spontaneous pneumomediastinum and pneumopericardium. </w:t>
      </w:r>
    </w:p>
    <w:p w14:paraId="5999BE7A" w14:textId="3F6F1738" w:rsidR="00BB601B" w:rsidRDefault="00BB601B" w:rsidP="00BB601B">
      <w:pPr>
        <w:rPr>
          <w:rFonts w:ascii="Arial" w:eastAsia="Calibri" w:hAnsi="Arial" w:cs="Arial"/>
          <w:sz w:val="22"/>
          <w:szCs w:val="22"/>
        </w:rPr>
      </w:pPr>
      <w:r w:rsidRPr="00BB601B">
        <w:rPr>
          <w:rFonts w:ascii="Arial" w:eastAsia="Calibri" w:hAnsi="Arial" w:cs="Arial"/>
          <w:b/>
          <w:sz w:val="22"/>
          <w:szCs w:val="22"/>
        </w:rPr>
        <w:t>Study design:</w:t>
      </w:r>
      <w:r>
        <w:rPr>
          <w:rFonts w:ascii="Arial" w:eastAsia="Calibri" w:hAnsi="Arial" w:cs="Arial"/>
          <w:sz w:val="22"/>
          <w:szCs w:val="22"/>
        </w:rPr>
        <w:t xml:space="preserve"> </w:t>
      </w:r>
      <w:r w:rsidRPr="00BB601B">
        <w:rPr>
          <w:rFonts w:ascii="Arial" w:eastAsia="Calibri" w:hAnsi="Arial" w:cs="Arial"/>
          <w:sz w:val="20"/>
          <w:szCs w:val="20"/>
        </w:rPr>
        <w:t>Case report</w:t>
      </w:r>
    </w:p>
    <w:p w14:paraId="112E348A" w14:textId="5E78D274" w:rsidR="00BB601B" w:rsidRDefault="00BB601B" w:rsidP="00BB601B">
      <w:pPr>
        <w:rPr>
          <w:rFonts w:asciiTheme="minorBidi" w:hAnsiTheme="minorBidi"/>
          <w:sz w:val="20"/>
          <w:szCs w:val="20"/>
          <w:lang w:val="en-US"/>
        </w:rPr>
      </w:pPr>
      <w:r w:rsidRPr="00BB601B">
        <w:rPr>
          <w:rFonts w:asciiTheme="minorBidi" w:hAnsiTheme="minorBidi"/>
          <w:b/>
          <w:bCs/>
          <w:sz w:val="22"/>
          <w:szCs w:val="22"/>
          <w:lang w:val="en-US"/>
        </w:rPr>
        <w:t>Place and Duration of Study:</w:t>
      </w:r>
      <w:r>
        <w:rPr>
          <w:rFonts w:asciiTheme="minorBidi" w:hAnsiTheme="minorBidi"/>
          <w:b/>
          <w:bCs/>
          <w:sz w:val="22"/>
          <w:szCs w:val="22"/>
          <w:lang w:val="en-US"/>
        </w:rPr>
        <w:t xml:space="preserve"> </w:t>
      </w:r>
      <w:r w:rsidRPr="00BB601B">
        <w:rPr>
          <w:rFonts w:asciiTheme="minorBidi" w:hAnsiTheme="minorBidi"/>
          <w:sz w:val="20"/>
          <w:szCs w:val="20"/>
          <w:lang w:val="en-US"/>
        </w:rPr>
        <w:t xml:space="preserve">Department of Internal medicine and </w:t>
      </w:r>
      <w:r w:rsidR="00AD0D26" w:rsidRPr="00BB601B">
        <w:rPr>
          <w:rFonts w:asciiTheme="minorBidi" w:hAnsiTheme="minorBidi"/>
          <w:sz w:val="20"/>
          <w:szCs w:val="20"/>
          <w:lang w:val="en-US"/>
        </w:rPr>
        <w:t>Pulmonology in</w:t>
      </w:r>
      <w:r w:rsidRPr="00BB601B">
        <w:rPr>
          <w:rFonts w:asciiTheme="minorBidi" w:hAnsiTheme="minorBidi"/>
          <w:sz w:val="20"/>
          <w:szCs w:val="20"/>
          <w:lang w:val="en-US"/>
        </w:rPr>
        <w:t xml:space="preserve"> Kuwait hospital, Sharjah, United Arab Emirates</w:t>
      </w:r>
    </w:p>
    <w:p w14:paraId="413886B9" w14:textId="433EEE13" w:rsidR="00BB601B" w:rsidRPr="00BB601B" w:rsidRDefault="00BB601B" w:rsidP="00BB601B">
      <w:pPr>
        <w:rPr>
          <w:rFonts w:asciiTheme="minorBidi" w:hAnsiTheme="minorBidi"/>
          <w:b/>
          <w:bCs/>
          <w:sz w:val="22"/>
          <w:szCs w:val="22"/>
          <w:lang w:val="en-US"/>
        </w:rPr>
      </w:pPr>
      <w:r w:rsidRPr="00BB601B">
        <w:rPr>
          <w:rFonts w:asciiTheme="minorBidi" w:hAnsiTheme="minorBidi"/>
          <w:b/>
          <w:bCs/>
          <w:sz w:val="20"/>
          <w:szCs w:val="20"/>
          <w:lang w:val="en-US"/>
        </w:rPr>
        <w:t>Case Presentation</w:t>
      </w:r>
      <w:r>
        <w:rPr>
          <w:rFonts w:asciiTheme="minorBidi" w:hAnsiTheme="minorBidi"/>
          <w:b/>
          <w:bCs/>
          <w:sz w:val="20"/>
          <w:szCs w:val="20"/>
          <w:lang w:val="en-US"/>
        </w:rPr>
        <w:t>:</w:t>
      </w:r>
    </w:p>
    <w:p w14:paraId="16066E1E" w14:textId="77777777" w:rsidR="00BB601B" w:rsidRDefault="00BB601B" w:rsidP="00BB601B">
      <w:pPr>
        <w:rPr>
          <w:rFonts w:asciiTheme="minorBidi" w:hAnsiTheme="minorBidi"/>
          <w:sz w:val="20"/>
          <w:szCs w:val="20"/>
          <w:lang w:val="en-US"/>
        </w:rPr>
      </w:pPr>
      <w:r w:rsidRPr="00BB601B">
        <w:rPr>
          <w:rFonts w:asciiTheme="minorBidi" w:hAnsiTheme="minorBidi"/>
          <w:sz w:val="20"/>
          <w:szCs w:val="20"/>
          <w:lang w:val="en-US"/>
        </w:rPr>
        <w:t xml:space="preserve">A 54-year-old man with no pre-existing illness presented with subacute worsening shortness of breath over 3 weeks, associated with cough, fever and sweating.  There was history of recent occupational wood dust exposure.  Clinical, radiological and bronchoscopy features were suggestive of hypersensitivity pneumonitis with spontaneous pneumomediastinum and pneumopericardium. Patient responded well with corticosteroids with complete recovery.  </w:t>
      </w:r>
    </w:p>
    <w:p w14:paraId="18AA0C54" w14:textId="3C672A50" w:rsidR="00BB601B" w:rsidRPr="00BB601B" w:rsidRDefault="00BB601B" w:rsidP="00BB601B">
      <w:pPr>
        <w:rPr>
          <w:rFonts w:asciiTheme="minorBidi" w:hAnsiTheme="minorBidi"/>
          <w:b/>
          <w:bCs/>
          <w:sz w:val="20"/>
          <w:szCs w:val="20"/>
          <w:lang w:val="en-US"/>
        </w:rPr>
      </w:pPr>
      <w:r w:rsidRPr="00BB601B">
        <w:rPr>
          <w:rFonts w:asciiTheme="minorBidi" w:hAnsiTheme="minorBidi"/>
          <w:b/>
          <w:bCs/>
          <w:sz w:val="20"/>
          <w:szCs w:val="20"/>
          <w:lang w:val="en-US"/>
        </w:rPr>
        <w:t>Conclusion</w:t>
      </w:r>
      <w:r>
        <w:rPr>
          <w:rFonts w:asciiTheme="minorBidi" w:hAnsiTheme="minorBidi"/>
          <w:b/>
          <w:bCs/>
          <w:sz w:val="20"/>
          <w:szCs w:val="20"/>
          <w:lang w:val="en-US"/>
        </w:rPr>
        <w:t>:</w:t>
      </w:r>
    </w:p>
    <w:p w14:paraId="044E08B6" w14:textId="25B641C0" w:rsidR="00BB601B" w:rsidRDefault="00BB601B" w:rsidP="00BB601B">
      <w:pPr>
        <w:rPr>
          <w:rFonts w:asciiTheme="minorBidi" w:hAnsiTheme="minorBidi"/>
          <w:sz w:val="20"/>
          <w:szCs w:val="20"/>
          <w:lang w:val="en-US"/>
        </w:rPr>
      </w:pPr>
      <w:r w:rsidRPr="00BB601B">
        <w:rPr>
          <w:rFonts w:asciiTheme="minorBidi" w:hAnsiTheme="minorBidi"/>
          <w:sz w:val="20"/>
          <w:szCs w:val="20"/>
          <w:lang w:val="en-US"/>
        </w:rPr>
        <w:t xml:space="preserve">Hypersensitive pneumonitis can be frequently mistaken for other infective condition.  Emphasis </w:t>
      </w:r>
      <w:r w:rsidR="006936B4" w:rsidRPr="00BB601B">
        <w:rPr>
          <w:rFonts w:asciiTheme="minorBidi" w:hAnsiTheme="minorBidi"/>
          <w:sz w:val="20"/>
          <w:szCs w:val="20"/>
          <w:lang w:val="en-US"/>
        </w:rPr>
        <w:t>needs</w:t>
      </w:r>
      <w:r w:rsidRPr="00BB601B">
        <w:rPr>
          <w:rFonts w:asciiTheme="minorBidi" w:hAnsiTheme="minorBidi"/>
          <w:sz w:val="20"/>
          <w:szCs w:val="20"/>
          <w:lang w:val="en-US"/>
        </w:rPr>
        <w:t xml:space="preserve"> to be given on detailed occupational history taking. Spontaneous pneumomediastinum and pneumothorax can be rare presenting symptom of hypersensitivity pneumonitis.  </w:t>
      </w:r>
    </w:p>
    <w:p w14:paraId="0DCAA0D0" w14:textId="77777777" w:rsidR="00BB601B" w:rsidRDefault="00BB601B" w:rsidP="00BB601B">
      <w:pPr>
        <w:rPr>
          <w:rFonts w:asciiTheme="minorBidi" w:hAnsiTheme="minorBidi"/>
          <w:sz w:val="20"/>
          <w:szCs w:val="20"/>
          <w:lang w:val="en-US"/>
        </w:rPr>
      </w:pPr>
    </w:p>
    <w:p w14:paraId="6314D5D6" w14:textId="1E8CE01C" w:rsidR="00304DC1" w:rsidRPr="00304DC1" w:rsidRDefault="00304DC1" w:rsidP="00304DC1">
      <w:pPr>
        <w:rPr>
          <w:rFonts w:asciiTheme="minorBidi" w:hAnsiTheme="minorBidi"/>
          <w:b/>
          <w:bCs/>
          <w:sz w:val="22"/>
          <w:szCs w:val="22"/>
          <w:lang w:val="en-US"/>
        </w:rPr>
      </w:pPr>
      <w:r w:rsidRPr="00304DC1">
        <w:rPr>
          <w:rFonts w:asciiTheme="minorBidi" w:hAnsiTheme="minorBidi"/>
          <w:b/>
          <w:bCs/>
          <w:sz w:val="22"/>
          <w:szCs w:val="22"/>
          <w:lang w:val="en-US"/>
        </w:rPr>
        <w:t xml:space="preserve">INTRODUCTION  </w:t>
      </w:r>
    </w:p>
    <w:p w14:paraId="0EE77A07" w14:textId="315C5B1E" w:rsidR="00BB601B"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Hypersensitivity pneumonitis (HP), also known as extrinsic allergic alveolitis, is a complex and heterogeneous group of interstitial lung disease. They are known to occur in susceptible individuals, who have heightened immune response to certain inhaled antigens (1).  There have been genetic polymorphisms, including those in major histocompatibility complex class 2 found in these individuals (2-5). Viral infections may act as a trigger to environmental antigens by increasing their antigen-presenting capacity, reducing the clearance of antigens, and causing the release of inflammatory cytokines. (6)  </w:t>
      </w:r>
    </w:p>
    <w:p w14:paraId="68947616" w14:textId="77777777" w:rsidR="00304DC1" w:rsidRDefault="00304DC1" w:rsidP="00304DC1">
      <w:pPr>
        <w:rPr>
          <w:rFonts w:asciiTheme="minorBidi" w:hAnsiTheme="minorBidi"/>
          <w:sz w:val="20"/>
          <w:szCs w:val="20"/>
          <w:lang w:val="en-US"/>
        </w:rPr>
      </w:pPr>
    </w:p>
    <w:p w14:paraId="48D5197A"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The severity and length of exposure determine HP's clinical presentation, as symptoms can vary from acute flu-like symptoms to chronic fibrotic lung disease. Inhaling organic or chemical antigens can cause hypersensitivity pneumonitis (HP), which is an inflammatory lung condition. Traditionally, HP was classified as acute, sub-acute or chronic, based on the Symptom duration (7), but this classification has little clinical value today as they are difficult to distinguish clearly and do not correlate well with outcomes (8). Fibrosis is a critical determinant of prognosis (9-13), accordingly HP has been </w:t>
      </w:r>
      <w:proofErr w:type="spellStart"/>
      <w:r w:rsidRPr="00304DC1">
        <w:rPr>
          <w:rFonts w:asciiTheme="minorBidi" w:hAnsiTheme="minorBidi"/>
          <w:sz w:val="20"/>
          <w:szCs w:val="20"/>
          <w:lang w:val="en-US"/>
        </w:rPr>
        <w:t>categorised</w:t>
      </w:r>
      <w:proofErr w:type="spellEnd"/>
      <w:r w:rsidRPr="00304DC1">
        <w:rPr>
          <w:rFonts w:asciiTheme="minorBidi" w:hAnsiTheme="minorBidi"/>
          <w:sz w:val="20"/>
          <w:szCs w:val="20"/>
          <w:lang w:val="en-US"/>
        </w:rPr>
        <w:t xml:space="preserve"> as non-fibrotic (purely inflammatory) HP or fibrotic HP (mixed or purely fibrotic) (14-15).  </w:t>
      </w:r>
    </w:p>
    <w:p w14:paraId="323F30B7" w14:textId="5E198309"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Pneumomediastinum developing spontaneously in HP is still an uncommon occurrence and has been reported in a few case studies (16-19). This case study looks at a patient who had subacute HP that initiative presented with spontaneous pneumomediastinum. Drawing on current research, we aim to explore the possible pathways that link these two illnesses, highlighting the challenges associated with diagnosis and treatment. Because of the possibility of rare complications in inflammatory lung Illnesses, this case emphasizes the importance of considering a wide range of differential diagnosis into account when patients present with respiratory symptoms. </w:t>
      </w:r>
    </w:p>
    <w:p w14:paraId="3D3CBCB0"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 </w:t>
      </w:r>
    </w:p>
    <w:p w14:paraId="5E1F8E77" w14:textId="0DD17015" w:rsidR="00304DC1" w:rsidRPr="00304DC1" w:rsidRDefault="00304DC1" w:rsidP="00304DC1">
      <w:pPr>
        <w:rPr>
          <w:rFonts w:asciiTheme="minorBidi" w:hAnsiTheme="minorBidi"/>
          <w:b/>
          <w:bCs/>
          <w:sz w:val="22"/>
          <w:szCs w:val="22"/>
          <w:lang w:val="en-US"/>
        </w:rPr>
      </w:pPr>
      <w:r w:rsidRPr="00304DC1">
        <w:rPr>
          <w:rFonts w:asciiTheme="minorBidi" w:hAnsiTheme="minorBidi"/>
          <w:b/>
          <w:bCs/>
          <w:sz w:val="22"/>
          <w:szCs w:val="22"/>
          <w:lang w:val="en-US"/>
        </w:rPr>
        <w:t xml:space="preserve">CASE PRESENTATION </w:t>
      </w:r>
    </w:p>
    <w:p w14:paraId="7BA965F6"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A 54-year-old male with no background cardiac or respiratory disease, presented to Emergency department, complaining of shortness of breath of 3 weeks duration that worsened for 1 day. He gave a history of cough that started 3 months ago and was associated with intermittent fever and sweating. Symptoms were progressively worsening. He reported weight loss. He was a previously healthy non-smoker and non-alcoholic living at home alone. Patient worked as a graphic designer and had started </w:t>
      </w:r>
      <w:r w:rsidRPr="00304DC1">
        <w:rPr>
          <w:rFonts w:asciiTheme="minorBidi" w:hAnsiTheme="minorBidi"/>
          <w:sz w:val="20"/>
          <w:szCs w:val="20"/>
          <w:lang w:val="en-US"/>
        </w:rPr>
        <w:lastRenderedPageBreak/>
        <w:t xml:space="preserve">furniture work a few months back. He admitted to being exposed to wood dust without facial mask. Examination revealed patient was hypoxic, </w:t>
      </w:r>
      <w:proofErr w:type="spellStart"/>
      <w:r w:rsidRPr="00304DC1">
        <w:rPr>
          <w:rFonts w:asciiTheme="minorBidi" w:hAnsiTheme="minorBidi"/>
          <w:sz w:val="20"/>
          <w:szCs w:val="20"/>
          <w:lang w:val="en-US"/>
        </w:rPr>
        <w:t>tachypnoeic</w:t>
      </w:r>
      <w:proofErr w:type="spellEnd"/>
      <w:r w:rsidRPr="00304DC1">
        <w:rPr>
          <w:rFonts w:asciiTheme="minorBidi" w:hAnsiTheme="minorBidi"/>
          <w:sz w:val="20"/>
          <w:szCs w:val="20"/>
          <w:lang w:val="en-US"/>
        </w:rPr>
        <w:t xml:space="preserve"> and his chest examination showed bilateral crepitations. There were no signs of heart failure. Lab evaluation showed </w:t>
      </w:r>
      <w:proofErr w:type="spellStart"/>
      <w:r w:rsidRPr="00304DC1">
        <w:rPr>
          <w:rFonts w:asciiTheme="minorBidi" w:hAnsiTheme="minorBidi"/>
          <w:sz w:val="20"/>
          <w:szCs w:val="20"/>
          <w:lang w:val="en-US"/>
        </w:rPr>
        <w:t>leucocytosis</w:t>
      </w:r>
      <w:proofErr w:type="spellEnd"/>
      <w:r w:rsidRPr="00304DC1">
        <w:rPr>
          <w:rFonts w:asciiTheme="minorBidi" w:hAnsiTheme="minorBidi"/>
          <w:sz w:val="20"/>
          <w:szCs w:val="20"/>
          <w:lang w:val="en-US"/>
        </w:rPr>
        <w:t xml:space="preserve">, but rest of the infection panel was negative. Echocardiogram was performed and showed mild pulmonary hypertension with a preserved left ventricular systolic function. </w:t>
      </w:r>
    </w:p>
    <w:p w14:paraId="2CB97C70"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High-resolution computerized tomography (HRCT) of chest revealed evidence of pneumomediastinum and pneumopericardium seen. In addition, there were bilateral patchy ground glass opacities, patchy consolidation and scattered centrilobular nodules suggestive of Hypersensitivity pneumonitis (HP). Bronchoalveolar lavage (BAL) showed lymphocytosis with negative workup for infectious causes including bacterial, tuberculosis and fungal. He was started on oral prednisone and instructed to restrain from his current job exposure. Patient had a remarkable recovery with a near complete radiological resolution of the pulmonary opacities in the follow up HRCT chest. </w:t>
      </w:r>
    </w:p>
    <w:p w14:paraId="62E7A815"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 </w:t>
      </w:r>
    </w:p>
    <w:p w14:paraId="6C280DD6" w14:textId="1B69BAA9" w:rsidR="00304DC1" w:rsidRPr="00304DC1" w:rsidRDefault="00304DC1" w:rsidP="00304DC1">
      <w:pPr>
        <w:rPr>
          <w:rFonts w:asciiTheme="minorBidi" w:hAnsiTheme="minorBidi"/>
          <w:b/>
          <w:bCs/>
          <w:sz w:val="22"/>
          <w:szCs w:val="22"/>
          <w:lang w:val="en-US"/>
        </w:rPr>
      </w:pPr>
      <w:r w:rsidRPr="00304DC1">
        <w:rPr>
          <w:rFonts w:asciiTheme="minorBidi" w:hAnsiTheme="minorBidi"/>
          <w:b/>
          <w:bCs/>
          <w:sz w:val="22"/>
          <w:szCs w:val="22"/>
          <w:lang w:val="en-US"/>
        </w:rPr>
        <w:t xml:space="preserve">DISCUSSION </w:t>
      </w:r>
    </w:p>
    <w:p w14:paraId="57A7AD46"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Here we discuss a case of pneumomediastinum and pneumopericardium as a primary presenting feature in a case of hypersensitive pneumonitis.  </w:t>
      </w:r>
    </w:p>
    <w:p w14:paraId="56AF2ADF"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The classic HRCT findings of HP are upper and middle lobe predominant patchy ground-glass or nodular opacities in a bronchiole-centric distribution, with areas of air trapping. The appearance of ground glass / nodular opacities (high attenuation), air trapping (low attenuation) and normal parenchyma is referred to as the "head cheese sign." </w:t>
      </w:r>
    </w:p>
    <w:p w14:paraId="190CA20D"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The diagnosis of HP is based on exposure history of an identified antigen, typical clinical presentation and high-resolution computed tomography (HRCT) scan picture. In selected cases, bronchoalveolar lavage (BAL) lymphocytosis and histopathologic data [14,15] might be needed. As per CHEST guidelines, a confident diagnosis of HP can be made in patients who have an identified exposure and a typical pattern on HRCT scan [15].  Although as per ATS/JRS/ALAT guidelines, a confident diagnosis requires additional evidence of BAL lymphocytosis [14]. Our patient had typical high-resolution CT scan findings for HP, supported by evidence of BAL lymphocytosis.  Clinical and radiological recovery with treatment confirmed the diagnosis. </w:t>
      </w:r>
    </w:p>
    <w:p w14:paraId="14B19BED"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 </w:t>
      </w:r>
    </w:p>
    <w:p w14:paraId="7CB78658" w14:textId="7FC3E341"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Patients with interstitial lung disease have distortion of lung architecture and formation of subpleural blebs which may rupture and lead to pneumothorax [20].  Pneumomediastinum is a rare complication seen in interstitial lung disease patients alone or associated with pneumothorax [21]. Alveolar rupture in regions of damaged tissue may be facilitated by these pressure gradients. The importance of parenchymal remodeling in HP has been highlighted by recent research, which may increase the risk of barotrauma by altering lung mechanics Those with a violent cough or honeycombing are especially predisposed [22]. </w:t>
      </w:r>
    </w:p>
    <w:p w14:paraId="27A9E777"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 </w:t>
      </w:r>
    </w:p>
    <w:p w14:paraId="3C217FB2"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Pneumothorax and pneumomediastinum as a presenting feature of hypersensitivity pneumonitis is very rare and has been reported only in handful of cases [23]. This scenario emphasizes the importance of considering uncommon complications in the context of known pulmonary disorders. Even while spontaneous pneumomediastinum is usually treated conservatively, when it occurs in an HP patient, close observation and thorough evaluation of the underlying inflammatory disease are required. To improve our comprehension of the prevalence and risk factors linked to pneumomediastinum in HP patients, more study is necessary. Areas of air trapping and regional pressure variations that may lead to alveolar rupture may be identified with the use of sophisticated imaging techniques, such as inspiratory and expiratory CT scans. </w:t>
      </w:r>
    </w:p>
    <w:p w14:paraId="6C2CA3BB" w14:textId="77777777" w:rsidR="00304DC1" w:rsidRPr="00304DC1" w:rsidRDefault="00304DC1" w:rsidP="00304DC1">
      <w:pPr>
        <w:rPr>
          <w:rFonts w:asciiTheme="minorBidi" w:hAnsiTheme="minorBidi"/>
          <w:sz w:val="20"/>
          <w:szCs w:val="20"/>
          <w:lang w:val="en-US"/>
        </w:rPr>
      </w:pPr>
      <w:r w:rsidRPr="00304DC1">
        <w:rPr>
          <w:rFonts w:asciiTheme="minorBidi" w:hAnsiTheme="minorBidi"/>
          <w:sz w:val="20"/>
          <w:szCs w:val="20"/>
          <w:lang w:val="en-US"/>
        </w:rPr>
        <w:t xml:space="preserve"> </w:t>
      </w:r>
    </w:p>
    <w:p w14:paraId="0792357F" w14:textId="53B0BC67" w:rsidR="00304DC1" w:rsidRPr="00304DC1" w:rsidRDefault="00304DC1" w:rsidP="00304DC1">
      <w:pPr>
        <w:rPr>
          <w:rFonts w:asciiTheme="minorBidi" w:hAnsiTheme="minorBidi"/>
          <w:b/>
          <w:bCs/>
          <w:sz w:val="22"/>
          <w:szCs w:val="22"/>
          <w:lang w:val="en-US"/>
        </w:rPr>
      </w:pPr>
      <w:r w:rsidRPr="00304DC1">
        <w:rPr>
          <w:rFonts w:asciiTheme="minorBidi" w:hAnsiTheme="minorBidi"/>
          <w:b/>
          <w:bCs/>
          <w:sz w:val="22"/>
          <w:szCs w:val="22"/>
          <w:lang w:val="en-US"/>
        </w:rPr>
        <w:t xml:space="preserve">CONCLUSION </w:t>
      </w:r>
    </w:p>
    <w:p w14:paraId="189E23E3" w14:textId="0F1B06A8" w:rsidR="00304DC1" w:rsidRDefault="00304DC1" w:rsidP="00304DC1">
      <w:pPr>
        <w:rPr>
          <w:rFonts w:asciiTheme="minorBidi" w:hAnsiTheme="minorBidi"/>
          <w:sz w:val="20"/>
          <w:szCs w:val="20"/>
          <w:lang w:val="en-US"/>
        </w:rPr>
      </w:pPr>
      <w:r w:rsidRPr="00304DC1">
        <w:rPr>
          <w:rFonts w:asciiTheme="minorBidi" w:hAnsiTheme="minorBidi"/>
          <w:sz w:val="20"/>
          <w:szCs w:val="20"/>
          <w:lang w:val="en-US"/>
        </w:rPr>
        <w:t>This case report demonstrates a rare instance of spontaneous pneumomediastinum complicating hypersensitivity pneumonitis (HP). The possible processes most likely include HP-related inflammatory alterations that weaken alveolar walls and make them more likely to burst when intrathoracic pressure rises.</w:t>
      </w:r>
    </w:p>
    <w:p w14:paraId="79D7BA0F" w14:textId="77777777" w:rsidR="00304DC1" w:rsidRDefault="00304DC1" w:rsidP="00304DC1">
      <w:pPr>
        <w:rPr>
          <w:rFonts w:asciiTheme="minorBidi" w:hAnsiTheme="minorBidi"/>
          <w:sz w:val="20"/>
          <w:szCs w:val="20"/>
          <w:lang w:val="en-US"/>
        </w:rPr>
      </w:pPr>
    </w:p>
    <w:p w14:paraId="7D167D90" w14:textId="77777777" w:rsidR="00304DC1" w:rsidRDefault="00304DC1" w:rsidP="00304DC1">
      <w:pPr>
        <w:rPr>
          <w:rFonts w:asciiTheme="minorBidi" w:hAnsiTheme="minorBidi"/>
          <w:sz w:val="20"/>
          <w:szCs w:val="20"/>
          <w:lang w:val="en-IN"/>
        </w:rPr>
      </w:pPr>
      <w:bookmarkStart w:id="0" w:name="_GoBack"/>
      <w:bookmarkEnd w:id="0"/>
    </w:p>
    <w:p w14:paraId="150DDA3E" w14:textId="77777777" w:rsidR="00304DC1" w:rsidRPr="00786D36" w:rsidRDefault="00304DC1" w:rsidP="00304DC1">
      <w:pPr>
        <w:pStyle w:val="ReferHead"/>
        <w:spacing w:after="0"/>
        <w:jc w:val="both"/>
        <w:rPr>
          <w:rFonts w:ascii="Arial" w:hAnsi="Arial" w:cs="Arial"/>
          <w:bCs/>
        </w:rPr>
      </w:pPr>
      <w:r w:rsidRPr="00786D36">
        <w:rPr>
          <w:rFonts w:ascii="Arial" w:hAnsi="Arial" w:cs="Arial"/>
          <w:bCs/>
        </w:rPr>
        <w:t>Competing interests</w:t>
      </w:r>
    </w:p>
    <w:p w14:paraId="7C00ACF3" w14:textId="1F65D9DE" w:rsidR="00304DC1" w:rsidRPr="00304DC1" w:rsidRDefault="00304DC1" w:rsidP="00304DC1">
      <w:pPr>
        <w:rPr>
          <w:rFonts w:asciiTheme="minorBidi" w:hAnsiTheme="minorBidi"/>
          <w:sz w:val="20"/>
          <w:szCs w:val="20"/>
          <w:lang w:val="en-US"/>
        </w:rPr>
      </w:pPr>
      <w:r>
        <w:rPr>
          <w:rFonts w:asciiTheme="minorBidi" w:hAnsiTheme="minorBidi"/>
          <w:sz w:val="20"/>
          <w:szCs w:val="20"/>
          <w:lang w:val="en-US"/>
        </w:rPr>
        <w:t>No competing interests exist</w:t>
      </w:r>
      <w:r w:rsidR="00AD0D26">
        <w:rPr>
          <w:rFonts w:asciiTheme="minorBidi" w:hAnsiTheme="minorBidi"/>
          <w:sz w:val="20"/>
          <w:szCs w:val="20"/>
          <w:lang w:val="en-US"/>
        </w:rPr>
        <w:t>.</w:t>
      </w:r>
    </w:p>
    <w:p w14:paraId="0A93D110" w14:textId="73F8A735" w:rsidR="00304DC1" w:rsidRDefault="00304DC1" w:rsidP="00BB601B">
      <w:pPr>
        <w:rPr>
          <w:rFonts w:asciiTheme="minorBidi" w:hAnsiTheme="minorBidi"/>
          <w:sz w:val="20"/>
          <w:szCs w:val="20"/>
          <w:lang w:val="en-US"/>
        </w:rPr>
      </w:pPr>
      <w:r>
        <w:rPr>
          <w:rFonts w:asciiTheme="minorBidi" w:hAnsiTheme="minorBidi"/>
          <w:sz w:val="20"/>
          <w:szCs w:val="20"/>
          <w:lang w:val="en-US"/>
        </w:rPr>
        <w:t xml:space="preserve">All authors </w:t>
      </w:r>
      <w:r w:rsidR="00AD0D26">
        <w:rPr>
          <w:rFonts w:asciiTheme="minorBidi" w:hAnsiTheme="minorBidi"/>
          <w:sz w:val="20"/>
          <w:szCs w:val="20"/>
          <w:lang w:val="en-US"/>
        </w:rPr>
        <w:t xml:space="preserve">declare that they </w:t>
      </w:r>
      <w:r>
        <w:rPr>
          <w:rFonts w:asciiTheme="minorBidi" w:hAnsiTheme="minorBidi"/>
          <w:sz w:val="20"/>
          <w:szCs w:val="20"/>
          <w:lang w:val="en-US"/>
        </w:rPr>
        <w:t xml:space="preserve">do not have any </w:t>
      </w:r>
      <w:r w:rsidRPr="00304DC1">
        <w:rPr>
          <w:rFonts w:asciiTheme="minorBidi" w:hAnsiTheme="minorBidi"/>
          <w:sz w:val="20"/>
          <w:szCs w:val="20"/>
          <w:lang w:val="en-US"/>
        </w:rPr>
        <w:t>financial and personal relationships with other people or organizations that could inappropriately influence (bias) their work.</w:t>
      </w:r>
    </w:p>
    <w:p w14:paraId="2184CE3F" w14:textId="44C095B4" w:rsidR="00AD0D26" w:rsidRDefault="00AD0D26" w:rsidP="00BB601B">
      <w:pPr>
        <w:rPr>
          <w:rFonts w:asciiTheme="minorBidi" w:hAnsiTheme="minorBidi"/>
          <w:sz w:val="20"/>
          <w:szCs w:val="20"/>
          <w:lang w:val="en-US"/>
        </w:rPr>
      </w:pPr>
      <w:r>
        <w:rPr>
          <w:rFonts w:asciiTheme="minorBidi" w:hAnsiTheme="minorBidi"/>
          <w:sz w:val="20"/>
          <w:szCs w:val="20"/>
          <w:lang w:val="en-US"/>
        </w:rPr>
        <w:t>No financial aid received or provided.</w:t>
      </w:r>
    </w:p>
    <w:p w14:paraId="7B764A19" w14:textId="77777777" w:rsidR="00AD0D26" w:rsidRDefault="00AD0D26" w:rsidP="00BB601B">
      <w:pPr>
        <w:rPr>
          <w:rFonts w:asciiTheme="minorBidi" w:hAnsiTheme="minorBidi"/>
          <w:sz w:val="20"/>
          <w:szCs w:val="20"/>
          <w:lang w:val="en-US"/>
        </w:rPr>
      </w:pPr>
    </w:p>
    <w:p w14:paraId="2CC02717" w14:textId="431471D0" w:rsidR="00AD0D26" w:rsidRDefault="00AD0D26" w:rsidP="00AD0D26">
      <w:pPr>
        <w:pStyle w:val="Author"/>
        <w:spacing w:line="240" w:lineRule="auto"/>
        <w:jc w:val="left"/>
        <w:rPr>
          <w:rFonts w:asciiTheme="minorBidi" w:hAnsiTheme="minorBidi" w:cstheme="minorBidi"/>
          <w:b w:val="0"/>
          <w:bCs/>
          <w:sz w:val="20"/>
          <w:lang w:val="en-IN"/>
        </w:rPr>
      </w:pPr>
    </w:p>
    <w:p w14:paraId="025F072B" w14:textId="77777777" w:rsidR="00475026" w:rsidRDefault="00475026" w:rsidP="00AD0D26">
      <w:pPr>
        <w:pStyle w:val="Author"/>
        <w:spacing w:line="240" w:lineRule="auto"/>
        <w:jc w:val="left"/>
        <w:rPr>
          <w:rFonts w:asciiTheme="minorBidi" w:hAnsiTheme="minorBidi" w:cstheme="minorBidi"/>
          <w:b w:val="0"/>
          <w:bCs/>
          <w:sz w:val="20"/>
          <w:lang w:val="en-IN"/>
        </w:rPr>
      </w:pPr>
    </w:p>
    <w:p w14:paraId="69919431" w14:textId="111944BD" w:rsidR="00AD0D26" w:rsidRPr="00AD0D26" w:rsidRDefault="00AD0D26" w:rsidP="00AD0D26">
      <w:pPr>
        <w:pStyle w:val="Author"/>
        <w:spacing w:line="240" w:lineRule="auto"/>
        <w:jc w:val="left"/>
        <w:rPr>
          <w:rFonts w:ascii="Arial" w:hAnsi="Arial" w:cs="Arial"/>
          <w:bCs/>
          <w:sz w:val="22"/>
          <w:szCs w:val="22"/>
        </w:rPr>
      </w:pPr>
      <w:r w:rsidRPr="00AD0D26">
        <w:rPr>
          <w:rFonts w:ascii="Arial" w:hAnsi="Arial" w:cs="Arial"/>
          <w:bCs/>
          <w:sz w:val="22"/>
          <w:szCs w:val="22"/>
        </w:rPr>
        <w:t>CONSENT</w:t>
      </w:r>
    </w:p>
    <w:p w14:paraId="1466CE9C" w14:textId="7E356DB1" w:rsidR="00AD0D26" w:rsidRDefault="00AD0D26" w:rsidP="00AD0D26">
      <w:pPr>
        <w:pStyle w:val="Author"/>
        <w:spacing w:line="240" w:lineRule="auto"/>
        <w:jc w:val="left"/>
        <w:rPr>
          <w:rFonts w:asciiTheme="minorBidi" w:hAnsiTheme="minorBidi" w:cstheme="minorBidi"/>
          <w:b w:val="0"/>
          <w:bCs/>
          <w:sz w:val="20"/>
          <w:lang w:val="en-IN"/>
        </w:rPr>
      </w:pPr>
      <w:r w:rsidRPr="00AD0D26">
        <w:rPr>
          <w:rFonts w:asciiTheme="minorBidi" w:hAnsiTheme="minorBidi" w:cstheme="minorBidi"/>
          <w:b w:val="0"/>
          <w:bCs/>
          <w:sz w:val="20"/>
          <w:lang w:val="en-IN"/>
        </w:rPr>
        <w:t>Patient consent attached</w:t>
      </w:r>
    </w:p>
    <w:p w14:paraId="776CE81C" w14:textId="77777777" w:rsidR="00AD0D26" w:rsidRDefault="00AD0D26" w:rsidP="00AD0D26">
      <w:pPr>
        <w:pStyle w:val="Author"/>
        <w:spacing w:line="240" w:lineRule="auto"/>
        <w:jc w:val="left"/>
        <w:rPr>
          <w:rFonts w:asciiTheme="minorBidi" w:hAnsiTheme="minorBidi" w:cstheme="minorBidi"/>
          <w:b w:val="0"/>
          <w:bCs/>
          <w:sz w:val="20"/>
          <w:lang w:val="en-IN"/>
        </w:rPr>
      </w:pPr>
    </w:p>
    <w:p w14:paraId="71B2A60E" w14:textId="0B2DDFBC" w:rsidR="00AD0D26" w:rsidRPr="00AD0D26" w:rsidRDefault="00AD0D26" w:rsidP="00AD0D26">
      <w:pPr>
        <w:pStyle w:val="Author"/>
        <w:spacing w:line="240" w:lineRule="auto"/>
        <w:jc w:val="left"/>
        <w:rPr>
          <w:rFonts w:asciiTheme="minorBidi" w:hAnsiTheme="minorBidi" w:cstheme="minorBidi"/>
          <w:b w:val="0"/>
          <w:bCs/>
          <w:sz w:val="22"/>
          <w:szCs w:val="22"/>
        </w:rPr>
      </w:pPr>
      <w:r w:rsidRPr="00AD0D26">
        <w:rPr>
          <w:rFonts w:ascii="Arial" w:hAnsi="Arial" w:cs="Arial"/>
          <w:bCs/>
          <w:sz w:val="22"/>
          <w:szCs w:val="22"/>
        </w:rPr>
        <w:t>ETHICAL APPROVAL</w:t>
      </w:r>
    </w:p>
    <w:p w14:paraId="4005B4FF" w14:textId="1867743E" w:rsidR="00AD0D26" w:rsidRDefault="00AD0D26" w:rsidP="00AD0D26">
      <w:pPr>
        <w:rPr>
          <w:rFonts w:asciiTheme="minorBidi" w:hAnsiTheme="minorBidi"/>
          <w:sz w:val="20"/>
          <w:szCs w:val="20"/>
          <w:lang w:val="en-US"/>
        </w:rPr>
      </w:pPr>
      <w:r>
        <w:rPr>
          <w:rFonts w:asciiTheme="minorBidi" w:hAnsiTheme="minorBidi"/>
          <w:sz w:val="20"/>
          <w:szCs w:val="20"/>
          <w:lang w:val="en-US"/>
        </w:rPr>
        <w:t xml:space="preserve">Ethical committee approval taken - </w:t>
      </w:r>
      <w:r w:rsidRPr="00AD0D26">
        <w:rPr>
          <w:rFonts w:asciiTheme="minorBidi" w:hAnsiTheme="minorBidi"/>
          <w:sz w:val="20"/>
          <w:szCs w:val="20"/>
          <w:lang w:val="en-US"/>
        </w:rPr>
        <w:t>Approval Reference No: MOHAP/DXB-REC /J.</w:t>
      </w:r>
      <w:proofErr w:type="gramStart"/>
      <w:r w:rsidRPr="00AD0D26">
        <w:rPr>
          <w:rFonts w:asciiTheme="minorBidi" w:hAnsiTheme="minorBidi"/>
          <w:sz w:val="20"/>
          <w:szCs w:val="20"/>
          <w:lang w:val="en-US"/>
        </w:rPr>
        <w:t>J.J</w:t>
      </w:r>
      <w:proofErr w:type="gramEnd"/>
      <w:r w:rsidRPr="00AD0D26">
        <w:rPr>
          <w:rFonts w:asciiTheme="minorBidi" w:hAnsiTheme="minorBidi"/>
          <w:sz w:val="20"/>
          <w:szCs w:val="20"/>
          <w:lang w:val="en-US"/>
        </w:rPr>
        <w:t xml:space="preserve"> /No.12 /2026.</w:t>
      </w:r>
    </w:p>
    <w:p w14:paraId="17554A63" w14:textId="77777777" w:rsidR="00AD0D26" w:rsidRDefault="00AD0D26" w:rsidP="00AD0D26">
      <w:pPr>
        <w:rPr>
          <w:rFonts w:asciiTheme="minorBidi" w:hAnsiTheme="minorBidi"/>
          <w:sz w:val="20"/>
          <w:szCs w:val="20"/>
          <w:lang w:val="en-US"/>
        </w:rPr>
      </w:pPr>
    </w:p>
    <w:p w14:paraId="7209D633" w14:textId="77777777" w:rsidR="00AD0D26" w:rsidRDefault="00AD0D26" w:rsidP="00AD0D26">
      <w:pPr>
        <w:pStyle w:val="ReferHead"/>
        <w:spacing w:after="0"/>
        <w:jc w:val="both"/>
        <w:rPr>
          <w:rFonts w:ascii="Arial" w:hAnsi="Arial" w:cs="Arial"/>
        </w:rPr>
      </w:pPr>
      <w:r w:rsidRPr="00FB3A86">
        <w:rPr>
          <w:rFonts w:ascii="Arial" w:hAnsi="Arial" w:cs="Arial"/>
        </w:rPr>
        <w:t>References</w:t>
      </w:r>
    </w:p>
    <w:p w14:paraId="5F4176F4"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European Respiratory Review 2022 31(163): 210169; DOI: https://doi.org/10.1183/16000617.0169-2021</w:t>
      </w:r>
      <w:r w:rsidRPr="006936B4">
        <w:rPr>
          <w:rStyle w:val="eop"/>
          <w:rFonts w:asciiTheme="minorBidi" w:eastAsiaTheme="majorEastAsia" w:hAnsiTheme="minorBidi" w:cstheme="minorBidi"/>
          <w:sz w:val="20"/>
          <w:szCs w:val="20"/>
        </w:rPr>
        <w:t> </w:t>
      </w:r>
    </w:p>
    <w:p w14:paraId="6D7D4854"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Camarena A, Juárez A, Mejía M, et al. Major histocompatibility complex and</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tumor</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necrosis factor-alpha polymorphisms in pigeon breeder's disease. Am J Respir Crit Care Med 2001; 163: 1528–1533. doi:10.1164/ajrccm.163.7.2004023</w:t>
      </w:r>
      <w:r w:rsidRPr="006936B4">
        <w:rPr>
          <w:rStyle w:val="eop"/>
          <w:rFonts w:asciiTheme="minorBidi" w:eastAsiaTheme="majorEastAsia" w:hAnsiTheme="minorBidi" w:cstheme="minorBidi"/>
          <w:sz w:val="20"/>
          <w:szCs w:val="20"/>
        </w:rPr>
        <w:t> </w:t>
      </w:r>
    </w:p>
    <w:p w14:paraId="7A4CA89C"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3.</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Newton CA, Batra K, Torrealba J, et al. Telomere-related lung fibrosis is diagnostically heterogeneous but uniformly progressive.</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Eur</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Respir J 2016; 48: 1710–1720. doi:10.1183/13993003.00308-2016</w:t>
      </w:r>
      <w:r w:rsidRPr="006936B4">
        <w:rPr>
          <w:rStyle w:val="eop"/>
          <w:rFonts w:asciiTheme="minorBidi" w:eastAsiaTheme="majorEastAsia" w:hAnsiTheme="minorBidi" w:cstheme="minorBidi"/>
          <w:sz w:val="20"/>
          <w:szCs w:val="20"/>
        </w:rPr>
        <w:t> </w:t>
      </w:r>
    </w:p>
    <w:p w14:paraId="69ED70AA"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4.</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Ley B, Newton CA, Arnould I, et al. The MUC5B promoter polymorphism and telomere length in patients with chronic hypersensitivity pneumonitis: an observational cohort-control study. Lancet Respir Med 2017; 5: 639–647. doi:10.1016/S2213-2600(17)30216-3</w:t>
      </w:r>
      <w:r w:rsidRPr="006936B4">
        <w:rPr>
          <w:rStyle w:val="eop"/>
          <w:rFonts w:asciiTheme="minorBidi" w:eastAsiaTheme="majorEastAsia" w:hAnsiTheme="minorBidi" w:cstheme="minorBidi"/>
          <w:sz w:val="20"/>
          <w:szCs w:val="20"/>
        </w:rPr>
        <w:t> </w:t>
      </w:r>
    </w:p>
    <w:p w14:paraId="55081DAC"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5.</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Ley B, Torgerson DG, Oldham JM, et 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Rare</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protein-altering telomere-related gene variants in patients with chronic hypersensitivity pneumonitis. Am J Respir Crit Care Med 2019; 200: 1154–1163. doi:10.1164/rccm.201902-0360OC</w:t>
      </w:r>
      <w:r w:rsidRPr="006936B4">
        <w:rPr>
          <w:rStyle w:val="eop"/>
          <w:rFonts w:asciiTheme="minorBidi" w:eastAsiaTheme="majorEastAsia" w:hAnsiTheme="minorBidi" w:cstheme="minorBidi"/>
          <w:sz w:val="20"/>
          <w:szCs w:val="20"/>
        </w:rPr>
        <w:t> </w:t>
      </w:r>
    </w:p>
    <w:p w14:paraId="33672940"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6.</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Cormier Y, Israël-Assayag E. The role of viruses in the pathogenesis of hypersensitivity pneumonitis. </w:t>
      </w:r>
      <w:proofErr w:type="spellStart"/>
      <w:r w:rsidRPr="006936B4">
        <w:rPr>
          <w:rStyle w:val="normaltextrun"/>
          <w:rFonts w:asciiTheme="minorBidi" w:eastAsiaTheme="majorEastAsia" w:hAnsiTheme="minorBidi" w:cstheme="minorBidi"/>
          <w:sz w:val="20"/>
          <w:szCs w:val="20"/>
        </w:rPr>
        <w:t>Curr</w:t>
      </w:r>
      <w:proofErr w:type="spell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Opin</w:t>
      </w:r>
      <w:proofErr w:type="spell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Pulm</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Med 2000; 6: 420–423. doi:10.1097/00063198-200009000-00006</w:t>
      </w:r>
      <w:r w:rsidRPr="006936B4">
        <w:rPr>
          <w:rStyle w:val="eop"/>
          <w:rFonts w:asciiTheme="minorBidi" w:eastAsiaTheme="majorEastAsia" w:hAnsiTheme="minorBidi" w:cstheme="minorBidi"/>
          <w:sz w:val="20"/>
          <w:szCs w:val="20"/>
        </w:rPr>
        <w:t> </w:t>
      </w:r>
    </w:p>
    <w:p w14:paraId="17A646F5"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7.</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Richerson HB, Bernstein IL, Fink JN, et al. Guidelines for the clinical evaluation of hypersensitivity pneumonitis. Report of the subcommittee on hypersensitivity pneumonitis. J Allergy Clin Immunol 1989; 84: 839–844. doi:10.1016/0091-6749(89)90349-7</w:t>
      </w:r>
      <w:r w:rsidRPr="006936B4">
        <w:rPr>
          <w:rStyle w:val="eop"/>
          <w:rFonts w:asciiTheme="minorBidi" w:eastAsiaTheme="majorEastAsia" w:hAnsiTheme="minorBidi" w:cstheme="minorBidi"/>
          <w:sz w:val="20"/>
          <w:szCs w:val="20"/>
        </w:rPr>
        <w:t> </w:t>
      </w:r>
    </w:p>
    <w:p w14:paraId="60FCDC26"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8.</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Lacasse Y, Selman M,</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Costabel</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U, et al. Classification of hypersensitivity pneumonitis: a hypothesis. Int Arch Allergy Immunol 2009; 149: 161–166. doi:10.1159/000189200</w:t>
      </w:r>
      <w:r w:rsidRPr="006936B4">
        <w:rPr>
          <w:rStyle w:val="eop"/>
          <w:rFonts w:asciiTheme="minorBidi" w:eastAsiaTheme="majorEastAsia" w:hAnsiTheme="minorBidi" w:cstheme="minorBidi"/>
          <w:sz w:val="20"/>
          <w:szCs w:val="20"/>
        </w:rPr>
        <w:t> </w:t>
      </w:r>
    </w:p>
    <w:p w14:paraId="5F969204"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9.</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Vourlekis</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JS, Schwarz MI,</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Cherniack</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RM, et al. The effect of pulmonary fibrosis on survival in patients with hypersensitivity pneumonitis. Am J Med 2004; 116: 662–668.</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doi:10.1016/j.amjmed.2003.12.030</w:t>
      </w:r>
      <w:r w:rsidRPr="006936B4">
        <w:rPr>
          <w:rStyle w:val="eop"/>
          <w:rFonts w:asciiTheme="minorBidi" w:eastAsiaTheme="majorEastAsia" w:hAnsiTheme="minorBidi" w:cstheme="minorBidi"/>
          <w:sz w:val="20"/>
          <w:szCs w:val="20"/>
        </w:rPr>
        <w:t> </w:t>
      </w:r>
    </w:p>
    <w:p w14:paraId="2E6C9918"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10.</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Hanak V, Golbin JM, Hartman TE, et al. High-resolution CT findings of parenchymal fibrosis correlate with prognosis in hypersensitivity pneumonitis. Chest 2008; 134: 133–138. doi:10.1378/chest.07-3005</w:t>
      </w:r>
      <w:r w:rsidRPr="006936B4">
        <w:rPr>
          <w:rStyle w:val="eop"/>
          <w:rFonts w:asciiTheme="minorBidi" w:eastAsiaTheme="majorEastAsia" w:hAnsiTheme="minorBidi" w:cstheme="minorBidi"/>
          <w:sz w:val="20"/>
          <w:szCs w:val="20"/>
        </w:rPr>
        <w:t> </w:t>
      </w:r>
    </w:p>
    <w:p w14:paraId="1739E7F1"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11.</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Mooney JJ, Elicker BM, Urbania TH, et al. Radiographic fibrosis score predicts survival in hypersensitivity pneumonitis. Chest 2013; 144: 586–592. doi:10.1378/chest.12-2623</w:t>
      </w:r>
      <w:r w:rsidRPr="006936B4">
        <w:rPr>
          <w:rStyle w:val="eop"/>
          <w:rFonts w:asciiTheme="minorBidi" w:eastAsiaTheme="majorEastAsia" w:hAnsiTheme="minorBidi" w:cstheme="minorBidi"/>
          <w:sz w:val="20"/>
          <w:szCs w:val="20"/>
        </w:rPr>
        <w:t> </w:t>
      </w:r>
    </w:p>
    <w:p w14:paraId="2383C133"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12.</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Churg A,</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Bilawich</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A, Wright JL. Pathology of chronic hypersensitivity pneumonitis. What is it? What are the diagnostic criteria? Why do we care? Arch</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Pathol</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Lab Med 2018; 142: 109–119. doi:10.5858/arpa.2017-0173-RA</w:t>
      </w:r>
      <w:r w:rsidRPr="006936B4">
        <w:rPr>
          <w:rStyle w:val="eop"/>
          <w:rFonts w:asciiTheme="minorBidi" w:eastAsiaTheme="majorEastAsia" w:hAnsiTheme="minorBidi" w:cstheme="minorBidi"/>
          <w:sz w:val="20"/>
          <w:szCs w:val="20"/>
        </w:rPr>
        <w:t> </w:t>
      </w:r>
    </w:p>
    <w:p w14:paraId="1097814B"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13.</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Ojanguren</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I, Morell F, Ramón MA, et al. Long-term outcomes in chronic hypersensitivity pneumonitis. Allergy 2019; 74: 944–952. doi:10.1111/all.13692</w:t>
      </w:r>
      <w:r w:rsidRPr="006936B4">
        <w:rPr>
          <w:rStyle w:val="eop"/>
          <w:rFonts w:asciiTheme="minorBidi" w:eastAsiaTheme="majorEastAsia" w:hAnsiTheme="minorBidi" w:cstheme="minorBidi"/>
          <w:sz w:val="20"/>
          <w:szCs w:val="20"/>
        </w:rPr>
        <w:t> </w:t>
      </w:r>
    </w:p>
    <w:p w14:paraId="1F47E3D4"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14.</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Raghu G, Remy-Jardin M, Ryerson CJ, et al. Diagnosis of hypersensitivity pneumonitis in adults. An official ATS/JRS/ALAT clinical practice guideline. Am J Respir Crit Care Med 2020; 202: e36–e69. doi:10.1164/rccm.202005-2032ST</w:t>
      </w:r>
      <w:r w:rsidRPr="006936B4">
        <w:rPr>
          <w:rStyle w:val="eop"/>
          <w:rFonts w:asciiTheme="minorBidi" w:eastAsiaTheme="majorEastAsia" w:hAnsiTheme="minorBidi" w:cstheme="minorBidi"/>
          <w:sz w:val="20"/>
          <w:szCs w:val="20"/>
        </w:rPr>
        <w:t> </w:t>
      </w:r>
    </w:p>
    <w:p w14:paraId="23FBFDBB"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15.</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Fernández Pérez ER, Travis WD, Lynch DA, et al. Executive summary</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diagnosis</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and evaluation of hypersensitivity pneumonitis: CHEST guideline and expert panel report. Chest 2021; 160: 595–615.</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doi:10.1016/j.chest.2021.03.067</w:t>
      </w:r>
      <w:r w:rsidRPr="006936B4">
        <w:rPr>
          <w:rStyle w:val="eop"/>
          <w:rFonts w:asciiTheme="minorBidi" w:eastAsiaTheme="majorEastAsia" w:hAnsiTheme="minorBidi" w:cstheme="minorBidi"/>
          <w:sz w:val="20"/>
          <w:szCs w:val="20"/>
        </w:rPr>
        <w:t> </w:t>
      </w:r>
    </w:p>
    <w:p w14:paraId="1541ADE0"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16.</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Fujiwara H, Arita K, Yoshimi T et al. A case of summer-type hypersensitivity pneumonitis with mediastinal and subcutaneous emphysema. Nihon</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Kyobu</w:t>
      </w:r>
      <w:proofErr w:type="spellEnd"/>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Shikkan</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Gakkai</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Zasshi</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1988;26:1102–6</w:t>
      </w:r>
      <w:r w:rsidRPr="006936B4">
        <w:rPr>
          <w:rStyle w:val="eop"/>
          <w:rFonts w:asciiTheme="minorBidi" w:eastAsiaTheme="majorEastAsia" w:hAnsiTheme="minorBidi" w:cstheme="minorBidi"/>
          <w:sz w:val="20"/>
          <w:szCs w:val="20"/>
        </w:rPr>
        <w:t> </w:t>
      </w:r>
    </w:p>
    <w:p w14:paraId="13B83408"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17.</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Ichikawa Y, Tokunaga N, Kinoshita M et al. Subcutaneous and mediastinal emphysema associated with hypersensitivity pneumonitis. Chest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1991;99:759–61.</w:t>
      </w:r>
      <w:r w:rsidRPr="006936B4">
        <w:rPr>
          <w:rStyle w:val="eop"/>
          <w:rFonts w:asciiTheme="minorBidi" w:eastAsiaTheme="majorEastAsia" w:hAnsiTheme="minorBidi" w:cstheme="minorBidi"/>
          <w:sz w:val="20"/>
          <w:szCs w:val="20"/>
        </w:rPr>
        <w:t> </w:t>
      </w:r>
    </w:p>
    <w:p w14:paraId="1CB0DF97"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18.</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Koschel D,</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Handzhiev</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S, Cardoso C et al. Pneumomediastinum as a primary manifestation of chronic hypersensitivity pneumonitis. Med Sci Monit 2011;17:CS152–5.</w:t>
      </w:r>
      <w:r w:rsidRPr="006936B4">
        <w:rPr>
          <w:rStyle w:val="eop"/>
          <w:rFonts w:asciiTheme="minorBidi" w:eastAsiaTheme="majorEastAsia" w:hAnsiTheme="minorBidi" w:cstheme="minorBidi"/>
          <w:sz w:val="20"/>
          <w:szCs w:val="20"/>
        </w:rPr>
        <w:t> </w:t>
      </w:r>
    </w:p>
    <w:p w14:paraId="487E5EAD"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19.</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Grecian</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R</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Faccenda</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J,</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Ferrando</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 et 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Pneumomediastinum: a rare manifestation of hypersensitivity pneumonitis in a patient presenting with unexplained breathlessness at the Borders General Hospital.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BMJ Case Rep. 2015 Oct 7;2015:bcr2015211593.</w:t>
      </w:r>
      <w:r w:rsidRPr="006936B4">
        <w:rPr>
          <w:rStyle w:val="eop"/>
          <w:rFonts w:asciiTheme="minorBidi" w:eastAsiaTheme="majorEastAsia" w:hAnsiTheme="minorBidi" w:cstheme="minorBidi"/>
          <w:sz w:val="20"/>
          <w:szCs w:val="20"/>
        </w:rPr>
        <w:t> </w:t>
      </w:r>
    </w:p>
    <w:p w14:paraId="3302DCE1"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lastRenderedPageBreak/>
        <w:t>20.</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Le Goff B,</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Chérin</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Cantagrel</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A, et al. Pneumomediastinum in interstitial lung disease associated with dermatomyositis and polymyositis. Arthritis Rheum.</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2009;61:108–18.</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doi</w:t>
      </w:r>
      <w:proofErr w:type="spellEnd"/>
      <w:r w:rsidRPr="006936B4">
        <w:rPr>
          <w:rStyle w:val="normaltextrun"/>
          <w:rFonts w:asciiTheme="minorBidi" w:eastAsiaTheme="majorEastAsia" w:hAnsiTheme="minorBidi" w:cstheme="minorBidi"/>
          <w:sz w:val="20"/>
          <w:szCs w:val="20"/>
        </w:rPr>
        <w:t>: 10.1002/art.24372.</w:t>
      </w:r>
      <w:r w:rsidRPr="006936B4">
        <w:rPr>
          <w:rStyle w:val="eop"/>
          <w:rFonts w:asciiTheme="minorBidi" w:eastAsiaTheme="majorEastAsia" w:hAnsiTheme="minorBidi" w:cstheme="minorBidi"/>
          <w:sz w:val="20"/>
          <w:szCs w:val="20"/>
        </w:rPr>
        <w:t> </w:t>
      </w:r>
    </w:p>
    <w:p w14:paraId="0FE068E6"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21.</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Franquet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 xml:space="preserve">T, </w:t>
      </w:r>
      <w:proofErr w:type="spellStart"/>
      <w:r w:rsidRPr="006936B4">
        <w:rPr>
          <w:rStyle w:val="normaltextrun"/>
          <w:rFonts w:asciiTheme="minorBidi" w:eastAsiaTheme="majorEastAsia" w:hAnsiTheme="minorBidi" w:cstheme="minorBidi"/>
          <w:sz w:val="20"/>
          <w:szCs w:val="20"/>
        </w:rPr>
        <w:t>Giménez</w:t>
      </w:r>
      <w:proofErr w:type="spellEnd"/>
      <w:r w:rsidRPr="006936B4">
        <w:rPr>
          <w:rStyle w:val="normaltextrun"/>
          <w:rFonts w:asciiTheme="minorBidi" w:eastAsiaTheme="majorEastAsia" w:hAnsiTheme="minorBidi" w:cstheme="minorBidi"/>
          <w:sz w:val="20"/>
          <w:szCs w:val="20"/>
        </w:rPr>
        <w:t xml:space="preserve"> A,</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Torrubia</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S, et al. Spontaneous pneumothorax and pneumomediastinum in IPF.</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Eur</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Radiol</w:t>
      </w:r>
      <w:proofErr w:type="spellEnd"/>
      <w:r w:rsidRPr="006936B4">
        <w:rPr>
          <w:rStyle w:val="normaltextrun"/>
          <w:rFonts w:asciiTheme="minorBidi" w:eastAsiaTheme="majorEastAsia" w:hAnsiTheme="minorBidi" w:cstheme="minorBidi"/>
          <w:sz w:val="20"/>
          <w:szCs w:val="20"/>
        </w:rPr>
        <w: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2000;10:108–13.</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doi</w:t>
      </w:r>
      <w:proofErr w:type="spellEnd"/>
      <w:r w:rsidRPr="006936B4">
        <w:rPr>
          <w:rStyle w:val="normaltextrun"/>
          <w:rFonts w:asciiTheme="minorBidi" w:eastAsiaTheme="majorEastAsia" w:hAnsiTheme="minorBidi" w:cstheme="minorBidi"/>
          <w:sz w:val="20"/>
          <w:szCs w:val="20"/>
        </w:rPr>
        <w:t>: 10.1007/s003300050014.</w:t>
      </w:r>
      <w:r w:rsidRPr="006936B4">
        <w:rPr>
          <w:rStyle w:val="eop"/>
          <w:rFonts w:asciiTheme="minorBidi" w:eastAsiaTheme="majorEastAsia" w:hAnsiTheme="minorBidi" w:cstheme="minorBidi"/>
          <w:sz w:val="20"/>
          <w:szCs w:val="20"/>
        </w:rPr>
        <w:t> </w:t>
      </w:r>
    </w:p>
    <w:p w14:paraId="2F250C22"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22.</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Fujiwara T. Pneumomediastinum in pulmonary fibrosis. Chest.</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1993;104:44–46.</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doi</w:t>
      </w:r>
      <w:proofErr w:type="spellEnd"/>
      <w:r w:rsidRPr="006936B4">
        <w:rPr>
          <w:rStyle w:val="normaltextrun"/>
          <w:rFonts w:asciiTheme="minorBidi" w:eastAsiaTheme="majorEastAsia" w:hAnsiTheme="minorBidi" w:cstheme="minorBidi"/>
          <w:sz w:val="20"/>
          <w:szCs w:val="20"/>
        </w:rPr>
        <w:t>: 10.1378/chest.104.1.44.</w:t>
      </w:r>
      <w:r w:rsidRPr="006936B4">
        <w:rPr>
          <w:rStyle w:val="eop"/>
          <w:rFonts w:asciiTheme="minorBidi" w:eastAsiaTheme="majorEastAsia" w:hAnsiTheme="minorBidi" w:cstheme="minorBidi"/>
          <w:sz w:val="20"/>
          <w:szCs w:val="20"/>
        </w:rPr>
        <w:t> </w:t>
      </w:r>
    </w:p>
    <w:p w14:paraId="3B4F4041"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normaltextrun"/>
          <w:rFonts w:asciiTheme="minorBidi" w:eastAsiaTheme="majorEastAsia" w:hAnsiTheme="minorBidi" w:cstheme="minorBidi"/>
          <w:sz w:val="20"/>
          <w:szCs w:val="20"/>
        </w:rPr>
        <w:t>23.</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Dirk</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Koschel</w:t>
      </w:r>
      <w:proofErr w:type="spellEnd"/>
      <w:r w:rsidRPr="006936B4">
        <w:rPr>
          <w:rStyle w:val="normaltextrun"/>
          <w:rFonts w:asciiTheme="minorBidi" w:eastAsiaTheme="majorEastAsia" w:hAnsiTheme="minorBidi" w:cstheme="minorBidi"/>
          <w:sz w:val="20"/>
          <w:szCs w:val="20"/>
        </w:rPr>
        <w:t xml:space="preserve"> ,</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Sabin</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Handzhiev</w:t>
      </w:r>
      <w:proofErr w:type="spellEnd"/>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et al.,</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Pneumomediastinum as a primary manifestation of chronic hypersensitivity pneumonitis.</w:t>
      </w:r>
      <w:r w:rsidRPr="006936B4">
        <w:rPr>
          <w:rStyle w:val="apple-converted-space"/>
          <w:rFonts w:asciiTheme="minorBidi" w:eastAsiaTheme="majorEastAsia" w:hAnsiTheme="minorBidi" w:cstheme="minorBidi"/>
          <w:sz w:val="20"/>
          <w:szCs w:val="20"/>
        </w:rPr>
        <w:t> </w:t>
      </w:r>
      <w:r w:rsidRPr="006936B4">
        <w:rPr>
          <w:rStyle w:val="normaltextrun"/>
          <w:rFonts w:asciiTheme="minorBidi" w:eastAsiaTheme="majorEastAsia" w:hAnsiTheme="minorBidi" w:cstheme="minorBidi"/>
          <w:sz w:val="20"/>
          <w:szCs w:val="20"/>
        </w:rPr>
        <w:t>Med Sci Monit. 2011 Dec 1;17(12):CS152–CS155.</w:t>
      </w:r>
      <w:r w:rsidRPr="006936B4">
        <w:rPr>
          <w:rStyle w:val="apple-converted-space"/>
          <w:rFonts w:asciiTheme="minorBidi" w:eastAsiaTheme="majorEastAsia" w:hAnsiTheme="minorBidi" w:cstheme="minorBidi"/>
          <w:sz w:val="20"/>
          <w:szCs w:val="20"/>
        </w:rPr>
        <w:t> </w:t>
      </w:r>
      <w:proofErr w:type="spellStart"/>
      <w:r w:rsidRPr="006936B4">
        <w:rPr>
          <w:rStyle w:val="normaltextrun"/>
          <w:rFonts w:asciiTheme="minorBidi" w:eastAsiaTheme="majorEastAsia" w:hAnsiTheme="minorBidi" w:cstheme="minorBidi"/>
          <w:sz w:val="20"/>
          <w:szCs w:val="20"/>
        </w:rPr>
        <w:t>doi</w:t>
      </w:r>
      <w:proofErr w:type="spellEnd"/>
      <w:r w:rsidRPr="006936B4">
        <w:rPr>
          <w:rStyle w:val="normaltextrun"/>
          <w:rFonts w:asciiTheme="minorBidi" w:eastAsiaTheme="majorEastAsia" w:hAnsiTheme="minorBidi" w:cstheme="minorBidi"/>
          <w:sz w:val="20"/>
          <w:szCs w:val="20"/>
        </w:rPr>
        <w:t>: 10.12659/MSM.882115</w:t>
      </w:r>
      <w:r w:rsidRPr="006936B4">
        <w:rPr>
          <w:rStyle w:val="eop"/>
          <w:rFonts w:asciiTheme="minorBidi" w:eastAsiaTheme="majorEastAsia" w:hAnsiTheme="minorBidi" w:cstheme="minorBidi"/>
          <w:sz w:val="20"/>
          <w:szCs w:val="20"/>
        </w:rPr>
        <w:t> </w:t>
      </w:r>
    </w:p>
    <w:p w14:paraId="6A60D786"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eop"/>
          <w:rFonts w:asciiTheme="minorBidi" w:eastAsiaTheme="majorEastAsia" w:hAnsiTheme="minorBidi" w:cstheme="minorBidi"/>
          <w:sz w:val="20"/>
          <w:szCs w:val="20"/>
        </w:rPr>
        <w:t> </w:t>
      </w:r>
    </w:p>
    <w:p w14:paraId="20392EAF" w14:textId="77777777" w:rsidR="006936B4" w:rsidRPr="006936B4" w:rsidRDefault="006936B4" w:rsidP="006936B4">
      <w:pPr>
        <w:pStyle w:val="paragraph"/>
        <w:spacing w:before="0" w:beforeAutospacing="0" w:after="0" w:afterAutospacing="0"/>
        <w:textAlignment w:val="baseline"/>
        <w:rPr>
          <w:rFonts w:asciiTheme="minorBidi" w:hAnsiTheme="minorBidi" w:cstheme="minorBidi"/>
          <w:sz w:val="20"/>
          <w:szCs w:val="20"/>
        </w:rPr>
      </w:pPr>
      <w:r w:rsidRPr="006936B4">
        <w:rPr>
          <w:rStyle w:val="eop"/>
          <w:rFonts w:asciiTheme="minorBidi" w:eastAsiaTheme="majorEastAsia" w:hAnsiTheme="minorBidi" w:cstheme="minorBidi"/>
          <w:sz w:val="20"/>
          <w:szCs w:val="20"/>
        </w:rPr>
        <w:t> </w:t>
      </w:r>
    </w:p>
    <w:p w14:paraId="4E51001F" w14:textId="77777777" w:rsidR="000C4B28" w:rsidRDefault="000C4B28" w:rsidP="000C4B28">
      <w:pPr>
        <w:rPr>
          <w:b/>
          <w:bCs/>
          <w:lang w:val="en-IN"/>
        </w:rPr>
      </w:pPr>
      <w:r>
        <w:rPr>
          <w:noProof/>
        </w:rPr>
        <w:drawing>
          <wp:inline distT="0" distB="0" distL="0" distR="0" wp14:anchorId="16AE824F" wp14:editId="3FC9E0B9">
            <wp:extent cx="4457700" cy="2895600"/>
            <wp:effectExtent l="0" t="0" r="0" b="0"/>
            <wp:docPr id="1333141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PNG"/>
                    <pic:cNvPicPr/>
                  </pic:nvPicPr>
                  <pic:blipFill>
                    <a:blip r:embed="rId6">
                      <a:extLst>
                        <a:ext uri="{28A0092B-C50C-407E-A947-70E740481C1C}">
                          <a14:useLocalDpi xmlns:a14="http://schemas.microsoft.com/office/drawing/2010/main" val="0"/>
                        </a:ext>
                      </a:extLst>
                    </a:blip>
                    <a:stretch>
                      <a:fillRect/>
                    </a:stretch>
                  </pic:blipFill>
                  <pic:spPr>
                    <a:xfrm>
                      <a:off x="0" y="0"/>
                      <a:ext cx="4457700" cy="2895600"/>
                    </a:xfrm>
                    <a:prstGeom prst="rect">
                      <a:avLst/>
                    </a:prstGeom>
                  </pic:spPr>
                </pic:pic>
              </a:graphicData>
            </a:graphic>
          </wp:inline>
        </w:drawing>
      </w:r>
    </w:p>
    <w:p w14:paraId="147E7EF4" w14:textId="77777777" w:rsidR="000C4B28" w:rsidRDefault="000C4B28" w:rsidP="000C4B28">
      <w:pPr>
        <w:rPr>
          <w:b/>
          <w:bCs/>
          <w:lang w:val="en-IN"/>
        </w:rPr>
      </w:pPr>
    </w:p>
    <w:p w14:paraId="4AD5B682" w14:textId="623E2392" w:rsidR="000C4B28" w:rsidRPr="000C4B28" w:rsidRDefault="000C4B28" w:rsidP="000C4B28">
      <w:pPr>
        <w:rPr>
          <w:rFonts w:asciiTheme="minorBidi" w:hAnsiTheme="minorBidi"/>
          <w:b/>
          <w:bCs/>
          <w:sz w:val="22"/>
          <w:szCs w:val="22"/>
          <w:lang w:val="en-IN"/>
        </w:rPr>
      </w:pPr>
      <w:r w:rsidRPr="000C4B28">
        <w:rPr>
          <w:rFonts w:asciiTheme="minorBidi" w:hAnsiTheme="minorBidi"/>
          <w:b/>
          <w:bCs/>
          <w:sz w:val="22"/>
          <w:szCs w:val="22"/>
          <w:lang w:val="en-IN"/>
        </w:rPr>
        <w:t xml:space="preserve">Image – 1 </w:t>
      </w:r>
      <w:r w:rsidRPr="000C4B28">
        <w:rPr>
          <w:rFonts w:asciiTheme="minorBidi" w:hAnsiTheme="minorBidi"/>
          <w:sz w:val="22"/>
          <w:szCs w:val="22"/>
          <w:lang w:val="en-IN"/>
        </w:rPr>
        <w:t>Initial chest X-ray</w:t>
      </w:r>
    </w:p>
    <w:p w14:paraId="03C766B5" w14:textId="77777777" w:rsidR="000C4B28" w:rsidRPr="000C4B28" w:rsidRDefault="000C4B28" w:rsidP="000C4B28">
      <w:pPr>
        <w:rPr>
          <w:rFonts w:asciiTheme="minorBidi" w:hAnsiTheme="minorBidi"/>
          <w:b/>
          <w:bCs/>
          <w:sz w:val="22"/>
          <w:szCs w:val="22"/>
          <w:lang w:val="en-IN"/>
        </w:rPr>
      </w:pPr>
    </w:p>
    <w:tbl>
      <w:tblPr>
        <w:tblStyle w:val="TableGrid"/>
        <w:tblW w:w="0" w:type="auto"/>
        <w:tblLook w:val="04A0" w:firstRow="1" w:lastRow="0" w:firstColumn="1" w:lastColumn="0" w:noHBand="0" w:noVBand="1"/>
      </w:tblPr>
      <w:tblGrid>
        <w:gridCol w:w="9016"/>
      </w:tblGrid>
      <w:tr w:rsidR="000C4B28" w14:paraId="3226D82E" w14:textId="77777777" w:rsidTr="005E22DC">
        <w:tc>
          <w:tcPr>
            <w:tcW w:w="9016" w:type="dxa"/>
          </w:tcPr>
          <w:p w14:paraId="13BBDA30" w14:textId="77777777" w:rsidR="000C4B28" w:rsidRDefault="000C4B28" w:rsidP="005E22DC">
            <w:pPr>
              <w:rPr>
                <w:b/>
                <w:bCs/>
                <w:lang w:val="en-IN"/>
              </w:rPr>
            </w:pPr>
            <w:r>
              <w:rPr>
                <w:b/>
                <w:bCs/>
                <w:noProof/>
                <w:lang w:val="en-IN"/>
              </w:rPr>
              <w:drawing>
                <wp:anchor distT="0" distB="0" distL="114300" distR="114300" simplePos="0" relativeHeight="251659264" behindDoc="0" locked="0" layoutInCell="1" allowOverlap="1" wp14:anchorId="3EBEF2BF" wp14:editId="3E73658D">
                  <wp:simplePos x="0" y="0"/>
                  <wp:positionH relativeFrom="column">
                    <wp:posOffset>604520</wp:posOffset>
                  </wp:positionH>
                  <wp:positionV relativeFrom="paragraph">
                    <wp:posOffset>281305</wp:posOffset>
                  </wp:positionV>
                  <wp:extent cx="4162425" cy="28956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a:blip r:embed="rId7">
                            <a:extLst>
                              <a:ext uri="{28A0092B-C50C-407E-A947-70E740481C1C}">
                                <a14:useLocalDpi xmlns:a14="http://schemas.microsoft.com/office/drawing/2010/main" val="0"/>
                              </a:ext>
                            </a:extLst>
                          </a:blip>
                          <a:stretch>
                            <a:fillRect/>
                          </a:stretch>
                        </pic:blipFill>
                        <pic:spPr>
                          <a:xfrm>
                            <a:off x="0" y="0"/>
                            <a:ext cx="4162425" cy="2895600"/>
                          </a:xfrm>
                          <a:prstGeom prst="rect">
                            <a:avLst/>
                          </a:prstGeom>
                        </pic:spPr>
                      </pic:pic>
                    </a:graphicData>
                  </a:graphic>
                  <wp14:sizeRelH relativeFrom="page">
                    <wp14:pctWidth>0</wp14:pctWidth>
                  </wp14:sizeRelH>
                  <wp14:sizeRelV relativeFrom="page">
                    <wp14:pctHeight>0</wp14:pctHeight>
                  </wp14:sizeRelV>
                </wp:anchor>
              </w:drawing>
            </w:r>
          </w:p>
          <w:p w14:paraId="28AE3244" w14:textId="77777777" w:rsidR="000C4B28" w:rsidRDefault="000C4B28" w:rsidP="005E22DC">
            <w:pPr>
              <w:rPr>
                <w:b/>
                <w:bCs/>
                <w:lang w:val="en-IN"/>
              </w:rPr>
            </w:pPr>
          </w:p>
          <w:p w14:paraId="326A46B2" w14:textId="641B188D" w:rsidR="000C4B28" w:rsidRPr="002E6A5E" w:rsidRDefault="000C4B28" w:rsidP="005E22DC">
            <w:pPr>
              <w:rPr>
                <w:rFonts w:asciiTheme="minorBidi" w:hAnsiTheme="minorBidi"/>
                <w:sz w:val="22"/>
                <w:szCs w:val="22"/>
                <w:lang w:val="en-IN"/>
              </w:rPr>
            </w:pPr>
            <w:r w:rsidRPr="000C4B28">
              <w:rPr>
                <w:rFonts w:asciiTheme="minorBidi" w:hAnsiTheme="minorBidi"/>
                <w:b/>
                <w:bCs/>
                <w:sz w:val="22"/>
                <w:szCs w:val="22"/>
                <w:lang w:val="en-IN"/>
              </w:rPr>
              <w:t xml:space="preserve">Image </w:t>
            </w:r>
            <w:r w:rsidR="002E6A5E">
              <w:rPr>
                <w:rFonts w:asciiTheme="minorBidi" w:hAnsiTheme="minorBidi"/>
                <w:b/>
                <w:bCs/>
                <w:sz w:val="22"/>
                <w:szCs w:val="22"/>
                <w:lang w:val="en-IN"/>
              </w:rPr>
              <w:t>–</w:t>
            </w:r>
            <w:r w:rsidRPr="000C4B28">
              <w:rPr>
                <w:rFonts w:asciiTheme="minorBidi" w:hAnsiTheme="minorBidi"/>
                <w:b/>
                <w:bCs/>
                <w:sz w:val="22"/>
                <w:szCs w:val="22"/>
                <w:lang w:val="en-IN"/>
              </w:rPr>
              <w:t xml:space="preserve"> 2</w:t>
            </w:r>
            <w:r w:rsidR="002E6A5E">
              <w:rPr>
                <w:rFonts w:asciiTheme="minorBidi" w:hAnsiTheme="minorBidi"/>
                <w:b/>
                <w:bCs/>
                <w:sz w:val="22"/>
                <w:szCs w:val="22"/>
                <w:lang w:val="en-IN"/>
              </w:rPr>
              <w:t xml:space="preserve"> </w:t>
            </w:r>
            <w:r w:rsidRPr="000C4B28">
              <w:rPr>
                <w:rFonts w:asciiTheme="minorBidi" w:hAnsiTheme="minorBidi"/>
                <w:sz w:val="22"/>
                <w:szCs w:val="22"/>
                <w:lang w:val="en-IN"/>
              </w:rPr>
              <w:t>HRCT showing Pneumomediastinum</w:t>
            </w:r>
          </w:p>
        </w:tc>
      </w:tr>
      <w:tr w:rsidR="000C4B28" w14:paraId="5DA3D188" w14:textId="77777777" w:rsidTr="005E22DC">
        <w:tc>
          <w:tcPr>
            <w:tcW w:w="9016" w:type="dxa"/>
          </w:tcPr>
          <w:p w14:paraId="17403B6C" w14:textId="77777777" w:rsidR="000C4B28" w:rsidRDefault="000C4B28" w:rsidP="005E22DC">
            <w:pPr>
              <w:rPr>
                <w:b/>
                <w:bCs/>
                <w:lang w:val="en-IN"/>
              </w:rPr>
            </w:pPr>
          </w:p>
          <w:p w14:paraId="73995D79" w14:textId="7E89C27E" w:rsidR="000C4B28" w:rsidRPr="002E6A5E" w:rsidRDefault="000C4B28" w:rsidP="005E22DC">
            <w:pPr>
              <w:rPr>
                <w:rFonts w:asciiTheme="minorBidi" w:hAnsiTheme="minorBidi"/>
                <w:b/>
                <w:bCs/>
                <w:sz w:val="22"/>
                <w:szCs w:val="22"/>
                <w:lang w:val="en-IN"/>
              </w:rPr>
            </w:pPr>
            <w:r w:rsidRPr="000C4B28">
              <w:rPr>
                <w:rFonts w:asciiTheme="minorBidi" w:hAnsiTheme="minorBidi"/>
                <w:b/>
                <w:bCs/>
                <w:noProof/>
                <w:sz w:val="22"/>
                <w:szCs w:val="22"/>
                <w:lang w:val="en-IN"/>
              </w:rPr>
              <w:lastRenderedPageBreak/>
              <w:drawing>
                <wp:anchor distT="0" distB="0" distL="114300" distR="114300" simplePos="0" relativeHeight="251660288" behindDoc="0" locked="0" layoutInCell="1" allowOverlap="1" wp14:anchorId="6C0B95BB" wp14:editId="137C1A07">
                  <wp:simplePos x="0" y="0"/>
                  <wp:positionH relativeFrom="column">
                    <wp:posOffset>671195</wp:posOffset>
                  </wp:positionH>
                  <wp:positionV relativeFrom="paragraph">
                    <wp:posOffset>60325</wp:posOffset>
                  </wp:positionV>
                  <wp:extent cx="4238625" cy="24193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PNG"/>
                          <pic:cNvPicPr/>
                        </pic:nvPicPr>
                        <pic:blipFill>
                          <a:blip r:embed="rId8">
                            <a:extLst>
                              <a:ext uri="{28A0092B-C50C-407E-A947-70E740481C1C}">
                                <a14:useLocalDpi xmlns:a14="http://schemas.microsoft.com/office/drawing/2010/main" val="0"/>
                              </a:ext>
                            </a:extLst>
                          </a:blip>
                          <a:stretch>
                            <a:fillRect/>
                          </a:stretch>
                        </pic:blipFill>
                        <pic:spPr>
                          <a:xfrm>
                            <a:off x="0" y="0"/>
                            <a:ext cx="4238625" cy="2419350"/>
                          </a:xfrm>
                          <a:prstGeom prst="rect">
                            <a:avLst/>
                          </a:prstGeom>
                        </pic:spPr>
                      </pic:pic>
                    </a:graphicData>
                  </a:graphic>
                  <wp14:sizeRelH relativeFrom="page">
                    <wp14:pctWidth>0</wp14:pctWidth>
                  </wp14:sizeRelH>
                  <wp14:sizeRelV relativeFrom="page">
                    <wp14:pctHeight>0</wp14:pctHeight>
                  </wp14:sizeRelV>
                </wp:anchor>
              </w:drawing>
            </w:r>
            <w:r w:rsidRPr="000C4B28">
              <w:rPr>
                <w:rFonts w:asciiTheme="minorBidi" w:hAnsiTheme="minorBidi"/>
                <w:b/>
                <w:bCs/>
                <w:sz w:val="22"/>
                <w:szCs w:val="22"/>
                <w:lang w:val="en-IN"/>
              </w:rPr>
              <w:t>Image - 3</w:t>
            </w:r>
            <w:r w:rsidRPr="000C4B28">
              <w:rPr>
                <w:rFonts w:asciiTheme="minorBidi" w:hAnsiTheme="minorBidi"/>
                <w:sz w:val="22"/>
                <w:szCs w:val="22"/>
                <w:lang w:val="en-IN"/>
              </w:rPr>
              <w:t xml:space="preserve">HRCT showing pneumomediastinum, bilateral ground glass haziness, patchy consolidation, </w:t>
            </w:r>
            <w:proofErr w:type="spellStart"/>
            <w:r w:rsidRPr="000C4B28">
              <w:rPr>
                <w:rFonts w:asciiTheme="minorBidi" w:hAnsiTheme="minorBidi"/>
                <w:sz w:val="22"/>
                <w:szCs w:val="22"/>
                <w:lang w:val="en-IN"/>
              </w:rPr>
              <w:t>bronchiolectasis</w:t>
            </w:r>
            <w:proofErr w:type="spellEnd"/>
          </w:p>
        </w:tc>
      </w:tr>
      <w:tr w:rsidR="000C4B28" w14:paraId="7797E6C2" w14:textId="77777777" w:rsidTr="005E22DC">
        <w:tc>
          <w:tcPr>
            <w:tcW w:w="9016" w:type="dxa"/>
          </w:tcPr>
          <w:p w14:paraId="70AA41DE" w14:textId="77777777" w:rsidR="000C4B28" w:rsidRDefault="000C4B28" w:rsidP="005E22DC">
            <w:pPr>
              <w:rPr>
                <w:b/>
                <w:bCs/>
                <w:lang w:val="en-IN"/>
              </w:rPr>
            </w:pPr>
          </w:p>
          <w:p w14:paraId="4EADDE54" w14:textId="77777777" w:rsidR="000C4B28" w:rsidRDefault="000C4B28" w:rsidP="005E22DC">
            <w:pPr>
              <w:rPr>
                <w:b/>
                <w:bCs/>
                <w:lang w:val="en-IN"/>
              </w:rPr>
            </w:pPr>
            <w:r>
              <w:rPr>
                <w:noProof/>
              </w:rPr>
              <w:drawing>
                <wp:inline distT="0" distB="0" distL="0" distR="0" wp14:anchorId="1AFF3205" wp14:editId="4B2EBB7D">
                  <wp:extent cx="4486275" cy="2276475"/>
                  <wp:effectExtent l="0" t="0" r="9525" b="9525"/>
                  <wp:docPr id="53615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PNG"/>
                          <pic:cNvPicPr/>
                        </pic:nvPicPr>
                        <pic:blipFill>
                          <a:blip r:embed="rId9">
                            <a:extLst>
                              <a:ext uri="{28A0092B-C50C-407E-A947-70E740481C1C}">
                                <a14:useLocalDpi xmlns:a14="http://schemas.microsoft.com/office/drawing/2010/main" val="0"/>
                              </a:ext>
                            </a:extLst>
                          </a:blip>
                          <a:stretch>
                            <a:fillRect/>
                          </a:stretch>
                        </pic:blipFill>
                        <pic:spPr>
                          <a:xfrm>
                            <a:off x="0" y="0"/>
                            <a:ext cx="4486275" cy="2276475"/>
                          </a:xfrm>
                          <a:prstGeom prst="rect">
                            <a:avLst/>
                          </a:prstGeom>
                        </pic:spPr>
                      </pic:pic>
                    </a:graphicData>
                  </a:graphic>
                </wp:inline>
              </w:drawing>
            </w:r>
          </w:p>
          <w:p w14:paraId="7F371FF1" w14:textId="77777777" w:rsidR="000C4B28" w:rsidRDefault="000C4B28" w:rsidP="005E22DC">
            <w:pPr>
              <w:rPr>
                <w:b/>
                <w:bCs/>
                <w:lang w:val="en-IN"/>
              </w:rPr>
            </w:pPr>
          </w:p>
          <w:p w14:paraId="32E0DD55" w14:textId="05F763D9" w:rsidR="000C4B28" w:rsidRPr="002E6A5E" w:rsidRDefault="000C4B28" w:rsidP="005A6616">
            <w:pPr>
              <w:rPr>
                <w:rFonts w:asciiTheme="minorBidi" w:hAnsiTheme="minorBidi"/>
                <w:sz w:val="22"/>
                <w:szCs w:val="22"/>
                <w:lang w:val="en-IN"/>
              </w:rPr>
            </w:pPr>
            <w:r w:rsidRPr="000C4B28">
              <w:rPr>
                <w:rFonts w:asciiTheme="minorBidi" w:hAnsiTheme="minorBidi"/>
                <w:b/>
                <w:bCs/>
                <w:sz w:val="22"/>
                <w:szCs w:val="22"/>
                <w:lang w:val="en-IN"/>
              </w:rPr>
              <w:t>Image - 4</w:t>
            </w:r>
            <w:r w:rsidRPr="000C4B28">
              <w:rPr>
                <w:rFonts w:asciiTheme="minorBidi" w:hAnsiTheme="minorBidi"/>
                <w:sz w:val="22"/>
                <w:szCs w:val="22"/>
                <w:lang w:val="en-IN"/>
              </w:rPr>
              <w:t>HRCT showing pneumopericardium, bilateral ground glass haziness, patchy consolidation</w:t>
            </w:r>
          </w:p>
        </w:tc>
      </w:tr>
      <w:tr w:rsidR="000C4B28" w14:paraId="0D99CD42" w14:textId="77777777" w:rsidTr="005E22DC">
        <w:tc>
          <w:tcPr>
            <w:tcW w:w="9016" w:type="dxa"/>
          </w:tcPr>
          <w:p w14:paraId="197C9B5D" w14:textId="77777777" w:rsidR="000C4B28" w:rsidRDefault="000C4B28" w:rsidP="005E22DC">
            <w:pPr>
              <w:rPr>
                <w:b/>
                <w:bCs/>
                <w:lang w:val="en-IN"/>
              </w:rPr>
            </w:pPr>
          </w:p>
          <w:p w14:paraId="5C60EE10" w14:textId="77777777" w:rsidR="000C4B28" w:rsidRDefault="000C4B28" w:rsidP="005E22DC">
            <w:pPr>
              <w:rPr>
                <w:b/>
                <w:bCs/>
                <w:lang w:val="en-IN"/>
              </w:rPr>
            </w:pPr>
          </w:p>
        </w:tc>
      </w:tr>
      <w:tr w:rsidR="000C4B28" w14:paraId="4A68F802" w14:textId="77777777" w:rsidTr="005E22DC">
        <w:tc>
          <w:tcPr>
            <w:tcW w:w="9016" w:type="dxa"/>
          </w:tcPr>
          <w:p w14:paraId="6064109A" w14:textId="77777777" w:rsidR="000C4B28" w:rsidRDefault="000C4B28" w:rsidP="005E22DC">
            <w:pPr>
              <w:rPr>
                <w:b/>
                <w:bCs/>
                <w:lang w:val="en-IN"/>
              </w:rPr>
            </w:pPr>
            <w:r>
              <w:rPr>
                <w:b/>
                <w:bCs/>
                <w:noProof/>
                <w:lang w:val="en-IN"/>
              </w:rPr>
              <w:lastRenderedPageBreak/>
              <w:drawing>
                <wp:anchor distT="0" distB="0" distL="114300" distR="114300" simplePos="0" relativeHeight="251661312" behindDoc="0" locked="0" layoutInCell="1" allowOverlap="1" wp14:anchorId="5ADB83CC" wp14:editId="325C1DB3">
                  <wp:simplePos x="0" y="0"/>
                  <wp:positionH relativeFrom="column">
                    <wp:posOffset>975360</wp:posOffset>
                  </wp:positionH>
                  <wp:positionV relativeFrom="paragraph">
                    <wp:posOffset>334645</wp:posOffset>
                  </wp:positionV>
                  <wp:extent cx="4105275" cy="264795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PNG"/>
                          <pic:cNvPicPr/>
                        </pic:nvPicPr>
                        <pic:blipFill>
                          <a:blip r:embed="rId10">
                            <a:extLst>
                              <a:ext uri="{28A0092B-C50C-407E-A947-70E740481C1C}">
                                <a14:useLocalDpi xmlns:a14="http://schemas.microsoft.com/office/drawing/2010/main" val="0"/>
                              </a:ext>
                            </a:extLst>
                          </a:blip>
                          <a:stretch>
                            <a:fillRect/>
                          </a:stretch>
                        </pic:blipFill>
                        <pic:spPr>
                          <a:xfrm>
                            <a:off x="0" y="0"/>
                            <a:ext cx="4105275" cy="2647950"/>
                          </a:xfrm>
                          <a:prstGeom prst="rect">
                            <a:avLst/>
                          </a:prstGeom>
                        </pic:spPr>
                      </pic:pic>
                    </a:graphicData>
                  </a:graphic>
                  <wp14:sizeRelH relativeFrom="page">
                    <wp14:pctWidth>0</wp14:pctWidth>
                  </wp14:sizeRelH>
                  <wp14:sizeRelV relativeFrom="page">
                    <wp14:pctHeight>0</wp14:pctHeight>
                  </wp14:sizeRelV>
                </wp:anchor>
              </w:drawing>
            </w:r>
          </w:p>
          <w:p w14:paraId="79DDC38D" w14:textId="77777777" w:rsidR="000C4B28" w:rsidRDefault="000C4B28" w:rsidP="005E22DC">
            <w:pPr>
              <w:rPr>
                <w:b/>
                <w:bCs/>
                <w:lang w:val="en-IN"/>
              </w:rPr>
            </w:pPr>
          </w:p>
          <w:p w14:paraId="6B30CE58" w14:textId="7EBE29E9" w:rsidR="000C4B28" w:rsidRPr="002E6A5E" w:rsidRDefault="000C4B28" w:rsidP="005E22DC">
            <w:pPr>
              <w:rPr>
                <w:rFonts w:asciiTheme="minorBidi" w:hAnsiTheme="minorBidi"/>
                <w:sz w:val="22"/>
                <w:szCs w:val="22"/>
                <w:lang w:val="en-IN"/>
              </w:rPr>
            </w:pPr>
            <w:r w:rsidRPr="000C4B28">
              <w:rPr>
                <w:rFonts w:asciiTheme="minorBidi" w:hAnsiTheme="minorBidi"/>
                <w:b/>
                <w:bCs/>
                <w:sz w:val="22"/>
                <w:szCs w:val="22"/>
                <w:lang w:val="en-IN"/>
              </w:rPr>
              <w:t>Image - 5</w:t>
            </w:r>
            <w:r w:rsidRPr="000C4B28">
              <w:rPr>
                <w:rFonts w:asciiTheme="minorBidi" w:hAnsiTheme="minorBidi"/>
                <w:sz w:val="22"/>
                <w:szCs w:val="22"/>
                <w:lang w:val="en-IN"/>
              </w:rPr>
              <w:t>Repeat chest X-ray showing improvement</w:t>
            </w:r>
          </w:p>
        </w:tc>
      </w:tr>
      <w:tr w:rsidR="000C4B28" w14:paraId="4B87966C" w14:textId="77777777" w:rsidTr="005E22DC">
        <w:tc>
          <w:tcPr>
            <w:tcW w:w="9016" w:type="dxa"/>
          </w:tcPr>
          <w:p w14:paraId="37FF501A" w14:textId="77777777" w:rsidR="000C4B28" w:rsidRDefault="000C4B28" w:rsidP="005E22DC">
            <w:pPr>
              <w:rPr>
                <w:b/>
                <w:bCs/>
                <w:lang w:val="en-IN"/>
              </w:rPr>
            </w:pPr>
          </w:p>
          <w:p w14:paraId="58B0B416" w14:textId="77777777" w:rsidR="000C4B28" w:rsidRDefault="000C4B28" w:rsidP="005E22DC">
            <w:pPr>
              <w:rPr>
                <w:b/>
                <w:bCs/>
                <w:lang w:val="en-IN"/>
              </w:rPr>
            </w:pPr>
            <w:r>
              <w:rPr>
                <w:b/>
                <w:bCs/>
                <w:noProof/>
                <w:lang w:val="en-IN"/>
              </w:rPr>
              <w:drawing>
                <wp:anchor distT="0" distB="0" distL="114300" distR="114300" simplePos="0" relativeHeight="251662336" behindDoc="0" locked="0" layoutInCell="1" allowOverlap="1" wp14:anchorId="12EC27C8" wp14:editId="08BEEFA3">
                  <wp:simplePos x="0" y="0"/>
                  <wp:positionH relativeFrom="column">
                    <wp:posOffset>436245</wp:posOffset>
                  </wp:positionH>
                  <wp:positionV relativeFrom="paragraph">
                    <wp:posOffset>114300</wp:posOffset>
                  </wp:positionV>
                  <wp:extent cx="4769485" cy="2534284"/>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PNG"/>
                          <pic:cNvPicPr/>
                        </pic:nvPicPr>
                        <pic:blipFill>
                          <a:blip r:embed="rId11">
                            <a:extLst>
                              <a:ext uri="{28A0092B-C50C-407E-A947-70E740481C1C}">
                                <a14:useLocalDpi xmlns:a14="http://schemas.microsoft.com/office/drawing/2010/main" val="0"/>
                              </a:ext>
                            </a:extLst>
                          </a:blip>
                          <a:stretch>
                            <a:fillRect/>
                          </a:stretch>
                        </pic:blipFill>
                        <pic:spPr>
                          <a:xfrm>
                            <a:off x="0" y="0"/>
                            <a:ext cx="4769485" cy="2534284"/>
                          </a:xfrm>
                          <a:prstGeom prst="rect">
                            <a:avLst/>
                          </a:prstGeom>
                        </pic:spPr>
                      </pic:pic>
                    </a:graphicData>
                  </a:graphic>
                  <wp14:sizeRelH relativeFrom="page">
                    <wp14:pctWidth>0</wp14:pctWidth>
                  </wp14:sizeRelH>
                  <wp14:sizeRelV relativeFrom="page">
                    <wp14:pctHeight>0</wp14:pctHeight>
                  </wp14:sizeRelV>
                </wp:anchor>
              </w:drawing>
            </w:r>
          </w:p>
          <w:p w14:paraId="384F0BE1" w14:textId="605AC4AE" w:rsidR="000C4B28" w:rsidRPr="002E6A5E" w:rsidRDefault="000C4B28" w:rsidP="005E22DC">
            <w:pPr>
              <w:rPr>
                <w:rFonts w:asciiTheme="minorBidi" w:hAnsiTheme="minorBidi"/>
                <w:b/>
                <w:bCs/>
                <w:sz w:val="22"/>
                <w:szCs w:val="22"/>
                <w:lang w:val="en-IN"/>
              </w:rPr>
            </w:pPr>
            <w:r w:rsidRPr="000C4B28">
              <w:rPr>
                <w:rFonts w:asciiTheme="minorBidi" w:hAnsiTheme="minorBidi"/>
                <w:b/>
                <w:bCs/>
                <w:sz w:val="22"/>
                <w:szCs w:val="22"/>
                <w:lang w:val="en-IN"/>
              </w:rPr>
              <w:t>Image – 6</w:t>
            </w:r>
            <w:r w:rsidRPr="000C4B28">
              <w:rPr>
                <w:rFonts w:asciiTheme="minorBidi" w:hAnsiTheme="minorBidi"/>
                <w:sz w:val="22"/>
                <w:szCs w:val="22"/>
                <w:lang w:val="en-IN"/>
              </w:rPr>
              <w:t>Repeat HRCT scan showing significant improvement</w:t>
            </w:r>
          </w:p>
        </w:tc>
      </w:tr>
    </w:tbl>
    <w:p w14:paraId="2BA2855A" w14:textId="77777777" w:rsidR="000C4B28" w:rsidRDefault="000C4B28" w:rsidP="000C4B28">
      <w:pPr>
        <w:rPr>
          <w:b/>
          <w:bCs/>
          <w:lang w:val="en-IN"/>
        </w:rPr>
      </w:pPr>
    </w:p>
    <w:p w14:paraId="14E2988D" w14:textId="77777777" w:rsidR="000C4B28" w:rsidRDefault="000C4B28" w:rsidP="000C4B28">
      <w:pPr>
        <w:rPr>
          <w:lang w:val="en-IN"/>
        </w:rPr>
      </w:pPr>
    </w:p>
    <w:p w14:paraId="54031E4E" w14:textId="77777777" w:rsidR="000C4B28" w:rsidRDefault="000C4B28" w:rsidP="000C4B28">
      <w:pPr>
        <w:rPr>
          <w:lang w:val="en-IN"/>
        </w:rPr>
      </w:pPr>
    </w:p>
    <w:p w14:paraId="0C860346" w14:textId="77777777" w:rsidR="00AD0D26" w:rsidRPr="000C4B28" w:rsidRDefault="00AD0D26" w:rsidP="00AD0D26">
      <w:pPr>
        <w:rPr>
          <w:rFonts w:asciiTheme="minorBidi" w:hAnsiTheme="minorBidi"/>
          <w:sz w:val="20"/>
          <w:szCs w:val="20"/>
          <w:lang w:val="en-IN"/>
        </w:rPr>
      </w:pPr>
    </w:p>
    <w:sectPr w:rsidR="00AD0D26" w:rsidRPr="000C4B2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21F95" w14:textId="77777777" w:rsidR="006A1FED" w:rsidRDefault="006A1FED" w:rsidP="00304DC1">
      <w:r>
        <w:separator/>
      </w:r>
    </w:p>
  </w:endnote>
  <w:endnote w:type="continuationSeparator" w:id="0">
    <w:p w14:paraId="0DA424FD" w14:textId="77777777" w:rsidR="006A1FED" w:rsidRDefault="006A1FED" w:rsidP="0030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7A8F3" w14:textId="05B7BF72" w:rsidR="00304DC1" w:rsidRDefault="00304DC1">
    <w:pPr>
      <w:pStyle w:val="Footer"/>
    </w:pPr>
    <w:r>
      <w:rPr>
        <w:noProof/>
      </w:rPr>
      <mc:AlternateContent>
        <mc:Choice Requires="wps">
          <w:drawing>
            <wp:anchor distT="0" distB="0" distL="0" distR="0" simplePos="0" relativeHeight="251659264" behindDoc="0" locked="0" layoutInCell="1" allowOverlap="1" wp14:anchorId="75381C60" wp14:editId="338EA4E1">
              <wp:simplePos x="635" y="635"/>
              <wp:positionH relativeFrom="page">
                <wp:align>center</wp:align>
              </wp:positionH>
              <wp:positionV relativeFrom="page">
                <wp:align>bottom</wp:align>
              </wp:positionV>
              <wp:extent cx="1789430" cy="376555"/>
              <wp:effectExtent l="0" t="0" r="1270" b="0"/>
              <wp:wrapNone/>
              <wp:docPr id="1875895208" name="Text Box 2" descr="Classification: Confidential ">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789430" cy="376555"/>
                      </a:xfrm>
                      <a:prstGeom prst="rect">
                        <a:avLst/>
                      </a:prstGeom>
                      <a:noFill/>
                      <a:ln>
                        <a:noFill/>
                      </a:ln>
                    </wps:spPr>
                    <wps:txbx>
                      <w:txbxContent>
                        <w:p w14:paraId="34CA3CF4" w14:textId="4D91245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381C60" id="_x0000_t202" coordsize="21600,21600" o:spt="202" path="m,l,21600r21600,l21600,xe">
              <v:stroke joinstyle="miter"/>
              <v:path gradientshapeok="t" o:connecttype="rect"/>
            </v:shapetype>
            <v:shape id="Text Box 2" o:spid="_x0000_s1026" type="#_x0000_t202" alt="Classification: Confidential " style="position:absolute;margin-left:0;margin-top:0;width:140.9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" filled="f" stroked="f">
              <v:textbox style="mso-fit-shape-to-text:t" inset="0,0,0,15pt">
                <w:txbxContent>
                  <w:p w14:paraId="34CA3CF4" w14:textId="4D91245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5942" w14:textId="0A4794B5" w:rsidR="00304DC1" w:rsidRDefault="00304DC1">
    <w:pPr>
      <w:pStyle w:val="Footer"/>
    </w:pPr>
    <w:r>
      <w:rPr>
        <w:noProof/>
      </w:rPr>
      <mc:AlternateContent>
        <mc:Choice Requires="wps">
          <w:drawing>
            <wp:anchor distT="0" distB="0" distL="0" distR="0" simplePos="0" relativeHeight="251660288" behindDoc="0" locked="0" layoutInCell="1" allowOverlap="1" wp14:anchorId="7720ABAF" wp14:editId="115023EF">
              <wp:simplePos x="0" y="0"/>
              <wp:positionH relativeFrom="page">
                <wp:align>center</wp:align>
              </wp:positionH>
              <wp:positionV relativeFrom="page">
                <wp:align>bottom</wp:align>
              </wp:positionV>
              <wp:extent cx="1789430" cy="376555"/>
              <wp:effectExtent l="0" t="0" r="1270" b="0"/>
              <wp:wrapNone/>
              <wp:docPr id="1985783929" name="Text Box 3" descr="Classification: Confidential ">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789430" cy="376555"/>
                      </a:xfrm>
                      <a:prstGeom prst="rect">
                        <a:avLst/>
                      </a:prstGeom>
                      <a:noFill/>
                      <a:ln>
                        <a:noFill/>
                      </a:ln>
                    </wps:spPr>
                    <wps:txbx>
                      <w:txbxContent>
                        <w:p w14:paraId="3E9FEA5B" w14:textId="1ECCA7C3" w:rsidR="00304DC1" w:rsidRPr="00304DC1" w:rsidRDefault="00304DC1" w:rsidP="00304DC1">
                          <w:pPr>
                            <w:rPr>
                              <w:rFonts w:ascii="Aptos" w:eastAsia="Aptos" w:hAnsi="Aptos" w:cs="Aptos"/>
                              <w:noProof/>
                              <w:color w:val="FF6705"/>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0ABAF" id="_x0000_t202" coordsize="21600,21600" o:spt="202" path="m,l,21600r21600,l21600,xe">
              <v:stroke joinstyle="miter"/>
              <v:path gradientshapeok="t" o:connecttype="rect"/>
            </v:shapetype>
            <v:shape id="Text Box 3" o:spid="_x0000_s1027" type="#_x0000_t202" alt="Classification: Confidential " style="position:absolute;margin-left:0;margin-top:0;width:140.9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" filled="f" stroked="f">
              <v:textbox style="mso-fit-shape-to-text:t" inset="0,0,0,15pt">
                <w:txbxContent>
                  <w:p w14:paraId="3E9FEA5B" w14:textId="1ECCA7C3" w:rsidR="00304DC1" w:rsidRPr="00304DC1" w:rsidRDefault="00304DC1" w:rsidP="00304DC1">
                    <w:pPr>
                      <w:rPr>
                        <w:rFonts w:ascii="Aptos" w:eastAsia="Aptos" w:hAnsi="Aptos" w:cs="Aptos"/>
                        <w:noProof/>
                        <w:color w:val="FF6705"/>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C0AF" w14:textId="1688A361" w:rsidR="00304DC1" w:rsidRDefault="00304DC1">
    <w:pPr>
      <w:pStyle w:val="Footer"/>
    </w:pPr>
    <w:r>
      <w:rPr>
        <w:noProof/>
      </w:rPr>
      <mc:AlternateContent>
        <mc:Choice Requires="wps">
          <w:drawing>
            <wp:anchor distT="0" distB="0" distL="0" distR="0" simplePos="0" relativeHeight="251658240" behindDoc="0" locked="0" layoutInCell="1" allowOverlap="1" wp14:anchorId="12F07943" wp14:editId="7A81D684">
              <wp:simplePos x="635" y="635"/>
              <wp:positionH relativeFrom="page">
                <wp:align>center</wp:align>
              </wp:positionH>
              <wp:positionV relativeFrom="page">
                <wp:align>bottom</wp:align>
              </wp:positionV>
              <wp:extent cx="1789430" cy="376555"/>
              <wp:effectExtent l="0" t="0" r="1270" b="0"/>
              <wp:wrapNone/>
              <wp:docPr id="1807359455" name="Text Box 1" descr="Classification: Confidential ">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1789430" cy="376555"/>
                      </a:xfrm>
                      <a:prstGeom prst="rect">
                        <a:avLst/>
                      </a:prstGeom>
                      <a:noFill/>
                      <a:ln>
                        <a:noFill/>
                      </a:ln>
                    </wps:spPr>
                    <wps:txbx>
                      <w:txbxContent>
                        <w:p w14:paraId="772AA52D" w14:textId="3A0FA96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07943" id="_x0000_t202" coordsize="21600,21600" o:spt="202" path="m,l,21600r21600,l21600,xe">
              <v:stroke joinstyle="miter"/>
              <v:path gradientshapeok="t" o:connecttype="rect"/>
            </v:shapetype>
            <v:shape id="Text Box 1" o:spid="_x0000_s1028" type="#_x0000_t202" alt="Classification: Confidential " style="position:absolute;margin-left:0;margin-top:0;width:140.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" filled="f" stroked="f">
              <v:textbox style="mso-fit-shape-to-text:t" inset="0,0,0,15pt">
                <w:txbxContent>
                  <w:p w14:paraId="772AA52D" w14:textId="3A0FA969" w:rsidR="00304DC1" w:rsidRPr="00304DC1" w:rsidRDefault="00304DC1" w:rsidP="00304DC1">
                    <w:pPr>
                      <w:rPr>
                        <w:rFonts w:ascii="Aptos" w:eastAsia="Aptos" w:hAnsi="Aptos" w:cs="Aptos"/>
                        <w:noProof/>
                        <w:color w:val="FF6705"/>
                      </w:rPr>
                    </w:pPr>
                    <w:r w:rsidRPr="00304DC1">
                      <w:rPr>
                        <w:rFonts w:ascii="Aptos" w:eastAsia="Aptos" w:hAnsi="Aptos" w:cs="Aptos"/>
                        <w:noProof/>
                        <w:color w:val="FF6705"/>
                      </w:rPr>
                      <w:t xml:space="preserve">Classification: Confidential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D6CAD" w14:textId="77777777" w:rsidR="006A1FED" w:rsidRDefault="006A1FED" w:rsidP="00304DC1">
      <w:r>
        <w:separator/>
      </w:r>
    </w:p>
  </w:footnote>
  <w:footnote w:type="continuationSeparator" w:id="0">
    <w:p w14:paraId="673D1913" w14:textId="77777777" w:rsidR="006A1FED" w:rsidRDefault="006A1FED" w:rsidP="00304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97AD" w14:textId="52AC90BC" w:rsidR="00475026" w:rsidRDefault="00475026">
    <w:pPr>
      <w:pStyle w:val="Header"/>
    </w:pPr>
    <w:r>
      <w:rPr>
        <w:noProof/>
      </w:rPr>
      <w:pict w14:anchorId="34524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209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04B5" w14:textId="748CB1E9" w:rsidR="00475026" w:rsidRDefault="00475026">
    <w:pPr>
      <w:pStyle w:val="Header"/>
    </w:pPr>
    <w:r>
      <w:rPr>
        <w:noProof/>
      </w:rPr>
      <w:pict w14:anchorId="35681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004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A65BD" w14:textId="175AC015" w:rsidR="00475026" w:rsidRDefault="00475026">
    <w:pPr>
      <w:pStyle w:val="Header"/>
    </w:pPr>
    <w:r>
      <w:rPr>
        <w:noProof/>
      </w:rPr>
      <w:pict w14:anchorId="7779D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414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1B"/>
    <w:rsid w:val="000C4B28"/>
    <w:rsid w:val="00101804"/>
    <w:rsid w:val="001A56D5"/>
    <w:rsid w:val="002E6A5E"/>
    <w:rsid w:val="00304DC1"/>
    <w:rsid w:val="0038764F"/>
    <w:rsid w:val="00396D3F"/>
    <w:rsid w:val="00440D36"/>
    <w:rsid w:val="00475026"/>
    <w:rsid w:val="005A6616"/>
    <w:rsid w:val="00690420"/>
    <w:rsid w:val="006936B4"/>
    <w:rsid w:val="006A1FED"/>
    <w:rsid w:val="007664E3"/>
    <w:rsid w:val="00786D57"/>
    <w:rsid w:val="00876857"/>
    <w:rsid w:val="00A648CA"/>
    <w:rsid w:val="00AB79C9"/>
    <w:rsid w:val="00AD0D26"/>
    <w:rsid w:val="00BB601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B4972D"/>
  <w15:chartTrackingRefBased/>
  <w15:docId w15:val="{DA11B34B-3686-7248-8297-596FED99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B60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60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60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60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60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60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60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60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60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01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B601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BB601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B601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B601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B601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B601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B601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B601B"/>
    <w:rPr>
      <w:rFonts w:eastAsiaTheme="majorEastAsia" w:cstheme="majorBidi"/>
      <w:color w:val="272727" w:themeColor="text1" w:themeTint="D8"/>
      <w:lang w:val="en-GB"/>
    </w:rPr>
  </w:style>
  <w:style w:type="paragraph" w:styleId="Title">
    <w:name w:val="Title"/>
    <w:basedOn w:val="Normal"/>
    <w:next w:val="Normal"/>
    <w:link w:val="TitleChar"/>
    <w:qFormat/>
    <w:rsid w:val="00BB60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01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B601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01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B601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601B"/>
    <w:rPr>
      <w:i/>
      <w:iCs/>
      <w:color w:val="404040" w:themeColor="text1" w:themeTint="BF"/>
      <w:lang w:val="en-GB"/>
    </w:rPr>
  </w:style>
  <w:style w:type="paragraph" w:styleId="ListParagraph">
    <w:name w:val="List Paragraph"/>
    <w:basedOn w:val="Normal"/>
    <w:uiPriority w:val="34"/>
    <w:qFormat/>
    <w:rsid w:val="00BB601B"/>
    <w:pPr>
      <w:ind w:left="720"/>
      <w:contextualSpacing/>
    </w:pPr>
  </w:style>
  <w:style w:type="character" w:styleId="IntenseEmphasis">
    <w:name w:val="Intense Emphasis"/>
    <w:basedOn w:val="DefaultParagraphFont"/>
    <w:uiPriority w:val="21"/>
    <w:qFormat/>
    <w:rsid w:val="00BB601B"/>
    <w:rPr>
      <w:i/>
      <w:iCs/>
      <w:color w:val="0F4761" w:themeColor="accent1" w:themeShade="BF"/>
    </w:rPr>
  </w:style>
  <w:style w:type="paragraph" w:styleId="IntenseQuote">
    <w:name w:val="Intense Quote"/>
    <w:basedOn w:val="Normal"/>
    <w:next w:val="Normal"/>
    <w:link w:val="IntenseQuoteChar"/>
    <w:uiPriority w:val="30"/>
    <w:qFormat/>
    <w:rsid w:val="00BB60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601B"/>
    <w:rPr>
      <w:i/>
      <w:iCs/>
      <w:color w:val="0F4761" w:themeColor="accent1" w:themeShade="BF"/>
      <w:lang w:val="en-GB"/>
    </w:rPr>
  </w:style>
  <w:style w:type="character" w:styleId="IntenseReference">
    <w:name w:val="Intense Reference"/>
    <w:basedOn w:val="DefaultParagraphFont"/>
    <w:uiPriority w:val="32"/>
    <w:qFormat/>
    <w:rsid w:val="00BB601B"/>
    <w:rPr>
      <w:b/>
      <w:bCs/>
      <w:smallCaps/>
      <w:color w:val="0F4761" w:themeColor="accent1" w:themeShade="BF"/>
      <w:spacing w:val="5"/>
    </w:rPr>
  </w:style>
  <w:style w:type="paragraph" w:customStyle="1" w:styleId="Author">
    <w:name w:val="Author"/>
    <w:basedOn w:val="Normal"/>
    <w:rsid w:val="00BB601B"/>
    <w:pPr>
      <w:spacing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BB601B"/>
    <w:pPr>
      <w:spacing w:after="240" w:line="240" w:lineRule="exact"/>
      <w:jc w:val="right"/>
    </w:pPr>
    <w:rPr>
      <w:rFonts w:ascii="Helvetica" w:eastAsia="Times New Roman" w:hAnsi="Helvetica" w:cs="Times New Roman"/>
      <w:kern w:val="0"/>
      <w:sz w:val="20"/>
      <w:szCs w:val="20"/>
      <w:lang w:val="en-US"/>
      <w14:ligatures w14:val="none"/>
    </w:rPr>
  </w:style>
  <w:style w:type="paragraph" w:styleId="Footer">
    <w:name w:val="footer"/>
    <w:basedOn w:val="Normal"/>
    <w:link w:val="FooterChar"/>
    <w:uiPriority w:val="99"/>
    <w:unhideWhenUsed/>
    <w:rsid w:val="00304DC1"/>
    <w:pPr>
      <w:tabs>
        <w:tab w:val="center" w:pos="4513"/>
        <w:tab w:val="right" w:pos="9026"/>
      </w:tabs>
    </w:pPr>
  </w:style>
  <w:style w:type="character" w:customStyle="1" w:styleId="FooterChar">
    <w:name w:val="Footer Char"/>
    <w:basedOn w:val="DefaultParagraphFont"/>
    <w:link w:val="Footer"/>
    <w:uiPriority w:val="99"/>
    <w:rsid w:val="00304DC1"/>
    <w:rPr>
      <w:lang w:val="en-GB"/>
    </w:rPr>
  </w:style>
  <w:style w:type="paragraph" w:customStyle="1" w:styleId="ReferHead">
    <w:name w:val="Refer Head"/>
    <w:basedOn w:val="Normal"/>
    <w:rsid w:val="00304DC1"/>
    <w:pPr>
      <w:keepNext/>
      <w:spacing w:after="240"/>
    </w:pPr>
    <w:rPr>
      <w:rFonts w:ascii="Helvetica" w:eastAsia="Times New Roman" w:hAnsi="Helvetica" w:cs="Times New Roman"/>
      <w:b/>
      <w:caps/>
      <w:kern w:val="0"/>
      <w:sz w:val="22"/>
      <w:szCs w:val="20"/>
      <w:lang w:val="en-US"/>
      <w14:ligatures w14:val="none"/>
    </w:rPr>
  </w:style>
  <w:style w:type="paragraph" w:customStyle="1" w:styleId="paragraph">
    <w:name w:val="paragraph"/>
    <w:basedOn w:val="Normal"/>
    <w:rsid w:val="006936B4"/>
    <w:pPr>
      <w:spacing w:before="100" w:beforeAutospacing="1" w:after="100" w:afterAutospacing="1"/>
    </w:pPr>
    <w:rPr>
      <w:rFonts w:ascii="Times New Roman" w:eastAsia="Times New Roman" w:hAnsi="Times New Roman" w:cs="Times New Roman"/>
      <w:kern w:val="0"/>
      <w:lang w:val="en-IN" w:eastAsia="en-GB"/>
      <w14:ligatures w14:val="none"/>
    </w:rPr>
  </w:style>
  <w:style w:type="character" w:customStyle="1" w:styleId="normaltextrun">
    <w:name w:val="normaltextrun"/>
    <w:basedOn w:val="DefaultParagraphFont"/>
    <w:rsid w:val="006936B4"/>
  </w:style>
  <w:style w:type="character" w:customStyle="1" w:styleId="apple-converted-space">
    <w:name w:val="apple-converted-space"/>
    <w:basedOn w:val="DefaultParagraphFont"/>
    <w:rsid w:val="006936B4"/>
  </w:style>
  <w:style w:type="character" w:customStyle="1" w:styleId="eop">
    <w:name w:val="eop"/>
    <w:basedOn w:val="DefaultParagraphFont"/>
    <w:rsid w:val="006936B4"/>
  </w:style>
  <w:style w:type="table" w:styleId="TableGrid">
    <w:name w:val="Table Grid"/>
    <w:basedOn w:val="TableNormal"/>
    <w:uiPriority w:val="59"/>
    <w:rsid w:val="000C4B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86D57"/>
    <w:pPr>
      <w:tabs>
        <w:tab w:val="center" w:pos="4513"/>
        <w:tab w:val="right" w:pos="9026"/>
      </w:tabs>
    </w:pPr>
  </w:style>
  <w:style w:type="character" w:customStyle="1" w:styleId="HeaderChar">
    <w:name w:val="Header Char"/>
    <w:basedOn w:val="DefaultParagraphFont"/>
    <w:link w:val="Header"/>
    <w:uiPriority w:val="99"/>
    <w:rsid w:val="00786D5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Palaniappan Inbamuthiah</dc:creator>
  <cp:keywords/>
  <dc:description/>
  <cp:lastModifiedBy>SDI 1084</cp:lastModifiedBy>
  <cp:revision>7</cp:revision>
  <dcterms:created xsi:type="dcterms:W3CDTF">2026-02-22T13:35:00Z</dcterms:created>
  <dcterms:modified xsi:type="dcterms:W3CDTF">2026-02-23T07:01:00Z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6bba1ddf,6fcfe3a8,765ca879</vt:lpwstr>
  </property>
  <property fmtid="{D5CDD505-2E9C-101B-9397-08002B2CF9AE}" pid="3" name="ClassificationContentMarkingFooterFontProps">
    <vt:lpwstr>#ff6705,12,Aptos</vt:lpwstr>
  </property>
  <property fmtid="{D5CDD505-2E9C-101B-9397-08002B2CF9AE}" pid="4" name="ClassificationContentMarkingFooterText">
    <vt:lpwstr>Classification: Confidential </vt:lpwstr>
  </property>
  <property fmtid="{D5CDD505-2E9C-101B-9397-08002B2CF9AE}" pid="5" name="MSIP_Label_831720eb-0119-4ce4-a1fe-6905272f4282_Enabled">
    <vt:lpwstr>true</vt:lpwstr>
  </property>
  <property fmtid="{D5CDD505-2E9C-101B-9397-08002B2CF9AE}" pid="6" name="MSIP_Label_831720eb-0119-4ce4-a1fe-6905272f4282_SetDate">
    <vt:lpwstr>2026-02-22T15:33:19Z</vt:lpwstr>
  </property>
  <property fmtid="{D5CDD505-2E9C-101B-9397-08002B2CF9AE}" pid="7" name="MSIP_Label_831720eb-0119-4ce4-a1fe-6905272f4282_Method">
    <vt:lpwstr>Privileged</vt:lpwstr>
  </property>
  <property fmtid="{D5CDD505-2E9C-101B-9397-08002B2CF9AE}" pid="8" name="MSIP_Label_831720eb-0119-4ce4-a1fe-6905272f4282_Name">
    <vt:lpwstr>Confidential</vt:lpwstr>
  </property>
  <property fmtid="{D5CDD505-2E9C-101B-9397-08002B2CF9AE}" pid="9" name="MSIP_Label_831720eb-0119-4ce4-a1fe-6905272f4282_SiteId">
    <vt:lpwstr>988f94be-7208-4701-8289-28a718608374</vt:lpwstr>
  </property>
  <property fmtid="{D5CDD505-2E9C-101B-9397-08002B2CF9AE}" pid="10" name="MSIP_Label_831720eb-0119-4ce4-a1fe-6905272f4282_ActionId">
    <vt:lpwstr>10b686d9-8cfb-4080-9775-f9683e726379</vt:lpwstr>
  </property>
  <property fmtid="{D5CDD505-2E9C-101B-9397-08002B2CF9AE}" pid="11" name="MSIP_Label_831720eb-0119-4ce4-a1fe-6905272f4282_ContentBits">
    <vt:lpwstr>3</vt:lpwstr>
  </property>
  <property fmtid="{D5CDD505-2E9C-101B-9397-08002B2CF9AE}" pid="12" name="MSIP_Label_831720eb-0119-4ce4-a1fe-6905272f4282_Tag">
    <vt:lpwstr>50, 0, 1, 1</vt:lpwstr>
  </property>
</Properties>
</file>