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1D3189" w14:textId="77777777" w:rsidR="00222506" w:rsidRPr="00296603" w:rsidRDefault="002415D5" w:rsidP="002415D5">
      <w:pPr>
        <w:spacing w:after="240" w:line="360" w:lineRule="auto"/>
        <w:jc w:val="center"/>
        <w:rPr>
          <w:rFonts w:ascii="Times New Roman" w:hAnsi="Times New Roman" w:cs="Times New Roman"/>
          <w:b/>
          <w:bCs/>
          <w:sz w:val="20"/>
          <w:szCs w:val="20"/>
        </w:rPr>
      </w:pPr>
      <w:r w:rsidRPr="00296603">
        <w:rPr>
          <w:rFonts w:ascii="Times New Roman" w:hAnsi="Times New Roman" w:cs="Times New Roman"/>
          <w:b/>
          <w:bCs/>
          <w:sz w:val="28"/>
          <w:szCs w:val="20"/>
        </w:rPr>
        <w:t xml:space="preserve">Comparative Analysis of </w:t>
      </w:r>
      <w:proofErr w:type="spellStart"/>
      <w:r w:rsidRPr="00296603">
        <w:rPr>
          <w:rFonts w:ascii="Times New Roman" w:hAnsi="Times New Roman" w:cs="Times New Roman"/>
          <w:b/>
          <w:bCs/>
          <w:sz w:val="28"/>
          <w:szCs w:val="20"/>
        </w:rPr>
        <w:t>Haematological</w:t>
      </w:r>
      <w:proofErr w:type="spellEnd"/>
      <w:r w:rsidRPr="00296603">
        <w:rPr>
          <w:rFonts w:ascii="Times New Roman" w:hAnsi="Times New Roman" w:cs="Times New Roman"/>
          <w:b/>
          <w:bCs/>
          <w:sz w:val="28"/>
          <w:szCs w:val="20"/>
        </w:rPr>
        <w:t xml:space="preserve"> and Biochemical Profiles in Asymptomatic and Symptomatic Malaria in Relation to Parasite Density</w:t>
      </w:r>
    </w:p>
    <w:p w14:paraId="1DC34BDA" w14:textId="5EE22A09" w:rsidR="00D861FD" w:rsidRDefault="00D861FD" w:rsidP="00A32040">
      <w:pPr>
        <w:spacing w:line="276" w:lineRule="auto"/>
        <w:rPr>
          <w:rFonts w:ascii="Times New Roman" w:hAnsi="Times New Roman" w:cs="Times New Roman"/>
          <w:bCs/>
          <w:sz w:val="20"/>
          <w:szCs w:val="20"/>
        </w:rPr>
      </w:pPr>
    </w:p>
    <w:p w14:paraId="257381EC" w14:textId="77777777" w:rsidR="006655C7" w:rsidRPr="00296603" w:rsidRDefault="006655C7" w:rsidP="00A32040">
      <w:pPr>
        <w:spacing w:line="276" w:lineRule="auto"/>
        <w:rPr>
          <w:rFonts w:ascii="Times New Roman" w:hAnsi="Times New Roman" w:cs="Times New Roman"/>
          <w:bCs/>
          <w:sz w:val="20"/>
          <w:szCs w:val="20"/>
        </w:rPr>
      </w:pPr>
    </w:p>
    <w:p w14:paraId="6841A2FD" w14:textId="77777777" w:rsidR="004D45B5" w:rsidRPr="00296603" w:rsidRDefault="004D45B5" w:rsidP="00A32040">
      <w:pPr>
        <w:spacing w:line="276" w:lineRule="auto"/>
        <w:rPr>
          <w:rFonts w:ascii="Times New Roman" w:hAnsi="Times New Roman" w:cs="Times New Roman"/>
          <w:bCs/>
          <w:sz w:val="20"/>
          <w:szCs w:val="20"/>
        </w:rPr>
      </w:pPr>
    </w:p>
    <w:p w14:paraId="3916B7FA" w14:textId="77777777" w:rsidR="00A2645A" w:rsidRPr="00296603" w:rsidRDefault="00A2645A" w:rsidP="00A2645A">
      <w:pPr>
        <w:spacing w:line="360" w:lineRule="auto"/>
        <w:rPr>
          <w:rFonts w:ascii="Times New Roman" w:hAnsi="Times New Roman" w:cs="Times New Roman"/>
          <w:bCs/>
          <w:sz w:val="20"/>
          <w:szCs w:val="20"/>
        </w:rPr>
      </w:pPr>
      <w:r w:rsidRPr="00296603">
        <w:rPr>
          <w:rFonts w:ascii="Times New Roman" w:hAnsi="Times New Roman" w:cs="Times New Roman"/>
          <w:b/>
          <w:bCs/>
          <w:sz w:val="20"/>
          <w:szCs w:val="20"/>
        </w:rPr>
        <w:t>Abstract</w:t>
      </w:r>
    </w:p>
    <w:p w14:paraId="379CB329" w14:textId="77777777" w:rsidR="00D53453" w:rsidRPr="00296603" w:rsidRDefault="00A2645A" w:rsidP="00A2645A">
      <w:pPr>
        <w:spacing w:after="160" w:line="360" w:lineRule="auto"/>
        <w:rPr>
          <w:rFonts w:ascii="Times New Roman" w:hAnsi="Times New Roman" w:cs="Times New Roman"/>
          <w:bCs/>
          <w:sz w:val="20"/>
          <w:szCs w:val="20"/>
        </w:rPr>
      </w:pPr>
      <w:r w:rsidRPr="00296603">
        <w:rPr>
          <w:rFonts w:ascii="Times New Roman" w:hAnsi="Times New Roman" w:cs="Times New Roman"/>
          <w:bCs/>
          <w:sz w:val="20"/>
          <w:szCs w:val="20"/>
        </w:rPr>
        <w:t xml:space="preserve">Malaria in endemic areas can be symptomatic or asymptomatic, affecting regular laboratory results. University students are relevant because </w:t>
      </w:r>
      <w:proofErr w:type="spellStart"/>
      <w:r w:rsidRPr="00296603">
        <w:rPr>
          <w:rFonts w:ascii="Times New Roman" w:hAnsi="Times New Roman" w:cs="Times New Roman"/>
          <w:bCs/>
          <w:sz w:val="20"/>
          <w:szCs w:val="20"/>
        </w:rPr>
        <w:t>parasitaemia</w:t>
      </w:r>
      <w:proofErr w:type="spellEnd"/>
      <w:r w:rsidRPr="00296603">
        <w:rPr>
          <w:rFonts w:ascii="Times New Roman" w:hAnsi="Times New Roman" w:cs="Times New Roman"/>
          <w:bCs/>
          <w:sz w:val="20"/>
          <w:szCs w:val="20"/>
        </w:rPr>
        <w:t xml:space="preserve"> can be identified accidentally, but </w:t>
      </w:r>
      <w:proofErr w:type="spellStart"/>
      <w:r w:rsidRPr="00296603">
        <w:rPr>
          <w:rFonts w:ascii="Times New Roman" w:hAnsi="Times New Roman" w:cs="Times New Roman"/>
          <w:bCs/>
          <w:sz w:val="20"/>
          <w:szCs w:val="20"/>
        </w:rPr>
        <w:t>haematological</w:t>
      </w:r>
      <w:proofErr w:type="spellEnd"/>
      <w:r w:rsidRPr="00296603">
        <w:rPr>
          <w:rFonts w:ascii="Times New Roman" w:hAnsi="Times New Roman" w:cs="Times New Roman"/>
          <w:bCs/>
          <w:sz w:val="20"/>
          <w:szCs w:val="20"/>
        </w:rPr>
        <w:t xml:space="preserve"> and biochemical alterations are difficult to interpret without local comparative evidence. This study examined asymptomatic and symptomatic malaria laboratory profiles in Takoradi Technical University students in </w:t>
      </w:r>
      <w:proofErr w:type="spellStart"/>
      <w:r w:rsidRPr="00296603">
        <w:rPr>
          <w:rFonts w:ascii="Times New Roman" w:hAnsi="Times New Roman" w:cs="Times New Roman"/>
          <w:bCs/>
          <w:sz w:val="20"/>
          <w:szCs w:val="20"/>
        </w:rPr>
        <w:t>Nzimah</w:t>
      </w:r>
      <w:proofErr w:type="spellEnd"/>
      <w:r w:rsidRPr="00296603">
        <w:rPr>
          <w:rFonts w:ascii="Times New Roman" w:hAnsi="Times New Roman" w:cs="Times New Roman"/>
          <w:bCs/>
          <w:sz w:val="20"/>
          <w:szCs w:val="20"/>
        </w:rPr>
        <w:t xml:space="preserve"> Men</w:t>
      </w:r>
      <w:r w:rsidR="00AB4502" w:rsidRPr="00296603">
        <w:rPr>
          <w:rFonts w:ascii="Times New Roman" w:hAnsi="Times New Roman" w:cs="Times New Roman"/>
          <w:bCs/>
          <w:sz w:val="20"/>
          <w:szCs w:val="20"/>
        </w:rPr>
        <w:t xml:space="preserve">sah Hall and Prof. Duncan Hall. </w:t>
      </w:r>
      <w:r w:rsidRPr="00296603">
        <w:rPr>
          <w:rFonts w:ascii="Times New Roman" w:hAnsi="Times New Roman" w:cs="Times New Roman"/>
          <w:bCs/>
          <w:sz w:val="20"/>
          <w:szCs w:val="20"/>
        </w:rPr>
        <w:t xml:space="preserve">The study employed cross-sectional comparative design. 100 asymptomatic and 50 symptomatic malaria-positive students were recruited. Microscopy, Sysmex XN-350 </w:t>
      </w:r>
      <w:proofErr w:type="spellStart"/>
      <w:r w:rsidRPr="00296603">
        <w:rPr>
          <w:rFonts w:ascii="Times New Roman" w:hAnsi="Times New Roman" w:cs="Times New Roman"/>
          <w:bCs/>
          <w:sz w:val="20"/>
          <w:szCs w:val="20"/>
        </w:rPr>
        <w:t>haematological</w:t>
      </w:r>
      <w:proofErr w:type="spellEnd"/>
      <w:r w:rsidRPr="00296603">
        <w:rPr>
          <w:rFonts w:ascii="Times New Roman" w:hAnsi="Times New Roman" w:cs="Times New Roman"/>
          <w:bCs/>
          <w:sz w:val="20"/>
          <w:szCs w:val="20"/>
        </w:rPr>
        <w:t xml:space="preserve"> testing, and </w:t>
      </w:r>
      <w:proofErr w:type="spellStart"/>
      <w:r w:rsidRPr="00296603">
        <w:rPr>
          <w:rFonts w:ascii="Times New Roman" w:hAnsi="Times New Roman" w:cs="Times New Roman"/>
          <w:bCs/>
          <w:sz w:val="20"/>
          <w:szCs w:val="20"/>
        </w:rPr>
        <w:t>Humastar</w:t>
      </w:r>
      <w:proofErr w:type="spellEnd"/>
      <w:r w:rsidRPr="00296603">
        <w:rPr>
          <w:rFonts w:ascii="Times New Roman" w:hAnsi="Times New Roman" w:cs="Times New Roman"/>
          <w:bCs/>
          <w:sz w:val="20"/>
          <w:szCs w:val="20"/>
        </w:rPr>
        <w:t xml:space="preserve"> 100 biochemical testing were performed on venous blood for malaria confirmation. </w:t>
      </w:r>
      <w:r w:rsidR="00A977AA" w:rsidRPr="00296603">
        <w:rPr>
          <w:rFonts w:ascii="Times New Roman" w:hAnsi="Times New Roman" w:cs="Times New Roman"/>
          <w:bCs/>
          <w:sz w:val="20"/>
          <w:szCs w:val="20"/>
        </w:rPr>
        <w:t xml:space="preserve">Data were </w:t>
      </w:r>
      <w:proofErr w:type="spellStart"/>
      <w:r w:rsidR="00A977AA" w:rsidRPr="00296603">
        <w:rPr>
          <w:rFonts w:ascii="Times New Roman" w:hAnsi="Times New Roman" w:cs="Times New Roman"/>
          <w:bCs/>
          <w:sz w:val="20"/>
          <w:szCs w:val="20"/>
        </w:rPr>
        <w:t>analysed</w:t>
      </w:r>
      <w:proofErr w:type="spellEnd"/>
      <w:r w:rsidR="00A977AA" w:rsidRPr="00296603">
        <w:rPr>
          <w:rFonts w:ascii="Times New Roman" w:hAnsi="Times New Roman" w:cs="Times New Roman"/>
          <w:bCs/>
          <w:sz w:val="20"/>
          <w:szCs w:val="20"/>
        </w:rPr>
        <w:t xml:space="preserve"> using R-studio. </w:t>
      </w:r>
      <w:r w:rsidRPr="00296603">
        <w:rPr>
          <w:rFonts w:ascii="Times New Roman" w:hAnsi="Times New Roman" w:cs="Times New Roman"/>
          <w:bCs/>
          <w:sz w:val="20"/>
          <w:szCs w:val="20"/>
        </w:rPr>
        <w:t xml:space="preserve">Group differences were </w:t>
      </w:r>
      <w:proofErr w:type="spellStart"/>
      <w:r w:rsidRPr="00296603">
        <w:rPr>
          <w:rFonts w:ascii="Times New Roman" w:hAnsi="Times New Roman" w:cs="Times New Roman"/>
          <w:bCs/>
          <w:sz w:val="20"/>
          <w:szCs w:val="20"/>
        </w:rPr>
        <w:t>analysed</w:t>
      </w:r>
      <w:proofErr w:type="spellEnd"/>
      <w:r w:rsidRPr="00296603">
        <w:rPr>
          <w:rFonts w:ascii="Times New Roman" w:hAnsi="Times New Roman" w:cs="Times New Roman"/>
          <w:bCs/>
          <w:sz w:val="20"/>
          <w:szCs w:val="20"/>
        </w:rPr>
        <w:t xml:space="preserve"> using t-tests or Mann–Whitney U tests with effect size calculation, and Spearman correlation examined parasite density relationships </w:t>
      </w:r>
      <w:r w:rsidR="00AB4502" w:rsidRPr="00296603">
        <w:rPr>
          <w:rFonts w:ascii="Times New Roman" w:hAnsi="Times New Roman" w:cs="Times New Roman"/>
          <w:bCs/>
          <w:sz w:val="20"/>
          <w:szCs w:val="20"/>
        </w:rPr>
        <w:t xml:space="preserve">in asymptomatic cases. </w:t>
      </w:r>
      <w:r w:rsidRPr="00296603">
        <w:rPr>
          <w:rFonts w:ascii="Times New Roman" w:hAnsi="Times New Roman" w:cs="Times New Roman"/>
          <w:bCs/>
          <w:sz w:val="20"/>
          <w:szCs w:val="20"/>
        </w:rPr>
        <w:t xml:space="preserve">In symptomatic patients, parasite density was greater (2556.26 ± 2117.73 parasites/µL) than in asymptomatic instances (758.37 ± 1216.94 parasites/µL). Symptomatic students had lower </w:t>
      </w:r>
      <w:proofErr w:type="spellStart"/>
      <w:r w:rsidRPr="00296603">
        <w:rPr>
          <w:rFonts w:ascii="Times New Roman" w:hAnsi="Times New Roman" w:cs="Times New Roman"/>
          <w:bCs/>
          <w:sz w:val="20"/>
          <w:szCs w:val="20"/>
        </w:rPr>
        <w:t>haemoglobin</w:t>
      </w:r>
      <w:proofErr w:type="spellEnd"/>
      <w:r w:rsidRPr="00296603">
        <w:rPr>
          <w:rFonts w:ascii="Times New Roman" w:hAnsi="Times New Roman" w:cs="Times New Roman"/>
          <w:bCs/>
          <w:sz w:val="20"/>
          <w:szCs w:val="20"/>
        </w:rPr>
        <w:t xml:space="preserve"> (10.77 ± 2.36 vs 12.94 ± 2.01 g/dL), lower platelet counts (176.46 ± 76.13 vs 293.99 ± 76.25 ×10⁹/L), and higher ALT, AST, and creatinine levels. In asymptomatic cases, parasite density ranged from 21 to 9458 parasites/µL and had a slight connection with platelet count (ρ = 0.224, p = 0.025). Asymptomatic malaria in TTU students is stable in the lab despite changing parasite loads, while symptomatic malaria causes heavier </w:t>
      </w:r>
      <w:proofErr w:type="spellStart"/>
      <w:r w:rsidRPr="00296603">
        <w:rPr>
          <w:rFonts w:ascii="Times New Roman" w:hAnsi="Times New Roman" w:cs="Times New Roman"/>
          <w:bCs/>
          <w:sz w:val="20"/>
          <w:szCs w:val="20"/>
        </w:rPr>
        <w:t>parasitaemia</w:t>
      </w:r>
      <w:proofErr w:type="spellEnd"/>
      <w:r w:rsidRPr="00296603">
        <w:rPr>
          <w:rFonts w:ascii="Times New Roman" w:hAnsi="Times New Roman" w:cs="Times New Roman"/>
          <w:bCs/>
          <w:sz w:val="20"/>
          <w:szCs w:val="20"/>
        </w:rPr>
        <w:t xml:space="preserve"> and </w:t>
      </w:r>
      <w:proofErr w:type="spellStart"/>
      <w:r w:rsidRPr="00296603">
        <w:rPr>
          <w:rFonts w:ascii="Times New Roman" w:hAnsi="Times New Roman" w:cs="Times New Roman"/>
          <w:bCs/>
          <w:sz w:val="20"/>
          <w:szCs w:val="20"/>
        </w:rPr>
        <w:t>haematological</w:t>
      </w:r>
      <w:proofErr w:type="spellEnd"/>
      <w:r w:rsidRPr="00296603">
        <w:rPr>
          <w:rFonts w:ascii="Times New Roman" w:hAnsi="Times New Roman" w:cs="Times New Roman"/>
          <w:bCs/>
          <w:sz w:val="20"/>
          <w:szCs w:val="20"/>
        </w:rPr>
        <w:t xml:space="preserve"> and biochemical abnormalities.</w:t>
      </w:r>
    </w:p>
    <w:p w14:paraId="1191EE5C" w14:textId="77777777" w:rsidR="00AB4502" w:rsidRPr="00296603" w:rsidRDefault="00AB4502" w:rsidP="00AB4502">
      <w:pPr>
        <w:spacing w:after="160" w:line="360" w:lineRule="auto"/>
        <w:rPr>
          <w:rFonts w:ascii="Times New Roman" w:hAnsi="Times New Roman" w:cs="Times New Roman"/>
          <w:bCs/>
          <w:sz w:val="20"/>
          <w:szCs w:val="20"/>
        </w:rPr>
      </w:pPr>
      <w:r w:rsidRPr="00296603">
        <w:rPr>
          <w:rFonts w:ascii="Times New Roman" w:hAnsi="Times New Roman" w:cs="Times New Roman"/>
          <w:b/>
          <w:bCs/>
          <w:sz w:val="20"/>
          <w:szCs w:val="20"/>
        </w:rPr>
        <w:t xml:space="preserve">Keywords: </w:t>
      </w:r>
      <w:r w:rsidR="00971968" w:rsidRPr="00296603">
        <w:rPr>
          <w:rFonts w:ascii="Times New Roman" w:hAnsi="Times New Roman" w:cs="Times New Roman"/>
          <w:bCs/>
          <w:sz w:val="20"/>
          <w:szCs w:val="20"/>
        </w:rPr>
        <w:t>Hepatic dysfunction markers,</w:t>
      </w:r>
      <w:r w:rsidR="00971968" w:rsidRPr="00296603">
        <w:rPr>
          <w:rFonts w:ascii="Times New Roman" w:hAnsi="Times New Roman" w:cs="Times New Roman"/>
          <w:b/>
          <w:bCs/>
          <w:sz w:val="20"/>
          <w:szCs w:val="20"/>
        </w:rPr>
        <w:t xml:space="preserve"> </w:t>
      </w:r>
      <w:r w:rsidRPr="00296603">
        <w:rPr>
          <w:rFonts w:ascii="Times New Roman" w:hAnsi="Times New Roman" w:cs="Times New Roman"/>
          <w:bCs/>
          <w:sz w:val="20"/>
          <w:szCs w:val="20"/>
        </w:rPr>
        <w:t xml:space="preserve">Thrombocytopenia, </w:t>
      </w:r>
      <w:r w:rsidR="00971968" w:rsidRPr="00296603">
        <w:rPr>
          <w:rFonts w:ascii="Times New Roman" w:hAnsi="Times New Roman" w:cs="Times New Roman"/>
          <w:bCs/>
          <w:sz w:val="20"/>
          <w:szCs w:val="20"/>
        </w:rPr>
        <w:t>Cohen’s d effect size</w:t>
      </w:r>
      <w:r w:rsidRPr="00296603">
        <w:rPr>
          <w:rFonts w:ascii="Times New Roman" w:hAnsi="Times New Roman" w:cs="Times New Roman"/>
          <w:bCs/>
          <w:sz w:val="20"/>
          <w:szCs w:val="20"/>
        </w:rPr>
        <w:t>, Campus health screening</w:t>
      </w:r>
    </w:p>
    <w:p w14:paraId="2671F752" w14:textId="77777777" w:rsidR="00D53453" w:rsidRPr="00296603" w:rsidRDefault="00D53453" w:rsidP="00C3499A">
      <w:pPr>
        <w:spacing w:line="360" w:lineRule="auto"/>
        <w:rPr>
          <w:rFonts w:ascii="Times New Roman" w:hAnsi="Times New Roman" w:cs="Times New Roman"/>
          <w:bCs/>
          <w:sz w:val="20"/>
          <w:szCs w:val="20"/>
        </w:rPr>
      </w:pPr>
    </w:p>
    <w:p w14:paraId="7D29CB98" w14:textId="77777777" w:rsidR="00960B79" w:rsidRPr="00296603" w:rsidRDefault="00960B79" w:rsidP="00C3499A">
      <w:pPr>
        <w:spacing w:line="360" w:lineRule="auto"/>
        <w:rPr>
          <w:rFonts w:ascii="Times New Roman" w:hAnsi="Times New Roman" w:cs="Times New Roman"/>
          <w:b/>
          <w:bCs/>
          <w:sz w:val="20"/>
          <w:szCs w:val="20"/>
        </w:rPr>
      </w:pPr>
    </w:p>
    <w:p w14:paraId="47747902" w14:textId="77777777" w:rsidR="00960B79" w:rsidRPr="00296603" w:rsidRDefault="00960B79" w:rsidP="00C3499A">
      <w:pPr>
        <w:spacing w:line="360" w:lineRule="auto"/>
        <w:rPr>
          <w:rFonts w:ascii="Times New Roman" w:hAnsi="Times New Roman" w:cs="Times New Roman"/>
          <w:b/>
          <w:bCs/>
          <w:sz w:val="20"/>
          <w:szCs w:val="20"/>
        </w:rPr>
      </w:pPr>
    </w:p>
    <w:p w14:paraId="5A53260E" w14:textId="77777777" w:rsidR="00960B79" w:rsidRPr="00296603" w:rsidRDefault="00960B79" w:rsidP="00C3499A">
      <w:pPr>
        <w:spacing w:line="360" w:lineRule="auto"/>
        <w:rPr>
          <w:rFonts w:ascii="Times New Roman" w:hAnsi="Times New Roman" w:cs="Times New Roman"/>
          <w:b/>
          <w:bCs/>
          <w:sz w:val="20"/>
          <w:szCs w:val="20"/>
        </w:rPr>
      </w:pPr>
    </w:p>
    <w:p w14:paraId="42E7C93E" w14:textId="77777777" w:rsidR="00960B79" w:rsidRPr="00296603" w:rsidRDefault="00960B79" w:rsidP="00C3499A">
      <w:pPr>
        <w:spacing w:line="360" w:lineRule="auto"/>
        <w:rPr>
          <w:rFonts w:ascii="Times New Roman" w:hAnsi="Times New Roman" w:cs="Times New Roman"/>
          <w:b/>
          <w:bCs/>
          <w:sz w:val="20"/>
          <w:szCs w:val="20"/>
        </w:rPr>
      </w:pPr>
    </w:p>
    <w:p w14:paraId="5120276A" w14:textId="77777777" w:rsidR="00960B79" w:rsidRPr="00296603" w:rsidRDefault="00960B79" w:rsidP="00C3499A">
      <w:pPr>
        <w:spacing w:line="360" w:lineRule="auto"/>
        <w:rPr>
          <w:rFonts w:ascii="Times New Roman" w:hAnsi="Times New Roman" w:cs="Times New Roman"/>
          <w:b/>
          <w:bCs/>
          <w:sz w:val="20"/>
          <w:szCs w:val="20"/>
        </w:rPr>
      </w:pPr>
    </w:p>
    <w:p w14:paraId="5994E9D1" w14:textId="77777777" w:rsidR="00960B79" w:rsidRPr="00296603" w:rsidRDefault="00960B79" w:rsidP="00C3499A">
      <w:pPr>
        <w:spacing w:line="360" w:lineRule="auto"/>
        <w:rPr>
          <w:rFonts w:ascii="Times New Roman" w:hAnsi="Times New Roman" w:cs="Times New Roman"/>
          <w:b/>
          <w:bCs/>
          <w:sz w:val="20"/>
          <w:szCs w:val="20"/>
        </w:rPr>
      </w:pPr>
    </w:p>
    <w:p w14:paraId="40DAEEBD" w14:textId="77777777" w:rsidR="00960B79" w:rsidRPr="00296603" w:rsidRDefault="00960B79" w:rsidP="00C3499A">
      <w:pPr>
        <w:spacing w:line="360" w:lineRule="auto"/>
        <w:rPr>
          <w:rFonts w:ascii="Times New Roman" w:hAnsi="Times New Roman" w:cs="Times New Roman"/>
          <w:b/>
          <w:bCs/>
          <w:sz w:val="20"/>
          <w:szCs w:val="20"/>
        </w:rPr>
      </w:pPr>
    </w:p>
    <w:p w14:paraId="2A058D25" w14:textId="77777777" w:rsidR="00960B79" w:rsidRPr="00296603" w:rsidRDefault="00960B79" w:rsidP="00C3499A">
      <w:pPr>
        <w:spacing w:line="360" w:lineRule="auto"/>
        <w:rPr>
          <w:rFonts w:ascii="Times New Roman" w:hAnsi="Times New Roman" w:cs="Times New Roman"/>
          <w:b/>
          <w:bCs/>
          <w:sz w:val="20"/>
          <w:szCs w:val="20"/>
        </w:rPr>
      </w:pPr>
    </w:p>
    <w:p w14:paraId="32049F08" w14:textId="77777777" w:rsidR="00960B79" w:rsidRPr="00296603" w:rsidRDefault="00960B79" w:rsidP="00C3499A">
      <w:pPr>
        <w:spacing w:line="360" w:lineRule="auto"/>
        <w:rPr>
          <w:rFonts w:ascii="Times New Roman" w:hAnsi="Times New Roman" w:cs="Times New Roman"/>
          <w:b/>
          <w:bCs/>
          <w:sz w:val="20"/>
          <w:szCs w:val="20"/>
        </w:rPr>
      </w:pPr>
    </w:p>
    <w:p w14:paraId="7655C088" w14:textId="77777777" w:rsidR="00960B79" w:rsidRPr="00296603" w:rsidRDefault="00960B79" w:rsidP="00C3499A">
      <w:pPr>
        <w:spacing w:line="360" w:lineRule="auto"/>
        <w:rPr>
          <w:rFonts w:ascii="Times New Roman" w:hAnsi="Times New Roman" w:cs="Times New Roman"/>
          <w:b/>
          <w:bCs/>
          <w:sz w:val="20"/>
          <w:szCs w:val="20"/>
        </w:rPr>
      </w:pPr>
    </w:p>
    <w:p w14:paraId="52C81E50" w14:textId="77777777" w:rsidR="00960B79" w:rsidRPr="00296603" w:rsidRDefault="00960B79" w:rsidP="00C3499A">
      <w:pPr>
        <w:spacing w:line="360" w:lineRule="auto"/>
        <w:rPr>
          <w:rFonts w:ascii="Times New Roman" w:hAnsi="Times New Roman" w:cs="Times New Roman"/>
          <w:b/>
          <w:bCs/>
          <w:sz w:val="20"/>
          <w:szCs w:val="20"/>
        </w:rPr>
      </w:pPr>
    </w:p>
    <w:p w14:paraId="623FB51B" w14:textId="77777777" w:rsidR="00960B79" w:rsidRPr="00296603" w:rsidRDefault="00960B79" w:rsidP="00C3499A">
      <w:pPr>
        <w:spacing w:line="360" w:lineRule="auto"/>
        <w:rPr>
          <w:rFonts w:ascii="Times New Roman" w:hAnsi="Times New Roman" w:cs="Times New Roman"/>
          <w:b/>
          <w:bCs/>
          <w:sz w:val="20"/>
          <w:szCs w:val="20"/>
        </w:rPr>
      </w:pPr>
    </w:p>
    <w:p w14:paraId="4113C90A" w14:textId="77777777" w:rsidR="00960B79" w:rsidRPr="00296603" w:rsidRDefault="00960B79" w:rsidP="00C3499A">
      <w:pPr>
        <w:spacing w:line="360" w:lineRule="auto"/>
        <w:rPr>
          <w:rFonts w:ascii="Times New Roman" w:hAnsi="Times New Roman" w:cs="Times New Roman"/>
          <w:b/>
          <w:bCs/>
          <w:sz w:val="20"/>
          <w:szCs w:val="20"/>
        </w:rPr>
      </w:pPr>
    </w:p>
    <w:p w14:paraId="451D1ABE" w14:textId="77777777" w:rsidR="00960B79" w:rsidRPr="00296603" w:rsidRDefault="00960B79" w:rsidP="00C3499A">
      <w:pPr>
        <w:spacing w:line="360" w:lineRule="auto"/>
        <w:rPr>
          <w:rFonts w:ascii="Times New Roman" w:hAnsi="Times New Roman" w:cs="Times New Roman"/>
          <w:b/>
          <w:bCs/>
          <w:sz w:val="20"/>
          <w:szCs w:val="20"/>
        </w:rPr>
      </w:pPr>
    </w:p>
    <w:p w14:paraId="0897CC5C" w14:textId="77777777" w:rsidR="00C036D6" w:rsidRPr="00296603" w:rsidRDefault="00C036D6" w:rsidP="00C3499A">
      <w:pPr>
        <w:spacing w:line="360" w:lineRule="auto"/>
        <w:rPr>
          <w:rFonts w:ascii="Times New Roman" w:hAnsi="Times New Roman" w:cs="Times New Roman"/>
          <w:b/>
          <w:bCs/>
          <w:sz w:val="20"/>
          <w:szCs w:val="20"/>
        </w:rPr>
      </w:pPr>
      <w:r w:rsidRPr="00296603">
        <w:rPr>
          <w:rFonts w:ascii="Times New Roman" w:hAnsi="Times New Roman" w:cs="Times New Roman"/>
          <w:b/>
          <w:bCs/>
          <w:sz w:val="20"/>
          <w:szCs w:val="20"/>
        </w:rPr>
        <w:t>1. Introduction</w:t>
      </w:r>
    </w:p>
    <w:p w14:paraId="42879706" w14:textId="77777777" w:rsidR="00367DD9" w:rsidRPr="00296603" w:rsidRDefault="00367DD9" w:rsidP="00367DD9">
      <w:pPr>
        <w:spacing w:after="160" w:line="360" w:lineRule="auto"/>
        <w:rPr>
          <w:rFonts w:ascii="Times New Roman" w:hAnsi="Times New Roman" w:cs="Times New Roman"/>
          <w:bCs/>
          <w:sz w:val="20"/>
          <w:szCs w:val="20"/>
        </w:rPr>
      </w:pPr>
      <w:r w:rsidRPr="00296603">
        <w:rPr>
          <w:rFonts w:ascii="Times New Roman" w:hAnsi="Times New Roman" w:cs="Times New Roman"/>
          <w:bCs/>
          <w:sz w:val="20"/>
          <w:szCs w:val="20"/>
        </w:rPr>
        <w:t xml:space="preserve">Malaria has a significant effect on routine lab tests, and in endemic countries, there are different manifestations. Full blood counts and blood chemistries reveal </w:t>
      </w:r>
      <w:proofErr w:type="spellStart"/>
      <w:r w:rsidRPr="00296603">
        <w:rPr>
          <w:rFonts w:ascii="Times New Roman" w:hAnsi="Times New Roman" w:cs="Times New Roman"/>
          <w:bCs/>
          <w:sz w:val="20"/>
          <w:szCs w:val="20"/>
        </w:rPr>
        <w:t>anaemia</w:t>
      </w:r>
      <w:proofErr w:type="spellEnd"/>
      <w:r w:rsidRPr="00296603">
        <w:rPr>
          <w:rFonts w:ascii="Times New Roman" w:hAnsi="Times New Roman" w:cs="Times New Roman"/>
          <w:bCs/>
          <w:sz w:val="20"/>
          <w:szCs w:val="20"/>
        </w:rPr>
        <w:t xml:space="preserve">, thrombocytopenia, and changes in leucocytes, liver, and renal function, emphasizing the importance of lab medicine in the management of malaria. In various studies, </w:t>
      </w:r>
      <w:proofErr w:type="spellStart"/>
      <w:r w:rsidRPr="00296603">
        <w:rPr>
          <w:rFonts w:ascii="Times New Roman" w:hAnsi="Times New Roman" w:cs="Times New Roman"/>
          <w:bCs/>
          <w:sz w:val="20"/>
          <w:szCs w:val="20"/>
        </w:rPr>
        <w:t>Sakzabre</w:t>
      </w:r>
      <w:proofErr w:type="spellEnd"/>
      <w:r w:rsidRPr="00296603">
        <w:rPr>
          <w:rFonts w:ascii="Times New Roman" w:hAnsi="Times New Roman" w:cs="Times New Roman"/>
          <w:bCs/>
          <w:sz w:val="20"/>
          <w:szCs w:val="20"/>
        </w:rPr>
        <w:t xml:space="preserve"> et al. </w:t>
      </w:r>
      <w:r w:rsidR="00DD41F9" w:rsidRPr="00296603">
        <w:rPr>
          <w:rFonts w:ascii="Times New Roman" w:hAnsi="Times New Roman" w:cs="Times New Roman"/>
          <w:bCs/>
          <w:sz w:val="20"/>
          <w:szCs w:val="20"/>
        </w:rPr>
        <w:t>[1]</w:t>
      </w:r>
      <w:r w:rsidRPr="00296603">
        <w:rPr>
          <w:rFonts w:ascii="Times New Roman" w:hAnsi="Times New Roman" w:cs="Times New Roman"/>
          <w:bCs/>
          <w:sz w:val="20"/>
          <w:szCs w:val="20"/>
        </w:rPr>
        <w:t xml:space="preserve"> reported low </w:t>
      </w:r>
      <w:proofErr w:type="spellStart"/>
      <w:r w:rsidRPr="00296603">
        <w:rPr>
          <w:rFonts w:ascii="Times New Roman" w:hAnsi="Times New Roman" w:cs="Times New Roman"/>
          <w:bCs/>
          <w:sz w:val="20"/>
          <w:szCs w:val="20"/>
        </w:rPr>
        <w:t>haemoglobin</w:t>
      </w:r>
      <w:proofErr w:type="spellEnd"/>
      <w:r w:rsidRPr="00296603">
        <w:rPr>
          <w:rFonts w:ascii="Times New Roman" w:hAnsi="Times New Roman" w:cs="Times New Roman"/>
          <w:bCs/>
          <w:sz w:val="20"/>
          <w:szCs w:val="20"/>
        </w:rPr>
        <w:t xml:space="preserve"> and platelet counts among adult populations with malaria </w:t>
      </w:r>
      <w:proofErr w:type="spellStart"/>
      <w:r w:rsidRPr="00296603">
        <w:rPr>
          <w:rFonts w:ascii="Times New Roman" w:hAnsi="Times New Roman" w:cs="Times New Roman"/>
          <w:bCs/>
          <w:sz w:val="20"/>
          <w:szCs w:val="20"/>
        </w:rPr>
        <w:t>parasitaemia</w:t>
      </w:r>
      <w:proofErr w:type="spellEnd"/>
      <w:r w:rsidRPr="00296603">
        <w:rPr>
          <w:rFonts w:ascii="Times New Roman" w:hAnsi="Times New Roman" w:cs="Times New Roman"/>
          <w:bCs/>
          <w:sz w:val="20"/>
          <w:szCs w:val="20"/>
        </w:rPr>
        <w:t xml:space="preserve"> presenting to Volta Regional Hospital, Ghana. Similarly, </w:t>
      </w:r>
      <w:proofErr w:type="spellStart"/>
      <w:r w:rsidRPr="00296603">
        <w:rPr>
          <w:rFonts w:ascii="Times New Roman" w:hAnsi="Times New Roman" w:cs="Times New Roman"/>
          <w:bCs/>
          <w:sz w:val="20"/>
          <w:szCs w:val="20"/>
        </w:rPr>
        <w:t>Mutala</w:t>
      </w:r>
      <w:proofErr w:type="spellEnd"/>
      <w:r w:rsidRPr="00296603">
        <w:rPr>
          <w:rFonts w:ascii="Times New Roman" w:hAnsi="Times New Roman" w:cs="Times New Roman"/>
          <w:bCs/>
          <w:sz w:val="20"/>
          <w:szCs w:val="20"/>
        </w:rPr>
        <w:t xml:space="preserve"> et al. </w:t>
      </w:r>
      <w:r w:rsidR="00DD41F9" w:rsidRPr="00296603">
        <w:rPr>
          <w:rFonts w:ascii="Times New Roman" w:hAnsi="Times New Roman" w:cs="Times New Roman"/>
          <w:bCs/>
          <w:sz w:val="20"/>
          <w:szCs w:val="20"/>
        </w:rPr>
        <w:t>[2]</w:t>
      </w:r>
      <w:r w:rsidRPr="00296603">
        <w:rPr>
          <w:rFonts w:ascii="Times New Roman" w:hAnsi="Times New Roman" w:cs="Times New Roman"/>
          <w:bCs/>
          <w:sz w:val="20"/>
          <w:szCs w:val="20"/>
        </w:rPr>
        <w:t xml:space="preserve"> reported hematological abnormalities among urban, peri-urban, and rural populations of the Ashanti Region of Ghana. Similar findings were reported from endemic countries like Senegal, where Sylla et al. </w:t>
      </w:r>
      <w:r w:rsidR="00DD41F9" w:rsidRPr="00296603">
        <w:rPr>
          <w:rFonts w:ascii="Times New Roman" w:hAnsi="Times New Roman" w:cs="Times New Roman"/>
          <w:bCs/>
          <w:sz w:val="20"/>
          <w:szCs w:val="20"/>
        </w:rPr>
        <w:t>[3]</w:t>
      </w:r>
      <w:r w:rsidRPr="00296603">
        <w:rPr>
          <w:rFonts w:ascii="Times New Roman" w:hAnsi="Times New Roman" w:cs="Times New Roman"/>
          <w:bCs/>
          <w:sz w:val="20"/>
          <w:szCs w:val="20"/>
        </w:rPr>
        <w:t xml:space="preserve"> reported </w:t>
      </w:r>
      <w:proofErr w:type="spellStart"/>
      <w:r w:rsidRPr="00296603">
        <w:rPr>
          <w:rFonts w:ascii="Times New Roman" w:hAnsi="Times New Roman" w:cs="Times New Roman"/>
          <w:bCs/>
          <w:sz w:val="20"/>
          <w:szCs w:val="20"/>
        </w:rPr>
        <w:t>anaemia</w:t>
      </w:r>
      <w:proofErr w:type="spellEnd"/>
      <w:r w:rsidRPr="00296603">
        <w:rPr>
          <w:rFonts w:ascii="Times New Roman" w:hAnsi="Times New Roman" w:cs="Times New Roman"/>
          <w:bCs/>
          <w:sz w:val="20"/>
          <w:szCs w:val="20"/>
        </w:rPr>
        <w:t xml:space="preserve"> and thrombocytopenia among uncomplicated P. falciparum infections during antimalarial efficacy studies.</w:t>
      </w:r>
    </w:p>
    <w:p w14:paraId="66B9A475" w14:textId="77777777" w:rsidR="00367DD9" w:rsidRPr="00296603" w:rsidRDefault="00367DD9" w:rsidP="00367DD9">
      <w:pPr>
        <w:spacing w:after="160" w:line="360" w:lineRule="auto"/>
        <w:rPr>
          <w:rFonts w:ascii="Times New Roman" w:hAnsi="Times New Roman" w:cs="Times New Roman"/>
          <w:bCs/>
          <w:sz w:val="20"/>
          <w:szCs w:val="20"/>
        </w:rPr>
      </w:pPr>
      <w:r w:rsidRPr="00296603">
        <w:rPr>
          <w:rFonts w:ascii="Times New Roman" w:hAnsi="Times New Roman" w:cs="Times New Roman"/>
          <w:bCs/>
          <w:sz w:val="20"/>
          <w:szCs w:val="20"/>
        </w:rPr>
        <w:t xml:space="preserve">Malaria may present as asymptomatic. Asymptomatic </w:t>
      </w:r>
      <w:proofErr w:type="spellStart"/>
      <w:r w:rsidRPr="00296603">
        <w:rPr>
          <w:rFonts w:ascii="Times New Roman" w:hAnsi="Times New Roman" w:cs="Times New Roman"/>
          <w:bCs/>
          <w:sz w:val="20"/>
          <w:szCs w:val="20"/>
        </w:rPr>
        <w:t>parasitaemia</w:t>
      </w:r>
      <w:proofErr w:type="spellEnd"/>
      <w:r w:rsidRPr="00296603">
        <w:rPr>
          <w:rFonts w:ascii="Times New Roman" w:hAnsi="Times New Roman" w:cs="Times New Roman"/>
          <w:bCs/>
          <w:sz w:val="20"/>
          <w:szCs w:val="20"/>
        </w:rPr>
        <w:t xml:space="preserve"> is now recognized for its epidemiological and clinical significance. Almeida et al. </w:t>
      </w:r>
      <w:r w:rsidR="00DD41F9" w:rsidRPr="00296603">
        <w:rPr>
          <w:rFonts w:ascii="Times New Roman" w:hAnsi="Times New Roman" w:cs="Times New Roman"/>
          <w:bCs/>
          <w:sz w:val="20"/>
          <w:szCs w:val="20"/>
        </w:rPr>
        <w:t>[4]</w:t>
      </w:r>
      <w:r w:rsidRPr="00296603">
        <w:rPr>
          <w:rFonts w:ascii="Times New Roman" w:hAnsi="Times New Roman" w:cs="Times New Roman"/>
          <w:bCs/>
          <w:sz w:val="20"/>
          <w:szCs w:val="20"/>
        </w:rPr>
        <w:t xml:space="preserve"> reported that asymptomatic P. vivax infections, including submicroscopic infections, were infectious to vectors.  In Europe, </w:t>
      </w:r>
      <w:proofErr w:type="spellStart"/>
      <w:r w:rsidR="00DD41F9" w:rsidRPr="00296603">
        <w:rPr>
          <w:rFonts w:ascii="Times New Roman" w:hAnsi="Times New Roman" w:cs="Times New Roman"/>
          <w:bCs/>
          <w:sz w:val="20"/>
          <w:szCs w:val="20"/>
        </w:rPr>
        <w:t>Corbacho-Loarte</w:t>
      </w:r>
      <w:proofErr w:type="spellEnd"/>
      <w:r w:rsidR="00DD41F9" w:rsidRPr="00296603">
        <w:rPr>
          <w:rFonts w:ascii="Times New Roman" w:hAnsi="Times New Roman" w:cs="Times New Roman"/>
          <w:bCs/>
          <w:sz w:val="20"/>
          <w:szCs w:val="20"/>
        </w:rPr>
        <w:t xml:space="preserve"> et al. [5]</w:t>
      </w:r>
      <w:r w:rsidRPr="00296603">
        <w:rPr>
          <w:rFonts w:ascii="Times New Roman" w:hAnsi="Times New Roman" w:cs="Times New Roman"/>
          <w:bCs/>
          <w:sz w:val="20"/>
          <w:szCs w:val="20"/>
        </w:rPr>
        <w:t xml:space="preserve"> showed asymptomatic and low-density infections among migrants from sub-Saharan Africa, underscoring the limitations of clinical presentation in the diagnosis of the dise</w:t>
      </w:r>
      <w:r w:rsidR="00DD41F9" w:rsidRPr="00296603">
        <w:rPr>
          <w:rFonts w:ascii="Times New Roman" w:hAnsi="Times New Roman" w:cs="Times New Roman"/>
          <w:bCs/>
          <w:sz w:val="20"/>
          <w:szCs w:val="20"/>
        </w:rPr>
        <w:t xml:space="preserve">ase. In fact, </w:t>
      </w:r>
      <w:proofErr w:type="spellStart"/>
      <w:r w:rsidR="00DD41F9" w:rsidRPr="00296603">
        <w:rPr>
          <w:rFonts w:ascii="Times New Roman" w:hAnsi="Times New Roman" w:cs="Times New Roman"/>
          <w:bCs/>
          <w:sz w:val="20"/>
          <w:szCs w:val="20"/>
        </w:rPr>
        <w:t>Aninagyei</w:t>
      </w:r>
      <w:proofErr w:type="spellEnd"/>
      <w:r w:rsidR="00DD41F9" w:rsidRPr="00296603">
        <w:rPr>
          <w:rFonts w:ascii="Times New Roman" w:hAnsi="Times New Roman" w:cs="Times New Roman"/>
          <w:bCs/>
          <w:sz w:val="20"/>
          <w:szCs w:val="20"/>
        </w:rPr>
        <w:t xml:space="preserve"> et al. [6]</w:t>
      </w:r>
      <w:r w:rsidRPr="00296603">
        <w:rPr>
          <w:rFonts w:ascii="Times New Roman" w:hAnsi="Times New Roman" w:cs="Times New Roman"/>
          <w:bCs/>
          <w:sz w:val="20"/>
          <w:szCs w:val="20"/>
        </w:rPr>
        <w:t xml:space="preserve"> showed that asymptomatic P. falciparum </w:t>
      </w:r>
      <w:proofErr w:type="spellStart"/>
      <w:r w:rsidRPr="00296603">
        <w:rPr>
          <w:rFonts w:ascii="Times New Roman" w:hAnsi="Times New Roman" w:cs="Times New Roman"/>
          <w:bCs/>
          <w:sz w:val="20"/>
          <w:szCs w:val="20"/>
        </w:rPr>
        <w:t>parasitaemia</w:t>
      </w:r>
      <w:proofErr w:type="spellEnd"/>
      <w:r w:rsidRPr="00296603">
        <w:rPr>
          <w:rFonts w:ascii="Times New Roman" w:hAnsi="Times New Roman" w:cs="Times New Roman"/>
          <w:bCs/>
          <w:sz w:val="20"/>
          <w:szCs w:val="20"/>
        </w:rPr>
        <w:t xml:space="preserve"> among blood donors in Ghana was associated with changes in platelet thrombogenicity.</w:t>
      </w:r>
    </w:p>
    <w:p w14:paraId="7AE71031" w14:textId="77777777" w:rsidR="00367DD9" w:rsidRPr="00296603" w:rsidRDefault="00367DD9" w:rsidP="00367DD9">
      <w:pPr>
        <w:spacing w:after="160" w:line="360" w:lineRule="auto"/>
        <w:rPr>
          <w:rFonts w:ascii="Times New Roman" w:hAnsi="Times New Roman" w:cs="Times New Roman"/>
          <w:bCs/>
          <w:sz w:val="20"/>
          <w:szCs w:val="20"/>
        </w:rPr>
      </w:pPr>
      <w:r w:rsidRPr="00296603">
        <w:rPr>
          <w:rFonts w:ascii="Times New Roman" w:hAnsi="Times New Roman" w:cs="Times New Roman"/>
          <w:bCs/>
          <w:sz w:val="20"/>
          <w:szCs w:val="20"/>
        </w:rPr>
        <w:t xml:space="preserve">The intensity of </w:t>
      </w:r>
      <w:proofErr w:type="spellStart"/>
      <w:r w:rsidRPr="00296603">
        <w:rPr>
          <w:rFonts w:ascii="Times New Roman" w:hAnsi="Times New Roman" w:cs="Times New Roman"/>
          <w:bCs/>
          <w:sz w:val="20"/>
          <w:szCs w:val="20"/>
        </w:rPr>
        <w:t>parasitaemia</w:t>
      </w:r>
      <w:proofErr w:type="spellEnd"/>
      <w:r w:rsidRPr="00296603">
        <w:rPr>
          <w:rFonts w:ascii="Times New Roman" w:hAnsi="Times New Roman" w:cs="Times New Roman"/>
          <w:bCs/>
          <w:sz w:val="20"/>
          <w:szCs w:val="20"/>
        </w:rPr>
        <w:t xml:space="preserve"> also appears to have a role to p</w:t>
      </w:r>
      <w:r w:rsidR="00DD41F9" w:rsidRPr="00296603">
        <w:rPr>
          <w:rFonts w:ascii="Times New Roman" w:hAnsi="Times New Roman" w:cs="Times New Roman"/>
          <w:bCs/>
          <w:sz w:val="20"/>
          <w:szCs w:val="20"/>
        </w:rPr>
        <w:t>lay. Antwi-Baffour et al. [7]</w:t>
      </w:r>
      <w:r w:rsidRPr="00296603">
        <w:rPr>
          <w:rFonts w:ascii="Times New Roman" w:hAnsi="Times New Roman" w:cs="Times New Roman"/>
          <w:bCs/>
          <w:sz w:val="20"/>
          <w:szCs w:val="20"/>
        </w:rPr>
        <w:t xml:space="preserve"> found correlations between the intensity of </w:t>
      </w:r>
      <w:proofErr w:type="spellStart"/>
      <w:r w:rsidRPr="00296603">
        <w:rPr>
          <w:rFonts w:ascii="Times New Roman" w:hAnsi="Times New Roman" w:cs="Times New Roman"/>
          <w:bCs/>
          <w:sz w:val="20"/>
          <w:szCs w:val="20"/>
        </w:rPr>
        <w:t>parasitaemia</w:t>
      </w:r>
      <w:proofErr w:type="spellEnd"/>
      <w:r w:rsidRPr="00296603">
        <w:rPr>
          <w:rFonts w:ascii="Times New Roman" w:hAnsi="Times New Roman" w:cs="Times New Roman"/>
          <w:bCs/>
          <w:sz w:val="20"/>
          <w:szCs w:val="20"/>
        </w:rPr>
        <w:t xml:space="preserve"> and some </w:t>
      </w:r>
      <w:proofErr w:type="spellStart"/>
      <w:r w:rsidRPr="00296603">
        <w:rPr>
          <w:rFonts w:ascii="Times New Roman" w:hAnsi="Times New Roman" w:cs="Times New Roman"/>
          <w:bCs/>
          <w:sz w:val="20"/>
          <w:szCs w:val="20"/>
        </w:rPr>
        <w:t>haematological</w:t>
      </w:r>
      <w:proofErr w:type="spellEnd"/>
      <w:r w:rsidRPr="00296603">
        <w:rPr>
          <w:rFonts w:ascii="Times New Roman" w:hAnsi="Times New Roman" w:cs="Times New Roman"/>
          <w:bCs/>
          <w:sz w:val="20"/>
          <w:szCs w:val="20"/>
        </w:rPr>
        <w:t xml:space="preserve"> parameters among outpatient attendees in Ghana, while </w:t>
      </w:r>
      <w:r w:rsidR="00DD41F9" w:rsidRPr="00296603">
        <w:rPr>
          <w:rFonts w:ascii="Times New Roman" w:hAnsi="Times New Roman" w:cs="Times New Roman"/>
          <w:bCs/>
          <w:sz w:val="20"/>
          <w:szCs w:val="20"/>
        </w:rPr>
        <w:t>Shukla et al. [8]</w:t>
      </w:r>
      <w:r w:rsidRPr="00296603">
        <w:rPr>
          <w:rFonts w:ascii="Times New Roman" w:hAnsi="Times New Roman" w:cs="Times New Roman"/>
          <w:bCs/>
          <w:sz w:val="20"/>
          <w:szCs w:val="20"/>
        </w:rPr>
        <w:t xml:space="preserve"> found correlations between parasite density and </w:t>
      </w:r>
      <w:proofErr w:type="spellStart"/>
      <w:r w:rsidRPr="00296603">
        <w:rPr>
          <w:rFonts w:ascii="Times New Roman" w:hAnsi="Times New Roman" w:cs="Times New Roman"/>
          <w:bCs/>
          <w:sz w:val="20"/>
          <w:szCs w:val="20"/>
        </w:rPr>
        <w:t>haematological</w:t>
      </w:r>
      <w:proofErr w:type="spellEnd"/>
      <w:r w:rsidRPr="00296603">
        <w:rPr>
          <w:rFonts w:ascii="Times New Roman" w:hAnsi="Times New Roman" w:cs="Times New Roman"/>
          <w:bCs/>
          <w:sz w:val="20"/>
          <w:szCs w:val="20"/>
        </w:rPr>
        <w:t xml:space="preserve"> and bioche</w:t>
      </w:r>
      <w:r w:rsidR="00D957D6" w:rsidRPr="00296603">
        <w:rPr>
          <w:rFonts w:ascii="Times New Roman" w:hAnsi="Times New Roman" w:cs="Times New Roman"/>
          <w:bCs/>
          <w:sz w:val="20"/>
          <w:szCs w:val="20"/>
        </w:rPr>
        <w:t xml:space="preserve">mical indices in patients with </w:t>
      </w:r>
      <w:r w:rsidR="00D957D6" w:rsidRPr="00296603">
        <w:rPr>
          <w:rFonts w:ascii="Times New Roman" w:hAnsi="Times New Roman" w:cs="Times New Roman"/>
          <w:bCs/>
          <w:i/>
          <w:sz w:val="20"/>
          <w:szCs w:val="20"/>
        </w:rPr>
        <w:t>P. falciparum</w:t>
      </w:r>
      <w:r w:rsidR="00DD41F9" w:rsidRPr="00296603">
        <w:rPr>
          <w:rFonts w:ascii="Times New Roman" w:hAnsi="Times New Roman" w:cs="Times New Roman"/>
          <w:bCs/>
          <w:sz w:val="20"/>
          <w:szCs w:val="20"/>
        </w:rPr>
        <w:t xml:space="preserve"> malaria. </w:t>
      </w:r>
      <w:proofErr w:type="spellStart"/>
      <w:r w:rsidR="00DD41F9" w:rsidRPr="00296603">
        <w:rPr>
          <w:rFonts w:ascii="Times New Roman" w:hAnsi="Times New Roman" w:cs="Times New Roman"/>
          <w:bCs/>
          <w:sz w:val="20"/>
          <w:szCs w:val="20"/>
        </w:rPr>
        <w:t>Ehiem</w:t>
      </w:r>
      <w:proofErr w:type="spellEnd"/>
      <w:r w:rsidR="00DD41F9" w:rsidRPr="00296603">
        <w:rPr>
          <w:rFonts w:ascii="Times New Roman" w:hAnsi="Times New Roman" w:cs="Times New Roman"/>
          <w:bCs/>
          <w:sz w:val="20"/>
          <w:szCs w:val="20"/>
        </w:rPr>
        <w:t xml:space="preserve"> et al. [9]</w:t>
      </w:r>
      <w:r w:rsidRPr="00296603">
        <w:rPr>
          <w:rFonts w:ascii="Times New Roman" w:hAnsi="Times New Roman" w:cs="Times New Roman"/>
          <w:bCs/>
          <w:sz w:val="20"/>
          <w:szCs w:val="20"/>
        </w:rPr>
        <w:t xml:space="preserve"> found that </w:t>
      </w:r>
      <w:proofErr w:type="spellStart"/>
      <w:r w:rsidRPr="00296603">
        <w:rPr>
          <w:rFonts w:ascii="Times New Roman" w:hAnsi="Times New Roman" w:cs="Times New Roman"/>
          <w:bCs/>
          <w:sz w:val="20"/>
          <w:szCs w:val="20"/>
        </w:rPr>
        <w:t>parasitaemia</w:t>
      </w:r>
      <w:proofErr w:type="spellEnd"/>
      <w:r w:rsidRPr="00296603">
        <w:rPr>
          <w:rFonts w:ascii="Times New Roman" w:hAnsi="Times New Roman" w:cs="Times New Roman"/>
          <w:bCs/>
          <w:sz w:val="20"/>
          <w:szCs w:val="20"/>
        </w:rPr>
        <w:t xml:space="preserve"> correlated with liver enzyme abnormalities and hepatocellular dysfunction in Ghanaian children with malaria, highlighting the role of biochemical abnormalities in the context of parasite infection and inflammation-induced damage to red blood cells. This further underlines the value of parasite density and its role in disease expression alongside other laboratory indices. However, there are three important areas that have not been addressed or have been insufficiently addressed by previous studies. The first area relates to the fact that while many studies have been done on malaria and parasite density, most have been done on symptomatic malaria and a few on pediatric populations. There have been no sufficient studies done on asymptomatic carriers among university students. The second area relates to the fact that while some comparative studies have been done on asymptomatic and symptomatic carriers, there have been few comparative studies done on asymptomatic and symptomatic carriers using </w:t>
      </w:r>
      <w:proofErr w:type="spellStart"/>
      <w:r w:rsidRPr="00296603">
        <w:rPr>
          <w:rFonts w:ascii="Times New Roman" w:hAnsi="Times New Roman" w:cs="Times New Roman"/>
          <w:bCs/>
          <w:sz w:val="20"/>
          <w:szCs w:val="20"/>
        </w:rPr>
        <w:t>haematological</w:t>
      </w:r>
      <w:proofErr w:type="spellEnd"/>
      <w:r w:rsidRPr="00296603">
        <w:rPr>
          <w:rFonts w:ascii="Times New Roman" w:hAnsi="Times New Roman" w:cs="Times New Roman"/>
          <w:bCs/>
          <w:sz w:val="20"/>
          <w:szCs w:val="20"/>
        </w:rPr>
        <w:t>, biochemical, and parasitological indices. The third area relates to the fact that while some studies have been done on the differences between asymptomatic and symptomatic carriers, few have been done on the effect size analysis and the relationship between parasite density and some laboratory indices within each group. This analysis is important to help understand whether the differences between asymptomatic and symptomatic carriers are statistically significant and whether they are clinically significant, and whether they are similar to each other.</w:t>
      </w:r>
    </w:p>
    <w:p w14:paraId="0D651307" w14:textId="77777777" w:rsidR="00367DD9" w:rsidRPr="00296603" w:rsidRDefault="00367DD9" w:rsidP="00367DD9">
      <w:pPr>
        <w:spacing w:after="160" w:line="360" w:lineRule="auto"/>
        <w:rPr>
          <w:rFonts w:ascii="Times New Roman" w:hAnsi="Times New Roman" w:cs="Times New Roman"/>
          <w:bCs/>
          <w:sz w:val="20"/>
          <w:szCs w:val="20"/>
        </w:rPr>
      </w:pPr>
      <w:r w:rsidRPr="00296603">
        <w:rPr>
          <w:rFonts w:ascii="Times New Roman" w:hAnsi="Times New Roman" w:cs="Times New Roman"/>
          <w:bCs/>
          <w:sz w:val="20"/>
          <w:szCs w:val="20"/>
        </w:rPr>
        <w:t xml:space="preserve">University students are an important subject group for such an investigation. They share living quarters with others, often travel between communities, and may be </w:t>
      </w:r>
      <w:proofErr w:type="spellStart"/>
      <w:r w:rsidRPr="00296603">
        <w:rPr>
          <w:rFonts w:ascii="Times New Roman" w:hAnsi="Times New Roman" w:cs="Times New Roman"/>
          <w:bCs/>
          <w:sz w:val="20"/>
          <w:szCs w:val="20"/>
        </w:rPr>
        <w:t>parasitaemic</w:t>
      </w:r>
      <w:proofErr w:type="spellEnd"/>
      <w:r w:rsidRPr="00296603">
        <w:rPr>
          <w:rFonts w:ascii="Times New Roman" w:hAnsi="Times New Roman" w:cs="Times New Roman"/>
          <w:bCs/>
          <w:sz w:val="20"/>
          <w:szCs w:val="20"/>
        </w:rPr>
        <w:t xml:space="preserve"> without showing clinical symptoms. In these groups, </w:t>
      </w:r>
      <w:r w:rsidRPr="00296603">
        <w:rPr>
          <w:rFonts w:ascii="Times New Roman" w:hAnsi="Times New Roman" w:cs="Times New Roman"/>
          <w:bCs/>
          <w:sz w:val="20"/>
          <w:szCs w:val="20"/>
        </w:rPr>
        <w:lastRenderedPageBreak/>
        <w:t xml:space="preserve">laboratory investigations may incidentally identify </w:t>
      </w:r>
      <w:proofErr w:type="spellStart"/>
      <w:r w:rsidRPr="00296603">
        <w:rPr>
          <w:rFonts w:ascii="Times New Roman" w:hAnsi="Times New Roman" w:cs="Times New Roman"/>
          <w:bCs/>
          <w:sz w:val="20"/>
          <w:szCs w:val="20"/>
        </w:rPr>
        <w:t>parasitaemia</w:t>
      </w:r>
      <w:proofErr w:type="spellEnd"/>
      <w:r w:rsidRPr="00296603">
        <w:rPr>
          <w:rFonts w:ascii="Times New Roman" w:hAnsi="Times New Roman" w:cs="Times New Roman"/>
          <w:bCs/>
          <w:sz w:val="20"/>
          <w:szCs w:val="20"/>
        </w:rPr>
        <w:t>; however, the laboratory results of these malaria-infected individuals may be difficult to interpret in the absence of reference data. An understanding of whether asymptomatic malaria in these groups is accompanied by subtle but identifiable laboratory abnormalities, and whether these differ from those with malaria symptoms, is important for the management of malaria in university students.</w:t>
      </w:r>
    </w:p>
    <w:p w14:paraId="7997A451" w14:textId="77777777" w:rsidR="00C036D6" w:rsidRPr="00296603" w:rsidRDefault="00367DD9" w:rsidP="00367DD9">
      <w:pPr>
        <w:spacing w:line="360" w:lineRule="auto"/>
        <w:rPr>
          <w:rFonts w:ascii="Times New Roman" w:hAnsi="Times New Roman" w:cs="Times New Roman"/>
          <w:bCs/>
          <w:sz w:val="20"/>
          <w:szCs w:val="20"/>
        </w:rPr>
      </w:pPr>
      <w:r w:rsidRPr="00296603">
        <w:rPr>
          <w:rFonts w:ascii="Times New Roman" w:hAnsi="Times New Roman" w:cs="Times New Roman"/>
          <w:bCs/>
          <w:sz w:val="20"/>
          <w:szCs w:val="20"/>
        </w:rPr>
        <w:t xml:space="preserve">The current study recruited students of the Takoradi Technical University residing in </w:t>
      </w:r>
      <w:proofErr w:type="spellStart"/>
      <w:r w:rsidRPr="00296603">
        <w:rPr>
          <w:rFonts w:ascii="Times New Roman" w:hAnsi="Times New Roman" w:cs="Times New Roman"/>
          <w:bCs/>
          <w:sz w:val="20"/>
          <w:szCs w:val="20"/>
        </w:rPr>
        <w:t>Nzimah</w:t>
      </w:r>
      <w:proofErr w:type="spellEnd"/>
      <w:r w:rsidRPr="00296603">
        <w:rPr>
          <w:rFonts w:ascii="Times New Roman" w:hAnsi="Times New Roman" w:cs="Times New Roman"/>
          <w:bCs/>
          <w:sz w:val="20"/>
          <w:szCs w:val="20"/>
        </w:rPr>
        <w:t xml:space="preserve"> Mensah Hall and Prof. Duncan Hall to investigate the differences in </w:t>
      </w:r>
      <w:proofErr w:type="spellStart"/>
      <w:r w:rsidRPr="00296603">
        <w:rPr>
          <w:rFonts w:ascii="Times New Roman" w:hAnsi="Times New Roman" w:cs="Times New Roman"/>
          <w:bCs/>
          <w:sz w:val="20"/>
          <w:szCs w:val="20"/>
        </w:rPr>
        <w:t>haematological</w:t>
      </w:r>
      <w:proofErr w:type="spellEnd"/>
      <w:r w:rsidRPr="00296603">
        <w:rPr>
          <w:rFonts w:ascii="Times New Roman" w:hAnsi="Times New Roman" w:cs="Times New Roman"/>
          <w:bCs/>
          <w:sz w:val="20"/>
          <w:szCs w:val="20"/>
        </w:rPr>
        <w:t xml:space="preserve"> and biochemical abnormalities in asymptomatic malaria cases compared with those with malaria symptoms. In addition to comparing laboratory results between groups, the current study also investigated the relationship between parasite density and laboratory results in asymptomatic malaria cases. By using parasitological measurement in combination with standardized laboratory investigations and effect size analysis, the current study provides methodologically rigorous results that are highly relevant for laboratory investigations of malaria in young adults in Ghana.</w:t>
      </w:r>
    </w:p>
    <w:p w14:paraId="4987C125" w14:textId="77777777" w:rsidR="00367DD9" w:rsidRPr="00296603" w:rsidRDefault="00367DD9" w:rsidP="00367DD9">
      <w:pPr>
        <w:spacing w:line="360" w:lineRule="auto"/>
        <w:rPr>
          <w:rFonts w:ascii="Times New Roman" w:hAnsi="Times New Roman" w:cs="Times New Roman"/>
          <w:bCs/>
          <w:sz w:val="20"/>
          <w:szCs w:val="20"/>
        </w:rPr>
      </w:pPr>
    </w:p>
    <w:p w14:paraId="78097CE2" w14:textId="77777777" w:rsidR="007D7206" w:rsidRPr="00296603" w:rsidRDefault="007D7206" w:rsidP="00E16407">
      <w:pPr>
        <w:spacing w:after="160" w:line="360" w:lineRule="auto"/>
        <w:rPr>
          <w:rFonts w:ascii="Times New Roman" w:hAnsi="Times New Roman" w:cs="Times New Roman"/>
          <w:b/>
          <w:bCs/>
          <w:sz w:val="20"/>
          <w:szCs w:val="20"/>
        </w:rPr>
      </w:pPr>
      <w:r w:rsidRPr="00296603">
        <w:rPr>
          <w:rFonts w:ascii="Times New Roman" w:hAnsi="Times New Roman" w:cs="Times New Roman"/>
          <w:b/>
          <w:bCs/>
          <w:sz w:val="20"/>
          <w:szCs w:val="20"/>
        </w:rPr>
        <w:t>2. Materials and Methods</w:t>
      </w:r>
    </w:p>
    <w:p w14:paraId="1F08DF24" w14:textId="77777777" w:rsidR="007D7206" w:rsidRPr="00296603" w:rsidRDefault="0083268D" w:rsidP="00E16407">
      <w:pPr>
        <w:spacing w:line="360" w:lineRule="auto"/>
        <w:rPr>
          <w:rFonts w:ascii="Times New Roman" w:hAnsi="Times New Roman" w:cs="Times New Roman"/>
          <w:b/>
          <w:bCs/>
          <w:sz w:val="20"/>
          <w:szCs w:val="20"/>
        </w:rPr>
      </w:pPr>
      <w:r w:rsidRPr="00296603">
        <w:rPr>
          <w:rFonts w:ascii="Times New Roman" w:hAnsi="Times New Roman" w:cs="Times New Roman"/>
          <w:b/>
          <w:bCs/>
          <w:sz w:val="20"/>
          <w:szCs w:val="20"/>
        </w:rPr>
        <w:t xml:space="preserve">2.1 </w:t>
      </w:r>
      <w:r w:rsidR="007D7206" w:rsidRPr="00296603">
        <w:rPr>
          <w:rFonts w:ascii="Times New Roman" w:hAnsi="Times New Roman" w:cs="Times New Roman"/>
          <w:b/>
          <w:bCs/>
          <w:sz w:val="20"/>
          <w:szCs w:val="20"/>
        </w:rPr>
        <w:t>Study Design and Setting</w:t>
      </w:r>
    </w:p>
    <w:p w14:paraId="3265376E" w14:textId="77777777" w:rsidR="00F16ADA" w:rsidRPr="00296603" w:rsidRDefault="00F16ADA" w:rsidP="00F16ADA">
      <w:pPr>
        <w:spacing w:after="240" w:line="360" w:lineRule="auto"/>
        <w:rPr>
          <w:rFonts w:ascii="Times New Roman" w:hAnsi="Times New Roman" w:cs="Times New Roman"/>
          <w:sz w:val="20"/>
          <w:szCs w:val="20"/>
        </w:rPr>
      </w:pPr>
      <w:r w:rsidRPr="00296603">
        <w:rPr>
          <w:rFonts w:ascii="Times New Roman" w:hAnsi="Times New Roman" w:cs="Times New Roman"/>
          <w:sz w:val="20"/>
          <w:szCs w:val="20"/>
        </w:rPr>
        <w:t>A cross-sectional study design was done with a comparative approach between students of Takoradi Technical University (TTU), Western Region, Ghana. The two university residential halls (</w:t>
      </w:r>
      <w:proofErr w:type="spellStart"/>
      <w:r w:rsidRPr="00296603">
        <w:rPr>
          <w:rFonts w:ascii="Times New Roman" w:hAnsi="Times New Roman" w:cs="Times New Roman"/>
          <w:sz w:val="20"/>
          <w:szCs w:val="20"/>
        </w:rPr>
        <w:t>Nzimah</w:t>
      </w:r>
      <w:proofErr w:type="spellEnd"/>
      <w:r w:rsidRPr="00296603">
        <w:rPr>
          <w:rFonts w:ascii="Times New Roman" w:hAnsi="Times New Roman" w:cs="Times New Roman"/>
          <w:sz w:val="20"/>
          <w:szCs w:val="20"/>
        </w:rPr>
        <w:t xml:space="preserve"> Mensah Hall and Prof. Duncan Hall) were used to recruit the participants. The research involved comparison of </w:t>
      </w:r>
      <w:proofErr w:type="spellStart"/>
      <w:r w:rsidRPr="00296603">
        <w:rPr>
          <w:rFonts w:ascii="Times New Roman" w:hAnsi="Times New Roman" w:cs="Times New Roman"/>
          <w:sz w:val="20"/>
          <w:szCs w:val="20"/>
        </w:rPr>
        <w:t>haematological</w:t>
      </w:r>
      <w:proofErr w:type="spellEnd"/>
      <w:r w:rsidRPr="00296603">
        <w:rPr>
          <w:rFonts w:ascii="Times New Roman" w:hAnsi="Times New Roman" w:cs="Times New Roman"/>
          <w:sz w:val="20"/>
          <w:szCs w:val="20"/>
        </w:rPr>
        <w:t>, biochemical and parasitological parameters between asymptomatic and symptomatic malaria infected students in the same campus set up.</w:t>
      </w:r>
    </w:p>
    <w:p w14:paraId="700C3825" w14:textId="77777777" w:rsidR="007D7206" w:rsidRPr="00296603" w:rsidRDefault="0083268D" w:rsidP="00E16407">
      <w:pPr>
        <w:spacing w:line="360" w:lineRule="auto"/>
        <w:rPr>
          <w:rFonts w:ascii="Times New Roman" w:hAnsi="Times New Roman" w:cs="Times New Roman"/>
          <w:b/>
          <w:bCs/>
          <w:sz w:val="20"/>
          <w:szCs w:val="20"/>
        </w:rPr>
      </w:pPr>
      <w:r w:rsidRPr="00296603">
        <w:rPr>
          <w:rFonts w:ascii="Times New Roman" w:hAnsi="Times New Roman" w:cs="Times New Roman"/>
          <w:b/>
          <w:bCs/>
          <w:sz w:val="20"/>
          <w:szCs w:val="20"/>
        </w:rPr>
        <w:t xml:space="preserve">2.2 </w:t>
      </w:r>
      <w:r w:rsidR="007D7206" w:rsidRPr="00296603">
        <w:rPr>
          <w:rFonts w:ascii="Times New Roman" w:hAnsi="Times New Roman" w:cs="Times New Roman"/>
          <w:b/>
          <w:bCs/>
          <w:sz w:val="20"/>
          <w:szCs w:val="20"/>
        </w:rPr>
        <w:t>Study Population and Sample Size</w:t>
      </w:r>
    </w:p>
    <w:p w14:paraId="1FD2E4B2" w14:textId="77777777" w:rsidR="00F16ADA" w:rsidRPr="00296603" w:rsidRDefault="00F16ADA" w:rsidP="00F16ADA">
      <w:pPr>
        <w:spacing w:after="160" w:line="360" w:lineRule="auto"/>
        <w:rPr>
          <w:rFonts w:ascii="Times New Roman" w:hAnsi="Times New Roman" w:cs="Times New Roman"/>
          <w:sz w:val="20"/>
          <w:szCs w:val="20"/>
        </w:rPr>
      </w:pPr>
      <w:r w:rsidRPr="00296603">
        <w:rPr>
          <w:rFonts w:ascii="Times New Roman" w:hAnsi="Times New Roman" w:cs="Times New Roman"/>
          <w:sz w:val="20"/>
          <w:szCs w:val="20"/>
        </w:rPr>
        <w:t>One hundred and fifty students were recruited with 100 being asymptomatic and 50 symptomatic malaria-positive students. The sample size has been chosen according to the requirements of sufficient statistic power to find the clinically significant differences in the main parameters of the laboratory results between the groups. Having the ratio of allocation 2:1 (100 vs. 50), the study has around 80% power at the 5% level of significance to identify moderate effect sizes in independent group comparison. The use of intentional oversampling of the participants who have not shown any symptoms was done to enable stabilization of subgroup analysis of the distribution of parasite density and correlation testing in this group.</w:t>
      </w:r>
    </w:p>
    <w:p w14:paraId="789C40E0" w14:textId="77777777" w:rsidR="00F16ADA" w:rsidRPr="00296603" w:rsidRDefault="00F16ADA" w:rsidP="00F16ADA">
      <w:pPr>
        <w:spacing w:after="240" w:line="360" w:lineRule="auto"/>
        <w:rPr>
          <w:rFonts w:ascii="Times New Roman" w:hAnsi="Times New Roman" w:cs="Times New Roman"/>
          <w:sz w:val="20"/>
          <w:szCs w:val="20"/>
        </w:rPr>
      </w:pPr>
      <w:r w:rsidRPr="00296603">
        <w:rPr>
          <w:rFonts w:ascii="Times New Roman" w:hAnsi="Times New Roman" w:cs="Times New Roman"/>
          <w:sz w:val="20"/>
          <w:szCs w:val="20"/>
        </w:rPr>
        <w:t xml:space="preserve">The participants were categorized according to the clinical presentation at the moment of laboratory confirmation. The definition of asymptomatic included those students whose </w:t>
      </w:r>
      <w:proofErr w:type="spellStart"/>
      <w:r w:rsidRPr="00296603">
        <w:rPr>
          <w:rFonts w:ascii="Times New Roman" w:hAnsi="Times New Roman" w:cs="Times New Roman"/>
          <w:sz w:val="20"/>
          <w:szCs w:val="20"/>
        </w:rPr>
        <w:t>parasitaemia</w:t>
      </w:r>
      <w:proofErr w:type="spellEnd"/>
      <w:r w:rsidRPr="00296603">
        <w:rPr>
          <w:rFonts w:ascii="Times New Roman" w:hAnsi="Times New Roman" w:cs="Times New Roman"/>
          <w:sz w:val="20"/>
          <w:szCs w:val="20"/>
        </w:rPr>
        <w:t xml:space="preserve"> of malaria was confirmed through microscopy and did not have a fever or other symptoms of malaria at the time of sampling. Symptomatic patients were those who had microscopy-established malaria </w:t>
      </w:r>
      <w:proofErr w:type="spellStart"/>
      <w:r w:rsidRPr="00296603">
        <w:rPr>
          <w:rFonts w:ascii="Times New Roman" w:hAnsi="Times New Roman" w:cs="Times New Roman"/>
          <w:sz w:val="20"/>
          <w:szCs w:val="20"/>
        </w:rPr>
        <w:t>parasitaemia</w:t>
      </w:r>
      <w:proofErr w:type="spellEnd"/>
      <w:r w:rsidRPr="00296603">
        <w:rPr>
          <w:rFonts w:ascii="Times New Roman" w:hAnsi="Times New Roman" w:cs="Times New Roman"/>
          <w:sz w:val="20"/>
          <w:szCs w:val="20"/>
        </w:rPr>
        <w:t xml:space="preserve"> and matching clinical conditions. Informed consent was signed by all the participants before enrolment and collection of blood samples.</w:t>
      </w:r>
    </w:p>
    <w:p w14:paraId="1D71C4C4" w14:textId="77777777" w:rsidR="007D7206" w:rsidRPr="00296603" w:rsidRDefault="0083268D" w:rsidP="00F16ADA">
      <w:pPr>
        <w:spacing w:line="360" w:lineRule="auto"/>
        <w:rPr>
          <w:rFonts w:ascii="Times New Roman" w:hAnsi="Times New Roman" w:cs="Times New Roman"/>
          <w:b/>
          <w:bCs/>
          <w:sz w:val="20"/>
          <w:szCs w:val="20"/>
        </w:rPr>
      </w:pPr>
      <w:r w:rsidRPr="00296603">
        <w:rPr>
          <w:rFonts w:ascii="Times New Roman" w:hAnsi="Times New Roman" w:cs="Times New Roman"/>
          <w:b/>
          <w:bCs/>
          <w:sz w:val="20"/>
          <w:szCs w:val="20"/>
        </w:rPr>
        <w:t xml:space="preserve">2.3 </w:t>
      </w:r>
      <w:r w:rsidR="007D7206" w:rsidRPr="00296603">
        <w:rPr>
          <w:rFonts w:ascii="Times New Roman" w:hAnsi="Times New Roman" w:cs="Times New Roman"/>
          <w:b/>
          <w:bCs/>
          <w:sz w:val="20"/>
          <w:szCs w:val="20"/>
        </w:rPr>
        <w:t>Blood Sample Collection</w:t>
      </w:r>
    </w:p>
    <w:p w14:paraId="3096628E" w14:textId="77777777" w:rsidR="00F41B0F" w:rsidRPr="00296603" w:rsidRDefault="009C3F17" w:rsidP="00827551">
      <w:pPr>
        <w:spacing w:after="240" w:line="360" w:lineRule="auto"/>
        <w:rPr>
          <w:rFonts w:ascii="Times New Roman" w:hAnsi="Times New Roman" w:cs="Times New Roman"/>
          <w:sz w:val="20"/>
          <w:szCs w:val="20"/>
        </w:rPr>
      </w:pPr>
      <w:r w:rsidRPr="00296603">
        <w:rPr>
          <w:rFonts w:ascii="Times New Roman" w:hAnsi="Times New Roman" w:cs="Times New Roman"/>
          <w:sz w:val="20"/>
          <w:szCs w:val="20"/>
        </w:rPr>
        <w:t xml:space="preserve">Standard phlebotomy procedures were used to collect a total of five milliliters of venous blood aseptically at the median cubital vein of each participant. Three milliliters of the dispensed DNA were transferred to K3EDTA </w:t>
      </w:r>
      <w:r w:rsidRPr="00296603">
        <w:rPr>
          <w:rFonts w:ascii="Times New Roman" w:hAnsi="Times New Roman" w:cs="Times New Roman"/>
          <w:sz w:val="20"/>
          <w:szCs w:val="20"/>
        </w:rPr>
        <w:lastRenderedPageBreak/>
        <w:t xml:space="preserve">anticoagulant tubes that were properly labeled to do </w:t>
      </w:r>
      <w:proofErr w:type="spellStart"/>
      <w:r w:rsidRPr="00296603">
        <w:rPr>
          <w:rFonts w:ascii="Times New Roman" w:hAnsi="Times New Roman" w:cs="Times New Roman"/>
          <w:sz w:val="20"/>
          <w:szCs w:val="20"/>
        </w:rPr>
        <w:t>haematological</w:t>
      </w:r>
      <w:proofErr w:type="spellEnd"/>
      <w:r w:rsidRPr="00296603">
        <w:rPr>
          <w:rFonts w:ascii="Times New Roman" w:hAnsi="Times New Roman" w:cs="Times New Roman"/>
          <w:sz w:val="20"/>
          <w:szCs w:val="20"/>
        </w:rPr>
        <w:t xml:space="preserve"> analysis and prepare thick and thin blood films. The rest of the two milliliters were moved to plain tubes where the serum was separated and subjected to biochemical analysis. All samples were carried under conditions of controlled environment and analyzed on the same day of collection in order to reduce pre-analytical variability and maintain analytical integrity.</w:t>
      </w:r>
    </w:p>
    <w:p w14:paraId="144FA2C7" w14:textId="1034E96B" w:rsidR="005B6893" w:rsidRPr="00296603" w:rsidRDefault="00296603" w:rsidP="005B6893">
      <w:pPr>
        <w:spacing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3360" behindDoc="0" locked="0" layoutInCell="1" allowOverlap="1" wp14:anchorId="58EB60E5" wp14:editId="433C7D2D">
                <wp:simplePos x="0" y="0"/>
                <wp:positionH relativeFrom="column">
                  <wp:posOffset>4767263</wp:posOffset>
                </wp:positionH>
                <wp:positionV relativeFrom="paragraph">
                  <wp:posOffset>1243013</wp:posOffset>
                </wp:positionV>
                <wp:extent cx="228600" cy="76200"/>
                <wp:effectExtent l="0" t="0" r="19050" b="19050"/>
                <wp:wrapNone/>
                <wp:docPr id="1626698312" name="Rectangle 5"/>
                <wp:cNvGraphicFramePr/>
                <a:graphic xmlns:a="http://schemas.openxmlformats.org/drawingml/2006/main">
                  <a:graphicData uri="http://schemas.microsoft.com/office/word/2010/wordprocessingShape">
                    <wps:wsp>
                      <wps:cNvSpPr/>
                      <wps:spPr>
                        <a:xfrm>
                          <a:off x="0" y="0"/>
                          <a:ext cx="228600" cy="762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91704A0" id="Rectangle 5" o:spid="_x0000_s1026" style="position:absolute;margin-left:375.4pt;margin-top:97.9pt;width:18pt;height: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" fillcolor="#5b9bd5 [3204]" strokecolor="#091723 [484]" strokeweight="1pt"/>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62336" behindDoc="0" locked="0" layoutInCell="1" allowOverlap="1" wp14:anchorId="08B0B971" wp14:editId="4AD04B0B">
                <wp:simplePos x="0" y="0"/>
                <wp:positionH relativeFrom="column">
                  <wp:posOffset>3690938</wp:posOffset>
                </wp:positionH>
                <wp:positionV relativeFrom="paragraph">
                  <wp:posOffset>1109663</wp:posOffset>
                </wp:positionV>
                <wp:extent cx="180975" cy="71437"/>
                <wp:effectExtent l="0" t="0" r="28575" b="24130"/>
                <wp:wrapNone/>
                <wp:docPr id="495328416" name="Rectangle 4"/>
                <wp:cNvGraphicFramePr/>
                <a:graphic xmlns:a="http://schemas.openxmlformats.org/drawingml/2006/main">
                  <a:graphicData uri="http://schemas.microsoft.com/office/word/2010/wordprocessingShape">
                    <wps:wsp>
                      <wps:cNvSpPr/>
                      <wps:spPr>
                        <a:xfrm>
                          <a:off x="0" y="0"/>
                          <a:ext cx="180975" cy="7143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B8605C9" id="Rectangle 4" o:spid="_x0000_s1026" style="position:absolute;margin-left:290.65pt;margin-top:87.4pt;width:14.25pt;height:5.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" fillcolor="#5b9bd5 [3204]" strokecolor="#091723 [484]" strokeweight="1pt"/>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60288" behindDoc="0" locked="0" layoutInCell="1" allowOverlap="1" wp14:anchorId="7F786CB3" wp14:editId="602751CD">
                <wp:simplePos x="0" y="0"/>
                <wp:positionH relativeFrom="column">
                  <wp:posOffset>703385</wp:posOffset>
                </wp:positionH>
                <wp:positionV relativeFrom="paragraph">
                  <wp:posOffset>522668</wp:posOffset>
                </wp:positionV>
                <wp:extent cx="136539" cy="45719"/>
                <wp:effectExtent l="0" t="0" r="15875" b="12065"/>
                <wp:wrapNone/>
                <wp:docPr id="323222950" name="Rectangle 2"/>
                <wp:cNvGraphicFramePr/>
                <a:graphic xmlns:a="http://schemas.openxmlformats.org/drawingml/2006/main">
                  <a:graphicData uri="http://schemas.microsoft.com/office/word/2010/wordprocessingShape">
                    <wps:wsp>
                      <wps:cNvSpPr/>
                      <wps:spPr>
                        <a:xfrm>
                          <a:off x="0" y="0"/>
                          <a:ext cx="136539"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A790B91" id="Rectangle 2" o:spid="_x0000_s1026" style="position:absolute;margin-left:55.4pt;margin-top:41.15pt;width:10.7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" fillcolor="#5b9bd5 [3204]" strokecolor="#091723 [484]" strokeweight="1pt"/>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2DE4DC63" wp14:editId="606F741D">
                <wp:simplePos x="0" y="0"/>
                <wp:positionH relativeFrom="column">
                  <wp:posOffset>1266092</wp:posOffset>
                </wp:positionH>
                <wp:positionV relativeFrom="paragraph">
                  <wp:posOffset>431642</wp:posOffset>
                </wp:positionV>
                <wp:extent cx="244116" cy="53788"/>
                <wp:effectExtent l="0" t="0" r="22860" b="22860"/>
                <wp:wrapNone/>
                <wp:docPr id="431779235" name="Rectangle 1"/>
                <wp:cNvGraphicFramePr/>
                <a:graphic xmlns:a="http://schemas.openxmlformats.org/drawingml/2006/main">
                  <a:graphicData uri="http://schemas.microsoft.com/office/word/2010/wordprocessingShape">
                    <wps:wsp>
                      <wps:cNvSpPr/>
                      <wps:spPr>
                        <a:xfrm>
                          <a:off x="0" y="0"/>
                          <a:ext cx="244116" cy="5378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E42253A" id="Rectangle 1" o:spid="_x0000_s1026" style="position:absolute;margin-left:99.7pt;margin-top:34pt;width:19.2pt;height: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" fillcolor="#5b9bd5 [3204]" strokecolor="#091723 [484]" strokeweight="1pt"/>
            </w:pict>
          </mc:Fallback>
        </mc:AlternateContent>
      </w:r>
      <w:r w:rsidR="005B6893" w:rsidRPr="00296603">
        <w:rPr>
          <w:rFonts w:ascii="Times New Roman" w:hAnsi="Times New Roman" w:cs="Times New Roman"/>
          <w:noProof/>
          <w:sz w:val="20"/>
          <w:szCs w:val="20"/>
        </w:rPr>
        <w:drawing>
          <wp:inline distT="0" distB="0" distL="0" distR="0" wp14:anchorId="348CF55B" wp14:editId="36433569">
            <wp:extent cx="2959210" cy="19202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9210" cy="1920240"/>
                    </a:xfrm>
                    <a:prstGeom prst="rect">
                      <a:avLst/>
                    </a:prstGeom>
                    <a:noFill/>
                    <a:ln>
                      <a:noFill/>
                    </a:ln>
                  </pic:spPr>
                </pic:pic>
              </a:graphicData>
            </a:graphic>
          </wp:inline>
        </w:drawing>
      </w:r>
      <w:r w:rsidR="005B6893" w:rsidRPr="00296603">
        <w:rPr>
          <w:rFonts w:ascii="Times New Roman" w:hAnsi="Times New Roman" w:cs="Times New Roman"/>
          <w:noProof/>
          <w:sz w:val="20"/>
          <w:szCs w:val="20"/>
        </w:rPr>
        <w:drawing>
          <wp:inline distT="0" distB="0" distL="0" distR="0" wp14:anchorId="7F598285" wp14:editId="27F1163D">
            <wp:extent cx="2649561" cy="19202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9561" cy="1920240"/>
                    </a:xfrm>
                    <a:prstGeom prst="rect">
                      <a:avLst/>
                    </a:prstGeom>
                    <a:noFill/>
                    <a:ln>
                      <a:noFill/>
                    </a:ln>
                  </pic:spPr>
                </pic:pic>
              </a:graphicData>
            </a:graphic>
          </wp:inline>
        </w:drawing>
      </w:r>
    </w:p>
    <w:p w14:paraId="4E2460D1" w14:textId="6741665A" w:rsidR="005B6893" w:rsidRPr="00296603" w:rsidRDefault="00296603" w:rsidP="005B6893">
      <w:pPr>
        <w:spacing w:line="240" w:lineRule="auto"/>
        <w:rPr>
          <w:rFonts w:ascii="Times New Roman" w:hAnsi="Times New Roman" w:cs="Times New Roman"/>
          <w:sz w:val="20"/>
          <w:szCs w:val="20"/>
        </w:rPr>
      </w:pPr>
      <w:r>
        <w:rPr>
          <w:rFonts w:ascii="Times New Roman" w:hAnsi="Times New Roman" w:cs="Times New Roman"/>
          <w:b/>
          <w:noProof/>
          <w:sz w:val="20"/>
          <w:szCs w:val="20"/>
        </w:rPr>
        <mc:AlternateContent>
          <mc:Choice Requires="wps">
            <w:drawing>
              <wp:anchor distT="0" distB="0" distL="114300" distR="114300" simplePos="0" relativeHeight="251661312" behindDoc="0" locked="0" layoutInCell="1" allowOverlap="1" wp14:anchorId="53007910" wp14:editId="1A1F5735">
                <wp:simplePos x="0" y="0"/>
                <wp:positionH relativeFrom="column">
                  <wp:posOffset>1088177</wp:posOffset>
                </wp:positionH>
                <wp:positionV relativeFrom="paragraph">
                  <wp:posOffset>319842</wp:posOffset>
                </wp:positionV>
                <wp:extent cx="326867" cy="49650"/>
                <wp:effectExtent l="0" t="0" r="16510" b="26670"/>
                <wp:wrapNone/>
                <wp:docPr id="230542156" name="Rectangle 3"/>
                <wp:cNvGraphicFramePr/>
                <a:graphic xmlns:a="http://schemas.openxmlformats.org/drawingml/2006/main">
                  <a:graphicData uri="http://schemas.microsoft.com/office/word/2010/wordprocessingShape">
                    <wps:wsp>
                      <wps:cNvSpPr/>
                      <wps:spPr>
                        <a:xfrm>
                          <a:off x="0" y="0"/>
                          <a:ext cx="326867" cy="496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8999CA7" id="Rectangle 3" o:spid="_x0000_s1026" style="position:absolute;margin-left:85.7pt;margin-top:25.2pt;width:25.75pt;height:3.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" fillcolor="#5b9bd5 [3204]" strokecolor="#091723 [484]" strokeweight="1pt"/>
            </w:pict>
          </mc:Fallback>
        </mc:AlternateContent>
      </w:r>
      <w:r w:rsidR="005B6893" w:rsidRPr="00296603">
        <w:rPr>
          <w:rFonts w:ascii="Times New Roman" w:hAnsi="Times New Roman" w:cs="Times New Roman"/>
          <w:b/>
          <w:noProof/>
          <w:sz w:val="20"/>
          <w:szCs w:val="20"/>
        </w:rPr>
        <w:drawing>
          <wp:inline distT="0" distB="0" distL="0" distR="0" wp14:anchorId="66EEE79E" wp14:editId="763880D8">
            <wp:extent cx="2353842" cy="1920240"/>
            <wp:effectExtent l="0" t="0" r="889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3842" cy="1920240"/>
                    </a:xfrm>
                    <a:prstGeom prst="rect">
                      <a:avLst/>
                    </a:prstGeom>
                    <a:noFill/>
                    <a:ln>
                      <a:noFill/>
                    </a:ln>
                  </pic:spPr>
                </pic:pic>
              </a:graphicData>
            </a:graphic>
          </wp:inline>
        </w:drawing>
      </w:r>
      <w:r w:rsidR="005B6893" w:rsidRPr="00296603">
        <w:rPr>
          <w:rFonts w:ascii="Times New Roman" w:hAnsi="Times New Roman" w:cs="Times New Roman"/>
          <w:b/>
          <w:noProof/>
          <w:sz w:val="20"/>
          <w:szCs w:val="20"/>
        </w:rPr>
        <w:drawing>
          <wp:inline distT="0" distB="0" distL="0" distR="0" wp14:anchorId="706C42B0" wp14:editId="0447405E">
            <wp:extent cx="2899003" cy="19202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9003" cy="1920240"/>
                    </a:xfrm>
                    <a:prstGeom prst="rect">
                      <a:avLst/>
                    </a:prstGeom>
                    <a:noFill/>
                    <a:ln>
                      <a:noFill/>
                    </a:ln>
                  </pic:spPr>
                </pic:pic>
              </a:graphicData>
            </a:graphic>
          </wp:inline>
        </w:drawing>
      </w:r>
    </w:p>
    <w:p w14:paraId="64A3186D" w14:textId="736B932A" w:rsidR="005B6893" w:rsidRPr="00296603" w:rsidRDefault="00296603" w:rsidP="005B6893">
      <w:pPr>
        <w:spacing w:line="276" w:lineRule="auto"/>
        <w:rPr>
          <w:rFonts w:ascii="Times New Roman" w:hAnsi="Times New Roman" w:cs="Times New Roman"/>
          <w:sz w:val="20"/>
          <w:szCs w:val="20"/>
        </w:rPr>
      </w:pPr>
      <w:r>
        <w:rPr>
          <w:rFonts w:ascii="Times New Roman" w:hAnsi="Times New Roman" w:cs="Times New Roman"/>
          <w:b/>
          <w:noProof/>
          <w:sz w:val="20"/>
          <w:szCs w:val="20"/>
        </w:rPr>
        <mc:AlternateContent>
          <mc:Choice Requires="wps">
            <w:drawing>
              <wp:anchor distT="0" distB="0" distL="114300" distR="114300" simplePos="0" relativeHeight="251664384" behindDoc="0" locked="0" layoutInCell="1" allowOverlap="1" wp14:anchorId="00F9B29D" wp14:editId="158B2EFE">
                <wp:simplePos x="0" y="0"/>
                <wp:positionH relativeFrom="column">
                  <wp:posOffset>4459184</wp:posOffset>
                </wp:positionH>
                <wp:positionV relativeFrom="paragraph">
                  <wp:posOffset>442727</wp:posOffset>
                </wp:positionV>
                <wp:extent cx="237507" cy="45719"/>
                <wp:effectExtent l="0" t="0" r="10160" b="12065"/>
                <wp:wrapNone/>
                <wp:docPr id="1758986660" name="Rectangle 6"/>
                <wp:cNvGraphicFramePr/>
                <a:graphic xmlns:a="http://schemas.openxmlformats.org/drawingml/2006/main">
                  <a:graphicData uri="http://schemas.microsoft.com/office/word/2010/wordprocessingShape">
                    <wps:wsp>
                      <wps:cNvSpPr/>
                      <wps:spPr>
                        <a:xfrm>
                          <a:off x="0" y="0"/>
                          <a:ext cx="237507"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A239F41" id="Rectangle 6" o:spid="_x0000_s1026" style="position:absolute;margin-left:351.1pt;margin-top:34.85pt;width:18.7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" fillcolor="#5b9bd5 [3204]" strokecolor="#091723 [484]" strokeweight="1pt"/>
            </w:pict>
          </mc:Fallback>
        </mc:AlternateContent>
      </w:r>
      <w:r w:rsidR="005B6893" w:rsidRPr="00296603">
        <w:rPr>
          <w:rFonts w:ascii="Times New Roman" w:hAnsi="Times New Roman" w:cs="Times New Roman"/>
          <w:b/>
          <w:noProof/>
          <w:sz w:val="20"/>
          <w:szCs w:val="20"/>
        </w:rPr>
        <w:drawing>
          <wp:inline distT="0" distB="0" distL="0" distR="0" wp14:anchorId="7D703453" wp14:editId="549445F8">
            <wp:extent cx="2607385" cy="1920240"/>
            <wp:effectExtent l="0" t="0" r="254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7385" cy="1920240"/>
                    </a:xfrm>
                    <a:prstGeom prst="rect">
                      <a:avLst/>
                    </a:prstGeom>
                    <a:noFill/>
                    <a:ln>
                      <a:noFill/>
                    </a:ln>
                  </pic:spPr>
                </pic:pic>
              </a:graphicData>
            </a:graphic>
          </wp:inline>
        </w:drawing>
      </w:r>
      <w:r w:rsidR="005B6893" w:rsidRPr="00296603">
        <w:rPr>
          <w:rFonts w:ascii="Times New Roman" w:hAnsi="Times New Roman" w:cs="Times New Roman"/>
          <w:b/>
          <w:noProof/>
          <w:sz w:val="20"/>
          <w:szCs w:val="20"/>
        </w:rPr>
        <w:drawing>
          <wp:inline distT="0" distB="0" distL="0" distR="0" wp14:anchorId="144DE12F" wp14:editId="0AC48C6A">
            <wp:extent cx="2867386" cy="1920240"/>
            <wp:effectExtent l="0" t="0" r="952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7386" cy="1920240"/>
                    </a:xfrm>
                    <a:prstGeom prst="rect">
                      <a:avLst/>
                    </a:prstGeom>
                    <a:noFill/>
                    <a:ln>
                      <a:noFill/>
                    </a:ln>
                  </pic:spPr>
                </pic:pic>
              </a:graphicData>
            </a:graphic>
          </wp:inline>
        </w:drawing>
      </w:r>
    </w:p>
    <w:p w14:paraId="5FECFA04" w14:textId="77777777" w:rsidR="005B6893" w:rsidRPr="00296603" w:rsidRDefault="005B6893" w:rsidP="005B6893">
      <w:pPr>
        <w:spacing w:after="240" w:line="360" w:lineRule="auto"/>
        <w:rPr>
          <w:rFonts w:ascii="Times New Roman" w:hAnsi="Times New Roman" w:cs="Times New Roman"/>
          <w:b/>
          <w:sz w:val="20"/>
          <w:szCs w:val="20"/>
        </w:rPr>
      </w:pPr>
      <w:r w:rsidRPr="00296603">
        <w:rPr>
          <w:rFonts w:ascii="Times New Roman" w:hAnsi="Times New Roman" w:cs="Times New Roman"/>
          <w:b/>
          <w:sz w:val="20"/>
          <w:szCs w:val="20"/>
        </w:rPr>
        <w:t>Figure 1: Images Captured during the Sample Data Collection for the Study</w:t>
      </w:r>
    </w:p>
    <w:p w14:paraId="2140654A" w14:textId="77777777" w:rsidR="007D7206" w:rsidRPr="00296603" w:rsidRDefault="0017449A" w:rsidP="00E16407">
      <w:pPr>
        <w:spacing w:line="360" w:lineRule="auto"/>
        <w:rPr>
          <w:rFonts w:ascii="Times New Roman" w:hAnsi="Times New Roman" w:cs="Times New Roman"/>
          <w:b/>
          <w:bCs/>
          <w:sz w:val="20"/>
          <w:szCs w:val="20"/>
        </w:rPr>
      </w:pPr>
      <w:r w:rsidRPr="00296603">
        <w:rPr>
          <w:rFonts w:ascii="Times New Roman" w:hAnsi="Times New Roman" w:cs="Times New Roman"/>
          <w:b/>
          <w:bCs/>
          <w:sz w:val="20"/>
          <w:szCs w:val="20"/>
        </w:rPr>
        <w:t xml:space="preserve">2.4 </w:t>
      </w:r>
      <w:r w:rsidR="007D7206" w:rsidRPr="00296603">
        <w:rPr>
          <w:rFonts w:ascii="Times New Roman" w:hAnsi="Times New Roman" w:cs="Times New Roman"/>
          <w:b/>
          <w:bCs/>
          <w:sz w:val="20"/>
          <w:szCs w:val="20"/>
        </w:rPr>
        <w:t>Malaria Diagnosis and Parasite Quantification</w:t>
      </w:r>
    </w:p>
    <w:p w14:paraId="3E7A88B2" w14:textId="77777777" w:rsidR="006A196F" w:rsidRPr="00296603" w:rsidRDefault="006A196F" w:rsidP="00E16407">
      <w:pPr>
        <w:spacing w:after="160" w:line="360" w:lineRule="auto"/>
        <w:rPr>
          <w:rFonts w:ascii="Times New Roman" w:hAnsi="Times New Roman" w:cs="Times New Roman"/>
          <w:sz w:val="20"/>
          <w:szCs w:val="20"/>
        </w:rPr>
      </w:pPr>
      <w:r w:rsidRPr="00296603">
        <w:rPr>
          <w:rFonts w:ascii="Times New Roman" w:hAnsi="Times New Roman" w:cs="Times New Roman"/>
          <w:sz w:val="20"/>
          <w:szCs w:val="20"/>
        </w:rPr>
        <w:t xml:space="preserve">Rapid diagnostic test kits were used to screen malaria infection and microscopy was used to confirm their infection. Thin and thick blood films were made through normal procedures. The thin films were </w:t>
      </w:r>
      <w:proofErr w:type="spellStart"/>
      <w:r w:rsidRPr="00296603">
        <w:rPr>
          <w:rFonts w:ascii="Times New Roman" w:hAnsi="Times New Roman" w:cs="Times New Roman"/>
          <w:sz w:val="20"/>
          <w:szCs w:val="20"/>
        </w:rPr>
        <w:t>adhesed</w:t>
      </w:r>
      <w:proofErr w:type="spellEnd"/>
      <w:r w:rsidRPr="00296603">
        <w:rPr>
          <w:rFonts w:ascii="Times New Roman" w:hAnsi="Times New Roman" w:cs="Times New Roman"/>
          <w:sz w:val="20"/>
          <w:szCs w:val="20"/>
        </w:rPr>
        <w:t xml:space="preserve"> in absolute methanol. Giemsa (10 per cent) was used in staining the slides (10 minutes) and the stains were observed under x100 oil immersion microscopy. The parasite density was reported as parasites per microliter (parasites/</w:t>
      </w:r>
      <w:proofErr w:type="spellStart"/>
      <w:r w:rsidRPr="00296603">
        <w:rPr>
          <w:rFonts w:ascii="Times New Roman" w:hAnsi="Times New Roman" w:cs="Times New Roman"/>
          <w:sz w:val="20"/>
          <w:szCs w:val="20"/>
        </w:rPr>
        <w:t>uL</w:t>
      </w:r>
      <w:proofErr w:type="spellEnd"/>
      <w:r w:rsidRPr="00296603">
        <w:rPr>
          <w:rFonts w:ascii="Times New Roman" w:hAnsi="Times New Roman" w:cs="Times New Roman"/>
          <w:sz w:val="20"/>
          <w:szCs w:val="20"/>
        </w:rPr>
        <w:t xml:space="preserve">) through </w:t>
      </w:r>
      <w:r w:rsidRPr="00296603">
        <w:rPr>
          <w:rFonts w:ascii="Times New Roman" w:hAnsi="Times New Roman" w:cs="Times New Roman"/>
          <w:sz w:val="20"/>
          <w:szCs w:val="20"/>
        </w:rPr>
        <w:lastRenderedPageBreak/>
        <w:t>conventional methods of counting. Where appropriate, group comparison and correlation analysis were done on the data of parasite density in the asymptomatic subgroup.</w:t>
      </w:r>
    </w:p>
    <w:p w14:paraId="7DDAF312" w14:textId="77777777" w:rsidR="007D7206" w:rsidRPr="00296603" w:rsidRDefault="0017449A" w:rsidP="00E16407">
      <w:pPr>
        <w:spacing w:line="360" w:lineRule="auto"/>
        <w:rPr>
          <w:rFonts w:ascii="Times New Roman" w:hAnsi="Times New Roman" w:cs="Times New Roman"/>
          <w:b/>
          <w:bCs/>
          <w:sz w:val="20"/>
          <w:szCs w:val="20"/>
        </w:rPr>
      </w:pPr>
      <w:r w:rsidRPr="00296603">
        <w:rPr>
          <w:rFonts w:ascii="Times New Roman" w:hAnsi="Times New Roman" w:cs="Times New Roman"/>
          <w:b/>
          <w:bCs/>
          <w:sz w:val="20"/>
          <w:szCs w:val="20"/>
        </w:rPr>
        <w:t xml:space="preserve">2.5 </w:t>
      </w:r>
      <w:proofErr w:type="spellStart"/>
      <w:r w:rsidR="007D7206" w:rsidRPr="00296603">
        <w:rPr>
          <w:rFonts w:ascii="Times New Roman" w:hAnsi="Times New Roman" w:cs="Times New Roman"/>
          <w:b/>
          <w:bCs/>
          <w:sz w:val="20"/>
          <w:szCs w:val="20"/>
        </w:rPr>
        <w:t>Haematological</w:t>
      </w:r>
      <w:proofErr w:type="spellEnd"/>
      <w:r w:rsidR="007D7206" w:rsidRPr="00296603">
        <w:rPr>
          <w:rFonts w:ascii="Times New Roman" w:hAnsi="Times New Roman" w:cs="Times New Roman"/>
          <w:b/>
          <w:bCs/>
          <w:sz w:val="20"/>
          <w:szCs w:val="20"/>
        </w:rPr>
        <w:t xml:space="preserve"> Analysis</w:t>
      </w:r>
    </w:p>
    <w:p w14:paraId="53ABF4A5" w14:textId="77777777" w:rsidR="00A6728E" w:rsidRPr="00296603" w:rsidRDefault="00A6728E" w:rsidP="00E16407">
      <w:pPr>
        <w:spacing w:after="240" w:line="360" w:lineRule="auto"/>
        <w:rPr>
          <w:rFonts w:ascii="Times New Roman" w:hAnsi="Times New Roman" w:cs="Times New Roman"/>
          <w:sz w:val="20"/>
          <w:szCs w:val="20"/>
        </w:rPr>
      </w:pPr>
      <w:proofErr w:type="spellStart"/>
      <w:r w:rsidRPr="00296603">
        <w:rPr>
          <w:rFonts w:ascii="Times New Roman" w:hAnsi="Times New Roman" w:cs="Times New Roman"/>
          <w:sz w:val="20"/>
          <w:szCs w:val="20"/>
        </w:rPr>
        <w:t>Haematological</w:t>
      </w:r>
      <w:proofErr w:type="spellEnd"/>
      <w:r w:rsidRPr="00296603">
        <w:rPr>
          <w:rFonts w:ascii="Times New Roman" w:hAnsi="Times New Roman" w:cs="Times New Roman"/>
          <w:sz w:val="20"/>
          <w:szCs w:val="20"/>
        </w:rPr>
        <w:t xml:space="preserve"> parameters were analyzed using a Sysmex XN-350 automated </w:t>
      </w:r>
      <w:proofErr w:type="spellStart"/>
      <w:r w:rsidRPr="00296603">
        <w:rPr>
          <w:rFonts w:ascii="Times New Roman" w:hAnsi="Times New Roman" w:cs="Times New Roman"/>
          <w:sz w:val="20"/>
          <w:szCs w:val="20"/>
        </w:rPr>
        <w:t>haematology</w:t>
      </w:r>
      <w:proofErr w:type="spellEnd"/>
      <w:r w:rsidRPr="00296603">
        <w:rPr>
          <w:rFonts w:ascii="Times New Roman" w:hAnsi="Times New Roman" w:cs="Times New Roman"/>
          <w:sz w:val="20"/>
          <w:szCs w:val="20"/>
        </w:rPr>
        <w:t xml:space="preserve"> analyzer in accordance with the manufacturer’s operational procedures. The evaluated indices included </w:t>
      </w:r>
      <w:proofErr w:type="spellStart"/>
      <w:r w:rsidRPr="00296603">
        <w:rPr>
          <w:rFonts w:ascii="Times New Roman" w:hAnsi="Times New Roman" w:cs="Times New Roman"/>
          <w:sz w:val="20"/>
          <w:szCs w:val="20"/>
        </w:rPr>
        <w:t>haemoglobin</w:t>
      </w:r>
      <w:proofErr w:type="spellEnd"/>
      <w:r w:rsidRPr="00296603">
        <w:rPr>
          <w:rFonts w:ascii="Times New Roman" w:hAnsi="Times New Roman" w:cs="Times New Roman"/>
          <w:sz w:val="20"/>
          <w:szCs w:val="20"/>
        </w:rPr>
        <w:t xml:space="preserve"> concentration, red blood cell count, mean corpuscular volume, mean corpuscular </w:t>
      </w:r>
      <w:proofErr w:type="spellStart"/>
      <w:r w:rsidRPr="00296603">
        <w:rPr>
          <w:rFonts w:ascii="Times New Roman" w:hAnsi="Times New Roman" w:cs="Times New Roman"/>
          <w:sz w:val="20"/>
          <w:szCs w:val="20"/>
        </w:rPr>
        <w:t>haemoglobin</w:t>
      </w:r>
      <w:proofErr w:type="spellEnd"/>
      <w:r w:rsidRPr="00296603">
        <w:rPr>
          <w:rFonts w:ascii="Times New Roman" w:hAnsi="Times New Roman" w:cs="Times New Roman"/>
          <w:sz w:val="20"/>
          <w:szCs w:val="20"/>
        </w:rPr>
        <w:t xml:space="preserve">, mean corpuscular </w:t>
      </w:r>
      <w:proofErr w:type="spellStart"/>
      <w:r w:rsidRPr="00296603">
        <w:rPr>
          <w:rFonts w:ascii="Times New Roman" w:hAnsi="Times New Roman" w:cs="Times New Roman"/>
          <w:sz w:val="20"/>
          <w:szCs w:val="20"/>
        </w:rPr>
        <w:t>haemoglobin</w:t>
      </w:r>
      <w:proofErr w:type="spellEnd"/>
      <w:r w:rsidRPr="00296603">
        <w:rPr>
          <w:rFonts w:ascii="Times New Roman" w:hAnsi="Times New Roman" w:cs="Times New Roman"/>
          <w:sz w:val="20"/>
          <w:szCs w:val="20"/>
        </w:rPr>
        <w:t xml:space="preserve"> concentration, white blood cell count, and platelet count. Routine internal quality control procedures were performed prior to sample analysis to ensure analytical accuracy, precision, and instrument reliability in line with established laboratory standards.</w:t>
      </w:r>
    </w:p>
    <w:p w14:paraId="06D54891" w14:textId="77777777" w:rsidR="007D7206" w:rsidRPr="00296603" w:rsidRDefault="0017449A" w:rsidP="00E16407">
      <w:pPr>
        <w:spacing w:line="360" w:lineRule="auto"/>
        <w:rPr>
          <w:rFonts w:ascii="Times New Roman" w:hAnsi="Times New Roman" w:cs="Times New Roman"/>
          <w:b/>
          <w:bCs/>
          <w:sz w:val="20"/>
          <w:szCs w:val="20"/>
        </w:rPr>
      </w:pPr>
      <w:r w:rsidRPr="00296603">
        <w:rPr>
          <w:rFonts w:ascii="Times New Roman" w:hAnsi="Times New Roman" w:cs="Times New Roman"/>
          <w:b/>
          <w:bCs/>
          <w:sz w:val="20"/>
          <w:szCs w:val="20"/>
        </w:rPr>
        <w:t xml:space="preserve">2.6 </w:t>
      </w:r>
      <w:r w:rsidR="007D7206" w:rsidRPr="00296603">
        <w:rPr>
          <w:rFonts w:ascii="Times New Roman" w:hAnsi="Times New Roman" w:cs="Times New Roman"/>
          <w:b/>
          <w:bCs/>
          <w:sz w:val="20"/>
          <w:szCs w:val="20"/>
        </w:rPr>
        <w:t>Biochemical Analysis</w:t>
      </w:r>
    </w:p>
    <w:p w14:paraId="3F4DA85C" w14:textId="77777777" w:rsidR="00A6728E" w:rsidRPr="00296603" w:rsidRDefault="00A6728E" w:rsidP="00E16407">
      <w:pPr>
        <w:spacing w:line="360" w:lineRule="auto"/>
        <w:rPr>
          <w:rFonts w:ascii="Times New Roman" w:hAnsi="Times New Roman" w:cs="Times New Roman"/>
          <w:sz w:val="20"/>
          <w:szCs w:val="20"/>
        </w:rPr>
      </w:pPr>
      <w:r w:rsidRPr="00296603">
        <w:rPr>
          <w:rFonts w:ascii="Times New Roman" w:hAnsi="Times New Roman" w:cs="Times New Roman"/>
          <w:sz w:val="20"/>
          <w:szCs w:val="20"/>
        </w:rPr>
        <w:t xml:space="preserve">Serum biochemical parameters were measured using a </w:t>
      </w:r>
      <w:proofErr w:type="spellStart"/>
      <w:r w:rsidRPr="00296603">
        <w:rPr>
          <w:rFonts w:ascii="Times New Roman" w:hAnsi="Times New Roman" w:cs="Times New Roman"/>
          <w:sz w:val="20"/>
          <w:szCs w:val="20"/>
        </w:rPr>
        <w:t>Humastar</w:t>
      </w:r>
      <w:proofErr w:type="spellEnd"/>
      <w:r w:rsidRPr="00296603">
        <w:rPr>
          <w:rFonts w:ascii="Times New Roman" w:hAnsi="Times New Roman" w:cs="Times New Roman"/>
          <w:sz w:val="20"/>
          <w:szCs w:val="20"/>
        </w:rPr>
        <w:t xml:space="preserve"> 100 automated chemistry analyzer following the manufacturer’s instructions. The assessed parameters included alanine aminotransferase, aspartate aminotransferase, total bilirubin, direct bilirubin, indirect bilirubin, urea, and creatinine. Internal quality control procedures were conducted prior to analysis to verify assay performance and ensure accuracy and reliability of results in accordance with standard laboratory practice.</w:t>
      </w:r>
    </w:p>
    <w:p w14:paraId="2140A86A" w14:textId="77777777" w:rsidR="00A6728E" w:rsidRPr="00296603" w:rsidRDefault="00A6728E" w:rsidP="00E16407">
      <w:pPr>
        <w:spacing w:line="360" w:lineRule="auto"/>
        <w:rPr>
          <w:rFonts w:ascii="Times New Roman" w:hAnsi="Times New Roman" w:cs="Times New Roman"/>
          <w:sz w:val="20"/>
          <w:szCs w:val="20"/>
        </w:rPr>
      </w:pPr>
    </w:p>
    <w:p w14:paraId="4889BFED" w14:textId="77777777" w:rsidR="007D7206" w:rsidRPr="00296603" w:rsidRDefault="0017449A" w:rsidP="00E16407">
      <w:pPr>
        <w:spacing w:line="360" w:lineRule="auto"/>
        <w:rPr>
          <w:rFonts w:ascii="Times New Roman" w:hAnsi="Times New Roman" w:cs="Times New Roman"/>
          <w:b/>
          <w:bCs/>
          <w:sz w:val="20"/>
          <w:szCs w:val="20"/>
        </w:rPr>
      </w:pPr>
      <w:r w:rsidRPr="00296603">
        <w:rPr>
          <w:rFonts w:ascii="Times New Roman" w:hAnsi="Times New Roman" w:cs="Times New Roman"/>
          <w:b/>
          <w:bCs/>
          <w:sz w:val="20"/>
          <w:szCs w:val="20"/>
        </w:rPr>
        <w:t xml:space="preserve">2.7 </w:t>
      </w:r>
      <w:r w:rsidR="007D7206" w:rsidRPr="00296603">
        <w:rPr>
          <w:rFonts w:ascii="Times New Roman" w:hAnsi="Times New Roman" w:cs="Times New Roman"/>
          <w:b/>
          <w:bCs/>
          <w:sz w:val="20"/>
          <w:szCs w:val="20"/>
        </w:rPr>
        <w:t>Statistical Analysis</w:t>
      </w:r>
    </w:p>
    <w:p w14:paraId="6794C3A2" w14:textId="77777777" w:rsidR="0013160C" w:rsidRPr="00296603" w:rsidRDefault="0013160C" w:rsidP="00E16407">
      <w:pPr>
        <w:spacing w:line="360" w:lineRule="auto"/>
        <w:rPr>
          <w:rFonts w:ascii="Times New Roman" w:hAnsi="Times New Roman" w:cs="Times New Roman"/>
          <w:sz w:val="20"/>
          <w:szCs w:val="20"/>
        </w:rPr>
      </w:pPr>
      <w:r w:rsidRPr="00296603">
        <w:rPr>
          <w:rFonts w:ascii="Times New Roman" w:hAnsi="Times New Roman" w:cs="Times New Roman"/>
          <w:sz w:val="20"/>
          <w:szCs w:val="20"/>
        </w:rPr>
        <w:t xml:space="preserve">Data were analyzed </w:t>
      </w:r>
      <w:r w:rsidR="004C3CFD" w:rsidRPr="00296603">
        <w:rPr>
          <w:rFonts w:ascii="Times New Roman" w:hAnsi="Times New Roman" w:cs="Times New Roman"/>
          <w:sz w:val="20"/>
          <w:szCs w:val="20"/>
        </w:rPr>
        <w:t xml:space="preserve">with R-studio </w:t>
      </w:r>
      <w:r w:rsidRPr="00296603">
        <w:rPr>
          <w:rFonts w:ascii="Times New Roman" w:hAnsi="Times New Roman" w:cs="Times New Roman"/>
          <w:sz w:val="20"/>
          <w:szCs w:val="20"/>
        </w:rPr>
        <w:t>using parametric or non-parametric statistical tests according to the distribution characteristics of each variable. Independent t-tests were applied to variables that met assumptions of normality, while Mann–Whitney U tests were used for variables that were not normally distributed. Effect sizes were calculated to quantify the magnitude of differences between asymptomatic and symptomatic groups. Within the asymptomatic group, Spearman’s rank correlation analysis was performed to evaluate associations between parasite density and laboratory parameters. Statistical significance was defined at a threshold of p &lt; 0.05.</w:t>
      </w:r>
    </w:p>
    <w:p w14:paraId="51220434" w14:textId="77777777" w:rsidR="00A6728E" w:rsidRPr="00296603" w:rsidRDefault="00A6728E" w:rsidP="00E16407">
      <w:pPr>
        <w:spacing w:line="360" w:lineRule="auto"/>
        <w:rPr>
          <w:rFonts w:ascii="Times New Roman" w:hAnsi="Times New Roman" w:cs="Times New Roman"/>
          <w:sz w:val="20"/>
          <w:szCs w:val="20"/>
        </w:rPr>
      </w:pPr>
    </w:p>
    <w:p w14:paraId="21081D61" w14:textId="77777777" w:rsidR="007D7206" w:rsidRPr="00296603" w:rsidRDefault="0017449A" w:rsidP="00E16407">
      <w:pPr>
        <w:spacing w:line="360" w:lineRule="auto"/>
        <w:rPr>
          <w:rFonts w:ascii="Times New Roman" w:hAnsi="Times New Roman" w:cs="Times New Roman"/>
          <w:b/>
          <w:bCs/>
          <w:sz w:val="20"/>
          <w:szCs w:val="20"/>
        </w:rPr>
      </w:pPr>
      <w:r w:rsidRPr="00296603">
        <w:rPr>
          <w:rFonts w:ascii="Times New Roman" w:hAnsi="Times New Roman" w:cs="Times New Roman"/>
          <w:b/>
          <w:bCs/>
          <w:sz w:val="20"/>
          <w:szCs w:val="20"/>
        </w:rPr>
        <w:t xml:space="preserve">2.8 </w:t>
      </w:r>
      <w:r w:rsidR="007D7206" w:rsidRPr="00296603">
        <w:rPr>
          <w:rFonts w:ascii="Times New Roman" w:hAnsi="Times New Roman" w:cs="Times New Roman"/>
          <w:b/>
          <w:bCs/>
          <w:sz w:val="20"/>
          <w:szCs w:val="20"/>
        </w:rPr>
        <w:t>Ethical Considerations</w:t>
      </w:r>
    </w:p>
    <w:p w14:paraId="4F5BC796" w14:textId="77777777" w:rsidR="00F97257" w:rsidRPr="00296603" w:rsidRDefault="00F97257" w:rsidP="001D4A6D">
      <w:pPr>
        <w:spacing w:line="360" w:lineRule="auto"/>
        <w:rPr>
          <w:rFonts w:ascii="Times New Roman" w:hAnsi="Times New Roman" w:cs="Times New Roman"/>
          <w:sz w:val="20"/>
          <w:szCs w:val="20"/>
        </w:rPr>
      </w:pPr>
      <w:r w:rsidRPr="00296603">
        <w:rPr>
          <w:rFonts w:ascii="Times New Roman" w:hAnsi="Times New Roman" w:cs="Times New Roman"/>
          <w:sz w:val="20"/>
          <w:szCs w:val="20"/>
        </w:rPr>
        <w:t xml:space="preserve">Ethical approval for this study was obtained from the </w:t>
      </w:r>
      <w:r w:rsidRPr="00296603">
        <w:rPr>
          <w:rFonts w:ascii="Times New Roman" w:hAnsi="Times New Roman" w:cs="Times New Roman"/>
          <w:bCs/>
          <w:sz w:val="20"/>
          <w:szCs w:val="20"/>
        </w:rPr>
        <w:t xml:space="preserve">Takoradi Technical University </w:t>
      </w:r>
      <w:proofErr w:type="spellStart"/>
      <w:r w:rsidRPr="00296603">
        <w:rPr>
          <w:rFonts w:ascii="Times New Roman" w:hAnsi="Times New Roman" w:cs="Times New Roman"/>
          <w:bCs/>
          <w:sz w:val="20"/>
          <w:szCs w:val="20"/>
        </w:rPr>
        <w:t>University</w:t>
      </w:r>
      <w:proofErr w:type="spellEnd"/>
      <w:r w:rsidRPr="00296603">
        <w:rPr>
          <w:rFonts w:ascii="Times New Roman" w:hAnsi="Times New Roman" w:cs="Times New Roman"/>
          <w:bCs/>
          <w:sz w:val="20"/>
          <w:szCs w:val="20"/>
        </w:rPr>
        <w:t xml:space="preserve"> Ethics Review Committee</w:t>
      </w:r>
      <w:r w:rsidRPr="00296603">
        <w:rPr>
          <w:rFonts w:ascii="Times New Roman" w:hAnsi="Times New Roman" w:cs="Times New Roman"/>
          <w:sz w:val="20"/>
          <w:szCs w:val="20"/>
        </w:rPr>
        <w:t xml:space="preserve"> (Approval Ref. No. </w:t>
      </w:r>
      <w:r w:rsidRPr="00296603">
        <w:rPr>
          <w:rFonts w:ascii="Times New Roman" w:hAnsi="Times New Roman" w:cs="Times New Roman"/>
          <w:bCs/>
          <w:sz w:val="20"/>
          <w:szCs w:val="20"/>
        </w:rPr>
        <w:t>TTU/ERC/25/007</w:t>
      </w:r>
      <w:r w:rsidRPr="00296603">
        <w:rPr>
          <w:rFonts w:ascii="Times New Roman" w:hAnsi="Times New Roman" w:cs="Times New Roman"/>
          <w:sz w:val="20"/>
          <w:szCs w:val="20"/>
        </w:rPr>
        <w:t xml:space="preserve">). Permission was also secured to conduct participant recruitment and blood sample collection within </w:t>
      </w:r>
      <w:proofErr w:type="spellStart"/>
      <w:r w:rsidRPr="00296603">
        <w:rPr>
          <w:rFonts w:ascii="Times New Roman" w:hAnsi="Times New Roman" w:cs="Times New Roman"/>
          <w:bCs/>
          <w:sz w:val="20"/>
          <w:szCs w:val="20"/>
        </w:rPr>
        <w:t>Nzimah</w:t>
      </w:r>
      <w:proofErr w:type="spellEnd"/>
      <w:r w:rsidRPr="00296603">
        <w:rPr>
          <w:rFonts w:ascii="Times New Roman" w:hAnsi="Times New Roman" w:cs="Times New Roman"/>
          <w:bCs/>
          <w:sz w:val="20"/>
          <w:szCs w:val="20"/>
        </w:rPr>
        <w:t xml:space="preserve"> Mensah Hall</w:t>
      </w:r>
      <w:r w:rsidRPr="00296603">
        <w:rPr>
          <w:rFonts w:ascii="Times New Roman" w:hAnsi="Times New Roman" w:cs="Times New Roman"/>
          <w:sz w:val="20"/>
          <w:szCs w:val="20"/>
        </w:rPr>
        <w:t xml:space="preserve"> and </w:t>
      </w:r>
      <w:r w:rsidRPr="00296603">
        <w:rPr>
          <w:rFonts w:ascii="Times New Roman" w:hAnsi="Times New Roman" w:cs="Times New Roman"/>
          <w:bCs/>
          <w:sz w:val="20"/>
          <w:szCs w:val="20"/>
        </w:rPr>
        <w:t>Prof. Duncan Hall</w:t>
      </w:r>
      <w:r w:rsidRPr="00296603">
        <w:rPr>
          <w:rFonts w:ascii="Times New Roman" w:hAnsi="Times New Roman" w:cs="Times New Roman"/>
          <w:sz w:val="20"/>
          <w:szCs w:val="20"/>
        </w:rPr>
        <w:t xml:space="preserve">. Participation was voluntary, and written informed consent was obtained prior to enrolment and specimen collection. Confidentiality was maintained throughout the study by using unique identifiers and restricting access to research data. The primary benefit of this work is the added evidence on how asymptomatic malaria </w:t>
      </w:r>
      <w:proofErr w:type="spellStart"/>
      <w:r w:rsidRPr="00296603">
        <w:rPr>
          <w:rFonts w:ascii="Times New Roman" w:hAnsi="Times New Roman" w:cs="Times New Roman"/>
          <w:sz w:val="20"/>
          <w:szCs w:val="20"/>
        </w:rPr>
        <w:t>parasitaemia</w:t>
      </w:r>
      <w:proofErr w:type="spellEnd"/>
      <w:r w:rsidRPr="00296603">
        <w:rPr>
          <w:rFonts w:ascii="Times New Roman" w:hAnsi="Times New Roman" w:cs="Times New Roman"/>
          <w:sz w:val="20"/>
          <w:szCs w:val="20"/>
        </w:rPr>
        <w:t xml:space="preserve"> influences </w:t>
      </w:r>
      <w:proofErr w:type="spellStart"/>
      <w:r w:rsidRPr="00296603">
        <w:rPr>
          <w:rFonts w:ascii="Times New Roman" w:hAnsi="Times New Roman" w:cs="Times New Roman"/>
          <w:sz w:val="20"/>
          <w:szCs w:val="20"/>
        </w:rPr>
        <w:t>haematological</w:t>
      </w:r>
      <w:proofErr w:type="spellEnd"/>
      <w:r w:rsidRPr="00296603">
        <w:rPr>
          <w:rFonts w:ascii="Times New Roman" w:hAnsi="Times New Roman" w:cs="Times New Roman"/>
          <w:sz w:val="20"/>
          <w:szCs w:val="20"/>
        </w:rPr>
        <w:t xml:space="preserve"> and biochemical parameters among TTU students, supporting improved screening and laboratory-based decision-making in similar populations.</w:t>
      </w:r>
    </w:p>
    <w:p w14:paraId="0F04ABEC" w14:textId="77777777" w:rsidR="005B6893" w:rsidRPr="00296603" w:rsidRDefault="005B6893" w:rsidP="001D4A6D">
      <w:pPr>
        <w:spacing w:line="360" w:lineRule="auto"/>
        <w:rPr>
          <w:rFonts w:ascii="Times New Roman" w:hAnsi="Times New Roman" w:cs="Times New Roman"/>
          <w:sz w:val="20"/>
          <w:szCs w:val="20"/>
        </w:rPr>
      </w:pPr>
    </w:p>
    <w:p w14:paraId="41443BD3" w14:textId="77777777" w:rsidR="00960B79" w:rsidRPr="00296603" w:rsidRDefault="00960B79" w:rsidP="001D4A6D">
      <w:pPr>
        <w:spacing w:line="360" w:lineRule="auto"/>
        <w:rPr>
          <w:rFonts w:ascii="Times New Roman" w:hAnsi="Times New Roman" w:cs="Times New Roman"/>
          <w:sz w:val="20"/>
          <w:szCs w:val="20"/>
        </w:rPr>
      </w:pPr>
    </w:p>
    <w:p w14:paraId="71B7E53E" w14:textId="77777777" w:rsidR="00960B79" w:rsidRPr="00296603" w:rsidRDefault="00960B79" w:rsidP="001D4A6D">
      <w:pPr>
        <w:spacing w:line="360" w:lineRule="auto"/>
        <w:rPr>
          <w:rFonts w:ascii="Times New Roman" w:hAnsi="Times New Roman" w:cs="Times New Roman"/>
          <w:sz w:val="20"/>
          <w:szCs w:val="20"/>
        </w:rPr>
      </w:pPr>
    </w:p>
    <w:p w14:paraId="36E26253" w14:textId="185B5F2B" w:rsidR="001D4A6D" w:rsidRPr="00296603" w:rsidRDefault="001D4A6D" w:rsidP="00E16407">
      <w:pPr>
        <w:spacing w:after="160" w:line="360" w:lineRule="auto"/>
        <w:rPr>
          <w:rFonts w:ascii="Times New Roman" w:hAnsi="Times New Roman" w:cs="Times New Roman"/>
          <w:b/>
          <w:sz w:val="20"/>
          <w:szCs w:val="20"/>
        </w:rPr>
      </w:pPr>
      <w:r w:rsidRPr="00296603">
        <w:rPr>
          <w:rFonts w:ascii="Times New Roman" w:hAnsi="Times New Roman" w:cs="Times New Roman"/>
          <w:b/>
          <w:sz w:val="20"/>
          <w:szCs w:val="20"/>
        </w:rPr>
        <w:lastRenderedPageBreak/>
        <w:t xml:space="preserve">3. </w:t>
      </w:r>
      <w:r w:rsidR="00F91486" w:rsidRPr="00296603">
        <w:rPr>
          <w:rFonts w:ascii="Times New Roman" w:hAnsi="Times New Roman" w:cs="Times New Roman"/>
          <w:b/>
          <w:sz w:val="20"/>
          <w:szCs w:val="20"/>
        </w:rPr>
        <w:t>Results</w:t>
      </w:r>
      <w:r w:rsidR="00152C77">
        <w:rPr>
          <w:rFonts w:ascii="Times New Roman" w:hAnsi="Times New Roman" w:cs="Times New Roman"/>
          <w:b/>
          <w:sz w:val="20"/>
          <w:szCs w:val="20"/>
        </w:rPr>
        <w:t xml:space="preserve"> &amp; Discussion</w:t>
      </w:r>
    </w:p>
    <w:p w14:paraId="25E2EC16" w14:textId="77777777" w:rsidR="00227EC0" w:rsidRPr="00296603" w:rsidRDefault="00227EC0" w:rsidP="00227EC0">
      <w:pPr>
        <w:spacing w:after="160" w:line="360" w:lineRule="auto"/>
        <w:rPr>
          <w:rFonts w:ascii="Times New Roman" w:hAnsi="Times New Roman" w:cs="Times New Roman"/>
          <w:sz w:val="20"/>
          <w:szCs w:val="20"/>
        </w:rPr>
      </w:pPr>
      <w:r w:rsidRPr="00296603">
        <w:rPr>
          <w:rFonts w:ascii="Times New Roman" w:hAnsi="Times New Roman" w:cs="Times New Roman"/>
          <w:sz w:val="20"/>
          <w:szCs w:val="20"/>
        </w:rPr>
        <w:t xml:space="preserve">A total of 150 students were evaluated, comprising 100 asymptomatic and 50 symptomatic malaria cases. The overall distribution of biochemical, </w:t>
      </w:r>
      <w:proofErr w:type="spellStart"/>
      <w:r w:rsidRPr="00296603">
        <w:rPr>
          <w:rFonts w:ascii="Times New Roman" w:hAnsi="Times New Roman" w:cs="Times New Roman"/>
          <w:sz w:val="20"/>
          <w:szCs w:val="20"/>
        </w:rPr>
        <w:t>haematological</w:t>
      </w:r>
      <w:proofErr w:type="spellEnd"/>
      <w:r w:rsidRPr="00296603">
        <w:rPr>
          <w:rFonts w:ascii="Times New Roman" w:hAnsi="Times New Roman" w:cs="Times New Roman"/>
          <w:sz w:val="20"/>
          <w:szCs w:val="20"/>
        </w:rPr>
        <w:t>, and parasitological par</w:t>
      </w:r>
      <w:r w:rsidR="002408AF" w:rsidRPr="00296603">
        <w:rPr>
          <w:rFonts w:ascii="Times New Roman" w:hAnsi="Times New Roman" w:cs="Times New Roman"/>
          <w:sz w:val="20"/>
          <w:szCs w:val="20"/>
        </w:rPr>
        <w:t xml:space="preserve">ameters is presented in Table </w:t>
      </w:r>
      <w:r w:rsidRPr="00296603">
        <w:rPr>
          <w:rFonts w:ascii="Times New Roman" w:hAnsi="Times New Roman" w:cs="Times New Roman"/>
          <w:sz w:val="20"/>
          <w:szCs w:val="20"/>
        </w:rPr>
        <w:t>1. Clear differences were observed between groups, with symptomatic participants demonstrating more pronounced laboratory abnormalities.</w:t>
      </w:r>
    </w:p>
    <w:p w14:paraId="0D87CAFB" w14:textId="77777777" w:rsidR="00227EC0" w:rsidRPr="00296603" w:rsidRDefault="00227EC0" w:rsidP="00227EC0">
      <w:pPr>
        <w:spacing w:after="160" w:line="360" w:lineRule="auto"/>
        <w:rPr>
          <w:rFonts w:ascii="Times New Roman" w:hAnsi="Times New Roman" w:cs="Times New Roman"/>
          <w:sz w:val="20"/>
          <w:szCs w:val="20"/>
        </w:rPr>
      </w:pPr>
      <w:r w:rsidRPr="00296603">
        <w:rPr>
          <w:rFonts w:ascii="Times New Roman" w:hAnsi="Times New Roman" w:cs="Times New Roman"/>
          <w:sz w:val="20"/>
          <w:szCs w:val="20"/>
        </w:rPr>
        <w:t>Biochemical indices showed consistent elevations in the symptom</w:t>
      </w:r>
      <w:r w:rsidR="002408AF" w:rsidRPr="00296603">
        <w:rPr>
          <w:rFonts w:ascii="Times New Roman" w:hAnsi="Times New Roman" w:cs="Times New Roman"/>
          <w:sz w:val="20"/>
          <w:szCs w:val="20"/>
        </w:rPr>
        <w:t xml:space="preserve">atic group. As shown in Table </w:t>
      </w:r>
      <w:r w:rsidRPr="00296603">
        <w:rPr>
          <w:rFonts w:ascii="Times New Roman" w:hAnsi="Times New Roman" w:cs="Times New Roman"/>
          <w:sz w:val="20"/>
          <w:szCs w:val="20"/>
        </w:rPr>
        <w:t>1, alanine aminotransferase (ALT) was higher among symptomatic participants (35.98 ± 16.74 U/L) compared with asymptomatic individuals (24.85 ± 9.67 U/L). A similar pattern was observed for aspartate aminotransferase (AST), which increased from 28.27 ± 12.11 U/L in asymptomatic cases to 46.80 ± 17.12 U/L in symptomatic cases, with median values in the symptomatic group exceeding the upper reference range. Renal markers followed the same direction, with creatinine rising from 0.89 ± 0.19 mg/dL in asymptomatic participants to 1.16 ± 0.30 mg/dL in symptomatic participants, and urea increasing from 13.65 ± 3.99 mg/dL to 18.10 ± 6.39 mg/dL. Bilirubin fractions demonstrated parallel elevations, as symptomatic individuals recorded higher total, direct, and indirect bilirubin concentrations, frequently approaching or exceeding reference limits.</w:t>
      </w:r>
    </w:p>
    <w:p w14:paraId="2D82C17F" w14:textId="77777777" w:rsidR="00227EC0" w:rsidRPr="00296603" w:rsidRDefault="00227EC0" w:rsidP="00227EC0">
      <w:pPr>
        <w:spacing w:after="160" w:line="360" w:lineRule="auto"/>
        <w:rPr>
          <w:rFonts w:ascii="Times New Roman" w:hAnsi="Times New Roman" w:cs="Times New Roman"/>
          <w:sz w:val="20"/>
          <w:szCs w:val="20"/>
        </w:rPr>
      </w:pPr>
      <w:proofErr w:type="spellStart"/>
      <w:r w:rsidRPr="00296603">
        <w:rPr>
          <w:rFonts w:ascii="Times New Roman" w:hAnsi="Times New Roman" w:cs="Times New Roman"/>
          <w:sz w:val="20"/>
          <w:szCs w:val="20"/>
        </w:rPr>
        <w:t>Haematological</w:t>
      </w:r>
      <w:proofErr w:type="spellEnd"/>
      <w:r w:rsidRPr="00296603">
        <w:rPr>
          <w:rFonts w:ascii="Times New Roman" w:hAnsi="Times New Roman" w:cs="Times New Roman"/>
          <w:sz w:val="20"/>
          <w:szCs w:val="20"/>
        </w:rPr>
        <w:t xml:space="preserve"> findings also differed substan</w:t>
      </w:r>
      <w:r w:rsidR="002408AF" w:rsidRPr="00296603">
        <w:rPr>
          <w:rFonts w:ascii="Times New Roman" w:hAnsi="Times New Roman" w:cs="Times New Roman"/>
          <w:sz w:val="20"/>
          <w:szCs w:val="20"/>
        </w:rPr>
        <w:t xml:space="preserve">tially. As presented in Table </w:t>
      </w:r>
      <w:r w:rsidRPr="00296603">
        <w:rPr>
          <w:rFonts w:ascii="Times New Roman" w:hAnsi="Times New Roman" w:cs="Times New Roman"/>
          <w:sz w:val="20"/>
          <w:szCs w:val="20"/>
        </w:rPr>
        <w:t xml:space="preserve">1, </w:t>
      </w:r>
      <w:proofErr w:type="spellStart"/>
      <w:r w:rsidRPr="00296603">
        <w:rPr>
          <w:rFonts w:ascii="Times New Roman" w:hAnsi="Times New Roman" w:cs="Times New Roman"/>
          <w:sz w:val="20"/>
          <w:szCs w:val="20"/>
        </w:rPr>
        <w:t>haemoglobin</w:t>
      </w:r>
      <w:proofErr w:type="spellEnd"/>
      <w:r w:rsidRPr="00296603">
        <w:rPr>
          <w:rFonts w:ascii="Times New Roman" w:hAnsi="Times New Roman" w:cs="Times New Roman"/>
          <w:sz w:val="20"/>
          <w:szCs w:val="20"/>
        </w:rPr>
        <w:t xml:space="preserve"> levels were lower in symptomatic participants (10.77 ± 2.36 g/dL) than in asymptomatic participants (12.94 ± 2.01 g/dL). Red blood cell (RBC) counts decreased from 4.85 ± 0.56 × 10¹²/L in asymptomatic cases to 4.08 ± 0.69 × 10¹²/L in symptomatic cases. Mean corpuscular volume (MCV) and mean corpuscular </w:t>
      </w:r>
      <w:proofErr w:type="spellStart"/>
      <w:r w:rsidRPr="00296603">
        <w:rPr>
          <w:rFonts w:ascii="Times New Roman" w:hAnsi="Times New Roman" w:cs="Times New Roman"/>
          <w:sz w:val="20"/>
          <w:szCs w:val="20"/>
        </w:rPr>
        <w:t>haemoglobin</w:t>
      </w:r>
      <w:proofErr w:type="spellEnd"/>
      <w:r w:rsidRPr="00296603">
        <w:rPr>
          <w:rFonts w:ascii="Times New Roman" w:hAnsi="Times New Roman" w:cs="Times New Roman"/>
          <w:sz w:val="20"/>
          <w:szCs w:val="20"/>
        </w:rPr>
        <w:t xml:space="preserve"> concentration (MCHC) were likewise reduced in symptomatic individuals. Platelet counts showed one of the most marked differences, declining from 293.99 ± 76.25 × 10⁹/L in asymptomatic cases to 176.46 ± 76.13 × 10⁹/L in symptomatic cases. In contrast, white blood cell (WBC) counts were higher in symptomatic participants (7.57 ± 2.81 × 10⁹/L) compared with asymptomatic participants (6.11 ± 1.85 × 10⁹/L), suggesting a heightened inflammatory response.</w:t>
      </w:r>
    </w:p>
    <w:p w14:paraId="0C45F577" w14:textId="77777777" w:rsidR="00227EC0" w:rsidRPr="00296603" w:rsidRDefault="00227EC0" w:rsidP="00227EC0">
      <w:pPr>
        <w:spacing w:after="160" w:line="360" w:lineRule="auto"/>
        <w:rPr>
          <w:rFonts w:ascii="Times New Roman" w:hAnsi="Times New Roman" w:cs="Times New Roman"/>
          <w:sz w:val="20"/>
          <w:szCs w:val="20"/>
        </w:rPr>
      </w:pPr>
      <w:r w:rsidRPr="00296603">
        <w:rPr>
          <w:rFonts w:ascii="Times New Roman" w:hAnsi="Times New Roman" w:cs="Times New Roman"/>
          <w:sz w:val="20"/>
          <w:szCs w:val="20"/>
        </w:rPr>
        <w:t xml:space="preserve">Parasitological assessment revealed substantial disparities in parasite </w:t>
      </w:r>
      <w:r w:rsidR="002408AF" w:rsidRPr="00296603">
        <w:rPr>
          <w:rFonts w:ascii="Times New Roman" w:hAnsi="Times New Roman" w:cs="Times New Roman"/>
          <w:sz w:val="20"/>
          <w:szCs w:val="20"/>
        </w:rPr>
        <w:t xml:space="preserve">burden. As indicated in Table </w:t>
      </w:r>
      <w:r w:rsidRPr="00296603">
        <w:rPr>
          <w:rFonts w:ascii="Times New Roman" w:hAnsi="Times New Roman" w:cs="Times New Roman"/>
          <w:sz w:val="20"/>
          <w:szCs w:val="20"/>
        </w:rPr>
        <w:t>1, mean parasite density was 758.37 ± 1216.94 parasites/</w:t>
      </w:r>
      <w:proofErr w:type="spellStart"/>
      <w:r w:rsidRPr="00296603">
        <w:rPr>
          <w:rFonts w:ascii="Times New Roman" w:hAnsi="Times New Roman" w:cs="Times New Roman"/>
          <w:sz w:val="20"/>
          <w:szCs w:val="20"/>
        </w:rPr>
        <w:t>μL</w:t>
      </w:r>
      <w:proofErr w:type="spellEnd"/>
      <w:r w:rsidRPr="00296603">
        <w:rPr>
          <w:rFonts w:ascii="Times New Roman" w:hAnsi="Times New Roman" w:cs="Times New Roman"/>
          <w:sz w:val="20"/>
          <w:szCs w:val="20"/>
        </w:rPr>
        <w:t xml:space="preserve"> in asymptomatic participants and 2556.26 ± 2117.73 parasites/</w:t>
      </w:r>
      <w:proofErr w:type="spellStart"/>
      <w:r w:rsidRPr="00296603">
        <w:rPr>
          <w:rFonts w:ascii="Times New Roman" w:hAnsi="Times New Roman" w:cs="Times New Roman"/>
          <w:sz w:val="20"/>
          <w:szCs w:val="20"/>
        </w:rPr>
        <w:t>μL</w:t>
      </w:r>
      <w:proofErr w:type="spellEnd"/>
      <w:r w:rsidRPr="00296603">
        <w:rPr>
          <w:rFonts w:ascii="Times New Roman" w:hAnsi="Times New Roman" w:cs="Times New Roman"/>
          <w:sz w:val="20"/>
          <w:szCs w:val="20"/>
        </w:rPr>
        <w:t xml:space="preserve"> in symptomatic participants. Median values further illustrated this difference, with symptomatic cases demonstrating approximately sixfold higher parasite loads.</w:t>
      </w:r>
    </w:p>
    <w:p w14:paraId="72E67EEA" w14:textId="77777777" w:rsidR="005A3FE0" w:rsidRPr="00296603" w:rsidRDefault="005A3FE0" w:rsidP="00227EC0">
      <w:pPr>
        <w:spacing w:after="160" w:line="360" w:lineRule="auto"/>
        <w:rPr>
          <w:rFonts w:ascii="Times New Roman" w:hAnsi="Times New Roman" w:cs="Times New Roman"/>
          <w:sz w:val="20"/>
          <w:szCs w:val="20"/>
        </w:rPr>
      </w:pPr>
    </w:p>
    <w:p w14:paraId="0F9FC90D" w14:textId="77777777" w:rsidR="005B6893" w:rsidRPr="00296603" w:rsidRDefault="005B6893" w:rsidP="00227EC0">
      <w:pPr>
        <w:spacing w:after="160" w:line="360" w:lineRule="auto"/>
        <w:rPr>
          <w:rFonts w:ascii="Times New Roman" w:hAnsi="Times New Roman" w:cs="Times New Roman"/>
          <w:sz w:val="20"/>
          <w:szCs w:val="20"/>
        </w:rPr>
      </w:pPr>
    </w:p>
    <w:p w14:paraId="7FF0BCE1" w14:textId="77777777" w:rsidR="005B6893" w:rsidRPr="00296603" w:rsidRDefault="005B6893" w:rsidP="00227EC0">
      <w:pPr>
        <w:spacing w:after="160" w:line="360" w:lineRule="auto"/>
        <w:rPr>
          <w:rFonts w:ascii="Times New Roman" w:hAnsi="Times New Roman" w:cs="Times New Roman"/>
          <w:sz w:val="20"/>
          <w:szCs w:val="20"/>
        </w:rPr>
      </w:pPr>
    </w:p>
    <w:p w14:paraId="518AF6AD" w14:textId="77777777" w:rsidR="005B6893" w:rsidRPr="00296603" w:rsidRDefault="005B6893" w:rsidP="00227EC0">
      <w:pPr>
        <w:spacing w:after="160" w:line="360" w:lineRule="auto"/>
        <w:rPr>
          <w:rFonts w:ascii="Times New Roman" w:hAnsi="Times New Roman" w:cs="Times New Roman"/>
          <w:sz w:val="20"/>
          <w:szCs w:val="20"/>
        </w:rPr>
      </w:pPr>
    </w:p>
    <w:p w14:paraId="5B263D43" w14:textId="77777777" w:rsidR="005B6893" w:rsidRPr="00296603" w:rsidRDefault="005B6893" w:rsidP="00227EC0">
      <w:pPr>
        <w:spacing w:after="160" w:line="360" w:lineRule="auto"/>
        <w:rPr>
          <w:rFonts w:ascii="Times New Roman" w:hAnsi="Times New Roman" w:cs="Times New Roman"/>
          <w:sz w:val="20"/>
          <w:szCs w:val="20"/>
        </w:rPr>
      </w:pPr>
    </w:p>
    <w:p w14:paraId="65091B30" w14:textId="77777777" w:rsidR="005A3FE0" w:rsidRPr="00296603" w:rsidRDefault="005A3FE0" w:rsidP="00227EC0">
      <w:pPr>
        <w:spacing w:after="160" w:line="360" w:lineRule="auto"/>
        <w:rPr>
          <w:rFonts w:ascii="Times New Roman" w:hAnsi="Times New Roman" w:cs="Times New Roman"/>
          <w:sz w:val="20"/>
          <w:szCs w:val="20"/>
        </w:rPr>
      </w:pPr>
    </w:p>
    <w:p w14:paraId="2964F733" w14:textId="77777777" w:rsidR="005A3FE0" w:rsidRPr="00296603" w:rsidRDefault="002408AF" w:rsidP="005A3FE0">
      <w:pPr>
        <w:spacing w:line="240" w:lineRule="auto"/>
        <w:rPr>
          <w:rFonts w:ascii="Times New Roman" w:hAnsi="Times New Roman" w:cs="Times New Roman"/>
          <w:b/>
          <w:sz w:val="24"/>
          <w:szCs w:val="24"/>
        </w:rPr>
      </w:pPr>
      <w:r w:rsidRPr="00296603">
        <w:rPr>
          <w:rFonts w:ascii="Times New Roman" w:hAnsi="Times New Roman" w:cs="Times New Roman"/>
          <w:b/>
          <w:sz w:val="24"/>
          <w:szCs w:val="24"/>
        </w:rPr>
        <w:lastRenderedPageBreak/>
        <w:t xml:space="preserve">Table </w:t>
      </w:r>
      <w:r w:rsidR="005A3FE0" w:rsidRPr="00296603">
        <w:rPr>
          <w:rFonts w:ascii="Times New Roman" w:hAnsi="Times New Roman" w:cs="Times New Roman"/>
          <w:b/>
          <w:sz w:val="24"/>
          <w:szCs w:val="24"/>
        </w:rPr>
        <w:t>1: Participant Characteristics and Laboratory Parameters</w:t>
      </w:r>
    </w:p>
    <w:tbl>
      <w:tblPr>
        <w:tblW w:w="10025" w:type="dxa"/>
        <w:tblInd w:w="-5" w:type="dxa"/>
        <w:tblBorders>
          <w:top w:val="single" w:sz="4" w:space="0" w:color="auto"/>
          <w:bottom w:val="single" w:sz="4" w:space="0" w:color="auto"/>
        </w:tblBorders>
        <w:tblLook w:val="04A0" w:firstRow="1" w:lastRow="0" w:firstColumn="1" w:lastColumn="0" w:noHBand="0" w:noVBand="1"/>
      </w:tblPr>
      <w:tblGrid>
        <w:gridCol w:w="1425"/>
        <w:gridCol w:w="1464"/>
        <w:gridCol w:w="1530"/>
        <w:gridCol w:w="1710"/>
        <w:gridCol w:w="1710"/>
        <w:gridCol w:w="990"/>
        <w:gridCol w:w="1196"/>
      </w:tblGrid>
      <w:tr w:rsidR="005A3FE0" w:rsidRPr="00296603" w14:paraId="4665710A" w14:textId="77777777" w:rsidTr="005A3FE0">
        <w:trPr>
          <w:trHeight w:val="280"/>
        </w:trPr>
        <w:tc>
          <w:tcPr>
            <w:tcW w:w="1425" w:type="dxa"/>
            <w:tcBorders>
              <w:top w:val="single" w:sz="4" w:space="0" w:color="auto"/>
              <w:bottom w:val="single" w:sz="4" w:space="0" w:color="auto"/>
            </w:tcBorders>
            <w:noWrap/>
            <w:vAlign w:val="center"/>
            <w:hideMark/>
          </w:tcPr>
          <w:p w14:paraId="216C358C"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Parameter</w:t>
            </w:r>
          </w:p>
        </w:tc>
        <w:tc>
          <w:tcPr>
            <w:tcW w:w="1464" w:type="dxa"/>
            <w:tcBorders>
              <w:top w:val="single" w:sz="4" w:space="0" w:color="auto"/>
              <w:bottom w:val="single" w:sz="4" w:space="0" w:color="auto"/>
            </w:tcBorders>
            <w:noWrap/>
            <w:vAlign w:val="center"/>
            <w:hideMark/>
          </w:tcPr>
          <w:p w14:paraId="4F4F036A"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Asymptomatic (n=100)</w:t>
            </w:r>
          </w:p>
        </w:tc>
        <w:tc>
          <w:tcPr>
            <w:tcW w:w="1530" w:type="dxa"/>
            <w:tcBorders>
              <w:top w:val="single" w:sz="4" w:space="0" w:color="auto"/>
              <w:bottom w:val="single" w:sz="4" w:space="0" w:color="auto"/>
            </w:tcBorders>
            <w:noWrap/>
            <w:vAlign w:val="center"/>
            <w:hideMark/>
          </w:tcPr>
          <w:p w14:paraId="2542E542"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Symptomatic (n=50)</w:t>
            </w:r>
          </w:p>
        </w:tc>
        <w:tc>
          <w:tcPr>
            <w:tcW w:w="1710" w:type="dxa"/>
            <w:tcBorders>
              <w:top w:val="single" w:sz="4" w:space="0" w:color="auto"/>
              <w:bottom w:val="single" w:sz="4" w:space="0" w:color="auto"/>
            </w:tcBorders>
            <w:noWrap/>
            <w:vAlign w:val="center"/>
            <w:hideMark/>
          </w:tcPr>
          <w:p w14:paraId="1261D019"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Median (IQR)_Asymptomatic</w:t>
            </w:r>
          </w:p>
        </w:tc>
        <w:tc>
          <w:tcPr>
            <w:tcW w:w="1710" w:type="dxa"/>
            <w:tcBorders>
              <w:top w:val="single" w:sz="4" w:space="0" w:color="auto"/>
              <w:bottom w:val="single" w:sz="4" w:space="0" w:color="auto"/>
            </w:tcBorders>
            <w:noWrap/>
            <w:vAlign w:val="center"/>
            <w:hideMark/>
          </w:tcPr>
          <w:p w14:paraId="4D790E9F"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Median (IQR)_Symptomatic</w:t>
            </w:r>
          </w:p>
        </w:tc>
        <w:tc>
          <w:tcPr>
            <w:tcW w:w="990" w:type="dxa"/>
            <w:tcBorders>
              <w:top w:val="single" w:sz="4" w:space="0" w:color="auto"/>
              <w:bottom w:val="single" w:sz="4" w:space="0" w:color="auto"/>
            </w:tcBorders>
            <w:noWrap/>
            <w:vAlign w:val="center"/>
            <w:hideMark/>
          </w:tcPr>
          <w:p w14:paraId="3832C4CD"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Reference Range</w:t>
            </w:r>
          </w:p>
        </w:tc>
        <w:tc>
          <w:tcPr>
            <w:tcW w:w="1196" w:type="dxa"/>
            <w:tcBorders>
              <w:top w:val="single" w:sz="4" w:space="0" w:color="auto"/>
              <w:bottom w:val="single" w:sz="4" w:space="0" w:color="auto"/>
            </w:tcBorders>
            <w:noWrap/>
            <w:vAlign w:val="center"/>
            <w:hideMark/>
          </w:tcPr>
          <w:p w14:paraId="0EB4BA8D"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Units</w:t>
            </w:r>
          </w:p>
        </w:tc>
      </w:tr>
      <w:tr w:rsidR="005A3FE0" w:rsidRPr="00296603" w14:paraId="08C66B55" w14:textId="77777777" w:rsidTr="005A3FE0">
        <w:trPr>
          <w:trHeight w:val="280"/>
        </w:trPr>
        <w:tc>
          <w:tcPr>
            <w:tcW w:w="10025" w:type="dxa"/>
            <w:gridSpan w:val="7"/>
            <w:tcBorders>
              <w:top w:val="single" w:sz="4" w:space="0" w:color="auto"/>
            </w:tcBorders>
            <w:noWrap/>
            <w:vAlign w:val="center"/>
            <w:hideMark/>
          </w:tcPr>
          <w:p w14:paraId="3CAE60DA" w14:textId="77777777" w:rsidR="005A3FE0" w:rsidRPr="00296603" w:rsidRDefault="005A3FE0" w:rsidP="00D74830">
            <w:pPr>
              <w:spacing w:line="240" w:lineRule="auto"/>
              <w:jc w:val="left"/>
              <w:rPr>
                <w:rFonts w:ascii="Cambria" w:eastAsia="Times New Roman" w:hAnsi="Cambria" w:cs="Times New Roman"/>
                <w:b/>
                <w:bCs/>
                <w:color w:val="000000"/>
                <w:sz w:val="16"/>
                <w:szCs w:val="16"/>
              </w:rPr>
            </w:pPr>
            <w:r w:rsidRPr="00296603">
              <w:rPr>
                <w:rFonts w:ascii="Cambria" w:eastAsia="Times New Roman" w:hAnsi="Cambria" w:cs="Times New Roman"/>
                <w:b/>
                <w:bCs/>
                <w:color w:val="000000"/>
                <w:sz w:val="16"/>
                <w:szCs w:val="16"/>
              </w:rPr>
              <w:t>Biochemical Parameters</w:t>
            </w:r>
          </w:p>
        </w:tc>
      </w:tr>
      <w:tr w:rsidR="005A3FE0" w:rsidRPr="00296603" w14:paraId="0DAC4E1B" w14:textId="77777777" w:rsidTr="005A3FE0">
        <w:trPr>
          <w:trHeight w:val="280"/>
        </w:trPr>
        <w:tc>
          <w:tcPr>
            <w:tcW w:w="1425" w:type="dxa"/>
            <w:noWrap/>
            <w:vAlign w:val="center"/>
            <w:hideMark/>
          </w:tcPr>
          <w:p w14:paraId="3F105114" w14:textId="77777777" w:rsidR="005A3FE0" w:rsidRPr="00296603" w:rsidRDefault="005A3FE0"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ALT</w:t>
            </w:r>
          </w:p>
        </w:tc>
        <w:tc>
          <w:tcPr>
            <w:tcW w:w="1464" w:type="dxa"/>
            <w:noWrap/>
            <w:vAlign w:val="center"/>
            <w:hideMark/>
          </w:tcPr>
          <w:p w14:paraId="700344C1"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24.85 ± 9.67</w:t>
            </w:r>
          </w:p>
        </w:tc>
        <w:tc>
          <w:tcPr>
            <w:tcW w:w="1530" w:type="dxa"/>
            <w:noWrap/>
            <w:vAlign w:val="center"/>
            <w:hideMark/>
          </w:tcPr>
          <w:p w14:paraId="48718DCF"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35.98 ± 16.74</w:t>
            </w:r>
          </w:p>
        </w:tc>
        <w:tc>
          <w:tcPr>
            <w:tcW w:w="1710" w:type="dxa"/>
            <w:noWrap/>
            <w:vAlign w:val="center"/>
            <w:hideMark/>
          </w:tcPr>
          <w:p w14:paraId="475A150A"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24.5 (17-32.25)</w:t>
            </w:r>
          </w:p>
        </w:tc>
        <w:tc>
          <w:tcPr>
            <w:tcW w:w="1710" w:type="dxa"/>
            <w:noWrap/>
            <w:vAlign w:val="center"/>
            <w:hideMark/>
          </w:tcPr>
          <w:p w14:paraId="65E60E7A"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36.5 (23.75-46.75)</w:t>
            </w:r>
          </w:p>
        </w:tc>
        <w:tc>
          <w:tcPr>
            <w:tcW w:w="990" w:type="dxa"/>
            <w:noWrap/>
            <w:vAlign w:val="center"/>
            <w:hideMark/>
          </w:tcPr>
          <w:p w14:paraId="45C64319"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7-56</w:t>
            </w:r>
          </w:p>
        </w:tc>
        <w:tc>
          <w:tcPr>
            <w:tcW w:w="1196" w:type="dxa"/>
            <w:noWrap/>
            <w:vAlign w:val="center"/>
            <w:hideMark/>
          </w:tcPr>
          <w:p w14:paraId="6208FBAF"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U/L</w:t>
            </w:r>
          </w:p>
        </w:tc>
      </w:tr>
      <w:tr w:rsidR="005A3FE0" w:rsidRPr="00296603" w14:paraId="24E0018D" w14:textId="77777777" w:rsidTr="005A3FE0">
        <w:trPr>
          <w:trHeight w:val="280"/>
        </w:trPr>
        <w:tc>
          <w:tcPr>
            <w:tcW w:w="1425" w:type="dxa"/>
            <w:noWrap/>
            <w:vAlign w:val="center"/>
            <w:hideMark/>
          </w:tcPr>
          <w:p w14:paraId="263D1A02" w14:textId="77777777" w:rsidR="005A3FE0" w:rsidRPr="00296603" w:rsidRDefault="005A3FE0"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AST</w:t>
            </w:r>
          </w:p>
        </w:tc>
        <w:tc>
          <w:tcPr>
            <w:tcW w:w="1464" w:type="dxa"/>
            <w:noWrap/>
            <w:vAlign w:val="center"/>
            <w:hideMark/>
          </w:tcPr>
          <w:p w14:paraId="111B7B0C"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28.27 ± 12.11</w:t>
            </w:r>
          </w:p>
        </w:tc>
        <w:tc>
          <w:tcPr>
            <w:tcW w:w="1530" w:type="dxa"/>
            <w:noWrap/>
            <w:vAlign w:val="center"/>
            <w:hideMark/>
          </w:tcPr>
          <w:p w14:paraId="664C374D"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46.8 ± 17.12</w:t>
            </w:r>
          </w:p>
        </w:tc>
        <w:tc>
          <w:tcPr>
            <w:tcW w:w="1710" w:type="dxa"/>
            <w:noWrap/>
            <w:vAlign w:val="center"/>
            <w:hideMark/>
          </w:tcPr>
          <w:p w14:paraId="14F26ACE"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28 (18-37)</w:t>
            </w:r>
          </w:p>
        </w:tc>
        <w:tc>
          <w:tcPr>
            <w:tcW w:w="1710" w:type="dxa"/>
            <w:noWrap/>
            <w:vAlign w:val="center"/>
            <w:hideMark/>
          </w:tcPr>
          <w:p w14:paraId="32F80E8B"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47.5 (36.75-58.75)</w:t>
            </w:r>
          </w:p>
        </w:tc>
        <w:tc>
          <w:tcPr>
            <w:tcW w:w="990" w:type="dxa"/>
            <w:noWrap/>
            <w:vAlign w:val="center"/>
            <w:hideMark/>
          </w:tcPr>
          <w:p w14:paraId="7152BCB1"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10-40</w:t>
            </w:r>
          </w:p>
        </w:tc>
        <w:tc>
          <w:tcPr>
            <w:tcW w:w="1196" w:type="dxa"/>
            <w:noWrap/>
            <w:vAlign w:val="center"/>
            <w:hideMark/>
          </w:tcPr>
          <w:p w14:paraId="0E1DB61C"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U/L</w:t>
            </w:r>
          </w:p>
        </w:tc>
      </w:tr>
      <w:tr w:rsidR="005A3FE0" w:rsidRPr="00296603" w14:paraId="4820B7BA" w14:textId="77777777" w:rsidTr="005A3FE0">
        <w:trPr>
          <w:trHeight w:val="280"/>
        </w:trPr>
        <w:tc>
          <w:tcPr>
            <w:tcW w:w="1425" w:type="dxa"/>
            <w:noWrap/>
            <w:vAlign w:val="center"/>
            <w:hideMark/>
          </w:tcPr>
          <w:p w14:paraId="40A84C99" w14:textId="77777777" w:rsidR="005A3FE0" w:rsidRPr="00296603" w:rsidRDefault="005A3FE0"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Creatinine</w:t>
            </w:r>
          </w:p>
        </w:tc>
        <w:tc>
          <w:tcPr>
            <w:tcW w:w="1464" w:type="dxa"/>
            <w:noWrap/>
            <w:vAlign w:val="center"/>
            <w:hideMark/>
          </w:tcPr>
          <w:p w14:paraId="138F6346"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0.89 ± 0.19</w:t>
            </w:r>
          </w:p>
        </w:tc>
        <w:tc>
          <w:tcPr>
            <w:tcW w:w="1530" w:type="dxa"/>
            <w:noWrap/>
            <w:vAlign w:val="center"/>
            <w:hideMark/>
          </w:tcPr>
          <w:p w14:paraId="7EE03829"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1.16 ± 0.3</w:t>
            </w:r>
          </w:p>
        </w:tc>
        <w:tc>
          <w:tcPr>
            <w:tcW w:w="1710" w:type="dxa"/>
            <w:noWrap/>
            <w:vAlign w:val="center"/>
            <w:hideMark/>
          </w:tcPr>
          <w:p w14:paraId="7AD784E3"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0.87 (0.75-1.02)</w:t>
            </w:r>
          </w:p>
        </w:tc>
        <w:tc>
          <w:tcPr>
            <w:tcW w:w="1710" w:type="dxa"/>
            <w:noWrap/>
            <w:vAlign w:val="center"/>
            <w:hideMark/>
          </w:tcPr>
          <w:p w14:paraId="3911EC61"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1.15 (0.95-1.37)</w:t>
            </w:r>
          </w:p>
        </w:tc>
        <w:tc>
          <w:tcPr>
            <w:tcW w:w="990" w:type="dxa"/>
            <w:noWrap/>
            <w:vAlign w:val="center"/>
            <w:hideMark/>
          </w:tcPr>
          <w:p w14:paraId="7FA61F13"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0.6-1.3</w:t>
            </w:r>
          </w:p>
        </w:tc>
        <w:tc>
          <w:tcPr>
            <w:tcW w:w="1196" w:type="dxa"/>
            <w:noWrap/>
            <w:vAlign w:val="center"/>
            <w:hideMark/>
          </w:tcPr>
          <w:p w14:paraId="230313F1"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mg/dL</w:t>
            </w:r>
          </w:p>
        </w:tc>
      </w:tr>
      <w:tr w:rsidR="005A3FE0" w:rsidRPr="00296603" w14:paraId="57DFD1A2" w14:textId="77777777" w:rsidTr="005A3FE0">
        <w:trPr>
          <w:trHeight w:val="280"/>
        </w:trPr>
        <w:tc>
          <w:tcPr>
            <w:tcW w:w="1425" w:type="dxa"/>
            <w:noWrap/>
            <w:vAlign w:val="center"/>
            <w:hideMark/>
          </w:tcPr>
          <w:p w14:paraId="2A3536BC" w14:textId="77777777" w:rsidR="005A3FE0" w:rsidRPr="00296603" w:rsidRDefault="005A3FE0" w:rsidP="00D74830">
            <w:pPr>
              <w:spacing w:line="240" w:lineRule="auto"/>
              <w:jc w:val="left"/>
              <w:rPr>
                <w:rFonts w:ascii="Cambria" w:eastAsia="Times New Roman" w:hAnsi="Cambria" w:cs="Times New Roman"/>
                <w:color w:val="000000"/>
                <w:sz w:val="16"/>
                <w:szCs w:val="16"/>
              </w:rPr>
            </w:pPr>
            <w:proofErr w:type="spellStart"/>
            <w:r w:rsidRPr="00296603">
              <w:rPr>
                <w:rFonts w:ascii="Cambria" w:eastAsia="Times New Roman" w:hAnsi="Cambria" w:cs="Times New Roman"/>
                <w:color w:val="000000"/>
                <w:sz w:val="16"/>
                <w:szCs w:val="16"/>
              </w:rPr>
              <w:t>Direct_Bilirubin</w:t>
            </w:r>
            <w:proofErr w:type="spellEnd"/>
          </w:p>
        </w:tc>
        <w:tc>
          <w:tcPr>
            <w:tcW w:w="1464" w:type="dxa"/>
            <w:noWrap/>
            <w:vAlign w:val="center"/>
            <w:hideMark/>
          </w:tcPr>
          <w:p w14:paraId="56818DCE"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0.13 ± 0.06</w:t>
            </w:r>
          </w:p>
        </w:tc>
        <w:tc>
          <w:tcPr>
            <w:tcW w:w="1530" w:type="dxa"/>
            <w:noWrap/>
            <w:vAlign w:val="center"/>
            <w:hideMark/>
          </w:tcPr>
          <w:p w14:paraId="432A0AED"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0.25 ± 0.1</w:t>
            </w:r>
          </w:p>
        </w:tc>
        <w:tc>
          <w:tcPr>
            <w:tcW w:w="1710" w:type="dxa"/>
            <w:noWrap/>
            <w:vAlign w:val="center"/>
            <w:hideMark/>
          </w:tcPr>
          <w:p w14:paraId="3EF1FFF0"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0.13 (0.08-0.18)</w:t>
            </w:r>
          </w:p>
        </w:tc>
        <w:tc>
          <w:tcPr>
            <w:tcW w:w="1710" w:type="dxa"/>
            <w:noWrap/>
            <w:vAlign w:val="center"/>
            <w:hideMark/>
          </w:tcPr>
          <w:p w14:paraId="64F46BDB"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0.25 (0.18-0.33)</w:t>
            </w:r>
          </w:p>
        </w:tc>
        <w:tc>
          <w:tcPr>
            <w:tcW w:w="990" w:type="dxa"/>
            <w:noWrap/>
            <w:vAlign w:val="center"/>
            <w:hideMark/>
          </w:tcPr>
          <w:p w14:paraId="0FDAB051"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0.0-0.3</w:t>
            </w:r>
          </w:p>
        </w:tc>
        <w:tc>
          <w:tcPr>
            <w:tcW w:w="1196" w:type="dxa"/>
            <w:noWrap/>
            <w:vAlign w:val="center"/>
            <w:hideMark/>
          </w:tcPr>
          <w:p w14:paraId="53AABB49"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mg/dL</w:t>
            </w:r>
          </w:p>
        </w:tc>
      </w:tr>
      <w:tr w:rsidR="005A3FE0" w:rsidRPr="00296603" w14:paraId="60B5ADA6" w14:textId="77777777" w:rsidTr="005A3FE0">
        <w:trPr>
          <w:trHeight w:val="280"/>
        </w:trPr>
        <w:tc>
          <w:tcPr>
            <w:tcW w:w="1425" w:type="dxa"/>
            <w:noWrap/>
            <w:vAlign w:val="center"/>
            <w:hideMark/>
          </w:tcPr>
          <w:p w14:paraId="407A2631" w14:textId="77777777" w:rsidR="005A3FE0" w:rsidRPr="00296603" w:rsidRDefault="005A3FE0" w:rsidP="00D74830">
            <w:pPr>
              <w:spacing w:line="240" w:lineRule="auto"/>
              <w:jc w:val="left"/>
              <w:rPr>
                <w:rFonts w:ascii="Cambria" w:eastAsia="Times New Roman" w:hAnsi="Cambria" w:cs="Times New Roman"/>
                <w:color w:val="000000"/>
                <w:sz w:val="16"/>
                <w:szCs w:val="16"/>
              </w:rPr>
            </w:pPr>
            <w:proofErr w:type="spellStart"/>
            <w:r w:rsidRPr="00296603">
              <w:rPr>
                <w:rFonts w:ascii="Cambria" w:eastAsia="Times New Roman" w:hAnsi="Cambria" w:cs="Times New Roman"/>
                <w:color w:val="000000"/>
                <w:sz w:val="16"/>
                <w:szCs w:val="16"/>
              </w:rPr>
              <w:t>Indirect_Bilirubin</w:t>
            </w:r>
            <w:proofErr w:type="spellEnd"/>
          </w:p>
        </w:tc>
        <w:tc>
          <w:tcPr>
            <w:tcW w:w="1464" w:type="dxa"/>
            <w:noWrap/>
            <w:vAlign w:val="center"/>
            <w:hideMark/>
          </w:tcPr>
          <w:p w14:paraId="291806AF"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0.66 ± 0.28</w:t>
            </w:r>
          </w:p>
        </w:tc>
        <w:tc>
          <w:tcPr>
            <w:tcW w:w="1530" w:type="dxa"/>
            <w:noWrap/>
            <w:vAlign w:val="center"/>
            <w:hideMark/>
          </w:tcPr>
          <w:p w14:paraId="19C53C19"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1.2 ± 0.58</w:t>
            </w:r>
          </w:p>
        </w:tc>
        <w:tc>
          <w:tcPr>
            <w:tcW w:w="1710" w:type="dxa"/>
            <w:noWrap/>
            <w:vAlign w:val="center"/>
            <w:hideMark/>
          </w:tcPr>
          <w:p w14:paraId="3E9F3A5D"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0.62 (0.46-0.86)</w:t>
            </w:r>
          </w:p>
        </w:tc>
        <w:tc>
          <w:tcPr>
            <w:tcW w:w="1710" w:type="dxa"/>
            <w:noWrap/>
            <w:vAlign w:val="center"/>
            <w:hideMark/>
          </w:tcPr>
          <w:p w14:paraId="7D8ECCDC"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1.13 (0.76-1.46)</w:t>
            </w:r>
          </w:p>
        </w:tc>
        <w:tc>
          <w:tcPr>
            <w:tcW w:w="990" w:type="dxa"/>
            <w:noWrap/>
            <w:vAlign w:val="center"/>
            <w:hideMark/>
          </w:tcPr>
          <w:p w14:paraId="6A561446"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0.2-1.0</w:t>
            </w:r>
          </w:p>
        </w:tc>
        <w:tc>
          <w:tcPr>
            <w:tcW w:w="1196" w:type="dxa"/>
            <w:noWrap/>
            <w:vAlign w:val="center"/>
            <w:hideMark/>
          </w:tcPr>
          <w:p w14:paraId="0354A11E"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mg/dL</w:t>
            </w:r>
          </w:p>
        </w:tc>
      </w:tr>
      <w:tr w:rsidR="005A3FE0" w:rsidRPr="00296603" w14:paraId="7FC393F5" w14:textId="77777777" w:rsidTr="005A3FE0">
        <w:trPr>
          <w:trHeight w:val="280"/>
        </w:trPr>
        <w:tc>
          <w:tcPr>
            <w:tcW w:w="1425" w:type="dxa"/>
            <w:noWrap/>
            <w:vAlign w:val="center"/>
            <w:hideMark/>
          </w:tcPr>
          <w:p w14:paraId="34D3AA86" w14:textId="77777777" w:rsidR="005A3FE0" w:rsidRPr="00296603" w:rsidRDefault="005A3FE0" w:rsidP="00D74830">
            <w:pPr>
              <w:spacing w:line="240" w:lineRule="auto"/>
              <w:jc w:val="left"/>
              <w:rPr>
                <w:rFonts w:ascii="Cambria" w:eastAsia="Times New Roman" w:hAnsi="Cambria" w:cs="Times New Roman"/>
                <w:color w:val="000000"/>
                <w:sz w:val="16"/>
                <w:szCs w:val="16"/>
              </w:rPr>
            </w:pPr>
            <w:proofErr w:type="spellStart"/>
            <w:r w:rsidRPr="00296603">
              <w:rPr>
                <w:rFonts w:ascii="Cambria" w:eastAsia="Times New Roman" w:hAnsi="Cambria" w:cs="Times New Roman"/>
                <w:color w:val="000000"/>
                <w:sz w:val="16"/>
                <w:szCs w:val="16"/>
              </w:rPr>
              <w:t>Total_Bilirubin</w:t>
            </w:r>
            <w:proofErr w:type="spellEnd"/>
          </w:p>
        </w:tc>
        <w:tc>
          <w:tcPr>
            <w:tcW w:w="1464" w:type="dxa"/>
            <w:noWrap/>
            <w:vAlign w:val="center"/>
            <w:hideMark/>
          </w:tcPr>
          <w:p w14:paraId="3741B2C4"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0.79 ± 0.29</w:t>
            </w:r>
          </w:p>
        </w:tc>
        <w:tc>
          <w:tcPr>
            <w:tcW w:w="1530" w:type="dxa"/>
            <w:noWrap/>
            <w:vAlign w:val="center"/>
            <w:hideMark/>
          </w:tcPr>
          <w:p w14:paraId="6E73EC1B"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1.45 ± 0.6</w:t>
            </w:r>
          </w:p>
        </w:tc>
        <w:tc>
          <w:tcPr>
            <w:tcW w:w="1710" w:type="dxa"/>
            <w:noWrap/>
            <w:vAlign w:val="center"/>
            <w:hideMark/>
          </w:tcPr>
          <w:p w14:paraId="7035BF04"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0.77 (0.59-1.02)</w:t>
            </w:r>
          </w:p>
        </w:tc>
        <w:tc>
          <w:tcPr>
            <w:tcW w:w="1710" w:type="dxa"/>
            <w:noWrap/>
            <w:vAlign w:val="center"/>
            <w:hideMark/>
          </w:tcPr>
          <w:p w14:paraId="58EDFC5B"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1.41 (0.99-1.79)</w:t>
            </w:r>
          </w:p>
        </w:tc>
        <w:tc>
          <w:tcPr>
            <w:tcW w:w="990" w:type="dxa"/>
            <w:noWrap/>
            <w:vAlign w:val="center"/>
            <w:hideMark/>
          </w:tcPr>
          <w:p w14:paraId="3CF70B4C"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0.3-1.2</w:t>
            </w:r>
          </w:p>
        </w:tc>
        <w:tc>
          <w:tcPr>
            <w:tcW w:w="1196" w:type="dxa"/>
            <w:noWrap/>
            <w:vAlign w:val="center"/>
            <w:hideMark/>
          </w:tcPr>
          <w:p w14:paraId="6C792D16"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mg/dL</w:t>
            </w:r>
          </w:p>
        </w:tc>
      </w:tr>
      <w:tr w:rsidR="005A3FE0" w:rsidRPr="00296603" w14:paraId="3A87D073" w14:textId="77777777" w:rsidTr="005A3FE0">
        <w:trPr>
          <w:trHeight w:val="280"/>
        </w:trPr>
        <w:tc>
          <w:tcPr>
            <w:tcW w:w="1425" w:type="dxa"/>
            <w:noWrap/>
            <w:vAlign w:val="center"/>
            <w:hideMark/>
          </w:tcPr>
          <w:p w14:paraId="0D101EA9" w14:textId="77777777" w:rsidR="005A3FE0" w:rsidRPr="00296603" w:rsidRDefault="005A3FE0"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Urea</w:t>
            </w:r>
          </w:p>
        </w:tc>
        <w:tc>
          <w:tcPr>
            <w:tcW w:w="1464" w:type="dxa"/>
            <w:noWrap/>
            <w:vAlign w:val="center"/>
            <w:hideMark/>
          </w:tcPr>
          <w:p w14:paraId="3E74E83A"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13.65 ± 3.99</w:t>
            </w:r>
          </w:p>
        </w:tc>
        <w:tc>
          <w:tcPr>
            <w:tcW w:w="1530" w:type="dxa"/>
            <w:noWrap/>
            <w:vAlign w:val="center"/>
            <w:hideMark/>
          </w:tcPr>
          <w:p w14:paraId="25FDC0B4"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18.1 ± 6.39</w:t>
            </w:r>
          </w:p>
        </w:tc>
        <w:tc>
          <w:tcPr>
            <w:tcW w:w="1710" w:type="dxa"/>
            <w:noWrap/>
            <w:vAlign w:val="center"/>
            <w:hideMark/>
          </w:tcPr>
          <w:p w14:paraId="12D685BF"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13.7 (11.2-16.15)</w:t>
            </w:r>
          </w:p>
        </w:tc>
        <w:tc>
          <w:tcPr>
            <w:tcW w:w="1710" w:type="dxa"/>
            <w:noWrap/>
            <w:vAlign w:val="center"/>
            <w:hideMark/>
          </w:tcPr>
          <w:p w14:paraId="4AD5A762"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18.55 (14.45-21.77)</w:t>
            </w:r>
          </w:p>
        </w:tc>
        <w:tc>
          <w:tcPr>
            <w:tcW w:w="990" w:type="dxa"/>
            <w:noWrap/>
            <w:vAlign w:val="center"/>
            <w:hideMark/>
          </w:tcPr>
          <w:p w14:paraId="018340E2"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7-20</w:t>
            </w:r>
          </w:p>
        </w:tc>
        <w:tc>
          <w:tcPr>
            <w:tcW w:w="1196" w:type="dxa"/>
            <w:noWrap/>
            <w:vAlign w:val="center"/>
            <w:hideMark/>
          </w:tcPr>
          <w:p w14:paraId="235CCF42"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mg/dL</w:t>
            </w:r>
          </w:p>
        </w:tc>
      </w:tr>
      <w:tr w:rsidR="005A3FE0" w:rsidRPr="00296603" w14:paraId="53307951" w14:textId="77777777" w:rsidTr="005A3FE0">
        <w:trPr>
          <w:trHeight w:val="280"/>
        </w:trPr>
        <w:tc>
          <w:tcPr>
            <w:tcW w:w="10025" w:type="dxa"/>
            <w:gridSpan w:val="7"/>
            <w:noWrap/>
            <w:vAlign w:val="center"/>
            <w:hideMark/>
          </w:tcPr>
          <w:p w14:paraId="075496F9" w14:textId="77777777" w:rsidR="005A3FE0" w:rsidRPr="00296603" w:rsidRDefault="005A3FE0" w:rsidP="00D74830">
            <w:pPr>
              <w:spacing w:line="240" w:lineRule="auto"/>
              <w:jc w:val="left"/>
              <w:rPr>
                <w:rFonts w:ascii="Cambria" w:eastAsia="Times New Roman" w:hAnsi="Cambria" w:cs="Times New Roman"/>
                <w:b/>
                <w:bCs/>
                <w:color w:val="000000"/>
                <w:sz w:val="16"/>
                <w:szCs w:val="16"/>
              </w:rPr>
            </w:pPr>
            <w:r w:rsidRPr="00296603">
              <w:rPr>
                <w:rFonts w:ascii="Cambria" w:eastAsia="Times New Roman" w:hAnsi="Cambria" w:cs="Times New Roman"/>
                <w:b/>
                <w:bCs/>
                <w:color w:val="000000"/>
                <w:sz w:val="16"/>
                <w:szCs w:val="16"/>
              </w:rPr>
              <w:t>Hematological Parameters</w:t>
            </w:r>
          </w:p>
        </w:tc>
      </w:tr>
      <w:tr w:rsidR="005A3FE0" w:rsidRPr="00296603" w14:paraId="588FA8B9" w14:textId="77777777" w:rsidTr="005A3FE0">
        <w:trPr>
          <w:trHeight w:val="280"/>
        </w:trPr>
        <w:tc>
          <w:tcPr>
            <w:tcW w:w="1425" w:type="dxa"/>
            <w:noWrap/>
            <w:vAlign w:val="center"/>
            <w:hideMark/>
          </w:tcPr>
          <w:p w14:paraId="05AAEE5F" w14:textId="77777777" w:rsidR="005A3FE0" w:rsidRPr="00296603" w:rsidRDefault="005A3FE0"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Hemoglobin</w:t>
            </w:r>
          </w:p>
        </w:tc>
        <w:tc>
          <w:tcPr>
            <w:tcW w:w="1464" w:type="dxa"/>
            <w:noWrap/>
            <w:vAlign w:val="center"/>
            <w:hideMark/>
          </w:tcPr>
          <w:p w14:paraId="0987731B"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12.94 ± 2.01</w:t>
            </w:r>
          </w:p>
        </w:tc>
        <w:tc>
          <w:tcPr>
            <w:tcW w:w="1530" w:type="dxa"/>
            <w:noWrap/>
            <w:vAlign w:val="center"/>
            <w:hideMark/>
          </w:tcPr>
          <w:p w14:paraId="2C5775F4"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10.77 ± 2.36</w:t>
            </w:r>
          </w:p>
        </w:tc>
        <w:tc>
          <w:tcPr>
            <w:tcW w:w="1710" w:type="dxa"/>
            <w:noWrap/>
            <w:vAlign w:val="center"/>
            <w:hideMark/>
          </w:tcPr>
          <w:p w14:paraId="3254CC63"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13.37 (11.44-14.12)</w:t>
            </w:r>
          </w:p>
        </w:tc>
        <w:tc>
          <w:tcPr>
            <w:tcW w:w="1710" w:type="dxa"/>
            <w:noWrap/>
            <w:vAlign w:val="center"/>
            <w:hideMark/>
          </w:tcPr>
          <w:p w14:paraId="7A31B506"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10.76 (8.46-12.48)</w:t>
            </w:r>
          </w:p>
        </w:tc>
        <w:tc>
          <w:tcPr>
            <w:tcW w:w="990" w:type="dxa"/>
            <w:noWrap/>
            <w:vAlign w:val="center"/>
            <w:hideMark/>
          </w:tcPr>
          <w:p w14:paraId="5FFA96D2"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12.0-16.0</w:t>
            </w:r>
          </w:p>
        </w:tc>
        <w:tc>
          <w:tcPr>
            <w:tcW w:w="1196" w:type="dxa"/>
            <w:noWrap/>
            <w:vAlign w:val="center"/>
            <w:hideMark/>
          </w:tcPr>
          <w:p w14:paraId="2B78E901"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g/dL</w:t>
            </w:r>
          </w:p>
        </w:tc>
      </w:tr>
      <w:tr w:rsidR="005A3FE0" w:rsidRPr="00296603" w14:paraId="11D4E233" w14:textId="77777777" w:rsidTr="005A3FE0">
        <w:trPr>
          <w:trHeight w:val="280"/>
        </w:trPr>
        <w:tc>
          <w:tcPr>
            <w:tcW w:w="1425" w:type="dxa"/>
            <w:noWrap/>
            <w:vAlign w:val="center"/>
            <w:hideMark/>
          </w:tcPr>
          <w:p w14:paraId="1A48A77D" w14:textId="77777777" w:rsidR="005A3FE0" w:rsidRPr="00296603" w:rsidRDefault="005A3FE0"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MCH</w:t>
            </w:r>
          </w:p>
        </w:tc>
        <w:tc>
          <w:tcPr>
            <w:tcW w:w="1464" w:type="dxa"/>
            <w:noWrap/>
            <w:vAlign w:val="center"/>
            <w:hideMark/>
          </w:tcPr>
          <w:p w14:paraId="704E178F"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28.8 ± 3.14</w:t>
            </w:r>
          </w:p>
        </w:tc>
        <w:tc>
          <w:tcPr>
            <w:tcW w:w="1530" w:type="dxa"/>
            <w:noWrap/>
            <w:vAlign w:val="center"/>
            <w:hideMark/>
          </w:tcPr>
          <w:p w14:paraId="7EEACF24"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27.39 ± 3.67</w:t>
            </w:r>
          </w:p>
        </w:tc>
        <w:tc>
          <w:tcPr>
            <w:tcW w:w="1710" w:type="dxa"/>
            <w:noWrap/>
            <w:vAlign w:val="center"/>
            <w:hideMark/>
          </w:tcPr>
          <w:p w14:paraId="1119A492"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28.65 (27.2-30.7)</w:t>
            </w:r>
          </w:p>
        </w:tc>
        <w:tc>
          <w:tcPr>
            <w:tcW w:w="1710" w:type="dxa"/>
            <w:noWrap/>
            <w:vAlign w:val="center"/>
            <w:hideMark/>
          </w:tcPr>
          <w:p w14:paraId="1FCB3EB2"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27.4 (24.95-29.9)</w:t>
            </w:r>
          </w:p>
        </w:tc>
        <w:tc>
          <w:tcPr>
            <w:tcW w:w="990" w:type="dxa"/>
            <w:noWrap/>
            <w:vAlign w:val="center"/>
            <w:hideMark/>
          </w:tcPr>
          <w:p w14:paraId="5330FB58"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27-32</w:t>
            </w:r>
          </w:p>
        </w:tc>
        <w:tc>
          <w:tcPr>
            <w:tcW w:w="1196" w:type="dxa"/>
            <w:noWrap/>
            <w:vAlign w:val="center"/>
            <w:hideMark/>
          </w:tcPr>
          <w:p w14:paraId="19274027" w14:textId="77777777" w:rsidR="005A3FE0" w:rsidRPr="00296603" w:rsidRDefault="005A3FE0" w:rsidP="00D74830">
            <w:pPr>
              <w:spacing w:line="240" w:lineRule="auto"/>
              <w:jc w:val="center"/>
              <w:rPr>
                <w:rFonts w:ascii="Cambria" w:eastAsia="Times New Roman" w:hAnsi="Cambria" w:cs="Times New Roman"/>
                <w:color w:val="000000"/>
                <w:sz w:val="16"/>
                <w:szCs w:val="16"/>
              </w:rPr>
            </w:pPr>
            <w:proofErr w:type="spellStart"/>
            <w:r w:rsidRPr="00296603">
              <w:rPr>
                <w:rFonts w:ascii="Cambria" w:eastAsia="Times New Roman" w:hAnsi="Cambria" w:cs="Times New Roman"/>
                <w:color w:val="000000"/>
                <w:sz w:val="16"/>
                <w:szCs w:val="16"/>
              </w:rPr>
              <w:t>pg</w:t>
            </w:r>
            <w:proofErr w:type="spellEnd"/>
          </w:p>
        </w:tc>
      </w:tr>
      <w:tr w:rsidR="005A3FE0" w:rsidRPr="00296603" w14:paraId="1D494058" w14:textId="77777777" w:rsidTr="005A3FE0">
        <w:trPr>
          <w:trHeight w:val="280"/>
        </w:trPr>
        <w:tc>
          <w:tcPr>
            <w:tcW w:w="1425" w:type="dxa"/>
            <w:noWrap/>
            <w:vAlign w:val="center"/>
            <w:hideMark/>
          </w:tcPr>
          <w:p w14:paraId="2EF683B0" w14:textId="77777777" w:rsidR="005A3FE0" w:rsidRPr="00296603" w:rsidRDefault="005A3FE0"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MCHC</w:t>
            </w:r>
          </w:p>
        </w:tc>
        <w:tc>
          <w:tcPr>
            <w:tcW w:w="1464" w:type="dxa"/>
            <w:noWrap/>
            <w:vAlign w:val="center"/>
            <w:hideMark/>
          </w:tcPr>
          <w:p w14:paraId="4226C384"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33.99 ± 2.08</w:t>
            </w:r>
          </w:p>
        </w:tc>
        <w:tc>
          <w:tcPr>
            <w:tcW w:w="1530" w:type="dxa"/>
            <w:noWrap/>
            <w:vAlign w:val="center"/>
            <w:hideMark/>
          </w:tcPr>
          <w:p w14:paraId="64276ADB"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32.29 ± 2.62</w:t>
            </w:r>
          </w:p>
        </w:tc>
        <w:tc>
          <w:tcPr>
            <w:tcW w:w="1710" w:type="dxa"/>
            <w:noWrap/>
            <w:vAlign w:val="center"/>
            <w:hideMark/>
          </w:tcPr>
          <w:p w14:paraId="573B2D79"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34.1 (32.68-35.45)</w:t>
            </w:r>
          </w:p>
        </w:tc>
        <w:tc>
          <w:tcPr>
            <w:tcW w:w="1710" w:type="dxa"/>
            <w:noWrap/>
            <w:vAlign w:val="center"/>
            <w:hideMark/>
          </w:tcPr>
          <w:p w14:paraId="144C539A"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31.9 (30.7-33.5)</w:t>
            </w:r>
          </w:p>
        </w:tc>
        <w:tc>
          <w:tcPr>
            <w:tcW w:w="990" w:type="dxa"/>
            <w:noWrap/>
            <w:vAlign w:val="center"/>
            <w:hideMark/>
          </w:tcPr>
          <w:p w14:paraId="4F2FE9DA"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32-36</w:t>
            </w:r>
          </w:p>
        </w:tc>
        <w:tc>
          <w:tcPr>
            <w:tcW w:w="1196" w:type="dxa"/>
            <w:noWrap/>
            <w:vAlign w:val="center"/>
            <w:hideMark/>
          </w:tcPr>
          <w:p w14:paraId="7C2B1ECB"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g/dL</w:t>
            </w:r>
          </w:p>
        </w:tc>
      </w:tr>
      <w:tr w:rsidR="005A3FE0" w:rsidRPr="00296603" w14:paraId="31C6CDA7" w14:textId="77777777" w:rsidTr="005A3FE0">
        <w:trPr>
          <w:trHeight w:val="280"/>
        </w:trPr>
        <w:tc>
          <w:tcPr>
            <w:tcW w:w="1425" w:type="dxa"/>
            <w:noWrap/>
            <w:vAlign w:val="center"/>
            <w:hideMark/>
          </w:tcPr>
          <w:p w14:paraId="1E362758" w14:textId="77777777" w:rsidR="005A3FE0" w:rsidRPr="00296603" w:rsidRDefault="005A3FE0"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MCV</w:t>
            </w:r>
          </w:p>
        </w:tc>
        <w:tc>
          <w:tcPr>
            <w:tcW w:w="1464" w:type="dxa"/>
            <w:noWrap/>
            <w:vAlign w:val="center"/>
            <w:hideMark/>
          </w:tcPr>
          <w:p w14:paraId="1E90175D"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89.72 ± 7.77</w:t>
            </w:r>
          </w:p>
        </w:tc>
        <w:tc>
          <w:tcPr>
            <w:tcW w:w="1530" w:type="dxa"/>
            <w:noWrap/>
            <w:vAlign w:val="center"/>
            <w:hideMark/>
          </w:tcPr>
          <w:p w14:paraId="18DD0DB3"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85.96 ± 9.06</w:t>
            </w:r>
          </w:p>
        </w:tc>
        <w:tc>
          <w:tcPr>
            <w:tcW w:w="1710" w:type="dxa"/>
            <w:noWrap/>
            <w:vAlign w:val="center"/>
            <w:hideMark/>
          </w:tcPr>
          <w:p w14:paraId="7363475E"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90.8 (85.47-93.6)</w:t>
            </w:r>
          </w:p>
        </w:tc>
        <w:tc>
          <w:tcPr>
            <w:tcW w:w="1710" w:type="dxa"/>
            <w:noWrap/>
            <w:vAlign w:val="center"/>
            <w:hideMark/>
          </w:tcPr>
          <w:p w14:paraId="42B5DBF5"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86.9 (77.75-91.3)</w:t>
            </w:r>
          </w:p>
        </w:tc>
        <w:tc>
          <w:tcPr>
            <w:tcW w:w="990" w:type="dxa"/>
            <w:noWrap/>
            <w:vAlign w:val="center"/>
            <w:hideMark/>
          </w:tcPr>
          <w:p w14:paraId="55C414C1"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80-100</w:t>
            </w:r>
          </w:p>
        </w:tc>
        <w:tc>
          <w:tcPr>
            <w:tcW w:w="1196" w:type="dxa"/>
            <w:noWrap/>
            <w:vAlign w:val="center"/>
            <w:hideMark/>
          </w:tcPr>
          <w:p w14:paraId="5E5D0647" w14:textId="77777777" w:rsidR="005A3FE0" w:rsidRPr="00296603" w:rsidRDefault="005A3FE0" w:rsidP="00D74830">
            <w:pPr>
              <w:spacing w:line="240" w:lineRule="auto"/>
              <w:jc w:val="center"/>
              <w:rPr>
                <w:rFonts w:ascii="Cambria" w:eastAsia="Times New Roman" w:hAnsi="Cambria" w:cs="Times New Roman"/>
                <w:color w:val="000000"/>
                <w:sz w:val="16"/>
                <w:szCs w:val="16"/>
              </w:rPr>
            </w:pPr>
            <w:proofErr w:type="spellStart"/>
            <w:r w:rsidRPr="00296603">
              <w:rPr>
                <w:rFonts w:ascii="Cambria" w:eastAsia="Times New Roman" w:hAnsi="Cambria" w:cs="Times New Roman"/>
                <w:color w:val="000000"/>
                <w:sz w:val="16"/>
                <w:szCs w:val="16"/>
              </w:rPr>
              <w:t>fL</w:t>
            </w:r>
            <w:proofErr w:type="spellEnd"/>
          </w:p>
        </w:tc>
      </w:tr>
      <w:tr w:rsidR="005A3FE0" w:rsidRPr="00296603" w14:paraId="5E2B3DCC" w14:textId="77777777" w:rsidTr="005A3FE0">
        <w:trPr>
          <w:trHeight w:val="280"/>
        </w:trPr>
        <w:tc>
          <w:tcPr>
            <w:tcW w:w="1425" w:type="dxa"/>
            <w:noWrap/>
            <w:vAlign w:val="center"/>
            <w:hideMark/>
          </w:tcPr>
          <w:p w14:paraId="32CC3CD0" w14:textId="77777777" w:rsidR="005A3FE0" w:rsidRPr="00296603" w:rsidRDefault="005A3FE0"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Platelets</w:t>
            </w:r>
          </w:p>
        </w:tc>
        <w:tc>
          <w:tcPr>
            <w:tcW w:w="1464" w:type="dxa"/>
            <w:noWrap/>
            <w:vAlign w:val="center"/>
            <w:hideMark/>
          </w:tcPr>
          <w:p w14:paraId="6045B36E"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293.99 ± 76.25</w:t>
            </w:r>
          </w:p>
        </w:tc>
        <w:tc>
          <w:tcPr>
            <w:tcW w:w="1530" w:type="dxa"/>
            <w:noWrap/>
            <w:vAlign w:val="center"/>
            <w:hideMark/>
          </w:tcPr>
          <w:p w14:paraId="6D0161D1"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176.46 ± 76.13</w:t>
            </w:r>
          </w:p>
        </w:tc>
        <w:tc>
          <w:tcPr>
            <w:tcW w:w="1710" w:type="dxa"/>
            <w:noWrap/>
            <w:vAlign w:val="center"/>
            <w:hideMark/>
          </w:tcPr>
          <w:p w14:paraId="69128D7A"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306 (234.75-348.25)</w:t>
            </w:r>
          </w:p>
        </w:tc>
        <w:tc>
          <w:tcPr>
            <w:tcW w:w="1710" w:type="dxa"/>
            <w:noWrap/>
            <w:vAlign w:val="center"/>
            <w:hideMark/>
          </w:tcPr>
          <w:p w14:paraId="07CA7995"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186 (120.25-226)</w:t>
            </w:r>
          </w:p>
        </w:tc>
        <w:tc>
          <w:tcPr>
            <w:tcW w:w="990" w:type="dxa"/>
            <w:noWrap/>
            <w:vAlign w:val="center"/>
            <w:hideMark/>
          </w:tcPr>
          <w:p w14:paraId="7DA7110E"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150-450</w:t>
            </w:r>
          </w:p>
        </w:tc>
        <w:tc>
          <w:tcPr>
            <w:tcW w:w="1196" w:type="dxa"/>
            <w:noWrap/>
            <w:vAlign w:val="center"/>
            <w:hideMark/>
          </w:tcPr>
          <w:p w14:paraId="0D4654AE"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×10⁹/L</w:t>
            </w:r>
          </w:p>
        </w:tc>
      </w:tr>
      <w:tr w:rsidR="005A3FE0" w:rsidRPr="00296603" w14:paraId="170ED7E3" w14:textId="77777777" w:rsidTr="005A3FE0">
        <w:trPr>
          <w:trHeight w:val="280"/>
        </w:trPr>
        <w:tc>
          <w:tcPr>
            <w:tcW w:w="1425" w:type="dxa"/>
            <w:noWrap/>
            <w:vAlign w:val="center"/>
            <w:hideMark/>
          </w:tcPr>
          <w:p w14:paraId="3BEEA9DB" w14:textId="77777777" w:rsidR="005A3FE0" w:rsidRPr="00296603" w:rsidRDefault="005A3FE0"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RBC</w:t>
            </w:r>
          </w:p>
        </w:tc>
        <w:tc>
          <w:tcPr>
            <w:tcW w:w="1464" w:type="dxa"/>
            <w:noWrap/>
            <w:vAlign w:val="center"/>
            <w:hideMark/>
          </w:tcPr>
          <w:p w14:paraId="4DF6FBDE"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4.85 ± 0.56</w:t>
            </w:r>
          </w:p>
        </w:tc>
        <w:tc>
          <w:tcPr>
            <w:tcW w:w="1530" w:type="dxa"/>
            <w:noWrap/>
            <w:vAlign w:val="center"/>
            <w:hideMark/>
          </w:tcPr>
          <w:p w14:paraId="17294E2A"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4.08 ± 0.69</w:t>
            </w:r>
          </w:p>
        </w:tc>
        <w:tc>
          <w:tcPr>
            <w:tcW w:w="1710" w:type="dxa"/>
            <w:noWrap/>
            <w:vAlign w:val="center"/>
            <w:hideMark/>
          </w:tcPr>
          <w:p w14:paraId="26A864EC"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4.84 (4.52-5.2)</w:t>
            </w:r>
          </w:p>
        </w:tc>
        <w:tc>
          <w:tcPr>
            <w:tcW w:w="1710" w:type="dxa"/>
            <w:noWrap/>
            <w:vAlign w:val="center"/>
            <w:hideMark/>
          </w:tcPr>
          <w:p w14:paraId="25346609"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4.06 (3.63-4.58)</w:t>
            </w:r>
          </w:p>
        </w:tc>
        <w:tc>
          <w:tcPr>
            <w:tcW w:w="990" w:type="dxa"/>
            <w:noWrap/>
            <w:vAlign w:val="center"/>
            <w:hideMark/>
          </w:tcPr>
          <w:p w14:paraId="663B38DD"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4.1-5.9</w:t>
            </w:r>
          </w:p>
        </w:tc>
        <w:tc>
          <w:tcPr>
            <w:tcW w:w="1196" w:type="dxa"/>
            <w:noWrap/>
            <w:vAlign w:val="center"/>
            <w:hideMark/>
          </w:tcPr>
          <w:p w14:paraId="09016F13"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×10¹²/L</w:t>
            </w:r>
          </w:p>
        </w:tc>
      </w:tr>
      <w:tr w:rsidR="005A3FE0" w:rsidRPr="00296603" w14:paraId="5E4E54A5" w14:textId="77777777" w:rsidTr="005A3FE0">
        <w:trPr>
          <w:trHeight w:val="280"/>
        </w:trPr>
        <w:tc>
          <w:tcPr>
            <w:tcW w:w="1425" w:type="dxa"/>
            <w:noWrap/>
            <w:vAlign w:val="center"/>
            <w:hideMark/>
          </w:tcPr>
          <w:p w14:paraId="2F7CEAD8" w14:textId="77777777" w:rsidR="005A3FE0" w:rsidRPr="00296603" w:rsidRDefault="005A3FE0"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WBC</w:t>
            </w:r>
          </w:p>
        </w:tc>
        <w:tc>
          <w:tcPr>
            <w:tcW w:w="1464" w:type="dxa"/>
            <w:noWrap/>
            <w:vAlign w:val="center"/>
            <w:hideMark/>
          </w:tcPr>
          <w:p w14:paraId="664A2FF7"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6.11 ± 1.85</w:t>
            </w:r>
          </w:p>
        </w:tc>
        <w:tc>
          <w:tcPr>
            <w:tcW w:w="1530" w:type="dxa"/>
            <w:noWrap/>
            <w:vAlign w:val="center"/>
            <w:hideMark/>
          </w:tcPr>
          <w:p w14:paraId="471F0C38"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7.57 ± 2.81</w:t>
            </w:r>
          </w:p>
        </w:tc>
        <w:tc>
          <w:tcPr>
            <w:tcW w:w="1710" w:type="dxa"/>
            <w:noWrap/>
            <w:vAlign w:val="center"/>
            <w:hideMark/>
          </w:tcPr>
          <w:p w14:paraId="0D2492FE"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5.96 (4.96-7.32)</w:t>
            </w:r>
          </w:p>
        </w:tc>
        <w:tc>
          <w:tcPr>
            <w:tcW w:w="1710" w:type="dxa"/>
            <w:noWrap/>
            <w:vAlign w:val="center"/>
            <w:hideMark/>
          </w:tcPr>
          <w:p w14:paraId="4F27DB29"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7.66 (5.46-9.52)</w:t>
            </w:r>
          </w:p>
        </w:tc>
        <w:tc>
          <w:tcPr>
            <w:tcW w:w="990" w:type="dxa"/>
            <w:noWrap/>
            <w:vAlign w:val="center"/>
            <w:hideMark/>
          </w:tcPr>
          <w:p w14:paraId="470F9946"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4.0-11.0</w:t>
            </w:r>
          </w:p>
        </w:tc>
        <w:tc>
          <w:tcPr>
            <w:tcW w:w="1196" w:type="dxa"/>
            <w:noWrap/>
            <w:vAlign w:val="center"/>
            <w:hideMark/>
          </w:tcPr>
          <w:p w14:paraId="3C77E30E"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×10⁹/L</w:t>
            </w:r>
          </w:p>
        </w:tc>
      </w:tr>
      <w:tr w:rsidR="005A3FE0" w:rsidRPr="00296603" w14:paraId="184F3803" w14:textId="77777777" w:rsidTr="005A3FE0">
        <w:trPr>
          <w:trHeight w:val="280"/>
        </w:trPr>
        <w:tc>
          <w:tcPr>
            <w:tcW w:w="10025" w:type="dxa"/>
            <w:gridSpan w:val="7"/>
            <w:noWrap/>
            <w:vAlign w:val="center"/>
            <w:hideMark/>
          </w:tcPr>
          <w:p w14:paraId="7E121F7F" w14:textId="77777777" w:rsidR="005A3FE0" w:rsidRPr="00296603" w:rsidRDefault="005A3FE0" w:rsidP="00D74830">
            <w:pPr>
              <w:spacing w:line="240" w:lineRule="auto"/>
              <w:jc w:val="left"/>
              <w:rPr>
                <w:rFonts w:ascii="Cambria" w:eastAsia="Times New Roman" w:hAnsi="Cambria" w:cs="Times New Roman"/>
                <w:b/>
                <w:bCs/>
                <w:color w:val="000000"/>
                <w:sz w:val="16"/>
                <w:szCs w:val="16"/>
              </w:rPr>
            </w:pPr>
            <w:r w:rsidRPr="00296603">
              <w:rPr>
                <w:rFonts w:ascii="Cambria" w:eastAsia="Times New Roman" w:hAnsi="Cambria" w:cs="Times New Roman"/>
                <w:b/>
                <w:bCs/>
                <w:color w:val="000000"/>
                <w:sz w:val="16"/>
                <w:szCs w:val="16"/>
              </w:rPr>
              <w:t>Parasitological Parameters</w:t>
            </w:r>
          </w:p>
        </w:tc>
      </w:tr>
      <w:tr w:rsidR="005A3FE0" w:rsidRPr="00296603" w14:paraId="0572ECFD" w14:textId="77777777" w:rsidTr="005A3FE0">
        <w:trPr>
          <w:trHeight w:val="280"/>
        </w:trPr>
        <w:tc>
          <w:tcPr>
            <w:tcW w:w="1425" w:type="dxa"/>
            <w:noWrap/>
            <w:vAlign w:val="center"/>
            <w:hideMark/>
          </w:tcPr>
          <w:p w14:paraId="32247BB8" w14:textId="77777777" w:rsidR="005A3FE0" w:rsidRPr="00296603" w:rsidRDefault="005A3FE0" w:rsidP="00D74830">
            <w:pPr>
              <w:spacing w:line="240" w:lineRule="auto"/>
              <w:jc w:val="left"/>
              <w:rPr>
                <w:rFonts w:ascii="Cambria" w:eastAsia="Times New Roman" w:hAnsi="Cambria" w:cs="Times New Roman"/>
                <w:color w:val="000000"/>
                <w:sz w:val="16"/>
                <w:szCs w:val="16"/>
              </w:rPr>
            </w:pPr>
            <w:proofErr w:type="spellStart"/>
            <w:r w:rsidRPr="00296603">
              <w:rPr>
                <w:rFonts w:ascii="Cambria" w:eastAsia="Times New Roman" w:hAnsi="Cambria" w:cs="Times New Roman"/>
                <w:color w:val="000000"/>
                <w:sz w:val="16"/>
                <w:szCs w:val="16"/>
              </w:rPr>
              <w:t>Parasite_Count</w:t>
            </w:r>
            <w:proofErr w:type="spellEnd"/>
          </w:p>
        </w:tc>
        <w:tc>
          <w:tcPr>
            <w:tcW w:w="1464" w:type="dxa"/>
            <w:noWrap/>
            <w:vAlign w:val="center"/>
            <w:hideMark/>
          </w:tcPr>
          <w:p w14:paraId="3CAB1743"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758.37 ± 1216.94</w:t>
            </w:r>
          </w:p>
        </w:tc>
        <w:tc>
          <w:tcPr>
            <w:tcW w:w="1530" w:type="dxa"/>
            <w:noWrap/>
            <w:vAlign w:val="center"/>
            <w:hideMark/>
          </w:tcPr>
          <w:p w14:paraId="0AA841E1"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2556.26 ± 2117.73</w:t>
            </w:r>
          </w:p>
        </w:tc>
        <w:tc>
          <w:tcPr>
            <w:tcW w:w="1710" w:type="dxa"/>
            <w:noWrap/>
            <w:vAlign w:val="center"/>
            <w:hideMark/>
          </w:tcPr>
          <w:p w14:paraId="73F414B9"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371.5 (162.5-982.5)</w:t>
            </w:r>
          </w:p>
        </w:tc>
        <w:tc>
          <w:tcPr>
            <w:tcW w:w="1710" w:type="dxa"/>
            <w:noWrap/>
            <w:vAlign w:val="center"/>
            <w:hideMark/>
          </w:tcPr>
          <w:p w14:paraId="75CC020D"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2218 (953-3662.75)</w:t>
            </w:r>
          </w:p>
        </w:tc>
        <w:tc>
          <w:tcPr>
            <w:tcW w:w="990" w:type="dxa"/>
            <w:noWrap/>
            <w:vAlign w:val="center"/>
            <w:hideMark/>
          </w:tcPr>
          <w:p w14:paraId="2E77AEE0"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Variable</w:t>
            </w:r>
          </w:p>
        </w:tc>
        <w:tc>
          <w:tcPr>
            <w:tcW w:w="1196" w:type="dxa"/>
            <w:noWrap/>
            <w:vAlign w:val="center"/>
            <w:hideMark/>
          </w:tcPr>
          <w:p w14:paraId="407C8E7B"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parasites/</w:t>
            </w:r>
            <w:proofErr w:type="spellStart"/>
            <w:r w:rsidRPr="00296603">
              <w:rPr>
                <w:rFonts w:ascii="Cambria" w:eastAsia="Times New Roman" w:hAnsi="Cambria" w:cs="Times New Roman"/>
                <w:color w:val="000000"/>
                <w:sz w:val="16"/>
                <w:szCs w:val="16"/>
              </w:rPr>
              <w:t>μL</w:t>
            </w:r>
            <w:proofErr w:type="spellEnd"/>
          </w:p>
        </w:tc>
      </w:tr>
      <w:tr w:rsidR="005A3FE0" w:rsidRPr="00296603" w14:paraId="29EF6F92" w14:textId="77777777" w:rsidTr="005A3FE0">
        <w:trPr>
          <w:trHeight w:val="280"/>
        </w:trPr>
        <w:tc>
          <w:tcPr>
            <w:tcW w:w="1425" w:type="dxa"/>
            <w:noWrap/>
            <w:vAlign w:val="center"/>
            <w:hideMark/>
          </w:tcPr>
          <w:p w14:paraId="24FA5365" w14:textId="77777777" w:rsidR="005A3FE0" w:rsidRPr="00296603" w:rsidRDefault="005A3FE0" w:rsidP="00D74830">
            <w:pPr>
              <w:spacing w:line="240" w:lineRule="auto"/>
              <w:jc w:val="left"/>
              <w:rPr>
                <w:rFonts w:ascii="Cambria" w:eastAsia="Times New Roman" w:hAnsi="Cambria" w:cs="Times New Roman"/>
                <w:color w:val="000000"/>
                <w:sz w:val="16"/>
                <w:szCs w:val="16"/>
              </w:rPr>
            </w:pPr>
            <w:proofErr w:type="spellStart"/>
            <w:r w:rsidRPr="00296603">
              <w:rPr>
                <w:rFonts w:ascii="Cambria" w:eastAsia="Times New Roman" w:hAnsi="Cambria" w:cs="Times New Roman"/>
                <w:color w:val="000000"/>
                <w:sz w:val="16"/>
                <w:szCs w:val="16"/>
              </w:rPr>
              <w:t>Parasite_Density</w:t>
            </w:r>
            <w:proofErr w:type="spellEnd"/>
          </w:p>
        </w:tc>
        <w:tc>
          <w:tcPr>
            <w:tcW w:w="1464" w:type="dxa"/>
            <w:noWrap/>
            <w:vAlign w:val="center"/>
            <w:hideMark/>
          </w:tcPr>
          <w:p w14:paraId="325E06FC"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758.37 ± 1216.94</w:t>
            </w:r>
          </w:p>
        </w:tc>
        <w:tc>
          <w:tcPr>
            <w:tcW w:w="1530" w:type="dxa"/>
            <w:noWrap/>
            <w:vAlign w:val="center"/>
            <w:hideMark/>
          </w:tcPr>
          <w:p w14:paraId="5C3EBB5A"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2556.26 ± 2117.73</w:t>
            </w:r>
          </w:p>
        </w:tc>
        <w:tc>
          <w:tcPr>
            <w:tcW w:w="1710" w:type="dxa"/>
            <w:noWrap/>
            <w:vAlign w:val="center"/>
            <w:hideMark/>
          </w:tcPr>
          <w:p w14:paraId="6DA6424F"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371.5 (162.5-982.5)</w:t>
            </w:r>
          </w:p>
        </w:tc>
        <w:tc>
          <w:tcPr>
            <w:tcW w:w="1710" w:type="dxa"/>
            <w:noWrap/>
            <w:vAlign w:val="center"/>
            <w:hideMark/>
          </w:tcPr>
          <w:p w14:paraId="1E4AD001"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2218 (953-3662.75)</w:t>
            </w:r>
          </w:p>
        </w:tc>
        <w:tc>
          <w:tcPr>
            <w:tcW w:w="990" w:type="dxa"/>
            <w:noWrap/>
            <w:vAlign w:val="center"/>
            <w:hideMark/>
          </w:tcPr>
          <w:p w14:paraId="371A8138"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Variable</w:t>
            </w:r>
          </w:p>
        </w:tc>
        <w:tc>
          <w:tcPr>
            <w:tcW w:w="1196" w:type="dxa"/>
            <w:noWrap/>
            <w:vAlign w:val="center"/>
            <w:hideMark/>
          </w:tcPr>
          <w:p w14:paraId="0EDC066E" w14:textId="77777777" w:rsidR="005A3FE0" w:rsidRPr="00296603" w:rsidRDefault="005A3FE0"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parasites/</w:t>
            </w:r>
            <w:proofErr w:type="spellStart"/>
            <w:r w:rsidRPr="00296603">
              <w:rPr>
                <w:rFonts w:ascii="Cambria" w:eastAsia="Times New Roman" w:hAnsi="Cambria" w:cs="Times New Roman"/>
                <w:color w:val="000000"/>
                <w:sz w:val="16"/>
                <w:szCs w:val="16"/>
              </w:rPr>
              <w:t>μL</w:t>
            </w:r>
            <w:proofErr w:type="spellEnd"/>
          </w:p>
        </w:tc>
      </w:tr>
    </w:tbl>
    <w:p w14:paraId="61980410" w14:textId="77777777" w:rsidR="005A3FE0" w:rsidRPr="00296603" w:rsidRDefault="005A3FE0" w:rsidP="005A3FE0">
      <w:pPr>
        <w:spacing w:line="360" w:lineRule="auto"/>
        <w:rPr>
          <w:rFonts w:ascii="Times New Roman" w:hAnsi="Times New Roman" w:cs="Times New Roman"/>
          <w:sz w:val="20"/>
          <w:szCs w:val="20"/>
        </w:rPr>
      </w:pPr>
    </w:p>
    <w:p w14:paraId="1FE0B35B" w14:textId="77777777" w:rsidR="00227EC0" w:rsidRPr="00296603" w:rsidRDefault="00227EC0" w:rsidP="00227EC0">
      <w:pPr>
        <w:spacing w:after="160" w:line="360" w:lineRule="auto"/>
        <w:rPr>
          <w:rFonts w:ascii="Times New Roman" w:hAnsi="Times New Roman" w:cs="Times New Roman"/>
          <w:sz w:val="20"/>
          <w:szCs w:val="20"/>
        </w:rPr>
      </w:pPr>
      <w:r w:rsidRPr="00296603">
        <w:rPr>
          <w:rFonts w:ascii="Times New Roman" w:hAnsi="Times New Roman" w:cs="Times New Roman"/>
          <w:sz w:val="20"/>
          <w:szCs w:val="20"/>
        </w:rPr>
        <w:t>Statistical comparison confirmed that many of these differ</w:t>
      </w:r>
      <w:r w:rsidR="002408AF" w:rsidRPr="00296603">
        <w:rPr>
          <w:rFonts w:ascii="Times New Roman" w:hAnsi="Times New Roman" w:cs="Times New Roman"/>
          <w:sz w:val="20"/>
          <w:szCs w:val="20"/>
        </w:rPr>
        <w:t xml:space="preserve">ences were significant (Table </w:t>
      </w:r>
      <w:r w:rsidRPr="00296603">
        <w:rPr>
          <w:rFonts w:ascii="Times New Roman" w:hAnsi="Times New Roman" w:cs="Times New Roman"/>
          <w:sz w:val="20"/>
          <w:szCs w:val="20"/>
        </w:rPr>
        <w:t xml:space="preserve">2). </w:t>
      </w:r>
      <w:proofErr w:type="spellStart"/>
      <w:r w:rsidRPr="00296603">
        <w:rPr>
          <w:rFonts w:ascii="Times New Roman" w:hAnsi="Times New Roman" w:cs="Times New Roman"/>
          <w:sz w:val="20"/>
          <w:szCs w:val="20"/>
        </w:rPr>
        <w:t>Haemoglobin</w:t>
      </w:r>
      <w:proofErr w:type="spellEnd"/>
      <w:r w:rsidRPr="00296603">
        <w:rPr>
          <w:rFonts w:ascii="Times New Roman" w:hAnsi="Times New Roman" w:cs="Times New Roman"/>
          <w:sz w:val="20"/>
          <w:szCs w:val="20"/>
        </w:rPr>
        <w:t xml:space="preserve"> and RBC counts were significantly lower i</w:t>
      </w:r>
      <w:r w:rsidR="005A3FE0" w:rsidRPr="00296603">
        <w:rPr>
          <w:rFonts w:ascii="Times New Roman" w:hAnsi="Times New Roman" w:cs="Times New Roman"/>
          <w:sz w:val="20"/>
          <w:szCs w:val="20"/>
        </w:rPr>
        <w:t>n symptomatic participants (p &lt; 0.001</w:t>
      </w:r>
      <w:r w:rsidRPr="00296603">
        <w:rPr>
          <w:rFonts w:ascii="Times New Roman" w:hAnsi="Times New Roman" w:cs="Times New Roman"/>
          <w:sz w:val="20"/>
          <w:szCs w:val="20"/>
        </w:rPr>
        <w:t>), both demonstrating large effect sizes. MCV and MCH were also significantly reduced (p = 0.014 and p = 0.022, respectively), though with smaller effect sizes. MCHC showed a significant reduction usi</w:t>
      </w:r>
      <w:r w:rsidR="005A3FE0" w:rsidRPr="00296603">
        <w:rPr>
          <w:rFonts w:ascii="Times New Roman" w:hAnsi="Times New Roman" w:cs="Times New Roman"/>
          <w:sz w:val="20"/>
          <w:szCs w:val="20"/>
        </w:rPr>
        <w:t xml:space="preserve">ng the Mann–Whitney U test (p &lt; </w:t>
      </w:r>
      <w:r w:rsidRPr="00296603">
        <w:rPr>
          <w:rFonts w:ascii="Times New Roman" w:hAnsi="Times New Roman" w:cs="Times New Roman"/>
          <w:sz w:val="20"/>
          <w:szCs w:val="20"/>
        </w:rPr>
        <w:t>0.00</w:t>
      </w:r>
      <w:r w:rsidR="005A3FE0" w:rsidRPr="00296603">
        <w:rPr>
          <w:rFonts w:ascii="Times New Roman" w:hAnsi="Times New Roman" w:cs="Times New Roman"/>
          <w:sz w:val="20"/>
          <w:szCs w:val="20"/>
        </w:rPr>
        <w:t>1</w:t>
      </w:r>
      <w:r w:rsidRPr="00296603">
        <w:rPr>
          <w:rFonts w:ascii="Times New Roman" w:hAnsi="Times New Roman" w:cs="Times New Roman"/>
          <w:sz w:val="20"/>
          <w:szCs w:val="20"/>
        </w:rPr>
        <w:t xml:space="preserve">) with a large effect size. Platelet counts exhibited a highly significant decrease </w:t>
      </w:r>
      <w:r w:rsidR="005A3FE0" w:rsidRPr="00296603">
        <w:rPr>
          <w:rFonts w:ascii="Times New Roman" w:hAnsi="Times New Roman" w:cs="Times New Roman"/>
          <w:sz w:val="20"/>
          <w:szCs w:val="20"/>
        </w:rPr>
        <w:t>in symptomatic participants (p &lt; 0.001</w:t>
      </w:r>
      <w:r w:rsidRPr="00296603">
        <w:rPr>
          <w:rFonts w:ascii="Times New Roman" w:hAnsi="Times New Roman" w:cs="Times New Roman"/>
          <w:sz w:val="20"/>
          <w:szCs w:val="20"/>
        </w:rPr>
        <w:t>) with a large effect size, while WBC counts were significantly higher (p = 0.001) with a medium effect size.</w:t>
      </w:r>
    </w:p>
    <w:p w14:paraId="0A4D5FDC" w14:textId="77777777" w:rsidR="00227EC0" w:rsidRPr="00296603" w:rsidRDefault="00227EC0" w:rsidP="00227EC0">
      <w:pPr>
        <w:spacing w:after="160" w:line="360" w:lineRule="auto"/>
        <w:rPr>
          <w:rFonts w:ascii="Times New Roman" w:hAnsi="Times New Roman" w:cs="Times New Roman"/>
          <w:sz w:val="20"/>
          <w:szCs w:val="20"/>
        </w:rPr>
      </w:pPr>
      <w:r w:rsidRPr="00296603">
        <w:rPr>
          <w:rFonts w:ascii="Times New Roman" w:hAnsi="Times New Roman" w:cs="Times New Roman"/>
          <w:sz w:val="20"/>
          <w:szCs w:val="20"/>
        </w:rPr>
        <w:t>Biochemical parameters demonstrated similarly strong statistical differences. AST and ALT were significantly el</w:t>
      </w:r>
      <w:r w:rsidR="005A3FE0" w:rsidRPr="00296603">
        <w:rPr>
          <w:rFonts w:ascii="Times New Roman" w:hAnsi="Times New Roman" w:cs="Times New Roman"/>
          <w:sz w:val="20"/>
          <w:szCs w:val="20"/>
        </w:rPr>
        <w:t>evated in symptomatic cases (p &lt; 0.001</w:t>
      </w:r>
      <w:r w:rsidRPr="00296603">
        <w:rPr>
          <w:rFonts w:ascii="Times New Roman" w:hAnsi="Times New Roman" w:cs="Times New Roman"/>
          <w:sz w:val="20"/>
          <w:szCs w:val="20"/>
        </w:rPr>
        <w:t>), both with large effect sizes. Total, direct, and indirect bilirubin concentrations were al</w:t>
      </w:r>
      <w:r w:rsidR="005A3FE0" w:rsidRPr="00296603">
        <w:rPr>
          <w:rFonts w:ascii="Times New Roman" w:hAnsi="Times New Roman" w:cs="Times New Roman"/>
          <w:sz w:val="20"/>
          <w:szCs w:val="20"/>
        </w:rPr>
        <w:t>so significantly higher (all p &lt; 0.001</w:t>
      </w:r>
      <w:r w:rsidRPr="00296603">
        <w:rPr>
          <w:rFonts w:ascii="Times New Roman" w:hAnsi="Times New Roman" w:cs="Times New Roman"/>
          <w:sz w:val="20"/>
          <w:szCs w:val="20"/>
        </w:rPr>
        <w:t xml:space="preserve">), each with large effect sizes. Renal markers, including urea and creatinine, showed significant increases </w:t>
      </w:r>
      <w:r w:rsidR="005A3FE0" w:rsidRPr="00296603">
        <w:rPr>
          <w:rFonts w:ascii="Times New Roman" w:hAnsi="Times New Roman" w:cs="Times New Roman"/>
          <w:sz w:val="20"/>
          <w:szCs w:val="20"/>
        </w:rPr>
        <w:t>in symptomatic participants (p &lt; 0.0</w:t>
      </w:r>
      <w:r w:rsidRPr="00296603">
        <w:rPr>
          <w:rFonts w:ascii="Times New Roman" w:hAnsi="Times New Roman" w:cs="Times New Roman"/>
          <w:sz w:val="20"/>
          <w:szCs w:val="20"/>
        </w:rPr>
        <w:t>0</w:t>
      </w:r>
      <w:r w:rsidR="005A3FE0" w:rsidRPr="00296603">
        <w:rPr>
          <w:rFonts w:ascii="Times New Roman" w:hAnsi="Times New Roman" w:cs="Times New Roman"/>
          <w:sz w:val="20"/>
          <w:szCs w:val="20"/>
        </w:rPr>
        <w:t>1</w:t>
      </w:r>
      <w:r w:rsidRPr="00296603">
        <w:rPr>
          <w:rFonts w:ascii="Times New Roman" w:hAnsi="Times New Roman" w:cs="Times New Roman"/>
          <w:sz w:val="20"/>
          <w:szCs w:val="20"/>
        </w:rPr>
        <w:t>), again with large</w:t>
      </w:r>
      <w:r w:rsidR="002408AF" w:rsidRPr="00296603">
        <w:rPr>
          <w:rFonts w:ascii="Times New Roman" w:hAnsi="Times New Roman" w:cs="Times New Roman"/>
          <w:sz w:val="20"/>
          <w:szCs w:val="20"/>
        </w:rPr>
        <w:t xml:space="preserve"> effect sizes. Overall, Table </w:t>
      </w:r>
      <w:r w:rsidRPr="00296603">
        <w:rPr>
          <w:rFonts w:ascii="Times New Roman" w:hAnsi="Times New Roman" w:cs="Times New Roman"/>
          <w:sz w:val="20"/>
          <w:szCs w:val="20"/>
        </w:rPr>
        <w:t>2 demonstrates that most laboratory differences between groups were not only statistically significant but also of considerable magnitude.</w:t>
      </w:r>
    </w:p>
    <w:p w14:paraId="55633E6E" w14:textId="77777777" w:rsidR="001269D6" w:rsidRPr="00296603" w:rsidRDefault="001269D6" w:rsidP="00227EC0">
      <w:pPr>
        <w:spacing w:after="160" w:line="360" w:lineRule="auto"/>
        <w:rPr>
          <w:rFonts w:ascii="Times New Roman" w:hAnsi="Times New Roman" w:cs="Times New Roman"/>
          <w:sz w:val="20"/>
          <w:szCs w:val="20"/>
        </w:rPr>
      </w:pPr>
    </w:p>
    <w:p w14:paraId="5B5EF50D" w14:textId="77777777" w:rsidR="001269D6" w:rsidRPr="00296603" w:rsidRDefault="001269D6" w:rsidP="00227EC0">
      <w:pPr>
        <w:spacing w:after="160" w:line="360" w:lineRule="auto"/>
        <w:rPr>
          <w:rFonts w:ascii="Times New Roman" w:hAnsi="Times New Roman" w:cs="Times New Roman"/>
          <w:sz w:val="20"/>
          <w:szCs w:val="20"/>
        </w:rPr>
      </w:pPr>
    </w:p>
    <w:p w14:paraId="64EBCD8F" w14:textId="77777777" w:rsidR="001269D6" w:rsidRPr="00296603" w:rsidRDefault="001269D6" w:rsidP="00227EC0">
      <w:pPr>
        <w:spacing w:after="160" w:line="360" w:lineRule="auto"/>
        <w:rPr>
          <w:rFonts w:ascii="Times New Roman" w:hAnsi="Times New Roman" w:cs="Times New Roman"/>
          <w:sz w:val="20"/>
          <w:szCs w:val="20"/>
        </w:rPr>
      </w:pPr>
    </w:p>
    <w:p w14:paraId="4539DEFC" w14:textId="77777777" w:rsidR="001269D6" w:rsidRPr="00296603" w:rsidRDefault="001269D6" w:rsidP="00227EC0">
      <w:pPr>
        <w:spacing w:after="160" w:line="360" w:lineRule="auto"/>
        <w:rPr>
          <w:rFonts w:ascii="Times New Roman" w:hAnsi="Times New Roman" w:cs="Times New Roman"/>
          <w:sz w:val="20"/>
          <w:szCs w:val="20"/>
        </w:rPr>
      </w:pPr>
    </w:p>
    <w:p w14:paraId="582C42EF" w14:textId="77777777" w:rsidR="001269D6" w:rsidRPr="00296603" w:rsidRDefault="002408AF" w:rsidP="001269D6">
      <w:pPr>
        <w:spacing w:line="276" w:lineRule="auto"/>
        <w:rPr>
          <w:rFonts w:ascii="Times New Roman" w:hAnsi="Times New Roman" w:cs="Times New Roman"/>
          <w:b/>
          <w:sz w:val="24"/>
          <w:szCs w:val="24"/>
        </w:rPr>
      </w:pPr>
      <w:r w:rsidRPr="00296603">
        <w:rPr>
          <w:rFonts w:ascii="Times New Roman" w:hAnsi="Times New Roman" w:cs="Times New Roman"/>
          <w:b/>
          <w:sz w:val="24"/>
          <w:szCs w:val="24"/>
        </w:rPr>
        <w:lastRenderedPageBreak/>
        <w:t xml:space="preserve">Table </w:t>
      </w:r>
      <w:r w:rsidR="001269D6" w:rsidRPr="00296603">
        <w:rPr>
          <w:rFonts w:ascii="Times New Roman" w:hAnsi="Times New Roman" w:cs="Times New Roman"/>
          <w:b/>
          <w:sz w:val="24"/>
          <w:szCs w:val="24"/>
        </w:rPr>
        <w:t>2: Statistical Comparison of Parameters between Groups</w:t>
      </w:r>
    </w:p>
    <w:tbl>
      <w:tblPr>
        <w:tblW w:w="10226" w:type="dxa"/>
        <w:tblInd w:w="-5" w:type="dxa"/>
        <w:tblBorders>
          <w:top w:val="single" w:sz="4" w:space="0" w:color="auto"/>
          <w:bottom w:val="single" w:sz="4" w:space="0" w:color="auto"/>
        </w:tblBorders>
        <w:tblLook w:val="04A0" w:firstRow="1" w:lastRow="0" w:firstColumn="1" w:lastColumn="0" w:noHBand="0" w:noVBand="1"/>
      </w:tblPr>
      <w:tblGrid>
        <w:gridCol w:w="1640"/>
        <w:gridCol w:w="1660"/>
        <w:gridCol w:w="1290"/>
        <w:gridCol w:w="1440"/>
        <w:gridCol w:w="1080"/>
        <w:gridCol w:w="816"/>
        <w:gridCol w:w="1160"/>
        <w:gridCol w:w="1140"/>
      </w:tblGrid>
      <w:tr w:rsidR="001269D6" w:rsidRPr="00296603" w14:paraId="2718392A" w14:textId="77777777" w:rsidTr="00D74830">
        <w:trPr>
          <w:trHeight w:val="280"/>
        </w:trPr>
        <w:tc>
          <w:tcPr>
            <w:tcW w:w="1640" w:type="dxa"/>
            <w:tcBorders>
              <w:top w:val="single" w:sz="4" w:space="0" w:color="auto"/>
              <w:bottom w:val="single" w:sz="4" w:space="0" w:color="auto"/>
            </w:tcBorders>
            <w:noWrap/>
            <w:vAlign w:val="center"/>
            <w:hideMark/>
          </w:tcPr>
          <w:p w14:paraId="3510BF6A"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Parameter</w:t>
            </w:r>
          </w:p>
        </w:tc>
        <w:tc>
          <w:tcPr>
            <w:tcW w:w="1660" w:type="dxa"/>
            <w:tcBorders>
              <w:top w:val="single" w:sz="4" w:space="0" w:color="auto"/>
              <w:bottom w:val="single" w:sz="4" w:space="0" w:color="auto"/>
            </w:tcBorders>
            <w:noWrap/>
            <w:vAlign w:val="center"/>
            <w:hideMark/>
          </w:tcPr>
          <w:p w14:paraId="5E8C1142"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Statistical Test</w:t>
            </w:r>
          </w:p>
        </w:tc>
        <w:tc>
          <w:tcPr>
            <w:tcW w:w="1290" w:type="dxa"/>
            <w:tcBorders>
              <w:top w:val="single" w:sz="4" w:space="0" w:color="auto"/>
              <w:bottom w:val="single" w:sz="4" w:space="0" w:color="auto"/>
            </w:tcBorders>
            <w:noWrap/>
            <w:vAlign w:val="center"/>
            <w:hideMark/>
          </w:tcPr>
          <w:p w14:paraId="3E7F0351"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Asymptomatic mean ± SD</w:t>
            </w:r>
          </w:p>
        </w:tc>
        <w:tc>
          <w:tcPr>
            <w:tcW w:w="1440" w:type="dxa"/>
            <w:tcBorders>
              <w:top w:val="single" w:sz="4" w:space="0" w:color="auto"/>
              <w:bottom w:val="single" w:sz="4" w:space="0" w:color="auto"/>
            </w:tcBorders>
            <w:noWrap/>
            <w:vAlign w:val="center"/>
            <w:hideMark/>
          </w:tcPr>
          <w:p w14:paraId="29AF1B4F"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Symptomatic Mean ± SD</w:t>
            </w:r>
          </w:p>
        </w:tc>
        <w:tc>
          <w:tcPr>
            <w:tcW w:w="1080" w:type="dxa"/>
            <w:tcBorders>
              <w:top w:val="single" w:sz="4" w:space="0" w:color="auto"/>
              <w:bottom w:val="single" w:sz="4" w:space="0" w:color="auto"/>
            </w:tcBorders>
            <w:noWrap/>
            <w:vAlign w:val="center"/>
            <w:hideMark/>
          </w:tcPr>
          <w:p w14:paraId="3DB77A38"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Test Statistic</w:t>
            </w:r>
          </w:p>
        </w:tc>
        <w:tc>
          <w:tcPr>
            <w:tcW w:w="816" w:type="dxa"/>
            <w:tcBorders>
              <w:top w:val="single" w:sz="4" w:space="0" w:color="auto"/>
              <w:bottom w:val="single" w:sz="4" w:space="0" w:color="auto"/>
            </w:tcBorders>
            <w:noWrap/>
            <w:vAlign w:val="center"/>
            <w:hideMark/>
          </w:tcPr>
          <w:p w14:paraId="42D88BFD"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p-value</w:t>
            </w:r>
          </w:p>
        </w:tc>
        <w:tc>
          <w:tcPr>
            <w:tcW w:w="1160" w:type="dxa"/>
            <w:tcBorders>
              <w:top w:val="single" w:sz="4" w:space="0" w:color="auto"/>
              <w:bottom w:val="single" w:sz="4" w:space="0" w:color="auto"/>
            </w:tcBorders>
            <w:noWrap/>
            <w:vAlign w:val="center"/>
            <w:hideMark/>
          </w:tcPr>
          <w:p w14:paraId="087F33FE"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Effect Size1</w:t>
            </w:r>
          </w:p>
        </w:tc>
        <w:tc>
          <w:tcPr>
            <w:tcW w:w="1140" w:type="dxa"/>
            <w:tcBorders>
              <w:top w:val="single" w:sz="4" w:space="0" w:color="auto"/>
              <w:bottom w:val="single" w:sz="4" w:space="0" w:color="auto"/>
            </w:tcBorders>
            <w:noWrap/>
            <w:vAlign w:val="center"/>
            <w:hideMark/>
          </w:tcPr>
          <w:p w14:paraId="12FA4AE7"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Significant2</w:t>
            </w:r>
          </w:p>
        </w:tc>
      </w:tr>
      <w:tr w:rsidR="001269D6" w:rsidRPr="00296603" w14:paraId="2AA6E59A" w14:textId="77777777" w:rsidTr="00D74830">
        <w:trPr>
          <w:trHeight w:val="280"/>
        </w:trPr>
        <w:tc>
          <w:tcPr>
            <w:tcW w:w="1640" w:type="dxa"/>
            <w:tcBorders>
              <w:top w:val="single" w:sz="4" w:space="0" w:color="auto"/>
            </w:tcBorders>
            <w:noWrap/>
            <w:vAlign w:val="center"/>
            <w:hideMark/>
          </w:tcPr>
          <w:p w14:paraId="6755D167" w14:textId="77777777" w:rsidR="001269D6" w:rsidRPr="00296603" w:rsidRDefault="001269D6"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Hemoglobin</w:t>
            </w:r>
          </w:p>
        </w:tc>
        <w:tc>
          <w:tcPr>
            <w:tcW w:w="1660" w:type="dxa"/>
            <w:tcBorders>
              <w:top w:val="single" w:sz="4" w:space="0" w:color="auto"/>
            </w:tcBorders>
            <w:noWrap/>
            <w:vAlign w:val="center"/>
            <w:hideMark/>
          </w:tcPr>
          <w:p w14:paraId="624F51C1" w14:textId="77777777" w:rsidR="001269D6" w:rsidRPr="00296603" w:rsidRDefault="001269D6"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Independent t-test</w:t>
            </w:r>
          </w:p>
        </w:tc>
        <w:tc>
          <w:tcPr>
            <w:tcW w:w="1290" w:type="dxa"/>
            <w:tcBorders>
              <w:top w:val="single" w:sz="4" w:space="0" w:color="auto"/>
            </w:tcBorders>
            <w:noWrap/>
            <w:vAlign w:val="center"/>
            <w:hideMark/>
          </w:tcPr>
          <w:p w14:paraId="18004430"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12.94 ± 2.01</w:t>
            </w:r>
          </w:p>
        </w:tc>
        <w:tc>
          <w:tcPr>
            <w:tcW w:w="1440" w:type="dxa"/>
            <w:tcBorders>
              <w:top w:val="single" w:sz="4" w:space="0" w:color="auto"/>
            </w:tcBorders>
            <w:noWrap/>
            <w:vAlign w:val="center"/>
            <w:hideMark/>
          </w:tcPr>
          <w:p w14:paraId="5D44AE91"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10.77 ± 2.36</w:t>
            </w:r>
          </w:p>
        </w:tc>
        <w:tc>
          <w:tcPr>
            <w:tcW w:w="1080" w:type="dxa"/>
            <w:tcBorders>
              <w:top w:val="single" w:sz="4" w:space="0" w:color="auto"/>
            </w:tcBorders>
            <w:noWrap/>
            <w:vAlign w:val="center"/>
            <w:hideMark/>
          </w:tcPr>
          <w:p w14:paraId="2EE9D54E"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5.563</w:t>
            </w:r>
          </w:p>
        </w:tc>
        <w:tc>
          <w:tcPr>
            <w:tcW w:w="816" w:type="dxa"/>
            <w:tcBorders>
              <w:top w:val="single" w:sz="4" w:space="0" w:color="auto"/>
            </w:tcBorders>
            <w:noWrap/>
            <w:vAlign w:val="center"/>
            <w:hideMark/>
          </w:tcPr>
          <w:p w14:paraId="5BA8E900"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0.000</w:t>
            </w:r>
          </w:p>
        </w:tc>
        <w:tc>
          <w:tcPr>
            <w:tcW w:w="1160" w:type="dxa"/>
            <w:tcBorders>
              <w:top w:val="single" w:sz="4" w:space="0" w:color="auto"/>
            </w:tcBorders>
            <w:noWrap/>
            <w:vAlign w:val="center"/>
            <w:hideMark/>
          </w:tcPr>
          <w:p w14:paraId="79FF92C4"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Large</w:t>
            </w:r>
          </w:p>
        </w:tc>
        <w:tc>
          <w:tcPr>
            <w:tcW w:w="1140" w:type="dxa"/>
            <w:tcBorders>
              <w:top w:val="single" w:sz="4" w:space="0" w:color="auto"/>
            </w:tcBorders>
            <w:noWrap/>
            <w:vAlign w:val="center"/>
            <w:hideMark/>
          </w:tcPr>
          <w:p w14:paraId="5CAE6D60"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Yes*</w:t>
            </w:r>
          </w:p>
        </w:tc>
      </w:tr>
      <w:tr w:rsidR="001269D6" w:rsidRPr="00296603" w14:paraId="003C8331" w14:textId="77777777" w:rsidTr="00D74830">
        <w:trPr>
          <w:trHeight w:val="280"/>
        </w:trPr>
        <w:tc>
          <w:tcPr>
            <w:tcW w:w="1640" w:type="dxa"/>
            <w:noWrap/>
            <w:vAlign w:val="center"/>
            <w:hideMark/>
          </w:tcPr>
          <w:p w14:paraId="5FC303BC" w14:textId="77777777" w:rsidR="001269D6" w:rsidRPr="00296603" w:rsidRDefault="001269D6"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RBC</w:t>
            </w:r>
          </w:p>
        </w:tc>
        <w:tc>
          <w:tcPr>
            <w:tcW w:w="1660" w:type="dxa"/>
            <w:noWrap/>
            <w:vAlign w:val="center"/>
            <w:hideMark/>
          </w:tcPr>
          <w:p w14:paraId="57732560" w14:textId="77777777" w:rsidR="001269D6" w:rsidRPr="00296603" w:rsidRDefault="001269D6"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Independent t-test</w:t>
            </w:r>
          </w:p>
        </w:tc>
        <w:tc>
          <w:tcPr>
            <w:tcW w:w="1290" w:type="dxa"/>
            <w:noWrap/>
            <w:vAlign w:val="center"/>
            <w:hideMark/>
          </w:tcPr>
          <w:p w14:paraId="776DCB28"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4.85 ± 0.56</w:t>
            </w:r>
          </w:p>
        </w:tc>
        <w:tc>
          <w:tcPr>
            <w:tcW w:w="1440" w:type="dxa"/>
            <w:noWrap/>
            <w:vAlign w:val="center"/>
            <w:hideMark/>
          </w:tcPr>
          <w:p w14:paraId="4A17C454"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4.08 ± 0.69</w:t>
            </w:r>
          </w:p>
        </w:tc>
        <w:tc>
          <w:tcPr>
            <w:tcW w:w="1080" w:type="dxa"/>
            <w:noWrap/>
            <w:vAlign w:val="center"/>
            <w:hideMark/>
          </w:tcPr>
          <w:p w14:paraId="0CD39BAB"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6.804</w:t>
            </w:r>
          </w:p>
        </w:tc>
        <w:tc>
          <w:tcPr>
            <w:tcW w:w="816" w:type="dxa"/>
            <w:noWrap/>
            <w:vAlign w:val="center"/>
            <w:hideMark/>
          </w:tcPr>
          <w:p w14:paraId="2D0797BC"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0.000</w:t>
            </w:r>
          </w:p>
        </w:tc>
        <w:tc>
          <w:tcPr>
            <w:tcW w:w="1160" w:type="dxa"/>
            <w:noWrap/>
            <w:vAlign w:val="center"/>
            <w:hideMark/>
          </w:tcPr>
          <w:p w14:paraId="1754CC02"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Large</w:t>
            </w:r>
          </w:p>
        </w:tc>
        <w:tc>
          <w:tcPr>
            <w:tcW w:w="1140" w:type="dxa"/>
            <w:noWrap/>
            <w:vAlign w:val="center"/>
            <w:hideMark/>
          </w:tcPr>
          <w:p w14:paraId="2B2331DC"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Yes*</w:t>
            </w:r>
          </w:p>
        </w:tc>
      </w:tr>
      <w:tr w:rsidR="001269D6" w:rsidRPr="00296603" w14:paraId="63D7A7F6" w14:textId="77777777" w:rsidTr="00D74830">
        <w:trPr>
          <w:trHeight w:val="280"/>
        </w:trPr>
        <w:tc>
          <w:tcPr>
            <w:tcW w:w="1640" w:type="dxa"/>
            <w:noWrap/>
            <w:vAlign w:val="center"/>
            <w:hideMark/>
          </w:tcPr>
          <w:p w14:paraId="2C81A01B" w14:textId="77777777" w:rsidR="001269D6" w:rsidRPr="00296603" w:rsidRDefault="001269D6"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MCV</w:t>
            </w:r>
          </w:p>
        </w:tc>
        <w:tc>
          <w:tcPr>
            <w:tcW w:w="1660" w:type="dxa"/>
            <w:noWrap/>
            <w:vAlign w:val="center"/>
            <w:hideMark/>
          </w:tcPr>
          <w:p w14:paraId="03E7F339" w14:textId="77777777" w:rsidR="001269D6" w:rsidRPr="00296603" w:rsidRDefault="001269D6"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Independent t-test</w:t>
            </w:r>
          </w:p>
        </w:tc>
        <w:tc>
          <w:tcPr>
            <w:tcW w:w="1290" w:type="dxa"/>
            <w:noWrap/>
            <w:vAlign w:val="center"/>
            <w:hideMark/>
          </w:tcPr>
          <w:p w14:paraId="746A712D"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89.72 ± 7.77</w:t>
            </w:r>
          </w:p>
        </w:tc>
        <w:tc>
          <w:tcPr>
            <w:tcW w:w="1440" w:type="dxa"/>
            <w:noWrap/>
            <w:vAlign w:val="center"/>
            <w:hideMark/>
          </w:tcPr>
          <w:p w14:paraId="3284B047"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85.96 ± 9.06</w:t>
            </w:r>
          </w:p>
        </w:tc>
        <w:tc>
          <w:tcPr>
            <w:tcW w:w="1080" w:type="dxa"/>
            <w:noWrap/>
            <w:vAlign w:val="center"/>
            <w:hideMark/>
          </w:tcPr>
          <w:p w14:paraId="276B610C"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2.510</w:t>
            </w:r>
          </w:p>
        </w:tc>
        <w:tc>
          <w:tcPr>
            <w:tcW w:w="816" w:type="dxa"/>
            <w:noWrap/>
            <w:vAlign w:val="center"/>
            <w:hideMark/>
          </w:tcPr>
          <w:p w14:paraId="5D76C740"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0.014</w:t>
            </w:r>
          </w:p>
        </w:tc>
        <w:tc>
          <w:tcPr>
            <w:tcW w:w="1160" w:type="dxa"/>
            <w:noWrap/>
            <w:vAlign w:val="center"/>
            <w:hideMark/>
          </w:tcPr>
          <w:p w14:paraId="30C6BD70"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Small</w:t>
            </w:r>
          </w:p>
        </w:tc>
        <w:tc>
          <w:tcPr>
            <w:tcW w:w="1140" w:type="dxa"/>
            <w:noWrap/>
            <w:vAlign w:val="center"/>
            <w:hideMark/>
          </w:tcPr>
          <w:p w14:paraId="535E4DB3"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Yes*</w:t>
            </w:r>
          </w:p>
        </w:tc>
      </w:tr>
      <w:tr w:rsidR="001269D6" w:rsidRPr="00296603" w14:paraId="59FA7F62" w14:textId="77777777" w:rsidTr="00D74830">
        <w:trPr>
          <w:trHeight w:val="280"/>
        </w:trPr>
        <w:tc>
          <w:tcPr>
            <w:tcW w:w="1640" w:type="dxa"/>
            <w:noWrap/>
            <w:vAlign w:val="center"/>
            <w:hideMark/>
          </w:tcPr>
          <w:p w14:paraId="635383B3" w14:textId="77777777" w:rsidR="001269D6" w:rsidRPr="00296603" w:rsidRDefault="001269D6"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MCH</w:t>
            </w:r>
          </w:p>
        </w:tc>
        <w:tc>
          <w:tcPr>
            <w:tcW w:w="1660" w:type="dxa"/>
            <w:noWrap/>
            <w:vAlign w:val="center"/>
            <w:hideMark/>
          </w:tcPr>
          <w:p w14:paraId="15F0431F" w14:textId="77777777" w:rsidR="001269D6" w:rsidRPr="00296603" w:rsidRDefault="001269D6"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Independent t-test</w:t>
            </w:r>
          </w:p>
        </w:tc>
        <w:tc>
          <w:tcPr>
            <w:tcW w:w="1290" w:type="dxa"/>
            <w:noWrap/>
            <w:vAlign w:val="center"/>
            <w:hideMark/>
          </w:tcPr>
          <w:p w14:paraId="3D4BAE9D"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28.8 ± 3.14</w:t>
            </w:r>
          </w:p>
        </w:tc>
        <w:tc>
          <w:tcPr>
            <w:tcW w:w="1440" w:type="dxa"/>
            <w:noWrap/>
            <w:vAlign w:val="center"/>
            <w:hideMark/>
          </w:tcPr>
          <w:p w14:paraId="1B769946"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27.39 ± 3.67</w:t>
            </w:r>
          </w:p>
        </w:tc>
        <w:tc>
          <w:tcPr>
            <w:tcW w:w="1080" w:type="dxa"/>
            <w:noWrap/>
            <w:vAlign w:val="center"/>
            <w:hideMark/>
          </w:tcPr>
          <w:p w14:paraId="2FE2DCE9"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2.325</w:t>
            </w:r>
          </w:p>
        </w:tc>
        <w:tc>
          <w:tcPr>
            <w:tcW w:w="816" w:type="dxa"/>
            <w:noWrap/>
            <w:vAlign w:val="center"/>
            <w:hideMark/>
          </w:tcPr>
          <w:p w14:paraId="2D419F40"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0.022</w:t>
            </w:r>
          </w:p>
        </w:tc>
        <w:tc>
          <w:tcPr>
            <w:tcW w:w="1160" w:type="dxa"/>
            <w:noWrap/>
            <w:vAlign w:val="center"/>
            <w:hideMark/>
          </w:tcPr>
          <w:p w14:paraId="49873477"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Small</w:t>
            </w:r>
          </w:p>
        </w:tc>
        <w:tc>
          <w:tcPr>
            <w:tcW w:w="1140" w:type="dxa"/>
            <w:noWrap/>
            <w:vAlign w:val="center"/>
            <w:hideMark/>
          </w:tcPr>
          <w:p w14:paraId="62F48761"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Yes*</w:t>
            </w:r>
          </w:p>
        </w:tc>
      </w:tr>
      <w:tr w:rsidR="001269D6" w:rsidRPr="00296603" w14:paraId="6B3FC689" w14:textId="77777777" w:rsidTr="00D74830">
        <w:trPr>
          <w:trHeight w:val="280"/>
        </w:trPr>
        <w:tc>
          <w:tcPr>
            <w:tcW w:w="1640" w:type="dxa"/>
            <w:noWrap/>
            <w:vAlign w:val="center"/>
            <w:hideMark/>
          </w:tcPr>
          <w:p w14:paraId="79F5C90F" w14:textId="77777777" w:rsidR="001269D6" w:rsidRPr="00296603" w:rsidRDefault="001269D6"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MCHC</w:t>
            </w:r>
          </w:p>
        </w:tc>
        <w:tc>
          <w:tcPr>
            <w:tcW w:w="1660" w:type="dxa"/>
            <w:noWrap/>
            <w:vAlign w:val="center"/>
            <w:hideMark/>
          </w:tcPr>
          <w:p w14:paraId="652F4B51" w14:textId="77777777" w:rsidR="001269D6" w:rsidRPr="00296603" w:rsidRDefault="001269D6"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Mann-Whitney U</w:t>
            </w:r>
          </w:p>
        </w:tc>
        <w:tc>
          <w:tcPr>
            <w:tcW w:w="1290" w:type="dxa"/>
            <w:noWrap/>
            <w:vAlign w:val="center"/>
            <w:hideMark/>
          </w:tcPr>
          <w:p w14:paraId="626960D4"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33.99 ± 2.08</w:t>
            </w:r>
          </w:p>
        </w:tc>
        <w:tc>
          <w:tcPr>
            <w:tcW w:w="1440" w:type="dxa"/>
            <w:noWrap/>
            <w:vAlign w:val="center"/>
            <w:hideMark/>
          </w:tcPr>
          <w:p w14:paraId="7FB48F43"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32.29 ± 2.62</w:t>
            </w:r>
          </w:p>
        </w:tc>
        <w:tc>
          <w:tcPr>
            <w:tcW w:w="1080" w:type="dxa"/>
            <w:noWrap/>
            <w:vAlign w:val="center"/>
            <w:hideMark/>
          </w:tcPr>
          <w:p w14:paraId="4CE8ECE8"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3577.000</w:t>
            </w:r>
          </w:p>
        </w:tc>
        <w:tc>
          <w:tcPr>
            <w:tcW w:w="816" w:type="dxa"/>
            <w:noWrap/>
            <w:vAlign w:val="center"/>
            <w:hideMark/>
          </w:tcPr>
          <w:p w14:paraId="1ED56BF5"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0.000</w:t>
            </w:r>
          </w:p>
        </w:tc>
        <w:tc>
          <w:tcPr>
            <w:tcW w:w="1160" w:type="dxa"/>
            <w:noWrap/>
            <w:vAlign w:val="center"/>
            <w:hideMark/>
          </w:tcPr>
          <w:p w14:paraId="7C9B4A27"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Large</w:t>
            </w:r>
          </w:p>
        </w:tc>
        <w:tc>
          <w:tcPr>
            <w:tcW w:w="1140" w:type="dxa"/>
            <w:noWrap/>
            <w:vAlign w:val="center"/>
            <w:hideMark/>
          </w:tcPr>
          <w:p w14:paraId="6C78A430"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Yes*</w:t>
            </w:r>
          </w:p>
        </w:tc>
      </w:tr>
      <w:tr w:rsidR="001269D6" w:rsidRPr="00296603" w14:paraId="531B0B90" w14:textId="77777777" w:rsidTr="00D74830">
        <w:trPr>
          <w:trHeight w:val="280"/>
        </w:trPr>
        <w:tc>
          <w:tcPr>
            <w:tcW w:w="1640" w:type="dxa"/>
            <w:noWrap/>
            <w:vAlign w:val="center"/>
            <w:hideMark/>
          </w:tcPr>
          <w:p w14:paraId="08B074C7" w14:textId="77777777" w:rsidR="001269D6" w:rsidRPr="00296603" w:rsidRDefault="001269D6"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Platelets</w:t>
            </w:r>
          </w:p>
        </w:tc>
        <w:tc>
          <w:tcPr>
            <w:tcW w:w="1660" w:type="dxa"/>
            <w:noWrap/>
            <w:vAlign w:val="center"/>
            <w:hideMark/>
          </w:tcPr>
          <w:p w14:paraId="747CA545" w14:textId="77777777" w:rsidR="001269D6" w:rsidRPr="00296603" w:rsidRDefault="001269D6"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Independent t-test</w:t>
            </w:r>
          </w:p>
        </w:tc>
        <w:tc>
          <w:tcPr>
            <w:tcW w:w="1290" w:type="dxa"/>
            <w:noWrap/>
            <w:vAlign w:val="center"/>
            <w:hideMark/>
          </w:tcPr>
          <w:p w14:paraId="6CDD43FF"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293.99 ± 76.25</w:t>
            </w:r>
          </w:p>
        </w:tc>
        <w:tc>
          <w:tcPr>
            <w:tcW w:w="1440" w:type="dxa"/>
            <w:noWrap/>
            <w:vAlign w:val="center"/>
            <w:hideMark/>
          </w:tcPr>
          <w:p w14:paraId="7F867842"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176.46 ± 76.13</w:t>
            </w:r>
          </w:p>
        </w:tc>
        <w:tc>
          <w:tcPr>
            <w:tcW w:w="1080" w:type="dxa"/>
            <w:noWrap/>
            <w:vAlign w:val="center"/>
            <w:hideMark/>
          </w:tcPr>
          <w:p w14:paraId="64C06819"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8.908</w:t>
            </w:r>
          </w:p>
        </w:tc>
        <w:tc>
          <w:tcPr>
            <w:tcW w:w="816" w:type="dxa"/>
            <w:noWrap/>
            <w:vAlign w:val="center"/>
            <w:hideMark/>
          </w:tcPr>
          <w:p w14:paraId="4466651E"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0.000</w:t>
            </w:r>
          </w:p>
        </w:tc>
        <w:tc>
          <w:tcPr>
            <w:tcW w:w="1160" w:type="dxa"/>
            <w:noWrap/>
            <w:vAlign w:val="center"/>
            <w:hideMark/>
          </w:tcPr>
          <w:p w14:paraId="2742082A"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Large</w:t>
            </w:r>
          </w:p>
        </w:tc>
        <w:tc>
          <w:tcPr>
            <w:tcW w:w="1140" w:type="dxa"/>
            <w:noWrap/>
            <w:vAlign w:val="center"/>
            <w:hideMark/>
          </w:tcPr>
          <w:p w14:paraId="2B400C0D"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Yes*</w:t>
            </w:r>
          </w:p>
        </w:tc>
      </w:tr>
      <w:tr w:rsidR="001269D6" w:rsidRPr="00296603" w14:paraId="4889372D" w14:textId="77777777" w:rsidTr="00D74830">
        <w:trPr>
          <w:trHeight w:val="280"/>
        </w:trPr>
        <w:tc>
          <w:tcPr>
            <w:tcW w:w="1640" w:type="dxa"/>
            <w:noWrap/>
            <w:vAlign w:val="center"/>
            <w:hideMark/>
          </w:tcPr>
          <w:p w14:paraId="4F978008" w14:textId="77777777" w:rsidR="001269D6" w:rsidRPr="00296603" w:rsidRDefault="001269D6"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WBC</w:t>
            </w:r>
          </w:p>
        </w:tc>
        <w:tc>
          <w:tcPr>
            <w:tcW w:w="1660" w:type="dxa"/>
            <w:noWrap/>
            <w:vAlign w:val="center"/>
            <w:hideMark/>
          </w:tcPr>
          <w:p w14:paraId="0217A241" w14:textId="77777777" w:rsidR="001269D6" w:rsidRPr="00296603" w:rsidRDefault="001269D6"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Independent t-test</w:t>
            </w:r>
          </w:p>
        </w:tc>
        <w:tc>
          <w:tcPr>
            <w:tcW w:w="1290" w:type="dxa"/>
            <w:noWrap/>
            <w:vAlign w:val="center"/>
            <w:hideMark/>
          </w:tcPr>
          <w:p w14:paraId="5FB847F1"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6.11 ± 1.85</w:t>
            </w:r>
          </w:p>
        </w:tc>
        <w:tc>
          <w:tcPr>
            <w:tcW w:w="1440" w:type="dxa"/>
            <w:noWrap/>
            <w:vAlign w:val="center"/>
            <w:hideMark/>
          </w:tcPr>
          <w:p w14:paraId="3BACC876"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7.57 ± 2.81</w:t>
            </w:r>
          </w:p>
        </w:tc>
        <w:tc>
          <w:tcPr>
            <w:tcW w:w="1080" w:type="dxa"/>
            <w:noWrap/>
            <w:vAlign w:val="center"/>
            <w:hideMark/>
          </w:tcPr>
          <w:p w14:paraId="6E933486"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−3.326</w:t>
            </w:r>
          </w:p>
        </w:tc>
        <w:tc>
          <w:tcPr>
            <w:tcW w:w="816" w:type="dxa"/>
            <w:noWrap/>
            <w:vAlign w:val="center"/>
            <w:hideMark/>
          </w:tcPr>
          <w:p w14:paraId="2052FAD5"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0.001</w:t>
            </w:r>
          </w:p>
        </w:tc>
        <w:tc>
          <w:tcPr>
            <w:tcW w:w="1160" w:type="dxa"/>
            <w:noWrap/>
            <w:vAlign w:val="center"/>
            <w:hideMark/>
          </w:tcPr>
          <w:p w14:paraId="2A6D847D"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Medium</w:t>
            </w:r>
          </w:p>
        </w:tc>
        <w:tc>
          <w:tcPr>
            <w:tcW w:w="1140" w:type="dxa"/>
            <w:noWrap/>
            <w:vAlign w:val="center"/>
            <w:hideMark/>
          </w:tcPr>
          <w:p w14:paraId="46807159"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Yes*</w:t>
            </w:r>
          </w:p>
        </w:tc>
      </w:tr>
      <w:tr w:rsidR="001269D6" w:rsidRPr="00296603" w14:paraId="11D51848" w14:textId="77777777" w:rsidTr="00D74830">
        <w:trPr>
          <w:trHeight w:val="280"/>
        </w:trPr>
        <w:tc>
          <w:tcPr>
            <w:tcW w:w="1640" w:type="dxa"/>
            <w:noWrap/>
            <w:vAlign w:val="center"/>
            <w:hideMark/>
          </w:tcPr>
          <w:p w14:paraId="53169D00" w14:textId="77777777" w:rsidR="001269D6" w:rsidRPr="00296603" w:rsidRDefault="001269D6"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AST</w:t>
            </w:r>
          </w:p>
        </w:tc>
        <w:tc>
          <w:tcPr>
            <w:tcW w:w="1660" w:type="dxa"/>
            <w:noWrap/>
            <w:vAlign w:val="center"/>
            <w:hideMark/>
          </w:tcPr>
          <w:p w14:paraId="2591F92B" w14:textId="77777777" w:rsidR="001269D6" w:rsidRPr="00296603" w:rsidRDefault="001269D6"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Mann-Whitney U</w:t>
            </w:r>
          </w:p>
        </w:tc>
        <w:tc>
          <w:tcPr>
            <w:tcW w:w="1290" w:type="dxa"/>
            <w:noWrap/>
            <w:vAlign w:val="center"/>
            <w:hideMark/>
          </w:tcPr>
          <w:p w14:paraId="6C10BD3C"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28.27 ± 12.11</w:t>
            </w:r>
          </w:p>
        </w:tc>
        <w:tc>
          <w:tcPr>
            <w:tcW w:w="1440" w:type="dxa"/>
            <w:noWrap/>
            <w:vAlign w:val="center"/>
            <w:hideMark/>
          </w:tcPr>
          <w:p w14:paraId="5938A619"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46.8 ± 17.12</w:t>
            </w:r>
          </w:p>
        </w:tc>
        <w:tc>
          <w:tcPr>
            <w:tcW w:w="1080" w:type="dxa"/>
            <w:noWrap/>
            <w:vAlign w:val="center"/>
            <w:hideMark/>
          </w:tcPr>
          <w:p w14:paraId="6D48FE4C"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954.000</w:t>
            </w:r>
          </w:p>
        </w:tc>
        <w:tc>
          <w:tcPr>
            <w:tcW w:w="816" w:type="dxa"/>
            <w:noWrap/>
            <w:vAlign w:val="center"/>
            <w:hideMark/>
          </w:tcPr>
          <w:p w14:paraId="2450950F"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0.000</w:t>
            </w:r>
          </w:p>
        </w:tc>
        <w:tc>
          <w:tcPr>
            <w:tcW w:w="1160" w:type="dxa"/>
            <w:noWrap/>
            <w:vAlign w:val="center"/>
            <w:hideMark/>
          </w:tcPr>
          <w:p w14:paraId="42732635"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Large</w:t>
            </w:r>
          </w:p>
        </w:tc>
        <w:tc>
          <w:tcPr>
            <w:tcW w:w="1140" w:type="dxa"/>
            <w:noWrap/>
            <w:vAlign w:val="center"/>
            <w:hideMark/>
          </w:tcPr>
          <w:p w14:paraId="568D9D37"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Yes*</w:t>
            </w:r>
          </w:p>
        </w:tc>
      </w:tr>
      <w:tr w:rsidR="001269D6" w:rsidRPr="00296603" w14:paraId="3F50FD05" w14:textId="77777777" w:rsidTr="00D74830">
        <w:trPr>
          <w:trHeight w:val="280"/>
        </w:trPr>
        <w:tc>
          <w:tcPr>
            <w:tcW w:w="1640" w:type="dxa"/>
            <w:noWrap/>
            <w:vAlign w:val="center"/>
            <w:hideMark/>
          </w:tcPr>
          <w:p w14:paraId="371138B4" w14:textId="77777777" w:rsidR="001269D6" w:rsidRPr="00296603" w:rsidRDefault="001269D6"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ALT</w:t>
            </w:r>
          </w:p>
        </w:tc>
        <w:tc>
          <w:tcPr>
            <w:tcW w:w="1660" w:type="dxa"/>
            <w:noWrap/>
            <w:vAlign w:val="center"/>
            <w:hideMark/>
          </w:tcPr>
          <w:p w14:paraId="2AB93439" w14:textId="77777777" w:rsidR="001269D6" w:rsidRPr="00296603" w:rsidRDefault="001269D6"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Independent t-test</w:t>
            </w:r>
          </w:p>
        </w:tc>
        <w:tc>
          <w:tcPr>
            <w:tcW w:w="1290" w:type="dxa"/>
            <w:noWrap/>
            <w:vAlign w:val="center"/>
            <w:hideMark/>
          </w:tcPr>
          <w:p w14:paraId="1E153897"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24.85 ± 9.67</w:t>
            </w:r>
          </w:p>
        </w:tc>
        <w:tc>
          <w:tcPr>
            <w:tcW w:w="1440" w:type="dxa"/>
            <w:noWrap/>
            <w:vAlign w:val="center"/>
            <w:hideMark/>
          </w:tcPr>
          <w:p w14:paraId="2F28B014"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35.98 ± 16.74</w:t>
            </w:r>
          </w:p>
        </w:tc>
        <w:tc>
          <w:tcPr>
            <w:tcW w:w="1080" w:type="dxa"/>
            <w:noWrap/>
            <w:vAlign w:val="center"/>
            <w:hideMark/>
          </w:tcPr>
          <w:p w14:paraId="46F7C416"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−4.352</w:t>
            </w:r>
          </w:p>
        </w:tc>
        <w:tc>
          <w:tcPr>
            <w:tcW w:w="816" w:type="dxa"/>
            <w:noWrap/>
            <w:vAlign w:val="center"/>
            <w:hideMark/>
          </w:tcPr>
          <w:p w14:paraId="2A2A4B26"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0.000</w:t>
            </w:r>
          </w:p>
        </w:tc>
        <w:tc>
          <w:tcPr>
            <w:tcW w:w="1160" w:type="dxa"/>
            <w:noWrap/>
            <w:vAlign w:val="center"/>
            <w:hideMark/>
          </w:tcPr>
          <w:p w14:paraId="3391AB66"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Large</w:t>
            </w:r>
          </w:p>
        </w:tc>
        <w:tc>
          <w:tcPr>
            <w:tcW w:w="1140" w:type="dxa"/>
            <w:noWrap/>
            <w:vAlign w:val="center"/>
            <w:hideMark/>
          </w:tcPr>
          <w:p w14:paraId="7669438A"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Yes*</w:t>
            </w:r>
          </w:p>
        </w:tc>
      </w:tr>
      <w:tr w:rsidR="001269D6" w:rsidRPr="00296603" w14:paraId="0C09A72E" w14:textId="77777777" w:rsidTr="00D74830">
        <w:trPr>
          <w:trHeight w:val="280"/>
        </w:trPr>
        <w:tc>
          <w:tcPr>
            <w:tcW w:w="1640" w:type="dxa"/>
            <w:noWrap/>
            <w:vAlign w:val="center"/>
            <w:hideMark/>
          </w:tcPr>
          <w:p w14:paraId="21077445" w14:textId="77777777" w:rsidR="001269D6" w:rsidRPr="00296603" w:rsidRDefault="001269D6" w:rsidP="00D74830">
            <w:pPr>
              <w:spacing w:line="240" w:lineRule="auto"/>
              <w:jc w:val="left"/>
              <w:rPr>
                <w:rFonts w:ascii="Cambria" w:eastAsia="Times New Roman" w:hAnsi="Cambria" w:cs="Times New Roman"/>
                <w:color w:val="000000"/>
                <w:sz w:val="16"/>
                <w:szCs w:val="16"/>
              </w:rPr>
            </w:pPr>
            <w:proofErr w:type="spellStart"/>
            <w:r w:rsidRPr="00296603">
              <w:rPr>
                <w:rFonts w:ascii="Cambria" w:eastAsia="Times New Roman" w:hAnsi="Cambria" w:cs="Times New Roman"/>
                <w:color w:val="000000"/>
                <w:sz w:val="16"/>
                <w:szCs w:val="16"/>
              </w:rPr>
              <w:t>Total_Bilirubin</w:t>
            </w:r>
            <w:proofErr w:type="spellEnd"/>
          </w:p>
        </w:tc>
        <w:tc>
          <w:tcPr>
            <w:tcW w:w="1660" w:type="dxa"/>
            <w:noWrap/>
            <w:vAlign w:val="center"/>
            <w:hideMark/>
          </w:tcPr>
          <w:p w14:paraId="36045189" w14:textId="77777777" w:rsidR="001269D6" w:rsidRPr="00296603" w:rsidRDefault="001269D6"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Independent t-test</w:t>
            </w:r>
          </w:p>
        </w:tc>
        <w:tc>
          <w:tcPr>
            <w:tcW w:w="1290" w:type="dxa"/>
            <w:noWrap/>
            <w:vAlign w:val="center"/>
            <w:hideMark/>
          </w:tcPr>
          <w:p w14:paraId="5EB8BFC5"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0.79 ± 0.29</w:t>
            </w:r>
          </w:p>
        </w:tc>
        <w:tc>
          <w:tcPr>
            <w:tcW w:w="1440" w:type="dxa"/>
            <w:noWrap/>
            <w:vAlign w:val="center"/>
            <w:hideMark/>
          </w:tcPr>
          <w:p w14:paraId="70A1E1F3"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1.45 ± 0.6</w:t>
            </w:r>
          </w:p>
        </w:tc>
        <w:tc>
          <w:tcPr>
            <w:tcW w:w="1080" w:type="dxa"/>
            <w:noWrap/>
            <w:vAlign w:val="center"/>
            <w:hideMark/>
          </w:tcPr>
          <w:p w14:paraId="0D660B03"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−7.368</w:t>
            </w:r>
          </w:p>
        </w:tc>
        <w:tc>
          <w:tcPr>
            <w:tcW w:w="816" w:type="dxa"/>
            <w:noWrap/>
            <w:vAlign w:val="center"/>
            <w:hideMark/>
          </w:tcPr>
          <w:p w14:paraId="1EC11C94"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0.000</w:t>
            </w:r>
          </w:p>
        </w:tc>
        <w:tc>
          <w:tcPr>
            <w:tcW w:w="1160" w:type="dxa"/>
            <w:noWrap/>
            <w:vAlign w:val="center"/>
            <w:hideMark/>
          </w:tcPr>
          <w:p w14:paraId="71720CDD"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Large</w:t>
            </w:r>
          </w:p>
        </w:tc>
        <w:tc>
          <w:tcPr>
            <w:tcW w:w="1140" w:type="dxa"/>
            <w:noWrap/>
            <w:vAlign w:val="center"/>
            <w:hideMark/>
          </w:tcPr>
          <w:p w14:paraId="3F6475D8"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Yes*</w:t>
            </w:r>
          </w:p>
        </w:tc>
      </w:tr>
      <w:tr w:rsidR="001269D6" w:rsidRPr="00296603" w14:paraId="7E634491" w14:textId="77777777" w:rsidTr="00D74830">
        <w:trPr>
          <w:trHeight w:val="280"/>
        </w:trPr>
        <w:tc>
          <w:tcPr>
            <w:tcW w:w="1640" w:type="dxa"/>
            <w:noWrap/>
            <w:vAlign w:val="center"/>
            <w:hideMark/>
          </w:tcPr>
          <w:p w14:paraId="695F3CAA" w14:textId="77777777" w:rsidR="001269D6" w:rsidRPr="00296603" w:rsidRDefault="001269D6" w:rsidP="00D74830">
            <w:pPr>
              <w:spacing w:line="240" w:lineRule="auto"/>
              <w:jc w:val="left"/>
              <w:rPr>
                <w:rFonts w:ascii="Cambria" w:eastAsia="Times New Roman" w:hAnsi="Cambria" w:cs="Times New Roman"/>
                <w:color w:val="000000"/>
                <w:sz w:val="16"/>
                <w:szCs w:val="16"/>
              </w:rPr>
            </w:pPr>
            <w:proofErr w:type="spellStart"/>
            <w:r w:rsidRPr="00296603">
              <w:rPr>
                <w:rFonts w:ascii="Cambria" w:eastAsia="Times New Roman" w:hAnsi="Cambria" w:cs="Times New Roman"/>
                <w:color w:val="000000"/>
                <w:sz w:val="16"/>
                <w:szCs w:val="16"/>
              </w:rPr>
              <w:t>Direct_Bilirubin</w:t>
            </w:r>
            <w:proofErr w:type="spellEnd"/>
          </w:p>
        </w:tc>
        <w:tc>
          <w:tcPr>
            <w:tcW w:w="1660" w:type="dxa"/>
            <w:noWrap/>
            <w:vAlign w:val="center"/>
            <w:hideMark/>
          </w:tcPr>
          <w:p w14:paraId="05A7455D" w14:textId="77777777" w:rsidR="001269D6" w:rsidRPr="00296603" w:rsidRDefault="001269D6"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Mann-Whitney U</w:t>
            </w:r>
          </w:p>
        </w:tc>
        <w:tc>
          <w:tcPr>
            <w:tcW w:w="1290" w:type="dxa"/>
            <w:noWrap/>
            <w:vAlign w:val="center"/>
            <w:hideMark/>
          </w:tcPr>
          <w:p w14:paraId="7D1CC112"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0.13 ± 0.06</w:t>
            </w:r>
          </w:p>
        </w:tc>
        <w:tc>
          <w:tcPr>
            <w:tcW w:w="1440" w:type="dxa"/>
            <w:noWrap/>
            <w:vAlign w:val="center"/>
            <w:hideMark/>
          </w:tcPr>
          <w:p w14:paraId="5327C9E5"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0.25 ± 0.1</w:t>
            </w:r>
          </w:p>
        </w:tc>
        <w:tc>
          <w:tcPr>
            <w:tcW w:w="1080" w:type="dxa"/>
            <w:noWrap/>
            <w:vAlign w:val="center"/>
            <w:hideMark/>
          </w:tcPr>
          <w:p w14:paraId="387947DC"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747.500</w:t>
            </w:r>
          </w:p>
        </w:tc>
        <w:tc>
          <w:tcPr>
            <w:tcW w:w="816" w:type="dxa"/>
            <w:noWrap/>
            <w:vAlign w:val="center"/>
            <w:hideMark/>
          </w:tcPr>
          <w:p w14:paraId="1FC68B74"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0.000</w:t>
            </w:r>
          </w:p>
        </w:tc>
        <w:tc>
          <w:tcPr>
            <w:tcW w:w="1160" w:type="dxa"/>
            <w:noWrap/>
            <w:vAlign w:val="center"/>
            <w:hideMark/>
          </w:tcPr>
          <w:p w14:paraId="1EE0B463"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Large</w:t>
            </w:r>
          </w:p>
        </w:tc>
        <w:tc>
          <w:tcPr>
            <w:tcW w:w="1140" w:type="dxa"/>
            <w:noWrap/>
            <w:vAlign w:val="center"/>
            <w:hideMark/>
          </w:tcPr>
          <w:p w14:paraId="2D750C3D"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Yes*</w:t>
            </w:r>
          </w:p>
        </w:tc>
      </w:tr>
      <w:tr w:rsidR="001269D6" w:rsidRPr="00296603" w14:paraId="37268E06" w14:textId="77777777" w:rsidTr="00D74830">
        <w:trPr>
          <w:trHeight w:val="280"/>
        </w:trPr>
        <w:tc>
          <w:tcPr>
            <w:tcW w:w="1640" w:type="dxa"/>
            <w:noWrap/>
            <w:vAlign w:val="center"/>
            <w:hideMark/>
          </w:tcPr>
          <w:p w14:paraId="414A68A9" w14:textId="77777777" w:rsidR="001269D6" w:rsidRPr="00296603" w:rsidRDefault="001269D6" w:rsidP="00D74830">
            <w:pPr>
              <w:spacing w:line="240" w:lineRule="auto"/>
              <w:jc w:val="left"/>
              <w:rPr>
                <w:rFonts w:ascii="Cambria" w:eastAsia="Times New Roman" w:hAnsi="Cambria" w:cs="Times New Roman"/>
                <w:color w:val="000000"/>
                <w:sz w:val="16"/>
                <w:szCs w:val="16"/>
              </w:rPr>
            </w:pPr>
            <w:proofErr w:type="spellStart"/>
            <w:r w:rsidRPr="00296603">
              <w:rPr>
                <w:rFonts w:ascii="Cambria" w:eastAsia="Times New Roman" w:hAnsi="Cambria" w:cs="Times New Roman"/>
                <w:color w:val="000000"/>
                <w:sz w:val="16"/>
                <w:szCs w:val="16"/>
              </w:rPr>
              <w:t>Indirect_Bilirubin</w:t>
            </w:r>
            <w:proofErr w:type="spellEnd"/>
          </w:p>
        </w:tc>
        <w:tc>
          <w:tcPr>
            <w:tcW w:w="1660" w:type="dxa"/>
            <w:noWrap/>
            <w:vAlign w:val="center"/>
            <w:hideMark/>
          </w:tcPr>
          <w:p w14:paraId="5E9DEA25" w14:textId="77777777" w:rsidR="001269D6" w:rsidRPr="00296603" w:rsidRDefault="001269D6"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Mann-Whitney U</w:t>
            </w:r>
          </w:p>
        </w:tc>
        <w:tc>
          <w:tcPr>
            <w:tcW w:w="1290" w:type="dxa"/>
            <w:noWrap/>
            <w:vAlign w:val="center"/>
            <w:hideMark/>
          </w:tcPr>
          <w:p w14:paraId="6B2C639B"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0.66 ± 0.28</w:t>
            </w:r>
          </w:p>
        </w:tc>
        <w:tc>
          <w:tcPr>
            <w:tcW w:w="1440" w:type="dxa"/>
            <w:noWrap/>
            <w:vAlign w:val="center"/>
            <w:hideMark/>
          </w:tcPr>
          <w:p w14:paraId="20F62D2B"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1.2 ± 0.58</w:t>
            </w:r>
          </w:p>
        </w:tc>
        <w:tc>
          <w:tcPr>
            <w:tcW w:w="1080" w:type="dxa"/>
            <w:noWrap/>
            <w:vAlign w:val="center"/>
            <w:hideMark/>
          </w:tcPr>
          <w:p w14:paraId="1F2F87D7"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960.000</w:t>
            </w:r>
          </w:p>
        </w:tc>
        <w:tc>
          <w:tcPr>
            <w:tcW w:w="816" w:type="dxa"/>
            <w:noWrap/>
            <w:vAlign w:val="center"/>
            <w:hideMark/>
          </w:tcPr>
          <w:p w14:paraId="7D7B05F0"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0.000</w:t>
            </w:r>
          </w:p>
        </w:tc>
        <w:tc>
          <w:tcPr>
            <w:tcW w:w="1160" w:type="dxa"/>
            <w:noWrap/>
            <w:vAlign w:val="center"/>
            <w:hideMark/>
          </w:tcPr>
          <w:p w14:paraId="739FC949"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Large</w:t>
            </w:r>
          </w:p>
        </w:tc>
        <w:tc>
          <w:tcPr>
            <w:tcW w:w="1140" w:type="dxa"/>
            <w:noWrap/>
            <w:vAlign w:val="center"/>
            <w:hideMark/>
          </w:tcPr>
          <w:p w14:paraId="53F9F486"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Yes*</w:t>
            </w:r>
          </w:p>
        </w:tc>
      </w:tr>
      <w:tr w:rsidR="001269D6" w:rsidRPr="00296603" w14:paraId="67E5EB17" w14:textId="77777777" w:rsidTr="00D74830">
        <w:trPr>
          <w:trHeight w:val="280"/>
        </w:trPr>
        <w:tc>
          <w:tcPr>
            <w:tcW w:w="1640" w:type="dxa"/>
            <w:noWrap/>
            <w:vAlign w:val="center"/>
            <w:hideMark/>
          </w:tcPr>
          <w:p w14:paraId="5D2351BF" w14:textId="77777777" w:rsidR="001269D6" w:rsidRPr="00296603" w:rsidRDefault="001269D6"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Urea</w:t>
            </w:r>
          </w:p>
        </w:tc>
        <w:tc>
          <w:tcPr>
            <w:tcW w:w="1660" w:type="dxa"/>
            <w:noWrap/>
            <w:vAlign w:val="center"/>
            <w:hideMark/>
          </w:tcPr>
          <w:p w14:paraId="2F03F6DC" w14:textId="77777777" w:rsidR="001269D6" w:rsidRPr="00296603" w:rsidRDefault="001269D6"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Independent t-test</w:t>
            </w:r>
          </w:p>
        </w:tc>
        <w:tc>
          <w:tcPr>
            <w:tcW w:w="1290" w:type="dxa"/>
            <w:noWrap/>
            <w:vAlign w:val="center"/>
            <w:hideMark/>
          </w:tcPr>
          <w:p w14:paraId="46223408"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13.65 ± 3.99</w:t>
            </w:r>
          </w:p>
        </w:tc>
        <w:tc>
          <w:tcPr>
            <w:tcW w:w="1440" w:type="dxa"/>
            <w:noWrap/>
            <w:vAlign w:val="center"/>
            <w:hideMark/>
          </w:tcPr>
          <w:p w14:paraId="2932F624"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18.1 ± 6.39</w:t>
            </w:r>
          </w:p>
        </w:tc>
        <w:tc>
          <w:tcPr>
            <w:tcW w:w="1080" w:type="dxa"/>
            <w:noWrap/>
            <w:vAlign w:val="center"/>
            <w:hideMark/>
          </w:tcPr>
          <w:p w14:paraId="231997C0"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−4.494</w:t>
            </w:r>
          </w:p>
        </w:tc>
        <w:tc>
          <w:tcPr>
            <w:tcW w:w="816" w:type="dxa"/>
            <w:noWrap/>
            <w:vAlign w:val="center"/>
            <w:hideMark/>
          </w:tcPr>
          <w:p w14:paraId="27DF5DF8"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0.000</w:t>
            </w:r>
          </w:p>
        </w:tc>
        <w:tc>
          <w:tcPr>
            <w:tcW w:w="1160" w:type="dxa"/>
            <w:noWrap/>
            <w:vAlign w:val="center"/>
            <w:hideMark/>
          </w:tcPr>
          <w:p w14:paraId="3F24B5EE"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Large</w:t>
            </w:r>
          </w:p>
        </w:tc>
        <w:tc>
          <w:tcPr>
            <w:tcW w:w="1140" w:type="dxa"/>
            <w:noWrap/>
            <w:vAlign w:val="center"/>
            <w:hideMark/>
          </w:tcPr>
          <w:p w14:paraId="7E644632"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Yes*</w:t>
            </w:r>
          </w:p>
        </w:tc>
      </w:tr>
      <w:tr w:rsidR="001269D6" w:rsidRPr="00296603" w14:paraId="0F8F4666" w14:textId="77777777" w:rsidTr="00D74830">
        <w:trPr>
          <w:trHeight w:val="280"/>
        </w:trPr>
        <w:tc>
          <w:tcPr>
            <w:tcW w:w="1640" w:type="dxa"/>
            <w:noWrap/>
            <w:vAlign w:val="center"/>
            <w:hideMark/>
          </w:tcPr>
          <w:p w14:paraId="7A78C62A" w14:textId="77777777" w:rsidR="001269D6" w:rsidRPr="00296603" w:rsidRDefault="001269D6"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Creatinine</w:t>
            </w:r>
          </w:p>
        </w:tc>
        <w:tc>
          <w:tcPr>
            <w:tcW w:w="1660" w:type="dxa"/>
            <w:noWrap/>
            <w:vAlign w:val="center"/>
            <w:hideMark/>
          </w:tcPr>
          <w:p w14:paraId="06574048" w14:textId="77777777" w:rsidR="001269D6" w:rsidRPr="00296603" w:rsidRDefault="001269D6" w:rsidP="00D74830">
            <w:pPr>
              <w:spacing w:line="240" w:lineRule="auto"/>
              <w:jc w:val="left"/>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Independent t-test</w:t>
            </w:r>
          </w:p>
        </w:tc>
        <w:tc>
          <w:tcPr>
            <w:tcW w:w="1290" w:type="dxa"/>
            <w:noWrap/>
            <w:vAlign w:val="center"/>
            <w:hideMark/>
          </w:tcPr>
          <w:p w14:paraId="5C49C9EB"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0.89 ± 0.19</w:t>
            </w:r>
          </w:p>
        </w:tc>
        <w:tc>
          <w:tcPr>
            <w:tcW w:w="1440" w:type="dxa"/>
            <w:noWrap/>
            <w:vAlign w:val="center"/>
            <w:hideMark/>
          </w:tcPr>
          <w:p w14:paraId="15D42C51"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1.16 ± 0.3</w:t>
            </w:r>
          </w:p>
        </w:tc>
        <w:tc>
          <w:tcPr>
            <w:tcW w:w="1080" w:type="dxa"/>
            <w:noWrap/>
            <w:vAlign w:val="center"/>
            <w:hideMark/>
          </w:tcPr>
          <w:p w14:paraId="07B4E124"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−5.915</w:t>
            </w:r>
          </w:p>
        </w:tc>
        <w:tc>
          <w:tcPr>
            <w:tcW w:w="816" w:type="dxa"/>
            <w:noWrap/>
            <w:vAlign w:val="center"/>
            <w:hideMark/>
          </w:tcPr>
          <w:p w14:paraId="412DE105"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0.000</w:t>
            </w:r>
          </w:p>
        </w:tc>
        <w:tc>
          <w:tcPr>
            <w:tcW w:w="1160" w:type="dxa"/>
            <w:noWrap/>
            <w:vAlign w:val="center"/>
            <w:hideMark/>
          </w:tcPr>
          <w:p w14:paraId="181E4679"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Large</w:t>
            </w:r>
          </w:p>
        </w:tc>
        <w:tc>
          <w:tcPr>
            <w:tcW w:w="1140" w:type="dxa"/>
            <w:noWrap/>
            <w:vAlign w:val="center"/>
            <w:hideMark/>
          </w:tcPr>
          <w:p w14:paraId="5C8258A3" w14:textId="77777777" w:rsidR="001269D6" w:rsidRPr="00296603" w:rsidRDefault="001269D6" w:rsidP="00D74830">
            <w:pPr>
              <w:spacing w:line="240" w:lineRule="auto"/>
              <w:jc w:val="center"/>
              <w:rPr>
                <w:rFonts w:ascii="Cambria" w:eastAsia="Times New Roman" w:hAnsi="Cambria" w:cs="Times New Roman"/>
                <w:color w:val="000000"/>
                <w:sz w:val="16"/>
                <w:szCs w:val="16"/>
              </w:rPr>
            </w:pPr>
            <w:r w:rsidRPr="00296603">
              <w:rPr>
                <w:rFonts w:ascii="Cambria" w:eastAsia="Times New Roman" w:hAnsi="Cambria" w:cs="Times New Roman"/>
                <w:color w:val="000000"/>
                <w:sz w:val="16"/>
                <w:szCs w:val="16"/>
              </w:rPr>
              <w:t>Yes*</w:t>
            </w:r>
          </w:p>
        </w:tc>
      </w:tr>
    </w:tbl>
    <w:p w14:paraId="068C8116" w14:textId="77777777" w:rsidR="001269D6" w:rsidRPr="00296603" w:rsidRDefault="001269D6" w:rsidP="001269D6">
      <w:pPr>
        <w:spacing w:line="276" w:lineRule="auto"/>
        <w:rPr>
          <w:rFonts w:ascii="Times New Roman" w:hAnsi="Times New Roman" w:cs="Times New Roman"/>
          <w:i/>
        </w:rPr>
      </w:pPr>
      <w:r w:rsidRPr="00296603">
        <w:rPr>
          <w:rFonts w:ascii="Times New Roman" w:hAnsi="Times New Roman" w:cs="Times New Roman"/>
          <w:i/>
        </w:rPr>
        <w:t>1 Effect sizes: Negligible (&lt;0.2), Small (0.2-0.5), Medium (0.5-0.8), Large (&gt;0.8)</w:t>
      </w:r>
    </w:p>
    <w:p w14:paraId="5740EE26" w14:textId="77777777" w:rsidR="001269D6" w:rsidRPr="00296603" w:rsidRDefault="001269D6" w:rsidP="001269D6">
      <w:pPr>
        <w:rPr>
          <w:rFonts w:ascii="Times New Roman" w:hAnsi="Times New Roman" w:cs="Times New Roman"/>
          <w:i/>
        </w:rPr>
      </w:pPr>
      <w:r w:rsidRPr="00296603">
        <w:rPr>
          <w:rFonts w:ascii="Times New Roman" w:hAnsi="Times New Roman" w:cs="Times New Roman"/>
          <w:i/>
        </w:rPr>
        <w:t>2 * p &lt; 0.05 indicates a statistically significant difference</w:t>
      </w:r>
    </w:p>
    <w:p w14:paraId="70FD1ABE" w14:textId="77777777" w:rsidR="00227EC0" w:rsidRPr="00296603" w:rsidRDefault="00227EC0" w:rsidP="00227EC0">
      <w:pPr>
        <w:spacing w:after="160" w:line="360" w:lineRule="auto"/>
        <w:rPr>
          <w:rFonts w:ascii="Times New Roman" w:hAnsi="Times New Roman" w:cs="Times New Roman"/>
          <w:sz w:val="20"/>
          <w:szCs w:val="20"/>
        </w:rPr>
      </w:pPr>
      <w:r w:rsidRPr="00296603">
        <w:rPr>
          <w:rFonts w:ascii="Times New Roman" w:hAnsi="Times New Roman" w:cs="Times New Roman"/>
          <w:sz w:val="20"/>
          <w:szCs w:val="20"/>
        </w:rPr>
        <w:t>Within the asymptomatic group, parasite density exhibited wide v</w:t>
      </w:r>
      <w:r w:rsidR="002408AF" w:rsidRPr="00296603">
        <w:rPr>
          <w:rFonts w:ascii="Times New Roman" w:hAnsi="Times New Roman" w:cs="Times New Roman"/>
          <w:sz w:val="20"/>
          <w:szCs w:val="20"/>
        </w:rPr>
        <w:t xml:space="preserve">ariability. As shown in Table </w:t>
      </w:r>
      <w:r w:rsidRPr="00296603">
        <w:rPr>
          <w:rFonts w:ascii="Times New Roman" w:hAnsi="Times New Roman" w:cs="Times New Roman"/>
          <w:sz w:val="20"/>
          <w:szCs w:val="20"/>
        </w:rPr>
        <w:t>3, the mean parasite density was 758.37 parasites/</w:t>
      </w:r>
      <w:proofErr w:type="spellStart"/>
      <w:r w:rsidRPr="00296603">
        <w:rPr>
          <w:rFonts w:ascii="Times New Roman" w:hAnsi="Times New Roman" w:cs="Times New Roman"/>
          <w:sz w:val="20"/>
          <w:szCs w:val="20"/>
        </w:rPr>
        <w:t>μL</w:t>
      </w:r>
      <w:proofErr w:type="spellEnd"/>
      <w:r w:rsidRPr="00296603">
        <w:rPr>
          <w:rFonts w:ascii="Times New Roman" w:hAnsi="Times New Roman" w:cs="Times New Roman"/>
          <w:sz w:val="20"/>
          <w:szCs w:val="20"/>
        </w:rPr>
        <w:t>, with a median of 371.5 parasites/</w:t>
      </w:r>
      <w:proofErr w:type="spellStart"/>
      <w:r w:rsidRPr="00296603">
        <w:rPr>
          <w:rFonts w:ascii="Times New Roman" w:hAnsi="Times New Roman" w:cs="Times New Roman"/>
          <w:sz w:val="20"/>
          <w:szCs w:val="20"/>
        </w:rPr>
        <w:t>μL</w:t>
      </w:r>
      <w:proofErr w:type="spellEnd"/>
      <w:r w:rsidRPr="00296603">
        <w:rPr>
          <w:rFonts w:ascii="Times New Roman" w:hAnsi="Times New Roman" w:cs="Times New Roman"/>
          <w:sz w:val="20"/>
          <w:szCs w:val="20"/>
        </w:rPr>
        <w:t xml:space="preserve"> and values ranging from 21 to 9458 parasites/</w:t>
      </w:r>
      <w:proofErr w:type="spellStart"/>
      <w:r w:rsidRPr="00296603">
        <w:rPr>
          <w:rFonts w:ascii="Times New Roman" w:hAnsi="Times New Roman" w:cs="Times New Roman"/>
          <w:sz w:val="20"/>
          <w:szCs w:val="20"/>
        </w:rPr>
        <w:t>μL</w:t>
      </w:r>
      <w:proofErr w:type="spellEnd"/>
      <w:r w:rsidRPr="00296603">
        <w:rPr>
          <w:rFonts w:ascii="Times New Roman" w:hAnsi="Times New Roman" w:cs="Times New Roman"/>
          <w:sz w:val="20"/>
          <w:szCs w:val="20"/>
        </w:rPr>
        <w:t>. The interquartile range (162.5–982.5 parasites/</w:t>
      </w:r>
      <w:proofErr w:type="spellStart"/>
      <w:r w:rsidRPr="00296603">
        <w:rPr>
          <w:rFonts w:ascii="Times New Roman" w:hAnsi="Times New Roman" w:cs="Times New Roman"/>
          <w:sz w:val="20"/>
          <w:szCs w:val="20"/>
        </w:rPr>
        <w:t>μL</w:t>
      </w:r>
      <w:proofErr w:type="spellEnd"/>
      <w:r w:rsidRPr="00296603">
        <w:rPr>
          <w:rFonts w:ascii="Times New Roman" w:hAnsi="Times New Roman" w:cs="Times New Roman"/>
          <w:sz w:val="20"/>
          <w:szCs w:val="20"/>
        </w:rPr>
        <w:t xml:space="preserve">) indicated a skewed distribution, with some individuals </w:t>
      </w:r>
      <w:proofErr w:type="spellStart"/>
      <w:r w:rsidRPr="00296603">
        <w:rPr>
          <w:rFonts w:ascii="Times New Roman" w:hAnsi="Times New Roman" w:cs="Times New Roman"/>
          <w:sz w:val="20"/>
          <w:szCs w:val="20"/>
        </w:rPr>
        <w:t>harbouring</w:t>
      </w:r>
      <w:proofErr w:type="spellEnd"/>
      <w:r w:rsidRPr="00296603">
        <w:rPr>
          <w:rFonts w:ascii="Times New Roman" w:hAnsi="Times New Roman" w:cs="Times New Roman"/>
          <w:sz w:val="20"/>
          <w:szCs w:val="20"/>
        </w:rPr>
        <w:t xml:space="preserve"> substantial parasite loads despite the absence of clinical symptoms. The categorical di</w:t>
      </w:r>
      <w:r w:rsidR="002408AF" w:rsidRPr="00296603">
        <w:rPr>
          <w:rFonts w:ascii="Times New Roman" w:hAnsi="Times New Roman" w:cs="Times New Roman"/>
          <w:sz w:val="20"/>
          <w:szCs w:val="20"/>
        </w:rPr>
        <w:t xml:space="preserve">stribution presented in Figure </w:t>
      </w:r>
      <w:r w:rsidR="005B6893" w:rsidRPr="00296603">
        <w:rPr>
          <w:rFonts w:ascii="Times New Roman" w:hAnsi="Times New Roman" w:cs="Times New Roman"/>
          <w:sz w:val="20"/>
          <w:szCs w:val="20"/>
        </w:rPr>
        <w:t>2</w:t>
      </w:r>
      <w:r w:rsidRPr="00296603">
        <w:rPr>
          <w:rFonts w:ascii="Times New Roman" w:hAnsi="Times New Roman" w:cs="Times New Roman"/>
          <w:sz w:val="20"/>
          <w:szCs w:val="20"/>
        </w:rPr>
        <w:t xml:space="preserve"> shows that 66% of asymptomatic participants fell within the low-density range (100–999 parasites/</w:t>
      </w:r>
      <w:proofErr w:type="spellStart"/>
      <w:r w:rsidRPr="00296603">
        <w:rPr>
          <w:rFonts w:ascii="Times New Roman" w:hAnsi="Times New Roman" w:cs="Times New Roman"/>
          <w:sz w:val="20"/>
          <w:szCs w:val="20"/>
        </w:rPr>
        <w:t>μL</w:t>
      </w:r>
      <w:proofErr w:type="spellEnd"/>
      <w:r w:rsidRPr="00296603">
        <w:rPr>
          <w:rFonts w:ascii="Times New Roman" w:hAnsi="Times New Roman" w:cs="Times New Roman"/>
          <w:sz w:val="20"/>
          <w:szCs w:val="20"/>
        </w:rPr>
        <w:t>), 22% within the moderate range (1000–9999 parasites/</w:t>
      </w:r>
      <w:proofErr w:type="spellStart"/>
      <w:r w:rsidRPr="00296603">
        <w:rPr>
          <w:rFonts w:ascii="Times New Roman" w:hAnsi="Times New Roman" w:cs="Times New Roman"/>
          <w:sz w:val="20"/>
          <w:szCs w:val="20"/>
        </w:rPr>
        <w:t>μL</w:t>
      </w:r>
      <w:proofErr w:type="spellEnd"/>
      <w:r w:rsidRPr="00296603">
        <w:rPr>
          <w:rFonts w:ascii="Times New Roman" w:hAnsi="Times New Roman" w:cs="Times New Roman"/>
          <w:sz w:val="20"/>
          <w:szCs w:val="20"/>
        </w:rPr>
        <w:t>), and 12% within the very low category (&lt;100 parasites/</w:t>
      </w:r>
      <w:proofErr w:type="spellStart"/>
      <w:r w:rsidRPr="00296603">
        <w:rPr>
          <w:rFonts w:ascii="Times New Roman" w:hAnsi="Times New Roman" w:cs="Times New Roman"/>
          <w:sz w:val="20"/>
          <w:szCs w:val="20"/>
        </w:rPr>
        <w:t>μL</w:t>
      </w:r>
      <w:proofErr w:type="spellEnd"/>
      <w:r w:rsidRPr="00296603">
        <w:rPr>
          <w:rFonts w:ascii="Times New Roman" w:hAnsi="Times New Roman" w:cs="Times New Roman"/>
          <w:sz w:val="20"/>
          <w:szCs w:val="20"/>
        </w:rPr>
        <w:t>).</w:t>
      </w:r>
    </w:p>
    <w:p w14:paraId="38F7DD4A" w14:textId="77777777" w:rsidR="00A10532" w:rsidRPr="00296603" w:rsidRDefault="002408AF" w:rsidP="00A10532">
      <w:pPr>
        <w:spacing w:line="276" w:lineRule="auto"/>
        <w:rPr>
          <w:rFonts w:ascii="Times New Roman" w:hAnsi="Times New Roman" w:cs="Times New Roman"/>
          <w:b/>
          <w:sz w:val="24"/>
          <w:szCs w:val="24"/>
        </w:rPr>
      </w:pPr>
      <w:r w:rsidRPr="00296603">
        <w:rPr>
          <w:rFonts w:ascii="Times New Roman" w:hAnsi="Times New Roman" w:cs="Times New Roman"/>
          <w:b/>
          <w:sz w:val="24"/>
          <w:szCs w:val="24"/>
        </w:rPr>
        <w:t xml:space="preserve">Table </w:t>
      </w:r>
      <w:r w:rsidR="00A10532" w:rsidRPr="00296603">
        <w:rPr>
          <w:rFonts w:ascii="Times New Roman" w:hAnsi="Times New Roman" w:cs="Times New Roman"/>
          <w:b/>
          <w:sz w:val="24"/>
          <w:szCs w:val="24"/>
        </w:rPr>
        <w:t>3: Parasite Density Characteristics of Asymptomatic Malaria Patients</w:t>
      </w:r>
    </w:p>
    <w:tbl>
      <w:tblPr>
        <w:tblW w:w="4143" w:type="dxa"/>
        <w:tblInd w:w="-5" w:type="dxa"/>
        <w:tblBorders>
          <w:top w:val="single" w:sz="4" w:space="0" w:color="auto"/>
          <w:bottom w:val="single" w:sz="4" w:space="0" w:color="auto"/>
        </w:tblBorders>
        <w:tblLook w:val="04A0" w:firstRow="1" w:lastRow="0" w:firstColumn="1" w:lastColumn="0" w:noHBand="0" w:noVBand="1"/>
      </w:tblPr>
      <w:tblGrid>
        <w:gridCol w:w="2007"/>
        <w:gridCol w:w="2136"/>
      </w:tblGrid>
      <w:tr w:rsidR="00A10532" w:rsidRPr="00296603" w14:paraId="446C47E9" w14:textId="77777777" w:rsidTr="00D74830">
        <w:trPr>
          <w:trHeight w:val="290"/>
        </w:trPr>
        <w:tc>
          <w:tcPr>
            <w:tcW w:w="2007" w:type="dxa"/>
            <w:tcBorders>
              <w:top w:val="single" w:sz="4" w:space="0" w:color="auto"/>
              <w:bottom w:val="single" w:sz="4" w:space="0" w:color="auto"/>
            </w:tcBorders>
            <w:noWrap/>
            <w:vAlign w:val="center"/>
            <w:hideMark/>
          </w:tcPr>
          <w:p w14:paraId="17F139E0"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Statistical Measure</w:t>
            </w:r>
          </w:p>
        </w:tc>
        <w:tc>
          <w:tcPr>
            <w:tcW w:w="2136" w:type="dxa"/>
            <w:tcBorders>
              <w:top w:val="single" w:sz="4" w:space="0" w:color="auto"/>
              <w:bottom w:val="single" w:sz="4" w:space="0" w:color="auto"/>
            </w:tcBorders>
            <w:noWrap/>
            <w:vAlign w:val="center"/>
            <w:hideMark/>
          </w:tcPr>
          <w:p w14:paraId="1C45FF9F"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Value (parasites/</w:t>
            </w:r>
            <w:proofErr w:type="spellStart"/>
            <w:r w:rsidRPr="00296603">
              <w:rPr>
                <w:rFonts w:ascii="Cambria" w:eastAsia="Times New Roman" w:hAnsi="Cambria" w:cs="Times New Roman"/>
                <w:color w:val="000000"/>
                <w:sz w:val="20"/>
                <w:szCs w:val="20"/>
              </w:rPr>
              <w:t>μL</w:t>
            </w:r>
            <w:proofErr w:type="spellEnd"/>
            <w:r w:rsidRPr="00296603">
              <w:rPr>
                <w:rFonts w:ascii="Cambria" w:eastAsia="Times New Roman" w:hAnsi="Cambria" w:cs="Times New Roman"/>
                <w:color w:val="000000"/>
                <w:sz w:val="20"/>
                <w:szCs w:val="20"/>
              </w:rPr>
              <w:t>)</w:t>
            </w:r>
          </w:p>
        </w:tc>
      </w:tr>
      <w:tr w:rsidR="00A10532" w:rsidRPr="00296603" w14:paraId="739CC716" w14:textId="77777777" w:rsidTr="00D74830">
        <w:trPr>
          <w:trHeight w:val="290"/>
        </w:trPr>
        <w:tc>
          <w:tcPr>
            <w:tcW w:w="2007" w:type="dxa"/>
            <w:tcBorders>
              <w:top w:val="single" w:sz="4" w:space="0" w:color="auto"/>
            </w:tcBorders>
            <w:noWrap/>
            <w:vAlign w:val="center"/>
            <w:hideMark/>
          </w:tcPr>
          <w:p w14:paraId="090F849F"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n</w:t>
            </w:r>
          </w:p>
        </w:tc>
        <w:tc>
          <w:tcPr>
            <w:tcW w:w="2136" w:type="dxa"/>
            <w:tcBorders>
              <w:top w:val="single" w:sz="4" w:space="0" w:color="auto"/>
            </w:tcBorders>
            <w:noWrap/>
            <w:vAlign w:val="center"/>
            <w:hideMark/>
          </w:tcPr>
          <w:p w14:paraId="335F8C79"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100</w:t>
            </w:r>
          </w:p>
        </w:tc>
      </w:tr>
      <w:tr w:rsidR="00A10532" w:rsidRPr="00296603" w14:paraId="2E81D53D" w14:textId="77777777" w:rsidTr="00D74830">
        <w:trPr>
          <w:trHeight w:val="290"/>
        </w:trPr>
        <w:tc>
          <w:tcPr>
            <w:tcW w:w="2007" w:type="dxa"/>
            <w:noWrap/>
            <w:vAlign w:val="center"/>
            <w:hideMark/>
          </w:tcPr>
          <w:p w14:paraId="608E7B9F"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Mean</w:t>
            </w:r>
          </w:p>
        </w:tc>
        <w:tc>
          <w:tcPr>
            <w:tcW w:w="2136" w:type="dxa"/>
            <w:noWrap/>
            <w:vAlign w:val="center"/>
            <w:hideMark/>
          </w:tcPr>
          <w:p w14:paraId="55295A80"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758.37</w:t>
            </w:r>
          </w:p>
        </w:tc>
      </w:tr>
      <w:tr w:rsidR="00A10532" w:rsidRPr="00296603" w14:paraId="62035017" w14:textId="77777777" w:rsidTr="00D74830">
        <w:trPr>
          <w:trHeight w:val="290"/>
        </w:trPr>
        <w:tc>
          <w:tcPr>
            <w:tcW w:w="2007" w:type="dxa"/>
            <w:noWrap/>
            <w:vAlign w:val="center"/>
            <w:hideMark/>
          </w:tcPr>
          <w:p w14:paraId="45DE5ED9"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SD</w:t>
            </w:r>
          </w:p>
        </w:tc>
        <w:tc>
          <w:tcPr>
            <w:tcW w:w="2136" w:type="dxa"/>
            <w:noWrap/>
            <w:vAlign w:val="center"/>
            <w:hideMark/>
          </w:tcPr>
          <w:p w14:paraId="7EE994ED"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1216.94</w:t>
            </w:r>
          </w:p>
        </w:tc>
      </w:tr>
      <w:tr w:rsidR="00A10532" w:rsidRPr="00296603" w14:paraId="4977CC15" w14:textId="77777777" w:rsidTr="00D74830">
        <w:trPr>
          <w:trHeight w:val="290"/>
        </w:trPr>
        <w:tc>
          <w:tcPr>
            <w:tcW w:w="2007" w:type="dxa"/>
            <w:noWrap/>
            <w:vAlign w:val="center"/>
            <w:hideMark/>
          </w:tcPr>
          <w:p w14:paraId="34247645"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Median</w:t>
            </w:r>
          </w:p>
        </w:tc>
        <w:tc>
          <w:tcPr>
            <w:tcW w:w="2136" w:type="dxa"/>
            <w:noWrap/>
            <w:vAlign w:val="center"/>
            <w:hideMark/>
          </w:tcPr>
          <w:p w14:paraId="75DA0ED4"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371.5</w:t>
            </w:r>
          </w:p>
        </w:tc>
      </w:tr>
      <w:tr w:rsidR="00A10532" w:rsidRPr="00296603" w14:paraId="0BFF64A1" w14:textId="77777777" w:rsidTr="00D74830">
        <w:trPr>
          <w:trHeight w:val="290"/>
        </w:trPr>
        <w:tc>
          <w:tcPr>
            <w:tcW w:w="2007" w:type="dxa"/>
            <w:noWrap/>
            <w:vAlign w:val="center"/>
            <w:hideMark/>
          </w:tcPr>
          <w:p w14:paraId="13DD1F38"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Q1</w:t>
            </w:r>
          </w:p>
        </w:tc>
        <w:tc>
          <w:tcPr>
            <w:tcW w:w="2136" w:type="dxa"/>
            <w:noWrap/>
            <w:vAlign w:val="center"/>
            <w:hideMark/>
          </w:tcPr>
          <w:p w14:paraId="250355CD"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162.5</w:t>
            </w:r>
          </w:p>
        </w:tc>
      </w:tr>
      <w:tr w:rsidR="00A10532" w:rsidRPr="00296603" w14:paraId="68C3946B" w14:textId="77777777" w:rsidTr="00D74830">
        <w:trPr>
          <w:trHeight w:val="290"/>
        </w:trPr>
        <w:tc>
          <w:tcPr>
            <w:tcW w:w="2007" w:type="dxa"/>
            <w:noWrap/>
            <w:vAlign w:val="center"/>
            <w:hideMark/>
          </w:tcPr>
          <w:p w14:paraId="5FC42F15"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Q3</w:t>
            </w:r>
          </w:p>
        </w:tc>
        <w:tc>
          <w:tcPr>
            <w:tcW w:w="2136" w:type="dxa"/>
            <w:noWrap/>
            <w:vAlign w:val="center"/>
            <w:hideMark/>
          </w:tcPr>
          <w:p w14:paraId="044F141F"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982.5</w:t>
            </w:r>
          </w:p>
        </w:tc>
      </w:tr>
      <w:tr w:rsidR="00A10532" w:rsidRPr="00296603" w14:paraId="52232CC9" w14:textId="77777777" w:rsidTr="00D74830">
        <w:trPr>
          <w:trHeight w:val="290"/>
        </w:trPr>
        <w:tc>
          <w:tcPr>
            <w:tcW w:w="2007" w:type="dxa"/>
            <w:noWrap/>
            <w:vAlign w:val="center"/>
            <w:hideMark/>
          </w:tcPr>
          <w:p w14:paraId="3221BEB0"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Min</w:t>
            </w:r>
          </w:p>
        </w:tc>
        <w:tc>
          <w:tcPr>
            <w:tcW w:w="2136" w:type="dxa"/>
            <w:noWrap/>
            <w:vAlign w:val="center"/>
            <w:hideMark/>
          </w:tcPr>
          <w:p w14:paraId="539D3C67"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21</w:t>
            </w:r>
          </w:p>
        </w:tc>
      </w:tr>
      <w:tr w:rsidR="00A10532" w:rsidRPr="00296603" w14:paraId="02789590" w14:textId="77777777" w:rsidTr="00D74830">
        <w:trPr>
          <w:trHeight w:val="290"/>
        </w:trPr>
        <w:tc>
          <w:tcPr>
            <w:tcW w:w="2007" w:type="dxa"/>
            <w:noWrap/>
            <w:vAlign w:val="center"/>
            <w:hideMark/>
          </w:tcPr>
          <w:p w14:paraId="2A79EE0B"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Max</w:t>
            </w:r>
          </w:p>
        </w:tc>
        <w:tc>
          <w:tcPr>
            <w:tcW w:w="2136" w:type="dxa"/>
            <w:noWrap/>
            <w:vAlign w:val="center"/>
            <w:hideMark/>
          </w:tcPr>
          <w:p w14:paraId="22ADD95D"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9458</w:t>
            </w:r>
          </w:p>
        </w:tc>
      </w:tr>
    </w:tbl>
    <w:p w14:paraId="670E6171" w14:textId="77777777" w:rsidR="00A10532" w:rsidRPr="00296603" w:rsidRDefault="00A10532" w:rsidP="00A10532">
      <w:pPr>
        <w:tabs>
          <w:tab w:val="left" w:pos="5220"/>
        </w:tabs>
        <w:rPr>
          <w:rFonts w:ascii="Times New Roman" w:hAnsi="Times New Roman" w:cs="Times New Roman"/>
          <w:sz w:val="24"/>
          <w:szCs w:val="24"/>
        </w:rPr>
      </w:pPr>
    </w:p>
    <w:p w14:paraId="2DBD2BBB" w14:textId="77777777" w:rsidR="00A10532" w:rsidRPr="00296603" w:rsidRDefault="00A10532" w:rsidP="00A10532">
      <w:pPr>
        <w:tabs>
          <w:tab w:val="left" w:pos="5220"/>
        </w:tabs>
        <w:spacing w:line="276" w:lineRule="auto"/>
        <w:jc w:val="center"/>
        <w:rPr>
          <w:rFonts w:ascii="Times New Roman" w:hAnsi="Times New Roman" w:cs="Times New Roman"/>
          <w:b/>
          <w:sz w:val="24"/>
          <w:szCs w:val="24"/>
        </w:rPr>
      </w:pPr>
      <w:r w:rsidRPr="00296603">
        <w:rPr>
          <w:noProof/>
        </w:rPr>
        <w:lastRenderedPageBreak/>
        <w:drawing>
          <wp:inline distT="0" distB="0" distL="0" distR="0" wp14:anchorId="1A39F879" wp14:editId="3CFE0A48">
            <wp:extent cx="4304957" cy="27432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1941" b="14337"/>
                    <a:stretch/>
                  </pic:blipFill>
                  <pic:spPr bwMode="auto">
                    <a:xfrm>
                      <a:off x="0" y="0"/>
                      <a:ext cx="4304957" cy="2743200"/>
                    </a:xfrm>
                    <a:prstGeom prst="rect">
                      <a:avLst/>
                    </a:prstGeom>
                    <a:ln>
                      <a:noFill/>
                    </a:ln>
                    <a:extLst>
                      <a:ext uri="{53640926-AAD7-44D8-BBD7-CCE9431645EC}">
                        <a14:shadowObscured xmlns:a14="http://schemas.microsoft.com/office/drawing/2010/main"/>
                      </a:ext>
                    </a:extLst>
                  </pic:spPr>
                </pic:pic>
              </a:graphicData>
            </a:graphic>
          </wp:inline>
        </w:drawing>
      </w:r>
    </w:p>
    <w:p w14:paraId="4D438331" w14:textId="77777777" w:rsidR="00A10532" w:rsidRPr="00296603" w:rsidRDefault="002408AF" w:rsidP="00A10532">
      <w:pPr>
        <w:tabs>
          <w:tab w:val="left" w:pos="5220"/>
        </w:tabs>
        <w:spacing w:line="276" w:lineRule="auto"/>
        <w:jc w:val="center"/>
        <w:rPr>
          <w:rFonts w:ascii="Times New Roman" w:hAnsi="Times New Roman" w:cs="Times New Roman"/>
          <w:b/>
          <w:sz w:val="24"/>
          <w:szCs w:val="24"/>
        </w:rPr>
      </w:pPr>
      <w:r w:rsidRPr="00296603">
        <w:rPr>
          <w:rFonts w:ascii="Times New Roman" w:hAnsi="Times New Roman" w:cs="Times New Roman"/>
          <w:b/>
          <w:sz w:val="24"/>
          <w:szCs w:val="24"/>
        </w:rPr>
        <w:t xml:space="preserve">Figure </w:t>
      </w:r>
      <w:r w:rsidR="005B6893" w:rsidRPr="00296603">
        <w:rPr>
          <w:rFonts w:ascii="Times New Roman" w:hAnsi="Times New Roman" w:cs="Times New Roman"/>
          <w:b/>
          <w:sz w:val="24"/>
          <w:szCs w:val="24"/>
        </w:rPr>
        <w:t>2</w:t>
      </w:r>
      <w:r w:rsidR="00A10532" w:rsidRPr="00296603">
        <w:rPr>
          <w:rFonts w:ascii="Times New Roman" w:hAnsi="Times New Roman" w:cs="Times New Roman"/>
          <w:b/>
          <w:sz w:val="24"/>
          <w:szCs w:val="24"/>
        </w:rPr>
        <w:t>: Parasite Density Categories (Distribution in Asymptomatic Patients)</w:t>
      </w:r>
    </w:p>
    <w:p w14:paraId="320CDBF9" w14:textId="77777777" w:rsidR="00A10532" w:rsidRPr="00296603" w:rsidRDefault="00A10532" w:rsidP="00A10532">
      <w:pPr>
        <w:spacing w:line="360" w:lineRule="auto"/>
        <w:rPr>
          <w:rFonts w:ascii="Times New Roman" w:hAnsi="Times New Roman" w:cs="Times New Roman"/>
          <w:sz w:val="20"/>
          <w:szCs w:val="20"/>
        </w:rPr>
      </w:pPr>
    </w:p>
    <w:p w14:paraId="325FABE3" w14:textId="77777777" w:rsidR="00227EC0" w:rsidRPr="00296603" w:rsidRDefault="00227EC0" w:rsidP="00227EC0">
      <w:pPr>
        <w:spacing w:after="160" w:line="360" w:lineRule="auto"/>
        <w:rPr>
          <w:rFonts w:ascii="Times New Roman" w:hAnsi="Times New Roman" w:cs="Times New Roman"/>
          <w:sz w:val="20"/>
          <w:szCs w:val="20"/>
        </w:rPr>
      </w:pPr>
      <w:r w:rsidRPr="00296603">
        <w:rPr>
          <w:rFonts w:ascii="Times New Roman" w:hAnsi="Times New Roman" w:cs="Times New Roman"/>
          <w:sz w:val="20"/>
          <w:szCs w:val="20"/>
        </w:rPr>
        <w:t>Correlation analysis explored whether parasite density influenced laboratory parameters among asymptomatic ca</w:t>
      </w:r>
      <w:r w:rsidR="002408AF" w:rsidRPr="00296603">
        <w:rPr>
          <w:rFonts w:ascii="Times New Roman" w:hAnsi="Times New Roman" w:cs="Times New Roman"/>
          <w:sz w:val="20"/>
          <w:szCs w:val="20"/>
        </w:rPr>
        <w:t xml:space="preserve">rriers. As presented in Table </w:t>
      </w:r>
      <w:r w:rsidRPr="00296603">
        <w:rPr>
          <w:rFonts w:ascii="Times New Roman" w:hAnsi="Times New Roman" w:cs="Times New Roman"/>
          <w:sz w:val="20"/>
          <w:szCs w:val="20"/>
        </w:rPr>
        <w:t>4 and illustrated in th</w:t>
      </w:r>
      <w:r w:rsidR="002408AF" w:rsidRPr="00296603">
        <w:rPr>
          <w:rFonts w:ascii="Times New Roman" w:hAnsi="Times New Roman" w:cs="Times New Roman"/>
          <w:sz w:val="20"/>
          <w:szCs w:val="20"/>
        </w:rPr>
        <w:t xml:space="preserve">e correlation heatmap (Figure </w:t>
      </w:r>
      <w:r w:rsidR="005B6893" w:rsidRPr="00296603">
        <w:rPr>
          <w:rFonts w:ascii="Times New Roman" w:hAnsi="Times New Roman" w:cs="Times New Roman"/>
          <w:sz w:val="20"/>
          <w:szCs w:val="20"/>
        </w:rPr>
        <w:t>3</w:t>
      </w:r>
      <w:r w:rsidRPr="00296603">
        <w:rPr>
          <w:rFonts w:ascii="Times New Roman" w:hAnsi="Times New Roman" w:cs="Times New Roman"/>
          <w:sz w:val="20"/>
          <w:szCs w:val="20"/>
        </w:rPr>
        <w:t xml:space="preserve">), most relationships were weak or negligible. Platelet count demonstrated the only statistically significant association, showing a weak positive correlation with parasite density (ρ = 0.224, p = 0.025). This relationship is visually supported </w:t>
      </w:r>
      <w:r w:rsidR="002408AF" w:rsidRPr="00296603">
        <w:rPr>
          <w:rFonts w:ascii="Times New Roman" w:hAnsi="Times New Roman" w:cs="Times New Roman"/>
          <w:sz w:val="20"/>
          <w:szCs w:val="20"/>
        </w:rPr>
        <w:t xml:space="preserve">by the scatter plot in Figure </w:t>
      </w:r>
      <w:r w:rsidR="005B6893" w:rsidRPr="00296603">
        <w:rPr>
          <w:rFonts w:ascii="Times New Roman" w:hAnsi="Times New Roman" w:cs="Times New Roman"/>
          <w:sz w:val="20"/>
          <w:szCs w:val="20"/>
        </w:rPr>
        <w:t>4</w:t>
      </w:r>
      <w:r w:rsidRPr="00296603">
        <w:rPr>
          <w:rFonts w:ascii="Times New Roman" w:hAnsi="Times New Roman" w:cs="Times New Roman"/>
          <w:sz w:val="20"/>
          <w:szCs w:val="20"/>
        </w:rPr>
        <w:t xml:space="preserve">, which demonstrates a slight upward trend in platelet values with increasing parasite density on a logarithmic scale. </w:t>
      </w:r>
      <w:proofErr w:type="spellStart"/>
      <w:r w:rsidRPr="00296603">
        <w:rPr>
          <w:rFonts w:ascii="Times New Roman" w:hAnsi="Times New Roman" w:cs="Times New Roman"/>
          <w:sz w:val="20"/>
          <w:szCs w:val="20"/>
        </w:rPr>
        <w:t>Haemoglobin</w:t>
      </w:r>
      <w:proofErr w:type="spellEnd"/>
      <w:r w:rsidRPr="00296603">
        <w:rPr>
          <w:rFonts w:ascii="Times New Roman" w:hAnsi="Times New Roman" w:cs="Times New Roman"/>
          <w:sz w:val="20"/>
          <w:szCs w:val="20"/>
        </w:rPr>
        <w:t xml:space="preserve"> (ρ = 0.087, p = 0.391) and RBC count (ρ = 0.031, p = 0.757) showed negligible positive correlations. WBC count showed a negligible negative correlation (ρ = −0.003, p = 0.973). Liver enzymes and renal markers exhibited weak or negligible correlations, none of which reached statistical significance. Total bilirubin showed a weak positive association (ρ = 0.178, p = 0.076), approaching but not achieving statistical significance.</w:t>
      </w:r>
    </w:p>
    <w:p w14:paraId="1B51E16F" w14:textId="77777777" w:rsidR="00A10532" w:rsidRPr="00296603" w:rsidRDefault="002408AF" w:rsidP="00A10532">
      <w:pPr>
        <w:tabs>
          <w:tab w:val="left" w:pos="3580"/>
        </w:tabs>
        <w:spacing w:line="276" w:lineRule="auto"/>
        <w:rPr>
          <w:rFonts w:ascii="Times New Roman" w:hAnsi="Times New Roman" w:cs="Times New Roman"/>
          <w:b/>
          <w:sz w:val="24"/>
          <w:szCs w:val="24"/>
        </w:rPr>
      </w:pPr>
      <w:r w:rsidRPr="00296603">
        <w:rPr>
          <w:rFonts w:ascii="Times New Roman" w:hAnsi="Times New Roman" w:cs="Times New Roman"/>
          <w:b/>
          <w:sz w:val="24"/>
          <w:szCs w:val="24"/>
        </w:rPr>
        <w:t xml:space="preserve">Table </w:t>
      </w:r>
      <w:r w:rsidR="00A10532" w:rsidRPr="00296603">
        <w:rPr>
          <w:rFonts w:ascii="Times New Roman" w:hAnsi="Times New Roman" w:cs="Times New Roman"/>
          <w:b/>
          <w:sz w:val="24"/>
          <w:szCs w:val="24"/>
        </w:rPr>
        <w:t>4: Spearman Rank Correlation between Parasite Density and Laboratory Parameters of Asymptomatic Malaria Patients</w:t>
      </w:r>
    </w:p>
    <w:tbl>
      <w:tblPr>
        <w:tblW w:w="9047" w:type="dxa"/>
        <w:tblBorders>
          <w:top w:val="single" w:sz="4" w:space="0" w:color="auto"/>
          <w:bottom w:val="single" w:sz="4" w:space="0" w:color="auto"/>
        </w:tblBorders>
        <w:tblLook w:val="04A0" w:firstRow="1" w:lastRow="0" w:firstColumn="1" w:lastColumn="0" w:noHBand="0" w:noVBand="1"/>
      </w:tblPr>
      <w:tblGrid>
        <w:gridCol w:w="2251"/>
        <w:gridCol w:w="2684"/>
        <w:gridCol w:w="960"/>
        <w:gridCol w:w="960"/>
        <w:gridCol w:w="1145"/>
        <w:gridCol w:w="1047"/>
      </w:tblGrid>
      <w:tr w:rsidR="00A10532" w:rsidRPr="00296603" w14:paraId="770DBF68" w14:textId="77777777" w:rsidTr="00D74830">
        <w:trPr>
          <w:trHeight w:val="280"/>
        </w:trPr>
        <w:tc>
          <w:tcPr>
            <w:tcW w:w="2251" w:type="dxa"/>
            <w:tcBorders>
              <w:top w:val="single" w:sz="4" w:space="0" w:color="auto"/>
              <w:bottom w:val="single" w:sz="4" w:space="0" w:color="auto"/>
            </w:tcBorders>
            <w:noWrap/>
            <w:vAlign w:val="center"/>
            <w:hideMark/>
          </w:tcPr>
          <w:p w14:paraId="2F421B1E"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Laboratory Parameter</w:t>
            </w:r>
          </w:p>
        </w:tc>
        <w:tc>
          <w:tcPr>
            <w:tcW w:w="2684" w:type="dxa"/>
            <w:tcBorders>
              <w:top w:val="single" w:sz="4" w:space="0" w:color="auto"/>
              <w:bottom w:val="single" w:sz="4" w:space="0" w:color="auto"/>
            </w:tcBorders>
            <w:noWrap/>
            <w:vAlign w:val="center"/>
            <w:hideMark/>
          </w:tcPr>
          <w:p w14:paraId="161725CB"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Correlation Coefficient (ρ)</w:t>
            </w:r>
          </w:p>
        </w:tc>
        <w:tc>
          <w:tcPr>
            <w:tcW w:w="960" w:type="dxa"/>
            <w:tcBorders>
              <w:top w:val="single" w:sz="4" w:space="0" w:color="auto"/>
              <w:bottom w:val="single" w:sz="4" w:space="0" w:color="auto"/>
            </w:tcBorders>
            <w:noWrap/>
            <w:vAlign w:val="center"/>
            <w:hideMark/>
          </w:tcPr>
          <w:p w14:paraId="111192B3"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p-value</w:t>
            </w:r>
          </w:p>
        </w:tc>
        <w:tc>
          <w:tcPr>
            <w:tcW w:w="960" w:type="dxa"/>
            <w:tcBorders>
              <w:top w:val="single" w:sz="4" w:space="0" w:color="auto"/>
              <w:bottom w:val="single" w:sz="4" w:space="0" w:color="auto"/>
            </w:tcBorders>
            <w:noWrap/>
            <w:vAlign w:val="center"/>
            <w:hideMark/>
          </w:tcPr>
          <w:p w14:paraId="6A35881C"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Sig.1</w:t>
            </w:r>
          </w:p>
        </w:tc>
        <w:tc>
          <w:tcPr>
            <w:tcW w:w="1145" w:type="dxa"/>
            <w:tcBorders>
              <w:top w:val="single" w:sz="4" w:space="0" w:color="auto"/>
              <w:bottom w:val="single" w:sz="4" w:space="0" w:color="auto"/>
            </w:tcBorders>
            <w:noWrap/>
            <w:vAlign w:val="center"/>
            <w:hideMark/>
          </w:tcPr>
          <w:p w14:paraId="22B38506"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Strength</w:t>
            </w:r>
          </w:p>
        </w:tc>
        <w:tc>
          <w:tcPr>
            <w:tcW w:w="1047" w:type="dxa"/>
            <w:tcBorders>
              <w:top w:val="single" w:sz="4" w:space="0" w:color="auto"/>
              <w:bottom w:val="single" w:sz="4" w:space="0" w:color="auto"/>
            </w:tcBorders>
            <w:noWrap/>
            <w:vAlign w:val="center"/>
            <w:hideMark/>
          </w:tcPr>
          <w:p w14:paraId="5C02EB67"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Direction</w:t>
            </w:r>
          </w:p>
        </w:tc>
      </w:tr>
      <w:tr w:rsidR="00A10532" w:rsidRPr="00296603" w14:paraId="6A4D54F7" w14:textId="77777777" w:rsidTr="00D74830">
        <w:trPr>
          <w:trHeight w:val="280"/>
        </w:trPr>
        <w:tc>
          <w:tcPr>
            <w:tcW w:w="2251" w:type="dxa"/>
            <w:tcBorders>
              <w:top w:val="single" w:sz="4" w:space="0" w:color="auto"/>
            </w:tcBorders>
            <w:noWrap/>
            <w:vAlign w:val="center"/>
            <w:hideMark/>
          </w:tcPr>
          <w:p w14:paraId="6574F5AF"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Hemoglobin</w:t>
            </w:r>
          </w:p>
        </w:tc>
        <w:tc>
          <w:tcPr>
            <w:tcW w:w="2684" w:type="dxa"/>
            <w:tcBorders>
              <w:top w:val="single" w:sz="4" w:space="0" w:color="auto"/>
            </w:tcBorders>
            <w:noWrap/>
            <w:vAlign w:val="center"/>
            <w:hideMark/>
          </w:tcPr>
          <w:p w14:paraId="530232FC"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0.087</w:t>
            </w:r>
          </w:p>
        </w:tc>
        <w:tc>
          <w:tcPr>
            <w:tcW w:w="960" w:type="dxa"/>
            <w:tcBorders>
              <w:top w:val="single" w:sz="4" w:space="0" w:color="auto"/>
            </w:tcBorders>
            <w:noWrap/>
            <w:vAlign w:val="center"/>
            <w:hideMark/>
          </w:tcPr>
          <w:p w14:paraId="166AC36B"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0.391</w:t>
            </w:r>
          </w:p>
        </w:tc>
        <w:tc>
          <w:tcPr>
            <w:tcW w:w="960" w:type="dxa"/>
            <w:tcBorders>
              <w:top w:val="single" w:sz="4" w:space="0" w:color="auto"/>
            </w:tcBorders>
            <w:noWrap/>
            <w:vAlign w:val="center"/>
            <w:hideMark/>
          </w:tcPr>
          <w:p w14:paraId="18D7997E"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 </w:t>
            </w:r>
          </w:p>
        </w:tc>
        <w:tc>
          <w:tcPr>
            <w:tcW w:w="1145" w:type="dxa"/>
            <w:tcBorders>
              <w:top w:val="single" w:sz="4" w:space="0" w:color="auto"/>
            </w:tcBorders>
            <w:noWrap/>
            <w:vAlign w:val="center"/>
            <w:hideMark/>
          </w:tcPr>
          <w:p w14:paraId="22284467"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Negligible</w:t>
            </w:r>
          </w:p>
        </w:tc>
        <w:tc>
          <w:tcPr>
            <w:tcW w:w="1047" w:type="dxa"/>
            <w:tcBorders>
              <w:top w:val="single" w:sz="4" w:space="0" w:color="auto"/>
            </w:tcBorders>
            <w:noWrap/>
            <w:vAlign w:val="center"/>
            <w:hideMark/>
          </w:tcPr>
          <w:p w14:paraId="7DD4DDC9"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Positive</w:t>
            </w:r>
          </w:p>
        </w:tc>
      </w:tr>
      <w:tr w:rsidR="00A10532" w:rsidRPr="00296603" w14:paraId="51D2B073" w14:textId="77777777" w:rsidTr="00D74830">
        <w:trPr>
          <w:trHeight w:val="280"/>
        </w:trPr>
        <w:tc>
          <w:tcPr>
            <w:tcW w:w="2251" w:type="dxa"/>
            <w:noWrap/>
            <w:vAlign w:val="center"/>
            <w:hideMark/>
          </w:tcPr>
          <w:p w14:paraId="33C165C4"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RBC</w:t>
            </w:r>
          </w:p>
        </w:tc>
        <w:tc>
          <w:tcPr>
            <w:tcW w:w="2684" w:type="dxa"/>
            <w:noWrap/>
            <w:vAlign w:val="center"/>
            <w:hideMark/>
          </w:tcPr>
          <w:p w14:paraId="1D69E879"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0.031</w:t>
            </w:r>
          </w:p>
        </w:tc>
        <w:tc>
          <w:tcPr>
            <w:tcW w:w="960" w:type="dxa"/>
            <w:noWrap/>
            <w:vAlign w:val="center"/>
            <w:hideMark/>
          </w:tcPr>
          <w:p w14:paraId="03081C63"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0.757</w:t>
            </w:r>
          </w:p>
        </w:tc>
        <w:tc>
          <w:tcPr>
            <w:tcW w:w="960" w:type="dxa"/>
            <w:noWrap/>
            <w:vAlign w:val="center"/>
            <w:hideMark/>
          </w:tcPr>
          <w:p w14:paraId="6935BECE"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 </w:t>
            </w:r>
          </w:p>
        </w:tc>
        <w:tc>
          <w:tcPr>
            <w:tcW w:w="1145" w:type="dxa"/>
            <w:noWrap/>
            <w:vAlign w:val="center"/>
            <w:hideMark/>
          </w:tcPr>
          <w:p w14:paraId="4DE5D18F"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Negligible</w:t>
            </w:r>
          </w:p>
        </w:tc>
        <w:tc>
          <w:tcPr>
            <w:tcW w:w="1047" w:type="dxa"/>
            <w:noWrap/>
            <w:vAlign w:val="center"/>
            <w:hideMark/>
          </w:tcPr>
          <w:p w14:paraId="04A53AF0"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Positive</w:t>
            </w:r>
          </w:p>
        </w:tc>
      </w:tr>
      <w:tr w:rsidR="00A10532" w:rsidRPr="00296603" w14:paraId="5C7702E2" w14:textId="77777777" w:rsidTr="00D74830">
        <w:trPr>
          <w:trHeight w:val="280"/>
        </w:trPr>
        <w:tc>
          <w:tcPr>
            <w:tcW w:w="2251" w:type="dxa"/>
            <w:noWrap/>
            <w:vAlign w:val="center"/>
            <w:hideMark/>
          </w:tcPr>
          <w:p w14:paraId="1AC80C83"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Platelets</w:t>
            </w:r>
          </w:p>
        </w:tc>
        <w:tc>
          <w:tcPr>
            <w:tcW w:w="2684" w:type="dxa"/>
            <w:noWrap/>
            <w:vAlign w:val="center"/>
            <w:hideMark/>
          </w:tcPr>
          <w:p w14:paraId="0794C42D"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0.224</w:t>
            </w:r>
          </w:p>
        </w:tc>
        <w:tc>
          <w:tcPr>
            <w:tcW w:w="960" w:type="dxa"/>
            <w:noWrap/>
            <w:vAlign w:val="center"/>
            <w:hideMark/>
          </w:tcPr>
          <w:p w14:paraId="7136A9DE"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0.025</w:t>
            </w:r>
          </w:p>
        </w:tc>
        <w:tc>
          <w:tcPr>
            <w:tcW w:w="960" w:type="dxa"/>
            <w:noWrap/>
            <w:vAlign w:val="center"/>
            <w:hideMark/>
          </w:tcPr>
          <w:p w14:paraId="591F9A57"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w:t>
            </w:r>
          </w:p>
        </w:tc>
        <w:tc>
          <w:tcPr>
            <w:tcW w:w="1145" w:type="dxa"/>
            <w:noWrap/>
            <w:vAlign w:val="center"/>
            <w:hideMark/>
          </w:tcPr>
          <w:p w14:paraId="2C70DCA4"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Weak</w:t>
            </w:r>
          </w:p>
        </w:tc>
        <w:tc>
          <w:tcPr>
            <w:tcW w:w="1047" w:type="dxa"/>
            <w:noWrap/>
            <w:vAlign w:val="center"/>
            <w:hideMark/>
          </w:tcPr>
          <w:p w14:paraId="00CD3BAD"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Positive</w:t>
            </w:r>
          </w:p>
        </w:tc>
      </w:tr>
      <w:tr w:rsidR="00A10532" w:rsidRPr="00296603" w14:paraId="3AE5C789" w14:textId="77777777" w:rsidTr="00D74830">
        <w:trPr>
          <w:trHeight w:val="280"/>
        </w:trPr>
        <w:tc>
          <w:tcPr>
            <w:tcW w:w="2251" w:type="dxa"/>
            <w:noWrap/>
            <w:vAlign w:val="center"/>
            <w:hideMark/>
          </w:tcPr>
          <w:p w14:paraId="5CB68A4B"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WBC</w:t>
            </w:r>
          </w:p>
        </w:tc>
        <w:tc>
          <w:tcPr>
            <w:tcW w:w="2684" w:type="dxa"/>
            <w:noWrap/>
            <w:vAlign w:val="center"/>
            <w:hideMark/>
          </w:tcPr>
          <w:p w14:paraId="61E43DA7"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−0.003</w:t>
            </w:r>
          </w:p>
        </w:tc>
        <w:tc>
          <w:tcPr>
            <w:tcW w:w="960" w:type="dxa"/>
            <w:noWrap/>
            <w:vAlign w:val="center"/>
            <w:hideMark/>
          </w:tcPr>
          <w:p w14:paraId="0C1E2AC7"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0.973</w:t>
            </w:r>
          </w:p>
        </w:tc>
        <w:tc>
          <w:tcPr>
            <w:tcW w:w="960" w:type="dxa"/>
            <w:noWrap/>
            <w:vAlign w:val="center"/>
            <w:hideMark/>
          </w:tcPr>
          <w:p w14:paraId="7C5BD879"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 </w:t>
            </w:r>
          </w:p>
        </w:tc>
        <w:tc>
          <w:tcPr>
            <w:tcW w:w="1145" w:type="dxa"/>
            <w:noWrap/>
            <w:vAlign w:val="center"/>
            <w:hideMark/>
          </w:tcPr>
          <w:p w14:paraId="6A8CA565"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Negligible</w:t>
            </w:r>
          </w:p>
        </w:tc>
        <w:tc>
          <w:tcPr>
            <w:tcW w:w="1047" w:type="dxa"/>
            <w:noWrap/>
            <w:vAlign w:val="center"/>
            <w:hideMark/>
          </w:tcPr>
          <w:p w14:paraId="30B2153E"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Negative</w:t>
            </w:r>
          </w:p>
        </w:tc>
      </w:tr>
      <w:tr w:rsidR="00A10532" w:rsidRPr="00296603" w14:paraId="2AFA87AD" w14:textId="77777777" w:rsidTr="00D74830">
        <w:trPr>
          <w:trHeight w:val="280"/>
        </w:trPr>
        <w:tc>
          <w:tcPr>
            <w:tcW w:w="2251" w:type="dxa"/>
            <w:noWrap/>
            <w:vAlign w:val="center"/>
            <w:hideMark/>
          </w:tcPr>
          <w:p w14:paraId="1C24AEB6"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AST</w:t>
            </w:r>
          </w:p>
        </w:tc>
        <w:tc>
          <w:tcPr>
            <w:tcW w:w="2684" w:type="dxa"/>
            <w:noWrap/>
            <w:vAlign w:val="center"/>
            <w:hideMark/>
          </w:tcPr>
          <w:p w14:paraId="464F2AB9"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0.009</w:t>
            </w:r>
          </w:p>
        </w:tc>
        <w:tc>
          <w:tcPr>
            <w:tcW w:w="960" w:type="dxa"/>
            <w:noWrap/>
            <w:vAlign w:val="center"/>
            <w:hideMark/>
          </w:tcPr>
          <w:p w14:paraId="6626D44B"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0.933</w:t>
            </w:r>
          </w:p>
        </w:tc>
        <w:tc>
          <w:tcPr>
            <w:tcW w:w="960" w:type="dxa"/>
            <w:noWrap/>
            <w:vAlign w:val="center"/>
            <w:hideMark/>
          </w:tcPr>
          <w:p w14:paraId="7AAB4052"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 </w:t>
            </w:r>
          </w:p>
        </w:tc>
        <w:tc>
          <w:tcPr>
            <w:tcW w:w="1145" w:type="dxa"/>
            <w:noWrap/>
            <w:vAlign w:val="center"/>
            <w:hideMark/>
          </w:tcPr>
          <w:p w14:paraId="16CF8C64"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Negligible</w:t>
            </w:r>
          </w:p>
        </w:tc>
        <w:tc>
          <w:tcPr>
            <w:tcW w:w="1047" w:type="dxa"/>
            <w:noWrap/>
            <w:vAlign w:val="center"/>
            <w:hideMark/>
          </w:tcPr>
          <w:p w14:paraId="3349A2E2"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Positive</w:t>
            </w:r>
          </w:p>
        </w:tc>
      </w:tr>
      <w:tr w:rsidR="00A10532" w:rsidRPr="00296603" w14:paraId="19A3FAB6" w14:textId="77777777" w:rsidTr="00D74830">
        <w:trPr>
          <w:trHeight w:val="280"/>
        </w:trPr>
        <w:tc>
          <w:tcPr>
            <w:tcW w:w="2251" w:type="dxa"/>
            <w:noWrap/>
            <w:vAlign w:val="center"/>
            <w:hideMark/>
          </w:tcPr>
          <w:p w14:paraId="6833CDF0"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ALT</w:t>
            </w:r>
          </w:p>
        </w:tc>
        <w:tc>
          <w:tcPr>
            <w:tcW w:w="2684" w:type="dxa"/>
            <w:noWrap/>
            <w:vAlign w:val="center"/>
            <w:hideMark/>
          </w:tcPr>
          <w:p w14:paraId="26706514"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−0.101</w:t>
            </w:r>
          </w:p>
        </w:tc>
        <w:tc>
          <w:tcPr>
            <w:tcW w:w="960" w:type="dxa"/>
            <w:noWrap/>
            <w:vAlign w:val="center"/>
            <w:hideMark/>
          </w:tcPr>
          <w:p w14:paraId="40E27187"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0.316</w:t>
            </w:r>
          </w:p>
        </w:tc>
        <w:tc>
          <w:tcPr>
            <w:tcW w:w="960" w:type="dxa"/>
            <w:noWrap/>
            <w:vAlign w:val="center"/>
            <w:hideMark/>
          </w:tcPr>
          <w:p w14:paraId="4A2A29E6"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 </w:t>
            </w:r>
          </w:p>
        </w:tc>
        <w:tc>
          <w:tcPr>
            <w:tcW w:w="1145" w:type="dxa"/>
            <w:noWrap/>
            <w:vAlign w:val="center"/>
            <w:hideMark/>
          </w:tcPr>
          <w:p w14:paraId="4E963EEF"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Weak</w:t>
            </w:r>
          </w:p>
        </w:tc>
        <w:tc>
          <w:tcPr>
            <w:tcW w:w="1047" w:type="dxa"/>
            <w:noWrap/>
            <w:vAlign w:val="center"/>
            <w:hideMark/>
          </w:tcPr>
          <w:p w14:paraId="74F9439E"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Negative</w:t>
            </w:r>
          </w:p>
        </w:tc>
      </w:tr>
      <w:tr w:rsidR="00A10532" w:rsidRPr="00296603" w14:paraId="4FD28A4A" w14:textId="77777777" w:rsidTr="00D74830">
        <w:trPr>
          <w:trHeight w:val="280"/>
        </w:trPr>
        <w:tc>
          <w:tcPr>
            <w:tcW w:w="2251" w:type="dxa"/>
            <w:noWrap/>
            <w:vAlign w:val="center"/>
            <w:hideMark/>
          </w:tcPr>
          <w:p w14:paraId="42D5EAC3" w14:textId="77777777" w:rsidR="00A10532" w:rsidRPr="00296603" w:rsidRDefault="00A10532" w:rsidP="00D74830">
            <w:pPr>
              <w:spacing w:line="240" w:lineRule="auto"/>
              <w:jc w:val="left"/>
              <w:rPr>
                <w:rFonts w:ascii="Cambria" w:eastAsia="Times New Roman" w:hAnsi="Cambria" w:cs="Times New Roman"/>
                <w:color w:val="000000"/>
                <w:sz w:val="20"/>
                <w:szCs w:val="20"/>
              </w:rPr>
            </w:pPr>
            <w:proofErr w:type="spellStart"/>
            <w:r w:rsidRPr="00296603">
              <w:rPr>
                <w:rFonts w:ascii="Cambria" w:eastAsia="Times New Roman" w:hAnsi="Cambria" w:cs="Times New Roman"/>
                <w:color w:val="000000"/>
                <w:sz w:val="20"/>
                <w:szCs w:val="20"/>
              </w:rPr>
              <w:t>Total_Bilirubin</w:t>
            </w:r>
            <w:proofErr w:type="spellEnd"/>
          </w:p>
        </w:tc>
        <w:tc>
          <w:tcPr>
            <w:tcW w:w="2684" w:type="dxa"/>
            <w:noWrap/>
            <w:vAlign w:val="center"/>
            <w:hideMark/>
          </w:tcPr>
          <w:p w14:paraId="239C2218"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0.178</w:t>
            </w:r>
          </w:p>
        </w:tc>
        <w:tc>
          <w:tcPr>
            <w:tcW w:w="960" w:type="dxa"/>
            <w:noWrap/>
            <w:vAlign w:val="center"/>
            <w:hideMark/>
          </w:tcPr>
          <w:p w14:paraId="37D4B1BC"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0.076</w:t>
            </w:r>
          </w:p>
        </w:tc>
        <w:tc>
          <w:tcPr>
            <w:tcW w:w="960" w:type="dxa"/>
            <w:noWrap/>
            <w:vAlign w:val="center"/>
            <w:hideMark/>
          </w:tcPr>
          <w:p w14:paraId="75B349EB"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 </w:t>
            </w:r>
          </w:p>
        </w:tc>
        <w:tc>
          <w:tcPr>
            <w:tcW w:w="1145" w:type="dxa"/>
            <w:noWrap/>
            <w:vAlign w:val="center"/>
            <w:hideMark/>
          </w:tcPr>
          <w:p w14:paraId="7A27A74A"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Weak</w:t>
            </w:r>
          </w:p>
        </w:tc>
        <w:tc>
          <w:tcPr>
            <w:tcW w:w="1047" w:type="dxa"/>
            <w:noWrap/>
            <w:vAlign w:val="center"/>
            <w:hideMark/>
          </w:tcPr>
          <w:p w14:paraId="5E49C9E0"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Positive</w:t>
            </w:r>
          </w:p>
        </w:tc>
      </w:tr>
      <w:tr w:rsidR="00A10532" w:rsidRPr="00296603" w14:paraId="4AA36C3B" w14:textId="77777777" w:rsidTr="00D74830">
        <w:trPr>
          <w:trHeight w:val="280"/>
        </w:trPr>
        <w:tc>
          <w:tcPr>
            <w:tcW w:w="2251" w:type="dxa"/>
            <w:noWrap/>
            <w:vAlign w:val="center"/>
            <w:hideMark/>
          </w:tcPr>
          <w:p w14:paraId="5B1012A5"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Urea</w:t>
            </w:r>
          </w:p>
        </w:tc>
        <w:tc>
          <w:tcPr>
            <w:tcW w:w="2684" w:type="dxa"/>
            <w:noWrap/>
            <w:vAlign w:val="center"/>
            <w:hideMark/>
          </w:tcPr>
          <w:p w14:paraId="12A83503"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−0.133</w:t>
            </w:r>
          </w:p>
        </w:tc>
        <w:tc>
          <w:tcPr>
            <w:tcW w:w="960" w:type="dxa"/>
            <w:noWrap/>
            <w:vAlign w:val="center"/>
            <w:hideMark/>
          </w:tcPr>
          <w:p w14:paraId="5A066B3C"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0.187</w:t>
            </w:r>
          </w:p>
        </w:tc>
        <w:tc>
          <w:tcPr>
            <w:tcW w:w="960" w:type="dxa"/>
            <w:noWrap/>
            <w:vAlign w:val="center"/>
            <w:hideMark/>
          </w:tcPr>
          <w:p w14:paraId="434CD103"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 </w:t>
            </w:r>
          </w:p>
        </w:tc>
        <w:tc>
          <w:tcPr>
            <w:tcW w:w="1145" w:type="dxa"/>
            <w:noWrap/>
            <w:vAlign w:val="center"/>
            <w:hideMark/>
          </w:tcPr>
          <w:p w14:paraId="74FB2F5C"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Weak</w:t>
            </w:r>
          </w:p>
        </w:tc>
        <w:tc>
          <w:tcPr>
            <w:tcW w:w="1047" w:type="dxa"/>
            <w:noWrap/>
            <w:vAlign w:val="center"/>
            <w:hideMark/>
          </w:tcPr>
          <w:p w14:paraId="6354E35E"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Negative</w:t>
            </w:r>
          </w:p>
        </w:tc>
      </w:tr>
      <w:tr w:rsidR="00A10532" w:rsidRPr="00296603" w14:paraId="34FACFA8" w14:textId="77777777" w:rsidTr="00D74830">
        <w:trPr>
          <w:trHeight w:val="280"/>
        </w:trPr>
        <w:tc>
          <w:tcPr>
            <w:tcW w:w="2251" w:type="dxa"/>
            <w:noWrap/>
            <w:vAlign w:val="center"/>
            <w:hideMark/>
          </w:tcPr>
          <w:p w14:paraId="7A7C0087"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Creatinine</w:t>
            </w:r>
          </w:p>
        </w:tc>
        <w:tc>
          <w:tcPr>
            <w:tcW w:w="2684" w:type="dxa"/>
            <w:noWrap/>
            <w:vAlign w:val="center"/>
            <w:hideMark/>
          </w:tcPr>
          <w:p w14:paraId="022D26DE"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−0.058</w:t>
            </w:r>
          </w:p>
        </w:tc>
        <w:tc>
          <w:tcPr>
            <w:tcW w:w="960" w:type="dxa"/>
            <w:noWrap/>
            <w:vAlign w:val="center"/>
            <w:hideMark/>
          </w:tcPr>
          <w:p w14:paraId="1938D4D0"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0.565</w:t>
            </w:r>
          </w:p>
        </w:tc>
        <w:tc>
          <w:tcPr>
            <w:tcW w:w="960" w:type="dxa"/>
            <w:noWrap/>
            <w:vAlign w:val="center"/>
            <w:hideMark/>
          </w:tcPr>
          <w:p w14:paraId="3448F1F4" w14:textId="77777777" w:rsidR="00A10532" w:rsidRPr="00296603" w:rsidRDefault="00A10532" w:rsidP="00D74830">
            <w:pPr>
              <w:spacing w:line="240" w:lineRule="auto"/>
              <w:jc w:val="center"/>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 </w:t>
            </w:r>
          </w:p>
        </w:tc>
        <w:tc>
          <w:tcPr>
            <w:tcW w:w="1145" w:type="dxa"/>
            <w:noWrap/>
            <w:vAlign w:val="center"/>
            <w:hideMark/>
          </w:tcPr>
          <w:p w14:paraId="6D76E592"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Negligible</w:t>
            </w:r>
          </w:p>
        </w:tc>
        <w:tc>
          <w:tcPr>
            <w:tcW w:w="1047" w:type="dxa"/>
            <w:noWrap/>
            <w:vAlign w:val="center"/>
            <w:hideMark/>
          </w:tcPr>
          <w:p w14:paraId="0551FA45" w14:textId="77777777" w:rsidR="00A10532" w:rsidRPr="00296603" w:rsidRDefault="00A10532" w:rsidP="00D74830">
            <w:pPr>
              <w:spacing w:line="240" w:lineRule="auto"/>
              <w:jc w:val="left"/>
              <w:rPr>
                <w:rFonts w:ascii="Cambria" w:eastAsia="Times New Roman" w:hAnsi="Cambria" w:cs="Times New Roman"/>
                <w:color w:val="000000"/>
                <w:sz w:val="20"/>
                <w:szCs w:val="20"/>
              </w:rPr>
            </w:pPr>
            <w:r w:rsidRPr="00296603">
              <w:rPr>
                <w:rFonts w:ascii="Cambria" w:eastAsia="Times New Roman" w:hAnsi="Cambria" w:cs="Times New Roman"/>
                <w:color w:val="000000"/>
                <w:sz w:val="20"/>
                <w:szCs w:val="20"/>
              </w:rPr>
              <w:t>Negative</w:t>
            </w:r>
          </w:p>
        </w:tc>
      </w:tr>
    </w:tbl>
    <w:p w14:paraId="14FD286A" w14:textId="77777777" w:rsidR="00A10532" w:rsidRPr="00296603" w:rsidRDefault="00A10532" w:rsidP="00A10532">
      <w:pPr>
        <w:tabs>
          <w:tab w:val="left" w:pos="3580"/>
        </w:tabs>
        <w:rPr>
          <w:rFonts w:ascii="Times New Roman" w:hAnsi="Times New Roman" w:cs="Times New Roman"/>
          <w:i/>
        </w:rPr>
      </w:pPr>
      <w:r w:rsidRPr="00296603">
        <w:rPr>
          <w:rFonts w:ascii="Times New Roman" w:hAnsi="Times New Roman" w:cs="Times New Roman"/>
          <w:i/>
        </w:rPr>
        <w:t>1 *** p &lt; 0.001, ** p &lt; 0.01, * p &lt; 0.05</w:t>
      </w:r>
    </w:p>
    <w:p w14:paraId="4F042FD1" w14:textId="77777777" w:rsidR="00A10532" w:rsidRPr="00296603" w:rsidRDefault="00A10532" w:rsidP="00A10532">
      <w:pPr>
        <w:tabs>
          <w:tab w:val="left" w:pos="3580"/>
        </w:tabs>
        <w:spacing w:line="240" w:lineRule="auto"/>
        <w:rPr>
          <w:rFonts w:ascii="Times New Roman" w:hAnsi="Times New Roman" w:cs="Times New Roman"/>
          <w:b/>
          <w:sz w:val="24"/>
          <w:szCs w:val="24"/>
        </w:rPr>
      </w:pPr>
      <w:r w:rsidRPr="00296603">
        <w:rPr>
          <w:noProof/>
        </w:rPr>
        <w:lastRenderedPageBreak/>
        <w:drawing>
          <wp:inline distT="0" distB="0" distL="0" distR="0" wp14:anchorId="2BBE2F08" wp14:editId="3A1F0D17">
            <wp:extent cx="365760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57600" cy="3657600"/>
                    </a:xfrm>
                    <a:prstGeom prst="rect">
                      <a:avLst/>
                    </a:prstGeom>
                  </pic:spPr>
                </pic:pic>
              </a:graphicData>
            </a:graphic>
          </wp:inline>
        </w:drawing>
      </w:r>
    </w:p>
    <w:p w14:paraId="6EAB3F70" w14:textId="77777777" w:rsidR="00A10532" w:rsidRPr="00296603" w:rsidRDefault="002408AF" w:rsidP="00A10532">
      <w:pPr>
        <w:tabs>
          <w:tab w:val="left" w:pos="3580"/>
        </w:tabs>
        <w:spacing w:after="240" w:line="276" w:lineRule="auto"/>
        <w:rPr>
          <w:rFonts w:ascii="Times New Roman" w:hAnsi="Times New Roman" w:cs="Times New Roman"/>
          <w:b/>
          <w:sz w:val="24"/>
          <w:szCs w:val="24"/>
        </w:rPr>
      </w:pPr>
      <w:r w:rsidRPr="00296603">
        <w:rPr>
          <w:rFonts w:ascii="Times New Roman" w:hAnsi="Times New Roman" w:cs="Times New Roman"/>
          <w:b/>
          <w:sz w:val="24"/>
          <w:szCs w:val="24"/>
        </w:rPr>
        <w:t xml:space="preserve">Figure </w:t>
      </w:r>
      <w:r w:rsidR="005B6893" w:rsidRPr="00296603">
        <w:rPr>
          <w:rFonts w:ascii="Times New Roman" w:hAnsi="Times New Roman" w:cs="Times New Roman"/>
          <w:b/>
          <w:sz w:val="24"/>
          <w:szCs w:val="24"/>
        </w:rPr>
        <w:t>3</w:t>
      </w:r>
      <w:r w:rsidR="00A10532" w:rsidRPr="00296603">
        <w:rPr>
          <w:rFonts w:ascii="Times New Roman" w:hAnsi="Times New Roman" w:cs="Times New Roman"/>
          <w:b/>
          <w:sz w:val="24"/>
          <w:szCs w:val="24"/>
        </w:rPr>
        <w:t>: Spearman Rank Correlation Matrix Heatmap</w:t>
      </w:r>
    </w:p>
    <w:p w14:paraId="3AAD95B6" w14:textId="77777777" w:rsidR="00A10532" w:rsidRPr="00296603" w:rsidRDefault="00A10532" w:rsidP="00A10532">
      <w:pPr>
        <w:tabs>
          <w:tab w:val="left" w:pos="3580"/>
        </w:tabs>
        <w:spacing w:line="240" w:lineRule="auto"/>
        <w:rPr>
          <w:rFonts w:ascii="Times New Roman" w:hAnsi="Times New Roman" w:cs="Times New Roman"/>
          <w:sz w:val="24"/>
          <w:szCs w:val="24"/>
        </w:rPr>
      </w:pPr>
      <w:r w:rsidRPr="00296603">
        <w:rPr>
          <w:noProof/>
        </w:rPr>
        <w:drawing>
          <wp:inline distT="0" distB="0" distL="0" distR="0" wp14:anchorId="5445F443" wp14:editId="1AB87E11">
            <wp:extent cx="3017520" cy="365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40694"/>
                    <a:stretch/>
                  </pic:blipFill>
                  <pic:spPr bwMode="auto">
                    <a:xfrm>
                      <a:off x="0" y="0"/>
                      <a:ext cx="3017520" cy="3657600"/>
                    </a:xfrm>
                    <a:prstGeom prst="rect">
                      <a:avLst/>
                    </a:prstGeom>
                    <a:ln>
                      <a:noFill/>
                    </a:ln>
                    <a:extLst>
                      <a:ext uri="{53640926-AAD7-44D8-BBD7-CCE9431645EC}">
                        <a14:shadowObscured xmlns:a14="http://schemas.microsoft.com/office/drawing/2010/main"/>
                      </a:ext>
                    </a:extLst>
                  </pic:spPr>
                </pic:pic>
              </a:graphicData>
            </a:graphic>
          </wp:inline>
        </w:drawing>
      </w:r>
    </w:p>
    <w:p w14:paraId="305541DB" w14:textId="77777777" w:rsidR="00A10532" w:rsidRPr="00296603" w:rsidRDefault="002408AF" w:rsidP="00A10532">
      <w:pPr>
        <w:tabs>
          <w:tab w:val="left" w:pos="3580"/>
        </w:tabs>
        <w:spacing w:line="276" w:lineRule="auto"/>
        <w:rPr>
          <w:rFonts w:ascii="Times New Roman" w:hAnsi="Times New Roman" w:cs="Times New Roman"/>
          <w:b/>
          <w:sz w:val="24"/>
          <w:szCs w:val="24"/>
        </w:rPr>
      </w:pPr>
      <w:r w:rsidRPr="00296603">
        <w:rPr>
          <w:rFonts w:ascii="Times New Roman" w:hAnsi="Times New Roman" w:cs="Times New Roman"/>
          <w:b/>
          <w:sz w:val="24"/>
          <w:szCs w:val="24"/>
        </w:rPr>
        <w:t xml:space="preserve">Figure </w:t>
      </w:r>
      <w:r w:rsidR="005B6893" w:rsidRPr="00296603">
        <w:rPr>
          <w:rFonts w:ascii="Times New Roman" w:hAnsi="Times New Roman" w:cs="Times New Roman"/>
          <w:b/>
          <w:sz w:val="24"/>
          <w:szCs w:val="24"/>
        </w:rPr>
        <w:t>4</w:t>
      </w:r>
      <w:r w:rsidR="00A10532" w:rsidRPr="00296603">
        <w:rPr>
          <w:rFonts w:ascii="Times New Roman" w:hAnsi="Times New Roman" w:cs="Times New Roman"/>
          <w:b/>
          <w:sz w:val="24"/>
          <w:szCs w:val="24"/>
        </w:rPr>
        <w:t>: Scatter Plot of Platelets and Parasite Density</w:t>
      </w:r>
    </w:p>
    <w:p w14:paraId="51CC4720" w14:textId="77777777" w:rsidR="00227EC0" w:rsidRPr="00296603" w:rsidRDefault="00227EC0" w:rsidP="00227EC0">
      <w:pPr>
        <w:spacing w:after="160" w:line="360" w:lineRule="auto"/>
        <w:rPr>
          <w:rFonts w:ascii="Times New Roman" w:hAnsi="Times New Roman" w:cs="Times New Roman"/>
          <w:sz w:val="20"/>
          <w:szCs w:val="20"/>
        </w:rPr>
      </w:pPr>
      <w:r w:rsidRPr="00296603">
        <w:rPr>
          <w:rFonts w:ascii="Times New Roman" w:hAnsi="Times New Roman" w:cs="Times New Roman"/>
          <w:sz w:val="20"/>
          <w:szCs w:val="20"/>
        </w:rPr>
        <w:lastRenderedPageBreak/>
        <w:t>The overall laboratory profile comparison further clarifies these differenc</w:t>
      </w:r>
      <w:r w:rsidR="002408AF" w:rsidRPr="00296603">
        <w:rPr>
          <w:rFonts w:ascii="Times New Roman" w:hAnsi="Times New Roman" w:cs="Times New Roman"/>
          <w:sz w:val="20"/>
          <w:szCs w:val="20"/>
        </w:rPr>
        <w:t xml:space="preserve">es. The radar chart in Figure </w:t>
      </w:r>
      <w:r w:rsidR="005B6893" w:rsidRPr="00296603">
        <w:rPr>
          <w:rFonts w:ascii="Times New Roman" w:hAnsi="Times New Roman" w:cs="Times New Roman"/>
          <w:sz w:val="20"/>
          <w:szCs w:val="20"/>
        </w:rPr>
        <w:t>5</w:t>
      </w:r>
      <w:r w:rsidRPr="00296603">
        <w:rPr>
          <w:rFonts w:ascii="Times New Roman" w:hAnsi="Times New Roman" w:cs="Times New Roman"/>
          <w:sz w:val="20"/>
          <w:szCs w:val="20"/>
        </w:rPr>
        <w:t xml:space="preserve"> demonstrates that symptomatic participants consistently displayed higher liver enzymes, bilirubin levels, renal markers, and WBC counts, while asymptomatic participants maintained comparatively higher </w:t>
      </w:r>
      <w:proofErr w:type="spellStart"/>
      <w:r w:rsidRPr="00296603">
        <w:rPr>
          <w:rFonts w:ascii="Times New Roman" w:hAnsi="Times New Roman" w:cs="Times New Roman"/>
          <w:sz w:val="20"/>
          <w:szCs w:val="20"/>
        </w:rPr>
        <w:t>haemoglobin</w:t>
      </w:r>
      <w:proofErr w:type="spellEnd"/>
      <w:r w:rsidRPr="00296603">
        <w:rPr>
          <w:rFonts w:ascii="Times New Roman" w:hAnsi="Times New Roman" w:cs="Times New Roman"/>
          <w:sz w:val="20"/>
          <w:szCs w:val="20"/>
        </w:rPr>
        <w:t>, RBC counts, mean corpuscular indices, and platelet levels. Effect size analysis usi</w:t>
      </w:r>
      <w:r w:rsidR="002408AF" w:rsidRPr="00296603">
        <w:rPr>
          <w:rFonts w:ascii="Times New Roman" w:hAnsi="Times New Roman" w:cs="Times New Roman"/>
          <w:sz w:val="20"/>
          <w:szCs w:val="20"/>
        </w:rPr>
        <w:t xml:space="preserve">ng Cohen’s D, shown in Figure </w:t>
      </w:r>
      <w:r w:rsidR="005B6893" w:rsidRPr="00296603">
        <w:rPr>
          <w:rFonts w:ascii="Times New Roman" w:hAnsi="Times New Roman" w:cs="Times New Roman"/>
          <w:sz w:val="20"/>
          <w:szCs w:val="20"/>
        </w:rPr>
        <w:t>6</w:t>
      </w:r>
      <w:r w:rsidRPr="00296603">
        <w:rPr>
          <w:rFonts w:ascii="Times New Roman" w:hAnsi="Times New Roman" w:cs="Times New Roman"/>
          <w:sz w:val="20"/>
          <w:szCs w:val="20"/>
        </w:rPr>
        <w:t xml:space="preserve">, confirms that the largest between-group differences were observed for platelets, RBC count, </w:t>
      </w:r>
      <w:proofErr w:type="spellStart"/>
      <w:r w:rsidRPr="00296603">
        <w:rPr>
          <w:rFonts w:ascii="Times New Roman" w:hAnsi="Times New Roman" w:cs="Times New Roman"/>
          <w:sz w:val="20"/>
          <w:szCs w:val="20"/>
        </w:rPr>
        <w:t>haemoglobin</w:t>
      </w:r>
      <w:proofErr w:type="spellEnd"/>
      <w:r w:rsidRPr="00296603">
        <w:rPr>
          <w:rFonts w:ascii="Times New Roman" w:hAnsi="Times New Roman" w:cs="Times New Roman"/>
          <w:sz w:val="20"/>
          <w:szCs w:val="20"/>
        </w:rPr>
        <w:t>, total bilirubin, creatinine, urea, ALT, and AST. WBC count demonstrated a moderate effect, while MCV and MCH showed smaller yet statistically significant differences.</w:t>
      </w:r>
    </w:p>
    <w:p w14:paraId="24D164ED" w14:textId="77777777" w:rsidR="008A3671" w:rsidRPr="00296603" w:rsidRDefault="008A3671" w:rsidP="008A3671">
      <w:pPr>
        <w:tabs>
          <w:tab w:val="left" w:pos="3580"/>
        </w:tabs>
        <w:spacing w:line="276" w:lineRule="auto"/>
        <w:rPr>
          <w:rFonts w:ascii="Times New Roman" w:hAnsi="Times New Roman" w:cs="Times New Roman"/>
          <w:b/>
          <w:sz w:val="24"/>
          <w:szCs w:val="24"/>
        </w:rPr>
      </w:pPr>
      <w:r w:rsidRPr="00296603">
        <w:rPr>
          <w:noProof/>
        </w:rPr>
        <w:drawing>
          <wp:inline distT="0" distB="0" distL="0" distR="0" wp14:anchorId="3F49AD45" wp14:editId="0888F4EE">
            <wp:extent cx="3990109" cy="3657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8333"/>
                    <a:stretch/>
                  </pic:blipFill>
                  <pic:spPr bwMode="auto">
                    <a:xfrm>
                      <a:off x="0" y="0"/>
                      <a:ext cx="3990109" cy="3657600"/>
                    </a:xfrm>
                    <a:prstGeom prst="rect">
                      <a:avLst/>
                    </a:prstGeom>
                    <a:ln>
                      <a:noFill/>
                    </a:ln>
                    <a:extLst>
                      <a:ext uri="{53640926-AAD7-44D8-BBD7-CCE9431645EC}">
                        <a14:shadowObscured xmlns:a14="http://schemas.microsoft.com/office/drawing/2010/main"/>
                      </a:ext>
                    </a:extLst>
                  </pic:spPr>
                </pic:pic>
              </a:graphicData>
            </a:graphic>
          </wp:inline>
        </w:drawing>
      </w:r>
    </w:p>
    <w:p w14:paraId="1019AAD2" w14:textId="77777777" w:rsidR="008A3671" w:rsidRPr="00296603" w:rsidRDefault="002408AF" w:rsidP="008A3671">
      <w:pPr>
        <w:tabs>
          <w:tab w:val="left" w:pos="3580"/>
        </w:tabs>
        <w:spacing w:line="276" w:lineRule="auto"/>
        <w:rPr>
          <w:rFonts w:ascii="Times New Roman" w:hAnsi="Times New Roman" w:cs="Times New Roman"/>
          <w:b/>
          <w:sz w:val="24"/>
          <w:szCs w:val="24"/>
        </w:rPr>
      </w:pPr>
      <w:r w:rsidRPr="00296603">
        <w:rPr>
          <w:rFonts w:ascii="Times New Roman" w:hAnsi="Times New Roman" w:cs="Times New Roman"/>
          <w:b/>
          <w:sz w:val="24"/>
          <w:szCs w:val="24"/>
        </w:rPr>
        <w:t xml:space="preserve">Figure </w:t>
      </w:r>
      <w:r w:rsidR="005B6893" w:rsidRPr="00296603">
        <w:rPr>
          <w:rFonts w:ascii="Times New Roman" w:hAnsi="Times New Roman" w:cs="Times New Roman"/>
          <w:b/>
          <w:sz w:val="24"/>
          <w:szCs w:val="24"/>
        </w:rPr>
        <w:t>5</w:t>
      </w:r>
      <w:r w:rsidR="008A3671" w:rsidRPr="00296603">
        <w:rPr>
          <w:rFonts w:ascii="Times New Roman" w:hAnsi="Times New Roman" w:cs="Times New Roman"/>
          <w:b/>
          <w:sz w:val="24"/>
          <w:szCs w:val="24"/>
        </w:rPr>
        <w:t>: Radar Chart of Laboratory Parameters Profile Comparison</w:t>
      </w:r>
    </w:p>
    <w:p w14:paraId="43BB0225" w14:textId="77777777" w:rsidR="008A3671" w:rsidRPr="00296603" w:rsidRDefault="008A3671" w:rsidP="008A3671">
      <w:pPr>
        <w:tabs>
          <w:tab w:val="left" w:pos="3580"/>
        </w:tabs>
        <w:spacing w:line="276" w:lineRule="auto"/>
        <w:rPr>
          <w:rFonts w:ascii="Times New Roman" w:hAnsi="Times New Roman" w:cs="Times New Roman"/>
          <w:sz w:val="24"/>
          <w:szCs w:val="24"/>
        </w:rPr>
      </w:pPr>
    </w:p>
    <w:p w14:paraId="784E26B2" w14:textId="77777777" w:rsidR="008A3671" w:rsidRPr="00296603" w:rsidRDefault="008A3671" w:rsidP="008A3671">
      <w:pPr>
        <w:tabs>
          <w:tab w:val="left" w:pos="3580"/>
        </w:tabs>
        <w:spacing w:line="276" w:lineRule="auto"/>
        <w:rPr>
          <w:rFonts w:ascii="Times New Roman" w:hAnsi="Times New Roman" w:cs="Times New Roman"/>
          <w:b/>
          <w:sz w:val="24"/>
          <w:szCs w:val="24"/>
        </w:rPr>
      </w:pPr>
      <w:r w:rsidRPr="00296603">
        <w:rPr>
          <w:noProof/>
        </w:rPr>
        <w:lastRenderedPageBreak/>
        <w:drawing>
          <wp:inline distT="0" distB="0" distL="0" distR="0" wp14:anchorId="0928FF2B" wp14:editId="04D1CAA6">
            <wp:extent cx="3657600" cy="3492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514"/>
                    <a:stretch/>
                  </pic:blipFill>
                  <pic:spPr bwMode="auto">
                    <a:xfrm>
                      <a:off x="0" y="0"/>
                      <a:ext cx="3657600" cy="3492500"/>
                    </a:xfrm>
                    <a:prstGeom prst="rect">
                      <a:avLst/>
                    </a:prstGeom>
                    <a:ln>
                      <a:noFill/>
                    </a:ln>
                    <a:extLst>
                      <a:ext uri="{53640926-AAD7-44D8-BBD7-CCE9431645EC}">
                        <a14:shadowObscured xmlns:a14="http://schemas.microsoft.com/office/drawing/2010/main"/>
                      </a:ext>
                    </a:extLst>
                  </pic:spPr>
                </pic:pic>
              </a:graphicData>
            </a:graphic>
          </wp:inline>
        </w:drawing>
      </w:r>
    </w:p>
    <w:p w14:paraId="692F7206" w14:textId="77777777" w:rsidR="008A3671" w:rsidRPr="00296603" w:rsidRDefault="002408AF" w:rsidP="008A3671">
      <w:pPr>
        <w:tabs>
          <w:tab w:val="left" w:pos="3580"/>
        </w:tabs>
        <w:spacing w:after="240" w:line="276" w:lineRule="auto"/>
        <w:rPr>
          <w:rFonts w:ascii="Times New Roman" w:hAnsi="Times New Roman" w:cs="Times New Roman"/>
          <w:b/>
          <w:sz w:val="24"/>
          <w:szCs w:val="24"/>
        </w:rPr>
      </w:pPr>
      <w:r w:rsidRPr="00296603">
        <w:rPr>
          <w:rFonts w:ascii="Times New Roman" w:hAnsi="Times New Roman" w:cs="Times New Roman"/>
          <w:b/>
          <w:sz w:val="24"/>
          <w:szCs w:val="24"/>
        </w:rPr>
        <w:t xml:space="preserve">Figure </w:t>
      </w:r>
      <w:r w:rsidR="005B6893" w:rsidRPr="00296603">
        <w:rPr>
          <w:rFonts w:ascii="Times New Roman" w:hAnsi="Times New Roman" w:cs="Times New Roman"/>
          <w:b/>
          <w:sz w:val="24"/>
          <w:szCs w:val="24"/>
        </w:rPr>
        <w:t>6</w:t>
      </w:r>
      <w:r w:rsidR="008A3671" w:rsidRPr="00296603">
        <w:rPr>
          <w:rFonts w:ascii="Times New Roman" w:hAnsi="Times New Roman" w:cs="Times New Roman"/>
          <w:b/>
          <w:sz w:val="24"/>
          <w:szCs w:val="24"/>
        </w:rPr>
        <w:t>: Effect Sizes (Cohen's D) with 95% Confidence Intervals</w:t>
      </w:r>
    </w:p>
    <w:p w14:paraId="5C3637A7" w14:textId="77777777" w:rsidR="00227EC0" w:rsidRPr="00296603" w:rsidRDefault="00227EC0" w:rsidP="00E82BD8">
      <w:pPr>
        <w:spacing w:line="360" w:lineRule="auto"/>
        <w:rPr>
          <w:rFonts w:ascii="Times New Roman" w:hAnsi="Times New Roman" w:cs="Times New Roman"/>
          <w:sz w:val="20"/>
          <w:szCs w:val="20"/>
        </w:rPr>
      </w:pPr>
      <w:r w:rsidRPr="00296603">
        <w:rPr>
          <w:rFonts w:ascii="Times New Roman" w:hAnsi="Times New Roman" w:cs="Times New Roman"/>
          <w:sz w:val="20"/>
          <w:szCs w:val="20"/>
        </w:rPr>
        <w:t xml:space="preserve">Taken together, these findings indicate that symptomatic malaria among Takoradi Technical University students is </w:t>
      </w:r>
      <w:proofErr w:type="spellStart"/>
      <w:r w:rsidRPr="00296603">
        <w:rPr>
          <w:rFonts w:ascii="Times New Roman" w:hAnsi="Times New Roman" w:cs="Times New Roman"/>
          <w:sz w:val="20"/>
          <w:szCs w:val="20"/>
        </w:rPr>
        <w:t>characterised</w:t>
      </w:r>
      <w:proofErr w:type="spellEnd"/>
      <w:r w:rsidRPr="00296603">
        <w:rPr>
          <w:rFonts w:ascii="Times New Roman" w:hAnsi="Times New Roman" w:cs="Times New Roman"/>
          <w:sz w:val="20"/>
          <w:szCs w:val="20"/>
        </w:rPr>
        <w:t xml:space="preserve"> by elevated hepatic and renal markers, reduced erythrocyte indices, and marked thrombocytopenia, accompanied by significantly higher parasite densities. In contrast, asymptomatic carriers generally maintained relatively stable </w:t>
      </w:r>
      <w:proofErr w:type="spellStart"/>
      <w:r w:rsidRPr="00296603">
        <w:rPr>
          <w:rFonts w:ascii="Times New Roman" w:hAnsi="Times New Roman" w:cs="Times New Roman"/>
          <w:sz w:val="20"/>
          <w:szCs w:val="20"/>
        </w:rPr>
        <w:t>haematological</w:t>
      </w:r>
      <w:proofErr w:type="spellEnd"/>
      <w:r w:rsidRPr="00296603">
        <w:rPr>
          <w:rFonts w:ascii="Times New Roman" w:hAnsi="Times New Roman" w:cs="Times New Roman"/>
          <w:sz w:val="20"/>
          <w:szCs w:val="20"/>
        </w:rPr>
        <w:t xml:space="preserve"> and biochemical profiles, with parasite density showing minimal influence on most laboratory parameters except for a modest association with platelet count.</w:t>
      </w:r>
    </w:p>
    <w:p w14:paraId="2701FBF4" w14:textId="77777777" w:rsidR="001D4A6D" w:rsidRPr="00296603" w:rsidRDefault="001D4A6D" w:rsidP="00F91486">
      <w:pPr>
        <w:spacing w:line="360" w:lineRule="auto"/>
        <w:rPr>
          <w:rFonts w:ascii="Times New Roman" w:hAnsi="Times New Roman" w:cs="Times New Roman"/>
          <w:sz w:val="20"/>
          <w:szCs w:val="20"/>
        </w:rPr>
      </w:pPr>
    </w:p>
    <w:p w14:paraId="122B83E7" w14:textId="77777777" w:rsidR="00F91486" w:rsidRPr="00296603" w:rsidRDefault="00337E4A" w:rsidP="00337E4A">
      <w:pPr>
        <w:spacing w:line="360" w:lineRule="auto"/>
        <w:rPr>
          <w:rFonts w:ascii="Times New Roman" w:hAnsi="Times New Roman" w:cs="Times New Roman"/>
          <w:b/>
          <w:sz w:val="20"/>
          <w:szCs w:val="20"/>
        </w:rPr>
      </w:pPr>
      <w:r w:rsidRPr="00296603">
        <w:rPr>
          <w:rFonts w:ascii="Times New Roman" w:hAnsi="Times New Roman" w:cs="Times New Roman"/>
          <w:b/>
          <w:sz w:val="20"/>
          <w:szCs w:val="20"/>
        </w:rPr>
        <w:t>4</w:t>
      </w:r>
      <w:r w:rsidR="00F91486" w:rsidRPr="00296603">
        <w:rPr>
          <w:rFonts w:ascii="Times New Roman" w:hAnsi="Times New Roman" w:cs="Times New Roman"/>
          <w:b/>
          <w:sz w:val="20"/>
          <w:szCs w:val="20"/>
        </w:rPr>
        <w:t>. Discussion</w:t>
      </w:r>
    </w:p>
    <w:p w14:paraId="2A6FFA9A" w14:textId="77777777" w:rsidR="003F41E1" w:rsidRPr="00296603" w:rsidRDefault="003F41E1" w:rsidP="003F41E1">
      <w:pPr>
        <w:spacing w:after="160" w:line="360" w:lineRule="auto"/>
        <w:rPr>
          <w:rFonts w:ascii="Times New Roman" w:hAnsi="Times New Roman" w:cs="Times New Roman"/>
          <w:sz w:val="20"/>
          <w:szCs w:val="20"/>
        </w:rPr>
      </w:pPr>
      <w:r w:rsidRPr="00296603">
        <w:rPr>
          <w:rFonts w:ascii="Times New Roman" w:hAnsi="Times New Roman" w:cs="Times New Roman"/>
          <w:sz w:val="20"/>
          <w:szCs w:val="20"/>
        </w:rPr>
        <w:t xml:space="preserve">In this study of Takoradi Technical University students, symptomatic malaria was related with a much higher laboratory load across </w:t>
      </w:r>
      <w:proofErr w:type="spellStart"/>
      <w:r w:rsidRPr="00296603">
        <w:rPr>
          <w:rFonts w:ascii="Times New Roman" w:hAnsi="Times New Roman" w:cs="Times New Roman"/>
          <w:sz w:val="20"/>
          <w:szCs w:val="20"/>
        </w:rPr>
        <w:t>haematological</w:t>
      </w:r>
      <w:proofErr w:type="spellEnd"/>
      <w:r w:rsidRPr="00296603">
        <w:rPr>
          <w:rFonts w:ascii="Times New Roman" w:hAnsi="Times New Roman" w:cs="Times New Roman"/>
          <w:sz w:val="20"/>
          <w:szCs w:val="20"/>
        </w:rPr>
        <w:t xml:space="preserve">, biochemical, and parasitological parameters. This population's symptoms matched increased parasite density and more severe blood cell indices and organ function markers. Ghanaian individuals with malaria </w:t>
      </w:r>
      <w:proofErr w:type="spellStart"/>
      <w:r w:rsidRPr="00296603">
        <w:rPr>
          <w:rFonts w:ascii="Times New Roman" w:hAnsi="Times New Roman" w:cs="Times New Roman"/>
          <w:sz w:val="20"/>
          <w:szCs w:val="20"/>
        </w:rPr>
        <w:t>parasitaemia</w:t>
      </w:r>
      <w:proofErr w:type="spellEnd"/>
      <w:r w:rsidRPr="00296603">
        <w:rPr>
          <w:rFonts w:ascii="Times New Roman" w:hAnsi="Times New Roman" w:cs="Times New Roman"/>
          <w:sz w:val="20"/>
          <w:szCs w:val="20"/>
        </w:rPr>
        <w:t xml:space="preserve"> had </w:t>
      </w:r>
      <w:proofErr w:type="spellStart"/>
      <w:r w:rsidRPr="00296603">
        <w:rPr>
          <w:rFonts w:ascii="Times New Roman" w:hAnsi="Times New Roman" w:cs="Times New Roman"/>
          <w:sz w:val="20"/>
          <w:szCs w:val="20"/>
        </w:rPr>
        <w:t>anaemia</w:t>
      </w:r>
      <w:proofErr w:type="spellEnd"/>
      <w:r w:rsidRPr="00296603">
        <w:rPr>
          <w:rFonts w:ascii="Times New Roman" w:hAnsi="Times New Roman" w:cs="Times New Roman"/>
          <w:sz w:val="20"/>
          <w:szCs w:val="20"/>
        </w:rPr>
        <w:t xml:space="preserve"> and thrombocytopenia as the main </w:t>
      </w:r>
      <w:proofErr w:type="spellStart"/>
      <w:r w:rsidRPr="00296603">
        <w:rPr>
          <w:rFonts w:ascii="Times New Roman" w:hAnsi="Times New Roman" w:cs="Times New Roman"/>
          <w:sz w:val="20"/>
          <w:szCs w:val="20"/>
        </w:rPr>
        <w:t>haematological</w:t>
      </w:r>
      <w:proofErr w:type="spellEnd"/>
      <w:r w:rsidRPr="00296603">
        <w:rPr>
          <w:rFonts w:ascii="Times New Roman" w:hAnsi="Times New Roman" w:cs="Times New Roman"/>
          <w:sz w:val="20"/>
          <w:szCs w:val="20"/>
        </w:rPr>
        <w:t xml:space="preserve"> findings </w:t>
      </w:r>
      <w:r w:rsidR="00DD41F9" w:rsidRPr="00296603">
        <w:rPr>
          <w:rFonts w:ascii="Times New Roman" w:hAnsi="Times New Roman" w:cs="Times New Roman"/>
          <w:sz w:val="20"/>
          <w:szCs w:val="20"/>
        </w:rPr>
        <w:t>[1]</w:t>
      </w:r>
      <w:r w:rsidRPr="00296603">
        <w:rPr>
          <w:rFonts w:ascii="Times New Roman" w:hAnsi="Times New Roman" w:cs="Times New Roman"/>
          <w:sz w:val="20"/>
          <w:szCs w:val="20"/>
        </w:rPr>
        <w:t>.</w:t>
      </w:r>
    </w:p>
    <w:p w14:paraId="24EDBCF0" w14:textId="77777777" w:rsidR="003F41E1" w:rsidRPr="00296603" w:rsidRDefault="003F41E1" w:rsidP="003F41E1">
      <w:pPr>
        <w:spacing w:after="160" w:line="360" w:lineRule="auto"/>
        <w:rPr>
          <w:rFonts w:ascii="Times New Roman" w:hAnsi="Times New Roman" w:cs="Times New Roman"/>
          <w:sz w:val="20"/>
          <w:szCs w:val="20"/>
        </w:rPr>
      </w:pPr>
      <w:r w:rsidRPr="00296603">
        <w:rPr>
          <w:rFonts w:ascii="Times New Roman" w:hAnsi="Times New Roman" w:cs="Times New Roman"/>
          <w:sz w:val="20"/>
          <w:szCs w:val="20"/>
        </w:rPr>
        <w:t xml:space="preserve">Symptomatic students had lower </w:t>
      </w:r>
      <w:proofErr w:type="spellStart"/>
      <w:r w:rsidRPr="00296603">
        <w:rPr>
          <w:rFonts w:ascii="Times New Roman" w:hAnsi="Times New Roman" w:cs="Times New Roman"/>
          <w:sz w:val="20"/>
          <w:szCs w:val="20"/>
        </w:rPr>
        <w:t>haemoglobin</w:t>
      </w:r>
      <w:proofErr w:type="spellEnd"/>
      <w:r w:rsidRPr="00296603">
        <w:rPr>
          <w:rFonts w:ascii="Times New Roman" w:hAnsi="Times New Roman" w:cs="Times New Roman"/>
          <w:sz w:val="20"/>
          <w:szCs w:val="20"/>
        </w:rPr>
        <w:t xml:space="preserve">, red blood cell count, MCHC, and MCV and MCH than asymptomatic carriers. This suggests symptomatic malaria disrupts erythrocytes more. Malaria </w:t>
      </w:r>
      <w:proofErr w:type="spellStart"/>
      <w:r w:rsidRPr="00296603">
        <w:rPr>
          <w:rFonts w:ascii="Times New Roman" w:hAnsi="Times New Roman" w:cs="Times New Roman"/>
          <w:sz w:val="20"/>
          <w:szCs w:val="20"/>
        </w:rPr>
        <w:t>haemolyzes</w:t>
      </w:r>
      <w:proofErr w:type="spellEnd"/>
      <w:r w:rsidRPr="00296603">
        <w:rPr>
          <w:rFonts w:ascii="Times New Roman" w:hAnsi="Times New Roman" w:cs="Times New Roman"/>
          <w:sz w:val="20"/>
          <w:szCs w:val="20"/>
        </w:rPr>
        <w:t xml:space="preserve"> and removes infected and uninfected erythrocytes, causing </w:t>
      </w:r>
      <w:proofErr w:type="spellStart"/>
      <w:r w:rsidRPr="00296603">
        <w:rPr>
          <w:rFonts w:ascii="Times New Roman" w:hAnsi="Times New Roman" w:cs="Times New Roman"/>
          <w:sz w:val="20"/>
          <w:szCs w:val="20"/>
        </w:rPr>
        <w:t>anaemia</w:t>
      </w:r>
      <w:proofErr w:type="spellEnd"/>
      <w:r w:rsidRPr="00296603">
        <w:rPr>
          <w:rFonts w:ascii="Times New Roman" w:hAnsi="Times New Roman" w:cs="Times New Roman"/>
          <w:sz w:val="20"/>
          <w:szCs w:val="20"/>
        </w:rPr>
        <w:t xml:space="preserve"> </w:t>
      </w:r>
      <w:r w:rsidR="00DD41F9" w:rsidRPr="00296603">
        <w:rPr>
          <w:rFonts w:ascii="Times New Roman" w:hAnsi="Times New Roman" w:cs="Times New Roman"/>
          <w:sz w:val="20"/>
          <w:szCs w:val="20"/>
        </w:rPr>
        <w:t>[10]</w:t>
      </w:r>
      <w:r w:rsidRPr="00296603">
        <w:rPr>
          <w:rFonts w:ascii="Times New Roman" w:hAnsi="Times New Roman" w:cs="Times New Roman"/>
          <w:sz w:val="20"/>
          <w:szCs w:val="20"/>
        </w:rPr>
        <w:t xml:space="preserve">. </w:t>
      </w:r>
      <w:proofErr w:type="spellStart"/>
      <w:r w:rsidRPr="00296603">
        <w:rPr>
          <w:rFonts w:ascii="Times New Roman" w:hAnsi="Times New Roman" w:cs="Times New Roman"/>
          <w:sz w:val="20"/>
          <w:szCs w:val="20"/>
        </w:rPr>
        <w:t>Mutala</w:t>
      </w:r>
      <w:proofErr w:type="spellEnd"/>
      <w:r w:rsidRPr="00296603">
        <w:rPr>
          <w:rFonts w:ascii="Times New Roman" w:hAnsi="Times New Roman" w:cs="Times New Roman"/>
          <w:sz w:val="20"/>
          <w:szCs w:val="20"/>
        </w:rPr>
        <w:t xml:space="preserve"> et al. </w:t>
      </w:r>
      <w:r w:rsidR="00DD41F9" w:rsidRPr="00296603">
        <w:rPr>
          <w:rFonts w:ascii="Times New Roman" w:hAnsi="Times New Roman" w:cs="Times New Roman"/>
          <w:sz w:val="20"/>
          <w:szCs w:val="20"/>
        </w:rPr>
        <w:t>[2]</w:t>
      </w:r>
      <w:r w:rsidRPr="00296603">
        <w:rPr>
          <w:rFonts w:ascii="Times New Roman" w:hAnsi="Times New Roman" w:cs="Times New Roman"/>
          <w:sz w:val="20"/>
          <w:szCs w:val="20"/>
        </w:rPr>
        <w:t xml:space="preserve"> found </w:t>
      </w:r>
      <w:proofErr w:type="spellStart"/>
      <w:r w:rsidRPr="00296603">
        <w:rPr>
          <w:rFonts w:ascii="Times New Roman" w:hAnsi="Times New Roman" w:cs="Times New Roman"/>
          <w:sz w:val="20"/>
          <w:szCs w:val="20"/>
        </w:rPr>
        <w:t>haematological</w:t>
      </w:r>
      <w:proofErr w:type="spellEnd"/>
      <w:r w:rsidRPr="00296603">
        <w:rPr>
          <w:rFonts w:ascii="Times New Roman" w:hAnsi="Times New Roman" w:cs="Times New Roman"/>
          <w:sz w:val="20"/>
          <w:szCs w:val="20"/>
        </w:rPr>
        <w:t xml:space="preserve"> differences related with malaria in urban, peri-urban, and rural Ghana, supporting red cell indices in endemic areas. Kaboré et al. </w:t>
      </w:r>
      <w:r w:rsidR="00DD41F9" w:rsidRPr="00296603">
        <w:rPr>
          <w:rFonts w:ascii="Times New Roman" w:hAnsi="Times New Roman" w:cs="Times New Roman"/>
          <w:sz w:val="20"/>
          <w:szCs w:val="20"/>
        </w:rPr>
        <w:t>[11]</w:t>
      </w:r>
      <w:r w:rsidRPr="00296603">
        <w:rPr>
          <w:rFonts w:ascii="Times New Roman" w:hAnsi="Times New Roman" w:cs="Times New Roman"/>
          <w:sz w:val="20"/>
          <w:szCs w:val="20"/>
        </w:rPr>
        <w:t xml:space="preserve"> found that asymptomatic malaria can impact red blood cell homeostasis in Burkina Faso, though less so. This suggests that asymptomatic </w:t>
      </w:r>
      <w:proofErr w:type="spellStart"/>
      <w:r w:rsidRPr="00296603">
        <w:rPr>
          <w:rFonts w:ascii="Times New Roman" w:hAnsi="Times New Roman" w:cs="Times New Roman"/>
          <w:sz w:val="20"/>
          <w:szCs w:val="20"/>
        </w:rPr>
        <w:t>parasitaemia</w:t>
      </w:r>
      <w:proofErr w:type="spellEnd"/>
      <w:r w:rsidRPr="00296603">
        <w:rPr>
          <w:rFonts w:ascii="Times New Roman" w:hAnsi="Times New Roman" w:cs="Times New Roman"/>
          <w:sz w:val="20"/>
          <w:szCs w:val="20"/>
        </w:rPr>
        <w:t xml:space="preserve"> is physiologically active, while symptomatic infection is more consistently associated with clinically significant </w:t>
      </w:r>
      <w:proofErr w:type="spellStart"/>
      <w:r w:rsidRPr="00296603">
        <w:rPr>
          <w:rFonts w:ascii="Times New Roman" w:hAnsi="Times New Roman" w:cs="Times New Roman"/>
          <w:sz w:val="20"/>
          <w:szCs w:val="20"/>
        </w:rPr>
        <w:t>haemoglobin</w:t>
      </w:r>
      <w:proofErr w:type="spellEnd"/>
      <w:r w:rsidRPr="00296603">
        <w:rPr>
          <w:rFonts w:ascii="Times New Roman" w:hAnsi="Times New Roman" w:cs="Times New Roman"/>
          <w:sz w:val="20"/>
          <w:szCs w:val="20"/>
        </w:rPr>
        <w:t xml:space="preserve"> and RBC-related index decreases.</w:t>
      </w:r>
    </w:p>
    <w:p w14:paraId="4F76189B" w14:textId="77777777" w:rsidR="003F41E1" w:rsidRPr="00296603" w:rsidRDefault="003F41E1" w:rsidP="003F41E1">
      <w:pPr>
        <w:spacing w:after="160" w:line="360" w:lineRule="auto"/>
        <w:rPr>
          <w:rFonts w:ascii="Times New Roman" w:hAnsi="Times New Roman" w:cs="Times New Roman"/>
          <w:sz w:val="20"/>
          <w:szCs w:val="20"/>
        </w:rPr>
      </w:pPr>
      <w:r w:rsidRPr="00296603">
        <w:rPr>
          <w:rFonts w:ascii="Times New Roman" w:hAnsi="Times New Roman" w:cs="Times New Roman"/>
          <w:sz w:val="20"/>
          <w:szCs w:val="20"/>
        </w:rPr>
        <w:lastRenderedPageBreak/>
        <w:t xml:space="preserve">One of the most clearly differed measures was platelet count, with symptomatic students having severe thrombocytopenia and larger effect sizes. This is consistent with Volta Region Ghanaian findings that adults with malaria </w:t>
      </w:r>
      <w:proofErr w:type="spellStart"/>
      <w:r w:rsidRPr="00296603">
        <w:rPr>
          <w:rFonts w:ascii="Times New Roman" w:hAnsi="Times New Roman" w:cs="Times New Roman"/>
          <w:sz w:val="20"/>
          <w:szCs w:val="20"/>
        </w:rPr>
        <w:t>parasitaemia</w:t>
      </w:r>
      <w:proofErr w:type="spellEnd"/>
      <w:r w:rsidRPr="00296603">
        <w:rPr>
          <w:rFonts w:ascii="Times New Roman" w:hAnsi="Times New Roman" w:cs="Times New Roman"/>
          <w:sz w:val="20"/>
          <w:szCs w:val="20"/>
        </w:rPr>
        <w:t xml:space="preserve"> have thrombocytopenia </w:t>
      </w:r>
      <w:r w:rsidR="00FC4AE5" w:rsidRPr="00296603">
        <w:rPr>
          <w:rFonts w:ascii="Times New Roman" w:hAnsi="Times New Roman" w:cs="Times New Roman"/>
          <w:sz w:val="20"/>
          <w:szCs w:val="20"/>
        </w:rPr>
        <w:t>[1]</w:t>
      </w:r>
      <w:r w:rsidRPr="00296603">
        <w:rPr>
          <w:rFonts w:ascii="Times New Roman" w:hAnsi="Times New Roman" w:cs="Times New Roman"/>
          <w:sz w:val="20"/>
          <w:szCs w:val="20"/>
        </w:rPr>
        <w:t xml:space="preserve">. A thorough review by </w:t>
      </w:r>
      <w:proofErr w:type="spellStart"/>
      <w:r w:rsidRPr="00296603">
        <w:rPr>
          <w:rFonts w:ascii="Times New Roman" w:hAnsi="Times New Roman" w:cs="Times New Roman"/>
          <w:sz w:val="20"/>
          <w:szCs w:val="20"/>
        </w:rPr>
        <w:t>Mahittikorn</w:t>
      </w:r>
      <w:proofErr w:type="spellEnd"/>
      <w:r w:rsidRPr="00296603">
        <w:rPr>
          <w:rFonts w:ascii="Times New Roman" w:hAnsi="Times New Roman" w:cs="Times New Roman"/>
          <w:sz w:val="20"/>
          <w:szCs w:val="20"/>
        </w:rPr>
        <w:t xml:space="preserve"> et al. </w:t>
      </w:r>
      <w:r w:rsidR="005E1F8E" w:rsidRPr="00296603">
        <w:rPr>
          <w:rFonts w:ascii="Times New Roman" w:hAnsi="Times New Roman" w:cs="Times New Roman"/>
          <w:sz w:val="20"/>
          <w:szCs w:val="20"/>
        </w:rPr>
        <w:t>[12]</w:t>
      </w:r>
      <w:r w:rsidRPr="00296603">
        <w:rPr>
          <w:rFonts w:ascii="Times New Roman" w:hAnsi="Times New Roman" w:cs="Times New Roman"/>
          <w:sz w:val="20"/>
          <w:szCs w:val="20"/>
        </w:rPr>
        <w:t xml:space="preserve"> found that malaria often reduces platelets, especially in severe cases. The high platelet signal in this study supports the practical laboratory utility of platelet count as a malaria biomarker, especially when interpreted with parasite density and erythrocyte parameters.</w:t>
      </w:r>
    </w:p>
    <w:p w14:paraId="009ACED9" w14:textId="77777777" w:rsidR="003F41E1" w:rsidRPr="00296603" w:rsidRDefault="003F41E1" w:rsidP="003F41E1">
      <w:pPr>
        <w:spacing w:after="160" w:line="360" w:lineRule="auto"/>
        <w:rPr>
          <w:rFonts w:ascii="Times New Roman" w:hAnsi="Times New Roman" w:cs="Times New Roman"/>
          <w:sz w:val="20"/>
          <w:szCs w:val="20"/>
        </w:rPr>
      </w:pPr>
      <w:r w:rsidRPr="00296603">
        <w:rPr>
          <w:rFonts w:ascii="Times New Roman" w:hAnsi="Times New Roman" w:cs="Times New Roman"/>
          <w:sz w:val="20"/>
          <w:szCs w:val="20"/>
        </w:rPr>
        <w:t xml:space="preserve">Symptomatic students had greater white blood cell counts, indicating a stronger inflammatory response to infection. More evidence suggests that malaria stimulates inflammatory pathways, with immune responses ranging by disease severity </w:t>
      </w:r>
      <w:r w:rsidR="000B44E1" w:rsidRPr="00296603">
        <w:rPr>
          <w:rFonts w:ascii="Times New Roman" w:hAnsi="Times New Roman" w:cs="Times New Roman"/>
          <w:sz w:val="20"/>
          <w:szCs w:val="20"/>
        </w:rPr>
        <w:t>[13]</w:t>
      </w:r>
      <w:r w:rsidRPr="00296603">
        <w:rPr>
          <w:rFonts w:ascii="Times New Roman" w:hAnsi="Times New Roman" w:cs="Times New Roman"/>
          <w:sz w:val="20"/>
          <w:szCs w:val="20"/>
        </w:rPr>
        <w:t xml:space="preserve">. </w:t>
      </w:r>
      <w:proofErr w:type="spellStart"/>
      <w:r w:rsidRPr="00296603">
        <w:rPr>
          <w:rFonts w:ascii="Times New Roman" w:hAnsi="Times New Roman" w:cs="Times New Roman"/>
          <w:sz w:val="20"/>
          <w:szCs w:val="20"/>
        </w:rPr>
        <w:t>Aninagyei</w:t>
      </w:r>
      <w:proofErr w:type="spellEnd"/>
      <w:r w:rsidRPr="00296603">
        <w:rPr>
          <w:rFonts w:ascii="Times New Roman" w:hAnsi="Times New Roman" w:cs="Times New Roman"/>
          <w:sz w:val="20"/>
          <w:szCs w:val="20"/>
        </w:rPr>
        <w:t xml:space="preserve"> et al. </w:t>
      </w:r>
      <w:r w:rsidR="000B44E1" w:rsidRPr="00296603">
        <w:rPr>
          <w:rFonts w:ascii="Times New Roman" w:hAnsi="Times New Roman" w:cs="Times New Roman"/>
          <w:sz w:val="20"/>
          <w:szCs w:val="20"/>
        </w:rPr>
        <w:t>[6]</w:t>
      </w:r>
      <w:r w:rsidRPr="00296603">
        <w:rPr>
          <w:rFonts w:ascii="Times New Roman" w:hAnsi="Times New Roman" w:cs="Times New Roman"/>
          <w:sz w:val="20"/>
          <w:szCs w:val="20"/>
        </w:rPr>
        <w:t xml:space="preserve"> found changed platelet thrombogenicity and inflammatory alterations in asymptomatic blood donors with Plasmodium falciparum </w:t>
      </w:r>
      <w:proofErr w:type="spellStart"/>
      <w:r w:rsidRPr="00296603">
        <w:rPr>
          <w:rFonts w:ascii="Times New Roman" w:hAnsi="Times New Roman" w:cs="Times New Roman"/>
          <w:sz w:val="20"/>
          <w:szCs w:val="20"/>
        </w:rPr>
        <w:t>parasitaemia</w:t>
      </w:r>
      <w:proofErr w:type="spellEnd"/>
      <w:r w:rsidRPr="00296603">
        <w:rPr>
          <w:rFonts w:ascii="Times New Roman" w:hAnsi="Times New Roman" w:cs="Times New Roman"/>
          <w:sz w:val="20"/>
          <w:szCs w:val="20"/>
        </w:rPr>
        <w:t xml:space="preserve"> in Ghana, showing that even clinically quiet infections can disrupt platelet pathways. This study shows that overt clinical illness is associated with higher WBC levels, indicating increased inflammation.</w:t>
      </w:r>
    </w:p>
    <w:p w14:paraId="4DFE1AD2" w14:textId="77777777" w:rsidR="003F41E1" w:rsidRPr="00296603" w:rsidRDefault="003F41E1" w:rsidP="003F41E1">
      <w:pPr>
        <w:spacing w:after="160" w:line="360" w:lineRule="auto"/>
        <w:rPr>
          <w:rFonts w:ascii="Times New Roman" w:hAnsi="Times New Roman" w:cs="Times New Roman"/>
          <w:sz w:val="20"/>
          <w:szCs w:val="20"/>
        </w:rPr>
      </w:pPr>
      <w:r w:rsidRPr="00296603">
        <w:rPr>
          <w:rFonts w:ascii="Times New Roman" w:hAnsi="Times New Roman" w:cs="Times New Roman"/>
          <w:sz w:val="20"/>
          <w:szCs w:val="20"/>
        </w:rPr>
        <w:t xml:space="preserve">Symptomatic students had more biochemical abnormalities. ALT, AST, and all bilirubin fractions increased considerably with large effect sizes. In Ghanaian children, </w:t>
      </w:r>
      <w:proofErr w:type="spellStart"/>
      <w:r w:rsidRPr="00296603">
        <w:rPr>
          <w:rFonts w:ascii="Times New Roman" w:hAnsi="Times New Roman" w:cs="Times New Roman"/>
          <w:sz w:val="20"/>
          <w:szCs w:val="20"/>
        </w:rPr>
        <w:t>Ehiem</w:t>
      </w:r>
      <w:proofErr w:type="spellEnd"/>
      <w:r w:rsidRPr="00296603">
        <w:rPr>
          <w:rFonts w:ascii="Times New Roman" w:hAnsi="Times New Roman" w:cs="Times New Roman"/>
          <w:sz w:val="20"/>
          <w:szCs w:val="20"/>
        </w:rPr>
        <w:t xml:space="preserve"> et al. </w:t>
      </w:r>
      <w:r w:rsidR="000B44E1" w:rsidRPr="00296603">
        <w:rPr>
          <w:rFonts w:ascii="Times New Roman" w:hAnsi="Times New Roman" w:cs="Times New Roman"/>
          <w:sz w:val="20"/>
          <w:szCs w:val="20"/>
        </w:rPr>
        <w:t>[9]</w:t>
      </w:r>
      <w:r w:rsidRPr="00296603">
        <w:rPr>
          <w:rFonts w:ascii="Times New Roman" w:hAnsi="Times New Roman" w:cs="Times New Roman"/>
          <w:sz w:val="20"/>
          <w:szCs w:val="20"/>
        </w:rPr>
        <w:t xml:space="preserve"> found increased liver enzymes in acute malaria before therapy and connected infection to hepatocellular stress. Biochemical and </w:t>
      </w:r>
      <w:proofErr w:type="spellStart"/>
      <w:r w:rsidRPr="00296603">
        <w:rPr>
          <w:rFonts w:ascii="Times New Roman" w:hAnsi="Times New Roman" w:cs="Times New Roman"/>
          <w:sz w:val="20"/>
          <w:szCs w:val="20"/>
        </w:rPr>
        <w:t>haematological</w:t>
      </w:r>
      <w:proofErr w:type="spellEnd"/>
      <w:r w:rsidRPr="00296603">
        <w:rPr>
          <w:rFonts w:ascii="Times New Roman" w:hAnsi="Times New Roman" w:cs="Times New Roman"/>
          <w:sz w:val="20"/>
          <w:szCs w:val="20"/>
        </w:rPr>
        <w:t xml:space="preserve"> abnormalities were also found in uncomplicated *P. falciparum* malaria in Senegal </w:t>
      </w:r>
      <w:r w:rsidR="000B44E1" w:rsidRPr="00296603">
        <w:rPr>
          <w:rFonts w:ascii="Times New Roman" w:hAnsi="Times New Roman" w:cs="Times New Roman"/>
          <w:sz w:val="20"/>
          <w:szCs w:val="20"/>
        </w:rPr>
        <w:t>[3]</w:t>
      </w:r>
      <w:r w:rsidRPr="00296603">
        <w:rPr>
          <w:rFonts w:ascii="Times New Roman" w:hAnsi="Times New Roman" w:cs="Times New Roman"/>
          <w:sz w:val="20"/>
          <w:szCs w:val="20"/>
        </w:rPr>
        <w:t xml:space="preserve">. Symptomatic students with elevated transaminases and bilirubin may have malaria-associated </w:t>
      </w:r>
      <w:proofErr w:type="spellStart"/>
      <w:r w:rsidRPr="00296603">
        <w:rPr>
          <w:rFonts w:ascii="Times New Roman" w:hAnsi="Times New Roman" w:cs="Times New Roman"/>
          <w:sz w:val="20"/>
          <w:szCs w:val="20"/>
        </w:rPr>
        <w:t>haemolysis</w:t>
      </w:r>
      <w:proofErr w:type="spellEnd"/>
      <w:r w:rsidRPr="00296603">
        <w:rPr>
          <w:rFonts w:ascii="Times New Roman" w:hAnsi="Times New Roman" w:cs="Times New Roman"/>
          <w:sz w:val="20"/>
          <w:szCs w:val="20"/>
        </w:rPr>
        <w:t xml:space="preserve"> and hepatic involvement, supporting the use of basic liver function tests in clinically suspected cases.</w:t>
      </w:r>
    </w:p>
    <w:p w14:paraId="2857C8C7" w14:textId="77777777" w:rsidR="003F41E1" w:rsidRPr="00296603" w:rsidRDefault="003F41E1" w:rsidP="003F41E1">
      <w:pPr>
        <w:spacing w:after="160" w:line="360" w:lineRule="auto"/>
        <w:rPr>
          <w:rFonts w:ascii="Times New Roman" w:hAnsi="Times New Roman" w:cs="Times New Roman"/>
          <w:sz w:val="20"/>
          <w:szCs w:val="20"/>
        </w:rPr>
      </w:pPr>
      <w:r w:rsidRPr="00296603">
        <w:rPr>
          <w:rFonts w:ascii="Times New Roman" w:hAnsi="Times New Roman" w:cs="Times New Roman"/>
          <w:sz w:val="20"/>
          <w:szCs w:val="20"/>
        </w:rPr>
        <w:t xml:space="preserve">Similar patterns were seen in renal indicators. Again, symptomatic pupils had higher urea and creatinine levels with substantial effect sizes. Although no renal disease was detected, these findings suggest that symptomatic infection may cause increased systemic stress due to dehydration, inflammation, or early renal involvement. At therapy monitoring, Sylla et al. </w:t>
      </w:r>
      <w:r w:rsidR="000B44E1" w:rsidRPr="00296603">
        <w:rPr>
          <w:rFonts w:ascii="Times New Roman" w:hAnsi="Times New Roman" w:cs="Times New Roman"/>
          <w:sz w:val="20"/>
          <w:szCs w:val="20"/>
        </w:rPr>
        <w:t>[3]</w:t>
      </w:r>
      <w:r w:rsidRPr="00296603">
        <w:rPr>
          <w:rFonts w:ascii="Times New Roman" w:hAnsi="Times New Roman" w:cs="Times New Roman"/>
          <w:sz w:val="20"/>
          <w:szCs w:val="20"/>
        </w:rPr>
        <w:t xml:space="preserve"> found biochemical changes in uncomplicated malaria, suggesting kidney indicators may shift even in mild malaria. New results from a young adult campus sample suggests renal function metrics can discriminate symptomatic from asymptomatic malaria.</w:t>
      </w:r>
    </w:p>
    <w:p w14:paraId="4ABE3B1B" w14:textId="77777777" w:rsidR="003F41E1" w:rsidRPr="00296603" w:rsidRDefault="003F41E1" w:rsidP="003F41E1">
      <w:pPr>
        <w:spacing w:after="160" w:line="360" w:lineRule="auto"/>
        <w:rPr>
          <w:rFonts w:ascii="Times New Roman" w:hAnsi="Times New Roman" w:cs="Times New Roman"/>
          <w:sz w:val="20"/>
          <w:szCs w:val="20"/>
        </w:rPr>
      </w:pPr>
      <w:r w:rsidRPr="00296603">
        <w:rPr>
          <w:rFonts w:ascii="Times New Roman" w:hAnsi="Times New Roman" w:cs="Times New Roman"/>
          <w:sz w:val="20"/>
          <w:szCs w:val="20"/>
        </w:rPr>
        <w:t xml:space="preserve">Symptomatic students had highest median parasite density, indicating more infection than asymptomatic carriers. This supports the notion that </w:t>
      </w:r>
      <w:proofErr w:type="spellStart"/>
      <w:r w:rsidRPr="00296603">
        <w:rPr>
          <w:rFonts w:ascii="Times New Roman" w:hAnsi="Times New Roman" w:cs="Times New Roman"/>
          <w:sz w:val="20"/>
          <w:szCs w:val="20"/>
        </w:rPr>
        <w:t>parasitaemia</w:t>
      </w:r>
      <w:proofErr w:type="spellEnd"/>
      <w:r w:rsidRPr="00296603">
        <w:rPr>
          <w:rFonts w:ascii="Times New Roman" w:hAnsi="Times New Roman" w:cs="Times New Roman"/>
          <w:sz w:val="20"/>
          <w:szCs w:val="20"/>
        </w:rPr>
        <w:t xml:space="preserve"> causes higher clinical and laboratory abnormalities. Antwi-Baffour et al. </w:t>
      </w:r>
      <w:r w:rsidR="000B44E1" w:rsidRPr="00296603">
        <w:rPr>
          <w:rFonts w:ascii="Times New Roman" w:hAnsi="Times New Roman" w:cs="Times New Roman"/>
          <w:sz w:val="20"/>
          <w:szCs w:val="20"/>
        </w:rPr>
        <w:t>[7]</w:t>
      </w:r>
      <w:r w:rsidRPr="00296603">
        <w:rPr>
          <w:rFonts w:ascii="Times New Roman" w:hAnsi="Times New Roman" w:cs="Times New Roman"/>
          <w:sz w:val="20"/>
          <w:szCs w:val="20"/>
        </w:rPr>
        <w:t xml:space="preserve"> found high parasite counts in malaria outpatients in Ghana and examined their associations with </w:t>
      </w:r>
      <w:proofErr w:type="spellStart"/>
      <w:r w:rsidRPr="00296603">
        <w:rPr>
          <w:rFonts w:ascii="Times New Roman" w:hAnsi="Times New Roman" w:cs="Times New Roman"/>
          <w:sz w:val="20"/>
          <w:szCs w:val="20"/>
        </w:rPr>
        <w:t>haematological</w:t>
      </w:r>
      <w:proofErr w:type="spellEnd"/>
      <w:r w:rsidRPr="00296603">
        <w:rPr>
          <w:rFonts w:ascii="Times New Roman" w:hAnsi="Times New Roman" w:cs="Times New Roman"/>
          <w:sz w:val="20"/>
          <w:szCs w:val="20"/>
        </w:rPr>
        <w:t xml:space="preserve"> markers, stressing parasite density as an interp</w:t>
      </w:r>
      <w:r w:rsidR="000B44E1" w:rsidRPr="00296603">
        <w:rPr>
          <w:rFonts w:ascii="Times New Roman" w:hAnsi="Times New Roman" w:cs="Times New Roman"/>
          <w:sz w:val="20"/>
          <w:szCs w:val="20"/>
        </w:rPr>
        <w:t xml:space="preserve">retative factor. </w:t>
      </w:r>
      <w:proofErr w:type="spellStart"/>
      <w:r w:rsidR="000B44E1" w:rsidRPr="00296603">
        <w:rPr>
          <w:rFonts w:ascii="Times New Roman" w:hAnsi="Times New Roman" w:cs="Times New Roman"/>
          <w:sz w:val="20"/>
          <w:szCs w:val="20"/>
        </w:rPr>
        <w:t>Mutala</w:t>
      </w:r>
      <w:proofErr w:type="spellEnd"/>
      <w:r w:rsidR="000B44E1" w:rsidRPr="00296603">
        <w:rPr>
          <w:rFonts w:ascii="Times New Roman" w:hAnsi="Times New Roman" w:cs="Times New Roman"/>
          <w:sz w:val="20"/>
          <w:szCs w:val="20"/>
        </w:rPr>
        <w:t xml:space="preserve"> et al. [2]</w:t>
      </w:r>
      <w:r w:rsidRPr="00296603">
        <w:rPr>
          <w:rFonts w:ascii="Times New Roman" w:hAnsi="Times New Roman" w:cs="Times New Roman"/>
          <w:sz w:val="20"/>
          <w:szCs w:val="20"/>
        </w:rPr>
        <w:t xml:space="preserve"> found that parasite density varies substantially across Ghanaian populations, even within endemic locations. In this study, asymptomatic students had a wide density range, including moderate levels in a significant proportion, supporting public health concerns that asymptomatic carriers may transmit.</w:t>
      </w:r>
    </w:p>
    <w:p w14:paraId="7EEE5937" w14:textId="77777777" w:rsidR="003F41E1" w:rsidRPr="00296603" w:rsidRDefault="003F41E1" w:rsidP="003F41E1">
      <w:pPr>
        <w:spacing w:after="160" w:line="360" w:lineRule="auto"/>
        <w:rPr>
          <w:rFonts w:ascii="Times New Roman" w:hAnsi="Times New Roman" w:cs="Times New Roman"/>
          <w:sz w:val="20"/>
          <w:szCs w:val="20"/>
        </w:rPr>
      </w:pPr>
      <w:r w:rsidRPr="00296603">
        <w:rPr>
          <w:rFonts w:ascii="Times New Roman" w:hAnsi="Times New Roman" w:cs="Times New Roman"/>
          <w:sz w:val="20"/>
          <w:szCs w:val="20"/>
        </w:rPr>
        <w:t xml:space="preserve">In the asymptomatic subgroup, parasite density correlated weakly with most laboratory markers, with platelet count being the sole statistically significant link. </w:t>
      </w:r>
      <w:proofErr w:type="spellStart"/>
      <w:r w:rsidRPr="00296603">
        <w:rPr>
          <w:rFonts w:ascii="Times New Roman" w:hAnsi="Times New Roman" w:cs="Times New Roman"/>
          <w:sz w:val="20"/>
          <w:szCs w:val="20"/>
        </w:rPr>
        <w:t>Sakzabre</w:t>
      </w:r>
      <w:proofErr w:type="spellEnd"/>
      <w:r w:rsidRPr="00296603">
        <w:rPr>
          <w:rFonts w:ascii="Times New Roman" w:hAnsi="Times New Roman" w:cs="Times New Roman"/>
          <w:sz w:val="20"/>
          <w:szCs w:val="20"/>
        </w:rPr>
        <w:t xml:space="preserve"> et al. </w:t>
      </w:r>
      <w:r w:rsidR="000B44E1" w:rsidRPr="00296603">
        <w:rPr>
          <w:rFonts w:ascii="Times New Roman" w:hAnsi="Times New Roman" w:cs="Times New Roman"/>
          <w:sz w:val="20"/>
          <w:szCs w:val="20"/>
        </w:rPr>
        <w:t>[1]</w:t>
      </w:r>
      <w:r w:rsidRPr="00296603">
        <w:rPr>
          <w:rFonts w:ascii="Times New Roman" w:hAnsi="Times New Roman" w:cs="Times New Roman"/>
          <w:sz w:val="20"/>
          <w:szCs w:val="20"/>
        </w:rPr>
        <w:t xml:space="preserve"> found that as parasite density increased in adult hospital patients in Ghana, platelet counts decreased. Population features may explain the disparity. Asymptomatic university students were healthier than hospital-based populations, which may have higher inflammatory responses and splenic </w:t>
      </w:r>
      <w:r w:rsidRPr="00296603">
        <w:rPr>
          <w:rFonts w:ascii="Times New Roman" w:hAnsi="Times New Roman" w:cs="Times New Roman"/>
          <w:sz w:val="20"/>
          <w:szCs w:val="20"/>
        </w:rPr>
        <w:lastRenderedPageBreak/>
        <w:t>sequestration. According to</w:t>
      </w:r>
      <w:r w:rsidR="00960B79" w:rsidRPr="00296603">
        <w:rPr>
          <w:rFonts w:ascii="Times New Roman" w:hAnsi="Times New Roman" w:cs="Times New Roman"/>
          <w:sz w:val="20"/>
          <w:szCs w:val="20"/>
        </w:rPr>
        <w:t xml:space="preserve"> </w:t>
      </w:r>
      <w:r w:rsidRPr="00296603">
        <w:rPr>
          <w:rFonts w:ascii="Times New Roman" w:hAnsi="Times New Roman" w:cs="Times New Roman"/>
          <w:sz w:val="20"/>
          <w:szCs w:val="20"/>
        </w:rPr>
        <w:t xml:space="preserve">Naser et al. </w:t>
      </w:r>
      <w:r w:rsidR="000B44E1" w:rsidRPr="00296603">
        <w:rPr>
          <w:rFonts w:ascii="Times New Roman" w:hAnsi="Times New Roman" w:cs="Times New Roman"/>
          <w:sz w:val="20"/>
          <w:szCs w:val="20"/>
        </w:rPr>
        <w:t>[10]</w:t>
      </w:r>
      <w:r w:rsidRPr="00296603">
        <w:rPr>
          <w:rFonts w:ascii="Times New Roman" w:hAnsi="Times New Roman" w:cs="Times New Roman"/>
          <w:sz w:val="20"/>
          <w:szCs w:val="20"/>
        </w:rPr>
        <w:t xml:space="preserve">, malaria-related </w:t>
      </w:r>
      <w:proofErr w:type="spellStart"/>
      <w:r w:rsidRPr="00296603">
        <w:rPr>
          <w:rFonts w:ascii="Times New Roman" w:hAnsi="Times New Roman" w:cs="Times New Roman"/>
          <w:sz w:val="20"/>
          <w:szCs w:val="20"/>
        </w:rPr>
        <w:t>haematological</w:t>
      </w:r>
      <w:proofErr w:type="spellEnd"/>
      <w:r w:rsidRPr="00296603">
        <w:rPr>
          <w:rFonts w:ascii="Times New Roman" w:hAnsi="Times New Roman" w:cs="Times New Roman"/>
          <w:sz w:val="20"/>
          <w:szCs w:val="20"/>
        </w:rPr>
        <w:t xml:space="preserve"> alterations are influenced by host–parasite interaction and vary by age, exposure history, and clinical phenotype. This limited link shows that parasite density alone may not predict routine </w:t>
      </w:r>
      <w:proofErr w:type="spellStart"/>
      <w:r w:rsidRPr="00296603">
        <w:rPr>
          <w:rFonts w:ascii="Times New Roman" w:hAnsi="Times New Roman" w:cs="Times New Roman"/>
          <w:sz w:val="20"/>
          <w:szCs w:val="20"/>
        </w:rPr>
        <w:t>haematological</w:t>
      </w:r>
      <w:proofErr w:type="spellEnd"/>
      <w:r w:rsidRPr="00296603">
        <w:rPr>
          <w:rFonts w:ascii="Times New Roman" w:hAnsi="Times New Roman" w:cs="Times New Roman"/>
          <w:sz w:val="20"/>
          <w:szCs w:val="20"/>
        </w:rPr>
        <w:t xml:space="preserve"> or biochemical profiles in asymptomatic young individuals.</w:t>
      </w:r>
    </w:p>
    <w:p w14:paraId="18E18E17" w14:textId="77777777" w:rsidR="003F41E1" w:rsidRPr="00296603" w:rsidRDefault="003F41E1" w:rsidP="00337E4A">
      <w:pPr>
        <w:spacing w:line="360" w:lineRule="auto"/>
        <w:rPr>
          <w:rFonts w:ascii="Times New Roman" w:hAnsi="Times New Roman" w:cs="Times New Roman"/>
          <w:sz w:val="20"/>
          <w:szCs w:val="20"/>
        </w:rPr>
      </w:pPr>
      <w:r w:rsidRPr="00296603">
        <w:rPr>
          <w:rFonts w:ascii="Times New Roman" w:hAnsi="Times New Roman" w:cs="Times New Roman"/>
          <w:sz w:val="20"/>
          <w:szCs w:val="20"/>
        </w:rPr>
        <w:t>TTU students with symptomatic malaria had greater parasite density, thrombocytopenia, lower erythrocyte indices, and raised hepatic and renal indicators. Despite changing parasite levels, asymptomatic carriers had stable laboratory profiles. These findings support Ghanaian and African data that malaria causes full blood count and biochemical panel patterns. However, asymptomatic infection in young individuals may not show clear linear connections between parasite density and standard laboratory markers. This highlights the necessity of parasitological confirmation and complete laboratory profiling in campus health services, where symptoms alone may underestimate infection and context-specific test interpretation is necessary.</w:t>
      </w:r>
    </w:p>
    <w:p w14:paraId="2014CC9E" w14:textId="77777777" w:rsidR="00337E4A" w:rsidRPr="00296603" w:rsidRDefault="00337E4A" w:rsidP="00337E4A">
      <w:pPr>
        <w:spacing w:line="360" w:lineRule="auto"/>
        <w:rPr>
          <w:rFonts w:ascii="Times New Roman" w:hAnsi="Times New Roman" w:cs="Times New Roman"/>
          <w:sz w:val="20"/>
          <w:szCs w:val="20"/>
        </w:rPr>
      </w:pPr>
    </w:p>
    <w:p w14:paraId="58FA8F15" w14:textId="77777777" w:rsidR="00337E4A" w:rsidRPr="00296603" w:rsidRDefault="00337E4A" w:rsidP="00337E4A">
      <w:pPr>
        <w:spacing w:line="360" w:lineRule="auto"/>
        <w:rPr>
          <w:rFonts w:ascii="Times New Roman" w:hAnsi="Times New Roman" w:cs="Times New Roman"/>
          <w:b/>
          <w:sz w:val="20"/>
          <w:szCs w:val="20"/>
        </w:rPr>
      </w:pPr>
      <w:r w:rsidRPr="00296603">
        <w:rPr>
          <w:rFonts w:ascii="Times New Roman" w:hAnsi="Times New Roman" w:cs="Times New Roman"/>
          <w:b/>
          <w:sz w:val="20"/>
          <w:szCs w:val="20"/>
        </w:rPr>
        <w:t>5. Conclusion</w:t>
      </w:r>
    </w:p>
    <w:p w14:paraId="1F4FEF9F" w14:textId="77777777" w:rsidR="00337E4A" w:rsidRPr="00296603" w:rsidRDefault="00337E4A" w:rsidP="00337E4A">
      <w:pPr>
        <w:spacing w:after="160" w:line="360" w:lineRule="auto"/>
        <w:rPr>
          <w:rFonts w:ascii="Times New Roman" w:hAnsi="Times New Roman" w:cs="Times New Roman"/>
          <w:sz w:val="20"/>
          <w:szCs w:val="20"/>
        </w:rPr>
      </w:pPr>
      <w:r w:rsidRPr="00296603">
        <w:rPr>
          <w:rFonts w:ascii="Times New Roman" w:hAnsi="Times New Roman" w:cs="Times New Roman"/>
          <w:sz w:val="20"/>
          <w:szCs w:val="20"/>
        </w:rPr>
        <w:t xml:space="preserve">A consistent trend emerges from this study. Symptomatic malaria in Takoradi Technical University students had more parasites and laboratory abnormalities than asymptomatic infection. Symptomatic students exhibited low </w:t>
      </w:r>
      <w:proofErr w:type="spellStart"/>
      <w:r w:rsidRPr="00296603">
        <w:rPr>
          <w:rFonts w:ascii="Times New Roman" w:hAnsi="Times New Roman" w:cs="Times New Roman"/>
          <w:sz w:val="20"/>
          <w:szCs w:val="20"/>
        </w:rPr>
        <w:t>haemoglobin</w:t>
      </w:r>
      <w:proofErr w:type="spellEnd"/>
      <w:r w:rsidRPr="00296603">
        <w:rPr>
          <w:rFonts w:ascii="Times New Roman" w:hAnsi="Times New Roman" w:cs="Times New Roman"/>
          <w:sz w:val="20"/>
          <w:szCs w:val="20"/>
        </w:rPr>
        <w:t xml:space="preserve">, red blood cell counts, and thrombocytopenia. They also had greater liver enzymes, bilirubin, urea, and creatinine. Despite variable parasite levels, asymptomatic carriers had more consistent </w:t>
      </w:r>
      <w:proofErr w:type="spellStart"/>
      <w:r w:rsidRPr="00296603">
        <w:rPr>
          <w:rFonts w:ascii="Times New Roman" w:hAnsi="Times New Roman" w:cs="Times New Roman"/>
          <w:sz w:val="20"/>
          <w:szCs w:val="20"/>
        </w:rPr>
        <w:t>haematological</w:t>
      </w:r>
      <w:proofErr w:type="spellEnd"/>
      <w:r w:rsidRPr="00296603">
        <w:rPr>
          <w:rFonts w:ascii="Times New Roman" w:hAnsi="Times New Roman" w:cs="Times New Roman"/>
          <w:sz w:val="20"/>
          <w:szCs w:val="20"/>
        </w:rPr>
        <w:t xml:space="preserve"> and biochemical profiles. Importantly, parasite density in asymptomatic students did not correlate with most laboratory markers, suggesting that parasite load alone does not predict laboratory impairment in clinically silent infection.</w:t>
      </w:r>
    </w:p>
    <w:p w14:paraId="58A87C2E" w14:textId="77777777" w:rsidR="00337E4A" w:rsidRDefault="00337E4A" w:rsidP="00D74830">
      <w:pPr>
        <w:spacing w:line="360" w:lineRule="auto"/>
        <w:rPr>
          <w:rFonts w:ascii="Times New Roman" w:hAnsi="Times New Roman" w:cs="Times New Roman"/>
          <w:sz w:val="20"/>
          <w:szCs w:val="20"/>
        </w:rPr>
      </w:pPr>
      <w:r w:rsidRPr="00296603">
        <w:rPr>
          <w:rFonts w:ascii="Times New Roman" w:hAnsi="Times New Roman" w:cs="Times New Roman"/>
          <w:sz w:val="20"/>
          <w:szCs w:val="20"/>
        </w:rPr>
        <w:t>This research has practical applications. A comprehensive blood count and basic biochemical testing can help diagnose symptomatic malaria and determine its physiological effects. Nevertheless, asymptomatic infection should not be ignored. Moderate parasite densities in healthy students may spread campus-wide. Thus, university health services in endemic areas should use parasitological testing and targeted laboratory assessment instead of clinical presentation. The study improves laboratory-based clinical decision-making and structured malaria screening in young adults.</w:t>
      </w:r>
    </w:p>
    <w:p w14:paraId="541DDD55" w14:textId="77777777" w:rsidR="001F29D5" w:rsidRDefault="001F29D5" w:rsidP="00D74830">
      <w:pPr>
        <w:spacing w:line="360" w:lineRule="auto"/>
        <w:rPr>
          <w:rFonts w:ascii="Times New Roman" w:hAnsi="Times New Roman" w:cs="Times New Roman"/>
          <w:sz w:val="20"/>
          <w:szCs w:val="20"/>
        </w:rPr>
      </w:pPr>
    </w:p>
    <w:p w14:paraId="27FAA956" w14:textId="77777777" w:rsidR="001F29D5" w:rsidRPr="00296603" w:rsidRDefault="001F29D5" w:rsidP="001F29D5">
      <w:pPr>
        <w:spacing w:after="240" w:line="360" w:lineRule="auto"/>
        <w:rPr>
          <w:rFonts w:ascii="Times New Roman" w:hAnsi="Times New Roman" w:cs="Times New Roman"/>
          <w:sz w:val="20"/>
          <w:szCs w:val="20"/>
        </w:rPr>
      </w:pPr>
      <w:r w:rsidRPr="00296603">
        <w:rPr>
          <w:rFonts w:ascii="Times New Roman" w:hAnsi="Times New Roman" w:cs="Times New Roman"/>
          <w:i/>
          <w:sz w:val="20"/>
          <w:szCs w:val="20"/>
        </w:rPr>
        <w:t>Limitations and Recommendations</w:t>
      </w:r>
      <w:r w:rsidRPr="00296603">
        <w:rPr>
          <w:rFonts w:ascii="Times New Roman" w:hAnsi="Times New Roman" w:cs="Times New Roman"/>
          <w:sz w:val="20"/>
          <w:szCs w:val="20"/>
        </w:rPr>
        <w:t xml:space="preserve">. This study examined the </w:t>
      </w:r>
      <w:proofErr w:type="spellStart"/>
      <w:r w:rsidRPr="00296603">
        <w:rPr>
          <w:rFonts w:ascii="Times New Roman" w:hAnsi="Times New Roman" w:cs="Times New Roman"/>
          <w:sz w:val="20"/>
          <w:szCs w:val="20"/>
        </w:rPr>
        <w:t>haematological</w:t>
      </w:r>
      <w:proofErr w:type="spellEnd"/>
      <w:r w:rsidRPr="00296603">
        <w:rPr>
          <w:rFonts w:ascii="Times New Roman" w:hAnsi="Times New Roman" w:cs="Times New Roman"/>
          <w:sz w:val="20"/>
          <w:szCs w:val="20"/>
        </w:rPr>
        <w:t xml:space="preserve"> and biochemical differences among students at Takoradi Technical University that are linked to malaria. It was not possible to evaluate the probable role of helminth infections, hemoglobinopathies, and nutritional deficits in the reported </w:t>
      </w:r>
      <w:proofErr w:type="spellStart"/>
      <w:r w:rsidRPr="00296603">
        <w:rPr>
          <w:rFonts w:ascii="Times New Roman" w:hAnsi="Times New Roman" w:cs="Times New Roman"/>
          <w:sz w:val="20"/>
          <w:szCs w:val="20"/>
        </w:rPr>
        <w:t>haematological</w:t>
      </w:r>
      <w:proofErr w:type="spellEnd"/>
      <w:r w:rsidRPr="00296603">
        <w:rPr>
          <w:rFonts w:ascii="Times New Roman" w:hAnsi="Times New Roman" w:cs="Times New Roman"/>
          <w:sz w:val="20"/>
          <w:szCs w:val="20"/>
        </w:rPr>
        <w:t xml:space="preserve"> alterations. To enhance attribution of reported laboratory alterations and support clinical interpretation, future research in comparable university populations should include screening for these diseases and, if feasible, analytically correct for them.</w:t>
      </w:r>
    </w:p>
    <w:p w14:paraId="3E07FCD7" w14:textId="77777777" w:rsidR="001F29D5" w:rsidRPr="00296603" w:rsidRDefault="001F29D5" w:rsidP="00D74830">
      <w:pPr>
        <w:spacing w:line="360" w:lineRule="auto"/>
        <w:rPr>
          <w:rFonts w:ascii="Times New Roman" w:hAnsi="Times New Roman" w:cs="Times New Roman"/>
          <w:sz w:val="20"/>
          <w:szCs w:val="20"/>
        </w:rPr>
      </w:pPr>
    </w:p>
    <w:p w14:paraId="52B0CD3F" w14:textId="77777777" w:rsidR="00D74830" w:rsidRPr="00296603" w:rsidRDefault="00D74830" w:rsidP="00D74830">
      <w:pPr>
        <w:spacing w:line="360" w:lineRule="auto"/>
        <w:rPr>
          <w:rFonts w:ascii="Times New Roman" w:hAnsi="Times New Roman" w:cs="Times New Roman"/>
          <w:sz w:val="20"/>
          <w:szCs w:val="20"/>
        </w:rPr>
      </w:pPr>
    </w:p>
    <w:p w14:paraId="63BED03D" w14:textId="77777777" w:rsidR="00A01A7E" w:rsidRPr="00296603" w:rsidRDefault="00501B24" w:rsidP="00501B24">
      <w:pPr>
        <w:spacing w:after="240" w:line="360" w:lineRule="auto"/>
        <w:rPr>
          <w:rFonts w:ascii="Times New Roman" w:hAnsi="Times New Roman" w:cs="Times New Roman"/>
          <w:sz w:val="20"/>
          <w:szCs w:val="20"/>
        </w:rPr>
      </w:pPr>
      <w:r w:rsidRPr="00296603">
        <w:rPr>
          <w:rFonts w:ascii="Times New Roman" w:hAnsi="Times New Roman" w:cs="Times New Roman"/>
          <w:b/>
          <w:bCs/>
          <w:sz w:val="20"/>
          <w:szCs w:val="20"/>
        </w:rPr>
        <w:t>DECLARATIONS</w:t>
      </w:r>
    </w:p>
    <w:p w14:paraId="2A4792A5" w14:textId="77777777" w:rsidR="00D74830" w:rsidRPr="00296603" w:rsidRDefault="00D74830" w:rsidP="00D74830">
      <w:pPr>
        <w:spacing w:line="360" w:lineRule="auto"/>
        <w:rPr>
          <w:rFonts w:ascii="Times New Roman" w:hAnsi="Times New Roman" w:cs="Times New Roman"/>
          <w:b/>
          <w:sz w:val="20"/>
          <w:szCs w:val="20"/>
        </w:rPr>
      </w:pPr>
      <w:r w:rsidRPr="00296603">
        <w:rPr>
          <w:rFonts w:ascii="Times New Roman" w:hAnsi="Times New Roman" w:cs="Times New Roman"/>
          <w:b/>
          <w:sz w:val="20"/>
          <w:szCs w:val="20"/>
        </w:rPr>
        <w:t>Data Availability</w:t>
      </w:r>
      <w:r w:rsidR="005C33E8" w:rsidRPr="00296603">
        <w:rPr>
          <w:rFonts w:ascii="Times New Roman" w:hAnsi="Times New Roman" w:cs="Times New Roman"/>
          <w:b/>
          <w:sz w:val="20"/>
          <w:szCs w:val="20"/>
        </w:rPr>
        <w:t xml:space="preserve"> Statement</w:t>
      </w:r>
    </w:p>
    <w:p w14:paraId="16D19FA8" w14:textId="77777777" w:rsidR="00D74830" w:rsidRPr="00296603" w:rsidRDefault="00D74830" w:rsidP="00D74830">
      <w:pPr>
        <w:spacing w:after="240" w:line="360" w:lineRule="auto"/>
        <w:rPr>
          <w:rFonts w:ascii="Times New Roman" w:hAnsi="Times New Roman" w:cs="Times New Roman"/>
          <w:sz w:val="20"/>
          <w:szCs w:val="20"/>
        </w:rPr>
      </w:pPr>
      <w:r w:rsidRPr="00296603">
        <w:rPr>
          <w:rFonts w:ascii="Times New Roman" w:hAnsi="Times New Roman" w:cs="Times New Roman"/>
          <w:sz w:val="20"/>
          <w:szCs w:val="20"/>
        </w:rPr>
        <w:t xml:space="preserve">Upon reasonable request, the corresponding author will provide the data used to support </w:t>
      </w:r>
      <w:r w:rsidR="003F4B16" w:rsidRPr="00296603">
        <w:rPr>
          <w:rFonts w:ascii="Times New Roman" w:hAnsi="Times New Roman" w:cs="Times New Roman"/>
          <w:sz w:val="20"/>
          <w:szCs w:val="20"/>
        </w:rPr>
        <w:t>our findings</w:t>
      </w:r>
      <w:r w:rsidRPr="00296603">
        <w:rPr>
          <w:rFonts w:ascii="Times New Roman" w:hAnsi="Times New Roman" w:cs="Times New Roman"/>
          <w:sz w:val="20"/>
          <w:szCs w:val="20"/>
        </w:rPr>
        <w:t>.</w:t>
      </w:r>
    </w:p>
    <w:p w14:paraId="1219C63E" w14:textId="77777777" w:rsidR="001F29D5" w:rsidRDefault="001F29D5" w:rsidP="0021734A">
      <w:pPr>
        <w:spacing w:line="360" w:lineRule="auto"/>
        <w:rPr>
          <w:rFonts w:ascii="Times New Roman" w:hAnsi="Times New Roman" w:cs="Times New Roman"/>
          <w:sz w:val="20"/>
          <w:szCs w:val="20"/>
        </w:rPr>
      </w:pPr>
      <w:bookmarkStart w:id="0" w:name="_GoBack"/>
      <w:bookmarkEnd w:id="0"/>
    </w:p>
    <w:p w14:paraId="5341E718" w14:textId="77777777" w:rsidR="001F29D5" w:rsidRPr="001F29D5" w:rsidRDefault="001F29D5" w:rsidP="001F29D5">
      <w:pPr>
        <w:spacing w:line="360" w:lineRule="auto"/>
        <w:rPr>
          <w:rFonts w:ascii="Times New Roman" w:hAnsi="Times New Roman" w:cs="Times New Roman"/>
          <w:sz w:val="20"/>
          <w:szCs w:val="20"/>
        </w:rPr>
      </w:pPr>
      <w:r w:rsidRPr="001F29D5">
        <w:rPr>
          <w:rFonts w:ascii="Times New Roman" w:hAnsi="Times New Roman" w:cs="Times New Roman"/>
          <w:sz w:val="20"/>
          <w:szCs w:val="20"/>
        </w:rPr>
        <w:t>COMPETING INTERESTS DISCLAIMER:</w:t>
      </w:r>
    </w:p>
    <w:p w14:paraId="2B6DE197" w14:textId="224B679A" w:rsidR="001F29D5" w:rsidRPr="00296603" w:rsidRDefault="001F29D5" w:rsidP="001F29D5">
      <w:pPr>
        <w:spacing w:line="360" w:lineRule="auto"/>
        <w:rPr>
          <w:rFonts w:ascii="Times New Roman" w:hAnsi="Times New Roman" w:cs="Times New Roman"/>
          <w:sz w:val="20"/>
          <w:szCs w:val="20"/>
        </w:rPr>
      </w:pPr>
      <w:r w:rsidRPr="001F29D5">
        <w:rPr>
          <w:rFonts w:ascii="Times New Roman" w:hAnsi="Times New Roman" w:cs="Times New Roman"/>
          <w:sz w:val="20"/>
          <w:szCs w:val="20"/>
        </w:rPr>
        <w:t>Authors have declared that they have no known competing financial interests OR non-financial interests OR personal relationships that could have appeared to influence the work reported in this paper.</w:t>
      </w:r>
    </w:p>
    <w:p w14:paraId="40D8537F" w14:textId="77777777" w:rsidR="0021734A" w:rsidRPr="00296603" w:rsidRDefault="0021734A" w:rsidP="00164E17">
      <w:pPr>
        <w:spacing w:line="360" w:lineRule="auto"/>
        <w:rPr>
          <w:rFonts w:ascii="Times New Roman" w:hAnsi="Times New Roman" w:cs="Times New Roman"/>
          <w:sz w:val="20"/>
          <w:szCs w:val="20"/>
        </w:rPr>
      </w:pPr>
    </w:p>
    <w:p w14:paraId="4607FA71" w14:textId="77777777" w:rsidR="00960B79" w:rsidRPr="00296603" w:rsidRDefault="00960B79" w:rsidP="00D74830">
      <w:pPr>
        <w:spacing w:after="160" w:line="360" w:lineRule="auto"/>
        <w:rPr>
          <w:rFonts w:ascii="Times New Roman" w:hAnsi="Times New Roman" w:cs="Times New Roman"/>
          <w:b/>
          <w:sz w:val="20"/>
          <w:szCs w:val="20"/>
        </w:rPr>
      </w:pPr>
      <w:r w:rsidRPr="00296603">
        <w:rPr>
          <w:rFonts w:ascii="Times New Roman" w:hAnsi="Times New Roman" w:cs="Times New Roman"/>
          <w:b/>
          <w:sz w:val="20"/>
          <w:szCs w:val="20"/>
        </w:rPr>
        <w:t>6. References</w:t>
      </w:r>
    </w:p>
    <w:p w14:paraId="3B1F8995" w14:textId="77777777" w:rsidR="000B44E1" w:rsidRPr="00296603" w:rsidRDefault="000B44E1" w:rsidP="000B44E1">
      <w:pPr>
        <w:spacing w:after="160" w:line="360" w:lineRule="auto"/>
        <w:rPr>
          <w:rFonts w:ascii="Times New Roman" w:hAnsi="Times New Roman" w:cs="Times New Roman"/>
          <w:sz w:val="20"/>
          <w:szCs w:val="20"/>
        </w:rPr>
      </w:pPr>
      <w:r w:rsidRPr="00296603">
        <w:rPr>
          <w:rFonts w:ascii="Times New Roman" w:hAnsi="Times New Roman" w:cs="Times New Roman"/>
          <w:sz w:val="20"/>
          <w:szCs w:val="20"/>
        </w:rPr>
        <w:t xml:space="preserve">[1] </w:t>
      </w:r>
      <w:proofErr w:type="spellStart"/>
      <w:r w:rsidRPr="00296603">
        <w:rPr>
          <w:rFonts w:ascii="Times New Roman" w:hAnsi="Times New Roman" w:cs="Times New Roman"/>
          <w:sz w:val="20"/>
          <w:szCs w:val="20"/>
        </w:rPr>
        <w:t>Sakzabre</w:t>
      </w:r>
      <w:proofErr w:type="spellEnd"/>
      <w:r w:rsidRPr="00296603">
        <w:rPr>
          <w:rFonts w:ascii="Times New Roman" w:hAnsi="Times New Roman" w:cs="Times New Roman"/>
          <w:sz w:val="20"/>
          <w:szCs w:val="20"/>
        </w:rPr>
        <w:t xml:space="preserve">, D., Asiamah, E. A., </w:t>
      </w:r>
      <w:proofErr w:type="spellStart"/>
      <w:r w:rsidRPr="00296603">
        <w:rPr>
          <w:rFonts w:ascii="Times New Roman" w:hAnsi="Times New Roman" w:cs="Times New Roman"/>
          <w:sz w:val="20"/>
          <w:szCs w:val="20"/>
        </w:rPr>
        <w:t>Akorsu</w:t>
      </w:r>
      <w:proofErr w:type="spellEnd"/>
      <w:r w:rsidRPr="00296603">
        <w:rPr>
          <w:rFonts w:ascii="Times New Roman" w:hAnsi="Times New Roman" w:cs="Times New Roman"/>
          <w:sz w:val="20"/>
          <w:szCs w:val="20"/>
        </w:rPr>
        <w:t xml:space="preserve">, E. E., </w:t>
      </w:r>
      <w:proofErr w:type="spellStart"/>
      <w:r w:rsidRPr="00296603">
        <w:rPr>
          <w:rFonts w:ascii="Times New Roman" w:hAnsi="Times New Roman" w:cs="Times New Roman"/>
          <w:sz w:val="20"/>
          <w:szCs w:val="20"/>
        </w:rPr>
        <w:t>Abaka-Yawson</w:t>
      </w:r>
      <w:proofErr w:type="spellEnd"/>
      <w:r w:rsidRPr="00296603">
        <w:rPr>
          <w:rFonts w:ascii="Times New Roman" w:hAnsi="Times New Roman" w:cs="Times New Roman"/>
          <w:sz w:val="20"/>
          <w:szCs w:val="20"/>
        </w:rPr>
        <w:t xml:space="preserve">, A., Dika, N. D., </w:t>
      </w:r>
      <w:proofErr w:type="spellStart"/>
      <w:r w:rsidRPr="00296603">
        <w:rPr>
          <w:rFonts w:ascii="Times New Roman" w:hAnsi="Times New Roman" w:cs="Times New Roman"/>
          <w:sz w:val="20"/>
          <w:szCs w:val="20"/>
        </w:rPr>
        <w:t>Kwasie</w:t>
      </w:r>
      <w:proofErr w:type="spellEnd"/>
      <w:r w:rsidRPr="00296603">
        <w:rPr>
          <w:rFonts w:ascii="Times New Roman" w:hAnsi="Times New Roman" w:cs="Times New Roman"/>
          <w:sz w:val="20"/>
          <w:szCs w:val="20"/>
        </w:rPr>
        <w:t xml:space="preserve">, D. A., ... &amp; Osei, G. Y. (2020). </w:t>
      </w:r>
      <w:proofErr w:type="spellStart"/>
      <w:r w:rsidRPr="00296603">
        <w:rPr>
          <w:rFonts w:ascii="Times New Roman" w:hAnsi="Times New Roman" w:cs="Times New Roman"/>
          <w:sz w:val="20"/>
          <w:szCs w:val="20"/>
        </w:rPr>
        <w:t>Haematological</w:t>
      </w:r>
      <w:proofErr w:type="spellEnd"/>
      <w:r w:rsidRPr="00296603">
        <w:rPr>
          <w:rFonts w:ascii="Times New Roman" w:hAnsi="Times New Roman" w:cs="Times New Roman"/>
          <w:sz w:val="20"/>
          <w:szCs w:val="20"/>
        </w:rPr>
        <w:t xml:space="preserve"> profile of adults with malaria </w:t>
      </w:r>
      <w:proofErr w:type="spellStart"/>
      <w:r w:rsidRPr="00296603">
        <w:rPr>
          <w:rFonts w:ascii="Times New Roman" w:hAnsi="Times New Roman" w:cs="Times New Roman"/>
          <w:sz w:val="20"/>
          <w:szCs w:val="20"/>
        </w:rPr>
        <w:t>parasitaemia</w:t>
      </w:r>
      <w:proofErr w:type="spellEnd"/>
      <w:r w:rsidRPr="00296603">
        <w:rPr>
          <w:rFonts w:ascii="Times New Roman" w:hAnsi="Times New Roman" w:cs="Times New Roman"/>
          <w:sz w:val="20"/>
          <w:szCs w:val="20"/>
        </w:rPr>
        <w:t xml:space="preserve"> visiting the Volta Regional Hospital, Ghana. </w:t>
      </w:r>
      <w:r w:rsidRPr="00296603">
        <w:rPr>
          <w:rFonts w:ascii="Times New Roman" w:hAnsi="Times New Roman" w:cs="Times New Roman"/>
          <w:i/>
          <w:iCs/>
          <w:sz w:val="20"/>
          <w:szCs w:val="20"/>
        </w:rPr>
        <w:t>Advances in Hematology</w:t>
      </w:r>
      <w:r w:rsidRPr="00296603">
        <w:rPr>
          <w:rFonts w:ascii="Times New Roman" w:hAnsi="Times New Roman" w:cs="Times New Roman"/>
          <w:sz w:val="20"/>
          <w:szCs w:val="20"/>
        </w:rPr>
        <w:t>, </w:t>
      </w:r>
      <w:r w:rsidRPr="00296603">
        <w:rPr>
          <w:rFonts w:ascii="Times New Roman" w:hAnsi="Times New Roman" w:cs="Times New Roman"/>
          <w:i/>
          <w:iCs/>
          <w:sz w:val="20"/>
          <w:szCs w:val="20"/>
        </w:rPr>
        <w:t>2020</w:t>
      </w:r>
      <w:r w:rsidRPr="00296603">
        <w:rPr>
          <w:rFonts w:ascii="Times New Roman" w:hAnsi="Times New Roman" w:cs="Times New Roman"/>
          <w:sz w:val="20"/>
          <w:szCs w:val="20"/>
        </w:rPr>
        <w:t>(1), 9369758. https://doi.org/10.1155/2020/9369758</w:t>
      </w:r>
    </w:p>
    <w:p w14:paraId="43EDEC60" w14:textId="77777777" w:rsidR="000B44E1" w:rsidRPr="00296603" w:rsidRDefault="000B44E1" w:rsidP="000B44E1">
      <w:pPr>
        <w:spacing w:after="160" w:line="360" w:lineRule="auto"/>
        <w:rPr>
          <w:rFonts w:ascii="Times New Roman" w:hAnsi="Times New Roman" w:cs="Times New Roman"/>
          <w:sz w:val="20"/>
          <w:szCs w:val="20"/>
        </w:rPr>
      </w:pPr>
      <w:r w:rsidRPr="00296603">
        <w:rPr>
          <w:rFonts w:ascii="Times New Roman" w:hAnsi="Times New Roman" w:cs="Times New Roman"/>
          <w:sz w:val="20"/>
          <w:szCs w:val="20"/>
        </w:rPr>
        <w:t xml:space="preserve">[2] </w:t>
      </w:r>
      <w:proofErr w:type="spellStart"/>
      <w:r w:rsidRPr="00296603">
        <w:rPr>
          <w:rFonts w:ascii="Times New Roman" w:hAnsi="Times New Roman" w:cs="Times New Roman"/>
          <w:sz w:val="20"/>
          <w:szCs w:val="20"/>
        </w:rPr>
        <w:t>Mutala</w:t>
      </w:r>
      <w:proofErr w:type="spellEnd"/>
      <w:r w:rsidRPr="00296603">
        <w:rPr>
          <w:rFonts w:ascii="Times New Roman" w:hAnsi="Times New Roman" w:cs="Times New Roman"/>
          <w:sz w:val="20"/>
          <w:szCs w:val="20"/>
        </w:rPr>
        <w:t xml:space="preserve">, A. H., Badu, K., Owusu, C., Agordzo, S. K., </w:t>
      </w:r>
      <w:proofErr w:type="spellStart"/>
      <w:r w:rsidRPr="00296603">
        <w:rPr>
          <w:rFonts w:ascii="Times New Roman" w:hAnsi="Times New Roman" w:cs="Times New Roman"/>
          <w:sz w:val="20"/>
          <w:szCs w:val="20"/>
        </w:rPr>
        <w:t>Tweneboah</w:t>
      </w:r>
      <w:proofErr w:type="spellEnd"/>
      <w:r w:rsidRPr="00296603">
        <w:rPr>
          <w:rFonts w:ascii="Times New Roman" w:hAnsi="Times New Roman" w:cs="Times New Roman"/>
          <w:sz w:val="20"/>
          <w:szCs w:val="20"/>
        </w:rPr>
        <w:t xml:space="preserve">, A., Abbas, D. A., &amp; Addo, M. G. (2020). Impact of malaria on </w:t>
      </w:r>
      <w:proofErr w:type="spellStart"/>
      <w:r w:rsidRPr="00296603">
        <w:rPr>
          <w:rFonts w:ascii="Times New Roman" w:hAnsi="Times New Roman" w:cs="Times New Roman"/>
          <w:sz w:val="20"/>
          <w:szCs w:val="20"/>
        </w:rPr>
        <w:t>haematological</w:t>
      </w:r>
      <w:proofErr w:type="spellEnd"/>
      <w:r w:rsidRPr="00296603">
        <w:rPr>
          <w:rFonts w:ascii="Times New Roman" w:hAnsi="Times New Roman" w:cs="Times New Roman"/>
          <w:sz w:val="20"/>
          <w:szCs w:val="20"/>
        </w:rPr>
        <w:t xml:space="preserve"> parameters of urban, peri-urban and rural residents in the Ashanti region of Ghana: a cross-sectional study. </w:t>
      </w:r>
      <w:r w:rsidRPr="00296603">
        <w:rPr>
          <w:rFonts w:ascii="Times New Roman" w:hAnsi="Times New Roman" w:cs="Times New Roman"/>
          <w:i/>
          <w:iCs/>
          <w:sz w:val="20"/>
          <w:szCs w:val="20"/>
        </w:rPr>
        <w:t>AAS Open Research</w:t>
      </w:r>
      <w:r w:rsidRPr="00296603">
        <w:rPr>
          <w:rFonts w:ascii="Times New Roman" w:hAnsi="Times New Roman" w:cs="Times New Roman"/>
          <w:sz w:val="20"/>
          <w:szCs w:val="20"/>
        </w:rPr>
        <w:t>, </w:t>
      </w:r>
      <w:r w:rsidRPr="00296603">
        <w:rPr>
          <w:rFonts w:ascii="Times New Roman" w:hAnsi="Times New Roman" w:cs="Times New Roman"/>
          <w:i/>
          <w:iCs/>
          <w:sz w:val="20"/>
          <w:szCs w:val="20"/>
        </w:rPr>
        <w:t>2</w:t>
      </w:r>
      <w:r w:rsidRPr="00296603">
        <w:rPr>
          <w:rFonts w:ascii="Times New Roman" w:hAnsi="Times New Roman" w:cs="Times New Roman"/>
          <w:sz w:val="20"/>
          <w:szCs w:val="20"/>
        </w:rPr>
        <w:t>, 27. https://doi.org/10.12688/aasopenres.12979.3</w:t>
      </w:r>
    </w:p>
    <w:p w14:paraId="1991F126" w14:textId="77777777" w:rsidR="000B44E1" w:rsidRPr="00296603" w:rsidRDefault="000B44E1" w:rsidP="000B44E1">
      <w:pPr>
        <w:spacing w:after="160" w:line="360" w:lineRule="auto"/>
        <w:rPr>
          <w:rFonts w:ascii="Times New Roman" w:hAnsi="Times New Roman" w:cs="Times New Roman"/>
          <w:sz w:val="20"/>
          <w:szCs w:val="20"/>
        </w:rPr>
      </w:pPr>
      <w:r w:rsidRPr="00296603">
        <w:rPr>
          <w:rFonts w:ascii="Times New Roman" w:hAnsi="Times New Roman" w:cs="Times New Roman"/>
          <w:sz w:val="20"/>
          <w:szCs w:val="20"/>
        </w:rPr>
        <w:t xml:space="preserve">[3] Sylla, K., Tine, R., Sow, D., Lelo, S., Abiola, A., </w:t>
      </w:r>
      <w:proofErr w:type="spellStart"/>
      <w:r w:rsidRPr="00296603">
        <w:rPr>
          <w:rFonts w:ascii="Times New Roman" w:hAnsi="Times New Roman" w:cs="Times New Roman"/>
          <w:sz w:val="20"/>
          <w:szCs w:val="20"/>
        </w:rPr>
        <w:t>NDiaye</w:t>
      </w:r>
      <w:proofErr w:type="spellEnd"/>
      <w:r w:rsidRPr="00296603">
        <w:rPr>
          <w:rFonts w:ascii="Times New Roman" w:hAnsi="Times New Roman" w:cs="Times New Roman"/>
          <w:sz w:val="20"/>
          <w:szCs w:val="20"/>
        </w:rPr>
        <w:t>, J. L</w:t>
      </w:r>
      <w:r w:rsidR="00030827" w:rsidRPr="00296603">
        <w:rPr>
          <w:rFonts w:ascii="Times New Roman" w:hAnsi="Times New Roman" w:cs="Times New Roman"/>
          <w:sz w:val="20"/>
          <w:szCs w:val="20"/>
        </w:rPr>
        <w:t>.,</w:t>
      </w:r>
      <w:r w:rsidRPr="00296603">
        <w:rPr>
          <w:rFonts w:ascii="Times New Roman" w:hAnsi="Times New Roman" w:cs="Times New Roman"/>
          <w:sz w:val="20"/>
          <w:szCs w:val="20"/>
        </w:rPr>
        <w:t xml:space="preserve"> &amp; Faye, B. (2022). Anemia, Thrombocytopenia, and Changes in Biochemical Parameters Occurring in Patients with Uncomplicated Plasmodium falciparum Malaria: Data Analysis from Antimalarial Efficacy‐Randomized Trials in Dakar and </w:t>
      </w:r>
      <w:proofErr w:type="spellStart"/>
      <w:r w:rsidRPr="00296603">
        <w:rPr>
          <w:rFonts w:ascii="Times New Roman" w:hAnsi="Times New Roman" w:cs="Times New Roman"/>
          <w:sz w:val="20"/>
          <w:szCs w:val="20"/>
        </w:rPr>
        <w:t>Kaolack</w:t>
      </w:r>
      <w:proofErr w:type="spellEnd"/>
      <w:r w:rsidRPr="00296603">
        <w:rPr>
          <w:rFonts w:ascii="Times New Roman" w:hAnsi="Times New Roman" w:cs="Times New Roman"/>
          <w:sz w:val="20"/>
          <w:szCs w:val="20"/>
        </w:rPr>
        <w:t xml:space="preserve"> Regions, Senegal. </w:t>
      </w:r>
      <w:r w:rsidRPr="00296603">
        <w:rPr>
          <w:rFonts w:ascii="Times New Roman" w:hAnsi="Times New Roman" w:cs="Times New Roman"/>
          <w:i/>
          <w:iCs/>
          <w:sz w:val="20"/>
          <w:szCs w:val="20"/>
        </w:rPr>
        <w:t>Journal of Parasitology Research</w:t>
      </w:r>
      <w:r w:rsidRPr="00296603">
        <w:rPr>
          <w:rFonts w:ascii="Times New Roman" w:hAnsi="Times New Roman" w:cs="Times New Roman"/>
          <w:sz w:val="20"/>
          <w:szCs w:val="20"/>
        </w:rPr>
        <w:t>, </w:t>
      </w:r>
      <w:r w:rsidRPr="00296603">
        <w:rPr>
          <w:rFonts w:ascii="Times New Roman" w:hAnsi="Times New Roman" w:cs="Times New Roman"/>
          <w:i/>
          <w:iCs/>
          <w:sz w:val="20"/>
          <w:szCs w:val="20"/>
        </w:rPr>
        <w:t>2022</w:t>
      </w:r>
      <w:r w:rsidRPr="00296603">
        <w:rPr>
          <w:rFonts w:ascii="Times New Roman" w:hAnsi="Times New Roman" w:cs="Times New Roman"/>
          <w:sz w:val="20"/>
          <w:szCs w:val="20"/>
        </w:rPr>
        <w:t>(1), 1635791. https://doi.org/10.1155/2022/1635791</w:t>
      </w:r>
    </w:p>
    <w:p w14:paraId="0EDD0338" w14:textId="77777777" w:rsidR="000B44E1" w:rsidRPr="00296603" w:rsidRDefault="000B44E1" w:rsidP="000B44E1">
      <w:pPr>
        <w:spacing w:after="160" w:line="360" w:lineRule="auto"/>
        <w:rPr>
          <w:rFonts w:ascii="Times New Roman" w:hAnsi="Times New Roman" w:cs="Times New Roman"/>
          <w:sz w:val="20"/>
          <w:szCs w:val="20"/>
        </w:rPr>
      </w:pPr>
      <w:r w:rsidRPr="00296603">
        <w:rPr>
          <w:rFonts w:ascii="Times New Roman" w:hAnsi="Times New Roman" w:cs="Times New Roman"/>
          <w:sz w:val="20"/>
          <w:szCs w:val="20"/>
        </w:rPr>
        <w:t xml:space="preserve">[4] Almeida, G. G., Costa, P. A. C., Araujo, M. D. S., Gomes, G. R., Carvalho, A. F., Figueiredo, M. M., ... &amp; </w:t>
      </w:r>
      <w:proofErr w:type="spellStart"/>
      <w:r w:rsidRPr="00296603">
        <w:rPr>
          <w:rFonts w:ascii="Times New Roman" w:hAnsi="Times New Roman" w:cs="Times New Roman"/>
          <w:sz w:val="20"/>
          <w:szCs w:val="20"/>
        </w:rPr>
        <w:t>Gazzinelli</w:t>
      </w:r>
      <w:proofErr w:type="spellEnd"/>
      <w:r w:rsidRPr="00296603">
        <w:rPr>
          <w:rFonts w:ascii="Times New Roman" w:hAnsi="Times New Roman" w:cs="Times New Roman"/>
          <w:sz w:val="20"/>
          <w:szCs w:val="20"/>
        </w:rPr>
        <w:t xml:space="preserve">, R. T. (2021). Asymptomatic Plasmodium vivax malaria in the Brazilian Amazon: submicroscopic </w:t>
      </w:r>
      <w:proofErr w:type="spellStart"/>
      <w:r w:rsidRPr="00296603">
        <w:rPr>
          <w:rFonts w:ascii="Times New Roman" w:hAnsi="Times New Roman" w:cs="Times New Roman"/>
          <w:sz w:val="20"/>
          <w:szCs w:val="20"/>
        </w:rPr>
        <w:t>parasitemic</w:t>
      </w:r>
      <w:proofErr w:type="spellEnd"/>
      <w:r w:rsidRPr="00296603">
        <w:rPr>
          <w:rFonts w:ascii="Times New Roman" w:hAnsi="Times New Roman" w:cs="Times New Roman"/>
          <w:sz w:val="20"/>
          <w:szCs w:val="20"/>
        </w:rPr>
        <w:t xml:space="preserve"> blood infects </w:t>
      </w:r>
      <w:proofErr w:type="spellStart"/>
      <w:r w:rsidRPr="00296603">
        <w:rPr>
          <w:rFonts w:ascii="Times New Roman" w:hAnsi="Times New Roman" w:cs="Times New Roman"/>
          <w:sz w:val="20"/>
          <w:szCs w:val="20"/>
        </w:rPr>
        <w:t>Nyssorhynchus</w:t>
      </w:r>
      <w:proofErr w:type="spellEnd"/>
      <w:r w:rsidRPr="00296603">
        <w:rPr>
          <w:rFonts w:ascii="Times New Roman" w:hAnsi="Times New Roman" w:cs="Times New Roman"/>
          <w:sz w:val="20"/>
          <w:szCs w:val="20"/>
        </w:rPr>
        <w:t xml:space="preserve"> </w:t>
      </w:r>
      <w:proofErr w:type="spellStart"/>
      <w:r w:rsidRPr="00296603">
        <w:rPr>
          <w:rFonts w:ascii="Times New Roman" w:hAnsi="Times New Roman" w:cs="Times New Roman"/>
          <w:sz w:val="20"/>
          <w:szCs w:val="20"/>
        </w:rPr>
        <w:t>darlingi</w:t>
      </w:r>
      <w:proofErr w:type="spellEnd"/>
      <w:r w:rsidRPr="00296603">
        <w:rPr>
          <w:rFonts w:ascii="Times New Roman" w:hAnsi="Times New Roman" w:cs="Times New Roman"/>
          <w:sz w:val="20"/>
          <w:szCs w:val="20"/>
        </w:rPr>
        <w:t>. </w:t>
      </w:r>
      <w:proofErr w:type="spellStart"/>
      <w:r w:rsidRPr="00296603">
        <w:rPr>
          <w:rFonts w:ascii="Times New Roman" w:hAnsi="Times New Roman" w:cs="Times New Roman"/>
          <w:i/>
          <w:iCs/>
          <w:sz w:val="20"/>
          <w:szCs w:val="20"/>
        </w:rPr>
        <w:t>PLoS</w:t>
      </w:r>
      <w:proofErr w:type="spellEnd"/>
      <w:r w:rsidRPr="00296603">
        <w:rPr>
          <w:rFonts w:ascii="Times New Roman" w:hAnsi="Times New Roman" w:cs="Times New Roman"/>
          <w:i/>
          <w:iCs/>
          <w:sz w:val="20"/>
          <w:szCs w:val="20"/>
        </w:rPr>
        <w:t xml:space="preserve"> Neglected Tropical Diseases</w:t>
      </w:r>
      <w:r w:rsidRPr="00296603">
        <w:rPr>
          <w:rFonts w:ascii="Times New Roman" w:hAnsi="Times New Roman" w:cs="Times New Roman"/>
          <w:sz w:val="20"/>
          <w:szCs w:val="20"/>
        </w:rPr>
        <w:t>, </w:t>
      </w:r>
      <w:r w:rsidRPr="00296603">
        <w:rPr>
          <w:rFonts w:ascii="Times New Roman" w:hAnsi="Times New Roman" w:cs="Times New Roman"/>
          <w:i/>
          <w:iCs/>
          <w:sz w:val="20"/>
          <w:szCs w:val="20"/>
        </w:rPr>
        <w:t>15</w:t>
      </w:r>
      <w:r w:rsidRPr="00296603">
        <w:rPr>
          <w:rFonts w:ascii="Times New Roman" w:hAnsi="Times New Roman" w:cs="Times New Roman"/>
          <w:sz w:val="20"/>
          <w:szCs w:val="20"/>
        </w:rPr>
        <w:t>(10), e0009077. https://doi.org/10.1371/journal.pntd.0009077</w:t>
      </w:r>
    </w:p>
    <w:p w14:paraId="4FD1289A" w14:textId="77777777" w:rsidR="000B44E1" w:rsidRPr="00296603" w:rsidRDefault="000B44E1" w:rsidP="000B44E1">
      <w:pPr>
        <w:spacing w:after="160" w:line="360" w:lineRule="auto"/>
        <w:rPr>
          <w:rFonts w:ascii="Times New Roman" w:hAnsi="Times New Roman" w:cs="Times New Roman"/>
          <w:sz w:val="20"/>
          <w:szCs w:val="20"/>
        </w:rPr>
      </w:pPr>
      <w:r w:rsidRPr="00296603">
        <w:rPr>
          <w:rFonts w:ascii="Times New Roman" w:hAnsi="Times New Roman" w:cs="Times New Roman"/>
          <w:sz w:val="20"/>
          <w:szCs w:val="20"/>
        </w:rPr>
        <w:t xml:space="preserve">[5] </w:t>
      </w:r>
      <w:proofErr w:type="spellStart"/>
      <w:r w:rsidRPr="00296603">
        <w:rPr>
          <w:rFonts w:ascii="Times New Roman" w:hAnsi="Times New Roman" w:cs="Times New Roman"/>
          <w:sz w:val="20"/>
          <w:szCs w:val="20"/>
        </w:rPr>
        <w:t>Corbacho-Loarte</w:t>
      </w:r>
      <w:proofErr w:type="spellEnd"/>
      <w:r w:rsidRPr="00296603">
        <w:rPr>
          <w:rFonts w:ascii="Times New Roman" w:hAnsi="Times New Roman" w:cs="Times New Roman"/>
          <w:sz w:val="20"/>
          <w:szCs w:val="20"/>
        </w:rPr>
        <w:t xml:space="preserve">, M. D., </w:t>
      </w:r>
      <w:proofErr w:type="spellStart"/>
      <w:r w:rsidRPr="00296603">
        <w:rPr>
          <w:rFonts w:ascii="Times New Roman" w:hAnsi="Times New Roman" w:cs="Times New Roman"/>
          <w:sz w:val="20"/>
          <w:szCs w:val="20"/>
        </w:rPr>
        <w:t>Crespillo-Andújar</w:t>
      </w:r>
      <w:proofErr w:type="spellEnd"/>
      <w:r w:rsidRPr="00296603">
        <w:rPr>
          <w:rFonts w:ascii="Times New Roman" w:hAnsi="Times New Roman" w:cs="Times New Roman"/>
          <w:sz w:val="20"/>
          <w:szCs w:val="20"/>
        </w:rPr>
        <w:t>, C., Chamorro-</w:t>
      </w:r>
      <w:proofErr w:type="spellStart"/>
      <w:r w:rsidRPr="00296603">
        <w:rPr>
          <w:rFonts w:ascii="Times New Roman" w:hAnsi="Times New Roman" w:cs="Times New Roman"/>
          <w:sz w:val="20"/>
          <w:szCs w:val="20"/>
        </w:rPr>
        <w:t>Tojeiro</w:t>
      </w:r>
      <w:proofErr w:type="spellEnd"/>
      <w:r w:rsidRPr="00296603">
        <w:rPr>
          <w:rFonts w:ascii="Times New Roman" w:hAnsi="Times New Roman" w:cs="Times New Roman"/>
          <w:sz w:val="20"/>
          <w:szCs w:val="20"/>
        </w:rPr>
        <w:t>, S., Norman, F., Pérez-Molina, J. A., Martín, O</w:t>
      </w:r>
      <w:r w:rsidR="00030827" w:rsidRPr="00296603">
        <w:rPr>
          <w:rFonts w:ascii="Times New Roman" w:hAnsi="Times New Roman" w:cs="Times New Roman"/>
          <w:sz w:val="20"/>
          <w:szCs w:val="20"/>
        </w:rPr>
        <w:t>.,</w:t>
      </w:r>
      <w:r w:rsidRPr="00296603">
        <w:rPr>
          <w:rFonts w:ascii="Times New Roman" w:hAnsi="Times New Roman" w:cs="Times New Roman"/>
          <w:sz w:val="20"/>
          <w:szCs w:val="20"/>
        </w:rPr>
        <w:t xml:space="preserve"> &amp; Monge-</w:t>
      </w:r>
      <w:proofErr w:type="spellStart"/>
      <w:r w:rsidRPr="00296603">
        <w:rPr>
          <w:rFonts w:ascii="Times New Roman" w:hAnsi="Times New Roman" w:cs="Times New Roman"/>
          <w:sz w:val="20"/>
          <w:szCs w:val="20"/>
        </w:rPr>
        <w:t>Maillo</w:t>
      </w:r>
      <w:proofErr w:type="spellEnd"/>
      <w:r w:rsidRPr="00296603">
        <w:rPr>
          <w:rFonts w:ascii="Times New Roman" w:hAnsi="Times New Roman" w:cs="Times New Roman"/>
          <w:sz w:val="20"/>
          <w:szCs w:val="20"/>
        </w:rPr>
        <w:t>, B. (2022). Screening of imported malaria infection in asymptomatic migrants from Sub-Saharan Africa: A retrospective analysis of a 2010–2019 cohort. </w:t>
      </w:r>
      <w:r w:rsidRPr="00296603">
        <w:rPr>
          <w:rFonts w:ascii="Times New Roman" w:hAnsi="Times New Roman" w:cs="Times New Roman"/>
          <w:i/>
          <w:iCs/>
          <w:sz w:val="20"/>
          <w:szCs w:val="20"/>
        </w:rPr>
        <w:t>Travel Medicine and Infectious Disease</w:t>
      </w:r>
      <w:r w:rsidRPr="00296603">
        <w:rPr>
          <w:rFonts w:ascii="Times New Roman" w:hAnsi="Times New Roman" w:cs="Times New Roman"/>
          <w:sz w:val="20"/>
          <w:szCs w:val="20"/>
        </w:rPr>
        <w:t>, </w:t>
      </w:r>
      <w:r w:rsidRPr="00296603">
        <w:rPr>
          <w:rFonts w:ascii="Times New Roman" w:hAnsi="Times New Roman" w:cs="Times New Roman"/>
          <w:i/>
          <w:iCs/>
          <w:sz w:val="20"/>
          <w:szCs w:val="20"/>
        </w:rPr>
        <w:t>49</w:t>
      </w:r>
      <w:r w:rsidRPr="00296603">
        <w:rPr>
          <w:rFonts w:ascii="Times New Roman" w:hAnsi="Times New Roman" w:cs="Times New Roman"/>
          <w:sz w:val="20"/>
          <w:szCs w:val="20"/>
        </w:rPr>
        <w:t>, 102411. https://doi.org/10.1016/j.tmaid.2022.102411</w:t>
      </w:r>
    </w:p>
    <w:p w14:paraId="260F6AB2" w14:textId="77777777" w:rsidR="000B44E1" w:rsidRPr="00296603" w:rsidRDefault="000B44E1" w:rsidP="000B44E1">
      <w:pPr>
        <w:spacing w:after="160" w:line="360" w:lineRule="auto"/>
        <w:rPr>
          <w:rFonts w:ascii="Times New Roman" w:hAnsi="Times New Roman" w:cs="Times New Roman"/>
          <w:sz w:val="20"/>
          <w:szCs w:val="20"/>
        </w:rPr>
      </w:pPr>
      <w:r w:rsidRPr="00296603">
        <w:rPr>
          <w:rFonts w:ascii="Times New Roman" w:hAnsi="Times New Roman" w:cs="Times New Roman"/>
          <w:sz w:val="20"/>
          <w:szCs w:val="20"/>
        </w:rPr>
        <w:t xml:space="preserve">[6] </w:t>
      </w:r>
      <w:proofErr w:type="spellStart"/>
      <w:r w:rsidRPr="00296603">
        <w:rPr>
          <w:rFonts w:ascii="Times New Roman" w:hAnsi="Times New Roman" w:cs="Times New Roman"/>
          <w:sz w:val="20"/>
          <w:szCs w:val="20"/>
        </w:rPr>
        <w:t>Aninagyei</w:t>
      </w:r>
      <w:proofErr w:type="spellEnd"/>
      <w:r w:rsidRPr="00296603">
        <w:rPr>
          <w:rFonts w:ascii="Times New Roman" w:hAnsi="Times New Roman" w:cs="Times New Roman"/>
          <w:sz w:val="20"/>
          <w:szCs w:val="20"/>
        </w:rPr>
        <w:t xml:space="preserve">, E., Adu, P., Rufai, T., Ampomah, P., Kwakye-Nuako, G., </w:t>
      </w:r>
      <w:proofErr w:type="spellStart"/>
      <w:r w:rsidRPr="00296603">
        <w:rPr>
          <w:rFonts w:ascii="Times New Roman" w:hAnsi="Times New Roman" w:cs="Times New Roman"/>
          <w:sz w:val="20"/>
          <w:szCs w:val="20"/>
        </w:rPr>
        <w:t>Egyir-Yawson</w:t>
      </w:r>
      <w:proofErr w:type="spellEnd"/>
      <w:r w:rsidRPr="00296603">
        <w:rPr>
          <w:rFonts w:ascii="Times New Roman" w:hAnsi="Times New Roman" w:cs="Times New Roman"/>
          <w:sz w:val="20"/>
          <w:szCs w:val="20"/>
        </w:rPr>
        <w:t xml:space="preserve">, A., &amp; Acheampong, D. O. (2021). Effect of asymptomatic Plasmodium falciparum </w:t>
      </w:r>
      <w:proofErr w:type="spellStart"/>
      <w:r w:rsidRPr="00296603">
        <w:rPr>
          <w:rFonts w:ascii="Times New Roman" w:hAnsi="Times New Roman" w:cs="Times New Roman"/>
          <w:sz w:val="20"/>
          <w:szCs w:val="20"/>
        </w:rPr>
        <w:t>parasitaemia</w:t>
      </w:r>
      <w:proofErr w:type="spellEnd"/>
      <w:r w:rsidRPr="00296603">
        <w:rPr>
          <w:rFonts w:ascii="Times New Roman" w:hAnsi="Times New Roman" w:cs="Times New Roman"/>
          <w:sz w:val="20"/>
          <w:szCs w:val="20"/>
        </w:rPr>
        <w:t xml:space="preserve"> on platelets thrombogenicity in blood donors. </w:t>
      </w:r>
      <w:r w:rsidRPr="00296603">
        <w:rPr>
          <w:rFonts w:ascii="Times New Roman" w:hAnsi="Times New Roman" w:cs="Times New Roman"/>
          <w:i/>
          <w:iCs/>
          <w:sz w:val="20"/>
          <w:szCs w:val="20"/>
        </w:rPr>
        <w:t>Indian Journal of Hematology and Blood Transfusion</w:t>
      </w:r>
      <w:r w:rsidRPr="00296603">
        <w:rPr>
          <w:rFonts w:ascii="Times New Roman" w:hAnsi="Times New Roman" w:cs="Times New Roman"/>
          <w:sz w:val="20"/>
          <w:szCs w:val="20"/>
        </w:rPr>
        <w:t>, </w:t>
      </w:r>
      <w:r w:rsidRPr="00296603">
        <w:rPr>
          <w:rFonts w:ascii="Times New Roman" w:hAnsi="Times New Roman" w:cs="Times New Roman"/>
          <w:i/>
          <w:iCs/>
          <w:sz w:val="20"/>
          <w:szCs w:val="20"/>
        </w:rPr>
        <w:t>37</w:t>
      </w:r>
      <w:r w:rsidRPr="00296603">
        <w:rPr>
          <w:rFonts w:ascii="Times New Roman" w:hAnsi="Times New Roman" w:cs="Times New Roman"/>
          <w:sz w:val="20"/>
          <w:szCs w:val="20"/>
        </w:rPr>
        <w:t>(4), 632-639. https://doi.org/10.1007/s12288-020-01390-w</w:t>
      </w:r>
    </w:p>
    <w:p w14:paraId="387D04D5" w14:textId="77777777" w:rsidR="000B44E1" w:rsidRPr="00296603" w:rsidRDefault="000B44E1" w:rsidP="000B44E1">
      <w:pPr>
        <w:spacing w:after="160" w:line="360" w:lineRule="auto"/>
        <w:rPr>
          <w:rFonts w:ascii="Times New Roman" w:hAnsi="Times New Roman" w:cs="Times New Roman"/>
          <w:sz w:val="20"/>
          <w:szCs w:val="20"/>
        </w:rPr>
      </w:pPr>
      <w:r w:rsidRPr="00296603">
        <w:rPr>
          <w:rFonts w:ascii="Times New Roman" w:hAnsi="Times New Roman" w:cs="Times New Roman"/>
          <w:sz w:val="20"/>
          <w:szCs w:val="20"/>
        </w:rPr>
        <w:t xml:space="preserve">[7] Antwi-Baffour, S., Mensah, B. T., Johnson, G., Armah, D. N. O., Ali-Mustapha, S., &amp; Annison, L. (2023). </w:t>
      </w:r>
      <w:proofErr w:type="spellStart"/>
      <w:r w:rsidRPr="00296603">
        <w:rPr>
          <w:rFonts w:ascii="Times New Roman" w:hAnsi="Times New Roman" w:cs="Times New Roman"/>
          <w:sz w:val="20"/>
          <w:szCs w:val="20"/>
        </w:rPr>
        <w:t>Haematological</w:t>
      </w:r>
      <w:proofErr w:type="spellEnd"/>
      <w:r w:rsidRPr="00296603">
        <w:rPr>
          <w:rFonts w:ascii="Times New Roman" w:hAnsi="Times New Roman" w:cs="Times New Roman"/>
          <w:sz w:val="20"/>
          <w:szCs w:val="20"/>
        </w:rPr>
        <w:t xml:space="preserve"> parameters and their correlation with the degree of malaria </w:t>
      </w:r>
      <w:proofErr w:type="spellStart"/>
      <w:r w:rsidRPr="00296603">
        <w:rPr>
          <w:rFonts w:ascii="Times New Roman" w:hAnsi="Times New Roman" w:cs="Times New Roman"/>
          <w:sz w:val="20"/>
          <w:szCs w:val="20"/>
        </w:rPr>
        <w:t>parasitaemia</w:t>
      </w:r>
      <w:proofErr w:type="spellEnd"/>
      <w:r w:rsidRPr="00296603">
        <w:rPr>
          <w:rFonts w:ascii="Times New Roman" w:hAnsi="Times New Roman" w:cs="Times New Roman"/>
          <w:sz w:val="20"/>
          <w:szCs w:val="20"/>
        </w:rPr>
        <w:t xml:space="preserve"> among outpatients attending a polyclinic. </w:t>
      </w:r>
      <w:r w:rsidRPr="00296603">
        <w:rPr>
          <w:rFonts w:ascii="Times New Roman" w:hAnsi="Times New Roman" w:cs="Times New Roman"/>
          <w:i/>
          <w:iCs/>
          <w:sz w:val="20"/>
          <w:szCs w:val="20"/>
        </w:rPr>
        <w:t>Malaria journal</w:t>
      </w:r>
      <w:r w:rsidRPr="00296603">
        <w:rPr>
          <w:rFonts w:ascii="Times New Roman" w:hAnsi="Times New Roman" w:cs="Times New Roman"/>
          <w:sz w:val="20"/>
          <w:szCs w:val="20"/>
        </w:rPr>
        <w:t>, </w:t>
      </w:r>
      <w:r w:rsidRPr="00296603">
        <w:rPr>
          <w:rFonts w:ascii="Times New Roman" w:hAnsi="Times New Roman" w:cs="Times New Roman"/>
          <w:i/>
          <w:iCs/>
          <w:sz w:val="20"/>
          <w:szCs w:val="20"/>
        </w:rPr>
        <w:t>22</w:t>
      </w:r>
      <w:r w:rsidRPr="00296603">
        <w:rPr>
          <w:rFonts w:ascii="Times New Roman" w:hAnsi="Times New Roman" w:cs="Times New Roman"/>
          <w:sz w:val="20"/>
          <w:szCs w:val="20"/>
        </w:rPr>
        <w:t>(1), 281. https://doi.org/10.1186/s12936-023-04710-3</w:t>
      </w:r>
    </w:p>
    <w:p w14:paraId="2F2F34E0" w14:textId="77777777" w:rsidR="000B44E1" w:rsidRPr="00296603" w:rsidRDefault="000B44E1" w:rsidP="000B44E1">
      <w:pPr>
        <w:spacing w:after="160" w:line="360" w:lineRule="auto"/>
        <w:rPr>
          <w:rFonts w:ascii="Times New Roman" w:hAnsi="Times New Roman" w:cs="Times New Roman"/>
          <w:sz w:val="20"/>
          <w:szCs w:val="20"/>
        </w:rPr>
      </w:pPr>
      <w:r w:rsidRPr="00296603">
        <w:rPr>
          <w:rFonts w:ascii="Times New Roman" w:hAnsi="Times New Roman" w:cs="Times New Roman"/>
          <w:sz w:val="20"/>
          <w:szCs w:val="20"/>
        </w:rPr>
        <w:t xml:space="preserve">[8] Shukla, A., Thakur, S. S., Jaiswal, S. K., Patidar, H., Dubey, K., &amp; Solanki, P. (2023). Parasitic density and its relationship with </w:t>
      </w:r>
      <w:proofErr w:type="spellStart"/>
      <w:r w:rsidRPr="00296603">
        <w:rPr>
          <w:rFonts w:ascii="Times New Roman" w:hAnsi="Times New Roman" w:cs="Times New Roman"/>
          <w:sz w:val="20"/>
          <w:szCs w:val="20"/>
        </w:rPr>
        <w:t>Haematological</w:t>
      </w:r>
      <w:proofErr w:type="spellEnd"/>
      <w:r w:rsidRPr="00296603">
        <w:rPr>
          <w:rFonts w:ascii="Times New Roman" w:hAnsi="Times New Roman" w:cs="Times New Roman"/>
          <w:sz w:val="20"/>
          <w:szCs w:val="20"/>
        </w:rPr>
        <w:t xml:space="preserve"> parameters, Liver function test and kidney function test in Patients of Malaria </w:t>
      </w:r>
      <w:r w:rsidRPr="00296603">
        <w:rPr>
          <w:rFonts w:ascii="Times New Roman" w:hAnsi="Times New Roman" w:cs="Times New Roman"/>
          <w:sz w:val="20"/>
          <w:szCs w:val="20"/>
        </w:rPr>
        <w:lastRenderedPageBreak/>
        <w:t>Falciparum. </w:t>
      </w:r>
      <w:r w:rsidRPr="00296603">
        <w:rPr>
          <w:rFonts w:ascii="Times New Roman" w:hAnsi="Times New Roman" w:cs="Times New Roman"/>
          <w:i/>
          <w:iCs/>
          <w:sz w:val="20"/>
          <w:szCs w:val="20"/>
        </w:rPr>
        <w:t>European Journal of Cardiovascular Medicine</w:t>
      </w:r>
      <w:r w:rsidRPr="00296603">
        <w:rPr>
          <w:rFonts w:ascii="Times New Roman" w:hAnsi="Times New Roman" w:cs="Times New Roman"/>
          <w:sz w:val="20"/>
          <w:szCs w:val="20"/>
        </w:rPr>
        <w:t>, </w:t>
      </w:r>
      <w:r w:rsidRPr="00296603">
        <w:rPr>
          <w:rFonts w:ascii="Times New Roman" w:hAnsi="Times New Roman" w:cs="Times New Roman"/>
          <w:i/>
          <w:iCs/>
          <w:sz w:val="20"/>
          <w:szCs w:val="20"/>
        </w:rPr>
        <w:t>13</w:t>
      </w:r>
      <w:r w:rsidRPr="00296603">
        <w:rPr>
          <w:rFonts w:ascii="Times New Roman" w:hAnsi="Times New Roman" w:cs="Times New Roman"/>
          <w:sz w:val="20"/>
          <w:szCs w:val="20"/>
        </w:rPr>
        <w:t xml:space="preserve">(2). </w:t>
      </w:r>
      <w:hyperlink r:id="rId18" w:tgtFrame="_new" w:history="1">
        <w:r w:rsidRPr="00296603">
          <w:rPr>
            <w:rStyle w:val="Hyperlink"/>
            <w:rFonts w:ascii="Times New Roman" w:hAnsi="Times New Roman" w:cs="Times New Roman"/>
            <w:color w:val="auto"/>
            <w:sz w:val="20"/>
            <w:szCs w:val="20"/>
            <w:u w:val="none"/>
          </w:rPr>
          <w:t>https://www.healthcare-bulletin.co.uk/article/volume-13-issue-2-pages486-490-ra/</w:t>
        </w:r>
      </w:hyperlink>
      <w:r w:rsidRPr="00296603">
        <w:rPr>
          <w:rFonts w:ascii="Times New Roman" w:hAnsi="Times New Roman" w:cs="Times New Roman"/>
          <w:sz w:val="20"/>
          <w:szCs w:val="20"/>
        </w:rPr>
        <w:t xml:space="preserve"> </w:t>
      </w:r>
    </w:p>
    <w:p w14:paraId="410C3284" w14:textId="77777777" w:rsidR="000B44E1" w:rsidRPr="00296603" w:rsidRDefault="000B44E1" w:rsidP="000B44E1">
      <w:pPr>
        <w:spacing w:after="160" w:line="360" w:lineRule="auto"/>
        <w:rPr>
          <w:rFonts w:ascii="Times New Roman" w:hAnsi="Times New Roman" w:cs="Times New Roman"/>
          <w:sz w:val="20"/>
          <w:szCs w:val="20"/>
        </w:rPr>
      </w:pPr>
      <w:r w:rsidRPr="00296603">
        <w:rPr>
          <w:rFonts w:ascii="Times New Roman" w:hAnsi="Times New Roman" w:cs="Times New Roman"/>
          <w:sz w:val="20"/>
          <w:szCs w:val="20"/>
        </w:rPr>
        <w:t xml:space="preserve">[9] </w:t>
      </w:r>
      <w:proofErr w:type="spellStart"/>
      <w:r w:rsidRPr="00296603">
        <w:rPr>
          <w:rFonts w:ascii="Times New Roman" w:hAnsi="Times New Roman" w:cs="Times New Roman"/>
          <w:sz w:val="20"/>
          <w:szCs w:val="20"/>
        </w:rPr>
        <w:t>Ehiem</w:t>
      </w:r>
      <w:proofErr w:type="spellEnd"/>
      <w:r w:rsidRPr="00296603">
        <w:rPr>
          <w:rFonts w:ascii="Times New Roman" w:hAnsi="Times New Roman" w:cs="Times New Roman"/>
          <w:sz w:val="20"/>
          <w:szCs w:val="20"/>
        </w:rPr>
        <w:t xml:space="preserve">, R. C., </w:t>
      </w:r>
      <w:proofErr w:type="spellStart"/>
      <w:r w:rsidRPr="00296603">
        <w:rPr>
          <w:rFonts w:ascii="Times New Roman" w:hAnsi="Times New Roman" w:cs="Times New Roman"/>
          <w:sz w:val="20"/>
          <w:szCs w:val="20"/>
        </w:rPr>
        <w:t>Nanse</w:t>
      </w:r>
      <w:proofErr w:type="spellEnd"/>
      <w:r w:rsidRPr="00296603">
        <w:rPr>
          <w:rFonts w:ascii="Times New Roman" w:hAnsi="Times New Roman" w:cs="Times New Roman"/>
          <w:sz w:val="20"/>
          <w:szCs w:val="20"/>
        </w:rPr>
        <w:t xml:space="preserve">, F. A. K., Adu-Frimpong, M., &amp; Mills-Robertson, F. C. (2021). </w:t>
      </w:r>
      <w:proofErr w:type="spellStart"/>
      <w:r w:rsidRPr="00296603">
        <w:rPr>
          <w:rFonts w:ascii="Times New Roman" w:hAnsi="Times New Roman" w:cs="Times New Roman"/>
          <w:sz w:val="20"/>
          <w:szCs w:val="20"/>
        </w:rPr>
        <w:t>Parasitaemia</w:t>
      </w:r>
      <w:proofErr w:type="spellEnd"/>
      <w:r w:rsidRPr="00296603">
        <w:rPr>
          <w:rFonts w:ascii="Times New Roman" w:hAnsi="Times New Roman" w:cs="Times New Roman"/>
          <w:sz w:val="20"/>
          <w:szCs w:val="20"/>
        </w:rPr>
        <w:t xml:space="preserve"> estimation and prediction of hepatocellular dysfunction among Ghanaian children with acute malaria using </w:t>
      </w:r>
      <w:proofErr w:type="spellStart"/>
      <w:r w:rsidRPr="00296603">
        <w:rPr>
          <w:rFonts w:ascii="Times New Roman" w:hAnsi="Times New Roman" w:cs="Times New Roman"/>
          <w:sz w:val="20"/>
          <w:szCs w:val="20"/>
        </w:rPr>
        <w:t>haemoglobin</w:t>
      </w:r>
      <w:proofErr w:type="spellEnd"/>
      <w:r w:rsidRPr="00296603">
        <w:rPr>
          <w:rFonts w:ascii="Times New Roman" w:hAnsi="Times New Roman" w:cs="Times New Roman"/>
          <w:sz w:val="20"/>
          <w:szCs w:val="20"/>
        </w:rPr>
        <w:t xml:space="preserve"> levels. </w:t>
      </w:r>
      <w:proofErr w:type="spellStart"/>
      <w:r w:rsidRPr="00296603">
        <w:rPr>
          <w:rFonts w:ascii="Times New Roman" w:hAnsi="Times New Roman" w:cs="Times New Roman"/>
          <w:i/>
          <w:iCs/>
          <w:sz w:val="20"/>
          <w:szCs w:val="20"/>
        </w:rPr>
        <w:t>Heliyon</w:t>
      </w:r>
      <w:proofErr w:type="spellEnd"/>
      <w:r w:rsidRPr="00296603">
        <w:rPr>
          <w:rFonts w:ascii="Times New Roman" w:hAnsi="Times New Roman" w:cs="Times New Roman"/>
          <w:sz w:val="20"/>
          <w:szCs w:val="20"/>
        </w:rPr>
        <w:t>, </w:t>
      </w:r>
      <w:r w:rsidRPr="00296603">
        <w:rPr>
          <w:rFonts w:ascii="Times New Roman" w:hAnsi="Times New Roman" w:cs="Times New Roman"/>
          <w:i/>
          <w:iCs/>
          <w:sz w:val="20"/>
          <w:szCs w:val="20"/>
        </w:rPr>
        <w:t>7</w:t>
      </w:r>
      <w:r w:rsidRPr="00296603">
        <w:rPr>
          <w:rFonts w:ascii="Times New Roman" w:hAnsi="Times New Roman" w:cs="Times New Roman"/>
          <w:sz w:val="20"/>
          <w:szCs w:val="20"/>
        </w:rPr>
        <w:t>(7). https://doi.org/10.1016/j.heliyon.2021.e07445</w:t>
      </w:r>
    </w:p>
    <w:p w14:paraId="0BFAD430" w14:textId="77777777" w:rsidR="000B44E1" w:rsidRPr="00296603" w:rsidRDefault="000B44E1" w:rsidP="000B44E1">
      <w:pPr>
        <w:spacing w:after="160" w:line="360" w:lineRule="auto"/>
        <w:rPr>
          <w:rFonts w:ascii="Times New Roman" w:hAnsi="Times New Roman" w:cs="Times New Roman"/>
          <w:sz w:val="20"/>
          <w:szCs w:val="20"/>
        </w:rPr>
      </w:pPr>
      <w:r w:rsidRPr="00296603">
        <w:rPr>
          <w:rFonts w:ascii="Times New Roman" w:hAnsi="Times New Roman" w:cs="Times New Roman"/>
          <w:sz w:val="20"/>
          <w:szCs w:val="20"/>
        </w:rPr>
        <w:t xml:space="preserve">[10] Naser, R. H., </w:t>
      </w:r>
      <w:proofErr w:type="spellStart"/>
      <w:r w:rsidRPr="00296603">
        <w:rPr>
          <w:rFonts w:ascii="Times New Roman" w:hAnsi="Times New Roman" w:cs="Times New Roman"/>
          <w:sz w:val="20"/>
          <w:szCs w:val="20"/>
        </w:rPr>
        <w:t>Rajaii</w:t>
      </w:r>
      <w:proofErr w:type="spellEnd"/>
      <w:r w:rsidRPr="00296603">
        <w:rPr>
          <w:rFonts w:ascii="Times New Roman" w:hAnsi="Times New Roman" w:cs="Times New Roman"/>
          <w:sz w:val="20"/>
          <w:szCs w:val="20"/>
        </w:rPr>
        <w:t xml:space="preserve">, T., </w:t>
      </w:r>
      <w:proofErr w:type="spellStart"/>
      <w:r w:rsidRPr="00296603">
        <w:rPr>
          <w:rFonts w:ascii="Times New Roman" w:hAnsi="Times New Roman" w:cs="Times New Roman"/>
          <w:sz w:val="20"/>
          <w:szCs w:val="20"/>
        </w:rPr>
        <w:t>Farash</w:t>
      </w:r>
      <w:proofErr w:type="spellEnd"/>
      <w:r w:rsidRPr="00296603">
        <w:rPr>
          <w:rFonts w:ascii="Times New Roman" w:hAnsi="Times New Roman" w:cs="Times New Roman"/>
          <w:sz w:val="20"/>
          <w:szCs w:val="20"/>
        </w:rPr>
        <w:t xml:space="preserve">, B. R. H., </w:t>
      </w:r>
      <w:proofErr w:type="spellStart"/>
      <w:r w:rsidRPr="00296603">
        <w:rPr>
          <w:rFonts w:ascii="Times New Roman" w:hAnsi="Times New Roman" w:cs="Times New Roman"/>
          <w:sz w:val="20"/>
          <w:szCs w:val="20"/>
        </w:rPr>
        <w:t>javad</w:t>
      </w:r>
      <w:proofErr w:type="spellEnd"/>
      <w:r w:rsidRPr="00296603">
        <w:rPr>
          <w:rFonts w:ascii="Times New Roman" w:hAnsi="Times New Roman" w:cs="Times New Roman"/>
          <w:sz w:val="20"/>
          <w:szCs w:val="20"/>
        </w:rPr>
        <w:t xml:space="preserve"> </w:t>
      </w:r>
      <w:proofErr w:type="spellStart"/>
      <w:r w:rsidRPr="00296603">
        <w:rPr>
          <w:rFonts w:ascii="Times New Roman" w:hAnsi="Times New Roman" w:cs="Times New Roman"/>
          <w:sz w:val="20"/>
          <w:szCs w:val="20"/>
        </w:rPr>
        <w:t>Seyyedtabaei</w:t>
      </w:r>
      <w:proofErr w:type="spellEnd"/>
      <w:r w:rsidRPr="00296603">
        <w:rPr>
          <w:rFonts w:ascii="Times New Roman" w:hAnsi="Times New Roman" w:cs="Times New Roman"/>
          <w:sz w:val="20"/>
          <w:szCs w:val="20"/>
        </w:rPr>
        <w:t>, S., Hajali, V., Sadabadi, F., &amp; Saburi, E. (2024). Hematological changes due to malaria–An update. </w:t>
      </w:r>
      <w:r w:rsidRPr="00296603">
        <w:rPr>
          <w:rFonts w:ascii="Times New Roman" w:hAnsi="Times New Roman" w:cs="Times New Roman"/>
          <w:i/>
          <w:iCs/>
          <w:sz w:val="20"/>
          <w:szCs w:val="20"/>
        </w:rPr>
        <w:t>Molecular and biochemical parasitology</w:t>
      </w:r>
      <w:r w:rsidRPr="00296603">
        <w:rPr>
          <w:rFonts w:ascii="Times New Roman" w:hAnsi="Times New Roman" w:cs="Times New Roman"/>
          <w:sz w:val="20"/>
          <w:szCs w:val="20"/>
        </w:rPr>
        <w:t>, </w:t>
      </w:r>
      <w:r w:rsidRPr="00296603">
        <w:rPr>
          <w:rFonts w:ascii="Times New Roman" w:hAnsi="Times New Roman" w:cs="Times New Roman"/>
          <w:i/>
          <w:iCs/>
          <w:sz w:val="20"/>
          <w:szCs w:val="20"/>
        </w:rPr>
        <w:t>259</w:t>
      </w:r>
      <w:r w:rsidRPr="00296603">
        <w:rPr>
          <w:rFonts w:ascii="Times New Roman" w:hAnsi="Times New Roman" w:cs="Times New Roman"/>
          <w:sz w:val="20"/>
          <w:szCs w:val="20"/>
        </w:rPr>
        <w:t xml:space="preserve">, 111635. </w:t>
      </w:r>
      <w:hyperlink r:id="rId19" w:history="1">
        <w:r w:rsidRPr="00296603">
          <w:rPr>
            <w:rStyle w:val="Hyperlink"/>
            <w:rFonts w:ascii="Times New Roman" w:hAnsi="Times New Roman" w:cs="Times New Roman"/>
            <w:color w:val="auto"/>
            <w:sz w:val="20"/>
            <w:szCs w:val="20"/>
            <w:u w:val="none"/>
          </w:rPr>
          <w:t>https://doi.org/10.1016/j.molbiopara.2024.111635</w:t>
        </w:r>
      </w:hyperlink>
    </w:p>
    <w:p w14:paraId="30AAEDEF" w14:textId="77777777" w:rsidR="000B44E1" w:rsidRPr="00296603" w:rsidRDefault="000B44E1" w:rsidP="000B44E1">
      <w:pPr>
        <w:spacing w:after="160" w:line="360" w:lineRule="auto"/>
        <w:rPr>
          <w:rFonts w:ascii="Times New Roman" w:hAnsi="Times New Roman" w:cs="Times New Roman"/>
          <w:sz w:val="20"/>
          <w:szCs w:val="20"/>
        </w:rPr>
      </w:pPr>
      <w:r w:rsidRPr="00296603">
        <w:rPr>
          <w:rFonts w:ascii="Times New Roman" w:hAnsi="Times New Roman" w:cs="Times New Roman"/>
          <w:sz w:val="20"/>
          <w:szCs w:val="20"/>
        </w:rPr>
        <w:t>[11] Kaboré, B., Post, A., Berendsen, M. L., Diallo, S., Lompo, P., Derra, K</w:t>
      </w:r>
      <w:r w:rsidR="00030827" w:rsidRPr="00296603">
        <w:rPr>
          <w:rFonts w:ascii="Times New Roman" w:hAnsi="Times New Roman" w:cs="Times New Roman"/>
          <w:sz w:val="20"/>
          <w:szCs w:val="20"/>
        </w:rPr>
        <w:t>.,</w:t>
      </w:r>
      <w:r w:rsidRPr="00296603">
        <w:rPr>
          <w:rFonts w:ascii="Times New Roman" w:hAnsi="Times New Roman" w:cs="Times New Roman"/>
          <w:sz w:val="20"/>
          <w:szCs w:val="20"/>
        </w:rPr>
        <w:t xml:space="preserve"> &amp; van der Ven, A. J. (2020). Red blood cell homeostasis in children and adults with and without asymptomatic malaria infection in Burkina Faso. </w:t>
      </w:r>
      <w:proofErr w:type="spellStart"/>
      <w:r w:rsidRPr="00296603">
        <w:rPr>
          <w:rFonts w:ascii="Times New Roman" w:hAnsi="Times New Roman" w:cs="Times New Roman"/>
          <w:i/>
          <w:iCs/>
          <w:sz w:val="20"/>
          <w:szCs w:val="20"/>
        </w:rPr>
        <w:t>PLoS</w:t>
      </w:r>
      <w:proofErr w:type="spellEnd"/>
      <w:r w:rsidRPr="00296603">
        <w:rPr>
          <w:rFonts w:ascii="Times New Roman" w:hAnsi="Times New Roman" w:cs="Times New Roman"/>
          <w:i/>
          <w:iCs/>
          <w:sz w:val="20"/>
          <w:szCs w:val="20"/>
        </w:rPr>
        <w:t xml:space="preserve"> One</w:t>
      </w:r>
      <w:r w:rsidRPr="00296603">
        <w:rPr>
          <w:rFonts w:ascii="Times New Roman" w:hAnsi="Times New Roman" w:cs="Times New Roman"/>
          <w:sz w:val="20"/>
          <w:szCs w:val="20"/>
        </w:rPr>
        <w:t>, </w:t>
      </w:r>
      <w:r w:rsidRPr="00296603">
        <w:rPr>
          <w:rFonts w:ascii="Times New Roman" w:hAnsi="Times New Roman" w:cs="Times New Roman"/>
          <w:i/>
          <w:iCs/>
          <w:sz w:val="20"/>
          <w:szCs w:val="20"/>
        </w:rPr>
        <w:t>15</w:t>
      </w:r>
      <w:r w:rsidRPr="00296603">
        <w:rPr>
          <w:rFonts w:ascii="Times New Roman" w:hAnsi="Times New Roman" w:cs="Times New Roman"/>
          <w:sz w:val="20"/>
          <w:szCs w:val="20"/>
        </w:rPr>
        <w:t xml:space="preserve">(11), e0242507. </w:t>
      </w:r>
      <w:hyperlink r:id="rId20" w:history="1">
        <w:r w:rsidRPr="00296603">
          <w:rPr>
            <w:rStyle w:val="Hyperlink"/>
            <w:rFonts w:ascii="Times New Roman" w:hAnsi="Times New Roman" w:cs="Times New Roman"/>
            <w:color w:val="auto"/>
            <w:sz w:val="20"/>
            <w:szCs w:val="20"/>
            <w:u w:val="none"/>
          </w:rPr>
          <w:t>https://doi.org/10.1371/journal.pone.0242507</w:t>
        </w:r>
      </w:hyperlink>
    </w:p>
    <w:p w14:paraId="2876C204" w14:textId="77777777" w:rsidR="000B44E1" w:rsidRPr="00296603" w:rsidRDefault="000B44E1" w:rsidP="000B44E1">
      <w:pPr>
        <w:spacing w:after="160" w:line="360" w:lineRule="auto"/>
        <w:rPr>
          <w:rFonts w:ascii="Times New Roman" w:hAnsi="Times New Roman" w:cs="Times New Roman"/>
          <w:sz w:val="20"/>
          <w:szCs w:val="20"/>
        </w:rPr>
      </w:pPr>
      <w:r w:rsidRPr="00296603">
        <w:rPr>
          <w:rFonts w:ascii="Times New Roman" w:hAnsi="Times New Roman" w:cs="Times New Roman"/>
          <w:sz w:val="20"/>
          <w:szCs w:val="20"/>
        </w:rPr>
        <w:t xml:space="preserve">[12] </w:t>
      </w:r>
      <w:proofErr w:type="spellStart"/>
      <w:r w:rsidRPr="00296603">
        <w:rPr>
          <w:rFonts w:ascii="Times New Roman" w:hAnsi="Times New Roman" w:cs="Times New Roman"/>
          <w:sz w:val="20"/>
          <w:szCs w:val="20"/>
        </w:rPr>
        <w:t>Mahittikorn</w:t>
      </w:r>
      <w:proofErr w:type="spellEnd"/>
      <w:r w:rsidRPr="00296603">
        <w:rPr>
          <w:rFonts w:ascii="Times New Roman" w:hAnsi="Times New Roman" w:cs="Times New Roman"/>
          <w:sz w:val="20"/>
          <w:szCs w:val="20"/>
        </w:rPr>
        <w:t xml:space="preserve">, A., Masangkay, F. R., </w:t>
      </w:r>
      <w:proofErr w:type="spellStart"/>
      <w:r w:rsidRPr="00296603">
        <w:rPr>
          <w:rFonts w:ascii="Times New Roman" w:hAnsi="Times New Roman" w:cs="Times New Roman"/>
          <w:sz w:val="20"/>
          <w:szCs w:val="20"/>
        </w:rPr>
        <w:t>Kotepui</w:t>
      </w:r>
      <w:proofErr w:type="spellEnd"/>
      <w:r w:rsidRPr="00296603">
        <w:rPr>
          <w:rFonts w:ascii="Times New Roman" w:hAnsi="Times New Roman" w:cs="Times New Roman"/>
          <w:sz w:val="20"/>
          <w:szCs w:val="20"/>
        </w:rPr>
        <w:t xml:space="preserve">, K. U., Mala, W., Milanez, G. D. J., </w:t>
      </w:r>
      <w:proofErr w:type="spellStart"/>
      <w:r w:rsidRPr="00296603">
        <w:rPr>
          <w:rFonts w:ascii="Times New Roman" w:hAnsi="Times New Roman" w:cs="Times New Roman"/>
          <w:sz w:val="20"/>
          <w:szCs w:val="20"/>
        </w:rPr>
        <w:t>Wilairatana</w:t>
      </w:r>
      <w:proofErr w:type="spellEnd"/>
      <w:r w:rsidRPr="00296603">
        <w:rPr>
          <w:rFonts w:ascii="Times New Roman" w:hAnsi="Times New Roman" w:cs="Times New Roman"/>
          <w:sz w:val="20"/>
          <w:szCs w:val="20"/>
        </w:rPr>
        <w:t xml:space="preserve">, P., &amp; </w:t>
      </w:r>
      <w:proofErr w:type="spellStart"/>
      <w:r w:rsidRPr="00296603">
        <w:rPr>
          <w:rFonts w:ascii="Times New Roman" w:hAnsi="Times New Roman" w:cs="Times New Roman"/>
          <w:sz w:val="20"/>
          <w:szCs w:val="20"/>
        </w:rPr>
        <w:t>Kotepui</w:t>
      </w:r>
      <w:proofErr w:type="spellEnd"/>
      <w:r w:rsidRPr="00296603">
        <w:rPr>
          <w:rFonts w:ascii="Times New Roman" w:hAnsi="Times New Roman" w:cs="Times New Roman"/>
          <w:sz w:val="20"/>
          <w:szCs w:val="20"/>
        </w:rPr>
        <w:t>, M. (2021). Alteration of platelet count in patients with severe non-Plasmodium falciparum malaria: a systematic review and meta-analysis. </w:t>
      </w:r>
      <w:r w:rsidRPr="00296603">
        <w:rPr>
          <w:rFonts w:ascii="Times New Roman" w:hAnsi="Times New Roman" w:cs="Times New Roman"/>
          <w:i/>
          <w:iCs/>
          <w:sz w:val="20"/>
          <w:szCs w:val="20"/>
        </w:rPr>
        <w:t>Biology</w:t>
      </w:r>
      <w:r w:rsidRPr="00296603">
        <w:rPr>
          <w:rFonts w:ascii="Times New Roman" w:hAnsi="Times New Roman" w:cs="Times New Roman"/>
          <w:sz w:val="20"/>
          <w:szCs w:val="20"/>
        </w:rPr>
        <w:t>, </w:t>
      </w:r>
      <w:r w:rsidRPr="00296603">
        <w:rPr>
          <w:rFonts w:ascii="Times New Roman" w:hAnsi="Times New Roman" w:cs="Times New Roman"/>
          <w:i/>
          <w:iCs/>
          <w:sz w:val="20"/>
          <w:szCs w:val="20"/>
        </w:rPr>
        <w:t>10</w:t>
      </w:r>
      <w:r w:rsidRPr="00296603">
        <w:rPr>
          <w:rFonts w:ascii="Times New Roman" w:hAnsi="Times New Roman" w:cs="Times New Roman"/>
          <w:sz w:val="20"/>
          <w:szCs w:val="20"/>
        </w:rPr>
        <w:t xml:space="preserve">(12), 1275. </w:t>
      </w:r>
      <w:hyperlink r:id="rId21" w:history="1">
        <w:r w:rsidRPr="00296603">
          <w:rPr>
            <w:rStyle w:val="Hyperlink"/>
            <w:rFonts w:ascii="Times New Roman" w:hAnsi="Times New Roman" w:cs="Times New Roman"/>
            <w:color w:val="auto"/>
            <w:sz w:val="20"/>
            <w:szCs w:val="20"/>
            <w:u w:val="none"/>
          </w:rPr>
          <w:t>https://doi.org/10.3390/biology10121275</w:t>
        </w:r>
      </w:hyperlink>
    </w:p>
    <w:p w14:paraId="6EFDE546" w14:textId="77777777" w:rsidR="003B08EB" w:rsidRPr="00B607B4" w:rsidRDefault="000B44E1" w:rsidP="003B08EB">
      <w:pPr>
        <w:spacing w:line="360" w:lineRule="auto"/>
        <w:rPr>
          <w:rFonts w:ascii="Times New Roman" w:hAnsi="Times New Roman" w:cs="Times New Roman"/>
          <w:sz w:val="20"/>
          <w:szCs w:val="20"/>
        </w:rPr>
      </w:pPr>
      <w:r w:rsidRPr="00296603">
        <w:rPr>
          <w:rFonts w:ascii="Times New Roman" w:hAnsi="Times New Roman" w:cs="Times New Roman"/>
          <w:sz w:val="20"/>
          <w:szCs w:val="20"/>
        </w:rPr>
        <w:t xml:space="preserve">[13] </w:t>
      </w:r>
      <w:proofErr w:type="spellStart"/>
      <w:r w:rsidRPr="00296603">
        <w:rPr>
          <w:rFonts w:ascii="Times New Roman" w:hAnsi="Times New Roman" w:cs="Times New Roman"/>
          <w:sz w:val="20"/>
          <w:szCs w:val="20"/>
        </w:rPr>
        <w:t>Wilairatana</w:t>
      </w:r>
      <w:proofErr w:type="spellEnd"/>
      <w:r w:rsidRPr="00296603">
        <w:rPr>
          <w:rFonts w:ascii="Times New Roman" w:hAnsi="Times New Roman" w:cs="Times New Roman"/>
          <w:sz w:val="20"/>
          <w:szCs w:val="20"/>
        </w:rPr>
        <w:t xml:space="preserve">, P., Mala, W., Milanez, G. D. J., Masangkay, F. R., </w:t>
      </w:r>
      <w:proofErr w:type="spellStart"/>
      <w:r w:rsidRPr="00296603">
        <w:rPr>
          <w:rFonts w:ascii="Times New Roman" w:hAnsi="Times New Roman" w:cs="Times New Roman"/>
          <w:sz w:val="20"/>
          <w:szCs w:val="20"/>
        </w:rPr>
        <w:t>Kotepui</w:t>
      </w:r>
      <w:proofErr w:type="spellEnd"/>
      <w:r w:rsidRPr="00296603">
        <w:rPr>
          <w:rFonts w:ascii="Times New Roman" w:hAnsi="Times New Roman" w:cs="Times New Roman"/>
          <w:sz w:val="20"/>
          <w:szCs w:val="20"/>
        </w:rPr>
        <w:t xml:space="preserve">, K. U., &amp; </w:t>
      </w:r>
      <w:proofErr w:type="spellStart"/>
      <w:r w:rsidRPr="00296603">
        <w:rPr>
          <w:rFonts w:ascii="Times New Roman" w:hAnsi="Times New Roman" w:cs="Times New Roman"/>
          <w:sz w:val="20"/>
          <w:szCs w:val="20"/>
        </w:rPr>
        <w:t>Kotepui</w:t>
      </w:r>
      <w:proofErr w:type="spellEnd"/>
      <w:r w:rsidRPr="00296603">
        <w:rPr>
          <w:rFonts w:ascii="Times New Roman" w:hAnsi="Times New Roman" w:cs="Times New Roman"/>
          <w:sz w:val="20"/>
          <w:szCs w:val="20"/>
        </w:rPr>
        <w:t>, M. (2022). Increased interleukin-6 levels associated with malaria infection and disease severity: a systematic review and meta-analysis. </w:t>
      </w:r>
      <w:r w:rsidRPr="00296603">
        <w:rPr>
          <w:rFonts w:ascii="Times New Roman" w:hAnsi="Times New Roman" w:cs="Times New Roman"/>
          <w:i/>
          <w:iCs/>
          <w:sz w:val="20"/>
          <w:szCs w:val="20"/>
        </w:rPr>
        <w:t>Scientific reports</w:t>
      </w:r>
      <w:r w:rsidRPr="00296603">
        <w:rPr>
          <w:rFonts w:ascii="Times New Roman" w:hAnsi="Times New Roman" w:cs="Times New Roman"/>
          <w:sz w:val="20"/>
          <w:szCs w:val="20"/>
        </w:rPr>
        <w:t>, </w:t>
      </w:r>
      <w:r w:rsidRPr="00296603">
        <w:rPr>
          <w:rFonts w:ascii="Times New Roman" w:hAnsi="Times New Roman" w:cs="Times New Roman"/>
          <w:i/>
          <w:iCs/>
          <w:sz w:val="20"/>
          <w:szCs w:val="20"/>
        </w:rPr>
        <w:t>12</w:t>
      </w:r>
      <w:r w:rsidRPr="00296603">
        <w:rPr>
          <w:rFonts w:ascii="Times New Roman" w:hAnsi="Times New Roman" w:cs="Times New Roman"/>
          <w:sz w:val="20"/>
          <w:szCs w:val="20"/>
        </w:rPr>
        <w:t>(1), 5982. https://doi.org/10.1038/s41598-022-09848-9</w:t>
      </w:r>
    </w:p>
    <w:sectPr w:rsidR="003B08EB" w:rsidRPr="00B607B4">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64BE58" w14:textId="77777777" w:rsidR="007C13F2" w:rsidRDefault="007C13F2" w:rsidP="00EE57D0">
      <w:pPr>
        <w:spacing w:line="240" w:lineRule="auto"/>
      </w:pPr>
      <w:r>
        <w:separator/>
      </w:r>
    </w:p>
  </w:endnote>
  <w:endnote w:type="continuationSeparator" w:id="0">
    <w:p w14:paraId="610BB8BE" w14:textId="77777777" w:rsidR="007C13F2" w:rsidRDefault="007C13F2" w:rsidP="00EE57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89265" w14:textId="77777777" w:rsidR="006655C7" w:rsidRDefault="006655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3439003"/>
      <w:docPartObj>
        <w:docPartGallery w:val="Page Numbers (Bottom of Page)"/>
        <w:docPartUnique/>
      </w:docPartObj>
    </w:sdtPr>
    <w:sdtEndPr>
      <w:rPr>
        <w:noProof/>
      </w:rPr>
    </w:sdtEndPr>
    <w:sdtContent>
      <w:p w14:paraId="7F035584" w14:textId="77777777" w:rsidR="00FC4AE5" w:rsidRDefault="00FC4AE5">
        <w:pPr>
          <w:pStyle w:val="Footer"/>
          <w:jc w:val="center"/>
        </w:pPr>
        <w:r>
          <w:fldChar w:fldCharType="begin"/>
        </w:r>
        <w:r>
          <w:instrText xml:space="preserve"> PAGE   \* MERGEFORMAT </w:instrText>
        </w:r>
        <w:r>
          <w:fldChar w:fldCharType="separate"/>
        </w:r>
        <w:r w:rsidR="004D45B5">
          <w:rPr>
            <w:noProof/>
          </w:rPr>
          <w:t>17</w:t>
        </w:r>
        <w:r>
          <w:rPr>
            <w:noProof/>
          </w:rPr>
          <w:fldChar w:fldCharType="end"/>
        </w:r>
      </w:p>
    </w:sdtContent>
  </w:sdt>
  <w:p w14:paraId="3DF4B020" w14:textId="77777777" w:rsidR="00FC4AE5" w:rsidRDefault="00FC4A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C2796" w14:textId="77777777" w:rsidR="006655C7" w:rsidRDefault="006655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8B07AE" w14:textId="77777777" w:rsidR="007C13F2" w:rsidRDefault="007C13F2" w:rsidP="00EE57D0">
      <w:pPr>
        <w:spacing w:line="240" w:lineRule="auto"/>
      </w:pPr>
      <w:r>
        <w:separator/>
      </w:r>
    </w:p>
  </w:footnote>
  <w:footnote w:type="continuationSeparator" w:id="0">
    <w:p w14:paraId="49801C31" w14:textId="77777777" w:rsidR="007C13F2" w:rsidRDefault="007C13F2" w:rsidP="00EE57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DE72A" w14:textId="0BC31D27" w:rsidR="006655C7" w:rsidRDefault="006655C7">
    <w:pPr>
      <w:pStyle w:val="Header"/>
    </w:pPr>
    <w:r>
      <w:rPr>
        <w:noProof/>
      </w:rPr>
      <w:pict w14:anchorId="2FAC9B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50AA7" w14:textId="615FD32D" w:rsidR="006655C7" w:rsidRDefault="006655C7">
    <w:pPr>
      <w:pStyle w:val="Header"/>
    </w:pPr>
    <w:r>
      <w:rPr>
        <w:noProof/>
      </w:rPr>
      <w:pict w14:anchorId="277F80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08A77" w14:textId="2A3FEC5F" w:rsidR="006655C7" w:rsidRDefault="006655C7">
    <w:pPr>
      <w:pStyle w:val="Header"/>
    </w:pPr>
    <w:r>
      <w:rPr>
        <w:noProof/>
      </w:rPr>
      <w:pict w14:anchorId="7EFC25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4706E"/>
    <w:multiLevelType w:val="multilevel"/>
    <w:tmpl w:val="F17E2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91755F"/>
    <w:multiLevelType w:val="multilevel"/>
    <w:tmpl w:val="2E8E8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1E1824"/>
    <w:multiLevelType w:val="multilevel"/>
    <w:tmpl w:val="98EAB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A20D81"/>
    <w:multiLevelType w:val="multilevel"/>
    <w:tmpl w:val="846CB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2465235"/>
    <w:multiLevelType w:val="multilevel"/>
    <w:tmpl w:val="F132B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87B6B4F"/>
    <w:multiLevelType w:val="hybridMultilevel"/>
    <w:tmpl w:val="2660A0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6FF"/>
    <w:rsid w:val="00010F9A"/>
    <w:rsid w:val="00030827"/>
    <w:rsid w:val="00060C59"/>
    <w:rsid w:val="00086677"/>
    <w:rsid w:val="00097BCD"/>
    <w:rsid w:val="000A4644"/>
    <w:rsid w:val="000B41CB"/>
    <w:rsid w:val="000B44E1"/>
    <w:rsid w:val="00103CA3"/>
    <w:rsid w:val="001269D6"/>
    <w:rsid w:val="0013160C"/>
    <w:rsid w:val="001364E8"/>
    <w:rsid w:val="00152C77"/>
    <w:rsid w:val="00164E17"/>
    <w:rsid w:val="0017449A"/>
    <w:rsid w:val="001B5D3A"/>
    <w:rsid w:val="001C1C33"/>
    <w:rsid w:val="001C79BA"/>
    <w:rsid w:val="001D4A6D"/>
    <w:rsid w:val="001E136B"/>
    <w:rsid w:val="001F29D5"/>
    <w:rsid w:val="0020049E"/>
    <w:rsid w:val="00205A6D"/>
    <w:rsid w:val="0020689D"/>
    <w:rsid w:val="0021734A"/>
    <w:rsid w:val="00221B95"/>
    <w:rsid w:val="00222506"/>
    <w:rsid w:val="00227EC0"/>
    <w:rsid w:val="002408AF"/>
    <w:rsid w:val="002415D5"/>
    <w:rsid w:val="00277306"/>
    <w:rsid w:val="00296603"/>
    <w:rsid w:val="002E057A"/>
    <w:rsid w:val="00337E4A"/>
    <w:rsid w:val="00360E12"/>
    <w:rsid w:val="00367DD9"/>
    <w:rsid w:val="00376D58"/>
    <w:rsid w:val="00385BFC"/>
    <w:rsid w:val="00396363"/>
    <w:rsid w:val="003B08EB"/>
    <w:rsid w:val="003D0BFC"/>
    <w:rsid w:val="003F41E1"/>
    <w:rsid w:val="003F4B16"/>
    <w:rsid w:val="004A6930"/>
    <w:rsid w:val="004C3CFD"/>
    <w:rsid w:val="004D37DE"/>
    <w:rsid w:val="004D45B5"/>
    <w:rsid w:val="004E7506"/>
    <w:rsid w:val="00501B24"/>
    <w:rsid w:val="00505F47"/>
    <w:rsid w:val="00512085"/>
    <w:rsid w:val="005952CD"/>
    <w:rsid w:val="005A0156"/>
    <w:rsid w:val="005A3FE0"/>
    <w:rsid w:val="005B6893"/>
    <w:rsid w:val="005B6A2B"/>
    <w:rsid w:val="005C33E8"/>
    <w:rsid w:val="005E1F8E"/>
    <w:rsid w:val="005F265E"/>
    <w:rsid w:val="006579EC"/>
    <w:rsid w:val="00662EB2"/>
    <w:rsid w:val="0066413A"/>
    <w:rsid w:val="006655C7"/>
    <w:rsid w:val="006A196F"/>
    <w:rsid w:val="006A3D45"/>
    <w:rsid w:val="006D1A25"/>
    <w:rsid w:val="006D6DE9"/>
    <w:rsid w:val="006D76A5"/>
    <w:rsid w:val="006E0446"/>
    <w:rsid w:val="007369B5"/>
    <w:rsid w:val="007B3737"/>
    <w:rsid w:val="007B7EAF"/>
    <w:rsid w:val="007C13F2"/>
    <w:rsid w:val="007D7206"/>
    <w:rsid w:val="00827551"/>
    <w:rsid w:val="0083268D"/>
    <w:rsid w:val="00854BFF"/>
    <w:rsid w:val="008A3671"/>
    <w:rsid w:val="008C7061"/>
    <w:rsid w:val="008E7CCC"/>
    <w:rsid w:val="008F1666"/>
    <w:rsid w:val="00927B33"/>
    <w:rsid w:val="00960B79"/>
    <w:rsid w:val="00971968"/>
    <w:rsid w:val="00992DD5"/>
    <w:rsid w:val="009B5AE8"/>
    <w:rsid w:val="009C3F17"/>
    <w:rsid w:val="009D68F8"/>
    <w:rsid w:val="009E1245"/>
    <w:rsid w:val="009F5D9C"/>
    <w:rsid w:val="00A01A7E"/>
    <w:rsid w:val="00A10532"/>
    <w:rsid w:val="00A2645A"/>
    <w:rsid w:val="00A32040"/>
    <w:rsid w:val="00A53FA8"/>
    <w:rsid w:val="00A6728E"/>
    <w:rsid w:val="00A977AA"/>
    <w:rsid w:val="00AA4A0F"/>
    <w:rsid w:val="00AA7BA8"/>
    <w:rsid w:val="00AB4502"/>
    <w:rsid w:val="00AC3E81"/>
    <w:rsid w:val="00B3239B"/>
    <w:rsid w:val="00B40008"/>
    <w:rsid w:val="00B465EF"/>
    <w:rsid w:val="00B607B4"/>
    <w:rsid w:val="00B76C16"/>
    <w:rsid w:val="00BE3E9C"/>
    <w:rsid w:val="00C036D6"/>
    <w:rsid w:val="00C056FF"/>
    <w:rsid w:val="00C3499A"/>
    <w:rsid w:val="00C678EA"/>
    <w:rsid w:val="00CA031B"/>
    <w:rsid w:val="00D53453"/>
    <w:rsid w:val="00D6420A"/>
    <w:rsid w:val="00D71DB4"/>
    <w:rsid w:val="00D73969"/>
    <w:rsid w:val="00D74830"/>
    <w:rsid w:val="00D861FD"/>
    <w:rsid w:val="00D957D6"/>
    <w:rsid w:val="00DD41F9"/>
    <w:rsid w:val="00E145A0"/>
    <w:rsid w:val="00E16407"/>
    <w:rsid w:val="00E24288"/>
    <w:rsid w:val="00E60302"/>
    <w:rsid w:val="00E71051"/>
    <w:rsid w:val="00E82BD8"/>
    <w:rsid w:val="00E8675A"/>
    <w:rsid w:val="00E95F62"/>
    <w:rsid w:val="00EA4763"/>
    <w:rsid w:val="00EB4A1E"/>
    <w:rsid w:val="00ED587D"/>
    <w:rsid w:val="00EE57D0"/>
    <w:rsid w:val="00F0190F"/>
    <w:rsid w:val="00F03530"/>
    <w:rsid w:val="00F14A33"/>
    <w:rsid w:val="00F16ADA"/>
    <w:rsid w:val="00F41B0F"/>
    <w:rsid w:val="00F75EB8"/>
    <w:rsid w:val="00F91486"/>
    <w:rsid w:val="00F97257"/>
    <w:rsid w:val="00FC4A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957D6A"/>
  <w15:chartTrackingRefBased/>
  <w15:docId w15:val="{0D6F9B35-1CF2-405C-BC64-68DA9D566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48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36D6"/>
    <w:pPr>
      <w:ind w:left="720"/>
      <w:contextualSpacing/>
    </w:pPr>
  </w:style>
  <w:style w:type="paragraph" w:styleId="Header">
    <w:name w:val="header"/>
    <w:basedOn w:val="Normal"/>
    <w:link w:val="HeaderChar"/>
    <w:uiPriority w:val="99"/>
    <w:unhideWhenUsed/>
    <w:rsid w:val="00EE57D0"/>
    <w:pPr>
      <w:tabs>
        <w:tab w:val="center" w:pos="4680"/>
        <w:tab w:val="right" w:pos="9360"/>
      </w:tabs>
      <w:spacing w:line="240" w:lineRule="auto"/>
    </w:pPr>
  </w:style>
  <w:style w:type="character" w:customStyle="1" w:styleId="HeaderChar">
    <w:name w:val="Header Char"/>
    <w:basedOn w:val="DefaultParagraphFont"/>
    <w:link w:val="Header"/>
    <w:uiPriority w:val="99"/>
    <w:rsid w:val="00EE57D0"/>
  </w:style>
  <w:style w:type="paragraph" w:styleId="Footer">
    <w:name w:val="footer"/>
    <w:basedOn w:val="Normal"/>
    <w:link w:val="FooterChar"/>
    <w:uiPriority w:val="99"/>
    <w:unhideWhenUsed/>
    <w:rsid w:val="00EE57D0"/>
    <w:pPr>
      <w:tabs>
        <w:tab w:val="center" w:pos="4680"/>
        <w:tab w:val="right" w:pos="9360"/>
      </w:tabs>
      <w:spacing w:line="240" w:lineRule="auto"/>
    </w:pPr>
  </w:style>
  <w:style w:type="character" w:customStyle="1" w:styleId="FooterChar">
    <w:name w:val="Footer Char"/>
    <w:basedOn w:val="DefaultParagraphFont"/>
    <w:link w:val="Footer"/>
    <w:uiPriority w:val="99"/>
    <w:rsid w:val="00EE57D0"/>
  </w:style>
  <w:style w:type="character" w:styleId="Hyperlink">
    <w:name w:val="Hyperlink"/>
    <w:basedOn w:val="DefaultParagraphFont"/>
    <w:uiPriority w:val="99"/>
    <w:unhideWhenUsed/>
    <w:rsid w:val="00376D58"/>
    <w:rPr>
      <w:color w:val="0563C1" w:themeColor="hyperlink"/>
      <w:u w:val="single"/>
    </w:rPr>
  </w:style>
  <w:style w:type="character" w:styleId="UnresolvedMention">
    <w:name w:val="Unresolved Mention"/>
    <w:basedOn w:val="DefaultParagraphFont"/>
    <w:uiPriority w:val="99"/>
    <w:semiHidden/>
    <w:unhideWhenUsed/>
    <w:rsid w:val="002E05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37171">
      <w:bodyDiv w:val="1"/>
      <w:marLeft w:val="0"/>
      <w:marRight w:val="0"/>
      <w:marTop w:val="0"/>
      <w:marBottom w:val="0"/>
      <w:divBdr>
        <w:top w:val="none" w:sz="0" w:space="0" w:color="auto"/>
        <w:left w:val="none" w:sz="0" w:space="0" w:color="auto"/>
        <w:bottom w:val="none" w:sz="0" w:space="0" w:color="auto"/>
        <w:right w:val="none" w:sz="0" w:space="0" w:color="auto"/>
      </w:divBdr>
    </w:div>
    <w:div w:id="113600873">
      <w:bodyDiv w:val="1"/>
      <w:marLeft w:val="0"/>
      <w:marRight w:val="0"/>
      <w:marTop w:val="0"/>
      <w:marBottom w:val="0"/>
      <w:divBdr>
        <w:top w:val="none" w:sz="0" w:space="0" w:color="auto"/>
        <w:left w:val="none" w:sz="0" w:space="0" w:color="auto"/>
        <w:bottom w:val="none" w:sz="0" w:space="0" w:color="auto"/>
        <w:right w:val="none" w:sz="0" w:space="0" w:color="auto"/>
      </w:divBdr>
    </w:div>
    <w:div w:id="148206093">
      <w:bodyDiv w:val="1"/>
      <w:marLeft w:val="0"/>
      <w:marRight w:val="0"/>
      <w:marTop w:val="0"/>
      <w:marBottom w:val="0"/>
      <w:divBdr>
        <w:top w:val="none" w:sz="0" w:space="0" w:color="auto"/>
        <w:left w:val="none" w:sz="0" w:space="0" w:color="auto"/>
        <w:bottom w:val="none" w:sz="0" w:space="0" w:color="auto"/>
        <w:right w:val="none" w:sz="0" w:space="0" w:color="auto"/>
      </w:divBdr>
    </w:div>
    <w:div w:id="286589441">
      <w:bodyDiv w:val="1"/>
      <w:marLeft w:val="0"/>
      <w:marRight w:val="0"/>
      <w:marTop w:val="0"/>
      <w:marBottom w:val="0"/>
      <w:divBdr>
        <w:top w:val="none" w:sz="0" w:space="0" w:color="auto"/>
        <w:left w:val="none" w:sz="0" w:space="0" w:color="auto"/>
        <w:bottom w:val="none" w:sz="0" w:space="0" w:color="auto"/>
        <w:right w:val="none" w:sz="0" w:space="0" w:color="auto"/>
      </w:divBdr>
    </w:div>
    <w:div w:id="321157509">
      <w:bodyDiv w:val="1"/>
      <w:marLeft w:val="0"/>
      <w:marRight w:val="0"/>
      <w:marTop w:val="0"/>
      <w:marBottom w:val="0"/>
      <w:divBdr>
        <w:top w:val="none" w:sz="0" w:space="0" w:color="auto"/>
        <w:left w:val="none" w:sz="0" w:space="0" w:color="auto"/>
        <w:bottom w:val="none" w:sz="0" w:space="0" w:color="auto"/>
        <w:right w:val="none" w:sz="0" w:space="0" w:color="auto"/>
      </w:divBdr>
    </w:div>
    <w:div w:id="451823277">
      <w:bodyDiv w:val="1"/>
      <w:marLeft w:val="0"/>
      <w:marRight w:val="0"/>
      <w:marTop w:val="0"/>
      <w:marBottom w:val="0"/>
      <w:divBdr>
        <w:top w:val="none" w:sz="0" w:space="0" w:color="auto"/>
        <w:left w:val="none" w:sz="0" w:space="0" w:color="auto"/>
        <w:bottom w:val="none" w:sz="0" w:space="0" w:color="auto"/>
        <w:right w:val="none" w:sz="0" w:space="0" w:color="auto"/>
      </w:divBdr>
    </w:div>
    <w:div w:id="470099375">
      <w:bodyDiv w:val="1"/>
      <w:marLeft w:val="0"/>
      <w:marRight w:val="0"/>
      <w:marTop w:val="0"/>
      <w:marBottom w:val="0"/>
      <w:divBdr>
        <w:top w:val="none" w:sz="0" w:space="0" w:color="auto"/>
        <w:left w:val="none" w:sz="0" w:space="0" w:color="auto"/>
        <w:bottom w:val="none" w:sz="0" w:space="0" w:color="auto"/>
        <w:right w:val="none" w:sz="0" w:space="0" w:color="auto"/>
      </w:divBdr>
    </w:div>
    <w:div w:id="488442338">
      <w:bodyDiv w:val="1"/>
      <w:marLeft w:val="0"/>
      <w:marRight w:val="0"/>
      <w:marTop w:val="0"/>
      <w:marBottom w:val="0"/>
      <w:divBdr>
        <w:top w:val="none" w:sz="0" w:space="0" w:color="auto"/>
        <w:left w:val="none" w:sz="0" w:space="0" w:color="auto"/>
        <w:bottom w:val="none" w:sz="0" w:space="0" w:color="auto"/>
        <w:right w:val="none" w:sz="0" w:space="0" w:color="auto"/>
      </w:divBdr>
    </w:div>
    <w:div w:id="640353601">
      <w:bodyDiv w:val="1"/>
      <w:marLeft w:val="0"/>
      <w:marRight w:val="0"/>
      <w:marTop w:val="0"/>
      <w:marBottom w:val="0"/>
      <w:divBdr>
        <w:top w:val="none" w:sz="0" w:space="0" w:color="auto"/>
        <w:left w:val="none" w:sz="0" w:space="0" w:color="auto"/>
        <w:bottom w:val="none" w:sz="0" w:space="0" w:color="auto"/>
        <w:right w:val="none" w:sz="0" w:space="0" w:color="auto"/>
      </w:divBdr>
    </w:div>
    <w:div w:id="648292729">
      <w:bodyDiv w:val="1"/>
      <w:marLeft w:val="0"/>
      <w:marRight w:val="0"/>
      <w:marTop w:val="0"/>
      <w:marBottom w:val="0"/>
      <w:divBdr>
        <w:top w:val="none" w:sz="0" w:space="0" w:color="auto"/>
        <w:left w:val="none" w:sz="0" w:space="0" w:color="auto"/>
        <w:bottom w:val="none" w:sz="0" w:space="0" w:color="auto"/>
        <w:right w:val="none" w:sz="0" w:space="0" w:color="auto"/>
      </w:divBdr>
    </w:div>
    <w:div w:id="672338052">
      <w:bodyDiv w:val="1"/>
      <w:marLeft w:val="0"/>
      <w:marRight w:val="0"/>
      <w:marTop w:val="0"/>
      <w:marBottom w:val="0"/>
      <w:divBdr>
        <w:top w:val="none" w:sz="0" w:space="0" w:color="auto"/>
        <w:left w:val="none" w:sz="0" w:space="0" w:color="auto"/>
        <w:bottom w:val="none" w:sz="0" w:space="0" w:color="auto"/>
        <w:right w:val="none" w:sz="0" w:space="0" w:color="auto"/>
      </w:divBdr>
    </w:div>
    <w:div w:id="830826649">
      <w:bodyDiv w:val="1"/>
      <w:marLeft w:val="0"/>
      <w:marRight w:val="0"/>
      <w:marTop w:val="0"/>
      <w:marBottom w:val="0"/>
      <w:divBdr>
        <w:top w:val="none" w:sz="0" w:space="0" w:color="auto"/>
        <w:left w:val="none" w:sz="0" w:space="0" w:color="auto"/>
        <w:bottom w:val="none" w:sz="0" w:space="0" w:color="auto"/>
        <w:right w:val="none" w:sz="0" w:space="0" w:color="auto"/>
      </w:divBdr>
    </w:div>
    <w:div w:id="873541839">
      <w:bodyDiv w:val="1"/>
      <w:marLeft w:val="0"/>
      <w:marRight w:val="0"/>
      <w:marTop w:val="0"/>
      <w:marBottom w:val="0"/>
      <w:divBdr>
        <w:top w:val="none" w:sz="0" w:space="0" w:color="auto"/>
        <w:left w:val="none" w:sz="0" w:space="0" w:color="auto"/>
        <w:bottom w:val="none" w:sz="0" w:space="0" w:color="auto"/>
        <w:right w:val="none" w:sz="0" w:space="0" w:color="auto"/>
      </w:divBdr>
    </w:div>
    <w:div w:id="912161522">
      <w:bodyDiv w:val="1"/>
      <w:marLeft w:val="0"/>
      <w:marRight w:val="0"/>
      <w:marTop w:val="0"/>
      <w:marBottom w:val="0"/>
      <w:divBdr>
        <w:top w:val="none" w:sz="0" w:space="0" w:color="auto"/>
        <w:left w:val="none" w:sz="0" w:space="0" w:color="auto"/>
        <w:bottom w:val="none" w:sz="0" w:space="0" w:color="auto"/>
        <w:right w:val="none" w:sz="0" w:space="0" w:color="auto"/>
      </w:divBdr>
    </w:div>
    <w:div w:id="938413861">
      <w:bodyDiv w:val="1"/>
      <w:marLeft w:val="0"/>
      <w:marRight w:val="0"/>
      <w:marTop w:val="0"/>
      <w:marBottom w:val="0"/>
      <w:divBdr>
        <w:top w:val="none" w:sz="0" w:space="0" w:color="auto"/>
        <w:left w:val="none" w:sz="0" w:space="0" w:color="auto"/>
        <w:bottom w:val="none" w:sz="0" w:space="0" w:color="auto"/>
        <w:right w:val="none" w:sz="0" w:space="0" w:color="auto"/>
      </w:divBdr>
    </w:div>
    <w:div w:id="968894786">
      <w:bodyDiv w:val="1"/>
      <w:marLeft w:val="0"/>
      <w:marRight w:val="0"/>
      <w:marTop w:val="0"/>
      <w:marBottom w:val="0"/>
      <w:divBdr>
        <w:top w:val="none" w:sz="0" w:space="0" w:color="auto"/>
        <w:left w:val="none" w:sz="0" w:space="0" w:color="auto"/>
        <w:bottom w:val="none" w:sz="0" w:space="0" w:color="auto"/>
        <w:right w:val="none" w:sz="0" w:space="0" w:color="auto"/>
      </w:divBdr>
    </w:div>
    <w:div w:id="1100300515">
      <w:bodyDiv w:val="1"/>
      <w:marLeft w:val="0"/>
      <w:marRight w:val="0"/>
      <w:marTop w:val="0"/>
      <w:marBottom w:val="0"/>
      <w:divBdr>
        <w:top w:val="none" w:sz="0" w:space="0" w:color="auto"/>
        <w:left w:val="none" w:sz="0" w:space="0" w:color="auto"/>
        <w:bottom w:val="none" w:sz="0" w:space="0" w:color="auto"/>
        <w:right w:val="none" w:sz="0" w:space="0" w:color="auto"/>
      </w:divBdr>
    </w:div>
    <w:div w:id="1219167854">
      <w:bodyDiv w:val="1"/>
      <w:marLeft w:val="0"/>
      <w:marRight w:val="0"/>
      <w:marTop w:val="0"/>
      <w:marBottom w:val="0"/>
      <w:divBdr>
        <w:top w:val="none" w:sz="0" w:space="0" w:color="auto"/>
        <w:left w:val="none" w:sz="0" w:space="0" w:color="auto"/>
        <w:bottom w:val="none" w:sz="0" w:space="0" w:color="auto"/>
        <w:right w:val="none" w:sz="0" w:space="0" w:color="auto"/>
      </w:divBdr>
    </w:div>
    <w:div w:id="1449857019">
      <w:bodyDiv w:val="1"/>
      <w:marLeft w:val="0"/>
      <w:marRight w:val="0"/>
      <w:marTop w:val="0"/>
      <w:marBottom w:val="0"/>
      <w:divBdr>
        <w:top w:val="none" w:sz="0" w:space="0" w:color="auto"/>
        <w:left w:val="none" w:sz="0" w:space="0" w:color="auto"/>
        <w:bottom w:val="none" w:sz="0" w:space="0" w:color="auto"/>
        <w:right w:val="none" w:sz="0" w:space="0" w:color="auto"/>
      </w:divBdr>
    </w:div>
    <w:div w:id="1512917661">
      <w:bodyDiv w:val="1"/>
      <w:marLeft w:val="0"/>
      <w:marRight w:val="0"/>
      <w:marTop w:val="0"/>
      <w:marBottom w:val="0"/>
      <w:divBdr>
        <w:top w:val="none" w:sz="0" w:space="0" w:color="auto"/>
        <w:left w:val="none" w:sz="0" w:space="0" w:color="auto"/>
        <w:bottom w:val="none" w:sz="0" w:space="0" w:color="auto"/>
        <w:right w:val="none" w:sz="0" w:space="0" w:color="auto"/>
      </w:divBdr>
    </w:div>
    <w:div w:id="1570845143">
      <w:bodyDiv w:val="1"/>
      <w:marLeft w:val="0"/>
      <w:marRight w:val="0"/>
      <w:marTop w:val="0"/>
      <w:marBottom w:val="0"/>
      <w:divBdr>
        <w:top w:val="none" w:sz="0" w:space="0" w:color="auto"/>
        <w:left w:val="none" w:sz="0" w:space="0" w:color="auto"/>
        <w:bottom w:val="none" w:sz="0" w:space="0" w:color="auto"/>
        <w:right w:val="none" w:sz="0" w:space="0" w:color="auto"/>
      </w:divBdr>
    </w:div>
    <w:div w:id="1696727829">
      <w:bodyDiv w:val="1"/>
      <w:marLeft w:val="0"/>
      <w:marRight w:val="0"/>
      <w:marTop w:val="0"/>
      <w:marBottom w:val="0"/>
      <w:divBdr>
        <w:top w:val="none" w:sz="0" w:space="0" w:color="auto"/>
        <w:left w:val="none" w:sz="0" w:space="0" w:color="auto"/>
        <w:bottom w:val="none" w:sz="0" w:space="0" w:color="auto"/>
        <w:right w:val="none" w:sz="0" w:space="0" w:color="auto"/>
      </w:divBdr>
    </w:div>
    <w:div w:id="1850607697">
      <w:bodyDiv w:val="1"/>
      <w:marLeft w:val="0"/>
      <w:marRight w:val="0"/>
      <w:marTop w:val="0"/>
      <w:marBottom w:val="0"/>
      <w:divBdr>
        <w:top w:val="none" w:sz="0" w:space="0" w:color="auto"/>
        <w:left w:val="none" w:sz="0" w:space="0" w:color="auto"/>
        <w:bottom w:val="none" w:sz="0" w:space="0" w:color="auto"/>
        <w:right w:val="none" w:sz="0" w:space="0" w:color="auto"/>
      </w:divBdr>
    </w:div>
    <w:div w:id="2044623721">
      <w:bodyDiv w:val="1"/>
      <w:marLeft w:val="0"/>
      <w:marRight w:val="0"/>
      <w:marTop w:val="0"/>
      <w:marBottom w:val="0"/>
      <w:divBdr>
        <w:top w:val="none" w:sz="0" w:space="0" w:color="auto"/>
        <w:left w:val="none" w:sz="0" w:space="0" w:color="auto"/>
        <w:bottom w:val="none" w:sz="0" w:space="0" w:color="auto"/>
        <w:right w:val="none" w:sz="0" w:space="0" w:color="auto"/>
      </w:divBdr>
    </w:div>
    <w:div w:id="2098363487">
      <w:bodyDiv w:val="1"/>
      <w:marLeft w:val="0"/>
      <w:marRight w:val="0"/>
      <w:marTop w:val="0"/>
      <w:marBottom w:val="0"/>
      <w:divBdr>
        <w:top w:val="none" w:sz="0" w:space="0" w:color="auto"/>
        <w:left w:val="none" w:sz="0" w:space="0" w:color="auto"/>
        <w:bottom w:val="none" w:sz="0" w:space="0" w:color="auto"/>
        <w:right w:val="none" w:sz="0" w:space="0" w:color="auto"/>
      </w:divBdr>
    </w:div>
    <w:div w:id="2137798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hyperlink" Target="https://www.healthcare-bulletin.co.uk/article/volume-13-issue-2-pages486-490-ra/?utm_source=chatgpt.com"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doi.org/10.3390/biology10121275" TargetMode="Externa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oi.org/10.1371/journal.pone.0242507"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hyperlink" Target="https://doi.org/10.1016/j.molbiopara.2024.111635"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16</Pages>
  <Words>5436</Words>
  <Characters>30987</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SDI 1084</cp:lastModifiedBy>
  <cp:revision>25</cp:revision>
  <dcterms:created xsi:type="dcterms:W3CDTF">2026-02-23T19:02:00Z</dcterms:created>
  <dcterms:modified xsi:type="dcterms:W3CDTF">2026-02-24T08:47:00Z</dcterms:modified>
</cp:coreProperties>
</file>