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4D26A" w14:textId="53B3C0ED" w:rsidR="001E5EBF" w:rsidRPr="00CD2290" w:rsidRDefault="001A1694" w:rsidP="00CD2290">
      <w:pPr>
        <w:pStyle w:val="Author"/>
        <w:spacing w:line="240" w:lineRule="auto"/>
        <w:ind w:left="-142" w:right="4"/>
        <w:rPr>
          <w:rFonts w:ascii="Arial" w:hAnsi="Arial" w:cs="Arial"/>
          <w:bCs/>
          <w:iCs/>
          <w:kern w:val="28"/>
          <w:sz w:val="36"/>
        </w:rPr>
      </w:pPr>
      <w:r w:rsidRPr="00CD2290">
        <w:rPr>
          <w:rFonts w:ascii="Arial" w:hAnsi="Arial" w:cs="Arial"/>
          <w:bCs/>
          <w:iCs/>
          <w:kern w:val="28"/>
          <w:sz w:val="36"/>
        </w:rPr>
        <w:t xml:space="preserve">Perceived Roles of Agricultural Extension and Household Maize Availability among </w:t>
      </w:r>
      <w:proofErr w:type="spellStart"/>
      <w:r w:rsidRPr="008358AB">
        <w:rPr>
          <w:rFonts w:ascii="Arial" w:hAnsi="Arial" w:cs="Arial"/>
          <w:bCs/>
          <w:i/>
          <w:kern w:val="28"/>
          <w:sz w:val="36"/>
        </w:rPr>
        <w:t>Atoin</w:t>
      </w:r>
      <w:proofErr w:type="spellEnd"/>
      <w:r w:rsidRPr="008358AB">
        <w:rPr>
          <w:rFonts w:ascii="Arial" w:hAnsi="Arial" w:cs="Arial"/>
          <w:bCs/>
          <w:i/>
          <w:kern w:val="28"/>
          <w:sz w:val="36"/>
        </w:rPr>
        <w:t xml:space="preserve"> </w:t>
      </w:r>
      <w:proofErr w:type="spellStart"/>
      <w:r w:rsidRPr="008358AB">
        <w:rPr>
          <w:rFonts w:ascii="Arial" w:hAnsi="Arial" w:cs="Arial"/>
          <w:bCs/>
          <w:i/>
          <w:kern w:val="28"/>
          <w:sz w:val="36"/>
        </w:rPr>
        <w:t>Meto</w:t>
      </w:r>
      <w:proofErr w:type="spellEnd"/>
      <w:r w:rsidRPr="00CD2290">
        <w:rPr>
          <w:rFonts w:ascii="Arial" w:hAnsi="Arial" w:cs="Arial"/>
          <w:bCs/>
          <w:iCs/>
          <w:kern w:val="28"/>
          <w:sz w:val="36"/>
        </w:rPr>
        <w:t xml:space="preserve"> Farmers Adopting GAP in North Central Timor, Indonesia</w:t>
      </w:r>
    </w:p>
    <w:p w14:paraId="21001CAB" w14:textId="71BB7B48" w:rsidR="00CD2290" w:rsidRDefault="00CD2290" w:rsidP="005C38BE">
      <w:pPr>
        <w:pStyle w:val="AbstHead"/>
        <w:spacing w:after="0"/>
        <w:jc w:val="both"/>
        <w:rPr>
          <w:rFonts w:ascii="Arial" w:hAnsi="Arial" w:cs="Arial"/>
        </w:rPr>
      </w:pPr>
    </w:p>
    <w:p w14:paraId="40757863" w14:textId="77777777" w:rsidR="00AD2DCB" w:rsidRDefault="00AD2DCB" w:rsidP="005C38BE">
      <w:pPr>
        <w:pStyle w:val="AbstHead"/>
        <w:spacing w:after="0"/>
        <w:jc w:val="both"/>
        <w:rPr>
          <w:rFonts w:ascii="Arial" w:hAnsi="Arial" w:cs="Arial"/>
        </w:rPr>
      </w:pPr>
    </w:p>
    <w:p w14:paraId="7A99A53D" w14:textId="183202E0" w:rsidR="005C38BE" w:rsidRPr="001047A2" w:rsidRDefault="005C38BE" w:rsidP="005C38BE">
      <w:pPr>
        <w:pStyle w:val="AbstHead"/>
        <w:spacing w:after="0"/>
        <w:jc w:val="both"/>
        <w:rPr>
          <w:rFonts w:ascii="Arial" w:hAnsi="Arial" w:cs="Arial"/>
        </w:rPr>
      </w:pPr>
      <w:r w:rsidRPr="001047A2">
        <w:rPr>
          <w:rFonts w:ascii="Arial" w:hAnsi="Arial" w:cs="Arial"/>
        </w:rPr>
        <w:t xml:space="preserve">ABSTRACT </w:t>
      </w:r>
    </w:p>
    <w:p w14:paraId="73650D6B" w14:textId="77777777" w:rsidR="005C38BE" w:rsidRPr="001047A2" w:rsidRDefault="005C38BE" w:rsidP="005C38B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5C38BE" w:rsidRPr="001047A2" w14:paraId="2AA5F26C" w14:textId="77777777" w:rsidTr="00332F7F">
        <w:tc>
          <w:tcPr>
            <w:tcW w:w="9576" w:type="dxa"/>
            <w:shd w:val="clear" w:color="auto" w:fill="F2F2F2"/>
          </w:tcPr>
          <w:p w14:paraId="13994299" w14:textId="77777777" w:rsidR="001A1694" w:rsidRPr="000A0D7B" w:rsidRDefault="000B1137" w:rsidP="001A1694">
            <w:pPr>
              <w:pStyle w:val="Body"/>
              <w:spacing w:after="0"/>
              <w:rPr>
                <w:rFonts w:ascii="Arial" w:hAnsi="Arial" w:cs="Arial"/>
                <w:lang w:eastAsia="id-ID"/>
              </w:rPr>
            </w:pPr>
            <w:r w:rsidRPr="00AD6031">
              <w:rPr>
                <w:rFonts w:ascii="Arial" w:hAnsi="Arial" w:cs="Arial"/>
                <w:b/>
                <w:bCs/>
                <w:lang w:eastAsia="id-ID"/>
              </w:rPr>
              <w:t>Objective:</w:t>
            </w:r>
            <w:r w:rsidRPr="000B1137">
              <w:rPr>
                <w:rFonts w:ascii="Arial" w:hAnsi="Arial" w:cs="Arial"/>
                <w:lang w:eastAsia="id-ID"/>
              </w:rPr>
              <w:t xml:space="preserve"> </w:t>
            </w:r>
            <w:r w:rsidR="001A1694" w:rsidRPr="000A0D7B">
              <w:rPr>
                <w:rFonts w:ascii="Arial" w:hAnsi="Arial" w:cs="Arial"/>
                <w:lang w:eastAsia="id-ID"/>
              </w:rPr>
              <w:t xml:space="preserve">To evaluate the correlation between perceived agricultural extension roles—categorized as (X1) facilitator/educator, (X2) technical farming motivator, and (X3) organizer/linkage—and household maize food availability among </w:t>
            </w:r>
            <w:proofErr w:type="spellStart"/>
            <w:r w:rsidR="001A1694" w:rsidRPr="000A0D7B">
              <w:rPr>
                <w:rFonts w:ascii="Arial" w:hAnsi="Arial" w:cs="Arial"/>
                <w:lang w:eastAsia="id-ID"/>
              </w:rPr>
              <w:t>Atoin</w:t>
            </w:r>
            <w:proofErr w:type="spellEnd"/>
            <w:r w:rsidR="001A1694" w:rsidRPr="000A0D7B">
              <w:rPr>
                <w:rFonts w:ascii="Arial" w:hAnsi="Arial" w:cs="Arial"/>
                <w:lang w:eastAsia="id-ID"/>
              </w:rPr>
              <w:t xml:space="preserve"> </w:t>
            </w:r>
            <w:proofErr w:type="spellStart"/>
            <w:r w:rsidR="001A1694" w:rsidRPr="000A0D7B">
              <w:rPr>
                <w:rFonts w:ascii="Arial" w:hAnsi="Arial" w:cs="Arial"/>
                <w:lang w:eastAsia="id-ID"/>
              </w:rPr>
              <w:t>Meto</w:t>
            </w:r>
            <w:proofErr w:type="spellEnd"/>
            <w:r w:rsidR="001A1694" w:rsidRPr="000A0D7B">
              <w:rPr>
                <w:rFonts w:ascii="Arial" w:hAnsi="Arial" w:cs="Arial"/>
                <w:lang w:eastAsia="id-ID"/>
              </w:rPr>
              <w:t xml:space="preserve"> (</w:t>
            </w:r>
            <w:proofErr w:type="spellStart"/>
            <w:r w:rsidR="001A1694" w:rsidRPr="000A0D7B">
              <w:rPr>
                <w:rFonts w:ascii="Arial" w:hAnsi="Arial" w:cs="Arial"/>
                <w:lang w:eastAsia="id-ID"/>
              </w:rPr>
              <w:t>Dawan</w:t>
            </w:r>
            <w:proofErr w:type="spellEnd"/>
            <w:r w:rsidR="001A1694" w:rsidRPr="000A0D7B">
              <w:rPr>
                <w:rFonts w:ascii="Arial" w:hAnsi="Arial" w:cs="Arial"/>
                <w:lang w:eastAsia="id-ID"/>
              </w:rPr>
              <w:t>) farmers practicing Good Agricultural Practices (GAP) in North Central Timor (TTU) District. Additionally, this study aims to determine the most significant role dimension using multivariable analysis.</w:t>
            </w:r>
          </w:p>
          <w:p w14:paraId="799CA4B8" w14:textId="77777777" w:rsidR="001A1694" w:rsidRPr="000A0D7B" w:rsidRDefault="001A1694" w:rsidP="001A1694">
            <w:pPr>
              <w:pStyle w:val="Body"/>
              <w:spacing w:after="0"/>
              <w:rPr>
                <w:rFonts w:ascii="Arial" w:hAnsi="Arial" w:cs="Arial"/>
                <w:lang w:eastAsia="id-ID"/>
              </w:rPr>
            </w:pPr>
            <w:r w:rsidRPr="00AD6031">
              <w:rPr>
                <w:rFonts w:ascii="Arial" w:hAnsi="Arial" w:cs="Arial"/>
                <w:b/>
                <w:bCs/>
                <w:lang w:eastAsia="id-ID"/>
              </w:rPr>
              <w:t>Study Design:</w:t>
            </w:r>
            <w:r w:rsidRPr="000A0D7B">
              <w:rPr>
                <w:rFonts w:ascii="Arial" w:hAnsi="Arial" w:cs="Arial"/>
                <w:lang w:eastAsia="id-ID"/>
              </w:rPr>
              <w:t xml:space="preserve"> A quantitative analytical cross-sectional survey with an explanatory design, reported in accordance with the STROBE guidelines.</w:t>
            </w:r>
          </w:p>
          <w:p w14:paraId="4EF2635C" w14:textId="77777777" w:rsidR="00183B01" w:rsidRPr="00183B01" w:rsidRDefault="00183B01" w:rsidP="00183B01">
            <w:pPr>
              <w:pStyle w:val="Body"/>
              <w:spacing w:after="0"/>
              <w:rPr>
                <w:rFonts w:ascii="Arial" w:hAnsi="Arial" w:cs="Arial"/>
                <w:lang w:eastAsia="id-ID"/>
              </w:rPr>
            </w:pPr>
            <w:r w:rsidRPr="00183B01">
              <w:rPr>
                <w:rFonts w:ascii="Arial" w:hAnsi="Arial" w:cs="Arial"/>
                <w:b/>
                <w:bCs/>
                <w:lang w:eastAsia="id-ID"/>
              </w:rPr>
              <w:t>Location and Duration:</w:t>
            </w:r>
            <w:r w:rsidRPr="00183B01">
              <w:rPr>
                <w:rFonts w:ascii="Arial" w:hAnsi="Arial" w:cs="Arial"/>
                <w:lang w:eastAsia="id-ID"/>
              </w:rPr>
              <w:t xml:space="preserve"> North Central Timor (TTU), East Nusa Tenggara (NTT), Indonesia; conducted from 31 January 2025 to 31 December 2025.</w:t>
            </w:r>
          </w:p>
          <w:p w14:paraId="3F1D9D76" w14:textId="6180782B" w:rsidR="000B1137" w:rsidRPr="000B1137" w:rsidRDefault="000B1137" w:rsidP="00332F7F">
            <w:pPr>
              <w:pStyle w:val="Body"/>
              <w:spacing w:after="0"/>
              <w:rPr>
                <w:rFonts w:ascii="Arial" w:hAnsi="Arial" w:cs="Arial"/>
                <w:lang w:eastAsia="id-ID"/>
              </w:rPr>
            </w:pPr>
            <w:r w:rsidRPr="00AD6031">
              <w:rPr>
                <w:rFonts w:ascii="Arial" w:hAnsi="Arial" w:cs="Arial"/>
                <w:b/>
                <w:bCs/>
                <w:lang w:eastAsia="id-ID"/>
              </w:rPr>
              <w:t>Methodology:</w:t>
            </w:r>
            <w:r w:rsidRPr="000B1137">
              <w:rPr>
                <w:rFonts w:ascii="Arial" w:hAnsi="Arial" w:cs="Arial"/>
                <w:lang w:eastAsia="id-ID"/>
              </w:rPr>
              <w:t xml:space="preserve"> A three-stage probability technique was employed to systematically choose seven farmer groups, followed by the systematic selection of farmers within those groups, resulting in a final analytic sample of 68 respondents with complete data. Household maize food availability (Y) was assessed using a six-item composite score, with a range of 6 to 30. Extension roles were assessed using 20 items, consolidated into X1 (6 </w:t>
            </w:r>
            <w:r w:rsidR="0044216D">
              <w:rPr>
                <w:rFonts w:ascii="Arial" w:hAnsi="Arial" w:cs="Arial"/>
                <w:lang w:eastAsia="id-ID"/>
              </w:rPr>
              <w:t>items</w:t>
            </w:r>
            <w:r w:rsidRPr="000B1137">
              <w:rPr>
                <w:rFonts w:ascii="Arial" w:hAnsi="Arial" w:cs="Arial"/>
                <w:lang w:eastAsia="id-ID"/>
              </w:rPr>
              <w:t xml:space="preserve">; range 6–30), X2 (7 items; range 7–35), and X3 (7 items; range 7–35). Multiple linear regression (SPSS) was utilized, with diagnostics for residual normality/homoscedasticity, multicollinearity (tolerance/VIF), and autocorrelation (Durbin–Watson). </w:t>
            </w:r>
          </w:p>
          <w:p w14:paraId="13FCA5CB" w14:textId="78E447AA" w:rsidR="000A0D7B" w:rsidRPr="000A0D7B" w:rsidRDefault="000B1137" w:rsidP="000A0D7B">
            <w:pPr>
              <w:pStyle w:val="Body"/>
              <w:spacing w:after="0"/>
              <w:rPr>
                <w:rFonts w:ascii="Arial" w:hAnsi="Arial" w:cs="Arial"/>
                <w:lang w:eastAsia="id-ID"/>
              </w:rPr>
            </w:pPr>
            <w:r w:rsidRPr="00AD6031">
              <w:rPr>
                <w:rFonts w:ascii="Arial" w:hAnsi="Arial" w:cs="Arial"/>
                <w:b/>
                <w:bCs/>
                <w:lang w:eastAsia="id-ID"/>
              </w:rPr>
              <w:t>Results:</w:t>
            </w:r>
            <w:r w:rsidRPr="000B1137">
              <w:rPr>
                <w:rFonts w:ascii="Arial" w:hAnsi="Arial" w:cs="Arial"/>
                <w:lang w:eastAsia="id-ID"/>
              </w:rPr>
              <w:t xml:space="preserve"> </w:t>
            </w:r>
            <w:r w:rsidR="000A0D7B" w:rsidRPr="000A0D7B">
              <w:rPr>
                <w:rFonts w:ascii="Arial" w:hAnsi="Arial" w:cs="Arial"/>
                <w:lang w:eastAsia="id-ID"/>
              </w:rPr>
              <w:t>The average household maize food availability was 26.67 ± 3.01 (scale 6–30). The regression model was significant (R = 0.595; R² = 0.354; adjusted R² = 0.346; p &lt; 0.001; Durbin–Watson = 1.898). All three extension-role dimensions were positive and statistically significant predictors: X1 (B = 0.152; β = 0.310; p = 0.001), X2 (B = 0.160; β = 0.421; p = 0.001), and X3 (B = 0.161; β = 0.437; p = 0.001). Multicollinearity indicated redundancy among predictors (VIF 4.168–10.425).</w:t>
            </w:r>
          </w:p>
          <w:p w14:paraId="45500A3F" w14:textId="7F198399" w:rsidR="005C38BE" w:rsidRPr="000A0D7B" w:rsidRDefault="000B1137" w:rsidP="00332F7F">
            <w:pPr>
              <w:pStyle w:val="Body"/>
              <w:spacing w:after="0"/>
              <w:rPr>
                <w:rFonts w:ascii="Arial" w:hAnsi="Arial" w:cs="Arial"/>
                <w:lang w:eastAsia="id-ID"/>
              </w:rPr>
            </w:pPr>
            <w:r w:rsidRPr="00AD6031">
              <w:rPr>
                <w:rFonts w:ascii="Arial" w:hAnsi="Arial" w:cs="Arial"/>
                <w:b/>
                <w:bCs/>
                <w:lang w:eastAsia="id-ID"/>
              </w:rPr>
              <w:t>Conclusion:</w:t>
            </w:r>
            <w:r w:rsidRPr="000B1137">
              <w:rPr>
                <w:rFonts w:ascii="Arial" w:hAnsi="Arial" w:cs="Arial"/>
                <w:lang w:eastAsia="id-ID"/>
              </w:rPr>
              <w:t xml:space="preserve"> </w:t>
            </w:r>
            <w:r w:rsidR="001A1694" w:rsidRPr="001A1694">
              <w:rPr>
                <w:rFonts w:ascii="Arial" w:hAnsi="Arial" w:cs="Arial"/>
                <w:lang w:eastAsia="id-ID"/>
              </w:rPr>
              <w:t>Extension roles in education, technical support, and linking functions correlate favorably with maize food availability in TTU. Because these roles share significant variance, they should function as a cohesive service unit. Improved coordination across these functions is vital for securing household staples</w:t>
            </w:r>
            <w:r w:rsidRPr="000B1137">
              <w:rPr>
                <w:rFonts w:ascii="Arial" w:hAnsi="Arial" w:cs="Arial"/>
                <w:lang w:eastAsia="id-ID"/>
              </w:rPr>
              <w:t>.</w:t>
            </w:r>
          </w:p>
        </w:tc>
      </w:tr>
    </w:tbl>
    <w:p w14:paraId="3B51E36A" w14:textId="77777777" w:rsidR="005C38BE" w:rsidRPr="001047A2" w:rsidRDefault="005C38BE" w:rsidP="005C38BE">
      <w:pPr>
        <w:pStyle w:val="Body"/>
        <w:spacing w:after="0"/>
        <w:rPr>
          <w:rFonts w:ascii="Arial" w:hAnsi="Arial" w:cs="Arial"/>
          <w:i/>
        </w:rPr>
      </w:pPr>
    </w:p>
    <w:p w14:paraId="4F8E2C9A" w14:textId="77777777" w:rsidR="005C38BE" w:rsidRPr="001047A2" w:rsidRDefault="005C38BE" w:rsidP="00407129">
      <w:pPr>
        <w:pStyle w:val="NormalWeb"/>
        <w:spacing w:before="0" w:beforeAutospacing="0" w:after="0" w:afterAutospacing="0"/>
        <w:ind w:left="992" w:hanging="992"/>
        <w:rPr>
          <w:rFonts w:ascii="Arial" w:hAnsi="Arial" w:cs="Arial"/>
          <w:sz w:val="20"/>
          <w:szCs w:val="20"/>
        </w:rPr>
      </w:pPr>
      <w:r w:rsidRPr="001047A2">
        <w:rPr>
          <w:rFonts w:ascii="Arial" w:hAnsi="Arial" w:cs="Arial"/>
          <w:i/>
          <w:sz w:val="20"/>
          <w:szCs w:val="20"/>
          <w:lang w:val="en-US" w:eastAsia="en-US"/>
        </w:rPr>
        <w:t>Keywords:</w:t>
      </w:r>
      <w:r w:rsidRPr="001047A2">
        <w:rPr>
          <w:rFonts w:ascii="Arial" w:hAnsi="Arial" w:cs="Arial"/>
          <w:i/>
          <w:iCs/>
          <w:sz w:val="20"/>
          <w:szCs w:val="20"/>
          <w:lang w:val="en-US" w:eastAsia="en-US"/>
        </w:rPr>
        <w:t xml:space="preserve"> </w:t>
      </w:r>
      <w:r w:rsidRPr="001047A2">
        <w:rPr>
          <w:rFonts w:ascii="Arial" w:hAnsi="Arial" w:cs="Arial"/>
          <w:i/>
          <w:iCs/>
          <w:sz w:val="20"/>
          <w:szCs w:val="20"/>
        </w:rPr>
        <w:t>Household maize food availability, Agricultural extension roles, Postharvest management, East Nusa Tenggara (NTT)</w:t>
      </w:r>
    </w:p>
    <w:p w14:paraId="147A1887" w14:textId="635CC529" w:rsidR="005C38BE" w:rsidRPr="001047A2" w:rsidRDefault="005C38BE" w:rsidP="00EB6BA0">
      <w:pPr>
        <w:pStyle w:val="AbstHead"/>
        <w:numPr>
          <w:ilvl w:val="0"/>
          <w:numId w:val="6"/>
        </w:numPr>
        <w:spacing w:before="120" w:after="120"/>
        <w:ind w:left="357" w:hanging="357"/>
        <w:jc w:val="both"/>
        <w:rPr>
          <w:rFonts w:ascii="Arial" w:hAnsi="Arial" w:cs="Arial"/>
        </w:rPr>
      </w:pPr>
      <w:r w:rsidRPr="001047A2">
        <w:rPr>
          <w:rFonts w:ascii="Arial" w:hAnsi="Arial" w:cs="Arial"/>
        </w:rPr>
        <w:t>INTRODUCTION</w:t>
      </w:r>
    </w:p>
    <w:p w14:paraId="60250F60" w14:textId="0F8C27C5" w:rsidR="001A1694" w:rsidRDefault="001A1694" w:rsidP="005C38BE">
      <w:pPr>
        <w:pStyle w:val="Body"/>
        <w:spacing w:after="0"/>
        <w:ind w:firstLine="720"/>
        <w:rPr>
          <w:rFonts w:ascii="Arial" w:hAnsi="Arial" w:cs="Arial"/>
        </w:rPr>
      </w:pPr>
      <w:r w:rsidRPr="001A1694">
        <w:rPr>
          <w:rFonts w:ascii="Arial" w:hAnsi="Arial" w:cs="Arial"/>
        </w:rPr>
        <w:t>Food insecurity remains a critical developmental challenge, limiting the capacity of households to maintain food availability, access, and stability—</w:t>
      </w:r>
      <w:r w:rsidRPr="00B1457B">
        <w:rPr>
          <w:rFonts w:ascii="Arial" w:hAnsi="Arial" w:cs="Arial"/>
        </w:rPr>
        <w:t>a condition often worsened by</w:t>
      </w:r>
      <w:r w:rsidRPr="001A1694">
        <w:rPr>
          <w:rFonts w:ascii="Arial" w:hAnsi="Arial" w:cs="Arial"/>
        </w:rPr>
        <w:t xml:space="preserve"> climatic and socioeconomic shocks. Regional vulnerability in Indonesia varies significantly; recent analyses show that food insecurity is concentrated in Eastern Indonesia and marginalized zones. These patterns are linked to structural issues like poverty and low human development, while climate stressors underscore the urgent need to bolster regional food provisioning </w:t>
      </w:r>
      <w:r w:rsidR="00B1457B">
        <w:rPr>
          <w:rFonts w:ascii="Arial" w:hAnsi="Arial" w:cs="Arial"/>
        </w:rPr>
        <w:fldChar w:fldCharType="begin" w:fldLock="1"/>
      </w:r>
      <w:r w:rsidR="00B1457B">
        <w:rPr>
          <w:rFonts w:ascii="Arial" w:hAnsi="Arial" w:cs="Arial"/>
        </w:rPr>
        <w:instrText>ADDIN CSL_CITATION {"citationItems":[{"id":"ITEM-1","itemData":{"DOI":"10.3390/su17114800","ISSN":"2071-1050","abstract":"Regional vulnerability manifests in various ways, one of which is food insecurity. Food insecurity is a global challenge and a key focus of Sustainable Development Goal 2, which aims to achieve zero hunger. This study aims to assess the level of regional vulnerability to food insecurity for 34 provinces in Indonesia. The components of vulnerability are defined by exposure, sensitivity, and adaptive capacity, while the dimensions of food insecurity are assessed through availability and access-utility. This study employed the composite index method to assess regional vulnerability to food insecurity in Indonesia for the year 2021. The analysis involved three calculation steps and utilized a subjective direct technique for indicator weighting. The findings emphasize the significant role of exposure in a region’s susceptibility to food insecurity. Mapping the conditions of exposure, sensitivity, and adaptive capacity indicates that 11.7% of Indonesian provinces are extremely vulnerable, with high exposure and sensitivity, and low adaptive capacity. To address these issues, these provinces should focus on diversifying food sources, improving market access for farmers, investing in essential agricultural infrastructure, and enhancing the agricultural sector through human resource development.","author":[{"dropping-particle":"","family":"Juliannisa","given":"Indri Arrafi","non-dropping-particle":"","parse-names":false,"suffix":""},{"dropping-particle":"","family":"Rahma","given":"Hania","non-dropping-particle":"","parse-names":false,"suffix":""},{"dropping-particle":"","family":"Mulatsih","given":"Sri","non-dropping-particle":"","parse-names":false,"suffix":""},{"dropping-particle":"","family":"Fauzi","given":"Akhmad","non-dropping-particle":"","parse-names":false,"suffix":""}],"container-title":"Sustainability","id":"ITEM-1","issue":"11","issued":{"date-parts":[["2025","5","23"]]},"page":"4800","title":"Regional Vulnerability to Food Insecurity: The Case of Indonesia","type":"article-journal","volume":"17"},"uris":["http://www.mendeley.com/documents/?uuid=74d72757-c7d5-49aa-9c73-39a489182252"]}],"mendeley":{"formattedCitation":"(Juliannisa et al. 2025)","plainTextFormattedCitation":"(Juliannisa et al. 2025)","previouslyFormattedCitation":"(Juliannisa et al. 2025)"},"properties":{"noteIndex":0},"schema":"https://github.com/citation-style-language/schema/raw/master/csl-citation.json"}</w:instrText>
      </w:r>
      <w:r w:rsidR="00B1457B">
        <w:rPr>
          <w:rFonts w:ascii="Arial" w:hAnsi="Arial" w:cs="Arial"/>
        </w:rPr>
        <w:fldChar w:fldCharType="separate"/>
      </w:r>
      <w:r w:rsidR="00B1457B" w:rsidRPr="00B1457B">
        <w:rPr>
          <w:rFonts w:ascii="Arial" w:hAnsi="Arial" w:cs="Arial"/>
          <w:noProof/>
        </w:rPr>
        <w:t>(Juliannisa et al. 2025)</w:t>
      </w:r>
      <w:r w:rsidR="00B1457B">
        <w:rPr>
          <w:rFonts w:ascii="Arial" w:hAnsi="Arial" w:cs="Arial"/>
        </w:rPr>
        <w:fldChar w:fldCharType="end"/>
      </w:r>
      <w:r w:rsidRPr="001A1694">
        <w:rPr>
          <w:rFonts w:ascii="Arial" w:hAnsi="Arial" w:cs="Arial"/>
        </w:rPr>
        <w:t>.</w:t>
      </w:r>
    </w:p>
    <w:p w14:paraId="604A0DAC" w14:textId="595C1206" w:rsidR="005C38BE" w:rsidRPr="001047A2" w:rsidRDefault="001A1694" w:rsidP="005C38BE">
      <w:pPr>
        <w:pStyle w:val="Body"/>
        <w:spacing w:after="0"/>
        <w:ind w:firstLine="720"/>
        <w:rPr>
          <w:rFonts w:ascii="Arial" w:hAnsi="Arial" w:cs="Arial"/>
        </w:rPr>
      </w:pPr>
      <w:r w:rsidRPr="001A1694">
        <w:rPr>
          <w:rFonts w:ascii="Arial" w:hAnsi="Arial" w:cs="Arial"/>
        </w:rPr>
        <w:t xml:space="preserve">These vulnerabilities are especially pronounced in East Nusa Tenggara (NTT), a region characterized by semi-arid conditions and extended dry seasons that hinder crop yields and elevate production and storage risks. Recent data regarding NTT’s agroecological environment underscores prolonged dry intervals and irregular rainfall distribution, which often result in persistent water stress for agricultural systems </w:t>
      </w:r>
      <w:r w:rsidR="00B1457B">
        <w:rPr>
          <w:rFonts w:ascii="Arial" w:hAnsi="Arial" w:cs="Arial"/>
        </w:rPr>
        <w:fldChar w:fldCharType="begin" w:fldLock="1"/>
      </w:r>
      <w:r w:rsidR="00B1457B">
        <w:rPr>
          <w:rFonts w:ascii="Arial" w:hAnsi="Arial" w:cs="Arial"/>
        </w:rPr>
        <w:instrText>ADDIN CSL_CITATION {"citationItems":[{"id":"ITEM-1","itemData":{"DOI":"10.1016/j.ecohyd.2026.100730","ISSN":"16423593","abstract":"Responding to the need for drought-tolerant crops in semiarid regions, this study evaluated 17 local and three improved white maize varieties from East Nusa Tenggara, Indonesia, across optimal (E1), normal (E2), and drought-stressed (E3) environments. A robust selection model incorporating five analytical frameworks, stability analysis, Additive Main Effects and Multiplicative Interaction (AMMI) modelling, tolerance indices, Multi-Trait Genotype-Ideotype Distance Index (MGIDI), and Multi-Trait Stability Index (MTSI), was used to assess yield performance. Results identified five superior genotypes (local: A7, A11, A12; improved: A18, A19) exhibiting significant stability and adaptability. These genotypes consistently yielded above the overall average of 2.57 tons: A7 yielded 2.99 tons, A11 yielded 3.07 tons, A12 yielded 2.86 tons, A18 yielded 3.55 tons, and A19 yielded 2.57 tons. The selected genotypes showed high stability, evidenced by regression coefficients (bi) approximately equal to 1 (≈1) with non-significant deviation, and superior yields (Yi) above the 2.57 tons average. Variability was low, with the Coefficient of Variation (CVi) less than the average of 80.22, and stability index values (YSi) exceeded the 8.3 average, indicating minimal Genotype-Environment interaction. Multiplicative Interaction (AMMI) and Genetics-Genetics Environment (GGE) analyses confirmed low environmental influence on genotypic expression, explaining 84.97% and 91.2% of the total variation, respectively. Based on eleven tolerance indices, five genotypes were classified as drought-tolerant. This research provides a comprehensive framework for identifying promising genotypes for plant breeding and emphasizes incorporating local genetic diversity to enhance maize productivity and food security in climate-variable semiarid systems.","author":[{"dropping-particle":"","family":"Yustiningsih","given":"Maria","non-dropping-particle":"","parse-names":false,"suffix":""},{"dropping-particle":"","family":"Dinarti","given":"Diny","non-dropping-particle":"","parse-names":false,"suffix":""},{"dropping-particle":"","family":"Purwoko","given":"Bambang S.","non-dropping-particle":"","parse-names":false,"suffix":""},{"dropping-particle":"","family":"Suwarno","given":"Wily B.","non-dropping-particle":"","parse-names":false,"suffix":""},{"dropping-particle":"","family":"Dare","given":"Darius","non-dropping-particle":"","parse-names":false,"suffix":""},{"dropping-particle":"","family":"Sutapa","given":"Ignasius D.A.","non-dropping-particle":"","parse-names":false,"suffix":""}],"container-title":"Ecohydrology &amp; Hydrobiology","id":"ITEM-1","issue":"1","issued":{"date-parts":[["2026","1"]]},"page":"100730","title":"Drought-Tolerant selection model to identify prospective maize genotypes and support sustainable agroecological practices in the semiarid regions of East Nusa Tenggara, Indonesia","type":"article-journal","volume":"26"},"uris":["http://www.mendeley.com/documents/?uuid=ecf1d24b-fe14-42fd-95f5-418faac55908"]}],"mendeley":{"formattedCitation":"(Yustiningsih et al. 2026)","plainTextFormattedCitation":"(Yustiningsih et al. 2026)","previouslyFormattedCitation":"(Yustiningsih et al. 2026)"},"properties":{"noteIndex":0},"schema":"https://github.com/citation-style-language/schema/raw/master/csl-citation.json"}</w:instrText>
      </w:r>
      <w:r w:rsidR="00B1457B">
        <w:rPr>
          <w:rFonts w:ascii="Arial" w:hAnsi="Arial" w:cs="Arial"/>
        </w:rPr>
        <w:fldChar w:fldCharType="separate"/>
      </w:r>
      <w:r w:rsidR="00B1457B" w:rsidRPr="00B1457B">
        <w:rPr>
          <w:rFonts w:ascii="Arial" w:hAnsi="Arial" w:cs="Arial"/>
          <w:noProof/>
        </w:rPr>
        <w:t>(Yustiningsih et al. 2026)</w:t>
      </w:r>
      <w:r w:rsidR="00B1457B">
        <w:rPr>
          <w:rFonts w:ascii="Arial" w:hAnsi="Arial" w:cs="Arial"/>
        </w:rPr>
        <w:fldChar w:fldCharType="end"/>
      </w:r>
      <w:r w:rsidRPr="001A1694">
        <w:rPr>
          <w:rFonts w:ascii="Arial" w:hAnsi="Arial" w:cs="Arial"/>
        </w:rPr>
        <w:t xml:space="preserve">. In this context, local white maize serves as both a vital agronomic commodity and a culturally significant food source. It is processed into traditional dishes such as </w:t>
      </w:r>
      <w:proofErr w:type="spellStart"/>
      <w:r w:rsidRPr="001A1694">
        <w:rPr>
          <w:rFonts w:ascii="Arial" w:hAnsi="Arial" w:cs="Arial"/>
          <w:i/>
          <w:iCs/>
        </w:rPr>
        <w:t>jagung</w:t>
      </w:r>
      <w:proofErr w:type="spellEnd"/>
      <w:r w:rsidRPr="001A1694">
        <w:rPr>
          <w:rFonts w:ascii="Arial" w:hAnsi="Arial" w:cs="Arial"/>
          <w:i/>
          <w:iCs/>
        </w:rPr>
        <w:t xml:space="preserve"> </w:t>
      </w:r>
      <w:proofErr w:type="spellStart"/>
      <w:r w:rsidRPr="001A1694">
        <w:rPr>
          <w:rFonts w:ascii="Arial" w:hAnsi="Arial" w:cs="Arial"/>
          <w:i/>
          <w:iCs/>
        </w:rPr>
        <w:t>katemak</w:t>
      </w:r>
      <w:proofErr w:type="spellEnd"/>
      <w:r w:rsidRPr="001A1694">
        <w:rPr>
          <w:rFonts w:ascii="Arial" w:hAnsi="Arial" w:cs="Arial"/>
        </w:rPr>
        <w:t xml:space="preserve">, </w:t>
      </w:r>
      <w:proofErr w:type="spellStart"/>
      <w:r w:rsidRPr="001A1694">
        <w:rPr>
          <w:rFonts w:ascii="Arial" w:hAnsi="Arial" w:cs="Arial"/>
          <w:i/>
          <w:iCs/>
        </w:rPr>
        <w:t>jagung</w:t>
      </w:r>
      <w:proofErr w:type="spellEnd"/>
      <w:r w:rsidRPr="001A1694">
        <w:rPr>
          <w:rFonts w:ascii="Arial" w:hAnsi="Arial" w:cs="Arial"/>
          <w:i/>
          <w:iCs/>
        </w:rPr>
        <w:t xml:space="preserve"> </w:t>
      </w:r>
      <w:proofErr w:type="spellStart"/>
      <w:r w:rsidRPr="001A1694">
        <w:rPr>
          <w:rFonts w:ascii="Arial" w:hAnsi="Arial" w:cs="Arial"/>
          <w:i/>
          <w:iCs/>
        </w:rPr>
        <w:t>titi</w:t>
      </w:r>
      <w:proofErr w:type="spellEnd"/>
      <w:r w:rsidRPr="001A1694">
        <w:rPr>
          <w:rFonts w:ascii="Arial" w:hAnsi="Arial" w:cs="Arial"/>
        </w:rPr>
        <w:t xml:space="preserve">, and </w:t>
      </w:r>
      <w:proofErr w:type="spellStart"/>
      <w:r w:rsidRPr="001A1694">
        <w:rPr>
          <w:rFonts w:ascii="Arial" w:hAnsi="Arial" w:cs="Arial"/>
          <w:i/>
          <w:iCs/>
        </w:rPr>
        <w:t>jagung</w:t>
      </w:r>
      <w:proofErr w:type="spellEnd"/>
      <w:r w:rsidRPr="001A1694">
        <w:rPr>
          <w:rFonts w:ascii="Arial" w:hAnsi="Arial" w:cs="Arial"/>
          <w:i/>
          <w:iCs/>
        </w:rPr>
        <w:t xml:space="preserve"> </w:t>
      </w:r>
      <w:proofErr w:type="spellStart"/>
      <w:r w:rsidRPr="001A1694">
        <w:rPr>
          <w:rFonts w:ascii="Arial" w:hAnsi="Arial" w:cs="Arial"/>
          <w:i/>
          <w:iCs/>
        </w:rPr>
        <w:t>bose</w:t>
      </w:r>
      <w:proofErr w:type="spellEnd"/>
      <w:r w:rsidRPr="001A1694">
        <w:rPr>
          <w:rFonts w:ascii="Arial" w:hAnsi="Arial" w:cs="Arial"/>
        </w:rPr>
        <w:t xml:space="preserve">, directly linking maize production to household staple availability and local food systems </w:t>
      </w:r>
      <w:r w:rsidR="00B1457B">
        <w:rPr>
          <w:rFonts w:ascii="Arial" w:hAnsi="Arial" w:cs="Arial"/>
        </w:rPr>
        <w:fldChar w:fldCharType="begin" w:fldLock="1"/>
      </w:r>
      <w:r w:rsidR="00B1457B">
        <w:rPr>
          <w:rFonts w:ascii="Arial" w:hAnsi="Arial" w:cs="Arial"/>
        </w:rPr>
        <w:instrText>ADDIN CSL_CITATION {"citationItems":[{"id":"ITEM-1","itemData":{"DOI":"10.1016/j.ecohyd.2026.100730","ISSN":"16423593","abstract":"Responding to the need for drought-tolerant crops in semiarid regions, this study evaluated 17 local and three improved white maize varieties from East Nusa Tenggara, Indonesia, across optimal (E1), normal (E2), and drought-stressed (E3) environments. A robust selection model incorporating five analytical frameworks, stability analysis, Additive Main Effects and Multiplicative Interaction (AMMI) modelling, tolerance indices, Multi-Trait Genotype-Ideotype Distance Index (MGIDI), and Multi-Trait Stability Index (MTSI), was used to assess yield performance. Results identified five superior genotypes (local: A7, A11, A12; improved: A18, A19) exhibiting significant stability and adaptability. These genotypes consistently yielded above the overall average of 2.57 tons: A7 yielded 2.99 tons, A11 yielded 3.07 tons, A12 yielded 2.86 tons, A18 yielded 3.55 tons, and A19 yielded 2.57 tons. The selected genotypes showed high stability, evidenced by regression coefficients (bi) approximately equal to 1 (≈1) with non-significant deviation, and superior yields (Yi) above the 2.57 tons average. Variability was low, with the Coefficient of Variation (CVi) less than the average of 80.22, and stability index values (YSi) exceeded the 8.3 average, indicating minimal Genotype-Environment interaction. Multiplicative Interaction (AMMI) and Genetics-Genetics Environment (GGE) analyses confirmed low environmental influence on genotypic expression, explaining 84.97% and 91.2% of the total variation, respectively. Based on eleven tolerance indices, five genotypes were classified as drought-tolerant. This research provides a comprehensive framework for identifying promising genotypes for plant breeding and emphasizes incorporating local genetic diversity to enhance maize productivity and food security in climate-variable semiarid systems.","author":[{"dropping-particle":"","family":"Yustiningsih","given":"Maria","non-dropping-particle":"","parse-names":false,"suffix":""},{"dropping-particle":"","family":"Dinarti","given":"Diny","non-dropping-particle":"","parse-names":false,"suffix":""},{"dropping-particle":"","family":"Purwoko","given":"Bambang S.","non-dropping-particle":"","parse-names":false,"suffix":""},{"dropping-particle":"","family":"Suwarno","given":"Wily B.","non-dropping-particle":"","parse-names":false,"suffix":""},{"dropping-particle":"","family":"Dare","given":"Darius","non-dropping-particle":"","parse-names":false,"suffix":""},{"dropping-particle":"","family":"Sutapa","given":"Ignasius D.A.","non-dropping-particle":"","parse-names":false,"suffix":""}],"container-title":"Ecohydrology &amp; Hydrobiology","id":"ITEM-1","issue":"1","issued":{"date-parts":[["2026","1"]]},"page":"100730","title":"Drought-Tolerant selection model to identify prospective maize genotypes and support sustainable agroecological practices in the semiarid regions of East Nusa Tenggara, Indonesia","type":"article-journal","volume":"26"},"uris":["http://www.mendeley.com/documents/?uuid=ecf1d24b-fe14-42fd-95f5-418faac55908"]}],"mendeley":{"formattedCitation":"(Yustiningsih et al. 2026)","plainTextFormattedCitation":"(Yustiningsih et al. 2026)","previouslyFormattedCitation":"(Yustiningsih et al. 2026)"},"properties":{"noteIndex":0},"schema":"https://github.com/citation-style-language/schema/raw/master/csl-citation.json"}</w:instrText>
      </w:r>
      <w:r w:rsidR="00B1457B">
        <w:rPr>
          <w:rFonts w:ascii="Arial" w:hAnsi="Arial" w:cs="Arial"/>
        </w:rPr>
        <w:fldChar w:fldCharType="separate"/>
      </w:r>
      <w:r w:rsidR="00B1457B" w:rsidRPr="00B1457B">
        <w:rPr>
          <w:rFonts w:ascii="Arial" w:hAnsi="Arial" w:cs="Arial"/>
          <w:noProof/>
        </w:rPr>
        <w:t>(Yustiningsih et al. 2026)</w:t>
      </w:r>
      <w:r w:rsidR="00B1457B">
        <w:rPr>
          <w:rFonts w:ascii="Arial" w:hAnsi="Arial" w:cs="Arial"/>
        </w:rPr>
        <w:fldChar w:fldCharType="end"/>
      </w:r>
      <w:r w:rsidR="00B1457B">
        <w:rPr>
          <w:rFonts w:ascii="Arial" w:hAnsi="Arial" w:cs="Arial"/>
        </w:rPr>
        <w:t>.</w:t>
      </w:r>
    </w:p>
    <w:p w14:paraId="0C5D6483" w14:textId="7498634D" w:rsidR="008358D7" w:rsidRDefault="008358D7" w:rsidP="005C38BE">
      <w:pPr>
        <w:pStyle w:val="Body"/>
        <w:spacing w:after="0"/>
        <w:ind w:firstLine="720"/>
        <w:rPr>
          <w:rFonts w:ascii="Arial" w:hAnsi="Arial" w:cs="Arial"/>
        </w:rPr>
      </w:pPr>
      <w:r w:rsidRPr="008358D7">
        <w:rPr>
          <w:rFonts w:ascii="Arial" w:hAnsi="Arial" w:cs="Arial"/>
        </w:rPr>
        <w:lastRenderedPageBreak/>
        <w:t xml:space="preserve">Agricultural extension and advisory services are recognized as crucial policy tools for improving smallholder performance by enhancing knowledge, skills, and decision-making, as well as facilitating the dissemination of technologies that stabilize production and </w:t>
      </w:r>
      <w:r w:rsidRPr="00B1457B">
        <w:rPr>
          <w:rFonts w:ascii="Arial" w:hAnsi="Arial" w:cs="Arial"/>
        </w:rPr>
        <w:t>food security outcomes</w:t>
      </w:r>
      <w:r w:rsidRPr="008358D7">
        <w:rPr>
          <w:rFonts w:ascii="Arial" w:hAnsi="Arial" w:cs="Arial"/>
        </w:rPr>
        <w:t xml:space="preserve">. In the literature on food security, extension initiatives are characterized as strategies designed to boost agricultural output and, through improved farm productivity, mitigate the risks of undernourishment and chronic hunger </w:t>
      </w:r>
      <w:r w:rsidR="00B1457B">
        <w:rPr>
          <w:rFonts w:ascii="Arial" w:hAnsi="Arial" w:cs="Arial"/>
        </w:rPr>
        <w:fldChar w:fldCharType="begin" w:fldLock="1"/>
      </w:r>
      <w:r w:rsidR="00B1457B">
        <w:rPr>
          <w:rFonts w:ascii="Arial" w:hAnsi="Arial" w:cs="Arial"/>
        </w:rPr>
        <w:instrText>ADDIN CSL_CITATION {"citationItems":[{"id":"ITEM-1","itemData":{"DOI":"10.1016/j.gfs.2023.100678","ISSN":"22119124","abstract":"While a robust correlation has been proven between agricultural extension advisory service (AEAS) and increases in agricultural production in literature, it’s undefined whether this holds true between AEAS and food security. This study stretched the theory from increased agricultural production to food security by using WB-LSMS data from 2009 to 2020. We set up a treated and a control group and then employed difference-in-difference and kernel PSM-DID to analyze the two groups, whiles applying stationarity, cointegration, and post-estimation diagnostic tests to ensure data robustness. The results denote a positive relationship between AEAS and food security while factors including capital, finance, and region, among others hinder households from engaging in AEAS. Policy implications are outlined for AEAS and food security integration.","author":[{"dropping-particle":"","family":"Brenya","given":"Robert","non-dropping-particle":"","parse-names":false,"suffix":""},{"dropping-particle":"","family":"Zhu","given":"Jing","non-dropping-particle":"","parse-names":false,"suffix":""}],"container-title":"Global Food Security","id":"ITEM-1","issued":{"date-parts":[["2023","3"]]},"page":"100678","title":"Agricultural extension and food security – The case of Uganda","type":"article-journal","volume":"36"},"uris":["http://www.mendeley.com/documents/?uuid=eaafd90a-6528-41fb-a6eb-d443740db304"]}],"mendeley":{"formattedCitation":"(Brenya and Zhu 2023)","plainTextFormattedCitation":"(Brenya and Zhu 2023)","previouslyFormattedCitation":"(Brenya and Zhu 2023)"},"properties":{"noteIndex":0},"schema":"https://github.com/citation-style-language/schema/raw/master/csl-citation.json"}</w:instrText>
      </w:r>
      <w:r w:rsidR="00B1457B">
        <w:rPr>
          <w:rFonts w:ascii="Arial" w:hAnsi="Arial" w:cs="Arial"/>
        </w:rPr>
        <w:fldChar w:fldCharType="separate"/>
      </w:r>
      <w:r w:rsidR="00B1457B" w:rsidRPr="00B1457B">
        <w:rPr>
          <w:rFonts w:ascii="Arial" w:hAnsi="Arial" w:cs="Arial"/>
          <w:noProof/>
        </w:rPr>
        <w:t>(Brenya and Zhu 2023)</w:t>
      </w:r>
      <w:r w:rsidR="00B1457B">
        <w:rPr>
          <w:rFonts w:ascii="Arial" w:hAnsi="Arial" w:cs="Arial"/>
        </w:rPr>
        <w:fldChar w:fldCharType="end"/>
      </w:r>
      <w:r w:rsidR="00B1457B">
        <w:rPr>
          <w:rFonts w:ascii="Arial" w:hAnsi="Arial" w:cs="Arial"/>
        </w:rPr>
        <w:t>.</w:t>
      </w:r>
      <w:r w:rsidRPr="008358D7">
        <w:rPr>
          <w:rFonts w:ascii="Arial" w:hAnsi="Arial" w:cs="Arial"/>
        </w:rPr>
        <w:t xml:space="preserve"> Within the Indonesian context, extension services act as intermediaries linking research, policy, and on-farm execution, with primary functions including knowledge distribution, training, and the facilitation of innovation adoption </w:t>
      </w:r>
      <w:r w:rsidR="00B1457B">
        <w:rPr>
          <w:rFonts w:ascii="Arial" w:hAnsi="Arial" w:cs="Arial"/>
        </w:rPr>
        <w:fldChar w:fldCharType="begin" w:fldLock="1"/>
      </w:r>
      <w:r w:rsidR="00B1457B">
        <w:rPr>
          <w:rFonts w:ascii="Arial" w:hAnsi="Arial" w:cs="Arial"/>
        </w:rPr>
        <w:instrText>ADDIN CSL_CITATION {"citationItems":[{"id":"ITEM-1","itemData":{"DOI":"10.3389/fsufs.2024.1428069","ISSN":"2571-581X","abstract":"The global pursuit of sustainable development has highlighted the Circular Bioeconomy (CBE) as a key framework for resilience and sustainability. CBE, which focuses on regenerating natural resources and minimizing waste, encompasses sectors like agriculture, waste management, and renewable energy. Agricultural Extension Services (AES) play a pivotal role within this paradigm, serving as conduits for disseminating knowledge, providing training, and fostering innovation in the agricultural sector. Indonesia, with its rich agricultural heritage and diverse natural resources, stands as a key player in the global agricultural landscape. However, the country faces challenges such as land degradation, deforestation, and climate change impacts, necessitating a shift toward sustainable agricultural practices. This article examines the potential of CBE in Indonesia, particularly the role of AES in its adoption. AES bridge the gap between research, policy, and implementation, equipping farmers with the necessary tools and information for transitioning to CBE models. Despite challenges such as limited awareness, technological barriers, and policy constraints, strategic interventions and collaborative efforts can pave the way for effective CBE implementation in Indonesia. Strengthening collaboration, enhancing capacity-building efforts, advocating for supportive policies, mobilizing financial resources, and fostering public awareness are key strategies in this endeavor. In conclusion, successful CBE adoption in Indonesia depends on the active involvement of AES. Through embracing CBE principles and leveraging AES capabilities, Indonesia can achieve a sustainable and prosperous future, fostering resilience, economic growth, and environmental integrity. 1 Introduction","author":[{"dropping-particle":"","family":"Yanfika","given":"Helvi","non-dropping-particle":"","parse-names":false,"suffix":""},{"dropping-particle":"","family":"Effendi","given":"Irwan","non-dropping-particle":"","parse-names":false,"suffix":""},{"dropping-particle":"","family":"Sumaryo","given":"","non-dropping-particle":"","parse-names":false,"suffix":""},{"dropping-particle":"","family":"Ansari","given":"Andrianto","non-dropping-particle":"","parse-names":false,"suffix":""}],"container-title":"Frontiers in Sustainable Food Systems","id":"ITEM-1","issued":{"date-parts":[["2024","7","17"]]},"title":"The role of agricultural extension services on supporting circular bioeconomy in Indonesia","type":"article-journal","volume":"8"},"uris":["http://www.mendeley.com/documents/?uuid=4e1e3318-c7b9-41f8-a54e-d861a6a4140a"]}],"mendeley":{"formattedCitation":"(Yanfika et al. 2024)","plainTextFormattedCitation":"(Yanfika et al. 2024)","previouslyFormattedCitation":"(Yanfika et al. 2024)"},"properties":{"noteIndex":0},"schema":"https://github.com/citation-style-language/schema/raw/master/csl-citation.json"}</w:instrText>
      </w:r>
      <w:r w:rsidR="00B1457B">
        <w:rPr>
          <w:rFonts w:ascii="Arial" w:hAnsi="Arial" w:cs="Arial"/>
        </w:rPr>
        <w:fldChar w:fldCharType="separate"/>
      </w:r>
      <w:r w:rsidR="00B1457B" w:rsidRPr="00B1457B">
        <w:rPr>
          <w:rFonts w:ascii="Arial" w:hAnsi="Arial" w:cs="Arial"/>
          <w:noProof/>
        </w:rPr>
        <w:t>(Yanfika et al. 2024)</w:t>
      </w:r>
      <w:r w:rsidR="00B1457B">
        <w:rPr>
          <w:rFonts w:ascii="Arial" w:hAnsi="Arial" w:cs="Arial"/>
        </w:rPr>
        <w:fldChar w:fldCharType="end"/>
      </w:r>
      <w:r w:rsidRPr="008358D7">
        <w:rPr>
          <w:rFonts w:ascii="Arial" w:hAnsi="Arial" w:cs="Arial"/>
        </w:rPr>
        <w:t>.</w:t>
      </w:r>
    </w:p>
    <w:p w14:paraId="4F8BF66B" w14:textId="180A8F37" w:rsidR="00D02EC2" w:rsidRDefault="008358D7" w:rsidP="005C38BE">
      <w:pPr>
        <w:pStyle w:val="Body"/>
        <w:spacing w:after="0"/>
        <w:ind w:firstLine="720"/>
        <w:rPr>
          <w:rFonts w:ascii="Arial" w:hAnsi="Arial" w:cs="Arial"/>
        </w:rPr>
      </w:pPr>
      <w:r w:rsidRPr="008358D7">
        <w:rPr>
          <w:rFonts w:ascii="Arial" w:hAnsi="Arial" w:cs="Arial"/>
        </w:rPr>
        <w:t xml:space="preserve">Nonetheless, the availability of household staples is influenced not only by agricultural production choices but also by postharvest management and the capacity to utilize storage technologies that preserve both grain quantity and quality. Empirical evidence from Tanzania indicates that postharvest training reduces maize losses and </w:t>
      </w:r>
      <w:r w:rsidRPr="00B1457B">
        <w:rPr>
          <w:rFonts w:ascii="Arial" w:hAnsi="Arial" w:cs="Arial"/>
        </w:rPr>
        <w:t>improves</w:t>
      </w:r>
      <w:r w:rsidRPr="008358D7">
        <w:rPr>
          <w:rFonts w:ascii="Arial" w:hAnsi="Arial" w:cs="Arial"/>
        </w:rPr>
        <w:t xml:space="preserve"> household </w:t>
      </w:r>
      <w:r w:rsidRPr="00B1457B">
        <w:rPr>
          <w:rFonts w:ascii="Arial" w:hAnsi="Arial" w:cs="Arial"/>
        </w:rPr>
        <w:t xml:space="preserve">food security </w:t>
      </w:r>
      <w:r w:rsidRPr="008358D7">
        <w:rPr>
          <w:rFonts w:ascii="Arial" w:hAnsi="Arial" w:cs="Arial"/>
        </w:rPr>
        <w:t xml:space="preserve">metrics. The most significant advantages occur when training is paired with supportive inputs, such as hermetic storage bags, suggesting that capacity building is more </w:t>
      </w:r>
      <w:r w:rsidRPr="00B1457B">
        <w:rPr>
          <w:rFonts w:ascii="Arial" w:hAnsi="Arial" w:cs="Arial"/>
        </w:rPr>
        <w:t xml:space="preserve">effective </w:t>
      </w:r>
      <w:r w:rsidRPr="008358D7">
        <w:rPr>
          <w:rFonts w:ascii="Arial" w:hAnsi="Arial" w:cs="Arial"/>
        </w:rPr>
        <w:t xml:space="preserve">when augmented by practical technologies </w:t>
      </w:r>
      <w:r w:rsidR="00B1457B">
        <w:rPr>
          <w:rFonts w:ascii="Arial" w:hAnsi="Arial" w:cs="Arial"/>
        </w:rPr>
        <w:fldChar w:fldCharType="begin" w:fldLock="1"/>
      </w:r>
      <w:r w:rsidR="00B1457B">
        <w:rPr>
          <w:rFonts w:ascii="Arial" w:hAnsi="Arial" w:cs="Arial"/>
        </w:rPr>
        <w:instrText>ADDIN CSL_CITATION {"citationItems":[{"id":"ITEM-1","itemData":{"DOI":"10.1007/s12571-020-01052-9","ISSN":"1876-4517","abstract":"Reduction of post-harvest loss (PHL) can play an important role in complementing efforts to address food security challenges. This paper used data from 390 small-scale maize farmers in Kilosa, Tanzania to analyse the impact of post-harvest management training and the supply of hermetic bags on food insecurity status in a framed field experiment setting with two treatments. In the first treatment group, farmers were trained on post-harvest management, and in the second treatment they were given the same training as the first treatment group and were, in addition, provided with hermetic bags for storing maize. Our estimations show that the interventions had an impact in reducing maize PHL and household food insecurity. The intervention combining training and supply of hermetic bags abated maize PHL by 53%, whereas the training intervention alone abated PHL by 26%. Further, the intervention combining training and supply of hermetic bags reduced the household food insecurity access scale (HFIAS) score by 30.9% while the training intervention alone reduced it by 10.8% relative to the control group. The two interventions also lowered the probability of treated households experiencing moderate or severe food insecurity, and increased the probability of households being food secure or mildly insecure relative to the control group. Notably, the intervention which combined training and supply of hermetic bags had a significantly larger impact compared to the one providing training only. These results imply that more investment should be done on interventions to reduce PHL to complement efforts to improve food security. They also point to possible affordable interventions to reduce maize PHL and the importance of supplying material support in addition to training to minimize PHL and improve food security in Tanzania.","author":[{"dropping-particle":"","family":"Chegere","given":"Martin Julius","non-dropping-particle":"","parse-names":false,"suffix":""},{"dropping-particle":"","family":"Lokina","given":"Razack","non-dropping-particle":"","parse-names":false,"suffix":""},{"dropping-particle":"","family":"Mwakaje","given":"Agnes G.","non-dropping-particle":"","parse-names":false,"suffix":""}],"container-title":"Food Security","id":"ITEM-1","issue":"6","issued":{"date-parts":[["2020","12","10"]]},"page":"1299-1316","title":"The impact of hermetic storage bag supply and training on food security in Tanzania","type":"article-journal","volume":"12"},"uris":["http://www.mendeley.com/documents/?uuid=cf6f12a7-2c46-410a-8594-0a7607b21c39"]}],"mendeley":{"formattedCitation":"(Chegere, Lokina, and Mwakaje 2020)","plainTextFormattedCitation":"(Chegere, Lokina, and Mwakaje 2020)","previouslyFormattedCitation":"(Chegere, Lokina, and Mwakaje 2020)"},"properties":{"noteIndex":0},"schema":"https://github.com/citation-style-language/schema/raw/master/csl-citation.json"}</w:instrText>
      </w:r>
      <w:r w:rsidR="00B1457B">
        <w:rPr>
          <w:rFonts w:ascii="Arial" w:hAnsi="Arial" w:cs="Arial"/>
        </w:rPr>
        <w:fldChar w:fldCharType="separate"/>
      </w:r>
      <w:r w:rsidR="00B1457B" w:rsidRPr="00B1457B">
        <w:rPr>
          <w:rFonts w:ascii="Arial" w:hAnsi="Arial" w:cs="Arial"/>
          <w:noProof/>
        </w:rPr>
        <w:t>(Chegere, Lokina, and Mwakaje 2020)</w:t>
      </w:r>
      <w:r w:rsidR="00B1457B">
        <w:rPr>
          <w:rFonts w:ascii="Arial" w:hAnsi="Arial" w:cs="Arial"/>
        </w:rPr>
        <w:fldChar w:fldCharType="end"/>
      </w:r>
      <w:r w:rsidRPr="008358D7">
        <w:rPr>
          <w:rFonts w:ascii="Arial" w:hAnsi="Arial" w:cs="Arial"/>
        </w:rPr>
        <w:t xml:space="preserve">. </w:t>
      </w:r>
      <w:r w:rsidR="00D02EC2">
        <w:rPr>
          <w:rFonts w:ascii="Arial" w:hAnsi="Arial" w:cs="Arial"/>
        </w:rPr>
        <w:t xml:space="preserve"> </w:t>
      </w:r>
      <w:r w:rsidR="00D02EC2" w:rsidRPr="00D02EC2">
        <w:rPr>
          <w:rFonts w:ascii="Arial" w:hAnsi="Arial" w:cs="Arial"/>
        </w:rPr>
        <w:t>Supporting evidence shows that agricultural extension exposure and social learning each accelerate the adoption of hermetic storage technologies such as PICS bags by shortening the time to adoption; moreover, adoption occurs faster when farmers rely on both information sources jointly rather than on either source alone</w:t>
      </w:r>
      <w:r w:rsidR="00D02EC2">
        <w:rPr>
          <w:rFonts w:ascii="Arial" w:hAnsi="Arial" w:cs="Arial"/>
        </w:rPr>
        <w:t xml:space="preserve"> </w:t>
      </w:r>
      <w:r w:rsidR="00D02EC2">
        <w:rPr>
          <w:rFonts w:ascii="Arial" w:hAnsi="Arial" w:cs="Arial"/>
        </w:rPr>
        <w:fldChar w:fldCharType="begin" w:fldLock="1"/>
      </w:r>
      <w:r w:rsidR="00DB7292">
        <w:rPr>
          <w:rFonts w:ascii="Arial" w:hAnsi="Arial" w:cs="Arial"/>
        </w:rPr>
        <w:instrText>ADDIN CSL_CITATION {"citationItems":[{"id":"ITEM-1","itemData":{"DOI":"10.1016/j.techfore.2024.123306","ISSN":"00401625","abstract":"The Purdue Improved Crop Storage (PICS) bag is often associated with preventing grain damage from insect infestation, reducing aflatoxin accumulation in stored grain, and avoiding exposure to hazardous storage chemicals. However, limited knowledge is available on the information channels driving the adoption of the technology. Using data from 429 households, this study examines the impacts of social learning and extension services on the speed of adoption of PICS bags in Tanzania. We utilized the doubly robust multivalued inverse probability weighted regression (MIPWRA) model to estimate the impact and the Laplace regression model to evaluate the heterogeneous effects of the two information channels. The impact results indicate that social learning and extension services reduce the time to adopt PICS bags by 51 % and 49 %, respectively. Moreover, the speed at which farmers adopted the technology was faster when using the two information channels jointly (61 %) than individually. The Laplace regression model results show that the marginal impacts of the two channels are higher for the households in the upper quantiles of the distribution, compared to the lower quantiles representing the early adopters. Designing policies that account for different adopter groups (innovators, early adopters, early majority, late majority, and laggards) is therefore essential.","author":[{"dropping-particle":"","family":"Manda","given":"Julius","non-dropping-particle":"","parse-names":false,"suffix":""},{"dropping-particle":"","family":"Feleke","given":"Shiferaw","non-dropping-particle":"","parse-names":false,"suffix":""},{"dropping-particle":"","family":"Mutungi","given":"Christopher","non-dropping-particle":"","parse-names":false,"suffix":""},{"dropping-particle":"","family":"Tufa","given":"Adane H.","non-dropping-particle":"","parse-names":false,"suffix":""},{"dropping-particle":"","family":"Mateete","given":"Bekunda","non-dropping-particle":"","parse-names":false,"suffix":""},{"dropping-particle":"","family":"Abdoulaye","given":"Tahirou","non-dropping-particle":"","parse-names":false,"suffix":""},{"dropping-particle":"","family":"Alene","given":"Arega D.","non-dropping-particle":"","parse-names":false,"suffix":""}],"container-title":"Technological Forecasting and Social Change","id":"ITEM-1","issue":"January 2023","issued":{"date-parts":[["2024"]]},"page":"123306","publisher":"Elsevier Inc.","title":"Assessing the speed of improved postharvest technology adoption in Tanzania: The role of social learning and agricultural extension services","type":"article-journal","volume":"202"},"uris":["http://www.mendeley.com/documents/?uuid=a675a89d-8acf-4b0f-abe3-125af21f9146"]}],"mendeley":{"formattedCitation":"(Manda et al. 2024)","plainTextFormattedCitation":"(Manda et al. 2024)","previouslyFormattedCitation":"(Manda et al. 2024)"},"properties":{"noteIndex":0},"schema":"https://github.com/citation-style-language/schema/raw/master/csl-citation.json"}</w:instrText>
      </w:r>
      <w:r w:rsidR="00D02EC2">
        <w:rPr>
          <w:rFonts w:ascii="Arial" w:hAnsi="Arial" w:cs="Arial"/>
        </w:rPr>
        <w:fldChar w:fldCharType="separate"/>
      </w:r>
      <w:r w:rsidR="00D02EC2" w:rsidRPr="00D02EC2">
        <w:rPr>
          <w:rFonts w:ascii="Arial" w:hAnsi="Arial" w:cs="Arial"/>
          <w:noProof/>
        </w:rPr>
        <w:t>(Manda et al. 2024)</w:t>
      </w:r>
      <w:r w:rsidR="00D02EC2">
        <w:rPr>
          <w:rFonts w:ascii="Arial" w:hAnsi="Arial" w:cs="Arial"/>
        </w:rPr>
        <w:fldChar w:fldCharType="end"/>
      </w:r>
      <w:r w:rsidR="00D02EC2">
        <w:rPr>
          <w:rFonts w:ascii="Arial" w:hAnsi="Arial" w:cs="Arial"/>
        </w:rPr>
        <w:t>.</w:t>
      </w:r>
    </w:p>
    <w:p w14:paraId="2C40004F" w14:textId="3EB45CFD" w:rsidR="00F271B5" w:rsidRDefault="00F271B5" w:rsidP="005C38BE">
      <w:pPr>
        <w:pStyle w:val="Body"/>
        <w:spacing w:after="0"/>
        <w:ind w:firstLine="720"/>
        <w:rPr>
          <w:rFonts w:ascii="Arial" w:hAnsi="Arial" w:cs="Arial"/>
        </w:rPr>
      </w:pPr>
      <w:r w:rsidRPr="00F271B5">
        <w:rPr>
          <w:rFonts w:ascii="Arial" w:hAnsi="Arial" w:cs="Arial"/>
        </w:rPr>
        <w:t xml:space="preserve">Moreover, staple availability and food security are heavily influenced by market connectivity and the institutional frameworks linking farmers to input and output markets. Panel evidence demonstrates that households closer to market centers typically report higher consumption expenditures, more varied diets, and lower food insecurity than those in remote areas—suggesting that enhanced market access and rural infrastructure are key drivers of food security </w:t>
      </w:r>
      <w:r w:rsidR="00B1457B">
        <w:rPr>
          <w:rFonts w:ascii="Arial" w:hAnsi="Arial" w:cs="Arial"/>
        </w:rPr>
        <w:fldChar w:fldCharType="begin" w:fldLock="1"/>
      </w:r>
      <w:r w:rsidR="00B1457B">
        <w:rPr>
          <w:rFonts w:ascii="Arial" w:hAnsi="Arial" w:cs="Arial"/>
        </w:rPr>
        <w:instrText>ADDIN CSL_CITATION {"citationItems":[{"id":"ITEM-1","itemData":{"DOI":"10.1016/j.foodpol.2022.102374","ISSN":"03069192","abstract":"Improved access to markets can influence household dietary diversity, consumption expenditure, and food security through multiple pathways. Market access can increase smallholder farmers’ income through decreased transaction costs, improve diet quality, and reduce poverty and household food insecurity. Improved market access also expands the variety of food available, opening opportunities for consumption diversification. We examine the association between market access and household dietary diversity, consumption expenditure, and food security in the Eastern African countries of Ethiopia and Tanzania using nationally representative panel data from the World Bank’s Living Standards Measurement Study-Integrated Surveys on Agriculture (LSMS-ISA). The empirical findings demonstrate that households located closer to market centers spend more on total household consumption expenditure, consume more diverse diets, and are less food insecure than households located farther away from markets. The results suggest that investing in accessible market development and rural infrastructure to link smallholder farmers to markets is essential for improving household dietary diversity and food security in sub-Saharan African countries.","author":[{"dropping-particle":"","family":"Usman","given":"Muhammed A.","non-dropping-particle":"","parse-names":false,"suffix":""},{"dropping-particle":"","family":"Haile","given":"Mekbib G.","non-dropping-particle":"","parse-names":false,"suffix":""}],"container-title":"Food Policy","id":"ITEM-1","issued":{"date-parts":[["2022","11"]]},"page":"102374","title":"Market access, household dietary diversity and food security: Evidence from Eastern Africa","type":"article-journal","volume":"113"},"uris":["http://www.mendeley.com/documents/?uuid=0ae796f1-52ff-466f-ac7a-6c2a1494b747"]}],"mendeley":{"formattedCitation":"(Usman and Haile 2022)","plainTextFormattedCitation":"(Usman and Haile 2022)","previouslyFormattedCitation":"(Usman and Haile 2022)"},"properties":{"noteIndex":0},"schema":"https://github.com/citation-style-language/schema/raw/master/csl-citation.json"}</w:instrText>
      </w:r>
      <w:r w:rsidR="00B1457B">
        <w:rPr>
          <w:rFonts w:ascii="Arial" w:hAnsi="Arial" w:cs="Arial"/>
        </w:rPr>
        <w:fldChar w:fldCharType="separate"/>
      </w:r>
      <w:r w:rsidR="00B1457B" w:rsidRPr="00B1457B">
        <w:rPr>
          <w:rFonts w:ascii="Arial" w:hAnsi="Arial" w:cs="Arial"/>
          <w:noProof/>
        </w:rPr>
        <w:t>(Usman and Haile 2022)</w:t>
      </w:r>
      <w:r w:rsidR="00B1457B">
        <w:rPr>
          <w:rFonts w:ascii="Arial" w:hAnsi="Arial" w:cs="Arial"/>
        </w:rPr>
        <w:fldChar w:fldCharType="end"/>
      </w:r>
      <w:r w:rsidR="00B1457B">
        <w:rPr>
          <w:rFonts w:ascii="Arial" w:hAnsi="Arial" w:cs="Arial"/>
        </w:rPr>
        <w:t xml:space="preserve">. </w:t>
      </w:r>
      <w:r w:rsidRPr="00F271B5">
        <w:rPr>
          <w:rFonts w:ascii="Arial" w:hAnsi="Arial" w:cs="Arial"/>
        </w:rPr>
        <w:t xml:space="preserve">A synthesis on market integration contends that farmer participation correlates with improved welfare, but notes that effective solutions require robust institutional frameworks—such as streamlined marketing channels and policy coordination—to mitigate barriers </w:t>
      </w:r>
      <w:r w:rsidR="00B1457B">
        <w:rPr>
          <w:rFonts w:ascii="Arial" w:hAnsi="Arial" w:cs="Arial"/>
        </w:rPr>
        <w:fldChar w:fldCharType="begin" w:fldLock="1"/>
      </w:r>
      <w:r w:rsidR="00CE2FB7">
        <w:rPr>
          <w:rFonts w:ascii="Arial" w:hAnsi="Arial" w:cs="Arial"/>
        </w:rPr>
        <w:instrText>ADDIN CSL_CITATION {"citationItems":[{"id":"ITEM-1","itemData":{"DOI":"10.1016/j.eap.2024.05.005","ISSN":"03135926","abstract":"The 15 studies highlighted in this special issue collectively underscore the significant impacts of market participation on farmers’ well-being, income, poverty reduction, dietary diversity, and rural economic growth. They also delve into the importance of marketing channel choice and the role of e-commerce in enhancing farmers’ market linkages. In addition, they address farmers’ preferences for market access interventions and the examination of market power within the agricultural industry, especially in low-income countries. The key findings include: (1) Market participation is critical for improving farmers’ subjective and objective well-being, with studies demonstrating positive impacts on income, poverty reduction, and dietary diversity; (2) The choice of marketing channels significantly influences income, with evidence suggesting online sales can substantially increase farmers’ earnings; (3) E-commerce plays a pivotal role in connecting farmers to broader markets, leading to income growth and enhanced market visibility; (4) Understanding and addressing farmers’ preferences for market access through interventions like systematization policies and joint ventures can facilitate better market integration and support inclusive business models; (5) Analysis of market power within the primary foods industry reveals rising markups, particularly affecting low-income countries. These findings suggest that policies and interventions aiming to improve market access, promote e-commerce, and consider farmers’ preferences and market power dynamics can significantly impact farmers’ incomes, poverty levels, and overall rural economic development.","author":[{"dropping-particle":"","family":"Ma","given":"Wanglin","non-dropping-particle":"","parse-names":false,"suffix":""},{"dropping-particle":"","family":"Rahut","given":"Dil Bahadur","non-dropping-particle":"","parse-names":false,"suffix":""},{"dropping-particle":"","family":"Sonobe","given":"Tetsushi","non-dropping-particle":"","parse-names":false,"suffix":""},{"dropping-particle":"","family":"Gong","given":"Binlei","non-dropping-particle":"","parse-names":false,"suffix":""}],"container-title":"Economic Analysis and Policy","id":"ITEM-1","issue":"May","issued":{"date-parts":[["2024","6"]]},"page":"1102-1112","publisher":"Elsevier B.V.","title":"Linking farmers to markets: Barriers, solutions, and policy options","type":"article-journal","volume":"82"},"uris":["http://www.mendeley.com/documents/?uuid=d529330c-f23d-463b-bdcf-0aef9de10991"]}],"mendeley":{"formattedCitation":"(Ma et al. 2024)","plainTextFormattedCitation":"(Ma et al. 2024)","previouslyFormattedCitation":"(Ma et al. 2024)"},"properties":{"noteIndex":0},"schema":"https://github.com/citation-style-language/schema/raw/master/csl-citation.json"}</w:instrText>
      </w:r>
      <w:r w:rsidR="00B1457B">
        <w:rPr>
          <w:rFonts w:ascii="Arial" w:hAnsi="Arial" w:cs="Arial"/>
        </w:rPr>
        <w:fldChar w:fldCharType="separate"/>
      </w:r>
      <w:r w:rsidR="00B1457B" w:rsidRPr="00B1457B">
        <w:rPr>
          <w:rFonts w:ascii="Arial" w:hAnsi="Arial" w:cs="Arial"/>
          <w:noProof/>
        </w:rPr>
        <w:t>(Ma et al. 2024)</w:t>
      </w:r>
      <w:r w:rsidR="00B1457B">
        <w:rPr>
          <w:rFonts w:ascii="Arial" w:hAnsi="Arial" w:cs="Arial"/>
        </w:rPr>
        <w:fldChar w:fldCharType="end"/>
      </w:r>
      <w:r w:rsidRPr="00F271B5">
        <w:rPr>
          <w:rFonts w:ascii="Arial" w:hAnsi="Arial" w:cs="Arial"/>
        </w:rPr>
        <w:t>. These findings underscore the need for extension services to evolve beyond education toward organizing, networking, and facilitating direct access to services and markets</w:t>
      </w:r>
    </w:p>
    <w:p w14:paraId="434B2A8E" w14:textId="56AC29CF" w:rsidR="005C38BE" w:rsidRPr="001047A2" w:rsidRDefault="00F271B5" w:rsidP="005C38BE">
      <w:pPr>
        <w:pStyle w:val="Body"/>
        <w:spacing w:after="0"/>
        <w:ind w:firstLine="720"/>
        <w:rPr>
          <w:rFonts w:ascii="Arial" w:hAnsi="Arial" w:cs="Arial"/>
        </w:rPr>
      </w:pPr>
      <w:r w:rsidRPr="00F271B5">
        <w:rPr>
          <w:rFonts w:ascii="Arial" w:hAnsi="Arial" w:cs="Arial"/>
        </w:rPr>
        <w:t xml:space="preserve">Despite the growing body of research, two significant practical gaps persist in contexts such as TTU–NTT. </w:t>
      </w:r>
      <w:r w:rsidRPr="00B1457B">
        <w:rPr>
          <w:rFonts w:ascii="Arial" w:hAnsi="Arial" w:cs="Arial"/>
        </w:rPr>
        <w:t>First,</w:t>
      </w:r>
      <w:r w:rsidRPr="00F271B5">
        <w:rPr>
          <w:rFonts w:ascii="Arial" w:hAnsi="Arial" w:cs="Arial"/>
        </w:rPr>
        <w:t xml:space="preserve"> extension services are often treated as general exposure; </w:t>
      </w:r>
      <w:r w:rsidRPr="00B1457B">
        <w:rPr>
          <w:rFonts w:ascii="Arial" w:hAnsi="Arial" w:cs="Arial"/>
        </w:rPr>
        <w:t>consequently,</w:t>
      </w:r>
      <w:r w:rsidRPr="00F271B5">
        <w:rPr>
          <w:rFonts w:ascii="Arial" w:hAnsi="Arial" w:cs="Arial"/>
        </w:rPr>
        <w:t xml:space="preserve"> there is limited empirical research that distinguishes between their specific functional roles (e.g., educator/facilitator, technician/motivator, or organizer/linkage) to identify which functions most strongly correlate with household staple food availability. </w:t>
      </w:r>
      <w:r w:rsidRPr="00B1457B">
        <w:rPr>
          <w:rFonts w:ascii="Arial" w:hAnsi="Arial" w:cs="Arial"/>
        </w:rPr>
        <w:t>Second,</w:t>
      </w:r>
      <w:r w:rsidRPr="00F271B5">
        <w:rPr>
          <w:rFonts w:ascii="Arial" w:hAnsi="Arial" w:cs="Arial"/>
        </w:rPr>
        <w:t xml:space="preserve"> evidence remains scarce regarding indigenous and semiarid contexts, where agroecological stress and culturally ingrained food systems mean that supply is simultaneously constrained by production, storage, and market linkage limitations.</w:t>
      </w:r>
    </w:p>
    <w:p w14:paraId="17957EF8" w14:textId="77777777" w:rsidR="00F271B5" w:rsidRDefault="00F271B5" w:rsidP="005C38BE">
      <w:pPr>
        <w:pStyle w:val="Body"/>
        <w:spacing w:after="0"/>
        <w:ind w:firstLine="720"/>
        <w:rPr>
          <w:rFonts w:ascii="Arial" w:hAnsi="Arial" w:cs="Arial"/>
        </w:rPr>
      </w:pPr>
      <w:r w:rsidRPr="00F271B5">
        <w:rPr>
          <w:rFonts w:ascii="Arial" w:hAnsi="Arial" w:cs="Arial"/>
        </w:rPr>
        <w:t xml:space="preserve">This study investigates the correlation between the roles of agricultural extension agents and household maize availability among </w:t>
      </w:r>
      <w:proofErr w:type="spellStart"/>
      <w:r w:rsidRPr="00F271B5">
        <w:rPr>
          <w:rFonts w:ascii="Arial" w:hAnsi="Arial" w:cs="Arial"/>
        </w:rPr>
        <w:t>Atoin</w:t>
      </w:r>
      <w:proofErr w:type="spellEnd"/>
      <w:r w:rsidRPr="00F271B5">
        <w:rPr>
          <w:rFonts w:ascii="Arial" w:hAnsi="Arial" w:cs="Arial"/>
        </w:rPr>
        <w:t xml:space="preserve"> </w:t>
      </w:r>
      <w:proofErr w:type="spellStart"/>
      <w:r w:rsidRPr="00F271B5">
        <w:rPr>
          <w:rFonts w:ascii="Arial" w:hAnsi="Arial" w:cs="Arial"/>
        </w:rPr>
        <w:t>Meto</w:t>
      </w:r>
      <w:proofErr w:type="spellEnd"/>
      <w:r w:rsidRPr="00F271B5">
        <w:rPr>
          <w:rFonts w:ascii="Arial" w:hAnsi="Arial" w:cs="Arial"/>
        </w:rPr>
        <w:t xml:space="preserve"> (</w:t>
      </w:r>
      <w:proofErr w:type="spellStart"/>
      <w:r w:rsidRPr="00F271B5">
        <w:rPr>
          <w:rFonts w:ascii="Arial" w:hAnsi="Arial" w:cs="Arial"/>
        </w:rPr>
        <w:t>Dawan</w:t>
      </w:r>
      <w:proofErr w:type="spellEnd"/>
      <w:r w:rsidRPr="00F271B5">
        <w:rPr>
          <w:rFonts w:ascii="Arial" w:hAnsi="Arial" w:cs="Arial"/>
        </w:rPr>
        <w:t>) farmers practicing Good Agricultural Practices (GAP) in North Central Timor (Timor Tengah Utara), East Nusa Tenggara, Indonesia. Employing a quantitative cross-sectional survey design in accordance with STROBE reporting standards, the study defines household maize availability as a composite score of six components: production sufficiency, accessibility, storage capacity until the next harvest, safe storage practices, quality of provision, and harvesting convenience. The independent variables consist of perceived extension responsibilities, measured through 20 items categorized into three dimensions: (X1) facilitator and instructor, (X2) technical expert and motivator, and (X3) organizer and linkage</w:t>
      </w:r>
    </w:p>
    <w:p w14:paraId="399C3CD6" w14:textId="77777777" w:rsidR="00F271B5" w:rsidRDefault="00F271B5" w:rsidP="005C38BE">
      <w:pPr>
        <w:pStyle w:val="Body"/>
        <w:spacing w:after="0"/>
        <w:ind w:firstLine="720"/>
        <w:rPr>
          <w:rFonts w:ascii="Arial" w:hAnsi="Arial" w:cs="Arial"/>
        </w:rPr>
      </w:pPr>
      <w:r w:rsidRPr="00F271B5">
        <w:rPr>
          <w:rFonts w:ascii="Arial" w:hAnsi="Arial" w:cs="Arial"/>
        </w:rPr>
        <w:t xml:space="preserve">Research Question: To what extent do extension-role aspects—facilitator/educator, technical/motivator, and organizer/linkage—predict maize food availability for </w:t>
      </w:r>
      <w:proofErr w:type="spellStart"/>
      <w:r w:rsidRPr="00F271B5">
        <w:rPr>
          <w:rFonts w:ascii="Arial" w:hAnsi="Arial" w:cs="Arial"/>
        </w:rPr>
        <w:t>Atoin</w:t>
      </w:r>
      <w:proofErr w:type="spellEnd"/>
      <w:r w:rsidRPr="00F271B5">
        <w:rPr>
          <w:rFonts w:ascii="Arial" w:hAnsi="Arial" w:cs="Arial"/>
        </w:rPr>
        <w:t xml:space="preserve"> </w:t>
      </w:r>
      <w:proofErr w:type="spellStart"/>
      <w:r w:rsidRPr="00F271B5">
        <w:rPr>
          <w:rFonts w:ascii="Arial" w:hAnsi="Arial" w:cs="Arial"/>
        </w:rPr>
        <w:t>Meto</w:t>
      </w:r>
      <w:proofErr w:type="spellEnd"/>
      <w:r w:rsidRPr="00F271B5">
        <w:rPr>
          <w:rFonts w:ascii="Arial" w:hAnsi="Arial" w:cs="Arial"/>
        </w:rPr>
        <w:t xml:space="preserve"> households in TTU?</w:t>
      </w:r>
    </w:p>
    <w:p w14:paraId="51A44F72" w14:textId="3ADFDFDF" w:rsidR="005C38BE" w:rsidRPr="001047A2" w:rsidRDefault="00803EB6" w:rsidP="005C38BE">
      <w:pPr>
        <w:pStyle w:val="Body"/>
        <w:spacing w:after="0"/>
        <w:ind w:firstLine="720"/>
        <w:rPr>
          <w:rFonts w:ascii="Arial" w:hAnsi="Arial" w:cs="Arial"/>
        </w:rPr>
      </w:pPr>
      <w:r>
        <w:rPr>
          <w:rFonts w:ascii="Arial" w:hAnsi="Arial" w:cs="Arial"/>
        </w:rPr>
        <w:t>Goal. To evaluate the correlations between perceived extension-role qualities and household maize food supply, and to determine which role aspects exhibit the most significant association in multivariable regression analysis.</w:t>
      </w:r>
    </w:p>
    <w:p w14:paraId="7B4A6A19" w14:textId="77777777" w:rsidR="00803EB6" w:rsidRDefault="00803EB6" w:rsidP="005C38BE">
      <w:pPr>
        <w:pStyle w:val="Body"/>
        <w:spacing w:after="0"/>
        <w:ind w:left="426" w:hanging="426"/>
        <w:rPr>
          <w:rFonts w:ascii="Arial" w:hAnsi="Arial" w:cs="Arial"/>
        </w:rPr>
      </w:pPr>
      <w:r>
        <w:rPr>
          <w:rFonts w:ascii="Arial" w:hAnsi="Arial" w:cs="Arial"/>
        </w:rPr>
        <w:t>Propositions.</w:t>
      </w:r>
    </w:p>
    <w:p w14:paraId="3EA11194" w14:textId="4B369243" w:rsidR="00803EB6" w:rsidRDefault="00803EB6" w:rsidP="005C38BE">
      <w:pPr>
        <w:pStyle w:val="Body"/>
        <w:spacing w:after="0"/>
        <w:ind w:left="426" w:hanging="426"/>
        <w:rPr>
          <w:rFonts w:ascii="Arial" w:hAnsi="Arial" w:cs="Arial"/>
        </w:rPr>
      </w:pPr>
      <w:r>
        <w:rPr>
          <w:rFonts w:ascii="Arial" w:hAnsi="Arial" w:cs="Arial"/>
        </w:rPr>
        <w:t>H1. The role of the facilitator/educator (X1) favorably influences household maize food availability (Y).</w:t>
      </w:r>
    </w:p>
    <w:p w14:paraId="6C0B1116" w14:textId="1FB3B74E" w:rsidR="00803EB6" w:rsidRDefault="00803EB6" w:rsidP="005C38BE">
      <w:pPr>
        <w:pStyle w:val="Body"/>
        <w:spacing w:after="0"/>
        <w:ind w:left="426" w:hanging="426"/>
        <w:rPr>
          <w:rFonts w:ascii="Arial" w:hAnsi="Arial" w:cs="Arial"/>
        </w:rPr>
      </w:pPr>
      <w:r>
        <w:rPr>
          <w:rFonts w:ascii="Arial" w:hAnsi="Arial" w:cs="Arial"/>
        </w:rPr>
        <w:t>H2: The technical farming/motivator role (X2) favorably influences household maize food availability (Y).</w:t>
      </w:r>
    </w:p>
    <w:p w14:paraId="59A11FB9" w14:textId="2B1D64A0" w:rsidR="00803EB6" w:rsidRDefault="00803EB6" w:rsidP="005C38BE">
      <w:pPr>
        <w:pStyle w:val="Body"/>
        <w:spacing w:after="0"/>
        <w:ind w:left="426" w:hanging="426"/>
        <w:rPr>
          <w:rFonts w:ascii="Arial" w:hAnsi="Arial" w:cs="Arial"/>
        </w:rPr>
      </w:pPr>
      <w:r>
        <w:rPr>
          <w:rFonts w:ascii="Arial" w:hAnsi="Arial" w:cs="Arial"/>
        </w:rPr>
        <w:t>H3. The organizer/linkage role (X3) favorably influences household maize food availability (Y).</w:t>
      </w:r>
    </w:p>
    <w:p w14:paraId="7EF1755E" w14:textId="77777777" w:rsidR="00353A25" w:rsidRPr="00353A25" w:rsidRDefault="00353A25" w:rsidP="00353A25">
      <w:pPr>
        <w:pStyle w:val="Body"/>
        <w:spacing w:after="0"/>
        <w:ind w:left="426" w:hanging="426"/>
        <w:rPr>
          <w:rFonts w:ascii="Arial" w:hAnsi="Arial" w:cs="Arial"/>
        </w:rPr>
      </w:pPr>
      <w:r w:rsidRPr="00353A25">
        <w:rPr>
          <w:rFonts w:ascii="Arial" w:hAnsi="Arial" w:cs="Arial"/>
        </w:rPr>
        <w:t>H4: X1–X3 together account for the variation in maize food availability.</w:t>
      </w:r>
    </w:p>
    <w:p w14:paraId="48A23072" w14:textId="0B0C438F" w:rsidR="00335C50" w:rsidRDefault="00335C50">
      <w:pPr>
        <w:rPr>
          <w:rFonts w:ascii="Arial" w:hAnsi="Arial" w:cs="Arial"/>
        </w:rPr>
      </w:pPr>
    </w:p>
    <w:p w14:paraId="6AF8A8D6" w14:textId="68F8F2DD" w:rsidR="00EB6BA0" w:rsidRPr="001047A2" w:rsidRDefault="00EB6BA0" w:rsidP="00EB6BA0">
      <w:pPr>
        <w:pStyle w:val="AbstHead"/>
        <w:numPr>
          <w:ilvl w:val="0"/>
          <w:numId w:val="6"/>
        </w:numPr>
        <w:spacing w:before="120" w:after="120"/>
        <w:ind w:left="357" w:hanging="357"/>
        <w:jc w:val="both"/>
        <w:rPr>
          <w:rFonts w:ascii="Arial" w:hAnsi="Arial" w:cs="Arial"/>
        </w:rPr>
      </w:pPr>
      <w:r w:rsidRPr="001047A2">
        <w:rPr>
          <w:rFonts w:ascii="Arial" w:hAnsi="Arial" w:cs="Arial"/>
        </w:rPr>
        <w:lastRenderedPageBreak/>
        <w:t xml:space="preserve">material and methods </w:t>
      </w:r>
    </w:p>
    <w:p w14:paraId="607214D9" w14:textId="77777777" w:rsidR="00EB6BA0" w:rsidRPr="001047A2" w:rsidRDefault="00EB6BA0" w:rsidP="00EB6BA0">
      <w:pPr>
        <w:pStyle w:val="Heading3"/>
        <w:numPr>
          <w:ilvl w:val="0"/>
          <w:numId w:val="2"/>
        </w:numPr>
        <w:tabs>
          <w:tab w:val="num" w:pos="360"/>
        </w:tabs>
        <w:spacing w:before="120"/>
        <w:ind w:left="357" w:hanging="357"/>
        <w:jc w:val="both"/>
        <w:rPr>
          <w:rFonts w:ascii="Arial" w:hAnsi="Arial" w:cs="Arial"/>
          <w:color w:val="auto"/>
          <w:sz w:val="20"/>
          <w:szCs w:val="20"/>
        </w:rPr>
      </w:pPr>
      <w:r w:rsidRPr="001047A2">
        <w:rPr>
          <w:rFonts w:ascii="Arial" w:hAnsi="Arial" w:cs="Arial"/>
          <w:color w:val="auto"/>
          <w:sz w:val="20"/>
          <w:szCs w:val="20"/>
        </w:rPr>
        <w:t>Study design and reporting framework</w:t>
      </w:r>
    </w:p>
    <w:p w14:paraId="176F5531" w14:textId="68B1EF85" w:rsidR="00EB6BA0" w:rsidRPr="001047A2" w:rsidRDefault="00F271B5" w:rsidP="00EB6BA0">
      <w:pPr>
        <w:pStyle w:val="Body"/>
        <w:spacing w:after="0"/>
        <w:ind w:firstLine="720"/>
        <w:rPr>
          <w:rFonts w:ascii="Arial" w:hAnsi="Arial" w:cs="Arial"/>
        </w:rPr>
      </w:pPr>
      <w:r w:rsidRPr="00F271B5">
        <w:rPr>
          <w:rFonts w:ascii="Arial" w:hAnsi="Arial" w:cs="Arial"/>
        </w:rPr>
        <w:t xml:space="preserve">A quantitative analytical survey with a cross-sectional, explanatory design was conducted to evaluate the correlation between the roles of agricultural extension agents and household maize food availability among </w:t>
      </w:r>
      <w:proofErr w:type="spellStart"/>
      <w:r w:rsidRPr="00F271B5">
        <w:rPr>
          <w:rFonts w:ascii="Arial" w:hAnsi="Arial" w:cs="Arial"/>
        </w:rPr>
        <w:t>Atoin</w:t>
      </w:r>
      <w:proofErr w:type="spellEnd"/>
      <w:r w:rsidRPr="00F271B5">
        <w:rPr>
          <w:rFonts w:ascii="Arial" w:hAnsi="Arial" w:cs="Arial"/>
        </w:rPr>
        <w:t xml:space="preserve"> </w:t>
      </w:r>
      <w:proofErr w:type="spellStart"/>
      <w:r w:rsidRPr="00F271B5">
        <w:rPr>
          <w:rFonts w:ascii="Arial" w:hAnsi="Arial" w:cs="Arial"/>
        </w:rPr>
        <w:t>Meto</w:t>
      </w:r>
      <w:proofErr w:type="spellEnd"/>
      <w:r w:rsidRPr="00F271B5">
        <w:rPr>
          <w:rFonts w:ascii="Arial" w:hAnsi="Arial" w:cs="Arial"/>
        </w:rPr>
        <w:t xml:space="preserve"> (</w:t>
      </w:r>
      <w:proofErr w:type="spellStart"/>
      <w:r w:rsidRPr="00F271B5">
        <w:rPr>
          <w:rFonts w:ascii="Arial" w:hAnsi="Arial" w:cs="Arial"/>
        </w:rPr>
        <w:t>Dawan</w:t>
      </w:r>
      <w:proofErr w:type="spellEnd"/>
      <w:r w:rsidRPr="00F271B5">
        <w:rPr>
          <w:rFonts w:ascii="Arial" w:hAnsi="Arial" w:cs="Arial"/>
        </w:rPr>
        <w:t xml:space="preserve">) farmers in East Nusa Tenggara, Indonesia. The reporting of the design, setting, participants, variables, measurements, and statistical methods adhered to the STROBE framework. This approach aligns with recent literature emphasizing STROBE as the reporting standard and the importance of checklist-based transparency in observational research </w:t>
      </w:r>
      <w:r w:rsidR="00CE2FB7">
        <w:rPr>
          <w:rFonts w:ascii="Arial" w:hAnsi="Arial" w:cs="Arial"/>
        </w:rPr>
        <w:fldChar w:fldCharType="begin" w:fldLock="1"/>
      </w:r>
      <w:r w:rsidR="00CE2FB7">
        <w:rPr>
          <w:rFonts w:ascii="Arial" w:hAnsi="Arial" w:cs="Arial"/>
        </w:rPr>
        <w:instrText>ADDIN CSL_CITATION {"citationItems":[{"id":"ITEM-1","itemData":{"DOI":"10.1001/jamanetworkopen.2025.32512","ISSN":"25743805","PMID":"40899932","abstract":"Importance: Observational studies can provide valuable insights to inform decisions on health equity. Existing guidelines for reporting such studies, such as the Strengthening the Reporting of Observational Studies in Epidemiology (STROBE) statement, currently lack specific considerations for reporting on health equity. Health equity is defined as the absence of avoidable and unfair differences that may exist across individuals and populations due to structural and systematic inequities in living and working conditions, opportunities, and resources. To address this gap, the research team developed an extension of the STROBE statement (STROBE-Equity) that focuses on reporting health equity data and considerations. Observations: This consensus statement followed steps for developing a consensus- and evidence-based guideline using an integrated knowledge translation approach to ensure engagement of knowledge users from diverse disciplines and perspectives. Selection criteria for the research team and steering committees prioritized diversity across age, gender, and geography. The STROBE checklist was extended to include 10 items specifically aimed at reporting health equity considerations. To develop these items, the research team drew on evidence from empirical studies including a scoping review of the literature, methodological review, key informant interviews, an online survey, and a global consensus meeting of experts. For each of the 10 equity-related items, the statement provides an explanation and example(s) of transparent reporting practices. Conclusions and Relevance: Use of the STROBE-Equity extension alongside the STROBE statement when writing up completed reports of observational studies has the potential to advance the reporting of health equity data and considerations. Improved reporting of this information may help knowledge users better identify and apply evidence relevant to populations experiencing inequities.","author":[{"dropping-particle":"","family":"Dewidar","given":"Omar","non-dropping-particle":"","parse-names":false,"suffix":""},{"dropping-particle":"","family":"Shamseer","given":"Larissa","non-dropping-particle":"","parse-names":false,"suffix":""},{"dropping-particle":"","family":"Melendez-Torres","given":"G. J.","non-dropping-particle":"","parse-names":false,"suffix":""},{"dropping-particle":"","family":"Akl","given":"Elie A.","non-dropping-particle":"","parse-names":false,"suffix":""},{"dropping-particle":"","family":"Ramke","given":"Jacqueline","non-dropping-particle":"","parse-names":false,"suffix":""},{"dropping-particle":"","family":"Wang","given":"Xiaoqin","non-dropping-particle":"","parse-names":false,"suffix":""},{"dropping-particle":"","family":"Oloyede","given":"Oyekola","non-dropping-particle":"","parse-names":false,"suffix":""},{"dropping-particle":"","family":"Young","given":"Taryn","non-dropping-particle":"","parse-names":false,"suffix":""},{"dropping-particle":"","family":"Nicholls","given":"Stuart G.","non-dropping-particle":"","parse-names":false,"suffix":""},{"dropping-particle":"","family":"Marshall","given":"Zack","non-dropping-particle":"","parse-names":false,"suffix":""},{"dropping-particle":"","family":"Kennedy","given":"Michelle","non-dropping-particle":"","parse-names":false,"suffix":""},{"dropping-particle":"","family":"Hardy","given":"Billie Jo","non-dropping-particle":"","parse-names":false,"suffix":""},{"dropping-particle":"","family":"Rizvi","given":"Anita","non-dropping-particle":"","parse-names":false,"suffix":""},{"dropping-particle":"","family":"Ghogomu","given":"Elizabeth","non-dropping-particle":"","parse-names":false,"suffix":""},{"dropping-particle":"","family":"Rader","given":"Tamara","non-dropping-particle":"","parse-names":false,"suffix":""},{"dropping-particle":"","family":"Waddington","given":"Hugh Sharma","non-dropping-particle":"","parse-names":false,"suffix":""},{"dropping-particle":"","family":"Shea","given":"Beverley","non-dropping-particle":"","parse-names":false,"suffix":""},{"dropping-particle":"","family":"Nkangu","given":"Miriam","non-dropping-particle":"","parse-names":false,"suffix":""},{"dropping-particle":"","family":"Ellingwood","given":"Holly","non-dropping-particle":"","parse-names":false,"suffix":""},{"dropping-particle":"","family":"Wolfenden","given":"Luke","non-dropping-particle":"","parse-names":false,"suffix":""},{"dropping-particle":"","family":"Tufte","given":"Janice","non-dropping-particle":"","parse-names":false,"suffix":""},{"dropping-particle":"","family":"Horsley","given":"Tanya","non-dropping-particle":"","parse-names":false,"suffix":""},{"dropping-particle":"","family":"Pottie","given":"Kevin","non-dropping-particle":"","parse-names":false,"suffix":""},{"dropping-particle":"","family":"Cuervo","given":"Luis Gabriel","non-dropping-particle":"","parse-names":false,"suffix":""},{"dropping-particle":"","family":"Juando-Prats","given":"Clara","non-dropping-particle":"","parse-names":false,"suffix":""},{"dropping-particle":"","family":"Feng","given":"Cindy","non-dropping-particle":"","parse-names":false,"suffix":""},{"dropping-particle":"","family":"Sharp","given":"Melissa K.","non-dropping-particle":"","parse-names":false,"suffix":""},{"dropping-particle":"","family":"Little","given":"Julian","non-dropping-particle":"","parse-names":false,"suffix":""},{"dropping-particle":"","family":"Owusu-Addo","given":"Ebenezer","non-dropping-particle":"","parse-names":false,"suffix":""},{"dropping-particle":"","family":"Francis","given":"Damian","non-dropping-particle":"","parse-names":false,"suffix":""},{"dropping-particle":"","family":"Kredo","given":"Tamara","non-dropping-particle":"","parse-names":false,"suffix":""},{"dropping-particle":"","family":"Mahande","given":"Michael Johnson","non-dropping-particle":"","parse-names":false,"suffix":""},{"dropping-particle":"","family":"Chamberlain","given":"Catherine","non-dropping-particle":"","parse-names":false,"suffix":""},{"dropping-particle":"","family":"Pantoja","given":"Tomás","non-dropping-particle":"","parse-names":false,"suffix":""},{"dropping-particle":"","family":"Elm","given":"Erik","non-dropping-particle":"von","parse-names":false,"suffix":""},{"dropping-particle":"","family":"Bhutta","given":"Zulfiqar A.","non-dropping-particle":"","parse-names":false,"suffix":""},{"dropping-particle":"","family":"Tugwell","given":"Peter","non-dropping-particle":"","parse-names":false,"suffix":""},{"dropping-particle":"","family":"Wiysonge","given":"Charles S.","non-dropping-particle":"","parse-names":false,"suffix":""},{"dropping-particle":"","family":"Funnell","given":"Sarah","non-dropping-particle":"","parse-names":false,"suffix":""},{"dropping-particle":"","family":"Jull","given":"Janet","non-dropping-particle":"","parse-names":false,"suffix":""},{"dropping-particle":"","family":"Mbuagbaw","given":"Lawrence","non-dropping-particle":"","parse-names":false,"suffix":""},{"dropping-particle":"","family":"Welch","given":"Vivian","non-dropping-particle":"","parse-names":false,"suffix":""}],"container-title":"JAMA network open","id":"ITEM-1","issue":"9","issued":{"date-parts":[["2025"]]},"page":"e2532512","title":"Improving the Reporting on Health Equity in Observational Research (STROBE-Equity): Extension Checklist and Elaboration","type":"article-journal","volume":"8"},"uris":["http://www.mendeley.com/documents/?uuid=ed2094c1-3523-4c7d-96f2-002a2a280257"]}],"mendeley":{"formattedCitation":"(Dewidar et al. 2025)","plainTextFormattedCitation":"(Dewidar et al. 2025)","previouslyFormattedCitation":"(Dewidar et al. 2025)"},"properties":{"noteIndex":0},"schema":"https://github.com/citation-style-language/schema/raw/master/csl-citation.json"}</w:instrText>
      </w:r>
      <w:r w:rsidR="00CE2FB7">
        <w:rPr>
          <w:rFonts w:ascii="Arial" w:hAnsi="Arial" w:cs="Arial"/>
        </w:rPr>
        <w:fldChar w:fldCharType="separate"/>
      </w:r>
      <w:r w:rsidR="00CE2FB7" w:rsidRPr="00CE2FB7">
        <w:rPr>
          <w:rFonts w:ascii="Arial" w:hAnsi="Arial" w:cs="Arial"/>
          <w:noProof/>
        </w:rPr>
        <w:t>(Dewidar et al. 2025)</w:t>
      </w:r>
      <w:r w:rsidR="00CE2FB7">
        <w:rPr>
          <w:rFonts w:ascii="Arial" w:hAnsi="Arial" w:cs="Arial"/>
        </w:rPr>
        <w:fldChar w:fldCharType="end"/>
      </w:r>
      <w:r w:rsidR="00CE2FB7">
        <w:rPr>
          <w:rFonts w:ascii="Arial" w:hAnsi="Arial" w:cs="Arial"/>
        </w:rPr>
        <w:t>.</w:t>
      </w:r>
      <w:r w:rsidR="00EB6BA0" w:rsidRPr="001047A2">
        <w:rPr>
          <w:rFonts w:ascii="Arial" w:hAnsi="Arial" w:cs="Arial"/>
        </w:rPr>
        <w:t xml:space="preserve">  </w:t>
      </w:r>
    </w:p>
    <w:p w14:paraId="2523E96E" w14:textId="77777777" w:rsidR="00EB6BA0" w:rsidRPr="001047A2" w:rsidRDefault="00EB6BA0" w:rsidP="001047A2">
      <w:pPr>
        <w:pStyle w:val="Heading3"/>
        <w:numPr>
          <w:ilvl w:val="0"/>
          <w:numId w:val="2"/>
        </w:numPr>
        <w:spacing w:before="120"/>
        <w:ind w:left="426" w:hanging="426"/>
        <w:jc w:val="both"/>
        <w:rPr>
          <w:rFonts w:ascii="Arial" w:hAnsi="Arial" w:cs="Arial"/>
          <w:color w:val="auto"/>
          <w:sz w:val="20"/>
          <w:szCs w:val="20"/>
        </w:rPr>
      </w:pPr>
      <w:r w:rsidRPr="001047A2">
        <w:rPr>
          <w:rFonts w:ascii="Arial" w:hAnsi="Arial" w:cs="Arial"/>
          <w:color w:val="auto"/>
          <w:sz w:val="20"/>
          <w:szCs w:val="20"/>
        </w:rPr>
        <w:t>Study setting</w:t>
      </w:r>
    </w:p>
    <w:p w14:paraId="6DBEF660" w14:textId="60CBA922" w:rsidR="00EB6BA0" w:rsidRPr="001047A2" w:rsidRDefault="00803EB6" w:rsidP="00EB6BA0">
      <w:pPr>
        <w:pStyle w:val="Body"/>
        <w:spacing w:after="0"/>
        <w:ind w:firstLine="720"/>
        <w:rPr>
          <w:rFonts w:ascii="Arial" w:hAnsi="Arial" w:cs="Arial"/>
        </w:rPr>
      </w:pPr>
      <w:r>
        <w:rPr>
          <w:rFonts w:ascii="Arial" w:hAnsi="Arial" w:cs="Arial"/>
        </w:rPr>
        <w:t xml:space="preserve">The research was conducted in East Nusa Tenggara Province (Nusa Tenggara Timur; NTT), Indonesia, specifically targeting a district with a concentration of </w:t>
      </w:r>
      <w:proofErr w:type="spellStart"/>
      <w:r>
        <w:rPr>
          <w:rFonts w:ascii="Arial" w:hAnsi="Arial" w:cs="Arial"/>
        </w:rPr>
        <w:t>Atoin</w:t>
      </w:r>
      <w:proofErr w:type="spellEnd"/>
      <w:r>
        <w:rPr>
          <w:rFonts w:ascii="Arial" w:hAnsi="Arial" w:cs="Arial"/>
        </w:rPr>
        <w:t xml:space="preserve"> </w:t>
      </w:r>
      <w:proofErr w:type="spellStart"/>
      <w:r>
        <w:rPr>
          <w:rFonts w:ascii="Arial" w:hAnsi="Arial" w:cs="Arial"/>
        </w:rPr>
        <w:t>Meto</w:t>
      </w:r>
      <w:proofErr w:type="spellEnd"/>
      <w:r>
        <w:rPr>
          <w:rFonts w:ascii="Arial" w:hAnsi="Arial" w:cs="Arial"/>
        </w:rPr>
        <w:t xml:space="preserve"> farming families in North Central Timor District (Timor Tengah Utara; TTU). The data collection focused on maize-farming households in these districts.</w:t>
      </w:r>
    </w:p>
    <w:p w14:paraId="51FEC3C6" w14:textId="77777777" w:rsidR="00EB6BA0" w:rsidRPr="001047A2" w:rsidRDefault="00EB6BA0" w:rsidP="001047A2">
      <w:pPr>
        <w:pStyle w:val="Heading3"/>
        <w:numPr>
          <w:ilvl w:val="0"/>
          <w:numId w:val="2"/>
        </w:numPr>
        <w:spacing w:before="120"/>
        <w:ind w:left="426" w:hanging="426"/>
        <w:jc w:val="both"/>
        <w:rPr>
          <w:rFonts w:ascii="Arial" w:hAnsi="Arial" w:cs="Arial"/>
          <w:color w:val="auto"/>
          <w:sz w:val="20"/>
          <w:szCs w:val="20"/>
        </w:rPr>
      </w:pPr>
      <w:r w:rsidRPr="001047A2">
        <w:rPr>
          <w:rFonts w:ascii="Arial" w:hAnsi="Arial" w:cs="Arial"/>
          <w:color w:val="auto"/>
          <w:sz w:val="20"/>
          <w:szCs w:val="20"/>
        </w:rPr>
        <w:t>Population, sampling, and study participants</w:t>
      </w:r>
    </w:p>
    <w:p w14:paraId="35A9695C" w14:textId="77777777" w:rsidR="00EB6BA0" w:rsidRPr="001047A2" w:rsidRDefault="00EB6BA0" w:rsidP="00EB6BA0">
      <w:pPr>
        <w:pStyle w:val="Heading4"/>
        <w:numPr>
          <w:ilvl w:val="0"/>
          <w:numId w:val="3"/>
        </w:numPr>
        <w:tabs>
          <w:tab w:val="num" w:pos="360"/>
        </w:tabs>
        <w:spacing w:before="0"/>
        <w:ind w:left="709" w:hanging="633"/>
        <w:jc w:val="both"/>
        <w:rPr>
          <w:rFonts w:ascii="Arial" w:hAnsi="Arial" w:cs="Arial"/>
          <w:sz w:val="20"/>
          <w:szCs w:val="20"/>
        </w:rPr>
      </w:pPr>
      <w:r w:rsidRPr="001047A2">
        <w:rPr>
          <w:rFonts w:ascii="Arial" w:hAnsi="Arial" w:cs="Arial"/>
          <w:sz w:val="20"/>
          <w:szCs w:val="20"/>
        </w:rPr>
        <w:t>Target population and sampling frame</w:t>
      </w:r>
    </w:p>
    <w:p w14:paraId="4A1781F7" w14:textId="1B54110D" w:rsidR="00803EB6" w:rsidRDefault="00803EB6" w:rsidP="00EB6BA0">
      <w:pPr>
        <w:pStyle w:val="Body"/>
        <w:spacing w:after="0"/>
        <w:ind w:firstLine="720"/>
        <w:rPr>
          <w:rFonts w:ascii="Arial" w:hAnsi="Arial" w:cs="Arial"/>
        </w:rPr>
      </w:pPr>
      <w:r>
        <w:rPr>
          <w:rFonts w:ascii="Arial" w:hAnsi="Arial" w:cs="Arial"/>
        </w:rPr>
        <w:t xml:space="preserve">The target demographic consisted of </w:t>
      </w:r>
      <w:proofErr w:type="spellStart"/>
      <w:r>
        <w:rPr>
          <w:rFonts w:ascii="Arial" w:hAnsi="Arial" w:cs="Arial"/>
        </w:rPr>
        <w:t>Atoin</w:t>
      </w:r>
      <w:proofErr w:type="spellEnd"/>
      <w:r>
        <w:rPr>
          <w:rFonts w:ascii="Arial" w:hAnsi="Arial" w:cs="Arial"/>
        </w:rPr>
        <w:t xml:space="preserve"> </w:t>
      </w:r>
      <w:proofErr w:type="spellStart"/>
      <w:r>
        <w:rPr>
          <w:rFonts w:ascii="Arial" w:hAnsi="Arial" w:cs="Arial"/>
        </w:rPr>
        <w:t>Meto</w:t>
      </w:r>
      <w:proofErr w:type="spellEnd"/>
      <w:r>
        <w:rPr>
          <w:rFonts w:ascii="Arial" w:hAnsi="Arial" w:cs="Arial"/>
        </w:rPr>
        <w:t xml:space="preserve"> maize farmers employing Good Agricultural Practices (GAP) in Timor Tengah Utara (TTU). According to administrative statistics from the district agricultural offices, the estimated accessible population comprises roughly 43,125 farmers organized into 1,725 registered farmer groups </w:t>
      </w:r>
      <w:r w:rsidR="00CE2FB7">
        <w:rPr>
          <w:rFonts w:ascii="Arial" w:hAnsi="Arial" w:cs="Arial"/>
        </w:rPr>
        <w:fldChar w:fldCharType="begin" w:fldLock="1"/>
      </w:r>
      <w:r w:rsidR="00CE2FB7">
        <w:rPr>
          <w:rFonts w:ascii="Arial" w:hAnsi="Arial" w:cs="Arial"/>
        </w:rPr>
        <w:instrText>ADDIN CSL_CITATION {"citationItems":[{"id":"ITEM-1","itemData":{"author":[{"dropping-particle":"","family":"Distan NTT","given":"","non-dropping-particle":"","parse-names":false,"suffix":""}],"id":"ITEM-1","issued":{"date-parts":[["2023"]]},"page":"2023","title":"Maize Production Statistics in East Nusa Tenggara Province (2018–2023) by Regency/Municipality","type":"article-journal"},"uris":["http://www.mendeley.com/documents/?uuid=03f6c355-8284-4327-a7b8-f9d261a08318"]}],"mendeley":{"formattedCitation":"(Distan NTT 2023)","plainTextFormattedCitation":"(Distan NTT 2023)","previouslyFormattedCitation":"(Distan NTT 2023)"},"properties":{"noteIndex":0},"schema":"https://github.com/citation-style-language/schema/raw/master/csl-citation.json"}</w:instrText>
      </w:r>
      <w:r w:rsidR="00CE2FB7">
        <w:rPr>
          <w:rFonts w:ascii="Arial" w:hAnsi="Arial" w:cs="Arial"/>
        </w:rPr>
        <w:fldChar w:fldCharType="separate"/>
      </w:r>
      <w:r w:rsidR="00CE2FB7" w:rsidRPr="00CE2FB7">
        <w:rPr>
          <w:rFonts w:ascii="Arial" w:hAnsi="Arial" w:cs="Arial"/>
          <w:noProof/>
        </w:rPr>
        <w:t>(Distan NTT 2023)</w:t>
      </w:r>
      <w:r w:rsidR="00CE2FB7">
        <w:rPr>
          <w:rFonts w:ascii="Arial" w:hAnsi="Arial" w:cs="Arial"/>
        </w:rPr>
        <w:fldChar w:fldCharType="end"/>
      </w:r>
      <w:r w:rsidR="00CE2FB7">
        <w:rPr>
          <w:rFonts w:ascii="Arial" w:hAnsi="Arial" w:cs="Arial"/>
        </w:rPr>
        <w:t xml:space="preserve">. </w:t>
      </w:r>
      <w:r>
        <w:rPr>
          <w:rFonts w:ascii="Arial" w:hAnsi="Arial" w:cs="Arial"/>
        </w:rPr>
        <w:t>The sampling framework consisted of a district-level list of qualified farmers, created and validated by local agricultural offices, who were actively engaged in maize cultivation and GAP implementation during the study period.</w:t>
      </w:r>
    </w:p>
    <w:p w14:paraId="6F7C522E" w14:textId="290A015A" w:rsidR="00EB6BA0" w:rsidRPr="001047A2" w:rsidRDefault="00803EB6" w:rsidP="00EB6BA0">
      <w:pPr>
        <w:pStyle w:val="Body"/>
        <w:spacing w:after="0"/>
        <w:ind w:firstLine="720"/>
        <w:rPr>
          <w:rFonts w:ascii="Arial" w:hAnsi="Arial" w:cs="Arial"/>
        </w:rPr>
      </w:pPr>
      <w:r>
        <w:rPr>
          <w:rFonts w:ascii="Arial" w:hAnsi="Arial" w:cs="Arial"/>
        </w:rPr>
        <w:t>The eligibility criteria included: (</w:t>
      </w:r>
      <w:proofErr w:type="spellStart"/>
      <w:r>
        <w:rPr>
          <w:rFonts w:ascii="Arial" w:hAnsi="Arial" w:cs="Arial"/>
        </w:rPr>
        <w:t>i</w:t>
      </w:r>
      <w:proofErr w:type="spellEnd"/>
      <w:r>
        <w:rPr>
          <w:rFonts w:ascii="Arial" w:hAnsi="Arial" w:cs="Arial"/>
        </w:rPr>
        <w:t xml:space="preserve">) self-identified </w:t>
      </w:r>
      <w:proofErr w:type="spellStart"/>
      <w:r>
        <w:rPr>
          <w:rFonts w:ascii="Arial" w:hAnsi="Arial" w:cs="Arial"/>
        </w:rPr>
        <w:t>Atoin</w:t>
      </w:r>
      <w:proofErr w:type="spellEnd"/>
      <w:r>
        <w:rPr>
          <w:rFonts w:ascii="Arial" w:hAnsi="Arial" w:cs="Arial"/>
        </w:rPr>
        <w:t xml:space="preserve"> </w:t>
      </w:r>
      <w:proofErr w:type="spellStart"/>
      <w:r>
        <w:rPr>
          <w:rFonts w:ascii="Arial" w:hAnsi="Arial" w:cs="Arial"/>
        </w:rPr>
        <w:t>Meto</w:t>
      </w:r>
      <w:proofErr w:type="spellEnd"/>
      <w:r>
        <w:rPr>
          <w:rFonts w:ascii="Arial" w:hAnsi="Arial" w:cs="Arial"/>
        </w:rPr>
        <w:t xml:space="preserve"> farmer; (ii) actively farming maize during the study period; (iii) inclusion in the validated district roster; and (iv) adherence to Good Agricultural Practices (GAP) in maize production. Farmers failing to achieve these requirements were excluded.</w:t>
      </w:r>
    </w:p>
    <w:p w14:paraId="0F699584" w14:textId="77777777" w:rsidR="00EB6BA0" w:rsidRPr="001047A2" w:rsidRDefault="00EB6BA0" w:rsidP="00EB6BA0">
      <w:pPr>
        <w:pStyle w:val="Body"/>
        <w:spacing w:after="0"/>
        <w:ind w:firstLine="720"/>
        <w:rPr>
          <w:rFonts w:ascii="Arial" w:hAnsi="Arial" w:cs="Arial"/>
        </w:rPr>
      </w:pPr>
    </w:p>
    <w:p w14:paraId="6099A485" w14:textId="77777777" w:rsidR="00EB6BA0" w:rsidRPr="001047A2" w:rsidRDefault="00EB6BA0" w:rsidP="00EB6BA0">
      <w:pPr>
        <w:pStyle w:val="Heading4"/>
        <w:numPr>
          <w:ilvl w:val="0"/>
          <w:numId w:val="3"/>
        </w:numPr>
        <w:tabs>
          <w:tab w:val="num" w:pos="360"/>
        </w:tabs>
        <w:spacing w:before="0"/>
        <w:ind w:left="709" w:hanging="633"/>
        <w:jc w:val="both"/>
        <w:rPr>
          <w:rFonts w:ascii="Arial" w:hAnsi="Arial" w:cs="Arial"/>
          <w:sz w:val="20"/>
          <w:szCs w:val="20"/>
        </w:rPr>
      </w:pPr>
      <w:r w:rsidRPr="001047A2">
        <w:rPr>
          <w:rFonts w:ascii="Arial" w:hAnsi="Arial" w:cs="Arial"/>
          <w:sz w:val="20"/>
          <w:szCs w:val="20"/>
        </w:rPr>
        <w:t>Sample size</w:t>
      </w:r>
    </w:p>
    <w:p w14:paraId="78B4416E" w14:textId="01B9633E" w:rsidR="00EB6BA0" w:rsidRPr="001047A2" w:rsidRDefault="00F271B5" w:rsidP="00EB6BA0">
      <w:pPr>
        <w:pStyle w:val="Body"/>
        <w:spacing w:after="0"/>
        <w:ind w:firstLine="720"/>
        <w:rPr>
          <w:rFonts w:ascii="Arial" w:hAnsi="Arial" w:cs="Arial"/>
        </w:rPr>
      </w:pPr>
      <w:r w:rsidRPr="00F271B5">
        <w:rPr>
          <w:rFonts w:ascii="Arial" w:hAnsi="Arial" w:cs="Arial"/>
        </w:rPr>
        <w:t xml:space="preserve">A target sample of 68 respondents was established to </w:t>
      </w:r>
      <w:r w:rsidRPr="004D01B1">
        <w:rPr>
          <w:rFonts w:ascii="Arial" w:hAnsi="Arial" w:cs="Arial"/>
        </w:rPr>
        <w:t>ensure</w:t>
      </w:r>
      <w:r w:rsidRPr="00F271B5">
        <w:rPr>
          <w:rFonts w:ascii="Arial" w:hAnsi="Arial" w:cs="Arial"/>
        </w:rPr>
        <w:t xml:space="preserve"> stable multivariable regression estimates and </w:t>
      </w:r>
      <w:r w:rsidRPr="004D01B1">
        <w:rPr>
          <w:rFonts w:ascii="Arial" w:hAnsi="Arial" w:cs="Arial"/>
        </w:rPr>
        <w:t>maintain</w:t>
      </w:r>
      <w:r w:rsidRPr="00F271B5">
        <w:rPr>
          <w:rFonts w:ascii="Arial" w:hAnsi="Arial" w:cs="Arial"/>
        </w:rPr>
        <w:t xml:space="preserve"> district-level proportional representation. Sample size planning adhered to current guidelines</w:t>
      </w:r>
      <w:r w:rsidRPr="004D01B1">
        <w:rPr>
          <w:rFonts w:ascii="Arial" w:hAnsi="Arial" w:cs="Arial"/>
        </w:rPr>
        <w:t xml:space="preserve"> emphasizing</w:t>
      </w:r>
      <w:r w:rsidRPr="00F271B5">
        <w:rPr>
          <w:rFonts w:ascii="Arial" w:hAnsi="Arial" w:cs="Arial"/>
        </w:rPr>
        <w:t xml:space="preserve"> the </w:t>
      </w:r>
      <w:r w:rsidRPr="004D01B1">
        <w:rPr>
          <w:rFonts w:ascii="Arial" w:hAnsi="Arial" w:cs="Arial"/>
        </w:rPr>
        <w:t>necessity</w:t>
      </w:r>
      <w:r w:rsidRPr="00F271B5">
        <w:rPr>
          <w:rFonts w:ascii="Arial" w:hAnsi="Arial" w:cs="Arial"/>
        </w:rPr>
        <w:t xml:space="preserve"> of defining the intended analysis, required precision, and power, as well as practical limitations, while acknowledging that 'rules-of-thumb' should not be applied in isolation for regression models (</w:t>
      </w:r>
      <w:proofErr w:type="spellStart"/>
      <w:r w:rsidRPr="00F271B5">
        <w:rPr>
          <w:rFonts w:ascii="Arial" w:hAnsi="Arial" w:cs="Arial"/>
        </w:rPr>
        <w:t>Althubaiti</w:t>
      </w:r>
      <w:proofErr w:type="spellEnd"/>
      <w:r w:rsidRPr="00F271B5">
        <w:rPr>
          <w:rFonts w:ascii="Arial" w:hAnsi="Arial" w:cs="Arial"/>
        </w:rPr>
        <w:t xml:space="preserve"> 2023)</w:t>
      </w:r>
    </w:p>
    <w:p w14:paraId="363F0FA6" w14:textId="77777777" w:rsidR="00EB6BA0" w:rsidRPr="001047A2" w:rsidRDefault="00EB6BA0" w:rsidP="00EB6BA0">
      <w:pPr>
        <w:pStyle w:val="Heading4"/>
        <w:numPr>
          <w:ilvl w:val="0"/>
          <w:numId w:val="3"/>
        </w:numPr>
        <w:tabs>
          <w:tab w:val="num" w:pos="360"/>
        </w:tabs>
        <w:spacing w:before="0"/>
        <w:ind w:left="709" w:hanging="633"/>
        <w:jc w:val="both"/>
        <w:rPr>
          <w:rFonts w:ascii="Arial" w:hAnsi="Arial" w:cs="Arial"/>
          <w:sz w:val="20"/>
          <w:szCs w:val="20"/>
        </w:rPr>
      </w:pPr>
      <w:r w:rsidRPr="001047A2">
        <w:rPr>
          <w:rFonts w:ascii="Arial" w:hAnsi="Arial" w:cs="Arial"/>
          <w:sz w:val="20"/>
          <w:szCs w:val="20"/>
        </w:rPr>
        <w:t>Sampling procedure (systematic random sampling; direct selection of respondents)</w:t>
      </w:r>
    </w:p>
    <w:p w14:paraId="727A1E37" w14:textId="4B618658" w:rsidR="00C131C9" w:rsidRPr="00C131C9" w:rsidRDefault="00C131C9" w:rsidP="00C131C9">
      <w:pPr>
        <w:pStyle w:val="Body"/>
        <w:spacing w:after="0"/>
        <w:ind w:firstLine="720"/>
        <w:rPr>
          <w:rFonts w:ascii="Arial" w:hAnsi="Arial" w:cs="Arial"/>
        </w:rPr>
      </w:pPr>
      <w:r w:rsidRPr="00C131C9">
        <w:rPr>
          <w:rFonts w:ascii="Arial" w:hAnsi="Arial" w:cs="Arial"/>
        </w:rPr>
        <w:t xml:space="preserve">The sampling in Timor Tengah Utara (TTU) employed a three-stage probability design. First, the TTU sample quota (n = 68) was allocated proportionally based on the number of farmer groups in TTU (1,725 groups) relative to the combined frame of three districts (7,612 groups) </w:t>
      </w:r>
      <w:r w:rsidR="00CE2FB7">
        <w:rPr>
          <w:rFonts w:ascii="Arial" w:hAnsi="Arial" w:cs="Arial"/>
        </w:rPr>
        <w:fldChar w:fldCharType="begin" w:fldLock="1"/>
      </w:r>
      <w:r w:rsidR="00CE2FB7">
        <w:rPr>
          <w:rFonts w:ascii="Arial" w:hAnsi="Arial" w:cs="Arial"/>
        </w:rPr>
        <w:instrText>ADDIN CSL_CITATION {"citationItems":[{"id":"ITEM-1","itemData":{"author":[{"dropping-particle":"","family":"Distan NTT","given":"","non-dropping-particle":"","parse-names":false,"suffix":""}],"id":"ITEM-1","issued":{"date-parts":[["2023"]]},"page":"2023","title":"Maize Production Statistics in East Nusa Tenggara Province (2018–2023) by Regency/Municipality","type":"article-journal"},"uris":["http://www.mendeley.com/documents/?uuid=03f6c355-8284-4327-a7b8-f9d261a08318"]}],"mendeley":{"formattedCitation":"(Distan NTT 2023)","plainTextFormattedCitation":"(Distan NTT 2023)","previouslyFormattedCitation":"(Distan NTT 2023)"},"properties":{"noteIndex":0},"schema":"https://github.com/citation-style-language/schema/raw/master/csl-citation.json"}</w:instrText>
      </w:r>
      <w:r w:rsidR="00CE2FB7">
        <w:rPr>
          <w:rFonts w:ascii="Arial" w:hAnsi="Arial" w:cs="Arial"/>
        </w:rPr>
        <w:fldChar w:fldCharType="separate"/>
      </w:r>
      <w:r w:rsidR="00CE2FB7" w:rsidRPr="00CE2FB7">
        <w:rPr>
          <w:rFonts w:ascii="Arial" w:hAnsi="Arial" w:cs="Arial"/>
          <w:noProof/>
        </w:rPr>
        <w:t>(Distan NTT 2023)</w:t>
      </w:r>
      <w:r w:rsidR="00CE2FB7">
        <w:rPr>
          <w:rFonts w:ascii="Arial" w:hAnsi="Arial" w:cs="Arial"/>
        </w:rPr>
        <w:fldChar w:fldCharType="end"/>
      </w:r>
      <w:r w:rsidRPr="00C131C9">
        <w:rPr>
          <w:rFonts w:ascii="Arial" w:hAnsi="Arial" w:cs="Arial"/>
        </w:rPr>
        <w:t xml:space="preserve">. Second, seven farmer groups were selected from the official TTU district roster using systematic random sampling with an interval of k = 1,725/7 ≈ 246 and a random start of 123, yielding selections at positions 123, 369, 615, 861, 1,107, 1,353, and 1,599 </w:t>
      </w:r>
      <w:r w:rsidRPr="002B717B">
        <w:rPr>
          <w:rStyle w:val="Strong"/>
          <w:rFonts w:ascii="Arial" w:hAnsi="Arial" w:cs="Arial"/>
          <w:b w:val="0"/>
          <w:bCs w:val="0"/>
        </w:rPr>
        <w:fldChar w:fldCharType="begin" w:fldLock="1"/>
      </w:r>
      <w:r w:rsidRPr="002B717B">
        <w:rPr>
          <w:rStyle w:val="Strong"/>
          <w:rFonts w:ascii="Arial" w:hAnsi="Arial" w:cs="Arial"/>
          <w:b w:val="0"/>
          <w:bCs w:val="0"/>
        </w:rPr>
        <w:instrText>ADDIN CSL_CITATION {"citationItems":[{"id":"ITEM-1","itemData":{"DOI":"10.1371/journal.pone.0330238","ISSN":"1932-6203","PMID":"41481558","abstract":"BACKGROUND: Human Immunodeficiency Virus (HIV) remains a major global health challenge, particularly in sub-Saharan Africa. It is a multisystem disorder with significant renal involvement. In Ethiopia, limited data exist on the prevalence of impaired estimated glomerular filtration rate among patients with Human Immunodeficiency Virus. Identifying associated factors is critical for implementing targeted interventions to preserve renal function. METHODS: An institution-based cross-sectional study was conducted among 252 adult patients living with Human Immunodeficiency Virus from October 1 to December 30, 2024 at Asella Referral and Teaching Hospital. Data were collected via structured questionnaires and medical record reviews. Bivariate and multivariate logistic regression analyses were performed to identify factors associated with impaired glomerular filtration rate (estimated glomerular filtration rate &lt;60 mL/min/1.73m2). RESULT: The prevalence of impaired glomerular filtration rate was 18.7% (95% CI: 14.0-23.0). Factors significantly associated with impaired glomerular filtration rate included age &gt; 40 years (AOR = 3.26; 95%CI: 1.17-9.12), history of smoking (AOR = 4.68; 95% CI: 1.87-11.70), opportunistic infections (AOR = 5.93; 95% CI: 2.23-15.74), diabetes mellitus (AOR = 3.86; 95% CI: 1.47-10.12) and hypertension (AOR = 2.71; CI: 1.07-6.82). CONCLUSION: The study found that around 19% of the studied population had impaired glomerular filtration rate. Targeted screening for kidney disease should focus on individuals older than 40years, smokers and those with opportunistic infections, diabetes mellitus or hypertension.","author":[{"dropping-particle":"","family":"Dadi","given":"Tamiru Adugna","non-dropping-particle":"","parse-names":false,"suffix":""},{"dropping-particle":"","family":"Bedada","given":"Teshome Tola","non-dropping-particle":"","parse-names":false,"suffix":""},{"dropping-particle":"","family":"Akako","given":"Abdurke Dido","non-dropping-particle":"","parse-names":false,"suffix":""},{"dropping-particle":"","family":"Wodajo","given":"Legesse Tadesse","non-dropping-particle":"","parse-names":false,"suffix":""},{"dropping-particle":"","family":"Moges","given":"Sebona Girma","non-dropping-particle":"","parse-names":false,"suffix":""},{"dropping-particle":"","family":"Alemu","given":"Wubshet Abraham","non-dropping-particle":"","parse-names":false,"suffix":""}],"container-title":"PLOS One","editor":[{"dropping-particle":"","family":"McGrowder","given":"Donovan Anthony","non-dropping-particle":"","parse-names":false,"suffix":""}],"id":"ITEM-1","issue":"1","issued":{"date-parts":[["2026","1","2"]]},"page":"e0330238","title":"Impaired estimated glomerular filtration rate and associated factors among adult patients living with HIV at Asella Referral and Teaching Hospital, Ethiopia: A cross-sectional study","type":"article-journal","volume":"21"},"uris":["http://www.mendeley.com/documents/?uuid=0a7937d4-b683-4969-ac13-b12b98dd6331"]}],"mendeley":{"formattedCitation":"(Dadi et al. 2026)","plainTextFormattedCitation":"(Dadi et al. 2026)","previouslyFormattedCitation":"(Dadi et al. 2026)"},"properties":{"noteIndex":0},"schema":"https://github.com/citation-style-language/schema/raw/master/csl-citation.json"}</w:instrText>
      </w:r>
      <w:r w:rsidRPr="002B717B">
        <w:rPr>
          <w:rStyle w:val="Strong"/>
          <w:rFonts w:ascii="Arial" w:hAnsi="Arial" w:cs="Arial"/>
          <w:b w:val="0"/>
          <w:bCs w:val="0"/>
        </w:rPr>
        <w:fldChar w:fldCharType="separate"/>
      </w:r>
      <w:r w:rsidRPr="002B717B">
        <w:rPr>
          <w:rStyle w:val="Strong"/>
          <w:rFonts w:ascii="Arial" w:hAnsi="Arial" w:cs="Arial"/>
          <w:b w:val="0"/>
          <w:bCs w:val="0"/>
          <w:noProof/>
        </w:rPr>
        <w:t>(Dadi et al. 2026)</w:t>
      </w:r>
      <w:r w:rsidRPr="002B717B">
        <w:rPr>
          <w:rStyle w:val="Strong"/>
          <w:rFonts w:ascii="Arial" w:hAnsi="Arial" w:cs="Arial"/>
          <w:b w:val="0"/>
          <w:bCs w:val="0"/>
        </w:rPr>
        <w:fldChar w:fldCharType="end"/>
      </w:r>
      <w:r w:rsidRPr="00C131C9">
        <w:rPr>
          <w:rFonts w:ascii="Arial" w:hAnsi="Arial" w:cs="Arial"/>
        </w:rPr>
        <w:t>. Third, eligible farmers were selected systematically from each selected group roster; to meet the predetermined TTU quota, 10 farmers were sampled from each of six groups and 8 farmers from the remaining group, resulting in a final analytic sample of 68 respondents. All 68 observations were retained for regression analyses, as no missing data were identified.</w:t>
      </w:r>
    </w:p>
    <w:p w14:paraId="318C00A4" w14:textId="6C86AECD" w:rsidR="002B717B" w:rsidRDefault="002B717B" w:rsidP="00EB6BA0">
      <w:pPr>
        <w:pStyle w:val="Body"/>
        <w:spacing w:after="0"/>
        <w:ind w:firstLine="720"/>
        <w:rPr>
          <w:rStyle w:val="Strong"/>
          <w:rFonts w:ascii="Arial" w:hAnsi="Arial" w:cs="Arial"/>
          <w:b w:val="0"/>
          <w:bCs w:val="0"/>
        </w:rPr>
      </w:pPr>
    </w:p>
    <w:p w14:paraId="1A2F72D5" w14:textId="77777777" w:rsidR="00EB6BA0" w:rsidRPr="001047A2" w:rsidRDefault="00EB6BA0" w:rsidP="001047A2">
      <w:pPr>
        <w:pStyle w:val="Heading3"/>
        <w:numPr>
          <w:ilvl w:val="0"/>
          <w:numId w:val="2"/>
        </w:numPr>
        <w:spacing w:before="120"/>
        <w:ind w:left="426" w:hanging="426"/>
        <w:jc w:val="both"/>
        <w:rPr>
          <w:rFonts w:ascii="Arial" w:hAnsi="Arial" w:cs="Arial"/>
          <w:color w:val="auto"/>
          <w:szCs w:val="24"/>
        </w:rPr>
      </w:pPr>
      <w:r w:rsidRPr="001047A2">
        <w:rPr>
          <w:rFonts w:ascii="Arial" w:hAnsi="Arial" w:cs="Arial"/>
          <w:color w:val="auto"/>
          <w:sz w:val="20"/>
          <w:szCs w:val="20"/>
        </w:rPr>
        <w:t>Study variables and operational definitions</w:t>
      </w:r>
    </w:p>
    <w:p w14:paraId="2955275A" w14:textId="68AD0E26" w:rsidR="00EB6BA0" w:rsidRPr="001047A2" w:rsidRDefault="00EB6BA0" w:rsidP="00CE2FB7">
      <w:pPr>
        <w:pStyle w:val="Heading4"/>
        <w:numPr>
          <w:ilvl w:val="0"/>
          <w:numId w:val="8"/>
        </w:numPr>
        <w:spacing w:before="120"/>
        <w:ind w:left="709" w:hanging="635"/>
        <w:jc w:val="both"/>
        <w:rPr>
          <w:rFonts w:ascii="Arial" w:hAnsi="Arial" w:cs="Arial"/>
        </w:rPr>
      </w:pPr>
      <w:r w:rsidRPr="001047A2">
        <w:rPr>
          <w:rFonts w:ascii="Arial" w:hAnsi="Arial" w:cs="Arial"/>
          <w:sz w:val="20"/>
          <w:szCs w:val="20"/>
        </w:rPr>
        <w:t>Outcome variable</w:t>
      </w:r>
    </w:p>
    <w:p w14:paraId="42D37698" w14:textId="53CA0717" w:rsidR="00EB6BA0" w:rsidRPr="001047A2" w:rsidRDefault="00F271B5" w:rsidP="00EB6BA0">
      <w:pPr>
        <w:pStyle w:val="Body"/>
        <w:spacing w:after="0"/>
        <w:ind w:firstLine="720"/>
        <w:rPr>
          <w:rFonts w:ascii="Arial" w:hAnsi="Arial" w:cs="Arial"/>
        </w:rPr>
      </w:pPr>
      <w:r w:rsidRPr="00F271B5">
        <w:rPr>
          <w:rFonts w:ascii="Arial" w:hAnsi="Arial" w:cs="Arial"/>
        </w:rPr>
        <w:t xml:space="preserve">The dependent variable (Y) was household maize food availability, measured as a composite score of six Likert-type items assessing production sufficiency, accessibility, storage duration, safe storage practices, grain quality, and harvesting convenience. Items were rated on a scale of 1 to 5 and summed (range 6–30); higher scores represent improved food </w:t>
      </w:r>
      <w:proofErr w:type="gramStart"/>
      <w:r w:rsidRPr="00F271B5">
        <w:rPr>
          <w:rFonts w:ascii="Arial" w:hAnsi="Arial" w:cs="Arial"/>
        </w:rPr>
        <w:t>availability.</w:t>
      </w:r>
      <w:r w:rsidR="005B287C">
        <w:rPr>
          <w:rFonts w:ascii="Arial" w:hAnsi="Arial" w:cs="Arial"/>
        </w:rPr>
        <w:t>.</w:t>
      </w:r>
      <w:proofErr w:type="gramEnd"/>
    </w:p>
    <w:p w14:paraId="45798953" w14:textId="77777777" w:rsidR="00EB6BA0" w:rsidRPr="001047A2" w:rsidRDefault="00EB6BA0" w:rsidP="00EB6BA0">
      <w:pPr>
        <w:pStyle w:val="NormalWeb"/>
        <w:spacing w:before="0" w:beforeAutospacing="0" w:after="0" w:afterAutospacing="0"/>
        <w:jc w:val="both"/>
        <w:rPr>
          <w:rFonts w:ascii="Arial" w:hAnsi="Arial" w:cs="Arial"/>
          <w:sz w:val="20"/>
          <w:szCs w:val="20"/>
          <w:lang w:val="en-US"/>
        </w:rPr>
      </w:pPr>
    </w:p>
    <w:p w14:paraId="62960267" w14:textId="7A55CF8D" w:rsidR="00EB6BA0" w:rsidRDefault="00EB6BA0" w:rsidP="00EB6BA0">
      <w:pPr>
        <w:pStyle w:val="Heading4"/>
        <w:numPr>
          <w:ilvl w:val="0"/>
          <w:numId w:val="8"/>
        </w:numPr>
        <w:spacing w:before="120"/>
        <w:ind w:left="709" w:hanging="635"/>
        <w:jc w:val="both"/>
        <w:rPr>
          <w:rFonts w:ascii="Arial" w:hAnsi="Arial" w:cs="Arial"/>
          <w:sz w:val="20"/>
          <w:szCs w:val="20"/>
        </w:rPr>
      </w:pPr>
      <w:r w:rsidRPr="001047A2">
        <w:rPr>
          <w:rFonts w:ascii="Arial" w:hAnsi="Arial" w:cs="Arial"/>
          <w:sz w:val="20"/>
          <w:szCs w:val="20"/>
        </w:rPr>
        <w:lastRenderedPageBreak/>
        <w:t>Explanatory variables</w:t>
      </w:r>
    </w:p>
    <w:p w14:paraId="7F11501B" w14:textId="77777777" w:rsidR="005E32B5" w:rsidRPr="005E32B5" w:rsidRDefault="005E32B5" w:rsidP="005E32B5">
      <w:pPr>
        <w:pStyle w:val="Body"/>
        <w:spacing w:after="0"/>
        <w:ind w:firstLine="720"/>
        <w:rPr>
          <w:rFonts w:ascii="Arial" w:hAnsi="Arial" w:cs="Arial"/>
        </w:rPr>
      </w:pPr>
      <w:r w:rsidRPr="005E32B5">
        <w:rPr>
          <w:rFonts w:ascii="Arial" w:hAnsi="Arial" w:cs="Arial"/>
        </w:rPr>
        <w:t>Perceived roles of agricultural extension agents were assessed as independent variables using 20 Likert-type items across three dimensions: (X1) Facilitator and Educator (6 items; total score range 6–30), (X2) Technical Advisor and Motivator (7 items; total score range 7–35), and (X3) Organizer and Linkage (7 items; total score range 7–35). Higher scores indicate a stronger perceived role performance of extension agents.</w:t>
      </w:r>
    </w:p>
    <w:p w14:paraId="4E045AAC" w14:textId="6C9C0F3C" w:rsidR="00EB6BA0" w:rsidRPr="001047A2" w:rsidRDefault="00EB6BA0" w:rsidP="00EB6BA0">
      <w:pPr>
        <w:pStyle w:val="Body"/>
        <w:spacing w:after="0"/>
        <w:ind w:firstLine="720"/>
        <w:rPr>
          <w:rFonts w:ascii="Arial" w:hAnsi="Arial" w:cs="Arial"/>
        </w:rPr>
      </w:pPr>
    </w:p>
    <w:p w14:paraId="18175480" w14:textId="03221165" w:rsidR="00EB6BA0" w:rsidRPr="001047A2" w:rsidRDefault="00EB6BA0" w:rsidP="00CE2FB7">
      <w:pPr>
        <w:pStyle w:val="Heading4"/>
        <w:numPr>
          <w:ilvl w:val="0"/>
          <w:numId w:val="8"/>
        </w:numPr>
        <w:spacing w:before="120"/>
        <w:ind w:left="709" w:hanging="635"/>
        <w:jc w:val="both"/>
        <w:rPr>
          <w:rFonts w:ascii="Arial" w:hAnsi="Arial" w:cs="Arial"/>
          <w:sz w:val="20"/>
          <w:szCs w:val="20"/>
        </w:rPr>
      </w:pPr>
      <w:r w:rsidRPr="001047A2">
        <w:rPr>
          <w:rFonts w:ascii="Arial" w:hAnsi="Arial" w:cs="Arial"/>
          <w:sz w:val="20"/>
          <w:szCs w:val="20"/>
        </w:rPr>
        <w:t>Achievement percentage and descriptive categories</w:t>
      </w:r>
    </w:p>
    <w:p w14:paraId="1D5BE847" w14:textId="167CF91B" w:rsidR="00717798" w:rsidRPr="00717798" w:rsidRDefault="00717798" w:rsidP="00717798">
      <w:pPr>
        <w:pStyle w:val="Body"/>
        <w:spacing w:after="0"/>
        <w:ind w:firstLine="720"/>
        <w:rPr>
          <w:rStyle w:val="Emphasis"/>
          <w:rFonts w:ascii="Arial" w:hAnsi="Arial" w:cs="Arial"/>
          <w:i w:val="0"/>
          <w:iCs w:val="0"/>
        </w:rPr>
      </w:pPr>
      <w:r w:rsidRPr="00717798">
        <w:rPr>
          <w:rStyle w:val="Emphasis"/>
          <w:rFonts w:ascii="Arial" w:hAnsi="Arial" w:cs="Arial"/>
          <w:i w:val="0"/>
          <w:iCs w:val="0"/>
        </w:rPr>
        <w:t xml:space="preserve">For descriptive analysis, each composite score was transformed into an achievement percentage using the formula: Achievement (%) = (observed score / maximum possible score) × 100. The resulting percentages were classified into five established achievement levels to facilitate interpretation and comparison across constructs: 0–20% (very low), 21–40% (low), 41–60% (moderate), 61–80% (high), and 81–100% (very high). </w:t>
      </w:r>
      <w:r w:rsidR="00C65EC0">
        <w:rPr>
          <w:rStyle w:val="Emphasis"/>
          <w:rFonts w:ascii="Arial" w:hAnsi="Arial" w:cs="Arial"/>
          <w:i w:val="0"/>
          <w:iCs w:val="0"/>
        </w:rPr>
        <w:t>Chart</w:t>
      </w:r>
      <w:r w:rsidRPr="00717798">
        <w:rPr>
          <w:rStyle w:val="Emphasis"/>
          <w:rFonts w:ascii="Arial" w:hAnsi="Arial" w:cs="Arial"/>
          <w:i w:val="0"/>
          <w:iCs w:val="0"/>
        </w:rPr>
        <w:t xml:space="preserve"> 1 presents the corresponding labels for the research variables (maize food availability and the roles of extension agents), along with the complete cut-off system.</w:t>
      </w:r>
    </w:p>
    <w:p w14:paraId="00D275E0" w14:textId="069C6126" w:rsidR="00EB6BA0" w:rsidRPr="001047A2" w:rsidRDefault="00C65EC0" w:rsidP="00EB6BA0">
      <w:pPr>
        <w:pStyle w:val="NormalWeb"/>
        <w:spacing w:before="120" w:beforeAutospacing="0" w:after="0" w:afterAutospacing="0"/>
        <w:rPr>
          <w:rFonts w:ascii="Arial" w:hAnsi="Arial" w:cs="Arial"/>
          <w:sz w:val="20"/>
          <w:szCs w:val="20"/>
        </w:rPr>
      </w:pPr>
      <w:r>
        <w:rPr>
          <w:rFonts w:ascii="Arial" w:hAnsi="Arial" w:cs="Arial"/>
          <w:sz w:val="20"/>
          <w:szCs w:val="20"/>
        </w:rPr>
        <w:t>Chart</w:t>
      </w:r>
      <w:r w:rsidR="00EB6BA0" w:rsidRPr="001047A2">
        <w:rPr>
          <w:rFonts w:ascii="Arial" w:hAnsi="Arial" w:cs="Arial"/>
          <w:sz w:val="20"/>
          <w:szCs w:val="20"/>
        </w:rPr>
        <w:t xml:space="preserve"> 1. Achievement-level cut-offs used for descriptive categorization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9"/>
        <w:gridCol w:w="1405"/>
        <w:gridCol w:w="1202"/>
        <w:gridCol w:w="1911"/>
        <w:gridCol w:w="1174"/>
        <w:gridCol w:w="1629"/>
      </w:tblGrid>
      <w:tr w:rsidR="00EB6BA0" w:rsidRPr="001047A2" w14:paraId="168C8C12" w14:textId="77777777" w:rsidTr="00332F7F">
        <w:trPr>
          <w:tblHeader/>
          <w:tblCellSpacing w:w="15" w:type="dxa"/>
        </w:trPr>
        <w:tc>
          <w:tcPr>
            <w:tcW w:w="0" w:type="auto"/>
            <w:tcBorders>
              <w:top w:val="single" w:sz="4" w:space="0" w:color="auto"/>
              <w:bottom w:val="single" w:sz="4" w:space="0" w:color="auto"/>
            </w:tcBorders>
            <w:vAlign w:val="center"/>
            <w:hideMark/>
          </w:tcPr>
          <w:p w14:paraId="2500C51A" w14:textId="77777777" w:rsidR="00EB6BA0" w:rsidRPr="001047A2" w:rsidRDefault="00EB6BA0" w:rsidP="001047A2">
            <w:pPr>
              <w:spacing w:after="0" w:line="240" w:lineRule="auto"/>
              <w:jc w:val="center"/>
              <w:rPr>
                <w:rFonts w:ascii="Arial" w:hAnsi="Arial" w:cs="Arial"/>
                <w:sz w:val="20"/>
                <w:szCs w:val="20"/>
                <w:lang w:val="id-ID" w:eastAsia="id-ID"/>
              </w:rPr>
            </w:pPr>
            <w:r w:rsidRPr="001047A2">
              <w:rPr>
                <w:rFonts w:ascii="Arial" w:hAnsi="Arial" w:cs="Arial"/>
                <w:sz w:val="20"/>
                <w:szCs w:val="20"/>
                <w:lang w:val="id-ID" w:eastAsia="id-ID"/>
              </w:rPr>
              <w:t>Achievement level (%)</w:t>
            </w:r>
          </w:p>
        </w:tc>
        <w:tc>
          <w:tcPr>
            <w:tcW w:w="0" w:type="auto"/>
            <w:tcBorders>
              <w:top w:val="single" w:sz="4" w:space="0" w:color="auto"/>
              <w:bottom w:val="single" w:sz="4" w:space="0" w:color="auto"/>
            </w:tcBorders>
            <w:vAlign w:val="center"/>
            <w:hideMark/>
          </w:tcPr>
          <w:p w14:paraId="29964F2A" w14:textId="77777777" w:rsidR="00EB6BA0" w:rsidRPr="001047A2" w:rsidRDefault="00EB6BA0" w:rsidP="001047A2">
            <w:pPr>
              <w:spacing w:after="0" w:line="240" w:lineRule="auto"/>
              <w:jc w:val="center"/>
              <w:rPr>
                <w:rFonts w:ascii="Arial" w:hAnsi="Arial" w:cs="Arial"/>
                <w:sz w:val="20"/>
                <w:szCs w:val="20"/>
                <w:lang w:val="id-ID" w:eastAsia="id-ID"/>
              </w:rPr>
            </w:pPr>
            <w:r w:rsidRPr="001047A2">
              <w:rPr>
                <w:rFonts w:ascii="Arial" w:hAnsi="Arial" w:cs="Arial"/>
                <w:sz w:val="20"/>
                <w:szCs w:val="20"/>
                <w:lang w:val="id-ID" w:eastAsia="id-ID"/>
              </w:rPr>
              <w:t>0–20</w:t>
            </w:r>
          </w:p>
        </w:tc>
        <w:tc>
          <w:tcPr>
            <w:tcW w:w="0" w:type="auto"/>
            <w:tcBorders>
              <w:top w:val="single" w:sz="4" w:space="0" w:color="auto"/>
              <w:bottom w:val="single" w:sz="4" w:space="0" w:color="auto"/>
            </w:tcBorders>
            <w:vAlign w:val="center"/>
            <w:hideMark/>
          </w:tcPr>
          <w:p w14:paraId="0667BFA3" w14:textId="77777777" w:rsidR="00EB6BA0" w:rsidRPr="001047A2" w:rsidRDefault="00EB6BA0" w:rsidP="001047A2">
            <w:pPr>
              <w:spacing w:after="0" w:line="240" w:lineRule="auto"/>
              <w:jc w:val="center"/>
              <w:rPr>
                <w:rFonts w:ascii="Arial" w:hAnsi="Arial" w:cs="Arial"/>
                <w:sz w:val="20"/>
                <w:szCs w:val="20"/>
                <w:lang w:val="id-ID" w:eastAsia="id-ID"/>
              </w:rPr>
            </w:pPr>
            <w:r w:rsidRPr="001047A2">
              <w:rPr>
                <w:rFonts w:ascii="Arial" w:hAnsi="Arial" w:cs="Arial"/>
                <w:sz w:val="20"/>
                <w:szCs w:val="20"/>
                <w:lang w:val="id-ID" w:eastAsia="id-ID"/>
              </w:rPr>
              <w:t>&gt;21–40</w:t>
            </w:r>
          </w:p>
        </w:tc>
        <w:tc>
          <w:tcPr>
            <w:tcW w:w="0" w:type="auto"/>
            <w:tcBorders>
              <w:top w:val="single" w:sz="4" w:space="0" w:color="auto"/>
              <w:bottom w:val="single" w:sz="4" w:space="0" w:color="auto"/>
            </w:tcBorders>
            <w:vAlign w:val="center"/>
            <w:hideMark/>
          </w:tcPr>
          <w:p w14:paraId="552F82FA" w14:textId="77777777" w:rsidR="00EB6BA0" w:rsidRPr="001047A2" w:rsidRDefault="00EB6BA0" w:rsidP="001047A2">
            <w:pPr>
              <w:spacing w:after="0" w:line="240" w:lineRule="auto"/>
              <w:jc w:val="center"/>
              <w:rPr>
                <w:rFonts w:ascii="Arial" w:hAnsi="Arial" w:cs="Arial"/>
                <w:sz w:val="20"/>
                <w:szCs w:val="20"/>
                <w:lang w:val="id-ID" w:eastAsia="id-ID"/>
              </w:rPr>
            </w:pPr>
            <w:r w:rsidRPr="001047A2">
              <w:rPr>
                <w:rFonts w:ascii="Arial" w:hAnsi="Arial" w:cs="Arial"/>
                <w:sz w:val="20"/>
                <w:szCs w:val="20"/>
                <w:lang w:val="id-ID" w:eastAsia="id-ID"/>
              </w:rPr>
              <w:t>&gt;41–60</w:t>
            </w:r>
          </w:p>
        </w:tc>
        <w:tc>
          <w:tcPr>
            <w:tcW w:w="0" w:type="auto"/>
            <w:tcBorders>
              <w:top w:val="single" w:sz="4" w:space="0" w:color="auto"/>
              <w:bottom w:val="single" w:sz="4" w:space="0" w:color="auto"/>
            </w:tcBorders>
            <w:vAlign w:val="center"/>
            <w:hideMark/>
          </w:tcPr>
          <w:p w14:paraId="1AC0A034" w14:textId="77777777" w:rsidR="00EB6BA0" w:rsidRPr="001047A2" w:rsidRDefault="00EB6BA0" w:rsidP="001047A2">
            <w:pPr>
              <w:spacing w:after="0" w:line="240" w:lineRule="auto"/>
              <w:jc w:val="center"/>
              <w:rPr>
                <w:rFonts w:ascii="Arial" w:hAnsi="Arial" w:cs="Arial"/>
                <w:sz w:val="20"/>
                <w:szCs w:val="20"/>
                <w:lang w:val="id-ID" w:eastAsia="id-ID"/>
              </w:rPr>
            </w:pPr>
            <w:r w:rsidRPr="001047A2">
              <w:rPr>
                <w:rFonts w:ascii="Arial" w:hAnsi="Arial" w:cs="Arial"/>
                <w:sz w:val="20"/>
                <w:szCs w:val="20"/>
                <w:lang w:val="id-ID" w:eastAsia="id-ID"/>
              </w:rPr>
              <w:t>&gt;61–80</w:t>
            </w:r>
          </w:p>
        </w:tc>
        <w:tc>
          <w:tcPr>
            <w:tcW w:w="0" w:type="auto"/>
            <w:tcBorders>
              <w:top w:val="single" w:sz="4" w:space="0" w:color="auto"/>
              <w:bottom w:val="single" w:sz="4" w:space="0" w:color="auto"/>
            </w:tcBorders>
            <w:vAlign w:val="center"/>
            <w:hideMark/>
          </w:tcPr>
          <w:p w14:paraId="6ACEB1EC" w14:textId="77777777" w:rsidR="00EB6BA0" w:rsidRPr="001047A2" w:rsidRDefault="00EB6BA0" w:rsidP="001047A2">
            <w:pPr>
              <w:spacing w:after="0" w:line="240" w:lineRule="auto"/>
              <w:jc w:val="center"/>
              <w:rPr>
                <w:rFonts w:ascii="Arial" w:hAnsi="Arial" w:cs="Arial"/>
                <w:sz w:val="20"/>
                <w:szCs w:val="20"/>
                <w:lang w:val="id-ID" w:eastAsia="id-ID"/>
              </w:rPr>
            </w:pPr>
            <w:r w:rsidRPr="001047A2">
              <w:rPr>
                <w:rFonts w:ascii="Arial" w:hAnsi="Arial" w:cs="Arial"/>
                <w:sz w:val="20"/>
                <w:szCs w:val="20"/>
                <w:lang w:val="id-ID" w:eastAsia="id-ID"/>
              </w:rPr>
              <w:t>&gt;81–100</w:t>
            </w:r>
          </w:p>
        </w:tc>
      </w:tr>
      <w:tr w:rsidR="00EB6BA0" w:rsidRPr="001047A2" w14:paraId="3214B6EE" w14:textId="77777777" w:rsidTr="00332F7F">
        <w:trPr>
          <w:tblCellSpacing w:w="15" w:type="dxa"/>
        </w:trPr>
        <w:tc>
          <w:tcPr>
            <w:tcW w:w="0" w:type="auto"/>
            <w:vAlign w:val="center"/>
            <w:hideMark/>
          </w:tcPr>
          <w:p w14:paraId="28E64038" w14:textId="77777777" w:rsidR="00EB6BA0" w:rsidRPr="001047A2" w:rsidRDefault="00EB6BA0" w:rsidP="001047A2">
            <w:pPr>
              <w:spacing w:after="0" w:line="240" w:lineRule="auto"/>
              <w:rPr>
                <w:rFonts w:ascii="Arial" w:hAnsi="Arial" w:cs="Arial"/>
                <w:sz w:val="20"/>
                <w:szCs w:val="20"/>
                <w:lang w:val="id-ID" w:eastAsia="id-ID"/>
              </w:rPr>
            </w:pPr>
            <w:r w:rsidRPr="001047A2">
              <w:rPr>
                <w:rFonts w:ascii="Arial" w:hAnsi="Arial" w:cs="Arial"/>
                <w:sz w:val="20"/>
                <w:szCs w:val="20"/>
                <w:lang w:val="id-ID" w:eastAsia="id-ID"/>
              </w:rPr>
              <w:t>Maize food availability (Y)</w:t>
            </w:r>
          </w:p>
        </w:tc>
        <w:tc>
          <w:tcPr>
            <w:tcW w:w="0" w:type="auto"/>
            <w:vAlign w:val="center"/>
            <w:hideMark/>
          </w:tcPr>
          <w:p w14:paraId="243A683B" w14:textId="77777777" w:rsidR="00EB6BA0" w:rsidRPr="001047A2" w:rsidRDefault="00EB6BA0" w:rsidP="001047A2">
            <w:pPr>
              <w:spacing w:after="0" w:line="240" w:lineRule="auto"/>
              <w:rPr>
                <w:rFonts w:ascii="Arial" w:hAnsi="Arial" w:cs="Arial"/>
                <w:sz w:val="20"/>
                <w:szCs w:val="20"/>
                <w:lang w:val="id-ID" w:eastAsia="id-ID"/>
              </w:rPr>
            </w:pPr>
            <w:r w:rsidRPr="001047A2">
              <w:rPr>
                <w:rFonts w:ascii="Arial" w:hAnsi="Arial" w:cs="Arial"/>
                <w:sz w:val="20"/>
                <w:szCs w:val="20"/>
                <w:lang w:val="id-ID" w:eastAsia="id-ID"/>
              </w:rPr>
              <w:t>Very low (never)</w:t>
            </w:r>
          </w:p>
        </w:tc>
        <w:tc>
          <w:tcPr>
            <w:tcW w:w="0" w:type="auto"/>
            <w:vAlign w:val="center"/>
            <w:hideMark/>
          </w:tcPr>
          <w:p w14:paraId="6FBD68A3" w14:textId="77777777" w:rsidR="00EB6BA0" w:rsidRPr="001047A2" w:rsidRDefault="00EB6BA0" w:rsidP="001047A2">
            <w:pPr>
              <w:spacing w:after="0" w:line="240" w:lineRule="auto"/>
              <w:rPr>
                <w:rFonts w:ascii="Arial" w:hAnsi="Arial" w:cs="Arial"/>
                <w:sz w:val="20"/>
                <w:szCs w:val="20"/>
                <w:lang w:val="id-ID" w:eastAsia="id-ID"/>
              </w:rPr>
            </w:pPr>
            <w:r w:rsidRPr="001047A2">
              <w:rPr>
                <w:rFonts w:ascii="Arial" w:hAnsi="Arial" w:cs="Arial"/>
                <w:sz w:val="20"/>
                <w:szCs w:val="20"/>
                <w:lang w:val="id-ID" w:eastAsia="id-ID"/>
              </w:rPr>
              <w:t>Low (rarely)</w:t>
            </w:r>
          </w:p>
        </w:tc>
        <w:tc>
          <w:tcPr>
            <w:tcW w:w="0" w:type="auto"/>
            <w:vAlign w:val="center"/>
            <w:hideMark/>
          </w:tcPr>
          <w:p w14:paraId="506420D0" w14:textId="77777777" w:rsidR="00EB6BA0" w:rsidRPr="001047A2" w:rsidRDefault="00EB6BA0" w:rsidP="001047A2">
            <w:pPr>
              <w:spacing w:after="0" w:line="240" w:lineRule="auto"/>
              <w:rPr>
                <w:rFonts w:ascii="Arial" w:hAnsi="Arial" w:cs="Arial"/>
                <w:sz w:val="20"/>
                <w:szCs w:val="20"/>
                <w:lang w:val="id-ID" w:eastAsia="id-ID"/>
              </w:rPr>
            </w:pPr>
            <w:r w:rsidRPr="001047A2">
              <w:rPr>
                <w:rFonts w:ascii="Arial" w:hAnsi="Arial" w:cs="Arial"/>
                <w:sz w:val="20"/>
                <w:szCs w:val="20"/>
                <w:lang w:val="id-ID" w:eastAsia="id-ID"/>
              </w:rPr>
              <w:t>Moderate (sometimes)</w:t>
            </w:r>
          </w:p>
        </w:tc>
        <w:tc>
          <w:tcPr>
            <w:tcW w:w="0" w:type="auto"/>
            <w:vAlign w:val="center"/>
            <w:hideMark/>
          </w:tcPr>
          <w:p w14:paraId="2C4B9F1C" w14:textId="77777777" w:rsidR="00EB6BA0" w:rsidRPr="001047A2" w:rsidRDefault="00EB6BA0" w:rsidP="001047A2">
            <w:pPr>
              <w:spacing w:after="0" w:line="240" w:lineRule="auto"/>
              <w:rPr>
                <w:rFonts w:ascii="Arial" w:hAnsi="Arial" w:cs="Arial"/>
                <w:sz w:val="20"/>
                <w:szCs w:val="20"/>
                <w:lang w:val="id-ID" w:eastAsia="id-ID"/>
              </w:rPr>
            </w:pPr>
            <w:r w:rsidRPr="001047A2">
              <w:rPr>
                <w:rFonts w:ascii="Arial" w:hAnsi="Arial" w:cs="Arial"/>
                <w:sz w:val="20"/>
                <w:szCs w:val="20"/>
                <w:lang w:val="id-ID" w:eastAsia="id-ID"/>
              </w:rPr>
              <w:t>High (often)</w:t>
            </w:r>
          </w:p>
        </w:tc>
        <w:tc>
          <w:tcPr>
            <w:tcW w:w="0" w:type="auto"/>
            <w:vAlign w:val="center"/>
            <w:hideMark/>
          </w:tcPr>
          <w:p w14:paraId="6C23BCF3" w14:textId="77777777" w:rsidR="00EB6BA0" w:rsidRPr="001047A2" w:rsidRDefault="00EB6BA0" w:rsidP="001047A2">
            <w:pPr>
              <w:spacing w:after="0" w:line="240" w:lineRule="auto"/>
              <w:rPr>
                <w:rFonts w:ascii="Arial" w:hAnsi="Arial" w:cs="Arial"/>
                <w:sz w:val="20"/>
                <w:szCs w:val="20"/>
                <w:lang w:val="id-ID" w:eastAsia="id-ID"/>
              </w:rPr>
            </w:pPr>
            <w:r w:rsidRPr="001047A2">
              <w:rPr>
                <w:rFonts w:ascii="Arial" w:hAnsi="Arial" w:cs="Arial"/>
                <w:sz w:val="20"/>
                <w:szCs w:val="20"/>
                <w:lang w:val="id-ID" w:eastAsia="id-ID"/>
              </w:rPr>
              <w:t>Very high (very often)</w:t>
            </w:r>
          </w:p>
        </w:tc>
      </w:tr>
      <w:tr w:rsidR="00EB6BA0" w:rsidRPr="001047A2" w14:paraId="07E5E831" w14:textId="77777777" w:rsidTr="00332F7F">
        <w:trPr>
          <w:tblCellSpacing w:w="15" w:type="dxa"/>
        </w:trPr>
        <w:tc>
          <w:tcPr>
            <w:tcW w:w="0" w:type="auto"/>
            <w:tcBorders>
              <w:bottom w:val="single" w:sz="4" w:space="0" w:color="auto"/>
            </w:tcBorders>
            <w:vAlign w:val="center"/>
            <w:hideMark/>
          </w:tcPr>
          <w:p w14:paraId="5FBA9DA7" w14:textId="77777777" w:rsidR="00EB6BA0" w:rsidRPr="001047A2" w:rsidRDefault="00EB6BA0" w:rsidP="001047A2">
            <w:pPr>
              <w:spacing w:after="0" w:line="240" w:lineRule="auto"/>
              <w:rPr>
                <w:rFonts w:ascii="Arial" w:hAnsi="Arial" w:cs="Arial"/>
                <w:sz w:val="20"/>
                <w:szCs w:val="20"/>
                <w:lang w:val="id-ID" w:eastAsia="id-ID"/>
              </w:rPr>
            </w:pPr>
            <w:r w:rsidRPr="001047A2">
              <w:rPr>
                <w:rFonts w:ascii="Arial" w:hAnsi="Arial" w:cs="Arial"/>
                <w:sz w:val="20"/>
                <w:szCs w:val="20"/>
                <w:lang w:val="id-ID" w:eastAsia="id-ID"/>
              </w:rPr>
              <w:t>Extension agents’ role (overall)</w:t>
            </w:r>
          </w:p>
        </w:tc>
        <w:tc>
          <w:tcPr>
            <w:tcW w:w="0" w:type="auto"/>
            <w:tcBorders>
              <w:bottom w:val="single" w:sz="4" w:space="0" w:color="auto"/>
            </w:tcBorders>
            <w:vAlign w:val="center"/>
            <w:hideMark/>
          </w:tcPr>
          <w:p w14:paraId="153EFDAA" w14:textId="77777777" w:rsidR="00EB6BA0" w:rsidRPr="001047A2" w:rsidRDefault="00EB6BA0" w:rsidP="001047A2">
            <w:pPr>
              <w:spacing w:after="0" w:line="240" w:lineRule="auto"/>
              <w:rPr>
                <w:rFonts w:ascii="Arial" w:hAnsi="Arial" w:cs="Arial"/>
                <w:sz w:val="20"/>
                <w:szCs w:val="20"/>
                <w:lang w:val="id-ID" w:eastAsia="id-ID"/>
              </w:rPr>
            </w:pPr>
            <w:r w:rsidRPr="001047A2">
              <w:rPr>
                <w:rFonts w:ascii="Arial" w:hAnsi="Arial" w:cs="Arial"/>
                <w:sz w:val="20"/>
                <w:szCs w:val="20"/>
                <w:lang w:val="id-ID" w:eastAsia="id-ID"/>
              </w:rPr>
              <w:t>Very low (never active)</w:t>
            </w:r>
          </w:p>
        </w:tc>
        <w:tc>
          <w:tcPr>
            <w:tcW w:w="0" w:type="auto"/>
            <w:tcBorders>
              <w:bottom w:val="single" w:sz="4" w:space="0" w:color="auto"/>
            </w:tcBorders>
            <w:vAlign w:val="center"/>
            <w:hideMark/>
          </w:tcPr>
          <w:p w14:paraId="2C962F1C" w14:textId="77777777" w:rsidR="00EB6BA0" w:rsidRPr="001047A2" w:rsidRDefault="00EB6BA0" w:rsidP="001047A2">
            <w:pPr>
              <w:spacing w:after="0" w:line="240" w:lineRule="auto"/>
              <w:rPr>
                <w:rFonts w:ascii="Arial" w:hAnsi="Arial" w:cs="Arial"/>
                <w:sz w:val="20"/>
                <w:szCs w:val="20"/>
                <w:lang w:val="id-ID" w:eastAsia="id-ID"/>
              </w:rPr>
            </w:pPr>
            <w:r w:rsidRPr="001047A2">
              <w:rPr>
                <w:rFonts w:ascii="Arial" w:hAnsi="Arial" w:cs="Arial"/>
                <w:sz w:val="20"/>
                <w:szCs w:val="20"/>
                <w:lang w:val="id-ID" w:eastAsia="id-ID"/>
              </w:rPr>
              <w:t>Low (rarely active)</w:t>
            </w:r>
          </w:p>
        </w:tc>
        <w:tc>
          <w:tcPr>
            <w:tcW w:w="0" w:type="auto"/>
            <w:tcBorders>
              <w:bottom w:val="single" w:sz="4" w:space="0" w:color="auto"/>
            </w:tcBorders>
            <w:vAlign w:val="center"/>
            <w:hideMark/>
          </w:tcPr>
          <w:p w14:paraId="189A2289" w14:textId="77777777" w:rsidR="00EB6BA0" w:rsidRPr="001047A2" w:rsidRDefault="00EB6BA0" w:rsidP="001047A2">
            <w:pPr>
              <w:spacing w:after="0" w:line="240" w:lineRule="auto"/>
              <w:rPr>
                <w:rFonts w:ascii="Arial" w:hAnsi="Arial" w:cs="Arial"/>
                <w:sz w:val="20"/>
                <w:szCs w:val="20"/>
                <w:lang w:val="id-ID" w:eastAsia="id-ID"/>
              </w:rPr>
            </w:pPr>
            <w:r w:rsidRPr="001047A2">
              <w:rPr>
                <w:rFonts w:ascii="Arial" w:hAnsi="Arial" w:cs="Arial"/>
                <w:sz w:val="20"/>
                <w:szCs w:val="20"/>
                <w:lang w:val="id-ID" w:eastAsia="id-ID"/>
              </w:rPr>
              <w:t>Moderate (sometimes active)</w:t>
            </w:r>
          </w:p>
        </w:tc>
        <w:tc>
          <w:tcPr>
            <w:tcW w:w="0" w:type="auto"/>
            <w:tcBorders>
              <w:bottom w:val="single" w:sz="4" w:space="0" w:color="auto"/>
            </w:tcBorders>
            <w:vAlign w:val="center"/>
            <w:hideMark/>
          </w:tcPr>
          <w:p w14:paraId="6C2BA1AE" w14:textId="77777777" w:rsidR="00EB6BA0" w:rsidRPr="001047A2" w:rsidRDefault="00EB6BA0" w:rsidP="001047A2">
            <w:pPr>
              <w:spacing w:after="0" w:line="240" w:lineRule="auto"/>
              <w:rPr>
                <w:rFonts w:ascii="Arial" w:hAnsi="Arial" w:cs="Arial"/>
                <w:sz w:val="20"/>
                <w:szCs w:val="20"/>
                <w:lang w:val="id-ID" w:eastAsia="id-ID"/>
              </w:rPr>
            </w:pPr>
            <w:r w:rsidRPr="001047A2">
              <w:rPr>
                <w:rFonts w:ascii="Arial" w:hAnsi="Arial" w:cs="Arial"/>
                <w:sz w:val="20"/>
                <w:szCs w:val="20"/>
                <w:lang w:val="id-ID" w:eastAsia="id-ID"/>
              </w:rPr>
              <w:t>High (often active)</w:t>
            </w:r>
          </w:p>
        </w:tc>
        <w:tc>
          <w:tcPr>
            <w:tcW w:w="0" w:type="auto"/>
            <w:tcBorders>
              <w:bottom w:val="single" w:sz="4" w:space="0" w:color="auto"/>
            </w:tcBorders>
            <w:vAlign w:val="center"/>
            <w:hideMark/>
          </w:tcPr>
          <w:p w14:paraId="60E68E17" w14:textId="77777777" w:rsidR="00EB6BA0" w:rsidRPr="001047A2" w:rsidRDefault="00EB6BA0" w:rsidP="001047A2">
            <w:pPr>
              <w:spacing w:after="0" w:line="240" w:lineRule="auto"/>
              <w:rPr>
                <w:rFonts w:ascii="Arial" w:hAnsi="Arial" w:cs="Arial"/>
                <w:sz w:val="20"/>
                <w:szCs w:val="20"/>
                <w:lang w:val="id-ID" w:eastAsia="id-ID"/>
              </w:rPr>
            </w:pPr>
            <w:r w:rsidRPr="001047A2">
              <w:rPr>
                <w:rFonts w:ascii="Arial" w:hAnsi="Arial" w:cs="Arial"/>
                <w:sz w:val="20"/>
                <w:szCs w:val="20"/>
                <w:lang w:val="id-ID" w:eastAsia="id-ID"/>
              </w:rPr>
              <w:t>Very high (very often active)</w:t>
            </w:r>
          </w:p>
        </w:tc>
      </w:tr>
    </w:tbl>
    <w:p w14:paraId="57FD0EFF" w14:textId="77777777" w:rsidR="008436E2" w:rsidRPr="008436E2" w:rsidRDefault="008436E2" w:rsidP="008436E2">
      <w:pPr>
        <w:pStyle w:val="Heading2"/>
        <w:spacing w:before="0" w:after="120" w:line="240" w:lineRule="auto"/>
        <w:ind w:firstLine="74"/>
        <w:jc w:val="both"/>
        <w:rPr>
          <w:rFonts w:ascii="Arial" w:eastAsia="Times New Roman" w:hAnsi="Arial" w:cs="Arial"/>
          <w:b w:val="0"/>
          <w:color w:val="auto"/>
          <w:sz w:val="20"/>
          <w:szCs w:val="20"/>
        </w:rPr>
      </w:pPr>
      <w:r w:rsidRPr="008436E2">
        <w:rPr>
          <w:rFonts w:ascii="Arial" w:hAnsi="Arial" w:cs="Arial"/>
          <w:b w:val="0"/>
          <w:color w:val="auto"/>
          <w:sz w:val="20"/>
          <w:szCs w:val="20"/>
        </w:rPr>
        <w:t>Source: Authors' Calculation</w:t>
      </w:r>
      <w:r w:rsidRPr="008436E2">
        <w:rPr>
          <w:rStyle w:val="Emphasis"/>
          <w:rFonts w:ascii="Arial" w:hAnsi="Arial" w:cs="Arial"/>
          <w:b w:val="0"/>
          <w:color w:val="auto"/>
          <w:sz w:val="20"/>
          <w:szCs w:val="20"/>
        </w:rPr>
        <w:t>, 2025</w:t>
      </w:r>
    </w:p>
    <w:p w14:paraId="74A12762" w14:textId="7AB147FF" w:rsidR="00EB6BA0" w:rsidRPr="001047A2" w:rsidRDefault="00EB6BA0" w:rsidP="00EB6BA0">
      <w:pPr>
        <w:pStyle w:val="Heading4"/>
        <w:numPr>
          <w:ilvl w:val="0"/>
          <w:numId w:val="8"/>
        </w:numPr>
        <w:spacing w:before="120"/>
        <w:ind w:left="709" w:hanging="635"/>
        <w:jc w:val="both"/>
        <w:rPr>
          <w:rFonts w:ascii="Arial" w:hAnsi="Arial" w:cs="Arial"/>
          <w:sz w:val="20"/>
          <w:szCs w:val="20"/>
        </w:rPr>
      </w:pPr>
      <w:r w:rsidRPr="001047A2">
        <w:rPr>
          <w:rFonts w:ascii="Arial" w:hAnsi="Arial" w:cs="Arial"/>
          <w:sz w:val="20"/>
          <w:szCs w:val="20"/>
        </w:rPr>
        <w:t>Regression model</w:t>
      </w:r>
    </w:p>
    <w:p w14:paraId="3287650A" w14:textId="77777777" w:rsidR="00EB6BA0" w:rsidRPr="001047A2" w:rsidRDefault="00EB6BA0" w:rsidP="00EB6BA0">
      <w:pPr>
        <w:pStyle w:val="NormalWeb"/>
        <w:spacing w:before="0" w:beforeAutospacing="0" w:after="0" w:afterAutospacing="0"/>
        <w:ind w:firstLine="720"/>
        <w:jc w:val="both"/>
        <w:rPr>
          <w:rStyle w:val="Emphasis"/>
          <w:rFonts w:ascii="Arial" w:hAnsi="Arial" w:cs="Arial"/>
          <w:i w:val="0"/>
          <w:iCs w:val="0"/>
          <w:sz w:val="20"/>
          <w:szCs w:val="20"/>
        </w:rPr>
      </w:pPr>
      <w:r w:rsidRPr="001047A2">
        <w:rPr>
          <w:rStyle w:val="Emphasis"/>
          <w:rFonts w:ascii="Arial" w:hAnsi="Arial" w:cs="Arial"/>
          <w:i w:val="0"/>
          <w:iCs w:val="0"/>
          <w:sz w:val="20"/>
          <w:szCs w:val="20"/>
        </w:rPr>
        <w:t>The multiple linear regression model was specified as:</w:t>
      </w:r>
    </w:p>
    <w:p w14:paraId="0F3BFDD0" w14:textId="77777777" w:rsidR="00EB6BA0" w:rsidRPr="001047A2" w:rsidRDefault="00EB6BA0" w:rsidP="00EB6BA0">
      <w:pPr>
        <w:pStyle w:val="NormalWeb"/>
        <w:spacing w:before="0" w:beforeAutospacing="0" w:after="0" w:afterAutospacing="0"/>
        <w:jc w:val="center"/>
        <w:rPr>
          <w:rStyle w:val="Emphasis"/>
          <w:rFonts w:ascii="Arial" w:hAnsi="Arial" w:cs="Arial"/>
          <w:i w:val="0"/>
          <w:iCs w:val="0"/>
          <w:sz w:val="20"/>
          <w:szCs w:val="20"/>
        </w:rPr>
      </w:pPr>
      <w:r w:rsidRPr="001047A2">
        <w:rPr>
          <w:rStyle w:val="Emphasis"/>
          <w:rFonts w:ascii="Arial" w:hAnsi="Arial" w:cs="Arial"/>
          <w:i w:val="0"/>
          <w:iCs w:val="0"/>
          <w:sz w:val="20"/>
          <w:szCs w:val="20"/>
        </w:rPr>
        <w:t>Y = a + b</w:t>
      </w:r>
      <w:r w:rsidRPr="001047A2">
        <w:rPr>
          <w:rStyle w:val="Emphasis"/>
          <w:rFonts w:ascii="Cambria Math" w:hAnsi="Cambria Math" w:cs="Cambria Math"/>
          <w:i w:val="0"/>
          <w:iCs w:val="0"/>
          <w:sz w:val="20"/>
          <w:szCs w:val="20"/>
        </w:rPr>
        <w:t>₁</w:t>
      </w:r>
      <w:r w:rsidRPr="001047A2">
        <w:rPr>
          <w:rStyle w:val="Emphasis"/>
          <w:rFonts w:ascii="Arial" w:hAnsi="Arial" w:cs="Arial"/>
          <w:i w:val="0"/>
          <w:iCs w:val="0"/>
          <w:sz w:val="20"/>
          <w:szCs w:val="20"/>
        </w:rPr>
        <w:t>X</w:t>
      </w:r>
      <w:r w:rsidRPr="001047A2">
        <w:rPr>
          <w:rStyle w:val="Emphasis"/>
          <w:rFonts w:ascii="Cambria Math" w:hAnsi="Cambria Math" w:cs="Cambria Math"/>
          <w:i w:val="0"/>
          <w:iCs w:val="0"/>
          <w:sz w:val="20"/>
          <w:szCs w:val="20"/>
        </w:rPr>
        <w:t>₁</w:t>
      </w:r>
      <w:r w:rsidRPr="001047A2">
        <w:rPr>
          <w:rStyle w:val="Emphasis"/>
          <w:rFonts w:ascii="Arial" w:hAnsi="Arial" w:cs="Arial"/>
          <w:i w:val="0"/>
          <w:iCs w:val="0"/>
          <w:sz w:val="20"/>
          <w:szCs w:val="20"/>
        </w:rPr>
        <w:t xml:space="preserve"> + b</w:t>
      </w:r>
      <w:r w:rsidRPr="001047A2">
        <w:rPr>
          <w:rStyle w:val="Emphasis"/>
          <w:rFonts w:ascii="Cambria Math" w:hAnsi="Cambria Math" w:cs="Cambria Math"/>
          <w:i w:val="0"/>
          <w:iCs w:val="0"/>
          <w:sz w:val="20"/>
          <w:szCs w:val="20"/>
        </w:rPr>
        <w:t>₂</w:t>
      </w:r>
      <w:r w:rsidRPr="001047A2">
        <w:rPr>
          <w:rStyle w:val="Emphasis"/>
          <w:rFonts w:ascii="Arial" w:hAnsi="Arial" w:cs="Arial"/>
          <w:i w:val="0"/>
          <w:iCs w:val="0"/>
          <w:sz w:val="20"/>
          <w:szCs w:val="20"/>
        </w:rPr>
        <w:t>X</w:t>
      </w:r>
      <w:r w:rsidRPr="001047A2">
        <w:rPr>
          <w:rStyle w:val="Emphasis"/>
          <w:rFonts w:ascii="Cambria Math" w:hAnsi="Cambria Math" w:cs="Cambria Math"/>
          <w:i w:val="0"/>
          <w:iCs w:val="0"/>
          <w:sz w:val="20"/>
          <w:szCs w:val="20"/>
        </w:rPr>
        <w:t>₂</w:t>
      </w:r>
      <w:r w:rsidRPr="001047A2">
        <w:rPr>
          <w:rStyle w:val="Emphasis"/>
          <w:rFonts w:ascii="Arial" w:hAnsi="Arial" w:cs="Arial"/>
          <w:i w:val="0"/>
          <w:iCs w:val="0"/>
          <w:sz w:val="20"/>
          <w:szCs w:val="20"/>
        </w:rPr>
        <w:t xml:space="preserve"> + b</w:t>
      </w:r>
      <w:r w:rsidRPr="001047A2">
        <w:rPr>
          <w:rStyle w:val="Emphasis"/>
          <w:rFonts w:ascii="Cambria Math" w:hAnsi="Cambria Math" w:cs="Cambria Math"/>
          <w:i w:val="0"/>
          <w:iCs w:val="0"/>
          <w:sz w:val="20"/>
          <w:szCs w:val="20"/>
        </w:rPr>
        <w:t>₃</w:t>
      </w:r>
      <w:r w:rsidRPr="001047A2">
        <w:rPr>
          <w:rStyle w:val="Emphasis"/>
          <w:rFonts w:ascii="Arial" w:hAnsi="Arial" w:cs="Arial"/>
          <w:i w:val="0"/>
          <w:iCs w:val="0"/>
          <w:sz w:val="20"/>
          <w:szCs w:val="20"/>
        </w:rPr>
        <w:t>X</w:t>
      </w:r>
      <w:r w:rsidRPr="001047A2">
        <w:rPr>
          <w:rStyle w:val="Emphasis"/>
          <w:rFonts w:ascii="Cambria Math" w:hAnsi="Cambria Math" w:cs="Cambria Math"/>
          <w:i w:val="0"/>
          <w:iCs w:val="0"/>
          <w:sz w:val="20"/>
          <w:szCs w:val="20"/>
        </w:rPr>
        <w:t>₃</w:t>
      </w:r>
      <w:r w:rsidRPr="001047A2">
        <w:rPr>
          <w:rStyle w:val="Emphasis"/>
          <w:rFonts w:ascii="Arial" w:hAnsi="Arial" w:cs="Arial"/>
          <w:i w:val="0"/>
          <w:iCs w:val="0"/>
          <w:sz w:val="20"/>
          <w:szCs w:val="20"/>
        </w:rPr>
        <w:t>,</w:t>
      </w:r>
    </w:p>
    <w:p w14:paraId="0B84CB7D" w14:textId="0EEED460" w:rsidR="00EB6BA0" w:rsidRDefault="005B287C" w:rsidP="00EB6BA0">
      <w:pPr>
        <w:pStyle w:val="NormalWeb"/>
        <w:spacing w:before="0" w:beforeAutospacing="0" w:after="0" w:afterAutospacing="0"/>
        <w:jc w:val="both"/>
        <w:rPr>
          <w:rStyle w:val="Emphasis"/>
          <w:rFonts w:ascii="Arial" w:hAnsi="Arial" w:cs="Arial"/>
          <w:i w:val="0"/>
          <w:iCs w:val="0"/>
          <w:sz w:val="20"/>
          <w:szCs w:val="20"/>
        </w:rPr>
      </w:pPr>
      <w:r>
        <w:rPr>
          <w:rStyle w:val="Emphasis"/>
          <w:rFonts w:ascii="Arial" w:hAnsi="Arial" w:cs="Arial"/>
          <w:i w:val="0"/>
          <w:iCs w:val="0"/>
          <w:sz w:val="20"/>
          <w:szCs w:val="20"/>
        </w:rPr>
        <w:t>In this context, Y denotes maize food availability, a signifies the intercept, b</w:t>
      </w:r>
      <w:r>
        <w:rPr>
          <w:rStyle w:val="Emphasis"/>
          <w:rFonts w:ascii="Cambria Math" w:hAnsi="Cambria Math" w:cs="Cambria Math"/>
          <w:i w:val="0"/>
          <w:iCs w:val="0"/>
          <w:sz w:val="20"/>
          <w:szCs w:val="20"/>
        </w:rPr>
        <w:t>₁</w:t>
      </w:r>
      <w:r>
        <w:rPr>
          <w:rStyle w:val="Emphasis"/>
          <w:rFonts w:ascii="Arial" w:hAnsi="Arial" w:cs="Arial"/>
          <w:i w:val="0"/>
          <w:iCs w:val="0"/>
          <w:sz w:val="20"/>
          <w:szCs w:val="20"/>
        </w:rPr>
        <w:t>–b</w:t>
      </w:r>
      <w:r>
        <w:rPr>
          <w:rStyle w:val="Emphasis"/>
          <w:rFonts w:ascii="Cambria Math" w:hAnsi="Cambria Math" w:cs="Cambria Math"/>
          <w:i w:val="0"/>
          <w:iCs w:val="0"/>
          <w:sz w:val="20"/>
          <w:szCs w:val="20"/>
        </w:rPr>
        <w:t>₃</w:t>
      </w:r>
      <w:r>
        <w:rPr>
          <w:rStyle w:val="Emphasis"/>
          <w:rFonts w:ascii="Arial" w:hAnsi="Arial" w:cs="Arial"/>
          <w:i w:val="0"/>
          <w:iCs w:val="0"/>
          <w:sz w:val="20"/>
          <w:szCs w:val="20"/>
        </w:rPr>
        <w:t xml:space="preserve"> are the regression coefficients, and X</w:t>
      </w:r>
      <w:r>
        <w:rPr>
          <w:rStyle w:val="Emphasis"/>
          <w:rFonts w:ascii="Cambria Math" w:hAnsi="Cambria Math" w:cs="Cambria Math"/>
          <w:i w:val="0"/>
          <w:iCs w:val="0"/>
          <w:sz w:val="20"/>
          <w:szCs w:val="20"/>
        </w:rPr>
        <w:t>₁</w:t>
      </w:r>
      <w:r>
        <w:rPr>
          <w:rStyle w:val="Emphasis"/>
          <w:rFonts w:ascii="Arial" w:hAnsi="Arial" w:cs="Arial"/>
          <w:i w:val="0"/>
          <w:iCs w:val="0"/>
          <w:sz w:val="20"/>
          <w:szCs w:val="20"/>
        </w:rPr>
        <w:t>–X</w:t>
      </w:r>
      <w:r>
        <w:rPr>
          <w:rStyle w:val="Emphasis"/>
          <w:rFonts w:ascii="Cambria Math" w:hAnsi="Cambria Math" w:cs="Cambria Math"/>
          <w:i w:val="0"/>
          <w:iCs w:val="0"/>
          <w:sz w:val="20"/>
          <w:szCs w:val="20"/>
        </w:rPr>
        <w:t>₃</w:t>
      </w:r>
      <w:r>
        <w:rPr>
          <w:rStyle w:val="Emphasis"/>
          <w:rFonts w:ascii="Arial" w:hAnsi="Arial" w:cs="Arial"/>
          <w:i w:val="0"/>
          <w:iCs w:val="0"/>
          <w:sz w:val="20"/>
          <w:szCs w:val="20"/>
        </w:rPr>
        <w:t xml:space="preserve"> correspond to the three dimensions of extension roles.</w:t>
      </w:r>
    </w:p>
    <w:p w14:paraId="5A3FF79F" w14:textId="77777777" w:rsidR="001047A2" w:rsidRPr="001047A2" w:rsidRDefault="001047A2" w:rsidP="00EB6BA0">
      <w:pPr>
        <w:pStyle w:val="NormalWeb"/>
        <w:spacing w:before="0" w:beforeAutospacing="0" w:after="0" w:afterAutospacing="0"/>
        <w:jc w:val="both"/>
        <w:rPr>
          <w:rStyle w:val="Emphasis"/>
          <w:rFonts w:ascii="Arial" w:hAnsi="Arial" w:cs="Arial"/>
          <w:i w:val="0"/>
          <w:iCs w:val="0"/>
          <w:sz w:val="20"/>
          <w:szCs w:val="20"/>
        </w:rPr>
      </w:pPr>
    </w:p>
    <w:p w14:paraId="2AE205B3" w14:textId="77777777" w:rsidR="00EB6BA0" w:rsidRPr="001047A2" w:rsidRDefault="00EB6BA0" w:rsidP="001047A2">
      <w:pPr>
        <w:pStyle w:val="Heading3"/>
        <w:numPr>
          <w:ilvl w:val="0"/>
          <w:numId w:val="2"/>
        </w:numPr>
        <w:tabs>
          <w:tab w:val="num" w:pos="360"/>
        </w:tabs>
        <w:spacing w:before="120" w:line="240" w:lineRule="auto"/>
        <w:ind w:left="357" w:hanging="357"/>
        <w:jc w:val="both"/>
        <w:rPr>
          <w:rFonts w:ascii="Arial" w:hAnsi="Arial" w:cs="Arial"/>
          <w:color w:val="auto"/>
          <w:sz w:val="20"/>
          <w:szCs w:val="20"/>
        </w:rPr>
      </w:pPr>
      <w:r w:rsidRPr="001047A2">
        <w:rPr>
          <w:rFonts w:ascii="Arial" w:hAnsi="Arial" w:cs="Arial"/>
          <w:color w:val="auto"/>
          <w:sz w:val="20"/>
          <w:szCs w:val="20"/>
        </w:rPr>
        <w:t>Instrument and measurement procedures</w:t>
      </w:r>
    </w:p>
    <w:p w14:paraId="3C015D20" w14:textId="77777777" w:rsidR="00EB6BA0" w:rsidRPr="001047A2" w:rsidRDefault="00EB6BA0" w:rsidP="00EB6BA0">
      <w:pPr>
        <w:pStyle w:val="Body"/>
        <w:spacing w:after="0"/>
        <w:ind w:firstLine="720"/>
        <w:rPr>
          <w:rFonts w:ascii="Arial" w:hAnsi="Arial" w:cs="Arial"/>
        </w:rPr>
      </w:pPr>
    </w:p>
    <w:p w14:paraId="1B5E6357" w14:textId="0CF7C877" w:rsidR="00EB6BA0" w:rsidRPr="001047A2" w:rsidRDefault="00BE22EA" w:rsidP="00EB6BA0">
      <w:pPr>
        <w:pStyle w:val="Body"/>
        <w:spacing w:after="0"/>
        <w:ind w:firstLine="720"/>
        <w:rPr>
          <w:rStyle w:val="Emphasis"/>
          <w:rFonts w:ascii="Arial" w:hAnsi="Arial" w:cs="Arial"/>
          <w:i w:val="0"/>
          <w:iCs w:val="0"/>
        </w:rPr>
      </w:pPr>
      <w:r w:rsidRPr="00BE22EA">
        <w:rPr>
          <w:rFonts w:ascii="Arial" w:hAnsi="Arial" w:cs="Arial"/>
        </w:rPr>
        <w:t xml:space="preserve">Data </w:t>
      </w:r>
      <w:r w:rsidRPr="00CE2FB7">
        <w:rPr>
          <w:rFonts w:ascii="Arial" w:hAnsi="Arial" w:cs="Arial"/>
        </w:rPr>
        <w:t>were</w:t>
      </w:r>
      <w:r w:rsidRPr="00BE22EA">
        <w:rPr>
          <w:rFonts w:ascii="Arial" w:hAnsi="Arial" w:cs="Arial"/>
        </w:rPr>
        <w:t xml:space="preserve"> collected using a standardized, structured questionnaire administered through face-to-face interviews. The instrument's development followed modern design and validation protocols, encompassing construct definition, item generation, response format specification, expert review, pilot testing, and psychometric evaluation prior to full-scale deployment </w:t>
      </w:r>
      <w:r w:rsidR="00CE2FB7">
        <w:rPr>
          <w:rFonts w:ascii="Arial" w:hAnsi="Arial" w:cs="Arial"/>
        </w:rPr>
        <w:fldChar w:fldCharType="begin" w:fldLock="1"/>
      </w:r>
      <w:r w:rsidR="00CE2FB7">
        <w:rPr>
          <w:rFonts w:ascii="Arial" w:hAnsi="Arial" w:cs="Arial"/>
        </w:rPr>
        <w:instrText>ADDIN CSL_CITATION {"citationItems":[{"id":"ITEM-1","itemData":{"DOI":"10.3389/feduc.2025.1698270","ISSN":"2504-284X","abstract":"Introduction: This study has the overarching objective of designing and validating a Likert-scale questionnaire to gather and analyze data concerning students’ writing skills and critical reasoning in Teacher Training degrees at five Spanish universities. Methods: The sequence of the research process was as follows: definition of the construct, generation of items, selection of the response format, review by statistics experts, pilot test, psychometric analysis, review and adjustment, sample calculation and request for Bioethics Committee authorization. Results: The resulting questionnaire is a four-choice Likert-scale with 31 items in total divided into four factors: Declared Practices, Adherence to Principles, Self-Image as a Writer, and Resources, further broken down into various dimensions. Discussion: Factor analysis and pilot testing confirmed the suitability of the structure. As limitations, in this phase of the research, the surveys are being implemented and the initial data is being collected. The investigative sequence is as follows: definition of the construct, generation of items, selection of the response format, review by statistical experts, pilot test, psychometric analysis, review and adjustment, sample calculation, and Bioethics Committee authorization. A series of subsequent validation tests of the instrument are planned for possible extrapolation to other research contexts.","author":[{"dropping-particle":"","family":"Gómez-Caballero","given":"Marta","non-dropping-particle":"","parse-names":false,"suffix":""},{"dropping-particle":"","family":"Soto Vázquez","given":"José","non-dropping-particle":"","parse-names":false,"suffix":""},{"dropping-particle":"","family":"Pérez Parejo","given":"Ramón","non-dropping-particle":"","parse-names":false,"suffix":""}],"container-title":"Frontiers in Education","id":"ITEM-1","issue":"January","issued":{"date-parts":[["2026","1","23"]]},"title":"Validation of a Likert questionnaire for creative writing and critical thinking in five Spanish universities","type":"article-journal","volume":"10"},"uris":["http://www.mendeley.com/documents/?uuid=6a097342-33cd-4e6b-ae74-8ff79a45cb54"]}],"mendeley":{"formattedCitation":"(Gómez-Caballero, Soto Vázquez, and Pérez Parejo 2026)","plainTextFormattedCitation":"(Gómez-Caballero, Soto Vázquez, and Pérez Parejo 2026)","previouslyFormattedCitation":"(Gómez-Caballero, Soto Vázquez, and Pérez Parejo 2026)"},"properties":{"noteIndex":0},"schema":"https://github.com/citation-style-language/schema/raw/master/csl-citation.json"}</w:instrText>
      </w:r>
      <w:r w:rsidR="00CE2FB7">
        <w:rPr>
          <w:rFonts w:ascii="Arial" w:hAnsi="Arial" w:cs="Arial"/>
        </w:rPr>
        <w:fldChar w:fldCharType="separate"/>
      </w:r>
      <w:r w:rsidR="00CE2FB7" w:rsidRPr="00CE2FB7">
        <w:rPr>
          <w:rFonts w:ascii="Arial" w:hAnsi="Arial" w:cs="Arial"/>
          <w:noProof/>
        </w:rPr>
        <w:t>(Gómez-Caballero, Soto Vázquez, and Pérez Parejo 2026)</w:t>
      </w:r>
      <w:r w:rsidR="00CE2FB7">
        <w:rPr>
          <w:rFonts w:ascii="Arial" w:hAnsi="Arial" w:cs="Arial"/>
        </w:rPr>
        <w:fldChar w:fldCharType="end"/>
      </w:r>
      <w:r w:rsidR="00EB6BA0" w:rsidRPr="001047A2">
        <w:rPr>
          <w:rStyle w:val="Emphasis"/>
          <w:rFonts w:ascii="Arial" w:hAnsi="Arial" w:cs="Arial"/>
          <w:i w:val="0"/>
          <w:iCs w:val="0"/>
        </w:rPr>
        <w:t>.</w:t>
      </w:r>
    </w:p>
    <w:p w14:paraId="09E68678" w14:textId="0F3E318B" w:rsidR="005B287C" w:rsidRDefault="00BE22EA" w:rsidP="00EB6BA0">
      <w:pPr>
        <w:pStyle w:val="Body"/>
        <w:spacing w:after="0"/>
        <w:ind w:firstLine="720"/>
        <w:rPr>
          <w:rStyle w:val="Emphasis"/>
          <w:rFonts w:ascii="Arial" w:hAnsi="Arial" w:cs="Arial"/>
          <w:i w:val="0"/>
          <w:iCs w:val="0"/>
        </w:rPr>
      </w:pPr>
      <w:r w:rsidRPr="00BE22EA">
        <w:rPr>
          <w:rFonts w:ascii="Arial" w:hAnsi="Arial" w:cs="Arial"/>
        </w:rPr>
        <w:t xml:space="preserve">All items were encoded </w:t>
      </w:r>
      <w:r w:rsidRPr="00CE2FB7">
        <w:rPr>
          <w:rFonts w:ascii="Arial" w:hAnsi="Arial" w:cs="Arial"/>
        </w:rPr>
        <w:t>so</w:t>
      </w:r>
      <w:r w:rsidRPr="00BE22EA">
        <w:rPr>
          <w:rFonts w:ascii="Arial" w:hAnsi="Arial" w:cs="Arial"/>
        </w:rPr>
        <w:t xml:space="preserve"> that higher scores </w:t>
      </w:r>
      <w:r w:rsidRPr="00CE2FB7">
        <w:rPr>
          <w:rFonts w:ascii="Arial" w:hAnsi="Arial" w:cs="Arial"/>
        </w:rPr>
        <w:t>reflect</w:t>
      </w:r>
      <w:r w:rsidRPr="00BE22EA">
        <w:rPr>
          <w:rFonts w:ascii="Arial" w:hAnsi="Arial" w:cs="Arial"/>
        </w:rPr>
        <w:t xml:space="preserve"> more favorable conditions or stronger roles. Any negatively phrased items were reverse-coded prior to scoring, and composite indices were calculated as unweighted aggregates</w:t>
      </w:r>
      <w:r w:rsidR="005B287C">
        <w:rPr>
          <w:rStyle w:val="Emphasis"/>
          <w:rFonts w:ascii="Arial" w:hAnsi="Arial" w:cs="Arial"/>
          <w:i w:val="0"/>
          <w:iCs w:val="0"/>
        </w:rPr>
        <w:t>.</w:t>
      </w:r>
    </w:p>
    <w:p w14:paraId="5079267B" w14:textId="1B4B751A" w:rsidR="00EB6BA0" w:rsidRPr="001047A2" w:rsidRDefault="005B287C" w:rsidP="00EB6BA0">
      <w:pPr>
        <w:pStyle w:val="Body"/>
        <w:spacing w:after="0"/>
        <w:ind w:firstLine="720"/>
        <w:rPr>
          <w:rStyle w:val="Emphasis"/>
          <w:rFonts w:ascii="Arial" w:hAnsi="Arial" w:cs="Arial"/>
          <w:i w:val="0"/>
          <w:iCs w:val="0"/>
        </w:rPr>
      </w:pPr>
      <w:r>
        <w:rPr>
          <w:rStyle w:val="Emphasis"/>
          <w:rFonts w:ascii="Arial" w:hAnsi="Arial" w:cs="Arial"/>
          <w:i w:val="0"/>
          <w:iCs w:val="0"/>
        </w:rPr>
        <w:t xml:space="preserve">The internal consistency reliability of each multi-item construct was evaluated using Cronbach’s alpha, as presented in the Results section. This selection corresponds with contemporary literature on reliability methods that evaluates alpha in conjunction with other coefficients (e.g., omega) and examines factors influencing estimator efficacy </w:t>
      </w:r>
      <w:r w:rsidR="00EB6BA0" w:rsidRPr="001047A2">
        <w:rPr>
          <w:rStyle w:val="Emphasis"/>
          <w:rFonts w:ascii="Arial" w:hAnsi="Arial" w:cs="Arial"/>
          <w:i w:val="0"/>
          <w:iCs w:val="0"/>
        </w:rPr>
        <w:fldChar w:fldCharType="begin" w:fldLock="1"/>
      </w:r>
      <w:r w:rsidR="00EB6BA0" w:rsidRPr="001047A2">
        <w:rPr>
          <w:rStyle w:val="Emphasis"/>
          <w:rFonts w:ascii="Arial" w:hAnsi="Arial" w:cs="Arial"/>
          <w:i w:val="0"/>
          <w:iCs w:val="0"/>
        </w:rPr>
        <w:instrText>ADDIN CSL_CITATION {"citationItems":[{"id":"ITEM-1","itemData":{"DOI":"10.1016/j.pcorm.2025.100568","ISSN":"24056030","abstract":"This tutorial study provides a comprehensive overview of internal consistency measures used in reliability analysis, focusing on six primary models: Cronbach's alpha, Kuder-Richardson methods (KR-20 and KR-21), Guttman's lambda-2, parallel and strict parallel methods, and McDonald's omega coefficient. The methods discussed are applicable primarily to psychometric instruments and questionnaire-based data commonly used in social, behavioral, and educational sciences. Internal consistency is crucial for assessing the reliability of measurement scales in these fields. The study reviews each method, detailing their theoretical underpinnings, assumptions, and practical applications, alongside software guidelines for implementation in SPSS, R, and STATA. It highlights the distinctions between these methods, particularly emphasizing the advantages of McDonald's omega over Cronbach's alpha for more accurate reliability estimates. This work aims to fill the gap in existing literature by providing a thorough comparative analysis and practical guidance for researchers seeking to measure internal consistency effectively.","author":[{"dropping-particle":"","family":"Madadizadeh","given":"Farzan","non-dropping-particle":"","parse-names":false,"suffix":""},{"dropping-particle":"","family":"Bahariniya","given":"Sajjad","non-dropping-particle":"","parse-names":false,"suffix":""}],"container-title":"Perioperative Care and Operating Room Management","id":"ITEM-1","issued":{"date-parts":[["2025","12"]]},"page":"100568","title":"Tutorial on internal consistency assessment by Cronbach's alpha and McDonald’s omega","type":"article-journal","volume":"41"},"uris":["http://www.mendeley.com/documents/?uuid=2a83dbd5-acd0-4d73-8c1c-a68486af55ed"]}],"mendeley":{"formattedCitation":"(Madadizadeh and Bahariniya 2025)","plainTextFormattedCitation":"(Madadizadeh and Bahariniya 2025)","previouslyFormattedCitation":"(Madadizadeh and Bahariniya 2025)"},"properties":{"noteIndex":0},"schema":"https://github.com/citation-style-language/schema/raw/master/csl-citation.json"}</w:instrText>
      </w:r>
      <w:r w:rsidR="00EB6BA0" w:rsidRPr="001047A2">
        <w:rPr>
          <w:rStyle w:val="Emphasis"/>
          <w:rFonts w:ascii="Arial" w:hAnsi="Arial" w:cs="Arial"/>
          <w:i w:val="0"/>
          <w:iCs w:val="0"/>
        </w:rPr>
        <w:fldChar w:fldCharType="separate"/>
      </w:r>
      <w:r w:rsidR="00EB6BA0" w:rsidRPr="001047A2">
        <w:rPr>
          <w:rStyle w:val="Emphasis"/>
          <w:rFonts w:ascii="Arial" w:hAnsi="Arial" w:cs="Arial"/>
          <w:i w:val="0"/>
          <w:iCs w:val="0"/>
          <w:noProof/>
        </w:rPr>
        <w:t>(Madadizadeh and Bahariniya 2025)</w:t>
      </w:r>
      <w:r w:rsidR="00EB6BA0" w:rsidRPr="001047A2">
        <w:rPr>
          <w:rStyle w:val="Emphasis"/>
          <w:rFonts w:ascii="Arial" w:hAnsi="Arial" w:cs="Arial"/>
          <w:i w:val="0"/>
          <w:iCs w:val="0"/>
        </w:rPr>
        <w:fldChar w:fldCharType="end"/>
      </w:r>
      <w:r w:rsidR="00EB6BA0" w:rsidRPr="001047A2">
        <w:rPr>
          <w:rStyle w:val="Emphasis"/>
          <w:rFonts w:ascii="Arial" w:hAnsi="Arial" w:cs="Arial"/>
          <w:i w:val="0"/>
          <w:iCs w:val="0"/>
        </w:rPr>
        <w:t>.</w:t>
      </w:r>
    </w:p>
    <w:p w14:paraId="129798A9" w14:textId="12ECCBE3" w:rsidR="00EB6BA0" w:rsidRDefault="00EB6BA0" w:rsidP="001047A2">
      <w:pPr>
        <w:pStyle w:val="Heading3"/>
        <w:numPr>
          <w:ilvl w:val="0"/>
          <w:numId w:val="2"/>
        </w:numPr>
        <w:tabs>
          <w:tab w:val="num" w:pos="360"/>
        </w:tabs>
        <w:spacing w:before="120" w:line="240" w:lineRule="auto"/>
        <w:ind w:left="357" w:hanging="357"/>
        <w:jc w:val="both"/>
        <w:rPr>
          <w:rFonts w:ascii="Arial" w:hAnsi="Arial" w:cs="Arial"/>
          <w:color w:val="auto"/>
          <w:sz w:val="20"/>
          <w:szCs w:val="20"/>
        </w:rPr>
      </w:pPr>
      <w:r w:rsidRPr="001047A2">
        <w:rPr>
          <w:rFonts w:ascii="Arial" w:hAnsi="Arial" w:cs="Arial"/>
          <w:color w:val="auto"/>
          <w:sz w:val="20"/>
          <w:szCs w:val="20"/>
        </w:rPr>
        <w:t>Data collection and quality control</w:t>
      </w:r>
    </w:p>
    <w:p w14:paraId="75C7B466" w14:textId="1BD987AB" w:rsidR="00730724" w:rsidRDefault="00730724" w:rsidP="00CE2FB7">
      <w:pPr>
        <w:pStyle w:val="Body"/>
        <w:spacing w:after="0"/>
        <w:ind w:firstLine="720"/>
        <w:rPr>
          <w:rStyle w:val="Emphasis"/>
          <w:rFonts w:ascii="Arial" w:hAnsi="Arial" w:cs="Arial"/>
          <w:i w:val="0"/>
          <w:iCs w:val="0"/>
        </w:rPr>
      </w:pPr>
      <w:r w:rsidRPr="00CE2FB7">
        <w:rPr>
          <w:rStyle w:val="Emphasis"/>
          <w:rFonts w:ascii="Arial" w:hAnsi="Arial" w:cs="Arial"/>
          <w:i w:val="0"/>
          <w:iCs w:val="0"/>
        </w:rPr>
        <w:t xml:space="preserve">Enumerators underwent training to standardize question delivery, probing techniques, and recording methods, while ensuring the execution of uniform consent protocols. To minimize missing or inconsistent data prior to entry, we implemented daily field oversight and rigorous form verification. These procedures align with contemporary research on enhancing data quality in face-to-face surveys, particularly regarding the impact of enumerator interactions on measurement accuracy </w:t>
      </w:r>
      <w:r w:rsidR="00CE2FB7">
        <w:rPr>
          <w:rStyle w:val="Emphasis"/>
          <w:rFonts w:ascii="Arial" w:hAnsi="Arial" w:cs="Arial"/>
          <w:i w:val="0"/>
          <w:iCs w:val="0"/>
        </w:rPr>
        <w:fldChar w:fldCharType="begin" w:fldLock="1"/>
      </w:r>
      <w:r w:rsidR="00CE2FB7">
        <w:rPr>
          <w:rStyle w:val="Emphasis"/>
          <w:rFonts w:ascii="Arial" w:hAnsi="Arial" w:cs="Arial"/>
          <w:i w:val="0"/>
          <w:iCs w:val="0"/>
        </w:rPr>
        <w:instrText>ADDIN CSL_CITATION {"citationItems":[{"id":"ITEM-1","itemData":{"DOI":"10.1017/S1049096519001161","ISSN":"1049-0965","abstract":"Data quality in survey research remains a paramount concern for those studying mass political behavior. Because surveys are conducted in increasingly diverse contexts around the world, ensuring that best practices are followed becomes ever more important to the field of political science. Bringing together insights from surveys conducted in more than 80 countries worldwide, this article highlights common challenges faced in survey research and outlines steps that researchers can take to improve the quality of survey data. Importantly, the article demonstrates that with the investment of the necessary time and resources, it is possible to carry out high-quality survey research even in challenging environments in which survey research is not well established.","author":[{"dropping-particle":"","family":"Logan","given":"Carolyn","non-dropping-particle":"","parse-names":false,"suffix":""},{"dropping-particle":"","family":"Parás","given":"Pablo","non-dropping-particle":"","parse-names":false,"suffix":""},{"dropping-particle":"","family":"Robbins","given":"Michael","non-dropping-particle":"","parse-names":false,"suffix":""},{"dropping-particle":"","family":"Zechmeister","given":"Elizabeth J.","non-dropping-particle":"","parse-names":false,"suffix":""}],"container-title":"PS: Political Science &amp; Politics","id":"ITEM-1","issue":"1","issued":{"date-parts":[["2020","1","2"]]},"page":"46-50","title":"Improving Data Quality in Face-to-Face Survey Research","type":"article-journal","volume":"53"},"uris":["http://www.mendeley.com/documents/?uuid=118b1f1a-6a87-4da6-a3c0-0dfb633d65cd"]}],"mendeley":{"formattedCitation":"(Logan et al. 2020)","plainTextFormattedCitation":"(Logan et al. 2020)","previouslyFormattedCitation":"(Logan et al. 2020)"},"properties":{"noteIndex":0},"schema":"https://github.com/citation-style-language/schema/raw/master/csl-citation.json"}</w:instrText>
      </w:r>
      <w:r w:rsidR="00CE2FB7">
        <w:rPr>
          <w:rStyle w:val="Emphasis"/>
          <w:rFonts w:ascii="Arial" w:hAnsi="Arial" w:cs="Arial"/>
          <w:i w:val="0"/>
          <w:iCs w:val="0"/>
        </w:rPr>
        <w:fldChar w:fldCharType="separate"/>
      </w:r>
      <w:r w:rsidR="00CE2FB7" w:rsidRPr="00CE2FB7">
        <w:rPr>
          <w:rStyle w:val="Emphasis"/>
          <w:rFonts w:ascii="Arial" w:hAnsi="Arial" w:cs="Arial"/>
          <w:i w:val="0"/>
          <w:iCs w:val="0"/>
          <w:noProof/>
        </w:rPr>
        <w:t>(Logan et al. 2020)</w:t>
      </w:r>
      <w:r w:rsidR="00CE2FB7">
        <w:rPr>
          <w:rStyle w:val="Emphasis"/>
          <w:rFonts w:ascii="Arial" w:hAnsi="Arial" w:cs="Arial"/>
          <w:i w:val="0"/>
          <w:iCs w:val="0"/>
        </w:rPr>
        <w:fldChar w:fldCharType="end"/>
      </w:r>
      <w:r w:rsidRPr="00CE2FB7">
        <w:rPr>
          <w:rStyle w:val="Emphasis"/>
          <w:rFonts w:ascii="Arial" w:hAnsi="Arial" w:cs="Arial"/>
          <w:i w:val="0"/>
          <w:iCs w:val="0"/>
        </w:rPr>
        <w:t>.</w:t>
      </w:r>
    </w:p>
    <w:p w14:paraId="7D17C240" w14:textId="77777777" w:rsidR="004D01B1" w:rsidRPr="00CE2FB7" w:rsidRDefault="004D01B1" w:rsidP="00CE2FB7">
      <w:pPr>
        <w:pStyle w:val="Body"/>
        <w:spacing w:after="0"/>
        <w:ind w:firstLine="720"/>
        <w:rPr>
          <w:rStyle w:val="Emphasis"/>
          <w:rFonts w:ascii="Arial" w:hAnsi="Arial" w:cs="Arial"/>
          <w:i w:val="0"/>
          <w:iCs w:val="0"/>
        </w:rPr>
      </w:pPr>
    </w:p>
    <w:p w14:paraId="7A388729" w14:textId="02B3E651" w:rsidR="00EB6BA0" w:rsidRPr="001047A2" w:rsidRDefault="00EB6BA0" w:rsidP="001047A2">
      <w:pPr>
        <w:pStyle w:val="Heading3"/>
        <w:numPr>
          <w:ilvl w:val="0"/>
          <w:numId w:val="2"/>
        </w:numPr>
        <w:tabs>
          <w:tab w:val="num" w:pos="360"/>
        </w:tabs>
        <w:spacing w:before="120" w:line="240" w:lineRule="auto"/>
        <w:ind w:left="357" w:hanging="357"/>
        <w:jc w:val="both"/>
        <w:rPr>
          <w:rFonts w:ascii="Arial" w:hAnsi="Arial" w:cs="Arial"/>
          <w:color w:val="auto"/>
          <w:sz w:val="20"/>
          <w:szCs w:val="20"/>
        </w:rPr>
      </w:pPr>
      <w:r w:rsidRPr="001047A2">
        <w:rPr>
          <w:rFonts w:ascii="Arial" w:hAnsi="Arial" w:cs="Arial"/>
          <w:color w:val="auto"/>
          <w:sz w:val="20"/>
          <w:szCs w:val="20"/>
        </w:rPr>
        <w:t>Data analysis</w:t>
      </w:r>
    </w:p>
    <w:p w14:paraId="65A62EBF" w14:textId="77777777" w:rsidR="00EB6BA0" w:rsidRPr="001047A2" w:rsidRDefault="00EB6BA0" w:rsidP="00EB6BA0">
      <w:pPr>
        <w:pStyle w:val="NormalWeb"/>
        <w:spacing w:before="0" w:beforeAutospacing="0" w:after="0" w:afterAutospacing="0"/>
        <w:jc w:val="both"/>
        <w:rPr>
          <w:rFonts w:ascii="Arial" w:hAnsi="Arial" w:cs="Arial"/>
          <w:sz w:val="20"/>
          <w:szCs w:val="20"/>
          <w:lang w:val="en-US"/>
        </w:rPr>
      </w:pPr>
    </w:p>
    <w:p w14:paraId="43E51053" w14:textId="77777777" w:rsidR="005B287C" w:rsidRDefault="005B287C" w:rsidP="00EB6BA0">
      <w:pPr>
        <w:pStyle w:val="NormalWeb"/>
        <w:spacing w:before="0" w:beforeAutospacing="0" w:after="0" w:afterAutospacing="0"/>
        <w:ind w:firstLine="720"/>
        <w:jc w:val="both"/>
        <w:rPr>
          <w:rFonts w:ascii="Arial" w:hAnsi="Arial" w:cs="Arial"/>
          <w:sz w:val="20"/>
          <w:szCs w:val="20"/>
        </w:rPr>
      </w:pPr>
      <w:r>
        <w:rPr>
          <w:rFonts w:ascii="Arial" w:hAnsi="Arial" w:cs="Arial"/>
          <w:sz w:val="20"/>
          <w:szCs w:val="20"/>
        </w:rPr>
        <w:lastRenderedPageBreak/>
        <w:t>All analyses were conducted utilizing IBM SPSS Statistics. Descriptive statistics, including means, standard deviations, and achievement percentages, summarized the study variables. Multiple linear regression examined the relationships between extension-role aspects (X1–X3) and maize food availability (Y), with factors introduced concurrently in accordance with the conceptual model.</w:t>
      </w:r>
    </w:p>
    <w:p w14:paraId="75893357" w14:textId="05766A62" w:rsidR="00EB6BA0" w:rsidRPr="001047A2" w:rsidRDefault="005B287C" w:rsidP="00EB6BA0">
      <w:pPr>
        <w:pStyle w:val="NormalWeb"/>
        <w:spacing w:before="0" w:beforeAutospacing="0" w:after="0" w:afterAutospacing="0"/>
        <w:ind w:firstLine="720"/>
        <w:jc w:val="both"/>
        <w:rPr>
          <w:rFonts w:ascii="Arial" w:hAnsi="Arial" w:cs="Arial"/>
          <w:sz w:val="20"/>
          <w:szCs w:val="20"/>
        </w:rPr>
      </w:pPr>
      <w:r>
        <w:rPr>
          <w:rFonts w:ascii="Arial" w:hAnsi="Arial" w:cs="Arial"/>
          <w:sz w:val="20"/>
          <w:szCs w:val="20"/>
        </w:rPr>
        <w:t xml:space="preserve">The major measures, being summated Likert-type composite ratings, were assessed as essentially continuous outcomes/predictors, a practice prevalent in applied research for the sake of interpretability and model convenience </w:t>
      </w:r>
      <w:r w:rsidRPr="001047A2">
        <w:rPr>
          <w:rFonts w:ascii="Arial" w:hAnsi="Arial" w:cs="Arial"/>
          <w:sz w:val="20"/>
          <w:szCs w:val="20"/>
          <w:lang w:val="en-US"/>
        </w:rPr>
        <w:fldChar w:fldCharType="begin" w:fldLock="1"/>
      </w:r>
      <w:r w:rsidRPr="001047A2">
        <w:rPr>
          <w:rFonts w:ascii="Arial" w:hAnsi="Arial" w:cs="Arial"/>
          <w:sz w:val="20"/>
          <w:szCs w:val="20"/>
          <w:lang w:val="en-US"/>
        </w:rPr>
        <w:instrText>ADDIN CSL_CITATION {"citationItems":[{"id":"ITEM-1","itemData":{"DOI":"10.1186/s12874-025-02668-1","ISSN":"1471-2288","PMID":"41023822","abstract":"Background: The Likert scale is an ordinal variable that measures the intensity of responses from research participants. It is widely used not only in social sciences, such as sociology and psychology, but also in survey-based research fields, such as nursing and public health. Among the approaches for handling the Likert-scale data, treating it as a continuous variable has been commonly used because it facilitates the application of parametric statistical methods and interpretation of results. In addition, from a perspective of statistical principle, this type of approach has been widely discussed and considered unproblematic. However, studies exploring the characteristics of the Likert scale in the approach with simulations are relatively rare. Thus, this study aimed to confirm the validity of the approach with simulation that compared the statistical characteristics of the Likert scale variable with those of variables from an assumed continuous latent distribution. Methods: In the Monte Carlo simulation study, the rectified normal distribution was specifically assumed for the continuous latent distribution. Then, type 1 error, statistical power, and correlation were compared across various situations involving both single and multiple variables. Results: From the simulation study, we found that a Likert scale with five or more points exhibited statistical characteristics comparable to those of the variable derived from the latent continuous distribution. Conclusions: Based on the results, we confirmed that the Likert scale can be used as a continuous variable in various parametric statistical methods. The corresponding suggested guidelines are expected to assist researchers in research design, data analysis, and results interpretation.","author":[{"dropping-particle":"","family":"Huh","given":"Iksoo","non-dropping-particle":"","parse-names":false,"suffix":""},{"dropping-particle":"","family":"Gim","given":"Jungsoo","non-dropping-particle":"","parse-names":false,"suffix":""}],"container-title":"BMC Medical Research Methodology","id":"ITEM-1","issue":"1","issued":{"date-parts":[["2025","9","29"]]},"page":"218","title":"Exploration of Likert scale in terms of continuous variable with parametric statistical methods","type":"article-journal","volume":"25"},"uris":["http://www.mendeley.com/documents/?uuid=096a2508-d2ac-40a2-a970-75b66b2a66b1"]}],"mendeley":{"formattedCitation":"(Huh and Gim 2025)","plainTextFormattedCitation":"(Huh and Gim 2025)","previouslyFormattedCitation":"(Huh and Gim 2025)"},"properties":{"noteIndex":0},"schema":"https://github.com/citation-style-language/schema/raw/master/csl-citation.json"}</w:instrText>
      </w:r>
      <w:r w:rsidRPr="001047A2">
        <w:rPr>
          <w:rFonts w:ascii="Arial" w:hAnsi="Arial" w:cs="Arial"/>
          <w:sz w:val="20"/>
          <w:szCs w:val="20"/>
          <w:lang w:val="en-US"/>
        </w:rPr>
        <w:fldChar w:fldCharType="separate"/>
      </w:r>
      <w:r w:rsidRPr="001047A2">
        <w:rPr>
          <w:rFonts w:ascii="Arial" w:hAnsi="Arial" w:cs="Arial"/>
          <w:noProof/>
          <w:sz w:val="20"/>
          <w:szCs w:val="20"/>
          <w:lang w:val="en-US"/>
        </w:rPr>
        <w:t>(Huh and Gim 2025)</w:t>
      </w:r>
      <w:r w:rsidRPr="001047A2">
        <w:rPr>
          <w:rFonts w:ascii="Arial" w:hAnsi="Arial" w:cs="Arial"/>
          <w:sz w:val="20"/>
          <w:szCs w:val="20"/>
          <w:lang w:val="en-US"/>
        </w:rPr>
        <w:fldChar w:fldCharType="end"/>
      </w:r>
      <w:r>
        <w:rPr>
          <w:rFonts w:ascii="Arial" w:hAnsi="Arial" w:cs="Arial"/>
          <w:sz w:val="20"/>
          <w:szCs w:val="20"/>
        </w:rPr>
        <w:t>. Simultaneously, new methodological research indicates that ordinal-specific approaches may provide benefits (e.g., power and bias characteristics) for Likert-scale outcomes; thus, regression diagnostics were highlighted to ensure model adequacy under this specification</w:t>
      </w:r>
      <w:r w:rsidR="00AD5ECE">
        <w:rPr>
          <w:rFonts w:ascii="Arial" w:hAnsi="Arial" w:cs="Arial"/>
          <w:sz w:val="20"/>
          <w:szCs w:val="20"/>
          <w:lang w:val="en-US"/>
        </w:rPr>
        <w:t xml:space="preserve"> </w:t>
      </w:r>
      <w:r w:rsidR="00AD5ECE">
        <w:rPr>
          <w:rFonts w:ascii="Arial" w:hAnsi="Arial" w:cs="Arial"/>
          <w:sz w:val="20"/>
          <w:szCs w:val="20"/>
          <w:lang w:val="en-US"/>
        </w:rPr>
        <w:fldChar w:fldCharType="begin" w:fldLock="1"/>
      </w:r>
      <w:r w:rsidR="006B1660">
        <w:rPr>
          <w:rFonts w:ascii="Arial" w:hAnsi="Arial" w:cs="Arial"/>
          <w:sz w:val="20"/>
          <w:szCs w:val="20"/>
          <w:lang w:val="en-US"/>
        </w:rPr>
        <w:instrText>ADDIN CSL_CITATION {"citationItems":[{"id":"ITEM-1","itemData":{"DOI":"10.1186/s12874-026-02793-5","ISSN":"1471-2288","author":[{"dropping-particle":"","family":"Al-Jaishi","given":"Ahmed A.","non-dropping-particle":"","parse-names":false,"suffix":""},{"dropping-particle":"","family":"Cuerden","given":"Meaghan S","non-dropping-particle":"","parse-names":false,"suffix":""},{"dropping-particle":"","family":"Luo","given":"Bin","non-dropping-particle":"","parse-names":false,"suffix":""},{"dropping-particle":"","family":"Roshonov","given":"Pavel S","non-dropping-particle":"","parse-names":false,"suffix":""},{"dropping-particle":"","family":"Garg","given":"Amit X","non-dropping-particle":"","parse-names":false,"suffix":""}],"container-title":"BMC Medical Research Methodology","id":"ITEM-1","issued":{"date-parts":[["2026","2","21"]]},"title":"Statistical analysis of Likert-based ordinal scales: a guide for clinical trialists","type":"article-journal"},"uris":["http://www.mendeley.com/documents/?uuid=78fb51c6-b00a-4633-bcf3-6c069558077c"]}],"mendeley":{"formattedCitation":"(Al-Jaishi et al. 2026)","plainTextFormattedCitation":"(Al-Jaishi et al. 2026)","previouslyFormattedCitation":"(Al-Jaishi et al. 2026)"},"properties":{"noteIndex":0},"schema":"https://github.com/citation-style-language/schema/raw/master/csl-citation.json"}</w:instrText>
      </w:r>
      <w:r w:rsidR="00AD5ECE">
        <w:rPr>
          <w:rFonts w:ascii="Arial" w:hAnsi="Arial" w:cs="Arial"/>
          <w:sz w:val="20"/>
          <w:szCs w:val="20"/>
          <w:lang w:val="en-US"/>
        </w:rPr>
        <w:fldChar w:fldCharType="separate"/>
      </w:r>
      <w:r w:rsidR="00AD5ECE" w:rsidRPr="00AD5ECE">
        <w:rPr>
          <w:rFonts w:ascii="Arial" w:hAnsi="Arial" w:cs="Arial"/>
          <w:noProof/>
          <w:sz w:val="20"/>
          <w:szCs w:val="20"/>
          <w:lang w:val="en-US"/>
        </w:rPr>
        <w:t>(Al-Jaishi et al. 2026)</w:t>
      </w:r>
      <w:r w:rsidR="00AD5ECE">
        <w:rPr>
          <w:rFonts w:ascii="Arial" w:hAnsi="Arial" w:cs="Arial"/>
          <w:sz w:val="20"/>
          <w:szCs w:val="20"/>
          <w:lang w:val="en-US"/>
        </w:rPr>
        <w:fldChar w:fldCharType="end"/>
      </w:r>
      <w:r w:rsidR="00EB6BA0" w:rsidRPr="001047A2">
        <w:rPr>
          <w:rFonts w:ascii="Arial" w:hAnsi="Arial" w:cs="Arial"/>
          <w:sz w:val="20"/>
          <w:szCs w:val="20"/>
        </w:rPr>
        <w:t>.</w:t>
      </w:r>
    </w:p>
    <w:p w14:paraId="7EAEE78B" w14:textId="03721012" w:rsidR="000F7460" w:rsidRDefault="000F7460" w:rsidP="00EB6BA0">
      <w:pPr>
        <w:pStyle w:val="NormalWeb"/>
        <w:spacing w:before="0" w:beforeAutospacing="0" w:after="0" w:afterAutospacing="0"/>
        <w:ind w:firstLine="720"/>
        <w:jc w:val="both"/>
        <w:rPr>
          <w:rFonts w:ascii="Arial" w:hAnsi="Arial" w:cs="Arial"/>
          <w:sz w:val="20"/>
          <w:szCs w:val="20"/>
        </w:rPr>
      </w:pPr>
      <w:r w:rsidRPr="000F7460">
        <w:rPr>
          <w:rFonts w:ascii="Arial" w:hAnsi="Arial" w:cs="Arial"/>
          <w:sz w:val="20"/>
          <w:szCs w:val="20"/>
        </w:rPr>
        <w:t xml:space="preserve">Missing data were handled using complete-case analysis for the principal regression (SPSS default); however, no missing values were present in the dataset, so the analytic sample remained n = 68 </w:t>
      </w:r>
      <w:r>
        <w:rPr>
          <w:rFonts w:ascii="Arial" w:hAnsi="Arial" w:cs="Arial"/>
          <w:sz w:val="20"/>
          <w:szCs w:val="20"/>
        </w:rPr>
        <w:t xml:space="preserve"> </w:t>
      </w:r>
      <w:r w:rsidRPr="001047A2">
        <w:rPr>
          <w:rFonts w:ascii="Arial" w:hAnsi="Arial" w:cs="Arial"/>
          <w:sz w:val="20"/>
          <w:szCs w:val="20"/>
        </w:rPr>
        <w:fldChar w:fldCharType="begin" w:fldLock="1"/>
      </w:r>
      <w:r w:rsidRPr="001047A2">
        <w:rPr>
          <w:rFonts w:ascii="Arial" w:hAnsi="Arial" w:cs="Arial"/>
          <w:sz w:val="20"/>
          <w:szCs w:val="20"/>
        </w:rPr>
        <w:instrText>ADDIN CSL_CITATION {"citationItems":[{"id":"ITEM-1","itemData":{"DOI":"10.1016/j.cjca.2020.11.010","ISSN":"0828282X","PMID":"33276049","abstract":"Missing data is a common occurrence in clinical research. Missing data occurs when the value of the variables of interest are not measured or recorded for all subjects in the sample. Common approaches to addressing the presence of missing data include complete-case analyses, where subjects with missing data are excluded, and mean-value imputation, where missing values are replaced with the mean value of that variable in those subjects for whom it is not missing. However, in many settings, these approaches can lead to biased estimates of statistics (eg, of regression coefficients) and/or confidence intervals that are artificially narrow. Multiple imputation (MI) is a popular approach for addressing the presence of missing data. With MI, multiple plausible values of a given variable are imputed or filled in for each subject who has missing data for that variable. This results in the creation of multiple completed data sets. Identical statistical analyses are conducted in each of these complete data sets and the results are pooled across complete data sets. We provide an introduction to MI and discuss issues in its implementation, including developing the imputation model, how many imputed data sets to create, and addressing derived variables. We illustrate the application of MI through an analysis of data on patients hospitalised with heart failure. We focus on developing a model to estimate the probability of 1-year mortality in the presence of missing data. Statistical software code for conducting MI in R, SAS, and Stata are provided.","author":[{"dropping-particle":"","family":"Austin","given":"Peter C.","non-dropping-particle":"","parse-names":false,"suffix":""},{"dropping-particle":"","family":"White","given":"Ian R.","non-dropping-particle":"","parse-names":false,"suffix":""},{"dropping-particle":"","family":"Lee","given":"Douglas S.","non-dropping-particle":"","parse-names":false,"suffix":""},{"dropping-particle":"","family":"Buuren","given":"Stef","non-dropping-particle":"van","parse-names":false,"suffix":""}],"container-title":"Canadian Journal of Cardiology","id":"ITEM-1","issue":"9","issued":{"date-parts":[["2021","9"]]},"page":"1322-1331","publisher":"The Authors","title":"Missing Data in Clinical Research: A Tutorial on Multiple Imputation","type":"article-journal","volume":"37"},"uris":["http://www.mendeley.com/documents/?uuid=a0cc223a-fead-4ee5-b94c-a9994dc9eb04"]}],"mendeley":{"formattedCitation":"(Austin et al. 2021)","plainTextFormattedCitation":"(Austin et al. 2021)","previouslyFormattedCitation":"(Austin et al. 2021)"},"properties":{"noteIndex":0},"schema":"https://github.com/citation-style-language/schema/raw/master/csl-citation.json"}</w:instrText>
      </w:r>
      <w:r w:rsidRPr="001047A2">
        <w:rPr>
          <w:rFonts w:ascii="Arial" w:hAnsi="Arial" w:cs="Arial"/>
          <w:sz w:val="20"/>
          <w:szCs w:val="20"/>
        </w:rPr>
        <w:fldChar w:fldCharType="separate"/>
      </w:r>
      <w:r w:rsidRPr="001047A2">
        <w:rPr>
          <w:rFonts w:ascii="Arial" w:hAnsi="Arial" w:cs="Arial"/>
          <w:noProof/>
          <w:sz w:val="20"/>
          <w:szCs w:val="20"/>
        </w:rPr>
        <w:t>(Austin et al. 2021)</w:t>
      </w:r>
      <w:r w:rsidRPr="001047A2">
        <w:rPr>
          <w:rFonts w:ascii="Arial" w:hAnsi="Arial" w:cs="Arial"/>
          <w:sz w:val="20"/>
          <w:szCs w:val="20"/>
        </w:rPr>
        <w:fldChar w:fldCharType="end"/>
      </w:r>
      <w:r w:rsidRPr="001047A2">
        <w:rPr>
          <w:rFonts w:ascii="Arial" w:hAnsi="Arial" w:cs="Arial"/>
          <w:sz w:val="20"/>
          <w:szCs w:val="20"/>
        </w:rPr>
        <w:t>.</w:t>
      </w:r>
      <w:r>
        <w:rPr>
          <w:rFonts w:ascii="Arial" w:hAnsi="Arial" w:cs="Arial"/>
          <w:sz w:val="20"/>
          <w:szCs w:val="20"/>
        </w:rPr>
        <w:t xml:space="preserve"> </w:t>
      </w:r>
      <w:r>
        <w:rPr>
          <w:rFonts w:ascii="Arial" w:hAnsi="Arial" w:cs="Arial"/>
          <w:sz w:val="20"/>
          <w:szCs w:val="20"/>
          <w:lang w:val="en-US"/>
        </w:rPr>
        <w:t xml:space="preserve"> </w:t>
      </w:r>
      <w:r w:rsidRPr="000F7460">
        <w:rPr>
          <w:rFonts w:ascii="Arial" w:hAnsi="Arial" w:cs="Arial"/>
          <w:sz w:val="20"/>
          <w:szCs w:val="20"/>
        </w:rPr>
        <w:t>Statistical significance was assessed at α = 0.05 (two-tailed).</w:t>
      </w:r>
    </w:p>
    <w:p w14:paraId="6DF8CDBE" w14:textId="410D2EB9" w:rsidR="00EB6BA0" w:rsidRPr="001047A2" w:rsidRDefault="00EB6BA0" w:rsidP="001047A2">
      <w:pPr>
        <w:pStyle w:val="Heading3"/>
        <w:numPr>
          <w:ilvl w:val="0"/>
          <w:numId w:val="2"/>
        </w:numPr>
        <w:tabs>
          <w:tab w:val="num" w:pos="360"/>
        </w:tabs>
        <w:spacing w:before="120" w:line="240" w:lineRule="auto"/>
        <w:ind w:left="357" w:hanging="357"/>
        <w:jc w:val="both"/>
        <w:rPr>
          <w:rFonts w:ascii="Arial" w:hAnsi="Arial" w:cs="Arial"/>
          <w:color w:val="auto"/>
          <w:sz w:val="20"/>
          <w:szCs w:val="20"/>
        </w:rPr>
      </w:pPr>
      <w:r w:rsidRPr="001047A2">
        <w:rPr>
          <w:rFonts w:ascii="Arial" w:hAnsi="Arial" w:cs="Arial"/>
          <w:color w:val="auto"/>
          <w:sz w:val="20"/>
          <w:szCs w:val="20"/>
        </w:rPr>
        <w:t>Classical assumption tests (regression diagnostics)</w:t>
      </w:r>
    </w:p>
    <w:p w14:paraId="7CF9DB12" w14:textId="01401892" w:rsidR="00EB6BA0" w:rsidRPr="001047A2" w:rsidRDefault="00764370" w:rsidP="00EB6BA0">
      <w:pPr>
        <w:pStyle w:val="NormalWeb"/>
        <w:spacing w:before="0" w:beforeAutospacing="0" w:after="0" w:afterAutospacing="0"/>
        <w:ind w:firstLine="720"/>
        <w:jc w:val="both"/>
        <w:rPr>
          <w:rFonts w:ascii="Arial" w:hAnsi="Arial" w:cs="Arial"/>
          <w:sz w:val="20"/>
          <w:szCs w:val="20"/>
        </w:rPr>
      </w:pPr>
      <w:r>
        <w:rPr>
          <w:rFonts w:ascii="Arial" w:hAnsi="Arial" w:cs="Arial"/>
          <w:sz w:val="20"/>
          <w:szCs w:val="20"/>
        </w:rPr>
        <w:t xml:space="preserve">Residual normality was evaluated by the histogram of standardized residuals and the Normal P–P Plot. Homoscedasticity was assessed by a scatterplot of standardized predicted values (ZPRED) against studentized residuals (ZRESID). Multicollinearity was assessed by tolerance and variance inflation factors (VIF), acknowledging recent warnings that collinearity diagnostics and thresholds must be understood contextually and may be influenced by sample characteristics </w:t>
      </w:r>
      <w:r w:rsidR="00EB6BA0" w:rsidRPr="001047A2">
        <w:rPr>
          <w:rFonts w:ascii="Arial" w:hAnsi="Arial" w:cs="Arial"/>
          <w:sz w:val="20"/>
          <w:szCs w:val="20"/>
          <w:lang w:val="en-US"/>
        </w:rPr>
        <w:fldChar w:fldCharType="begin" w:fldLock="1"/>
      </w:r>
      <w:r w:rsidR="00EB6BA0" w:rsidRPr="001047A2">
        <w:rPr>
          <w:rFonts w:ascii="Arial" w:hAnsi="Arial" w:cs="Arial"/>
          <w:sz w:val="20"/>
          <w:szCs w:val="20"/>
          <w:lang w:val="en-US"/>
        </w:rPr>
        <w:instrText>ADDIN CSL_CITATION {"citationItems":[{"id":"ITEM-1","itemData":{"DOI":"10.1007/s10614-025-10920-5","ISBN":"0123456789","ISSN":"0927-7099","abstract":"This paper analyzes the impact of sample enlargement on the mitigation of collinearity, concluding that it may mitigate the consequences of collinearity related to statistical analysis but not necessarily the numerical instability. This issue is important in teaching social sciences as it relates to one widely accepted solution for addressing multicollinearity. For a better understanding and illustration of the contribution made by this paper, two empirical examples and two simulations are presented and not highly technical developments are used.","author":[{"dropping-particle":"","family":"Salmerón-Gómez","given":"Román","non-dropping-particle":"","parse-names":false,"suffix":""},{"dropping-particle":"","family":"García-García","given":"Catalina Beatriz","non-dropping-particle":"","parse-names":false,"suffix":""},{"dropping-particle":"","family":"Rodríguez-Sánchez","given":"Ainara","non-dropping-particle":"","parse-names":false,"suffix":""}],"container-title":"Computational Economics","id":"ITEM-1","issue":"0123456789","issued":{"date-parts":[["2025","4","16"]]},"publisher":"Springer US","title":"Enlarging of the Sample to Address Multicollinearity","type":"article-journal"},"uris":["http://www.mendeley.com/documents/?uuid=15a56f15-b7c6-4b98-902c-644624d34fe1"]}],"mendeley":{"formattedCitation":"(Salmerón-Gómez, García-García, and Rodríguez-Sánchez 2025)","plainTextFormattedCitation":"(Salmerón-Gómez, García-García, and Rodríguez-Sánchez 2025)","previouslyFormattedCitation":"(Salmerón-Gómez, García-García, and Rodríguez-Sánchez 2025)"},"properties":{"noteIndex":0},"schema":"https://github.com/citation-style-language/schema/raw/master/csl-citation.json"}</w:instrText>
      </w:r>
      <w:r w:rsidR="00EB6BA0" w:rsidRPr="001047A2">
        <w:rPr>
          <w:rFonts w:ascii="Arial" w:hAnsi="Arial" w:cs="Arial"/>
          <w:sz w:val="20"/>
          <w:szCs w:val="20"/>
          <w:lang w:val="en-US"/>
        </w:rPr>
        <w:fldChar w:fldCharType="separate"/>
      </w:r>
      <w:r w:rsidR="00EB6BA0" w:rsidRPr="001047A2">
        <w:rPr>
          <w:rFonts w:ascii="Arial" w:hAnsi="Arial" w:cs="Arial"/>
          <w:noProof/>
          <w:sz w:val="20"/>
          <w:szCs w:val="20"/>
          <w:lang w:val="en-US"/>
        </w:rPr>
        <w:t>(Salmerón-Gómez, García-García, and Rodríguez-Sánchez 2025)</w:t>
      </w:r>
      <w:r w:rsidR="00EB6BA0" w:rsidRPr="001047A2">
        <w:rPr>
          <w:rFonts w:ascii="Arial" w:hAnsi="Arial" w:cs="Arial"/>
          <w:sz w:val="20"/>
          <w:szCs w:val="20"/>
          <w:lang w:val="en-US"/>
        </w:rPr>
        <w:fldChar w:fldCharType="end"/>
      </w:r>
      <w:r w:rsidR="00EB6BA0" w:rsidRPr="001047A2">
        <w:rPr>
          <w:rFonts w:ascii="Arial" w:hAnsi="Arial" w:cs="Arial"/>
          <w:sz w:val="20"/>
          <w:szCs w:val="20"/>
        </w:rPr>
        <w:t xml:space="preserve">. </w:t>
      </w:r>
      <w:r>
        <w:rPr>
          <w:rFonts w:ascii="Arial" w:hAnsi="Arial" w:cs="Arial"/>
          <w:sz w:val="20"/>
          <w:szCs w:val="20"/>
        </w:rPr>
        <w:t>The Durbin–Watson statistic was utilized to assess residual autocorrelation as an additional diagnostic tool</w:t>
      </w:r>
      <w:r w:rsidR="00EB6BA0" w:rsidRPr="001047A2">
        <w:rPr>
          <w:rFonts w:ascii="Arial" w:hAnsi="Arial" w:cs="Arial"/>
          <w:sz w:val="20"/>
          <w:szCs w:val="20"/>
          <w:lang w:val="en-US"/>
        </w:rPr>
        <w:t xml:space="preserve"> </w:t>
      </w:r>
      <w:r w:rsidR="00EB6BA0" w:rsidRPr="001047A2">
        <w:rPr>
          <w:rFonts w:ascii="Arial" w:hAnsi="Arial" w:cs="Arial"/>
          <w:sz w:val="20"/>
          <w:szCs w:val="20"/>
          <w:lang w:val="en-US"/>
        </w:rPr>
        <w:fldChar w:fldCharType="begin" w:fldLock="1"/>
      </w:r>
      <w:r w:rsidR="00EB6BA0" w:rsidRPr="001047A2">
        <w:rPr>
          <w:rFonts w:ascii="Arial" w:hAnsi="Arial" w:cs="Arial"/>
          <w:sz w:val="20"/>
          <w:szCs w:val="20"/>
          <w:lang w:val="en-US"/>
        </w:rPr>
        <w:instrText>ADDIN CSL_CITATION {"citationItems":[{"id":"ITEM-1","itemData":{"DOI":"10.3390/math12243966","ISSN":"2227-7390","abstract":"In the last decade, the size and complexity of datasets have expanded significantly, necessitating more sophisticated predictive methods. Despite this growth, limited research has been conducted on the effects of autocorrelation within widely used regression methods. This study addresses this gap by investigating how autocorrelation impacts the predictive accuracy and efficiency of six regression approaches: Artificial Neural Network (ANN), Ordinary Least Squares (OLS), Cochrane–Orcutt (CO), Prais–Winsten (PW), Maximum Likelihood Estimation (MLE), and Restricted Maximum Likelihood Estimation (RMLE). The study evaluates each method’s performance on three datasets characterized by autocorrelation, comparing their predictive accuracy and variability. The analysis is structured into three phases: the first phase examines predictive accuracy across methods using Mean Squared Error (MSE), Mean Absolute Error (MAE), and Mean Absolute Percentage Error (MAPE); the second phase evaluates the efficiency of parameter estimation based on standard errors across methods; and the final phase visually assesses the closeness of predicted values to actual values through scatter plots. The results indicate that the ANN consistently provides the most accurate predictions, particularly in large sample sizes with extensive training data. For GDP data, the ANN achieved an MSE of 1.05 × 109, an MAE of 23,344.64, and an MAPE of 81.66%, demonstrating up to a 90% reduction in the MSE compared to OLS. These findings underscore the advantages of the ANN for predictive tasks involving autocorrelated data, highlighting its robustness and suitability for complex, large-scale datasets. This study provides practical guidance for selecting optimal prediction techniques in the presence of autocorrelation, recommending the ANN as the preferred method due to its superior performance.","author":[{"dropping-particle":"","family":"Rauf","given":"Rauf I.","non-dropping-particle":"","parse-names":false,"suffix":""},{"dropping-particle":"","family":"Alrasheedi","given":"Masad A.","non-dropping-particle":"","parse-names":false,"suffix":""},{"dropping-particle":"","family":"Sadiq","given":"Rasheedah","non-dropping-particle":"","parse-names":false,"suffix":""},{"dropping-particle":"","family":"Aldawsari","given":"Abdulrahman M. A.","non-dropping-particle":"","parse-names":false,"suffix":""}],"container-title":"Mathematics","id":"ITEM-1","issue":"24","issued":{"date-parts":[["2024","12","17"]]},"page":"3966","title":"Evaluating Predictive Accuracy of Regression Models with First-Order Autoregressive Disturbances: A Comparative Approach Using Artificial Neural Networks and Classical Estimators","type":"article-journal","volume":"12"},"uris":["http://www.mendeley.com/documents/?uuid=984acd1a-0d8d-4299-bb36-09879176fcda"]}],"mendeley":{"formattedCitation":"(Rauf et al. 2024)","plainTextFormattedCitation":"(Rauf et al. 2024)","previouslyFormattedCitation":"(Rauf et al. 2024)"},"properties":{"noteIndex":0},"schema":"https://github.com/citation-style-language/schema/raw/master/csl-citation.json"}</w:instrText>
      </w:r>
      <w:r w:rsidR="00EB6BA0" w:rsidRPr="001047A2">
        <w:rPr>
          <w:rFonts w:ascii="Arial" w:hAnsi="Arial" w:cs="Arial"/>
          <w:sz w:val="20"/>
          <w:szCs w:val="20"/>
          <w:lang w:val="en-US"/>
        </w:rPr>
        <w:fldChar w:fldCharType="separate"/>
      </w:r>
      <w:r w:rsidR="00EB6BA0" w:rsidRPr="001047A2">
        <w:rPr>
          <w:rFonts w:ascii="Arial" w:hAnsi="Arial" w:cs="Arial"/>
          <w:noProof/>
          <w:sz w:val="20"/>
          <w:szCs w:val="20"/>
          <w:lang w:val="en-US"/>
        </w:rPr>
        <w:t>(Rauf et al. 2024)</w:t>
      </w:r>
      <w:r w:rsidR="00EB6BA0" w:rsidRPr="001047A2">
        <w:rPr>
          <w:rFonts w:ascii="Arial" w:hAnsi="Arial" w:cs="Arial"/>
          <w:sz w:val="20"/>
          <w:szCs w:val="20"/>
          <w:lang w:val="en-US"/>
        </w:rPr>
        <w:fldChar w:fldCharType="end"/>
      </w:r>
      <w:r w:rsidR="00EB6BA0" w:rsidRPr="001047A2">
        <w:rPr>
          <w:rFonts w:ascii="Arial" w:hAnsi="Arial" w:cs="Arial"/>
          <w:sz w:val="20"/>
          <w:szCs w:val="20"/>
        </w:rPr>
        <w:t>.</w:t>
      </w:r>
    </w:p>
    <w:p w14:paraId="3E367E04" w14:textId="0BDC5174" w:rsidR="00EB6BA0" w:rsidRPr="001047A2" w:rsidRDefault="00EB6BA0" w:rsidP="001047A2">
      <w:pPr>
        <w:pStyle w:val="Heading3"/>
        <w:numPr>
          <w:ilvl w:val="0"/>
          <w:numId w:val="2"/>
        </w:numPr>
        <w:tabs>
          <w:tab w:val="num" w:pos="360"/>
        </w:tabs>
        <w:spacing w:before="120" w:line="240" w:lineRule="auto"/>
        <w:ind w:left="357" w:hanging="357"/>
        <w:jc w:val="both"/>
        <w:rPr>
          <w:rFonts w:ascii="Arial" w:hAnsi="Arial" w:cs="Arial"/>
          <w:color w:val="auto"/>
          <w:sz w:val="20"/>
          <w:szCs w:val="20"/>
        </w:rPr>
      </w:pPr>
      <w:r w:rsidRPr="001047A2">
        <w:rPr>
          <w:rFonts w:ascii="Arial" w:hAnsi="Arial" w:cs="Arial"/>
          <w:color w:val="auto"/>
          <w:sz w:val="20"/>
          <w:szCs w:val="20"/>
        </w:rPr>
        <w:t>Ethical considerations</w:t>
      </w:r>
    </w:p>
    <w:p w14:paraId="4B8D2BBB" w14:textId="4578D32E" w:rsidR="00EB6BA0" w:rsidRPr="001047A2" w:rsidRDefault="00764370" w:rsidP="00EB6BA0">
      <w:pPr>
        <w:pStyle w:val="NormalWeb"/>
        <w:spacing w:before="0" w:beforeAutospacing="0" w:after="0" w:afterAutospacing="0"/>
        <w:ind w:firstLine="720"/>
        <w:jc w:val="both"/>
        <w:rPr>
          <w:rFonts w:ascii="Arial" w:hAnsi="Arial" w:cs="Arial"/>
          <w:sz w:val="20"/>
          <w:szCs w:val="20"/>
        </w:rPr>
      </w:pPr>
      <w:r>
        <w:rPr>
          <w:rFonts w:ascii="Arial" w:hAnsi="Arial" w:cs="Arial"/>
          <w:sz w:val="20"/>
          <w:szCs w:val="20"/>
        </w:rPr>
        <w:t>Participation was optional. Participants were apprised of the study's objectives, methodologies, confidentiality measures, and their entitlement to withdraw without consequence. Informed consent, either verbal or written, was secured prior to the interviews. No personally identifiable information was disclosed, and datasets were securely held with limited access.</w:t>
      </w:r>
    </w:p>
    <w:p w14:paraId="01D37B54" w14:textId="77777777" w:rsidR="00EB6BA0" w:rsidRPr="001047A2" w:rsidRDefault="00EB6BA0" w:rsidP="00EB6BA0">
      <w:pPr>
        <w:pStyle w:val="AbstHead"/>
        <w:spacing w:after="0"/>
        <w:jc w:val="both"/>
        <w:rPr>
          <w:rFonts w:ascii="Arial" w:hAnsi="Arial" w:cs="Arial"/>
        </w:rPr>
      </w:pPr>
    </w:p>
    <w:p w14:paraId="0BE6B10D" w14:textId="6817960A" w:rsidR="00EB6BA0" w:rsidRPr="001047A2" w:rsidRDefault="00EB6BA0" w:rsidP="001047A2">
      <w:pPr>
        <w:pStyle w:val="AbstHead"/>
        <w:numPr>
          <w:ilvl w:val="0"/>
          <w:numId w:val="6"/>
        </w:numPr>
        <w:spacing w:before="120" w:after="120"/>
        <w:ind w:left="357" w:hanging="357"/>
        <w:jc w:val="both"/>
        <w:rPr>
          <w:rFonts w:ascii="Arial" w:hAnsi="Arial" w:cs="Arial"/>
        </w:rPr>
      </w:pPr>
      <w:r w:rsidRPr="001047A2">
        <w:rPr>
          <w:rFonts w:ascii="Arial" w:hAnsi="Arial" w:cs="Arial"/>
        </w:rPr>
        <w:t>Results and Discussion</w:t>
      </w:r>
    </w:p>
    <w:p w14:paraId="2C22F0BA" w14:textId="77777777" w:rsidR="00EB6BA0" w:rsidRPr="001047A2" w:rsidRDefault="00EB6BA0" w:rsidP="001047A2">
      <w:pPr>
        <w:pStyle w:val="Head1"/>
        <w:numPr>
          <w:ilvl w:val="0"/>
          <w:numId w:val="1"/>
        </w:numPr>
        <w:spacing w:after="0"/>
        <w:ind w:left="357" w:firstLine="0"/>
        <w:jc w:val="both"/>
        <w:rPr>
          <w:rFonts w:ascii="Arial" w:hAnsi="Arial" w:cs="Arial"/>
          <w:sz w:val="20"/>
          <w:szCs w:val="18"/>
        </w:rPr>
      </w:pPr>
      <w:r w:rsidRPr="001047A2">
        <w:rPr>
          <w:rFonts w:ascii="Arial" w:hAnsi="Arial" w:cs="Arial"/>
          <w:caps w:val="0"/>
          <w:sz w:val="20"/>
          <w:szCs w:val="18"/>
        </w:rPr>
        <w:t>Results</w:t>
      </w:r>
    </w:p>
    <w:p w14:paraId="5379E177" w14:textId="77777777" w:rsidR="00EB6BA0" w:rsidRPr="001047A2" w:rsidRDefault="00EB6BA0" w:rsidP="00EB6BA0">
      <w:pPr>
        <w:pStyle w:val="Heading2"/>
        <w:numPr>
          <w:ilvl w:val="0"/>
          <w:numId w:val="4"/>
        </w:numPr>
        <w:tabs>
          <w:tab w:val="num" w:pos="360"/>
        </w:tabs>
        <w:spacing w:before="120" w:after="120"/>
        <w:ind w:left="635" w:hanging="635"/>
        <w:jc w:val="both"/>
        <w:rPr>
          <w:rFonts w:ascii="Arial" w:hAnsi="Arial" w:cs="Arial"/>
          <w:color w:val="auto"/>
          <w:sz w:val="20"/>
          <w:szCs w:val="20"/>
        </w:rPr>
      </w:pPr>
      <w:r w:rsidRPr="001047A2">
        <w:rPr>
          <w:rFonts w:ascii="Arial" w:eastAsia="Times New Roman" w:hAnsi="Arial" w:cs="Arial"/>
          <w:color w:val="auto"/>
          <w:sz w:val="20"/>
          <w:szCs w:val="20"/>
        </w:rPr>
        <w:t>Analytic sample and data completeness</w:t>
      </w:r>
    </w:p>
    <w:p w14:paraId="54D8CD7C" w14:textId="55F4AEB2" w:rsidR="002F77ED" w:rsidRPr="002F77ED" w:rsidRDefault="002F77ED" w:rsidP="002F77ED">
      <w:pPr>
        <w:pStyle w:val="NormalWeb"/>
        <w:spacing w:before="0" w:beforeAutospacing="0" w:after="0" w:afterAutospacing="0"/>
        <w:ind w:firstLine="720"/>
        <w:jc w:val="both"/>
        <w:rPr>
          <w:rFonts w:ascii="Arial" w:hAnsi="Arial" w:cs="Arial"/>
          <w:sz w:val="20"/>
          <w:szCs w:val="20"/>
          <w:lang w:val="en-US"/>
        </w:rPr>
      </w:pPr>
      <w:r w:rsidRPr="002F77ED">
        <w:rPr>
          <w:rFonts w:ascii="Arial" w:hAnsi="Arial" w:cs="Arial"/>
          <w:sz w:val="20"/>
          <w:szCs w:val="20"/>
        </w:rPr>
        <w:t>The SPSS regression output indicates that the analysis comprised 68 complete cases. Although SPSS applies listwise deletion by default, no missing values were present in the dataset; therefore, all 68 observations were retained for the regression analysis. In accordance with contemporary methodological recommendations, complete-case analysis is straightforward but may diminish precision and introduce bias depending on the missing-data mechanism; thus, reporting the analytic sample size enhances transparency</w:t>
      </w:r>
      <w:r>
        <w:rPr>
          <w:rFonts w:ascii="Arial" w:hAnsi="Arial" w:cs="Arial"/>
          <w:sz w:val="20"/>
          <w:szCs w:val="20"/>
          <w:lang w:val="en-US"/>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{"citationItems":[{"id":"ITEM-1","itemData":{"DOI":"10.1016/j.cjca.2020.11.010","ISSN":"0828282X","PMID":"33276049","abstract":"Missing data is a common occurrence in clinical research. Missing data occurs when the value of the variables of interest are not measured or recorded for all subjects in the sample. Common approaches to addressing the presence of missing data include complete-case analyses, where subjects with missing data are excluded, and mean-value imputation, where missing values are replaced with the mean value of that variable in those subjects for whom it is not missing. However, in many settings, these approaches can lead to biased estimates of statistics (eg, of regression coefficients) and/or confidence intervals that are artificially narrow. Multiple imputation (MI) is a popular approach for addressing the presence of missing data. With MI, multiple plausible values of a given variable are imputed or filled in for each subject who has missing data for that variable. This results in the creation of multiple completed data sets. Identical statistical analyses are conducted in each of these complete data sets and the results are pooled across complete data sets. We provide an introduction to MI and discuss issues in its implementation, including developing the imputation model, how many imputed data sets to create, and addressing derived variables. We illustrate the application of MI through an analysis of data on patients hospitalised with heart failure. We focus on developing a model to estimate the probability of 1-year mortality in the presence of missing data. Statistical software code for conducting MI in R, SAS, and Stata are provided.","author":[{"dropping-particle":"","family":"Austin","given":"Peter C.","non-dropping-particle":"","parse-names":false,"suffix":""},{"dropping-particle":"","family":"White","given":"Ian R.","non-dropping-particle":"","parse-names":false,"suffix":""},{"dropping-particle":"","family":"Lee","given":"Douglas S.","non-dropping-particle":"","parse-names":false,"suffix":""},{"dropping-particle":"","family":"Buuren","given":"Stef","non-dropping-particle":"van","parse-names":false,"suffix":""}],"container-title":"Canadian Journal of Cardiology","id":"ITEM-1","issue":"9","issued":{"date-parts":[["2021","9"]]},"page":"1322-1331","publisher":"The Authors","title":"Missing Data in Clinical Research: A Tutorial on Multiple Imputation","type":"article-journal","volume":"37"},"uris":["http://www.mendeley.com/documents/?uuid=a0cc223a-fead-4ee5-b94c-a9994dc9eb04"]}],"mendeley":{"formattedCitation":"(Austin et al. 2021)","plainTextFormattedCitation":"(Austin et al. 2021)","previouslyFormattedCitation":"(Austin et al. 2021)"},"properties":{"noteIndex":0},"schema":"https://github.com/citation-style-language/schema/raw/master/csl-citation.json"}</w:instrText>
      </w:r>
      <w:r>
        <w:rPr>
          <w:rFonts w:ascii="Arial" w:hAnsi="Arial" w:cs="Arial"/>
          <w:sz w:val="20"/>
          <w:szCs w:val="20"/>
        </w:rPr>
        <w:fldChar w:fldCharType="separate"/>
      </w:r>
      <w:r w:rsidRPr="00CE2FB7">
        <w:rPr>
          <w:rFonts w:ascii="Arial" w:hAnsi="Arial" w:cs="Arial"/>
          <w:noProof/>
          <w:sz w:val="20"/>
          <w:szCs w:val="20"/>
        </w:rPr>
        <w:t>(Austin et al. 2021)</w:t>
      </w:r>
      <w:r>
        <w:rPr>
          <w:rFonts w:ascii="Arial" w:hAnsi="Arial" w:cs="Arial"/>
          <w:sz w:val="20"/>
          <w:szCs w:val="20"/>
        </w:rPr>
        <w:fldChar w:fldCharType="end"/>
      </w:r>
      <w:r w:rsidRPr="001047A2">
        <w:rPr>
          <w:rFonts w:ascii="Arial" w:hAnsi="Arial" w:cs="Arial"/>
          <w:sz w:val="20"/>
          <w:szCs w:val="20"/>
        </w:rPr>
        <w:t>.</w:t>
      </w:r>
    </w:p>
    <w:p w14:paraId="3CF255AB" w14:textId="4AC411BA" w:rsidR="008358AB" w:rsidRDefault="008358AB" w:rsidP="00EB6BA0">
      <w:pPr>
        <w:pStyle w:val="NormalWeb"/>
        <w:spacing w:before="0" w:beforeAutospacing="0" w:after="0" w:afterAutospacing="0"/>
        <w:ind w:firstLine="720"/>
        <w:jc w:val="both"/>
        <w:rPr>
          <w:rFonts w:ascii="Arial" w:hAnsi="Arial" w:cs="Arial"/>
          <w:sz w:val="20"/>
          <w:szCs w:val="20"/>
        </w:rPr>
      </w:pPr>
    </w:p>
    <w:p w14:paraId="5EE8D6BF" w14:textId="58C12403" w:rsidR="000D7F1E" w:rsidRDefault="000D7F1E" w:rsidP="00EB6BA0">
      <w:pPr>
        <w:pStyle w:val="NormalWeb"/>
        <w:spacing w:before="0" w:beforeAutospacing="0" w:after="0" w:afterAutospacing="0"/>
        <w:ind w:firstLine="720"/>
        <w:jc w:val="both"/>
        <w:rPr>
          <w:rFonts w:ascii="Arial" w:hAnsi="Arial" w:cs="Arial"/>
          <w:sz w:val="20"/>
          <w:szCs w:val="20"/>
        </w:rPr>
      </w:pPr>
    </w:p>
    <w:p w14:paraId="048F78C3" w14:textId="13A2EB87" w:rsidR="000D7F1E" w:rsidRDefault="000D7F1E" w:rsidP="00EB6BA0">
      <w:pPr>
        <w:pStyle w:val="NormalWeb"/>
        <w:spacing w:before="0" w:beforeAutospacing="0" w:after="0" w:afterAutospacing="0"/>
        <w:ind w:firstLine="720"/>
        <w:jc w:val="both"/>
        <w:rPr>
          <w:rFonts w:ascii="Arial" w:hAnsi="Arial" w:cs="Arial"/>
          <w:sz w:val="20"/>
          <w:szCs w:val="20"/>
        </w:rPr>
      </w:pPr>
    </w:p>
    <w:p w14:paraId="6C325D67" w14:textId="77777777" w:rsidR="000D7F1E" w:rsidRDefault="000D7F1E" w:rsidP="00EB6BA0">
      <w:pPr>
        <w:pStyle w:val="NormalWeb"/>
        <w:spacing w:before="0" w:beforeAutospacing="0" w:after="0" w:afterAutospacing="0"/>
        <w:ind w:firstLine="720"/>
        <w:jc w:val="both"/>
        <w:rPr>
          <w:rFonts w:ascii="Arial" w:hAnsi="Arial" w:cs="Arial"/>
          <w:sz w:val="20"/>
          <w:szCs w:val="20"/>
        </w:rPr>
      </w:pPr>
    </w:p>
    <w:p w14:paraId="24F50D51" w14:textId="77777777" w:rsidR="008358AB" w:rsidRDefault="008358AB" w:rsidP="00EB6BA0">
      <w:pPr>
        <w:pStyle w:val="NormalWeb"/>
        <w:spacing w:before="0" w:beforeAutospacing="0" w:after="0" w:afterAutospacing="0"/>
        <w:ind w:firstLine="720"/>
        <w:jc w:val="both"/>
        <w:rPr>
          <w:rFonts w:ascii="Arial" w:hAnsi="Arial" w:cs="Arial"/>
          <w:sz w:val="20"/>
          <w:szCs w:val="20"/>
        </w:rPr>
      </w:pPr>
    </w:p>
    <w:p w14:paraId="3B08B7EB" w14:textId="3EBF1442" w:rsidR="005C16D7" w:rsidRDefault="005C16D7" w:rsidP="00EB6BA0">
      <w:pPr>
        <w:pStyle w:val="NormalWeb"/>
        <w:spacing w:before="0" w:beforeAutospacing="0" w:after="0" w:afterAutospacing="0"/>
        <w:ind w:firstLine="720"/>
        <w:jc w:val="both"/>
        <w:rPr>
          <w:rFonts w:ascii="Arial" w:hAnsi="Arial" w:cs="Arial"/>
          <w:sz w:val="20"/>
          <w:szCs w:val="20"/>
        </w:rPr>
      </w:pPr>
    </w:p>
    <w:p w14:paraId="6B0E7CE7" w14:textId="77777777" w:rsidR="00EB6BA0" w:rsidRPr="001047A2" w:rsidRDefault="00EB6BA0" w:rsidP="00EB6BA0">
      <w:pPr>
        <w:pStyle w:val="Heading2"/>
        <w:numPr>
          <w:ilvl w:val="0"/>
          <w:numId w:val="4"/>
        </w:numPr>
        <w:tabs>
          <w:tab w:val="num" w:pos="360"/>
        </w:tabs>
        <w:spacing w:before="120" w:after="120"/>
        <w:ind w:left="635" w:hanging="635"/>
        <w:jc w:val="both"/>
        <w:rPr>
          <w:rFonts w:ascii="Arial" w:hAnsi="Arial" w:cs="Arial"/>
          <w:color w:val="auto"/>
          <w:sz w:val="20"/>
          <w:szCs w:val="20"/>
        </w:rPr>
      </w:pPr>
      <w:r w:rsidRPr="001047A2">
        <w:rPr>
          <w:rFonts w:ascii="Arial" w:eastAsia="Times New Roman" w:hAnsi="Arial" w:cs="Arial"/>
          <w:color w:val="auto"/>
          <w:sz w:val="20"/>
          <w:szCs w:val="20"/>
        </w:rPr>
        <w:t>Descriptive cut-offs used in this study</w:t>
      </w:r>
    </w:p>
    <w:p w14:paraId="25DA9D29" w14:textId="77777777" w:rsidR="00EB6BA0" w:rsidRPr="001047A2" w:rsidRDefault="00EB6BA0" w:rsidP="00EB6BA0">
      <w:pPr>
        <w:pStyle w:val="NormalWeb"/>
        <w:spacing w:before="0" w:beforeAutospacing="0" w:after="0" w:afterAutospacing="0"/>
        <w:ind w:firstLine="720"/>
        <w:jc w:val="both"/>
        <w:rPr>
          <w:rFonts w:ascii="Arial" w:hAnsi="Arial" w:cs="Arial"/>
          <w:sz w:val="20"/>
          <w:szCs w:val="20"/>
        </w:rPr>
      </w:pPr>
      <w:r w:rsidRPr="001047A2">
        <w:rPr>
          <w:rFonts w:ascii="Arial" w:hAnsi="Arial" w:cs="Arial"/>
          <w:sz w:val="20"/>
          <w:szCs w:val="20"/>
        </w:rPr>
        <w:t>Achievement categories were defined a priori and are summarized in Table 1.</w:t>
      </w:r>
    </w:p>
    <w:p w14:paraId="4ECBEF75" w14:textId="72FE9668" w:rsidR="00EB6BA0" w:rsidRPr="001047A2" w:rsidRDefault="00EB6BA0" w:rsidP="00EB6BA0">
      <w:pPr>
        <w:spacing w:before="120" w:after="120"/>
        <w:jc w:val="both"/>
        <w:rPr>
          <w:rFonts w:ascii="Arial" w:hAnsi="Arial" w:cs="Arial"/>
          <w:sz w:val="20"/>
          <w:szCs w:val="20"/>
        </w:rPr>
      </w:pPr>
      <w:r w:rsidRPr="001047A2">
        <w:rPr>
          <w:rFonts w:ascii="Arial" w:hAnsi="Arial" w:cs="Arial"/>
          <w:sz w:val="20"/>
          <w:szCs w:val="20"/>
        </w:rPr>
        <w:t xml:space="preserve">Table 1. Achievement-level cut-offs used for descriptive categorization </w:t>
      </w:r>
    </w:p>
    <w:tbl>
      <w:tblPr>
        <w:tblStyle w:val="TableGrid"/>
        <w:tblW w:w="88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447"/>
        <w:gridCol w:w="1451"/>
        <w:gridCol w:w="1242"/>
        <w:gridCol w:w="1451"/>
        <w:gridCol w:w="1451"/>
      </w:tblGrid>
      <w:tr w:rsidR="00EB6BA0" w:rsidRPr="001047A2" w14:paraId="39D4E7C4" w14:textId="77777777" w:rsidTr="00332F7F">
        <w:tc>
          <w:tcPr>
            <w:tcW w:w="1814" w:type="dxa"/>
            <w:tcBorders>
              <w:top w:val="single" w:sz="4" w:space="0" w:color="000000"/>
              <w:bottom w:val="single" w:sz="4" w:space="0" w:color="000000"/>
            </w:tcBorders>
          </w:tcPr>
          <w:p w14:paraId="00AE32E0"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Achievement level (%)</w:t>
            </w:r>
          </w:p>
        </w:tc>
        <w:tc>
          <w:tcPr>
            <w:tcW w:w="1447" w:type="dxa"/>
            <w:tcBorders>
              <w:top w:val="single" w:sz="4" w:space="0" w:color="000000"/>
              <w:bottom w:val="single" w:sz="4" w:space="0" w:color="000000"/>
            </w:tcBorders>
          </w:tcPr>
          <w:p w14:paraId="35E266E9"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0-20</w:t>
            </w:r>
          </w:p>
        </w:tc>
        <w:tc>
          <w:tcPr>
            <w:tcW w:w="1451" w:type="dxa"/>
            <w:tcBorders>
              <w:top w:val="single" w:sz="4" w:space="0" w:color="000000"/>
              <w:bottom w:val="single" w:sz="4" w:space="0" w:color="000000"/>
            </w:tcBorders>
          </w:tcPr>
          <w:p w14:paraId="4992C094"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&gt;21-40</w:t>
            </w:r>
          </w:p>
        </w:tc>
        <w:tc>
          <w:tcPr>
            <w:tcW w:w="1242" w:type="dxa"/>
            <w:tcBorders>
              <w:top w:val="single" w:sz="4" w:space="0" w:color="000000"/>
              <w:bottom w:val="single" w:sz="4" w:space="0" w:color="000000"/>
            </w:tcBorders>
          </w:tcPr>
          <w:p w14:paraId="1DF2BB18"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&gt;41-60</w:t>
            </w:r>
          </w:p>
        </w:tc>
        <w:tc>
          <w:tcPr>
            <w:tcW w:w="1451" w:type="dxa"/>
            <w:tcBorders>
              <w:top w:val="single" w:sz="4" w:space="0" w:color="000000"/>
              <w:bottom w:val="single" w:sz="4" w:space="0" w:color="000000"/>
            </w:tcBorders>
          </w:tcPr>
          <w:p w14:paraId="04004C95"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&gt;61-80</w:t>
            </w:r>
          </w:p>
        </w:tc>
        <w:tc>
          <w:tcPr>
            <w:tcW w:w="1451" w:type="dxa"/>
            <w:tcBorders>
              <w:top w:val="single" w:sz="4" w:space="0" w:color="000000"/>
              <w:bottom w:val="single" w:sz="4" w:space="0" w:color="000000"/>
            </w:tcBorders>
          </w:tcPr>
          <w:p w14:paraId="1A86A0D6"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&gt;81-100</w:t>
            </w:r>
          </w:p>
        </w:tc>
      </w:tr>
      <w:tr w:rsidR="00EB6BA0" w:rsidRPr="001047A2" w14:paraId="57383A62" w14:textId="77777777" w:rsidTr="00332F7F">
        <w:tc>
          <w:tcPr>
            <w:tcW w:w="1814" w:type="dxa"/>
            <w:tcBorders>
              <w:top w:val="single" w:sz="4" w:space="0" w:color="000000"/>
            </w:tcBorders>
          </w:tcPr>
          <w:p w14:paraId="37CC229F" w14:textId="77777777" w:rsidR="00EB6BA0" w:rsidRPr="001047A2" w:rsidRDefault="00EB6BA0" w:rsidP="001047A2">
            <w:pPr>
              <w:spacing w:after="0" w:line="240" w:lineRule="auto"/>
              <w:jc w:val="both"/>
              <w:rPr>
                <w:rFonts w:ascii="Arial" w:hAnsi="Arial" w:cs="Arial"/>
                <w:sz w:val="20"/>
                <w:szCs w:val="20"/>
              </w:rPr>
            </w:pPr>
            <w:r w:rsidRPr="001047A2">
              <w:rPr>
                <w:rFonts w:ascii="Arial" w:hAnsi="Arial" w:cs="Arial"/>
                <w:sz w:val="20"/>
                <w:szCs w:val="20"/>
              </w:rPr>
              <w:t>Maize food availability (Y)</w:t>
            </w:r>
          </w:p>
        </w:tc>
        <w:tc>
          <w:tcPr>
            <w:tcW w:w="1447" w:type="dxa"/>
            <w:tcBorders>
              <w:top w:val="single" w:sz="4" w:space="0" w:color="000000"/>
            </w:tcBorders>
          </w:tcPr>
          <w:p w14:paraId="2D58EE20"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Never available</w:t>
            </w:r>
          </w:p>
        </w:tc>
        <w:tc>
          <w:tcPr>
            <w:tcW w:w="1451" w:type="dxa"/>
            <w:tcBorders>
              <w:top w:val="single" w:sz="4" w:space="0" w:color="000000"/>
            </w:tcBorders>
          </w:tcPr>
          <w:p w14:paraId="47B41C96"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Rarely available</w:t>
            </w:r>
          </w:p>
        </w:tc>
        <w:tc>
          <w:tcPr>
            <w:tcW w:w="1242" w:type="dxa"/>
            <w:tcBorders>
              <w:top w:val="single" w:sz="4" w:space="0" w:color="000000"/>
            </w:tcBorders>
          </w:tcPr>
          <w:p w14:paraId="63B993F6"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Sometimes available</w:t>
            </w:r>
          </w:p>
        </w:tc>
        <w:tc>
          <w:tcPr>
            <w:tcW w:w="1451" w:type="dxa"/>
            <w:tcBorders>
              <w:top w:val="single" w:sz="4" w:space="0" w:color="000000"/>
            </w:tcBorders>
          </w:tcPr>
          <w:p w14:paraId="616E2CAA"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Often available</w:t>
            </w:r>
          </w:p>
        </w:tc>
        <w:tc>
          <w:tcPr>
            <w:tcW w:w="1451" w:type="dxa"/>
            <w:tcBorders>
              <w:top w:val="single" w:sz="4" w:space="0" w:color="000000"/>
            </w:tcBorders>
          </w:tcPr>
          <w:p w14:paraId="5AB46FF7"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Very often available</w:t>
            </w:r>
          </w:p>
        </w:tc>
      </w:tr>
      <w:tr w:rsidR="00EB6BA0" w:rsidRPr="001047A2" w14:paraId="6E468085" w14:textId="77777777" w:rsidTr="00332F7F">
        <w:tc>
          <w:tcPr>
            <w:tcW w:w="1814" w:type="dxa"/>
          </w:tcPr>
          <w:p w14:paraId="2324B1C5" w14:textId="77777777" w:rsidR="00EB6BA0" w:rsidRPr="001047A2" w:rsidRDefault="00EB6BA0" w:rsidP="001047A2">
            <w:pPr>
              <w:spacing w:after="0" w:line="240" w:lineRule="auto"/>
              <w:jc w:val="both"/>
              <w:rPr>
                <w:rFonts w:ascii="Arial" w:hAnsi="Arial" w:cs="Arial"/>
                <w:sz w:val="20"/>
                <w:szCs w:val="20"/>
              </w:rPr>
            </w:pPr>
            <w:r w:rsidRPr="001047A2">
              <w:rPr>
                <w:rFonts w:ascii="Arial" w:hAnsi="Arial" w:cs="Arial"/>
                <w:sz w:val="20"/>
                <w:szCs w:val="20"/>
              </w:rPr>
              <w:lastRenderedPageBreak/>
              <w:t>Extension agents' role (overall)</w:t>
            </w:r>
          </w:p>
        </w:tc>
        <w:tc>
          <w:tcPr>
            <w:tcW w:w="1447" w:type="dxa"/>
          </w:tcPr>
          <w:p w14:paraId="51C4A92F"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Never active</w:t>
            </w:r>
          </w:p>
        </w:tc>
        <w:tc>
          <w:tcPr>
            <w:tcW w:w="1451" w:type="dxa"/>
          </w:tcPr>
          <w:p w14:paraId="009B4905"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Rarely active</w:t>
            </w:r>
          </w:p>
        </w:tc>
        <w:tc>
          <w:tcPr>
            <w:tcW w:w="1242" w:type="dxa"/>
          </w:tcPr>
          <w:p w14:paraId="604CE93B"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Sometimes active</w:t>
            </w:r>
          </w:p>
        </w:tc>
        <w:tc>
          <w:tcPr>
            <w:tcW w:w="1451" w:type="dxa"/>
          </w:tcPr>
          <w:p w14:paraId="019C60EB"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Often active</w:t>
            </w:r>
          </w:p>
        </w:tc>
        <w:tc>
          <w:tcPr>
            <w:tcW w:w="1451" w:type="dxa"/>
          </w:tcPr>
          <w:p w14:paraId="673EC633"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Very often active</w:t>
            </w:r>
          </w:p>
        </w:tc>
      </w:tr>
    </w:tbl>
    <w:p w14:paraId="58E247E0" w14:textId="77777777" w:rsidR="008436E2" w:rsidRPr="008436E2" w:rsidRDefault="008436E2" w:rsidP="008436E2">
      <w:pPr>
        <w:pStyle w:val="Heading2"/>
        <w:spacing w:before="0" w:after="120" w:line="240" w:lineRule="auto"/>
        <w:ind w:firstLine="635"/>
        <w:jc w:val="both"/>
        <w:rPr>
          <w:rFonts w:ascii="Arial" w:eastAsia="Times New Roman" w:hAnsi="Arial" w:cs="Arial"/>
          <w:b w:val="0"/>
          <w:color w:val="auto"/>
          <w:sz w:val="20"/>
          <w:szCs w:val="20"/>
        </w:rPr>
      </w:pPr>
      <w:r w:rsidRPr="008436E2">
        <w:rPr>
          <w:rFonts w:ascii="Arial" w:hAnsi="Arial" w:cs="Arial"/>
          <w:b w:val="0"/>
          <w:color w:val="auto"/>
          <w:sz w:val="20"/>
          <w:szCs w:val="20"/>
        </w:rPr>
        <w:t>Source: Authors' Calculation</w:t>
      </w:r>
      <w:r w:rsidRPr="008436E2">
        <w:rPr>
          <w:rStyle w:val="Emphasis"/>
          <w:rFonts w:ascii="Arial" w:hAnsi="Arial" w:cs="Arial"/>
          <w:b w:val="0"/>
          <w:color w:val="auto"/>
          <w:sz w:val="20"/>
          <w:szCs w:val="20"/>
        </w:rPr>
        <w:t>, 2025</w:t>
      </w:r>
    </w:p>
    <w:p w14:paraId="7AF8197A" w14:textId="77777777" w:rsidR="00EB6BA0" w:rsidRPr="001047A2" w:rsidRDefault="00EB6BA0" w:rsidP="00EB6BA0">
      <w:pPr>
        <w:pStyle w:val="Heading2"/>
        <w:numPr>
          <w:ilvl w:val="0"/>
          <w:numId w:val="4"/>
        </w:numPr>
        <w:tabs>
          <w:tab w:val="num" w:pos="360"/>
        </w:tabs>
        <w:spacing w:before="120" w:after="120"/>
        <w:ind w:left="635" w:hanging="635"/>
        <w:jc w:val="both"/>
        <w:rPr>
          <w:rFonts w:ascii="Arial" w:hAnsi="Arial" w:cs="Arial"/>
          <w:color w:val="auto"/>
          <w:sz w:val="20"/>
          <w:szCs w:val="20"/>
        </w:rPr>
      </w:pPr>
      <w:r w:rsidRPr="001047A2">
        <w:rPr>
          <w:rFonts w:ascii="Arial" w:eastAsia="Times New Roman" w:hAnsi="Arial" w:cs="Arial"/>
          <w:color w:val="auto"/>
          <w:sz w:val="20"/>
          <w:szCs w:val="20"/>
        </w:rPr>
        <w:t>Descriptive statistics and achievement levels</w:t>
      </w:r>
    </w:p>
    <w:p w14:paraId="1AF65941" w14:textId="05E272C8" w:rsidR="00EB6BA0" w:rsidRDefault="00730724" w:rsidP="00EB6BA0">
      <w:pPr>
        <w:pStyle w:val="NormalWeb"/>
        <w:spacing w:before="0" w:beforeAutospacing="0" w:after="0" w:afterAutospacing="0"/>
        <w:ind w:firstLine="720"/>
        <w:jc w:val="both"/>
        <w:rPr>
          <w:rFonts w:ascii="Arial" w:hAnsi="Arial" w:cs="Arial"/>
          <w:sz w:val="20"/>
          <w:szCs w:val="20"/>
        </w:rPr>
      </w:pPr>
      <w:r w:rsidRPr="00730724">
        <w:rPr>
          <w:rFonts w:ascii="Arial" w:hAnsi="Arial" w:cs="Arial"/>
          <w:sz w:val="20"/>
          <w:szCs w:val="20"/>
          <w:lang w:val="en-US"/>
        </w:rPr>
        <w:t xml:space="preserve">Table 2 displays the descriptive statistics for the dependent variable (household maize food availability) and the three categories of extension roles. Based on the mean achievement percentages shown in Table 1, maize food availability is categorized as 'very high,' the facilitator/educator role as 'high,' and the remaining two characteristics as 'moderate.' Following </w:t>
      </w:r>
      <w:r w:rsidR="00CE2FB7">
        <w:rPr>
          <w:rFonts w:ascii="Arial" w:hAnsi="Arial" w:cs="Arial"/>
          <w:sz w:val="20"/>
          <w:szCs w:val="20"/>
          <w:lang w:val="en-US"/>
        </w:rPr>
        <w:fldChar w:fldCharType="begin" w:fldLock="1"/>
      </w:r>
      <w:r w:rsidR="003F60C7">
        <w:rPr>
          <w:rFonts w:ascii="Arial" w:hAnsi="Arial" w:cs="Arial"/>
          <w:sz w:val="20"/>
          <w:szCs w:val="20"/>
          <w:lang w:val="en-US"/>
        </w:rPr>
        <w:instrText>ADDIN CSL_CITATION {"citationItems":[{"id":"ITEM-1","itemData":{"DOI":"10.1186/s12874-025-02668-1","ISSN":"1471-2288","PMID":"41023822","abstract":"Background: The Likert scale is an ordinal variable that measures the intensity of responses from research participants. It is widely used not only in social sciences, such as sociology and psychology, but also in survey-based research fields, such as nursing and public health. Among the approaches for handling the Likert-scale data, treating it as a continuous variable has been commonly used because it facilitates the application of parametric statistical methods and interpretation of results. In addition, from a perspective of statistical principle, this type of approach has been widely discussed and considered unproblematic. However, studies exploring the characteristics of the Likert scale in the approach with simulations are relatively rare. Thus, this study aimed to confirm the validity of the approach with simulation that compared the statistical characteristics of the Likert scale variable with those of variables from an assumed continuous latent distribution. Methods: In the Monte Carlo simulation study, the rectified normal distribution was specifically assumed for the continuous latent distribution. Then, type 1 error, statistical power, and correlation were compared across various situations involving both single and multiple variables. Results: From the simulation study, we found that a Likert scale with five or more points exhibited statistical characteristics comparable to those of the variable derived from the latent continuous distribution. Conclusions: Based on the results, we confirmed that the Likert scale can be used as a continuous variable in various parametric statistical methods. The corresponding suggested guidelines are expected to assist researchers in research design, data analysis, and results interpretation.","author":[{"dropping-particle":"","family":"Huh","given":"Iksoo","non-dropping-particle":"","parse-names":false,"suffix":""},{"dropping-particle":"","family":"Gim","given":"Jungsoo","non-dropping-particle":"","parse-names":false,"suffix":""}],"container-title":"BMC Medical Research Methodology","id":"ITEM-1","issue":"1","issued":{"date-parts":[["2025","9","29"]]},"page":"218","title":"Exploration of Likert scale in terms of continuous variable with parametric statistical methods","type":"article-journal","volume":"25"},"uris":["http://www.mendeley.com/documents/?uuid=096a2508-d2ac-40a2-a970-75b66b2a66b1"]}],"mendeley":{"formattedCitation":"(Huh and Gim 2025)","plainTextFormattedCitation":"(Huh and Gim 2025)","previouslyFormattedCitation":"(Huh and Gim 2025)"},"properties":{"noteIndex":0},"schema":"https://github.com/citation-style-language/schema/raw/master/csl-citation.json"}</w:instrText>
      </w:r>
      <w:r w:rsidR="00CE2FB7">
        <w:rPr>
          <w:rFonts w:ascii="Arial" w:hAnsi="Arial" w:cs="Arial"/>
          <w:sz w:val="20"/>
          <w:szCs w:val="20"/>
          <w:lang w:val="en-US"/>
        </w:rPr>
        <w:fldChar w:fldCharType="separate"/>
      </w:r>
      <w:r w:rsidR="00CE2FB7" w:rsidRPr="00CE2FB7">
        <w:rPr>
          <w:rFonts w:ascii="Arial" w:hAnsi="Arial" w:cs="Arial"/>
          <w:noProof/>
          <w:sz w:val="20"/>
          <w:szCs w:val="20"/>
          <w:lang w:val="en-US"/>
        </w:rPr>
        <w:t>(Huh and Gim 2025)</w:t>
      </w:r>
      <w:r w:rsidR="00CE2FB7">
        <w:rPr>
          <w:rFonts w:ascii="Arial" w:hAnsi="Arial" w:cs="Arial"/>
          <w:sz w:val="20"/>
          <w:szCs w:val="20"/>
          <w:lang w:val="en-US"/>
        </w:rPr>
        <w:fldChar w:fldCharType="end"/>
      </w:r>
      <w:r w:rsidR="00CE2FB7">
        <w:rPr>
          <w:rFonts w:ascii="Arial" w:hAnsi="Arial" w:cs="Arial"/>
          <w:sz w:val="20"/>
          <w:szCs w:val="20"/>
          <w:lang w:val="en-US"/>
        </w:rPr>
        <w:t>,</w:t>
      </w:r>
      <w:r w:rsidRPr="00730724">
        <w:rPr>
          <w:rFonts w:ascii="Arial" w:hAnsi="Arial" w:cs="Arial"/>
          <w:sz w:val="20"/>
          <w:szCs w:val="20"/>
          <w:lang w:val="en-US"/>
        </w:rPr>
        <w:t xml:space="preserve"> aggregated Likert-type composite scores are summed and treated as quasi-continuous variables to enhance interpretability when used as multi-category scales</w:t>
      </w:r>
      <w:r w:rsidR="00EB6BA0" w:rsidRPr="001047A2">
        <w:rPr>
          <w:rFonts w:ascii="Arial" w:hAnsi="Arial" w:cs="Arial"/>
          <w:sz w:val="20"/>
          <w:szCs w:val="20"/>
        </w:rPr>
        <w:t>.</w:t>
      </w:r>
    </w:p>
    <w:p w14:paraId="76663583" w14:textId="4A1FEAE2" w:rsidR="00CE2FB7" w:rsidRDefault="00CE2FB7" w:rsidP="00EB6BA0">
      <w:pPr>
        <w:pStyle w:val="NormalWeb"/>
        <w:spacing w:before="0" w:beforeAutospacing="0" w:after="0" w:afterAutospacing="0"/>
        <w:ind w:firstLine="720"/>
        <w:jc w:val="both"/>
        <w:rPr>
          <w:rFonts w:ascii="Arial" w:hAnsi="Arial" w:cs="Arial"/>
          <w:sz w:val="20"/>
          <w:szCs w:val="20"/>
        </w:rPr>
      </w:pPr>
    </w:p>
    <w:p w14:paraId="77CAD6DF" w14:textId="4172FBBD" w:rsidR="00EB6BA0" w:rsidRPr="002B717B" w:rsidRDefault="00EB6BA0" w:rsidP="004A4D59">
      <w:pPr>
        <w:spacing w:before="120" w:after="120"/>
        <w:ind w:firstLine="720"/>
        <w:jc w:val="both"/>
        <w:rPr>
          <w:rFonts w:ascii="Arial" w:hAnsi="Arial" w:cs="Arial"/>
          <w:sz w:val="20"/>
          <w:szCs w:val="20"/>
        </w:rPr>
      </w:pPr>
      <w:r w:rsidRPr="002B717B">
        <w:rPr>
          <w:rFonts w:ascii="Arial" w:hAnsi="Arial" w:cs="Arial"/>
          <w:sz w:val="20"/>
          <w:szCs w:val="20"/>
        </w:rPr>
        <w:t>Table 2. Descriptive statistics and achievement categories (n = 6</w:t>
      </w:r>
      <w:r w:rsidR="002B717B" w:rsidRPr="002B717B">
        <w:rPr>
          <w:rFonts w:ascii="Arial" w:hAnsi="Arial" w:cs="Arial"/>
          <w:sz w:val="20"/>
          <w:szCs w:val="20"/>
        </w:rPr>
        <w:t>8</w:t>
      </w:r>
      <w:r w:rsidRPr="002B717B">
        <w:rPr>
          <w:rFonts w:ascii="Arial" w:hAnsi="Arial" w:cs="Arial"/>
          <w:sz w:val="20"/>
          <w:szCs w:val="20"/>
        </w:rPr>
        <w:t>)</w:t>
      </w:r>
    </w:p>
    <w:tbl>
      <w:tblPr>
        <w:tblStyle w:val="TableGrid"/>
        <w:tblW w:w="8562"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1"/>
        <w:gridCol w:w="1220"/>
        <w:gridCol w:w="965"/>
        <w:gridCol w:w="1019"/>
        <w:gridCol w:w="1843"/>
        <w:gridCol w:w="1474"/>
      </w:tblGrid>
      <w:tr w:rsidR="00EB6BA0" w:rsidRPr="001047A2" w14:paraId="39B75AE2" w14:textId="77777777" w:rsidTr="004A4D59">
        <w:tc>
          <w:tcPr>
            <w:tcW w:w="2041" w:type="dxa"/>
            <w:tcBorders>
              <w:top w:val="single" w:sz="4" w:space="0" w:color="000000"/>
              <w:bottom w:val="single" w:sz="4" w:space="0" w:color="000000"/>
            </w:tcBorders>
          </w:tcPr>
          <w:p w14:paraId="3BA2150F"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Construct</w:t>
            </w:r>
          </w:p>
        </w:tc>
        <w:tc>
          <w:tcPr>
            <w:tcW w:w="1220" w:type="dxa"/>
            <w:tcBorders>
              <w:top w:val="single" w:sz="4" w:space="0" w:color="000000"/>
              <w:bottom w:val="single" w:sz="4" w:space="0" w:color="000000"/>
            </w:tcBorders>
          </w:tcPr>
          <w:p w14:paraId="540EB797"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Possible range</w:t>
            </w:r>
          </w:p>
        </w:tc>
        <w:tc>
          <w:tcPr>
            <w:tcW w:w="965" w:type="dxa"/>
            <w:tcBorders>
              <w:top w:val="single" w:sz="4" w:space="0" w:color="000000"/>
              <w:bottom w:val="single" w:sz="4" w:space="0" w:color="000000"/>
            </w:tcBorders>
          </w:tcPr>
          <w:p w14:paraId="53A5FF36"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Mean</w:t>
            </w:r>
          </w:p>
        </w:tc>
        <w:tc>
          <w:tcPr>
            <w:tcW w:w="1019" w:type="dxa"/>
            <w:tcBorders>
              <w:top w:val="single" w:sz="4" w:space="0" w:color="000000"/>
              <w:bottom w:val="single" w:sz="4" w:space="0" w:color="000000"/>
            </w:tcBorders>
          </w:tcPr>
          <w:p w14:paraId="223C8EEA"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SD</w:t>
            </w:r>
          </w:p>
        </w:tc>
        <w:tc>
          <w:tcPr>
            <w:tcW w:w="1843" w:type="dxa"/>
            <w:tcBorders>
              <w:top w:val="single" w:sz="4" w:space="0" w:color="000000"/>
              <w:bottom w:val="single" w:sz="4" w:space="0" w:color="000000"/>
            </w:tcBorders>
          </w:tcPr>
          <w:p w14:paraId="084367C0"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Achievement % (Mean/Max x 100)</w:t>
            </w:r>
          </w:p>
        </w:tc>
        <w:tc>
          <w:tcPr>
            <w:tcW w:w="1474" w:type="dxa"/>
            <w:tcBorders>
              <w:top w:val="single" w:sz="4" w:space="0" w:color="000000"/>
              <w:bottom w:val="single" w:sz="4" w:space="0" w:color="000000"/>
            </w:tcBorders>
          </w:tcPr>
          <w:p w14:paraId="1CEFE1D5"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Category (Table 1)</w:t>
            </w:r>
          </w:p>
        </w:tc>
      </w:tr>
      <w:tr w:rsidR="00EB6BA0" w:rsidRPr="001047A2" w14:paraId="5C07835E" w14:textId="77777777" w:rsidTr="004A4D59">
        <w:tc>
          <w:tcPr>
            <w:tcW w:w="2041" w:type="dxa"/>
            <w:tcBorders>
              <w:top w:val="single" w:sz="4" w:space="0" w:color="000000"/>
            </w:tcBorders>
          </w:tcPr>
          <w:p w14:paraId="4A2653E9" w14:textId="77777777" w:rsidR="00EB6BA0" w:rsidRPr="001047A2" w:rsidRDefault="00EB6BA0" w:rsidP="001047A2">
            <w:pPr>
              <w:spacing w:after="0" w:line="240" w:lineRule="auto"/>
              <w:jc w:val="both"/>
              <w:rPr>
                <w:rFonts w:ascii="Arial" w:hAnsi="Arial" w:cs="Arial"/>
                <w:sz w:val="20"/>
                <w:szCs w:val="20"/>
              </w:rPr>
            </w:pPr>
            <w:r w:rsidRPr="001047A2">
              <w:rPr>
                <w:rFonts w:ascii="Arial" w:hAnsi="Arial" w:cs="Arial"/>
                <w:sz w:val="20"/>
                <w:szCs w:val="20"/>
              </w:rPr>
              <w:t>Maize food availability (Y)</w:t>
            </w:r>
          </w:p>
        </w:tc>
        <w:tc>
          <w:tcPr>
            <w:tcW w:w="1220" w:type="dxa"/>
            <w:tcBorders>
              <w:top w:val="single" w:sz="4" w:space="0" w:color="000000"/>
            </w:tcBorders>
          </w:tcPr>
          <w:p w14:paraId="3B6DFA3F"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6-30</w:t>
            </w:r>
          </w:p>
        </w:tc>
        <w:tc>
          <w:tcPr>
            <w:tcW w:w="965" w:type="dxa"/>
            <w:tcBorders>
              <w:top w:val="single" w:sz="4" w:space="0" w:color="000000"/>
            </w:tcBorders>
          </w:tcPr>
          <w:p w14:paraId="05260C3F"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26.6692</w:t>
            </w:r>
          </w:p>
        </w:tc>
        <w:tc>
          <w:tcPr>
            <w:tcW w:w="1019" w:type="dxa"/>
            <w:tcBorders>
              <w:top w:val="single" w:sz="4" w:space="0" w:color="000000"/>
            </w:tcBorders>
          </w:tcPr>
          <w:p w14:paraId="1FB079B2"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3.01030</w:t>
            </w:r>
          </w:p>
        </w:tc>
        <w:tc>
          <w:tcPr>
            <w:tcW w:w="1843" w:type="dxa"/>
            <w:tcBorders>
              <w:top w:val="single" w:sz="4" w:space="0" w:color="000000"/>
            </w:tcBorders>
          </w:tcPr>
          <w:p w14:paraId="50396CF7"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88.90%</w:t>
            </w:r>
          </w:p>
        </w:tc>
        <w:tc>
          <w:tcPr>
            <w:tcW w:w="1474" w:type="dxa"/>
            <w:tcBorders>
              <w:top w:val="single" w:sz="4" w:space="0" w:color="000000"/>
            </w:tcBorders>
          </w:tcPr>
          <w:p w14:paraId="46162EA0"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Very high (very often)</w:t>
            </w:r>
          </w:p>
        </w:tc>
      </w:tr>
      <w:tr w:rsidR="00EB6BA0" w:rsidRPr="001047A2" w14:paraId="35AF42DE" w14:textId="77777777" w:rsidTr="004A4D59">
        <w:tc>
          <w:tcPr>
            <w:tcW w:w="2041" w:type="dxa"/>
          </w:tcPr>
          <w:p w14:paraId="2747A5C9" w14:textId="77777777" w:rsidR="00EB6BA0" w:rsidRPr="001047A2" w:rsidRDefault="00EB6BA0" w:rsidP="001047A2">
            <w:pPr>
              <w:spacing w:after="0" w:line="240" w:lineRule="auto"/>
              <w:jc w:val="both"/>
              <w:rPr>
                <w:rFonts w:ascii="Arial" w:hAnsi="Arial" w:cs="Arial"/>
                <w:sz w:val="20"/>
                <w:szCs w:val="20"/>
              </w:rPr>
            </w:pPr>
            <w:r w:rsidRPr="001047A2">
              <w:rPr>
                <w:rFonts w:ascii="Arial" w:hAnsi="Arial" w:cs="Arial"/>
                <w:sz w:val="20"/>
                <w:szCs w:val="20"/>
              </w:rPr>
              <w:t>Facilitator &amp; educator (X1)</w:t>
            </w:r>
          </w:p>
        </w:tc>
        <w:tc>
          <w:tcPr>
            <w:tcW w:w="1220" w:type="dxa"/>
          </w:tcPr>
          <w:p w14:paraId="02AFD46F"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6-30</w:t>
            </w:r>
          </w:p>
        </w:tc>
        <w:tc>
          <w:tcPr>
            <w:tcW w:w="965" w:type="dxa"/>
          </w:tcPr>
          <w:p w14:paraId="2E755395"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19.4753</w:t>
            </w:r>
          </w:p>
        </w:tc>
        <w:tc>
          <w:tcPr>
            <w:tcW w:w="1019" w:type="dxa"/>
          </w:tcPr>
          <w:p w14:paraId="661449E1"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3.47378</w:t>
            </w:r>
          </w:p>
        </w:tc>
        <w:tc>
          <w:tcPr>
            <w:tcW w:w="1843" w:type="dxa"/>
          </w:tcPr>
          <w:p w14:paraId="336329E9"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64.92%</w:t>
            </w:r>
          </w:p>
        </w:tc>
        <w:tc>
          <w:tcPr>
            <w:tcW w:w="1474" w:type="dxa"/>
          </w:tcPr>
          <w:p w14:paraId="7E4B9C11"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High (often)</w:t>
            </w:r>
          </w:p>
        </w:tc>
      </w:tr>
      <w:tr w:rsidR="00EB6BA0" w:rsidRPr="001047A2" w14:paraId="14DFEDA0" w14:textId="77777777" w:rsidTr="004A4D59">
        <w:tc>
          <w:tcPr>
            <w:tcW w:w="2041" w:type="dxa"/>
          </w:tcPr>
          <w:p w14:paraId="1FA520E2" w14:textId="77777777" w:rsidR="00EB6BA0" w:rsidRPr="001047A2" w:rsidRDefault="00EB6BA0" w:rsidP="001047A2">
            <w:pPr>
              <w:spacing w:after="0" w:line="240" w:lineRule="auto"/>
              <w:jc w:val="both"/>
              <w:rPr>
                <w:rFonts w:ascii="Arial" w:hAnsi="Arial" w:cs="Arial"/>
                <w:sz w:val="20"/>
                <w:szCs w:val="20"/>
              </w:rPr>
            </w:pPr>
            <w:r w:rsidRPr="001047A2">
              <w:rPr>
                <w:rFonts w:ascii="Arial" w:hAnsi="Arial" w:cs="Arial"/>
                <w:sz w:val="20"/>
                <w:szCs w:val="20"/>
              </w:rPr>
              <w:t>Technical farming &amp; motivator (X2)</w:t>
            </w:r>
          </w:p>
        </w:tc>
        <w:tc>
          <w:tcPr>
            <w:tcW w:w="1220" w:type="dxa"/>
          </w:tcPr>
          <w:p w14:paraId="1CEB369A"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7-35</w:t>
            </w:r>
          </w:p>
        </w:tc>
        <w:tc>
          <w:tcPr>
            <w:tcW w:w="965" w:type="dxa"/>
          </w:tcPr>
          <w:p w14:paraId="069A63C7"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19.9125</w:t>
            </w:r>
          </w:p>
        </w:tc>
        <w:tc>
          <w:tcPr>
            <w:tcW w:w="1019" w:type="dxa"/>
          </w:tcPr>
          <w:p w14:paraId="6BF274C0"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4.67615</w:t>
            </w:r>
          </w:p>
        </w:tc>
        <w:tc>
          <w:tcPr>
            <w:tcW w:w="1843" w:type="dxa"/>
          </w:tcPr>
          <w:p w14:paraId="4F75D113"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56.89%</w:t>
            </w:r>
          </w:p>
        </w:tc>
        <w:tc>
          <w:tcPr>
            <w:tcW w:w="1474" w:type="dxa"/>
          </w:tcPr>
          <w:p w14:paraId="75E2B252"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Moderate (sometimes)</w:t>
            </w:r>
          </w:p>
        </w:tc>
      </w:tr>
      <w:tr w:rsidR="00EB6BA0" w:rsidRPr="001047A2" w14:paraId="626411EB" w14:textId="77777777" w:rsidTr="004A4D59">
        <w:tc>
          <w:tcPr>
            <w:tcW w:w="2041" w:type="dxa"/>
          </w:tcPr>
          <w:p w14:paraId="6DABD416" w14:textId="77777777" w:rsidR="00EB6BA0" w:rsidRPr="001047A2" w:rsidRDefault="00EB6BA0" w:rsidP="001047A2">
            <w:pPr>
              <w:spacing w:after="0" w:line="240" w:lineRule="auto"/>
              <w:jc w:val="both"/>
              <w:rPr>
                <w:rFonts w:ascii="Arial" w:hAnsi="Arial" w:cs="Arial"/>
                <w:sz w:val="20"/>
                <w:szCs w:val="20"/>
              </w:rPr>
            </w:pPr>
            <w:r w:rsidRPr="001047A2">
              <w:rPr>
                <w:rFonts w:ascii="Arial" w:hAnsi="Arial" w:cs="Arial"/>
                <w:sz w:val="20"/>
                <w:szCs w:val="20"/>
              </w:rPr>
              <w:t>Organizer &amp; linkage (X3)</w:t>
            </w:r>
          </w:p>
        </w:tc>
        <w:tc>
          <w:tcPr>
            <w:tcW w:w="1220" w:type="dxa"/>
          </w:tcPr>
          <w:p w14:paraId="73F43C56"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7-35</w:t>
            </w:r>
          </w:p>
        </w:tc>
        <w:tc>
          <w:tcPr>
            <w:tcW w:w="965" w:type="dxa"/>
          </w:tcPr>
          <w:p w14:paraId="7BBBA241"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14.6464</w:t>
            </w:r>
          </w:p>
        </w:tc>
        <w:tc>
          <w:tcPr>
            <w:tcW w:w="1019" w:type="dxa"/>
          </w:tcPr>
          <w:p w14:paraId="684C90EC"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8.15314</w:t>
            </w:r>
          </w:p>
        </w:tc>
        <w:tc>
          <w:tcPr>
            <w:tcW w:w="1843" w:type="dxa"/>
          </w:tcPr>
          <w:p w14:paraId="5C608A92"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41.85%</w:t>
            </w:r>
          </w:p>
        </w:tc>
        <w:tc>
          <w:tcPr>
            <w:tcW w:w="1474" w:type="dxa"/>
          </w:tcPr>
          <w:p w14:paraId="7EB0DEE6"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Moderate (sometimes)</w:t>
            </w:r>
          </w:p>
        </w:tc>
      </w:tr>
    </w:tbl>
    <w:p w14:paraId="6B80CEB8" w14:textId="77777777" w:rsidR="008436E2" w:rsidRPr="008436E2" w:rsidRDefault="008436E2" w:rsidP="008436E2">
      <w:pPr>
        <w:pStyle w:val="Heading2"/>
        <w:spacing w:before="0" w:after="120" w:line="240" w:lineRule="auto"/>
        <w:ind w:left="1355" w:firstLine="85"/>
        <w:jc w:val="both"/>
        <w:rPr>
          <w:rFonts w:ascii="Arial" w:eastAsia="Times New Roman" w:hAnsi="Arial" w:cs="Arial"/>
          <w:b w:val="0"/>
          <w:color w:val="auto"/>
          <w:sz w:val="20"/>
          <w:szCs w:val="20"/>
        </w:rPr>
      </w:pPr>
      <w:r w:rsidRPr="008436E2">
        <w:rPr>
          <w:rFonts w:ascii="Arial" w:hAnsi="Arial" w:cs="Arial"/>
          <w:b w:val="0"/>
          <w:color w:val="auto"/>
          <w:sz w:val="20"/>
          <w:szCs w:val="20"/>
        </w:rPr>
        <w:t>Source: Authors' Calculation</w:t>
      </w:r>
      <w:r w:rsidRPr="008436E2">
        <w:rPr>
          <w:rStyle w:val="Emphasis"/>
          <w:rFonts w:ascii="Arial" w:hAnsi="Arial" w:cs="Arial"/>
          <w:b w:val="0"/>
          <w:color w:val="auto"/>
          <w:sz w:val="20"/>
          <w:szCs w:val="20"/>
        </w:rPr>
        <w:t>, 2025</w:t>
      </w:r>
    </w:p>
    <w:p w14:paraId="341041A8" w14:textId="10495D9B" w:rsidR="00EB6BA0" w:rsidRPr="001047A2" w:rsidRDefault="00C9192A" w:rsidP="00EB6BA0">
      <w:pPr>
        <w:pStyle w:val="NormalWeb"/>
        <w:spacing w:before="0" w:beforeAutospacing="0" w:after="0" w:afterAutospacing="0"/>
        <w:ind w:firstLine="720"/>
        <w:jc w:val="both"/>
        <w:rPr>
          <w:rFonts w:ascii="Arial" w:hAnsi="Arial" w:cs="Arial"/>
          <w:sz w:val="20"/>
          <w:szCs w:val="20"/>
        </w:rPr>
      </w:pPr>
      <w:r>
        <w:rPr>
          <w:rFonts w:ascii="Arial" w:hAnsi="Arial" w:cs="Arial"/>
          <w:sz w:val="20"/>
          <w:szCs w:val="20"/>
        </w:rPr>
        <w:t>Household maize food availability averaged 26.67 (SD = 3.01) on a 6-30 scale, or 88.90% of the maximum possible score (very high). Perceived facilitator/educator roles were, on average, more prominent than technical/motivator and organizer/linkage roles among predictor dimensions.</w:t>
      </w:r>
    </w:p>
    <w:p w14:paraId="7D744A3D" w14:textId="77777777" w:rsidR="00EB6BA0" w:rsidRPr="001047A2" w:rsidRDefault="00EB6BA0" w:rsidP="00EB6BA0">
      <w:pPr>
        <w:pStyle w:val="Heading2"/>
        <w:numPr>
          <w:ilvl w:val="0"/>
          <w:numId w:val="4"/>
        </w:numPr>
        <w:tabs>
          <w:tab w:val="num" w:pos="360"/>
        </w:tabs>
        <w:spacing w:before="120" w:after="120"/>
        <w:ind w:left="635" w:hanging="635"/>
        <w:jc w:val="both"/>
        <w:rPr>
          <w:rFonts w:ascii="Arial" w:hAnsi="Arial" w:cs="Arial"/>
          <w:color w:val="auto"/>
          <w:sz w:val="20"/>
          <w:szCs w:val="20"/>
        </w:rPr>
      </w:pPr>
      <w:r w:rsidRPr="001047A2">
        <w:rPr>
          <w:rFonts w:ascii="Arial" w:eastAsia="Times New Roman" w:hAnsi="Arial" w:cs="Arial"/>
          <w:color w:val="auto"/>
          <w:sz w:val="20"/>
          <w:szCs w:val="20"/>
        </w:rPr>
        <w:t>Bivariate associations (correlations)</w:t>
      </w:r>
    </w:p>
    <w:p w14:paraId="319B2A5F" w14:textId="77777777" w:rsidR="00D10E71" w:rsidRDefault="00D10E71" w:rsidP="00D10E71">
      <w:pPr>
        <w:pStyle w:val="NormalWeb"/>
        <w:spacing w:before="0" w:beforeAutospacing="0" w:after="0" w:afterAutospacing="0"/>
        <w:ind w:firstLine="720"/>
        <w:jc w:val="both"/>
        <w:rPr>
          <w:rFonts w:ascii="Arial" w:hAnsi="Arial" w:cs="Arial"/>
          <w:sz w:val="20"/>
          <w:szCs w:val="20"/>
        </w:rPr>
      </w:pPr>
      <w:r w:rsidRPr="00D10E71">
        <w:rPr>
          <w:rFonts w:ascii="Arial" w:hAnsi="Arial" w:cs="Arial"/>
          <w:sz w:val="20"/>
          <w:szCs w:val="20"/>
          <w:lang w:val="en-US"/>
        </w:rPr>
        <w:t>Table 3 shows Pearson correlations (one-tailed). All three extension role characteristics correlated positively with maize availability. Given the significant intercorrelations between predictors, multicollinearity diagnostics were conducted within the regression analysis</w:t>
      </w:r>
    </w:p>
    <w:p w14:paraId="587C95E9" w14:textId="4B8E6A91" w:rsidR="00EB6BA0" w:rsidRPr="001047A2" w:rsidRDefault="00EB6BA0" w:rsidP="001047A2">
      <w:pPr>
        <w:spacing w:after="0" w:line="240" w:lineRule="auto"/>
        <w:ind w:left="720" w:firstLine="720"/>
        <w:rPr>
          <w:rFonts w:ascii="Arial" w:hAnsi="Arial" w:cs="Arial"/>
          <w:sz w:val="20"/>
          <w:szCs w:val="20"/>
        </w:rPr>
      </w:pPr>
      <w:r w:rsidRPr="001047A2">
        <w:rPr>
          <w:rFonts w:ascii="Arial" w:hAnsi="Arial" w:cs="Arial"/>
          <w:sz w:val="20"/>
          <w:szCs w:val="20"/>
        </w:rPr>
        <w:t xml:space="preserve">Table 3. Correlation matrix (Pearson r; n = </w:t>
      </w:r>
      <w:r w:rsidR="00AD41AD">
        <w:rPr>
          <w:rFonts w:ascii="Arial" w:hAnsi="Arial" w:cs="Arial"/>
          <w:sz w:val="20"/>
          <w:szCs w:val="20"/>
        </w:rPr>
        <w:t>68</w:t>
      </w:r>
      <w:r w:rsidRPr="001047A2">
        <w:rPr>
          <w:rFonts w:ascii="Arial" w:hAnsi="Arial" w:cs="Arial"/>
          <w:sz w:val="20"/>
          <w:szCs w:val="20"/>
        </w:rPr>
        <w:t>; 1-tailed p-values)</w:t>
      </w:r>
    </w:p>
    <w:tbl>
      <w:tblPr>
        <w:tblStyle w:val="TableGrid"/>
        <w:tblW w:w="6237" w:type="dxa"/>
        <w:tblInd w:w="12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1"/>
        <w:gridCol w:w="1021"/>
        <w:gridCol w:w="851"/>
        <w:gridCol w:w="850"/>
        <w:gridCol w:w="1134"/>
      </w:tblGrid>
      <w:tr w:rsidR="00EB6BA0" w:rsidRPr="001047A2" w14:paraId="57C1CD07" w14:textId="77777777" w:rsidTr="001047A2">
        <w:tc>
          <w:tcPr>
            <w:tcW w:w="2381" w:type="dxa"/>
            <w:tcBorders>
              <w:top w:val="single" w:sz="4" w:space="0" w:color="000000"/>
              <w:bottom w:val="single" w:sz="4" w:space="0" w:color="000000"/>
            </w:tcBorders>
          </w:tcPr>
          <w:p w14:paraId="3E8FE94E"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Variable</w:t>
            </w:r>
          </w:p>
        </w:tc>
        <w:tc>
          <w:tcPr>
            <w:tcW w:w="1021" w:type="dxa"/>
            <w:tcBorders>
              <w:top w:val="single" w:sz="4" w:space="0" w:color="000000"/>
              <w:bottom w:val="single" w:sz="4" w:space="0" w:color="000000"/>
            </w:tcBorders>
          </w:tcPr>
          <w:p w14:paraId="31F63120"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Y</w:t>
            </w:r>
          </w:p>
        </w:tc>
        <w:tc>
          <w:tcPr>
            <w:tcW w:w="851" w:type="dxa"/>
            <w:tcBorders>
              <w:top w:val="single" w:sz="4" w:space="0" w:color="000000"/>
              <w:bottom w:val="single" w:sz="4" w:space="0" w:color="000000"/>
            </w:tcBorders>
          </w:tcPr>
          <w:p w14:paraId="4CC75FA8"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X1</w:t>
            </w:r>
          </w:p>
        </w:tc>
        <w:tc>
          <w:tcPr>
            <w:tcW w:w="850" w:type="dxa"/>
            <w:tcBorders>
              <w:top w:val="single" w:sz="4" w:space="0" w:color="000000"/>
              <w:bottom w:val="single" w:sz="4" w:space="0" w:color="000000"/>
            </w:tcBorders>
          </w:tcPr>
          <w:p w14:paraId="17AD915E"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X2</w:t>
            </w:r>
          </w:p>
        </w:tc>
        <w:tc>
          <w:tcPr>
            <w:tcW w:w="1134" w:type="dxa"/>
            <w:tcBorders>
              <w:top w:val="single" w:sz="4" w:space="0" w:color="000000"/>
              <w:bottom w:val="single" w:sz="4" w:space="0" w:color="000000"/>
            </w:tcBorders>
          </w:tcPr>
          <w:p w14:paraId="78AE74BF"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X3</w:t>
            </w:r>
          </w:p>
        </w:tc>
      </w:tr>
      <w:tr w:rsidR="00EB6BA0" w:rsidRPr="001047A2" w14:paraId="69001240" w14:textId="77777777" w:rsidTr="001047A2">
        <w:tc>
          <w:tcPr>
            <w:tcW w:w="2381" w:type="dxa"/>
            <w:tcBorders>
              <w:top w:val="single" w:sz="4" w:space="0" w:color="000000"/>
            </w:tcBorders>
          </w:tcPr>
          <w:p w14:paraId="40E3794F" w14:textId="77777777" w:rsidR="00EB6BA0" w:rsidRPr="001047A2" w:rsidRDefault="00EB6BA0" w:rsidP="001047A2">
            <w:pPr>
              <w:spacing w:after="0" w:line="240" w:lineRule="auto"/>
              <w:jc w:val="both"/>
              <w:rPr>
                <w:rFonts w:ascii="Arial" w:hAnsi="Arial" w:cs="Arial"/>
                <w:sz w:val="20"/>
                <w:szCs w:val="20"/>
              </w:rPr>
            </w:pPr>
            <w:r w:rsidRPr="001047A2">
              <w:rPr>
                <w:rFonts w:ascii="Arial" w:hAnsi="Arial" w:cs="Arial"/>
                <w:sz w:val="20"/>
                <w:szCs w:val="20"/>
              </w:rPr>
              <w:t>Y (Food availability)</w:t>
            </w:r>
          </w:p>
        </w:tc>
        <w:tc>
          <w:tcPr>
            <w:tcW w:w="1021" w:type="dxa"/>
            <w:tcBorders>
              <w:top w:val="single" w:sz="4" w:space="0" w:color="000000"/>
            </w:tcBorders>
          </w:tcPr>
          <w:p w14:paraId="71B19786"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1.000</w:t>
            </w:r>
          </w:p>
        </w:tc>
        <w:tc>
          <w:tcPr>
            <w:tcW w:w="851" w:type="dxa"/>
            <w:tcBorders>
              <w:top w:val="single" w:sz="4" w:space="0" w:color="000000"/>
            </w:tcBorders>
          </w:tcPr>
          <w:p w14:paraId="450EE8FD"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0.502</w:t>
            </w:r>
          </w:p>
        </w:tc>
        <w:tc>
          <w:tcPr>
            <w:tcW w:w="850" w:type="dxa"/>
            <w:tcBorders>
              <w:top w:val="single" w:sz="4" w:space="0" w:color="000000"/>
            </w:tcBorders>
          </w:tcPr>
          <w:p w14:paraId="680D0EBF"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0.570</w:t>
            </w:r>
          </w:p>
        </w:tc>
        <w:tc>
          <w:tcPr>
            <w:tcW w:w="1134" w:type="dxa"/>
            <w:tcBorders>
              <w:top w:val="single" w:sz="4" w:space="0" w:color="000000"/>
            </w:tcBorders>
          </w:tcPr>
          <w:p w14:paraId="57FB913F"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0.590</w:t>
            </w:r>
          </w:p>
        </w:tc>
      </w:tr>
      <w:tr w:rsidR="00EB6BA0" w:rsidRPr="001047A2" w14:paraId="046D1017" w14:textId="77777777" w:rsidTr="001047A2">
        <w:tc>
          <w:tcPr>
            <w:tcW w:w="2381" w:type="dxa"/>
          </w:tcPr>
          <w:p w14:paraId="42C8FE76" w14:textId="77777777" w:rsidR="00EB6BA0" w:rsidRPr="001047A2" w:rsidRDefault="00EB6BA0" w:rsidP="001047A2">
            <w:pPr>
              <w:spacing w:after="0" w:line="240" w:lineRule="auto"/>
              <w:jc w:val="both"/>
              <w:rPr>
                <w:rFonts w:ascii="Arial" w:hAnsi="Arial" w:cs="Arial"/>
                <w:sz w:val="20"/>
                <w:szCs w:val="20"/>
              </w:rPr>
            </w:pPr>
            <w:r w:rsidRPr="001047A2">
              <w:rPr>
                <w:rFonts w:ascii="Arial" w:hAnsi="Arial" w:cs="Arial"/>
                <w:sz w:val="20"/>
                <w:szCs w:val="20"/>
              </w:rPr>
              <w:t>X1 (Facilitator/educator)</w:t>
            </w:r>
          </w:p>
        </w:tc>
        <w:tc>
          <w:tcPr>
            <w:tcW w:w="1021" w:type="dxa"/>
          </w:tcPr>
          <w:p w14:paraId="33D6CD35"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0.502</w:t>
            </w:r>
          </w:p>
        </w:tc>
        <w:tc>
          <w:tcPr>
            <w:tcW w:w="851" w:type="dxa"/>
          </w:tcPr>
          <w:p w14:paraId="528B4A03"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1.000</w:t>
            </w:r>
          </w:p>
        </w:tc>
        <w:tc>
          <w:tcPr>
            <w:tcW w:w="850" w:type="dxa"/>
          </w:tcPr>
          <w:p w14:paraId="44A3342D"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0.871</w:t>
            </w:r>
          </w:p>
        </w:tc>
        <w:tc>
          <w:tcPr>
            <w:tcW w:w="1134" w:type="dxa"/>
          </w:tcPr>
          <w:p w14:paraId="44156914"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0.781</w:t>
            </w:r>
          </w:p>
        </w:tc>
      </w:tr>
      <w:tr w:rsidR="00EB6BA0" w:rsidRPr="001047A2" w14:paraId="1468EDF4" w14:textId="77777777" w:rsidTr="001047A2">
        <w:tc>
          <w:tcPr>
            <w:tcW w:w="2381" w:type="dxa"/>
          </w:tcPr>
          <w:p w14:paraId="670F0471" w14:textId="77777777" w:rsidR="00EB6BA0" w:rsidRPr="001047A2" w:rsidRDefault="00EB6BA0" w:rsidP="001047A2">
            <w:pPr>
              <w:spacing w:after="0" w:line="240" w:lineRule="auto"/>
              <w:jc w:val="both"/>
              <w:rPr>
                <w:rFonts w:ascii="Arial" w:hAnsi="Arial" w:cs="Arial"/>
                <w:sz w:val="20"/>
                <w:szCs w:val="20"/>
              </w:rPr>
            </w:pPr>
            <w:r w:rsidRPr="001047A2">
              <w:rPr>
                <w:rFonts w:ascii="Arial" w:hAnsi="Arial" w:cs="Arial"/>
                <w:sz w:val="20"/>
                <w:szCs w:val="20"/>
              </w:rPr>
              <w:t>X2 (Technical/motivator)</w:t>
            </w:r>
          </w:p>
        </w:tc>
        <w:tc>
          <w:tcPr>
            <w:tcW w:w="1021" w:type="dxa"/>
          </w:tcPr>
          <w:p w14:paraId="462A44D5"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0.570</w:t>
            </w:r>
          </w:p>
        </w:tc>
        <w:tc>
          <w:tcPr>
            <w:tcW w:w="851" w:type="dxa"/>
          </w:tcPr>
          <w:p w14:paraId="5E9F7ACA"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0.871</w:t>
            </w:r>
          </w:p>
        </w:tc>
        <w:tc>
          <w:tcPr>
            <w:tcW w:w="850" w:type="dxa"/>
          </w:tcPr>
          <w:p w14:paraId="2736884D"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1.000</w:t>
            </w:r>
          </w:p>
        </w:tc>
        <w:tc>
          <w:tcPr>
            <w:tcW w:w="1134" w:type="dxa"/>
          </w:tcPr>
          <w:p w14:paraId="7217C18B"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0.919</w:t>
            </w:r>
          </w:p>
        </w:tc>
      </w:tr>
      <w:tr w:rsidR="00EB6BA0" w:rsidRPr="001047A2" w14:paraId="62CBCDE8" w14:textId="77777777" w:rsidTr="001047A2">
        <w:tc>
          <w:tcPr>
            <w:tcW w:w="2381" w:type="dxa"/>
          </w:tcPr>
          <w:p w14:paraId="187D783E" w14:textId="77777777" w:rsidR="00EB6BA0" w:rsidRPr="001047A2" w:rsidRDefault="00EB6BA0" w:rsidP="001047A2">
            <w:pPr>
              <w:spacing w:after="0" w:line="240" w:lineRule="auto"/>
              <w:jc w:val="both"/>
              <w:rPr>
                <w:rFonts w:ascii="Arial" w:hAnsi="Arial" w:cs="Arial"/>
                <w:sz w:val="20"/>
                <w:szCs w:val="20"/>
              </w:rPr>
            </w:pPr>
            <w:r w:rsidRPr="001047A2">
              <w:rPr>
                <w:rFonts w:ascii="Arial" w:hAnsi="Arial" w:cs="Arial"/>
                <w:sz w:val="20"/>
                <w:szCs w:val="20"/>
              </w:rPr>
              <w:t>X3 (Organizer/linkage)</w:t>
            </w:r>
          </w:p>
        </w:tc>
        <w:tc>
          <w:tcPr>
            <w:tcW w:w="1021" w:type="dxa"/>
          </w:tcPr>
          <w:p w14:paraId="207AAAC2"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0.590</w:t>
            </w:r>
          </w:p>
        </w:tc>
        <w:tc>
          <w:tcPr>
            <w:tcW w:w="851" w:type="dxa"/>
          </w:tcPr>
          <w:p w14:paraId="1CF58BDA"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0.781</w:t>
            </w:r>
          </w:p>
        </w:tc>
        <w:tc>
          <w:tcPr>
            <w:tcW w:w="850" w:type="dxa"/>
          </w:tcPr>
          <w:p w14:paraId="1302E697"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0.919</w:t>
            </w:r>
          </w:p>
        </w:tc>
        <w:tc>
          <w:tcPr>
            <w:tcW w:w="1134" w:type="dxa"/>
          </w:tcPr>
          <w:p w14:paraId="7154F1C4"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1.000</w:t>
            </w:r>
          </w:p>
        </w:tc>
      </w:tr>
    </w:tbl>
    <w:p w14:paraId="7751FC98" w14:textId="77777777" w:rsidR="008436E2" w:rsidRPr="008436E2" w:rsidRDefault="008436E2" w:rsidP="008436E2">
      <w:pPr>
        <w:pStyle w:val="Heading2"/>
        <w:spacing w:before="0" w:after="120" w:line="240" w:lineRule="auto"/>
        <w:ind w:left="1355" w:firstLine="85"/>
        <w:jc w:val="both"/>
        <w:rPr>
          <w:rFonts w:ascii="Arial" w:eastAsia="Times New Roman" w:hAnsi="Arial" w:cs="Arial"/>
          <w:b w:val="0"/>
          <w:color w:val="auto"/>
          <w:sz w:val="20"/>
          <w:szCs w:val="20"/>
        </w:rPr>
      </w:pPr>
      <w:r w:rsidRPr="008436E2">
        <w:rPr>
          <w:rFonts w:ascii="Arial" w:hAnsi="Arial" w:cs="Arial"/>
          <w:b w:val="0"/>
          <w:color w:val="auto"/>
          <w:sz w:val="20"/>
          <w:szCs w:val="20"/>
        </w:rPr>
        <w:t>Source: Authors' Calculation</w:t>
      </w:r>
      <w:r w:rsidRPr="008436E2">
        <w:rPr>
          <w:rStyle w:val="Emphasis"/>
          <w:rFonts w:ascii="Arial" w:hAnsi="Arial" w:cs="Arial"/>
          <w:b w:val="0"/>
          <w:color w:val="auto"/>
          <w:sz w:val="20"/>
          <w:szCs w:val="20"/>
        </w:rPr>
        <w:t>, 2025</w:t>
      </w:r>
    </w:p>
    <w:p w14:paraId="1F544E07" w14:textId="77777777" w:rsidR="008436E2" w:rsidRDefault="008436E2" w:rsidP="008436E2">
      <w:pPr>
        <w:jc w:val="both"/>
        <w:rPr>
          <w:rFonts w:ascii="Arial" w:hAnsi="Arial" w:cs="Arial"/>
        </w:rPr>
      </w:pPr>
    </w:p>
    <w:p w14:paraId="3FA73817" w14:textId="63506D50" w:rsidR="00EB6BA0" w:rsidRDefault="00EB6BA0" w:rsidP="00EB6BA0">
      <w:pPr>
        <w:jc w:val="both"/>
        <w:rPr>
          <w:rFonts w:ascii="Arial" w:hAnsi="Arial" w:cs="Arial"/>
        </w:rPr>
      </w:pPr>
    </w:p>
    <w:p w14:paraId="0D1F9909" w14:textId="77777777" w:rsidR="00EB6BA0" w:rsidRPr="001047A2" w:rsidRDefault="00EB6BA0" w:rsidP="00EB6BA0">
      <w:pPr>
        <w:pStyle w:val="Heading2"/>
        <w:numPr>
          <w:ilvl w:val="0"/>
          <w:numId w:val="4"/>
        </w:numPr>
        <w:tabs>
          <w:tab w:val="num" w:pos="360"/>
        </w:tabs>
        <w:spacing w:before="120" w:after="120"/>
        <w:ind w:left="635" w:hanging="635"/>
        <w:jc w:val="both"/>
        <w:rPr>
          <w:rFonts w:ascii="Arial" w:hAnsi="Arial" w:cs="Arial"/>
          <w:color w:val="auto"/>
          <w:sz w:val="20"/>
          <w:szCs w:val="20"/>
        </w:rPr>
      </w:pPr>
      <w:r w:rsidRPr="001047A2">
        <w:rPr>
          <w:rFonts w:ascii="Arial" w:eastAsia="Times New Roman" w:hAnsi="Arial" w:cs="Arial"/>
          <w:color w:val="auto"/>
          <w:sz w:val="20"/>
          <w:szCs w:val="20"/>
        </w:rPr>
        <w:t>Multiple linear regression: model fit and overall test</w:t>
      </w:r>
    </w:p>
    <w:p w14:paraId="103E971C" w14:textId="6B59C803" w:rsidR="00EB6BA0" w:rsidRPr="001047A2" w:rsidRDefault="00C9192A" w:rsidP="00EB6BA0">
      <w:pPr>
        <w:pStyle w:val="NormalWeb"/>
        <w:spacing w:before="0" w:beforeAutospacing="0" w:after="0" w:afterAutospacing="0"/>
        <w:ind w:firstLine="720"/>
        <w:jc w:val="both"/>
        <w:rPr>
          <w:rFonts w:ascii="Arial" w:hAnsi="Arial" w:cs="Arial"/>
          <w:sz w:val="20"/>
          <w:szCs w:val="20"/>
        </w:rPr>
      </w:pPr>
      <w:r>
        <w:rPr>
          <w:rFonts w:ascii="Arial" w:hAnsi="Arial" w:cs="Arial"/>
          <w:sz w:val="20"/>
          <w:szCs w:val="20"/>
        </w:rPr>
        <w:t>The multiple linear regression model forecasting maize food availability based on the three aspects of extension roles was statistically significant. The model exhibited R = 0.595, R-squared = 0.354, and adjusted R-squared = 0.346, with F(3,</w:t>
      </w:r>
      <w:r w:rsidR="002B717B">
        <w:rPr>
          <w:rFonts w:ascii="Arial" w:hAnsi="Arial" w:cs="Arial"/>
          <w:sz w:val="20"/>
          <w:szCs w:val="20"/>
          <w:lang w:val="en-US"/>
        </w:rPr>
        <w:t>64</w:t>
      </w:r>
      <w:r>
        <w:rPr>
          <w:rFonts w:ascii="Arial" w:hAnsi="Arial" w:cs="Arial"/>
          <w:sz w:val="20"/>
          <w:szCs w:val="20"/>
        </w:rPr>
        <w:t xml:space="preserve">) = </w:t>
      </w:r>
      <w:r w:rsidR="00C210F9">
        <w:rPr>
          <w:rFonts w:ascii="Arial" w:hAnsi="Arial" w:cs="Arial"/>
          <w:sz w:val="20"/>
          <w:szCs w:val="20"/>
          <w:lang w:val="en-US"/>
        </w:rPr>
        <w:t>11.69</w:t>
      </w:r>
      <w:r>
        <w:rPr>
          <w:rFonts w:ascii="Arial" w:hAnsi="Arial" w:cs="Arial"/>
          <w:sz w:val="20"/>
          <w:szCs w:val="20"/>
        </w:rPr>
        <w:t xml:space="preserve"> (p &lt; 0.001). The Durbin-Watson statistic measured 1.898. In accordance with current guidelines advocating for the prioritization of estimation (effect sizes and uncertainty) over exclusive dependence on p-values, model fit indices are presented in conjunction with coefficient estimates</w:t>
      </w:r>
      <w:r>
        <w:rPr>
          <w:rFonts w:ascii="Arial" w:hAnsi="Arial" w:cs="Arial"/>
          <w:sz w:val="20"/>
          <w:szCs w:val="20"/>
          <w:lang w:val="en-US"/>
        </w:rPr>
        <w:t xml:space="preserve"> </w:t>
      </w:r>
      <w:r w:rsidR="003F60C7">
        <w:rPr>
          <w:rFonts w:ascii="Arial" w:hAnsi="Arial" w:cs="Arial"/>
          <w:sz w:val="20"/>
          <w:szCs w:val="20"/>
          <w:lang w:val="en-US"/>
        </w:rPr>
        <w:fldChar w:fldCharType="begin" w:fldLock="1"/>
      </w:r>
      <w:r w:rsidR="00A572C0">
        <w:rPr>
          <w:rFonts w:ascii="Arial" w:hAnsi="Arial" w:cs="Arial"/>
          <w:sz w:val="20"/>
          <w:szCs w:val="20"/>
          <w:lang w:val="en-US"/>
        </w:rPr>
        <w:instrText>ADDIN CSL_CITATION {"citationItems":[{"id":"ITEM-1","itemData":{"abstract":"… The current study used a Theory of Planned Behavior (TPB)-guided framework to qualitatively explore beliefs, norms, and intentions related to seeking mental health screening and …","author":[{"dropping-particle":"","family":"Bauer","given":"A G","non-dropping-particle":"","parse-names":false,"suffix":""},{"dropping-particle":"","family":"Williams","given":"J","non-dropping-particle":"","parse-names":false,"suffix":""},{"dropping-particle":"","family":"Hambrick","given":"E","non-dropping-particle":"","parse-names":false,"suffix":""},{"dropping-particle":"","family":"...","given":"","non-dropping-particle":"","parse-names":false,"suffix":""}],"container-title":"… Trauma: Theory …","id":"ITEM-1","issued":{"date-parts":[["2023"]]},"publisher":"psycnet.apa.org","title":"Mental health attitudes, norms, beliefs, and experiences with care among young Black men: A theory of planned behavior assessment.","type":"article-journal"},"uris":["http://www.mendeley.com/documents/?uuid=347a446d-1319-4e4c-859f-82af0609def8"]}],"mendeley":{"formattedCitation":"(Bauer et al. 2023)","plainTextFormattedCitation":"(Bauer et al. 2023)","previouslyFormattedCitation":"(Bauer et al. 2023)"},"properties":{"noteIndex":0},"schema":"https://github.com/citation-style-language/schema/raw/master/csl-citation.json"}</w:instrText>
      </w:r>
      <w:r w:rsidR="003F60C7">
        <w:rPr>
          <w:rFonts w:ascii="Arial" w:hAnsi="Arial" w:cs="Arial"/>
          <w:sz w:val="20"/>
          <w:szCs w:val="20"/>
          <w:lang w:val="en-US"/>
        </w:rPr>
        <w:fldChar w:fldCharType="separate"/>
      </w:r>
      <w:r w:rsidR="003F60C7" w:rsidRPr="003F60C7">
        <w:rPr>
          <w:rFonts w:ascii="Arial" w:hAnsi="Arial" w:cs="Arial"/>
          <w:noProof/>
          <w:sz w:val="20"/>
          <w:szCs w:val="20"/>
          <w:lang w:val="en-US"/>
        </w:rPr>
        <w:t>(Bauer et al. 2023)</w:t>
      </w:r>
      <w:r w:rsidR="003F60C7">
        <w:rPr>
          <w:rFonts w:ascii="Arial" w:hAnsi="Arial" w:cs="Arial"/>
          <w:sz w:val="20"/>
          <w:szCs w:val="20"/>
          <w:lang w:val="en-US"/>
        </w:rPr>
        <w:fldChar w:fldCharType="end"/>
      </w:r>
      <w:r w:rsidR="003F60C7">
        <w:rPr>
          <w:rFonts w:ascii="Arial" w:hAnsi="Arial" w:cs="Arial"/>
          <w:sz w:val="20"/>
          <w:szCs w:val="20"/>
          <w:lang w:val="en-US"/>
        </w:rPr>
        <w:t>.</w:t>
      </w:r>
    </w:p>
    <w:p w14:paraId="4C37C06C" w14:textId="77777777" w:rsidR="00EB6BA0" w:rsidRPr="001047A2" w:rsidRDefault="00EB6BA0" w:rsidP="001047A2">
      <w:pPr>
        <w:spacing w:after="0" w:line="240" w:lineRule="auto"/>
        <w:ind w:left="720" w:firstLine="720"/>
        <w:rPr>
          <w:rFonts w:ascii="Arial" w:hAnsi="Arial" w:cs="Arial"/>
          <w:sz w:val="20"/>
          <w:szCs w:val="20"/>
        </w:rPr>
      </w:pPr>
      <w:r w:rsidRPr="001047A2">
        <w:rPr>
          <w:rFonts w:ascii="Arial" w:hAnsi="Arial" w:cs="Arial"/>
          <w:sz w:val="20"/>
          <w:szCs w:val="20"/>
        </w:rPr>
        <w:t>Table 4. Model summary and overall model test (n = 68)</w:t>
      </w:r>
    </w:p>
    <w:tbl>
      <w:tblPr>
        <w:tblStyle w:val="TableGrid"/>
        <w:tblW w:w="0" w:type="auto"/>
        <w:tblInd w:w="127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4"/>
        <w:gridCol w:w="2126"/>
      </w:tblGrid>
      <w:tr w:rsidR="00EB6BA0" w:rsidRPr="001047A2" w14:paraId="68B2BE3B" w14:textId="77777777" w:rsidTr="001047A2">
        <w:tc>
          <w:tcPr>
            <w:tcW w:w="3124" w:type="dxa"/>
            <w:tcBorders>
              <w:top w:val="single" w:sz="4" w:space="0" w:color="000000"/>
              <w:bottom w:val="single" w:sz="4" w:space="0" w:color="auto"/>
            </w:tcBorders>
          </w:tcPr>
          <w:p w14:paraId="11DDD25E"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Metric</w:t>
            </w:r>
          </w:p>
        </w:tc>
        <w:tc>
          <w:tcPr>
            <w:tcW w:w="2126" w:type="dxa"/>
            <w:tcBorders>
              <w:top w:val="single" w:sz="4" w:space="0" w:color="000000"/>
              <w:bottom w:val="single" w:sz="4" w:space="0" w:color="auto"/>
            </w:tcBorders>
          </w:tcPr>
          <w:p w14:paraId="05DC1F8B"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Value</w:t>
            </w:r>
          </w:p>
        </w:tc>
      </w:tr>
      <w:tr w:rsidR="00EB6BA0" w:rsidRPr="001047A2" w14:paraId="56CB77FE" w14:textId="77777777" w:rsidTr="001047A2">
        <w:tc>
          <w:tcPr>
            <w:tcW w:w="3124" w:type="dxa"/>
            <w:tcBorders>
              <w:top w:val="single" w:sz="4" w:space="0" w:color="auto"/>
              <w:bottom w:val="nil"/>
            </w:tcBorders>
          </w:tcPr>
          <w:p w14:paraId="2C38DA1E" w14:textId="77777777" w:rsidR="00EB6BA0" w:rsidRPr="001047A2" w:rsidRDefault="00EB6BA0" w:rsidP="001047A2">
            <w:pPr>
              <w:spacing w:after="0" w:line="240" w:lineRule="auto"/>
              <w:rPr>
                <w:rFonts w:ascii="Arial" w:hAnsi="Arial" w:cs="Arial"/>
                <w:sz w:val="20"/>
                <w:szCs w:val="20"/>
              </w:rPr>
            </w:pPr>
            <w:r w:rsidRPr="001047A2">
              <w:rPr>
                <w:rFonts w:ascii="Arial" w:hAnsi="Arial" w:cs="Arial"/>
                <w:sz w:val="20"/>
                <w:szCs w:val="20"/>
              </w:rPr>
              <w:lastRenderedPageBreak/>
              <w:t>R</w:t>
            </w:r>
          </w:p>
        </w:tc>
        <w:tc>
          <w:tcPr>
            <w:tcW w:w="2126" w:type="dxa"/>
            <w:tcBorders>
              <w:top w:val="single" w:sz="4" w:space="0" w:color="auto"/>
              <w:bottom w:val="nil"/>
            </w:tcBorders>
          </w:tcPr>
          <w:p w14:paraId="1C146DF8"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0.595</w:t>
            </w:r>
          </w:p>
        </w:tc>
      </w:tr>
      <w:tr w:rsidR="00EB6BA0" w:rsidRPr="001047A2" w14:paraId="4DC8904E" w14:textId="77777777" w:rsidTr="001047A2">
        <w:tc>
          <w:tcPr>
            <w:tcW w:w="3124" w:type="dxa"/>
            <w:tcBorders>
              <w:top w:val="nil"/>
              <w:bottom w:val="nil"/>
            </w:tcBorders>
          </w:tcPr>
          <w:p w14:paraId="56C72E41" w14:textId="77777777" w:rsidR="00EB6BA0" w:rsidRPr="001047A2" w:rsidRDefault="00EB6BA0" w:rsidP="001047A2">
            <w:pPr>
              <w:spacing w:after="0" w:line="240" w:lineRule="auto"/>
              <w:rPr>
                <w:rFonts w:ascii="Arial" w:hAnsi="Arial" w:cs="Arial"/>
                <w:sz w:val="20"/>
                <w:szCs w:val="20"/>
              </w:rPr>
            </w:pPr>
            <w:r w:rsidRPr="001047A2">
              <w:rPr>
                <w:rFonts w:ascii="Arial" w:hAnsi="Arial" w:cs="Arial"/>
                <w:sz w:val="20"/>
                <w:szCs w:val="20"/>
              </w:rPr>
              <w:t>R-squared</w:t>
            </w:r>
          </w:p>
        </w:tc>
        <w:tc>
          <w:tcPr>
            <w:tcW w:w="2126" w:type="dxa"/>
            <w:tcBorders>
              <w:top w:val="nil"/>
              <w:bottom w:val="nil"/>
            </w:tcBorders>
          </w:tcPr>
          <w:p w14:paraId="32464B6E"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0.354</w:t>
            </w:r>
          </w:p>
        </w:tc>
      </w:tr>
      <w:tr w:rsidR="00EB6BA0" w:rsidRPr="001047A2" w14:paraId="0A6C7F71" w14:textId="77777777" w:rsidTr="001047A2">
        <w:tc>
          <w:tcPr>
            <w:tcW w:w="3124" w:type="dxa"/>
            <w:tcBorders>
              <w:top w:val="nil"/>
              <w:bottom w:val="nil"/>
            </w:tcBorders>
          </w:tcPr>
          <w:p w14:paraId="2254D5E8" w14:textId="77777777" w:rsidR="00EB6BA0" w:rsidRPr="001047A2" w:rsidRDefault="00EB6BA0" w:rsidP="001047A2">
            <w:pPr>
              <w:spacing w:after="0" w:line="240" w:lineRule="auto"/>
              <w:rPr>
                <w:rFonts w:ascii="Arial" w:hAnsi="Arial" w:cs="Arial"/>
                <w:sz w:val="20"/>
                <w:szCs w:val="20"/>
              </w:rPr>
            </w:pPr>
            <w:r w:rsidRPr="001047A2">
              <w:rPr>
                <w:rFonts w:ascii="Arial" w:hAnsi="Arial" w:cs="Arial"/>
                <w:sz w:val="20"/>
                <w:szCs w:val="20"/>
              </w:rPr>
              <w:t>Adjusted R-squared</w:t>
            </w:r>
          </w:p>
        </w:tc>
        <w:tc>
          <w:tcPr>
            <w:tcW w:w="2126" w:type="dxa"/>
            <w:tcBorders>
              <w:top w:val="nil"/>
              <w:bottom w:val="nil"/>
            </w:tcBorders>
          </w:tcPr>
          <w:p w14:paraId="2B9EE965"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0.346</w:t>
            </w:r>
          </w:p>
        </w:tc>
      </w:tr>
      <w:tr w:rsidR="00EB6BA0" w:rsidRPr="001047A2" w14:paraId="0EF41727" w14:textId="77777777" w:rsidTr="001047A2">
        <w:trPr>
          <w:trHeight w:val="293"/>
        </w:trPr>
        <w:tc>
          <w:tcPr>
            <w:tcW w:w="3124" w:type="dxa"/>
            <w:tcBorders>
              <w:top w:val="nil"/>
              <w:bottom w:val="nil"/>
            </w:tcBorders>
          </w:tcPr>
          <w:p w14:paraId="7F61CAEB" w14:textId="77777777" w:rsidR="00EB6BA0" w:rsidRPr="001047A2" w:rsidRDefault="00EB6BA0" w:rsidP="001047A2">
            <w:pPr>
              <w:spacing w:after="0" w:line="240" w:lineRule="auto"/>
              <w:rPr>
                <w:rFonts w:ascii="Arial" w:hAnsi="Arial" w:cs="Arial"/>
                <w:sz w:val="20"/>
                <w:szCs w:val="20"/>
              </w:rPr>
            </w:pPr>
            <w:r w:rsidRPr="001047A2">
              <w:rPr>
                <w:rFonts w:ascii="Arial" w:hAnsi="Arial" w:cs="Arial"/>
                <w:sz w:val="20"/>
                <w:szCs w:val="20"/>
              </w:rPr>
              <w:t>Std. Error of the Estimate</w:t>
            </w:r>
          </w:p>
        </w:tc>
        <w:tc>
          <w:tcPr>
            <w:tcW w:w="2126" w:type="dxa"/>
            <w:tcBorders>
              <w:top w:val="nil"/>
              <w:bottom w:val="nil"/>
            </w:tcBorders>
          </w:tcPr>
          <w:p w14:paraId="65B29467"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2.43354</w:t>
            </w:r>
          </w:p>
        </w:tc>
      </w:tr>
      <w:tr w:rsidR="00EB6BA0" w:rsidRPr="001047A2" w14:paraId="040C68A9" w14:textId="77777777" w:rsidTr="001047A2">
        <w:tc>
          <w:tcPr>
            <w:tcW w:w="3124" w:type="dxa"/>
            <w:tcBorders>
              <w:top w:val="nil"/>
              <w:bottom w:val="nil"/>
            </w:tcBorders>
          </w:tcPr>
          <w:p w14:paraId="4528DD94" w14:textId="77777777" w:rsidR="00EB6BA0" w:rsidRPr="001047A2" w:rsidRDefault="00EB6BA0" w:rsidP="001047A2">
            <w:pPr>
              <w:spacing w:after="0" w:line="240" w:lineRule="auto"/>
              <w:rPr>
                <w:rFonts w:ascii="Arial" w:hAnsi="Arial" w:cs="Arial"/>
                <w:sz w:val="20"/>
                <w:szCs w:val="20"/>
              </w:rPr>
            </w:pPr>
            <w:r w:rsidRPr="001047A2">
              <w:rPr>
                <w:rFonts w:ascii="Arial" w:hAnsi="Arial" w:cs="Arial"/>
                <w:sz w:val="20"/>
                <w:szCs w:val="20"/>
              </w:rPr>
              <w:t>F (df1, df2)</w:t>
            </w:r>
          </w:p>
        </w:tc>
        <w:tc>
          <w:tcPr>
            <w:tcW w:w="2126" w:type="dxa"/>
            <w:tcBorders>
              <w:top w:val="nil"/>
              <w:bottom w:val="nil"/>
            </w:tcBorders>
          </w:tcPr>
          <w:p w14:paraId="4BC94943" w14:textId="2D3D0DE2" w:rsidR="00EB6BA0" w:rsidRPr="001047A2" w:rsidRDefault="00C210F9" w:rsidP="001047A2">
            <w:pPr>
              <w:spacing w:after="0" w:line="240" w:lineRule="auto"/>
              <w:jc w:val="center"/>
              <w:rPr>
                <w:rFonts w:ascii="Arial" w:hAnsi="Arial" w:cs="Arial"/>
                <w:sz w:val="20"/>
                <w:szCs w:val="20"/>
              </w:rPr>
            </w:pPr>
            <w:r>
              <w:rPr>
                <w:rFonts w:ascii="Arial" w:hAnsi="Arial" w:cs="Arial"/>
                <w:sz w:val="20"/>
                <w:szCs w:val="20"/>
              </w:rPr>
              <w:t>11</w:t>
            </w:r>
            <w:r w:rsidR="00EB6BA0" w:rsidRPr="001047A2">
              <w:rPr>
                <w:rFonts w:ascii="Arial" w:hAnsi="Arial" w:cs="Arial"/>
                <w:sz w:val="20"/>
                <w:szCs w:val="20"/>
              </w:rPr>
              <w:t>.</w:t>
            </w:r>
            <w:r>
              <w:rPr>
                <w:rFonts w:ascii="Arial" w:hAnsi="Arial" w:cs="Arial"/>
                <w:sz w:val="20"/>
                <w:szCs w:val="20"/>
              </w:rPr>
              <w:t>688</w:t>
            </w:r>
            <w:r w:rsidR="00EB6BA0" w:rsidRPr="001047A2">
              <w:rPr>
                <w:rFonts w:ascii="Arial" w:hAnsi="Arial" w:cs="Arial"/>
                <w:sz w:val="20"/>
                <w:szCs w:val="20"/>
              </w:rPr>
              <w:t xml:space="preserve"> (3,</w:t>
            </w:r>
            <w:r w:rsidR="002B717B">
              <w:rPr>
                <w:rFonts w:ascii="Arial" w:hAnsi="Arial" w:cs="Arial"/>
                <w:sz w:val="20"/>
                <w:szCs w:val="20"/>
              </w:rPr>
              <w:t>64</w:t>
            </w:r>
            <w:r w:rsidR="00EB6BA0" w:rsidRPr="001047A2">
              <w:rPr>
                <w:rFonts w:ascii="Arial" w:hAnsi="Arial" w:cs="Arial"/>
                <w:sz w:val="20"/>
                <w:szCs w:val="20"/>
              </w:rPr>
              <w:t>)</w:t>
            </w:r>
          </w:p>
        </w:tc>
      </w:tr>
      <w:tr w:rsidR="00EB6BA0" w:rsidRPr="001047A2" w14:paraId="5E6B083A" w14:textId="77777777" w:rsidTr="001047A2">
        <w:tc>
          <w:tcPr>
            <w:tcW w:w="3124" w:type="dxa"/>
            <w:tcBorders>
              <w:top w:val="nil"/>
            </w:tcBorders>
          </w:tcPr>
          <w:p w14:paraId="6B17BC49" w14:textId="77777777" w:rsidR="00EB6BA0" w:rsidRPr="001047A2" w:rsidRDefault="00EB6BA0" w:rsidP="001047A2">
            <w:pPr>
              <w:spacing w:after="0" w:line="240" w:lineRule="auto"/>
              <w:jc w:val="both"/>
              <w:rPr>
                <w:rFonts w:ascii="Arial" w:hAnsi="Arial" w:cs="Arial"/>
                <w:sz w:val="20"/>
                <w:szCs w:val="20"/>
              </w:rPr>
            </w:pPr>
            <w:r w:rsidRPr="001047A2">
              <w:rPr>
                <w:rFonts w:ascii="Arial" w:hAnsi="Arial" w:cs="Arial"/>
                <w:sz w:val="20"/>
                <w:szCs w:val="20"/>
              </w:rPr>
              <w:t>Sig. (overall model)</w:t>
            </w:r>
          </w:p>
        </w:tc>
        <w:tc>
          <w:tcPr>
            <w:tcW w:w="2126" w:type="dxa"/>
            <w:tcBorders>
              <w:top w:val="nil"/>
            </w:tcBorders>
          </w:tcPr>
          <w:p w14:paraId="089F32C3"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&lt; 0.001</w:t>
            </w:r>
          </w:p>
        </w:tc>
      </w:tr>
      <w:tr w:rsidR="00EB6BA0" w:rsidRPr="001047A2" w14:paraId="1C6C0D11" w14:textId="77777777" w:rsidTr="001047A2">
        <w:tc>
          <w:tcPr>
            <w:tcW w:w="3124" w:type="dxa"/>
          </w:tcPr>
          <w:p w14:paraId="4B278B69" w14:textId="77777777" w:rsidR="00EB6BA0" w:rsidRPr="001047A2" w:rsidRDefault="00EB6BA0" w:rsidP="001047A2">
            <w:pPr>
              <w:spacing w:after="0" w:line="240" w:lineRule="auto"/>
              <w:jc w:val="both"/>
              <w:rPr>
                <w:rFonts w:ascii="Arial" w:hAnsi="Arial" w:cs="Arial"/>
                <w:sz w:val="20"/>
                <w:szCs w:val="20"/>
              </w:rPr>
            </w:pPr>
            <w:r w:rsidRPr="001047A2">
              <w:rPr>
                <w:rFonts w:ascii="Arial" w:hAnsi="Arial" w:cs="Arial"/>
                <w:sz w:val="20"/>
                <w:szCs w:val="20"/>
              </w:rPr>
              <w:t>Durbin-Watson</w:t>
            </w:r>
          </w:p>
        </w:tc>
        <w:tc>
          <w:tcPr>
            <w:tcW w:w="2126" w:type="dxa"/>
          </w:tcPr>
          <w:p w14:paraId="471C1C07" w14:textId="77777777" w:rsidR="00EB6BA0" w:rsidRPr="001047A2" w:rsidRDefault="00EB6BA0" w:rsidP="001047A2">
            <w:pPr>
              <w:spacing w:after="0" w:line="240" w:lineRule="auto"/>
              <w:jc w:val="center"/>
              <w:rPr>
                <w:rFonts w:ascii="Arial" w:hAnsi="Arial" w:cs="Arial"/>
                <w:sz w:val="20"/>
                <w:szCs w:val="20"/>
              </w:rPr>
            </w:pPr>
            <w:r w:rsidRPr="001047A2">
              <w:rPr>
                <w:rFonts w:ascii="Arial" w:hAnsi="Arial" w:cs="Arial"/>
                <w:sz w:val="20"/>
                <w:szCs w:val="20"/>
              </w:rPr>
              <w:t>1.898</w:t>
            </w:r>
          </w:p>
        </w:tc>
      </w:tr>
    </w:tbl>
    <w:p w14:paraId="145245D5" w14:textId="77777777" w:rsidR="008436E2" w:rsidRPr="008436E2" w:rsidRDefault="008436E2" w:rsidP="008436E2">
      <w:pPr>
        <w:pStyle w:val="Heading2"/>
        <w:spacing w:before="0" w:after="120" w:line="240" w:lineRule="auto"/>
        <w:ind w:left="1355" w:firstLine="85"/>
        <w:jc w:val="both"/>
        <w:rPr>
          <w:rFonts w:ascii="Arial" w:eastAsia="Times New Roman" w:hAnsi="Arial" w:cs="Arial"/>
          <w:b w:val="0"/>
          <w:color w:val="auto"/>
          <w:sz w:val="20"/>
          <w:szCs w:val="20"/>
        </w:rPr>
      </w:pPr>
      <w:r w:rsidRPr="008436E2">
        <w:rPr>
          <w:rFonts w:ascii="Arial" w:hAnsi="Arial" w:cs="Arial"/>
          <w:b w:val="0"/>
          <w:color w:val="auto"/>
          <w:sz w:val="20"/>
          <w:szCs w:val="20"/>
        </w:rPr>
        <w:t>Source: Authors' Calculation</w:t>
      </w:r>
      <w:r w:rsidRPr="008436E2">
        <w:rPr>
          <w:rStyle w:val="Emphasis"/>
          <w:rFonts w:ascii="Arial" w:hAnsi="Arial" w:cs="Arial"/>
          <w:b w:val="0"/>
          <w:color w:val="auto"/>
          <w:sz w:val="20"/>
          <w:szCs w:val="20"/>
        </w:rPr>
        <w:t>, 2025</w:t>
      </w:r>
    </w:p>
    <w:p w14:paraId="783DF474" w14:textId="3FF30C97" w:rsidR="00EB6BA0" w:rsidRDefault="00EB6BA0" w:rsidP="00EB6BA0">
      <w:pPr>
        <w:jc w:val="both"/>
        <w:rPr>
          <w:rFonts w:ascii="Arial" w:hAnsi="Arial" w:cs="Arial"/>
        </w:rPr>
      </w:pPr>
    </w:p>
    <w:p w14:paraId="7BD7F794" w14:textId="77777777" w:rsidR="00EB6BA0" w:rsidRPr="001047A2" w:rsidRDefault="00EB6BA0" w:rsidP="00EB6BA0">
      <w:pPr>
        <w:pStyle w:val="Heading2"/>
        <w:numPr>
          <w:ilvl w:val="0"/>
          <w:numId w:val="4"/>
        </w:numPr>
        <w:tabs>
          <w:tab w:val="num" w:pos="360"/>
        </w:tabs>
        <w:spacing w:before="120" w:after="120"/>
        <w:ind w:left="635" w:hanging="635"/>
        <w:jc w:val="both"/>
        <w:rPr>
          <w:rFonts w:ascii="Arial" w:hAnsi="Arial" w:cs="Arial"/>
          <w:color w:val="auto"/>
          <w:sz w:val="20"/>
          <w:szCs w:val="20"/>
        </w:rPr>
      </w:pPr>
      <w:r w:rsidRPr="001047A2">
        <w:rPr>
          <w:rFonts w:ascii="Arial" w:eastAsia="Times New Roman" w:hAnsi="Arial" w:cs="Arial"/>
          <w:color w:val="auto"/>
          <w:sz w:val="20"/>
          <w:szCs w:val="20"/>
        </w:rPr>
        <w:t>Regression coefficients and interpretation</w:t>
      </w:r>
    </w:p>
    <w:p w14:paraId="2741E945" w14:textId="073C4C6A" w:rsidR="00EB6BA0" w:rsidRPr="00A572C0" w:rsidRDefault="007B79C6" w:rsidP="00EB6BA0">
      <w:pPr>
        <w:pStyle w:val="NormalWeb"/>
        <w:spacing w:before="0" w:beforeAutospacing="0" w:after="0" w:afterAutospacing="0"/>
        <w:ind w:firstLine="720"/>
        <w:jc w:val="both"/>
        <w:rPr>
          <w:rFonts w:ascii="Arial" w:hAnsi="Arial" w:cs="Arial"/>
          <w:sz w:val="20"/>
          <w:szCs w:val="20"/>
          <w:lang w:val="en-US"/>
        </w:rPr>
      </w:pPr>
      <w:r>
        <w:rPr>
          <w:rFonts w:ascii="Arial" w:hAnsi="Arial" w:cs="Arial"/>
          <w:sz w:val="20"/>
          <w:szCs w:val="20"/>
        </w:rPr>
        <w:t>Table 5 presents regression coefficients and collinearity statistics. All three extension-role aspects were statistically significant predictors (p = 0.001). The standardized coefficients were of similar magnitude, indicating equivalent standardized contributions across dimensions</w:t>
      </w:r>
      <w:r w:rsidR="00A572C0">
        <w:rPr>
          <w:rFonts w:ascii="Arial" w:hAnsi="Arial" w:cs="Arial"/>
          <w:sz w:val="20"/>
          <w:szCs w:val="20"/>
          <w:lang w:val="en-US"/>
        </w:rPr>
        <w:t>.</w:t>
      </w:r>
    </w:p>
    <w:p w14:paraId="269EC353" w14:textId="77777777" w:rsidR="00EB6BA0" w:rsidRPr="00026A8C" w:rsidRDefault="00EB6BA0" w:rsidP="00026A8C">
      <w:pPr>
        <w:spacing w:before="120" w:after="0" w:line="240" w:lineRule="auto"/>
        <w:ind w:left="284" w:right="272"/>
        <w:jc w:val="center"/>
        <w:rPr>
          <w:rFonts w:ascii="Arial" w:hAnsi="Arial" w:cs="Arial"/>
          <w:sz w:val="20"/>
          <w:szCs w:val="20"/>
        </w:rPr>
      </w:pPr>
      <w:r w:rsidRPr="00026A8C">
        <w:rPr>
          <w:rFonts w:ascii="Arial" w:hAnsi="Arial" w:cs="Arial"/>
          <w:sz w:val="20"/>
          <w:szCs w:val="20"/>
        </w:rPr>
        <w:t>Table 5. Coefficients and collinearity statistics (dependent variable: maize food availability; n = 68)</w:t>
      </w:r>
    </w:p>
    <w:tbl>
      <w:tblPr>
        <w:tblStyle w:val="TableGrid"/>
        <w:tblW w:w="833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1"/>
        <w:gridCol w:w="850"/>
        <w:gridCol w:w="850"/>
        <w:gridCol w:w="739"/>
        <w:gridCol w:w="737"/>
        <w:gridCol w:w="794"/>
        <w:gridCol w:w="1135"/>
        <w:gridCol w:w="850"/>
      </w:tblGrid>
      <w:tr w:rsidR="00EB6BA0" w:rsidRPr="00026A8C" w14:paraId="50FEDAF2" w14:textId="77777777" w:rsidTr="00332F7F">
        <w:tc>
          <w:tcPr>
            <w:tcW w:w="2381" w:type="dxa"/>
            <w:tcBorders>
              <w:top w:val="single" w:sz="4" w:space="0" w:color="000000"/>
              <w:bottom w:val="single" w:sz="4" w:space="0" w:color="000000"/>
            </w:tcBorders>
          </w:tcPr>
          <w:p w14:paraId="33B81707" w14:textId="77777777" w:rsidR="00EB6BA0" w:rsidRPr="00026A8C" w:rsidRDefault="00EB6BA0" w:rsidP="00026A8C">
            <w:pPr>
              <w:spacing w:after="0" w:line="240" w:lineRule="auto"/>
              <w:jc w:val="center"/>
              <w:rPr>
                <w:rFonts w:ascii="Arial" w:hAnsi="Arial" w:cs="Arial"/>
                <w:sz w:val="20"/>
                <w:szCs w:val="20"/>
              </w:rPr>
            </w:pPr>
            <w:r w:rsidRPr="00026A8C">
              <w:rPr>
                <w:rFonts w:ascii="Arial" w:hAnsi="Arial" w:cs="Arial"/>
                <w:sz w:val="20"/>
                <w:szCs w:val="20"/>
              </w:rPr>
              <w:t>Predictor</w:t>
            </w:r>
          </w:p>
        </w:tc>
        <w:tc>
          <w:tcPr>
            <w:tcW w:w="850" w:type="dxa"/>
            <w:tcBorders>
              <w:top w:val="single" w:sz="4" w:space="0" w:color="000000"/>
              <w:bottom w:val="single" w:sz="4" w:space="0" w:color="000000"/>
            </w:tcBorders>
          </w:tcPr>
          <w:p w14:paraId="38583325" w14:textId="77777777" w:rsidR="00EB6BA0" w:rsidRPr="00026A8C" w:rsidRDefault="00EB6BA0" w:rsidP="00026A8C">
            <w:pPr>
              <w:spacing w:after="0" w:line="240" w:lineRule="auto"/>
              <w:jc w:val="center"/>
              <w:rPr>
                <w:rFonts w:ascii="Arial" w:hAnsi="Arial" w:cs="Arial"/>
                <w:sz w:val="20"/>
                <w:szCs w:val="20"/>
              </w:rPr>
            </w:pPr>
            <w:r w:rsidRPr="00026A8C">
              <w:rPr>
                <w:rFonts w:ascii="Arial" w:hAnsi="Arial" w:cs="Arial"/>
                <w:sz w:val="20"/>
                <w:szCs w:val="20"/>
              </w:rPr>
              <w:t>B</w:t>
            </w:r>
          </w:p>
        </w:tc>
        <w:tc>
          <w:tcPr>
            <w:tcW w:w="850" w:type="dxa"/>
            <w:tcBorders>
              <w:top w:val="single" w:sz="4" w:space="0" w:color="000000"/>
              <w:bottom w:val="single" w:sz="4" w:space="0" w:color="000000"/>
            </w:tcBorders>
          </w:tcPr>
          <w:p w14:paraId="2AAEF6D9" w14:textId="77777777" w:rsidR="00EB6BA0" w:rsidRPr="00026A8C" w:rsidRDefault="00EB6BA0" w:rsidP="00026A8C">
            <w:pPr>
              <w:spacing w:after="0" w:line="240" w:lineRule="auto"/>
              <w:jc w:val="center"/>
              <w:rPr>
                <w:rFonts w:ascii="Arial" w:hAnsi="Arial" w:cs="Arial"/>
                <w:sz w:val="20"/>
                <w:szCs w:val="20"/>
              </w:rPr>
            </w:pPr>
            <w:r w:rsidRPr="00026A8C">
              <w:rPr>
                <w:rFonts w:ascii="Arial" w:hAnsi="Arial" w:cs="Arial"/>
                <w:sz w:val="20"/>
                <w:szCs w:val="20"/>
              </w:rPr>
              <w:t>SE</w:t>
            </w:r>
          </w:p>
        </w:tc>
        <w:tc>
          <w:tcPr>
            <w:tcW w:w="739" w:type="dxa"/>
            <w:tcBorders>
              <w:top w:val="single" w:sz="4" w:space="0" w:color="000000"/>
              <w:bottom w:val="single" w:sz="4" w:space="0" w:color="000000"/>
            </w:tcBorders>
          </w:tcPr>
          <w:p w14:paraId="1540A599" w14:textId="2965A056" w:rsidR="00EB6BA0" w:rsidRPr="00026A8C" w:rsidRDefault="00026A8C" w:rsidP="00026A8C">
            <w:pPr>
              <w:spacing w:after="0" w:line="240" w:lineRule="auto"/>
              <w:jc w:val="center"/>
              <w:rPr>
                <w:rFonts w:ascii="Arial" w:hAnsi="Arial" w:cs="Arial"/>
                <w:sz w:val="20"/>
                <w:szCs w:val="20"/>
              </w:rPr>
            </w:pPr>
            <w:r>
              <w:rPr>
                <w:rFonts w:ascii="Arial" w:hAnsi="Arial" w:cs="Arial"/>
                <w:sz w:val="20"/>
                <w:szCs w:val="20"/>
              </w:rPr>
              <w:t>β</w:t>
            </w:r>
          </w:p>
        </w:tc>
        <w:tc>
          <w:tcPr>
            <w:tcW w:w="737" w:type="dxa"/>
            <w:tcBorders>
              <w:top w:val="single" w:sz="4" w:space="0" w:color="000000"/>
              <w:bottom w:val="single" w:sz="4" w:space="0" w:color="000000"/>
            </w:tcBorders>
          </w:tcPr>
          <w:p w14:paraId="6C1D8BFC" w14:textId="77777777" w:rsidR="00EB6BA0" w:rsidRPr="00026A8C" w:rsidRDefault="00EB6BA0" w:rsidP="00026A8C">
            <w:pPr>
              <w:spacing w:after="0" w:line="240" w:lineRule="auto"/>
              <w:jc w:val="center"/>
              <w:rPr>
                <w:rFonts w:ascii="Arial" w:hAnsi="Arial" w:cs="Arial"/>
                <w:sz w:val="20"/>
                <w:szCs w:val="20"/>
              </w:rPr>
            </w:pPr>
            <w:r w:rsidRPr="00026A8C">
              <w:rPr>
                <w:rFonts w:ascii="Arial" w:hAnsi="Arial" w:cs="Arial"/>
                <w:sz w:val="20"/>
                <w:szCs w:val="20"/>
              </w:rPr>
              <w:t>t</w:t>
            </w:r>
          </w:p>
        </w:tc>
        <w:tc>
          <w:tcPr>
            <w:tcW w:w="794" w:type="dxa"/>
            <w:tcBorders>
              <w:top w:val="single" w:sz="4" w:space="0" w:color="000000"/>
              <w:bottom w:val="single" w:sz="4" w:space="0" w:color="000000"/>
            </w:tcBorders>
          </w:tcPr>
          <w:p w14:paraId="44904599" w14:textId="77777777" w:rsidR="00EB6BA0" w:rsidRPr="00026A8C" w:rsidRDefault="00EB6BA0" w:rsidP="00026A8C">
            <w:pPr>
              <w:spacing w:after="0" w:line="240" w:lineRule="auto"/>
              <w:jc w:val="center"/>
              <w:rPr>
                <w:rFonts w:ascii="Arial" w:hAnsi="Arial" w:cs="Arial"/>
                <w:sz w:val="20"/>
                <w:szCs w:val="20"/>
              </w:rPr>
            </w:pPr>
            <w:r w:rsidRPr="00026A8C">
              <w:rPr>
                <w:rFonts w:ascii="Arial" w:hAnsi="Arial" w:cs="Arial"/>
                <w:sz w:val="20"/>
                <w:szCs w:val="20"/>
              </w:rPr>
              <w:t>p</w:t>
            </w:r>
          </w:p>
        </w:tc>
        <w:tc>
          <w:tcPr>
            <w:tcW w:w="1135" w:type="dxa"/>
            <w:tcBorders>
              <w:top w:val="single" w:sz="4" w:space="0" w:color="000000"/>
              <w:bottom w:val="single" w:sz="4" w:space="0" w:color="000000"/>
            </w:tcBorders>
          </w:tcPr>
          <w:p w14:paraId="6DCACC94" w14:textId="77777777" w:rsidR="00EB6BA0" w:rsidRPr="00026A8C" w:rsidRDefault="00EB6BA0" w:rsidP="00026A8C">
            <w:pPr>
              <w:spacing w:after="0" w:line="240" w:lineRule="auto"/>
              <w:jc w:val="center"/>
              <w:rPr>
                <w:rFonts w:ascii="Arial" w:hAnsi="Arial" w:cs="Arial"/>
                <w:sz w:val="20"/>
                <w:szCs w:val="20"/>
              </w:rPr>
            </w:pPr>
            <w:r w:rsidRPr="00026A8C">
              <w:rPr>
                <w:rFonts w:ascii="Arial" w:hAnsi="Arial" w:cs="Arial"/>
                <w:sz w:val="20"/>
                <w:szCs w:val="20"/>
              </w:rPr>
              <w:t>Tolerance</w:t>
            </w:r>
          </w:p>
        </w:tc>
        <w:tc>
          <w:tcPr>
            <w:tcW w:w="850" w:type="dxa"/>
            <w:tcBorders>
              <w:top w:val="single" w:sz="4" w:space="0" w:color="000000"/>
              <w:bottom w:val="single" w:sz="4" w:space="0" w:color="000000"/>
            </w:tcBorders>
          </w:tcPr>
          <w:p w14:paraId="18174D58" w14:textId="77777777" w:rsidR="00EB6BA0" w:rsidRPr="00026A8C" w:rsidRDefault="00EB6BA0" w:rsidP="00026A8C">
            <w:pPr>
              <w:spacing w:after="0" w:line="240" w:lineRule="auto"/>
              <w:jc w:val="center"/>
              <w:rPr>
                <w:rFonts w:ascii="Arial" w:hAnsi="Arial" w:cs="Arial"/>
                <w:sz w:val="20"/>
                <w:szCs w:val="20"/>
              </w:rPr>
            </w:pPr>
            <w:r w:rsidRPr="00026A8C">
              <w:rPr>
                <w:rFonts w:ascii="Arial" w:hAnsi="Arial" w:cs="Arial"/>
                <w:sz w:val="20"/>
                <w:szCs w:val="20"/>
              </w:rPr>
              <w:t>VIF</w:t>
            </w:r>
          </w:p>
        </w:tc>
      </w:tr>
      <w:tr w:rsidR="00EB6BA0" w:rsidRPr="00026A8C" w14:paraId="70ADAED4" w14:textId="77777777" w:rsidTr="00332F7F">
        <w:tc>
          <w:tcPr>
            <w:tcW w:w="2381" w:type="dxa"/>
            <w:tcBorders>
              <w:top w:val="single" w:sz="4" w:space="0" w:color="000000"/>
            </w:tcBorders>
          </w:tcPr>
          <w:p w14:paraId="5C2255AC"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Constant</w:t>
            </w:r>
          </w:p>
        </w:tc>
        <w:tc>
          <w:tcPr>
            <w:tcW w:w="850" w:type="dxa"/>
            <w:tcBorders>
              <w:top w:val="single" w:sz="4" w:space="0" w:color="000000"/>
            </w:tcBorders>
          </w:tcPr>
          <w:p w14:paraId="2C3D8692"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21.810</w:t>
            </w:r>
          </w:p>
        </w:tc>
        <w:tc>
          <w:tcPr>
            <w:tcW w:w="850" w:type="dxa"/>
            <w:tcBorders>
              <w:top w:val="single" w:sz="4" w:space="0" w:color="000000"/>
            </w:tcBorders>
          </w:tcPr>
          <w:p w14:paraId="4F6055C5"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1.156</w:t>
            </w:r>
          </w:p>
        </w:tc>
        <w:tc>
          <w:tcPr>
            <w:tcW w:w="739" w:type="dxa"/>
            <w:tcBorders>
              <w:top w:val="single" w:sz="4" w:space="0" w:color="000000"/>
            </w:tcBorders>
          </w:tcPr>
          <w:p w14:paraId="3DC75264"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w:t>
            </w:r>
          </w:p>
        </w:tc>
        <w:tc>
          <w:tcPr>
            <w:tcW w:w="737" w:type="dxa"/>
            <w:tcBorders>
              <w:top w:val="single" w:sz="4" w:space="0" w:color="000000"/>
            </w:tcBorders>
          </w:tcPr>
          <w:p w14:paraId="22B0886B" w14:textId="77777777" w:rsidR="00EB6BA0" w:rsidRPr="00026A8C" w:rsidRDefault="00EB6BA0" w:rsidP="00026A8C">
            <w:pPr>
              <w:spacing w:after="0" w:line="240" w:lineRule="auto"/>
              <w:ind w:left="-114" w:right="-76"/>
              <w:jc w:val="both"/>
              <w:rPr>
                <w:rFonts w:ascii="Arial" w:hAnsi="Arial" w:cs="Arial"/>
                <w:sz w:val="20"/>
                <w:szCs w:val="20"/>
              </w:rPr>
            </w:pPr>
            <w:r w:rsidRPr="00026A8C">
              <w:rPr>
                <w:rFonts w:ascii="Arial" w:hAnsi="Arial" w:cs="Arial"/>
                <w:sz w:val="20"/>
                <w:szCs w:val="20"/>
              </w:rPr>
              <w:t>18.869</w:t>
            </w:r>
          </w:p>
        </w:tc>
        <w:tc>
          <w:tcPr>
            <w:tcW w:w="794" w:type="dxa"/>
            <w:tcBorders>
              <w:top w:val="single" w:sz="4" w:space="0" w:color="000000"/>
            </w:tcBorders>
          </w:tcPr>
          <w:p w14:paraId="696E2C49" w14:textId="77777777" w:rsidR="00EB6BA0" w:rsidRPr="00026A8C" w:rsidRDefault="00EB6BA0" w:rsidP="00026A8C">
            <w:pPr>
              <w:spacing w:after="0" w:line="240" w:lineRule="auto"/>
              <w:ind w:left="-138"/>
              <w:jc w:val="both"/>
              <w:rPr>
                <w:rFonts w:ascii="Arial" w:hAnsi="Arial" w:cs="Arial"/>
                <w:sz w:val="20"/>
                <w:szCs w:val="20"/>
              </w:rPr>
            </w:pPr>
            <w:r w:rsidRPr="00026A8C">
              <w:rPr>
                <w:rFonts w:ascii="Arial" w:hAnsi="Arial" w:cs="Arial"/>
                <w:sz w:val="20"/>
                <w:szCs w:val="20"/>
              </w:rPr>
              <w:t>&lt; 0.001</w:t>
            </w:r>
          </w:p>
        </w:tc>
        <w:tc>
          <w:tcPr>
            <w:tcW w:w="1135" w:type="dxa"/>
            <w:tcBorders>
              <w:top w:val="single" w:sz="4" w:space="0" w:color="000000"/>
            </w:tcBorders>
          </w:tcPr>
          <w:p w14:paraId="42A5EE4C"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w:t>
            </w:r>
          </w:p>
        </w:tc>
        <w:tc>
          <w:tcPr>
            <w:tcW w:w="850" w:type="dxa"/>
            <w:tcBorders>
              <w:top w:val="single" w:sz="4" w:space="0" w:color="000000"/>
            </w:tcBorders>
          </w:tcPr>
          <w:p w14:paraId="72B3A429"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w:t>
            </w:r>
          </w:p>
        </w:tc>
      </w:tr>
      <w:tr w:rsidR="00EB6BA0" w:rsidRPr="00026A8C" w14:paraId="7BD49944" w14:textId="77777777" w:rsidTr="00332F7F">
        <w:tc>
          <w:tcPr>
            <w:tcW w:w="2381" w:type="dxa"/>
          </w:tcPr>
          <w:p w14:paraId="5218F79F"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X1 (Facilitator/educator)</w:t>
            </w:r>
          </w:p>
        </w:tc>
        <w:tc>
          <w:tcPr>
            <w:tcW w:w="850" w:type="dxa"/>
          </w:tcPr>
          <w:p w14:paraId="22E06B4D"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0.152</w:t>
            </w:r>
          </w:p>
        </w:tc>
        <w:tc>
          <w:tcPr>
            <w:tcW w:w="850" w:type="dxa"/>
          </w:tcPr>
          <w:p w14:paraId="168128F7"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0.048</w:t>
            </w:r>
          </w:p>
        </w:tc>
        <w:tc>
          <w:tcPr>
            <w:tcW w:w="739" w:type="dxa"/>
          </w:tcPr>
          <w:p w14:paraId="740D43D9" w14:textId="0547B96D"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0.3</w:t>
            </w:r>
            <w:r w:rsidR="00741523">
              <w:rPr>
                <w:rFonts w:ascii="Arial" w:hAnsi="Arial" w:cs="Arial"/>
                <w:sz w:val="20"/>
                <w:szCs w:val="20"/>
              </w:rPr>
              <w:t>1</w:t>
            </w:r>
            <w:r w:rsidRPr="00026A8C">
              <w:rPr>
                <w:rFonts w:ascii="Arial" w:hAnsi="Arial" w:cs="Arial"/>
                <w:sz w:val="20"/>
                <w:szCs w:val="20"/>
              </w:rPr>
              <w:t>0</w:t>
            </w:r>
          </w:p>
        </w:tc>
        <w:tc>
          <w:tcPr>
            <w:tcW w:w="737" w:type="dxa"/>
          </w:tcPr>
          <w:p w14:paraId="3BF0DDE8"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3.284</w:t>
            </w:r>
          </w:p>
        </w:tc>
        <w:tc>
          <w:tcPr>
            <w:tcW w:w="794" w:type="dxa"/>
          </w:tcPr>
          <w:p w14:paraId="227DF3B6"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0.001</w:t>
            </w:r>
          </w:p>
        </w:tc>
        <w:tc>
          <w:tcPr>
            <w:tcW w:w="1135" w:type="dxa"/>
          </w:tcPr>
          <w:p w14:paraId="54FB4C35"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0.240</w:t>
            </w:r>
          </w:p>
        </w:tc>
        <w:tc>
          <w:tcPr>
            <w:tcW w:w="850" w:type="dxa"/>
          </w:tcPr>
          <w:p w14:paraId="47A764D8"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4.168</w:t>
            </w:r>
          </w:p>
        </w:tc>
      </w:tr>
      <w:tr w:rsidR="00EB6BA0" w:rsidRPr="00026A8C" w14:paraId="26BA1B51" w14:textId="77777777" w:rsidTr="00332F7F">
        <w:tc>
          <w:tcPr>
            <w:tcW w:w="2381" w:type="dxa"/>
          </w:tcPr>
          <w:p w14:paraId="2608CE00"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X2 (Technical/motivator)</w:t>
            </w:r>
          </w:p>
        </w:tc>
        <w:tc>
          <w:tcPr>
            <w:tcW w:w="850" w:type="dxa"/>
          </w:tcPr>
          <w:p w14:paraId="3AD39910"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0.160</w:t>
            </w:r>
          </w:p>
        </w:tc>
        <w:tc>
          <w:tcPr>
            <w:tcW w:w="850" w:type="dxa"/>
          </w:tcPr>
          <w:p w14:paraId="62A3C417"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0.038</w:t>
            </w:r>
          </w:p>
        </w:tc>
        <w:tc>
          <w:tcPr>
            <w:tcW w:w="739" w:type="dxa"/>
          </w:tcPr>
          <w:p w14:paraId="3FA698EC" w14:textId="65607485"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0.42</w:t>
            </w:r>
            <w:r w:rsidR="00741523">
              <w:rPr>
                <w:rFonts w:ascii="Arial" w:hAnsi="Arial" w:cs="Arial"/>
                <w:sz w:val="20"/>
                <w:szCs w:val="20"/>
              </w:rPr>
              <w:t>1</w:t>
            </w:r>
          </w:p>
        </w:tc>
        <w:tc>
          <w:tcPr>
            <w:tcW w:w="737" w:type="dxa"/>
          </w:tcPr>
          <w:p w14:paraId="75456528"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3.322</w:t>
            </w:r>
          </w:p>
        </w:tc>
        <w:tc>
          <w:tcPr>
            <w:tcW w:w="794" w:type="dxa"/>
          </w:tcPr>
          <w:p w14:paraId="02469E0E"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0.001</w:t>
            </w:r>
          </w:p>
        </w:tc>
        <w:tc>
          <w:tcPr>
            <w:tcW w:w="1135" w:type="dxa"/>
          </w:tcPr>
          <w:p w14:paraId="6A2A2F90"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0.096</w:t>
            </w:r>
          </w:p>
        </w:tc>
        <w:tc>
          <w:tcPr>
            <w:tcW w:w="850" w:type="dxa"/>
          </w:tcPr>
          <w:p w14:paraId="6F6F9528"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10.425</w:t>
            </w:r>
          </w:p>
        </w:tc>
      </w:tr>
      <w:tr w:rsidR="00EB6BA0" w:rsidRPr="00026A8C" w14:paraId="5C43536C" w14:textId="77777777" w:rsidTr="00332F7F">
        <w:tc>
          <w:tcPr>
            <w:tcW w:w="2381" w:type="dxa"/>
          </w:tcPr>
          <w:p w14:paraId="4CB6A899"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X3 (Organizer/linkage)</w:t>
            </w:r>
          </w:p>
        </w:tc>
        <w:tc>
          <w:tcPr>
            <w:tcW w:w="850" w:type="dxa"/>
          </w:tcPr>
          <w:p w14:paraId="166EDBF0"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0.161</w:t>
            </w:r>
          </w:p>
        </w:tc>
        <w:tc>
          <w:tcPr>
            <w:tcW w:w="850" w:type="dxa"/>
          </w:tcPr>
          <w:p w14:paraId="35F83E4F"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0.047</w:t>
            </w:r>
          </w:p>
        </w:tc>
        <w:tc>
          <w:tcPr>
            <w:tcW w:w="739" w:type="dxa"/>
          </w:tcPr>
          <w:p w14:paraId="0F7B386A"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0.437</w:t>
            </w:r>
          </w:p>
        </w:tc>
        <w:tc>
          <w:tcPr>
            <w:tcW w:w="737" w:type="dxa"/>
          </w:tcPr>
          <w:p w14:paraId="052FFA93"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3.437</w:t>
            </w:r>
          </w:p>
        </w:tc>
        <w:tc>
          <w:tcPr>
            <w:tcW w:w="794" w:type="dxa"/>
          </w:tcPr>
          <w:p w14:paraId="1CAC987F"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0.001</w:t>
            </w:r>
          </w:p>
        </w:tc>
        <w:tc>
          <w:tcPr>
            <w:tcW w:w="1135" w:type="dxa"/>
          </w:tcPr>
          <w:p w14:paraId="2462F15E"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0.155</w:t>
            </w:r>
          </w:p>
        </w:tc>
        <w:tc>
          <w:tcPr>
            <w:tcW w:w="850" w:type="dxa"/>
          </w:tcPr>
          <w:p w14:paraId="02D26397" w14:textId="77777777" w:rsidR="00EB6BA0" w:rsidRPr="00026A8C" w:rsidRDefault="00EB6BA0" w:rsidP="00026A8C">
            <w:pPr>
              <w:spacing w:after="0" w:line="240" w:lineRule="auto"/>
              <w:jc w:val="both"/>
              <w:rPr>
                <w:rFonts w:ascii="Arial" w:hAnsi="Arial" w:cs="Arial"/>
                <w:sz w:val="20"/>
                <w:szCs w:val="20"/>
              </w:rPr>
            </w:pPr>
            <w:r w:rsidRPr="00026A8C">
              <w:rPr>
                <w:rFonts w:ascii="Arial" w:hAnsi="Arial" w:cs="Arial"/>
                <w:sz w:val="20"/>
                <w:szCs w:val="20"/>
              </w:rPr>
              <w:t>6.472</w:t>
            </w:r>
          </w:p>
        </w:tc>
      </w:tr>
    </w:tbl>
    <w:p w14:paraId="3F06CBA0" w14:textId="1C7533C6" w:rsidR="008436E2" w:rsidRDefault="008436E2" w:rsidP="008436E2">
      <w:pPr>
        <w:pStyle w:val="Heading2"/>
        <w:spacing w:before="0" w:after="120" w:line="240" w:lineRule="auto"/>
        <w:jc w:val="both"/>
        <w:rPr>
          <w:rFonts w:ascii="Arial" w:hAnsi="Arial" w:cs="Arial"/>
        </w:rPr>
      </w:pPr>
      <w:r w:rsidRPr="008436E2">
        <w:rPr>
          <w:rFonts w:ascii="Arial" w:hAnsi="Arial" w:cs="Arial"/>
          <w:b w:val="0"/>
          <w:color w:val="auto"/>
          <w:sz w:val="20"/>
          <w:szCs w:val="20"/>
        </w:rPr>
        <w:t>Source: Authors' Calculation</w:t>
      </w:r>
      <w:r w:rsidRPr="008436E2">
        <w:rPr>
          <w:rStyle w:val="Emphasis"/>
          <w:rFonts w:ascii="Arial" w:hAnsi="Arial" w:cs="Arial"/>
          <w:b w:val="0"/>
          <w:color w:val="auto"/>
          <w:sz w:val="20"/>
          <w:szCs w:val="20"/>
        </w:rPr>
        <w:t>, 2025</w:t>
      </w:r>
    </w:p>
    <w:p w14:paraId="1DE43F97" w14:textId="7F0919F4" w:rsidR="00EB6BA0" w:rsidRPr="001047A2" w:rsidRDefault="00EB6BA0" w:rsidP="00EB6BA0">
      <w:pPr>
        <w:pStyle w:val="Heading2"/>
        <w:numPr>
          <w:ilvl w:val="0"/>
          <w:numId w:val="4"/>
        </w:numPr>
        <w:tabs>
          <w:tab w:val="num" w:pos="360"/>
        </w:tabs>
        <w:spacing w:before="120" w:after="120"/>
        <w:ind w:left="635" w:hanging="635"/>
        <w:jc w:val="both"/>
        <w:rPr>
          <w:rFonts w:ascii="Arial" w:eastAsia="Times New Roman" w:hAnsi="Arial" w:cs="Arial"/>
          <w:color w:val="auto"/>
          <w:sz w:val="20"/>
          <w:szCs w:val="20"/>
        </w:rPr>
      </w:pPr>
      <w:r w:rsidRPr="001047A2">
        <w:rPr>
          <w:rFonts w:ascii="Arial" w:eastAsia="Times New Roman" w:hAnsi="Arial" w:cs="Arial"/>
          <w:color w:val="auto"/>
          <w:sz w:val="20"/>
          <w:szCs w:val="20"/>
        </w:rPr>
        <w:t>Multicollinearity diagnostics</w:t>
      </w:r>
    </w:p>
    <w:p w14:paraId="586836CE" w14:textId="534B8740" w:rsidR="00EB6BA0" w:rsidRPr="001047A2" w:rsidRDefault="007B79C6" w:rsidP="00EB6BA0">
      <w:pPr>
        <w:pStyle w:val="NormalWeb"/>
        <w:spacing w:before="0" w:beforeAutospacing="0" w:after="0" w:afterAutospacing="0"/>
        <w:ind w:firstLine="720"/>
        <w:jc w:val="both"/>
        <w:rPr>
          <w:rFonts w:ascii="Arial" w:hAnsi="Arial" w:cs="Arial"/>
          <w:sz w:val="20"/>
          <w:szCs w:val="20"/>
        </w:rPr>
      </w:pPr>
      <w:r>
        <w:rPr>
          <w:rFonts w:ascii="Arial" w:hAnsi="Arial" w:cs="Arial"/>
          <w:sz w:val="20"/>
          <w:szCs w:val="20"/>
        </w:rPr>
        <w:t>Collinearity statistics revealed significant shared variation among predictors, with VIF values of 10.425 for X2 and 6.472 for X3. Recent methodological research advises against using singular VIF thresholds as absolute pass/fail criteria and underscores the necessity of contextual interpretation, since collinearity may inflate standard errors and compromise coefficient interpretation when predictors conceptually overlap</w:t>
      </w:r>
      <w:r>
        <w:rPr>
          <w:rFonts w:ascii="Arial" w:hAnsi="Arial" w:cs="Arial"/>
          <w:sz w:val="20"/>
          <w:szCs w:val="20"/>
          <w:lang w:val="en-US"/>
        </w:rPr>
        <w:t xml:space="preserve"> </w:t>
      </w:r>
      <w:r w:rsidR="00A572C0">
        <w:rPr>
          <w:rFonts w:ascii="Arial" w:hAnsi="Arial" w:cs="Arial"/>
          <w:sz w:val="20"/>
          <w:szCs w:val="20"/>
        </w:rPr>
        <w:fldChar w:fldCharType="begin" w:fldLock="1"/>
      </w:r>
      <w:r w:rsidR="00A572C0">
        <w:rPr>
          <w:rFonts w:ascii="Arial" w:hAnsi="Arial" w:cs="Arial"/>
          <w:sz w:val="20"/>
          <w:szCs w:val="20"/>
        </w:rPr>
        <w:instrText>ADDIN CSL_CITATION {"citationItems":[{"id":"ITEM-1","itemData":{"DOI":"10.1177/10944281231216381","ISSN":"1094-4281","abstract":"Variance inflation factors (VIF scores) are regression diagnostics commonly invoked throughout the social sciences. Researchers typically take the perspective that VIF scores below a numerical rule-of-thumb threshold act as a “silver bullet” to dismiss any and all multicollinearity concerns. Yet, no valid logical basis exists for using VIF thresholds to reject the possibility of multicollinearity-induced type 1 errors. Reporting VIF scores below a threshold does not in any way add to the credibility of statistically significant results among correlated variables. In contrast to this “threshold perspective,” our analysis expands the scope of a perspective that has considered multicollinearity and misspecification. We demonstrate analytically that a regression omitting a relevant variable correlated with included variables that exhibit multicollinearity is susceptible to endogeneity-induced bias inflation and beta polarization, leading to the possible co-existence of type 1 errors and low VIF scores. Further, omitting variables explicitly reduces VIF scores. We conclude that the threshold perspective not only lacks any logical basis but also is fundamentally misleading as a rule-of-thumb. Instrumental variables represent one clear remedy for endogeneity-induced bias inflation. If exogenous instruments are unavailable, we encourage researchers to test only straightforward, unambiguous theory when using variables that exhibit multicollinearity, and to ensure that correlated co-variates exhibit the expected signs.","author":[{"dropping-particle":"","family":"Kalnins","given":"Arturs","non-dropping-particle":"","parse-names":false,"suffix":""},{"dropping-particle":"","family":"Praitis Hill","given":"Kendall","non-dropping-particle":"","parse-names":false,"suffix":""}],"container-title":"Organizational Research Methods","id":"ITEM-1","issue":"1","issued":{"date-parts":[["2025","1","13"]]},"page":"58-75","title":"The VIF Score. What is it Good For? Absolutely Nothing","type":"article-journal","volume":"28"},"uris":["http://www.mendeley.com/documents/?uuid=7e3c9257-b264-42bd-8fb4-5bb9010df8ac"]}],"mendeley":{"formattedCitation":"(Kalnins and Praitis Hill 2025)","plainTextFormattedCitation":"(Kalnins and Praitis Hill 2025)","previouslyFormattedCitation":"(Kalnins and Praitis Hill 2025)"},"properties":{"noteIndex":0},"schema":"https://github.com/citation-style-language/schema/raw/master/csl-citation.json"}</w:instrText>
      </w:r>
      <w:r w:rsidR="00A572C0">
        <w:rPr>
          <w:rFonts w:ascii="Arial" w:hAnsi="Arial" w:cs="Arial"/>
          <w:sz w:val="20"/>
          <w:szCs w:val="20"/>
        </w:rPr>
        <w:fldChar w:fldCharType="separate"/>
      </w:r>
      <w:r w:rsidR="00A572C0" w:rsidRPr="00A572C0">
        <w:rPr>
          <w:rFonts w:ascii="Arial" w:hAnsi="Arial" w:cs="Arial"/>
          <w:noProof/>
          <w:sz w:val="20"/>
          <w:szCs w:val="20"/>
        </w:rPr>
        <w:t>(Kalnins and Praitis Hill 2025)</w:t>
      </w:r>
      <w:r w:rsidR="00A572C0">
        <w:rPr>
          <w:rFonts w:ascii="Arial" w:hAnsi="Arial" w:cs="Arial"/>
          <w:sz w:val="20"/>
          <w:szCs w:val="20"/>
        </w:rPr>
        <w:fldChar w:fldCharType="end"/>
      </w:r>
      <w:r w:rsidR="00EB6BA0" w:rsidRPr="001047A2">
        <w:rPr>
          <w:rFonts w:ascii="Arial" w:hAnsi="Arial" w:cs="Arial"/>
          <w:sz w:val="20"/>
          <w:szCs w:val="20"/>
        </w:rPr>
        <w:t>.</w:t>
      </w:r>
    </w:p>
    <w:p w14:paraId="1A66CA83" w14:textId="77777777" w:rsidR="00EB6BA0" w:rsidRPr="00124732" w:rsidRDefault="00EB6BA0" w:rsidP="00124732">
      <w:pPr>
        <w:spacing w:after="0" w:line="240" w:lineRule="auto"/>
        <w:ind w:left="1004" w:right="270" w:firstLine="436"/>
        <w:rPr>
          <w:rFonts w:ascii="Arial" w:hAnsi="Arial" w:cs="Arial"/>
          <w:sz w:val="20"/>
          <w:szCs w:val="20"/>
        </w:rPr>
      </w:pPr>
      <w:r w:rsidRPr="00124732">
        <w:rPr>
          <w:rFonts w:ascii="Arial" w:hAnsi="Arial" w:cs="Arial"/>
          <w:sz w:val="20"/>
          <w:szCs w:val="20"/>
        </w:rPr>
        <w:t>Table 6. Collinearity diagnostics (n = 68)</w:t>
      </w:r>
    </w:p>
    <w:tbl>
      <w:tblPr>
        <w:tblStyle w:val="TableGrid"/>
        <w:tblW w:w="0" w:type="auto"/>
        <w:tblInd w:w="12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1163"/>
        <w:gridCol w:w="1276"/>
        <w:gridCol w:w="2213"/>
      </w:tblGrid>
      <w:tr w:rsidR="00EB6BA0" w:rsidRPr="00124732" w14:paraId="68CD0DC8" w14:textId="77777777" w:rsidTr="00332F7F">
        <w:tc>
          <w:tcPr>
            <w:tcW w:w="1247" w:type="dxa"/>
            <w:tcBorders>
              <w:top w:val="single" w:sz="4" w:space="0" w:color="000000"/>
              <w:bottom w:val="single" w:sz="4" w:space="0" w:color="000000"/>
            </w:tcBorders>
          </w:tcPr>
          <w:p w14:paraId="7473C659"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Dimension</w:t>
            </w:r>
          </w:p>
        </w:tc>
        <w:tc>
          <w:tcPr>
            <w:tcW w:w="1163" w:type="dxa"/>
            <w:tcBorders>
              <w:top w:val="single" w:sz="4" w:space="0" w:color="000000"/>
              <w:bottom w:val="single" w:sz="4" w:space="0" w:color="000000"/>
            </w:tcBorders>
          </w:tcPr>
          <w:p w14:paraId="188D3E78" w14:textId="77777777" w:rsidR="00EB6BA0" w:rsidRPr="00124732" w:rsidRDefault="00EB6BA0" w:rsidP="00124732">
            <w:pPr>
              <w:spacing w:after="0" w:line="240" w:lineRule="auto"/>
              <w:ind w:right="-104"/>
              <w:jc w:val="both"/>
              <w:rPr>
                <w:rFonts w:ascii="Arial" w:hAnsi="Arial" w:cs="Arial"/>
                <w:sz w:val="20"/>
                <w:szCs w:val="20"/>
              </w:rPr>
            </w:pPr>
            <w:r w:rsidRPr="00124732">
              <w:rPr>
                <w:rFonts w:ascii="Arial" w:hAnsi="Arial" w:cs="Arial"/>
                <w:sz w:val="20"/>
                <w:szCs w:val="20"/>
              </w:rPr>
              <w:t>Eigenvalue</w:t>
            </w:r>
          </w:p>
        </w:tc>
        <w:tc>
          <w:tcPr>
            <w:tcW w:w="1276" w:type="dxa"/>
            <w:tcBorders>
              <w:top w:val="single" w:sz="4" w:space="0" w:color="000000"/>
              <w:bottom w:val="single" w:sz="4" w:space="0" w:color="000000"/>
            </w:tcBorders>
          </w:tcPr>
          <w:p w14:paraId="7DA23810"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Condition index</w:t>
            </w:r>
          </w:p>
        </w:tc>
        <w:tc>
          <w:tcPr>
            <w:tcW w:w="2213" w:type="dxa"/>
            <w:tcBorders>
              <w:top w:val="single" w:sz="4" w:space="0" w:color="000000"/>
              <w:bottom w:val="single" w:sz="4" w:space="0" w:color="000000"/>
            </w:tcBorders>
          </w:tcPr>
          <w:p w14:paraId="534DC009"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Variance proportions (Constant, X1, X2, X3)</w:t>
            </w:r>
          </w:p>
        </w:tc>
      </w:tr>
      <w:tr w:rsidR="00EB6BA0" w:rsidRPr="00124732" w14:paraId="6CDEA09E" w14:textId="77777777" w:rsidTr="00332F7F">
        <w:tc>
          <w:tcPr>
            <w:tcW w:w="1247" w:type="dxa"/>
            <w:tcBorders>
              <w:top w:val="single" w:sz="4" w:space="0" w:color="000000"/>
            </w:tcBorders>
          </w:tcPr>
          <w:p w14:paraId="1D969CCE"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1</w:t>
            </w:r>
          </w:p>
        </w:tc>
        <w:tc>
          <w:tcPr>
            <w:tcW w:w="1163" w:type="dxa"/>
            <w:tcBorders>
              <w:top w:val="single" w:sz="4" w:space="0" w:color="000000"/>
            </w:tcBorders>
          </w:tcPr>
          <w:p w14:paraId="360A5AEF"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3.854</w:t>
            </w:r>
          </w:p>
        </w:tc>
        <w:tc>
          <w:tcPr>
            <w:tcW w:w="1276" w:type="dxa"/>
            <w:tcBorders>
              <w:top w:val="single" w:sz="4" w:space="0" w:color="000000"/>
            </w:tcBorders>
          </w:tcPr>
          <w:p w14:paraId="464F6355"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1.000</w:t>
            </w:r>
          </w:p>
        </w:tc>
        <w:tc>
          <w:tcPr>
            <w:tcW w:w="2213" w:type="dxa"/>
            <w:tcBorders>
              <w:top w:val="single" w:sz="4" w:space="0" w:color="000000"/>
            </w:tcBorders>
          </w:tcPr>
          <w:p w14:paraId="6EA28BEB"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0.00, 0.00, 0.00, 0.00</w:t>
            </w:r>
          </w:p>
        </w:tc>
      </w:tr>
      <w:tr w:rsidR="00EB6BA0" w:rsidRPr="00124732" w14:paraId="540C5A72" w14:textId="77777777" w:rsidTr="00332F7F">
        <w:tc>
          <w:tcPr>
            <w:tcW w:w="1247" w:type="dxa"/>
          </w:tcPr>
          <w:p w14:paraId="33C4BD1E"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2</w:t>
            </w:r>
          </w:p>
        </w:tc>
        <w:tc>
          <w:tcPr>
            <w:tcW w:w="1163" w:type="dxa"/>
          </w:tcPr>
          <w:p w14:paraId="1D97FB25"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0.135</w:t>
            </w:r>
          </w:p>
        </w:tc>
        <w:tc>
          <w:tcPr>
            <w:tcW w:w="1276" w:type="dxa"/>
          </w:tcPr>
          <w:p w14:paraId="6A8A8CB6"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5.348</w:t>
            </w:r>
          </w:p>
        </w:tc>
        <w:tc>
          <w:tcPr>
            <w:tcW w:w="2213" w:type="dxa"/>
          </w:tcPr>
          <w:p w14:paraId="60450CE3"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0.04, 0.00, 0.00, 0.17</w:t>
            </w:r>
          </w:p>
        </w:tc>
      </w:tr>
      <w:tr w:rsidR="00EB6BA0" w:rsidRPr="00124732" w14:paraId="466E29DC" w14:textId="77777777" w:rsidTr="00332F7F">
        <w:tc>
          <w:tcPr>
            <w:tcW w:w="1247" w:type="dxa"/>
          </w:tcPr>
          <w:p w14:paraId="78F6BC86"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3</w:t>
            </w:r>
          </w:p>
        </w:tc>
        <w:tc>
          <w:tcPr>
            <w:tcW w:w="1163" w:type="dxa"/>
          </w:tcPr>
          <w:p w14:paraId="2CAB5D36"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0.008</w:t>
            </w:r>
          </w:p>
        </w:tc>
        <w:tc>
          <w:tcPr>
            <w:tcW w:w="1276" w:type="dxa"/>
          </w:tcPr>
          <w:p w14:paraId="4523B643"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22.239</w:t>
            </w:r>
          </w:p>
        </w:tc>
        <w:tc>
          <w:tcPr>
            <w:tcW w:w="2213" w:type="dxa"/>
          </w:tcPr>
          <w:p w14:paraId="0613F36C"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0.92, 0.39, 0.05, 0.40</w:t>
            </w:r>
          </w:p>
        </w:tc>
      </w:tr>
      <w:tr w:rsidR="00EB6BA0" w:rsidRPr="00124732" w14:paraId="187ACBC7" w14:textId="77777777" w:rsidTr="00332F7F">
        <w:tc>
          <w:tcPr>
            <w:tcW w:w="1247" w:type="dxa"/>
          </w:tcPr>
          <w:p w14:paraId="0B48BC89"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4</w:t>
            </w:r>
          </w:p>
        </w:tc>
        <w:tc>
          <w:tcPr>
            <w:tcW w:w="1163" w:type="dxa"/>
          </w:tcPr>
          <w:p w14:paraId="00757E8F"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0.003</w:t>
            </w:r>
          </w:p>
        </w:tc>
        <w:tc>
          <w:tcPr>
            <w:tcW w:w="1276" w:type="dxa"/>
          </w:tcPr>
          <w:p w14:paraId="3684DC90"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33.237</w:t>
            </w:r>
          </w:p>
        </w:tc>
        <w:tc>
          <w:tcPr>
            <w:tcW w:w="2213" w:type="dxa"/>
          </w:tcPr>
          <w:p w14:paraId="220E4506" w14:textId="77777777" w:rsidR="00EB6BA0" w:rsidRPr="00124732" w:rsidRDefault="00EB6BA0" w:rsidP="00124732">
            <w:pPr>
              <w:spacing w:after="0" w:line="240" w:lineRule="auto"/>
              <w:jc w:val="both"/>
              <w:rPr>
                <w:rFonts w:ascii="Arial" w:hAnsi="Arial" w:cs="Arial"/>
                <w:sz w:val="20"/>
                <w:szCs w:val="20"/>
              </w:rPr>
            </w:pPr>
            <w:r w:rsidRPr="00124732">
              <w:rPr>
                <w:rFonts w:ascii="Arial" w:hAnsi="Arial" w:cs="Arial"/>
                <w:sz w:val="20"/>
                <w:szCs w:val="20"/>
              </w:rPr>
              <w:t>0.04, 0.61, 0.95, 0.43</w:t>
            </w:r>
          </w:p>
        </w:tc>
      </w:tr>
    </w:tbl>
    <w:p w14:paraId="48818E5C" w14:textId="77777777" w:rsidR="008436E2" w:rsidRPr="008436E2" w:rsidRDefault="008436E2" w:rsidP="008436E2">
      <w:pPr>
        <w:pStyle w:val="Heading2"/>
        <w:spacing w:before="0" w:after="120" w:line="240" w:lineRule="auto"/>
        <w:ind w:left="1355" w:firstLine="85"/>
        <w:jc w:val="both"/>
        <w:rPr>
          <w:rFonts w:ascii="Arial" w:eastAsia="Times New Roman" w:hAnsi="Arial" w:cs="Arial"/>
          <w:b w:val="0"/>
          <w:color w:val="auto"/>
          <w:sz w:val="20"/>
          <w:szCs w:val="20"/>
        </w:rPr>
      </w:pPr>
      <w:r w:rsidRPr="008436E2">
        <w:rPr>
          <w:rFonts w:ascii="Arial" w:hAnsi="Arial" w:cs="Arial"/>
          <w:b w:val="0"/>
          <w:color w:val="auto"/>
          <w:sz w:val="20"/>
          <w:szCs w:val="20"/>
        </w:rPr>
        <w:t>Source: Authors' Calculation</w:t>
      </w:r>
      <w:r w:rsidRPr="008436E2">
        <w:rPr>
          <w:rStyle w:val="Emphasis"/>
          <w:rFonts w:ascii="Arial" w:hAnsi="Arial" w:cs="Arial"/>
          <w:b w:val="0"/>
          <w:color w:val="auto"/>
          <w:sz w:val="20"/>
          <w:szCs w:val="20"/>
        </w:rPr>
        <w:t>, 2025</w:t>
      </w:r>
    </w:p>
    <w:p w14:paraId="39E8478B" w14:textId="7834147B" w:rsidR="00EB6BA0" w:rsidRPr="001047A2" w:rsidRDefault="00EB6BA0" w:rsidP="00EB6BA0">
      <w:pPr>
        <w:pStyle w:val="Heading2"/>
        <w:numPr>
          <w:ilvl w:val="0"/>
          <w:numId w:val="4"/>
        </w:numPr>
        <w:tabs>
          <w:tab w:val="num" w:pos="360"/>
        </w:tabs>
        <w:spacing w:before="120" w:after="120"/>
        <w:ind w:left="635" w:hanging="635"/>
        <w:jc w:val="both"/>
        <w:rPr>
          <w:rFonts w:ascii="Arial" w:eastAsia="Times New Roman" w:hAnsi="Arial" w:cs="Arial"/>
          <w:color w:val="auto"/>
          <w:sz w:val="20"/>
          <w:szCs w:val="20"/>
        </w:rPr>
      </w:pPr>
      <w:r w:rsidRPr="001047A2">
        <w:rPr>
          <w:rFonts w:ascii="Arial" w:eastAsia="Times New Roman" w:hAnsi="Arial" w:cs="Arial"/>
          <w:color w:val="auto"/>
          <w:sz w:val="20"/>
          <w:szCs w:val="20"/>
        </w:rPr>
        <w:t>Residual diagnostics (normality and residual range)</w:t>
      </w:r>
    </w:p>
    <w:p w14:paraId="48D38503" w14:textId="24107980" w:rsidR="005C16D7" w:rsidRDefault="007B79C6" w:rsidP="00EB6BA0">
      <w:pPr>
        <w:pStyle w:val="NormalWeb"/>
        <w:spacing w:before="0" w:beforeAutospacing="0" w:after="0" w:afterAutospacing="0"/>
        <w:ind w:firstLine="720"/>
        <w:jc w:val="both"/>
        <w:rPr>
          <w:rFonts w:ascii="Arial" w:hAnsi="Arial" w:cs="Arial"/>
          <w:sz w:val="20"/>
          <w:szCs w:val="20"/>
          <w:lang w:val="en-US"/>
        </w:rPr>
      </w:pPr>
      <w:r>
        <w:rPr>
          <w:rFonts w:ascii="Arial" w:hAnsi="Arial" w:cs="Arial"/>
          <w:sz w:val="20"/>
          <w:szCs w:val="20"/>
        </w:rPr>
        <w:t xml:space="preserve">Residual diagnostics were evaluated by a histogram and a Normal P–P plot of standardized residuals (Figures 1–2). Visual examination of residual plots is a suggested and insightful method for assessing linear regression assumptions, particularly for identifying non-normality, outliers, and other distributional anomalies that may lack practical significance despite the sensitivity of formal tests </w:t>
      </w:r>
      <w:r w:rsidR="00A572C0">
        <w:rPr>
          <w:rFonts w:ascii="Arial" w:hAnsi="Arial" w:cs="Arial"/>
          <w:sz w:val="20"/>
          <w:szCs w:val="20"/>
        </w:rPr>
        <w:fldChar w:fldCharType="begin" w:fldLock="1"/>
      </w:r>
      <w:r w:rsidR="00A572C0">
        <w:rPr>
          <w:rFonts w:ascii="Arial" w:hAnsi="Arial" w:cs="Arial"/>
          <w:sz w:val="20"/>
          <w:szCs w:val="20"/>
        </w:rPr>
        <w:instrText>ADDIN CSL_CITATION {"citationItems":[{"id":"ITEM-1","itemData":{"DOI":"10.1016/j.neuroimage.2024.120620","ISSN":"10538119","PMID":"38641257","abstract":"Social pain, a multifaceted emotional response triggered by interpersonal rejection or criticism, profoundly impacts mental well-being and social interactions. While prior research has implicated the right ventrolateral prefrontal cortex (rVLPFC) in mitigating social pain, the precise neural mechanisms and downstream effects on subsequent social attitudes remain elusive. This study employed transcranial magnetic stimulation (TMS) integrated with fMRI recordings during a social pain task to elucidate these aspects. Eighty participants underwent either active TMS targeting the rVLPFC (n = 41) or control stimulation at the vertex (n = 39). Our results revealed that TMS-induced rVLPFC facilitation significantly reduced self-reported social pain, confirming the causal role of the rVLPFC in social pain relief. Functional connectivity analyses demonstrated enhanced interactions between the rVLPFC and the dorsolateral prefrontal cortex, emphasizing the collaborative engagement of prefrontal regions in emotion regulation. Significantly, we observed that negative social feedback led to negative social attitudes, whereas rVLPFC activation countered this detrimental effect, showcasing the potential of the rVLPFC as a protective buffer against adverse social interactions. Moreover, our study uncovered the impact role of the hippocampus in subsequent social attitudes, a relationship particularly pronounced during excitatory TMS over the rVLPFC. These findings offer promising avenues for improving mental health within the intricate dynamics of social interactions. By advancing our comprehension of the neural mechanisms underlying social pain relief, this research introduces novel intervention strategies for individuals grappling with social distress. Empowering individuals to modulate rVLPFC activation may facilitate reshaping social attitudes and successful reintegration into communal life.","author":[{"dropping-particle":"","family":"Li","given":"Sijin","non-dropping-particle":"","parse-names":false,"suffix":""},{"dropping-particle":"","family":"Cao","given":"Xueying","non-dropping-particle":"","parse-names":false,"suffix":""},{"dropping-particle":"","family":"Li","given":"Yiwei","non-dropping-particle":"","parse-names":false,"suffix":""},{"dropping-particle":"","family":"Tang","given":"Yuyao","non-dropping-particle":"","parse-names":false,"suffix":""},{"dropping-particle":"","family":"Cheng","given":"Si","non-dropping-particle":"","parse-names":false,"suffix":""},{"dropping-particle":"","family":"Zhang","given":"Dandan","non-dropping-particle":"","parse-names":false,"suffix":""}],"container-title":"NeuroImage","id":"ITEM-1","issue":"December 2023","issued":{"date-parts":[["2024","4"]]},"page":"120620","publisher":"Elsevier Inc.","title":"Enhancing ventrolateral prefrontal cortex activation mitigates social pain and modifies subsequent social attitudes: Insights from TMS and fMRI","type":"article-journal","volume":"292"},"uris":["http://www.mendeley.com/documents/?uuid=b7baf70b-5650-4118-9390-e79247d30a1c"]}],"mendeley":{"formattedCitation":"(Li et al. 2024)","plainTextFormattedCitation":"(Li et al. 2024)","previouslyFormattedCitation":"(Li et al. 2024)"},"properties":{"noteIndex":0},"schema":"https://github.com/citation-style-language/schema/raw/master/csl-citation.json"}</w:instrText>
      </w:r>
      <w:r w:rsidR="00A572C0">
        <w:rPr>
          <w:rFonts w:ascii="Arial" w:hAnsi="Arial" w:cs="Arial"/>
          <w:sz w:val="20"/>
          <w:szCs w:val="20"/>
        </w:rPr>
        <w:fldChar w:fldCharType="separate"/>
      </w:r>
      <w:r w:rsidR="00A572C0" w:rsidRPr="00A572C0">
        <w:rPr>
          <w:rFonts w:ascii="Arial" w:hAnsi="Arial" w:cs="Arial"/>
          <w:noProof/>
          <w:sz w:val="20"/>
          <w:szCs w:val="20"/>
        </w:rPr>
        <w:t>(Li et al. 2024)</w:t>
      </w:r>
      <w:r w:rsidR="00A572C0">
        <w:rPr>
          <w:rFonts w:ascii="Arial" w:hAnsi="Arial" w:cs="Arial"/>
          <w:sz w:val="20"/>
          <w:szCs w:val="20"/>
        </w:rPr>
        <w:fldChar w:fldCharType="end"/>
      </w:r>
      <w:r w:rsidR="00A572C0">
        <w:rPr>
          <w:rFonts w:ascii="Arial" w:hAnsi="Arial" w:cs="Arial"/>
          <w:sz w:val="20"/>
          <w:szCs w:val="20"/>
          <w:lang w:val="en-US"/>
        </w:rPr>
        <w:t>.</w:t>
      </w:r>
    </w:p>
    <w:p w14:paraId="2711DD59" w14:textId="6FECA79B" w:rsidR="00AA3303" w:rsidRDefault="00AA3303" w:rsidP="00EB6BA0">
      <w:pPr>
        <w:pStyle w:val="NormalWeb"/>
        <w:spacing w:before="0" w:beforeAutospacing="0" w:after="0" w:afterAutospacing="0"/>
        <w:ind w:firstLine="720"/>
        <w:jc w:val="both"/>
        <w:rPr>
          <w:rFonts w:ascii="Arial" w:hAnsi="Arial" w:cs="Arial"/>
          <w:sz w:val="20"/>
          <w:szCs w:val="20"/>
          <w:lang w:val="en-US"/>
        </w:rPr>
      </w:pPr>
    </w:p>
    <w:p w14:paraId="64E6D7DF" w14:textId="5B9B7BDC" w:rsidR="00AA3303" w:rsidRDefault="00AA3303" w:rsidP="00EB6BA0">
      <w:pPr>
        <w:pStyle w:val="NormalWeb"/>
        <w:spacing w:before="0" w:beforeAutospacing="0" w:after="0" w:afterAutospacing="0"/>
        <w:ind w:firstLine="720"/>
        <w:jc w:val="both"/>
        <w:rPr>
          <w:rFonts w:ascii="Arial" w:hAnsi="Arial" w:cs="Arial"/>
          <w:sz w:val="20"/>
          <w:szCs w:val="20"/>
          <w:lang w:val="en-US"/>
        </w:rPr>
      </w:pPr>
    </w:p>
    <w:p w14:paraId="76EBA061" w14:textId="77777777" w:rsidR="00AA3303" w:rsidRPr="00A572C0" w:rsidRDefault="00AA3303" w:rsidP="00EB6BA0">
      <w:pPr>
        <w:pStyle w:val="NormalWeb"/>
        <w:spacing w:before="0" w:beforeAutospacing="0" w:after="0" w:afterAutospacing="0"/>
        <w:ind w:firstLine="720"/>
        <w:jc w:val="both"/>
        <w:rPr>
          <w:rFonts w:ascii="Arial" w:hAnsi="Arial" w:cs="Arial"/>
          <w:sz w:val="20"/>
          <w:szCs w:val="20"/>
          <w:lang w:val="en-US"/>
        </w:rPr>
      </w:pPr>
    </w:p>
    <w:p w14:paraId="79669294" w14:textId="6F123E42" w:rsidR="005C16D7" w:rsidRDefault="005C16D7" w:rsidP="00EB6BA0">
      <w:pPr>
        <w:pStyle w:val="NormalWeb"/>
        <w:spacing w:before="0" w:beforeAutospacing="0" w:after="0" w:afterAutospacing="0"/>
        <w:ind w:firstLine="720"/>
        <w:jc w:val="both"/>
        <w:rPr>
          <w:rFonts w:ascii="Arial" w:hAnsi="Arial" w:cs="Arial"/>
          <w:sz w:val="20"/>
          <w:szCs w:val="20"/>
        </w:rPr>
      </w:pPr>
    </w:p>
    <w:p w14:paraId="60204A81" w14:textId="77777777" w:rsidR="00EB6BA0" w:rsidRPr="00BE6C6A" w:rsidRDefault="00EB6BA0" w:rsidP="00BE6C6A">
      <w:pPr>
        <w:spacing w:after="0" w:line="240" w:lineRule="auto"/>
        <w:ind w:left="1724" w:right="270" w:firstLine="436"/>
        <w:rPr>
          <w:rFonts w:ascii="Arial" w:hAnsi="Arial" w:cs="Arial"/>
          <w:sz w:val="20"/>
          <w:szCs w:val="20"/>
        </w:rPr>
      </w:pPr>
      <w:r w:rsidRPr="00BE6C6A">
        <w:rPr>
          <w:rFonts w:ascii="Arial" w:hAnsi="Arial" w:cs="Arial"/>
          <w:sz w:val="20"/>
          <w:szCs w:val="20"/>
        </w:rPr>
        <w:t>Table 7. Residuals statistics (n = 68)</w:t>
      </w:r>
    </w:p>
    <w:tbl>
      <w:tblPr>
        <w:tblStyle w:val="TableGrid"/>
        <w:tblW w:w="6947" w:type="dxa"/>
        <w:tblInd w:w="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134"/>
        <w:gridCol w:w="1134"/>
        <w:gridCol w:w="993"/>
        <w:gridCol w:w="992"/>
        <w:gridCol w:w="709"/>
      </w:tblGrid>
      <w:tr w:rsidR="00EB6BA0" w:rsidRPr="00BE6C6A" w14:paraId="71586E74" w14:textId="77777777" w:rsidTr="00332F7F">
        <w:tc>
          <w:tcPr>
            <w:tcW w:w="1985" w:type="dxa"/>
            <w:tcBorders>
              <w:top w:val="single" w:sz="4" w:space="0" w:color="000000"/>
              <w:bottom w:val="single" w:sz="4" w:space="0" w:color="000000"/>
            </w:tcBorders>
          </w:tcPr>
          <w:p w14:paraId="51D712F3"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Statistic</w:t>
            </w:r>
          </w:p>
        </w:tc>
        <w:tc>
          <w:tcPr>
            <w:tcW w:w="1134" w:type="dxa"/>
            <w:tcBorders>
              <w:top w:val="single" w:sz="4" w:space="0" w:color="000000"/>
              <w:bottom w:val="single" w:sz="4" w:space="0" w:color="000000"/>
            </w:tcBorders>
          </w:tcPr>
          <w:p w14:paraId="42FED72F"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Minimum</w:t>
            </w:r>
          </w:p>
        </w:tc>
        <w:tc>
          <w:tcPr>
            <w:tcW w:w="1134" w:type="dxa"/>
            <w:tcBorders>
              <w:top w:val="single" w:sz="4" w:space="0" w:color="000000"/>
              <w:bottom w:val="single" w:sz="4" w:space="0" w:color="000000"/>
            </w:tcBorders>
          </w:tcPr>
          <w:p w14:paraId="4591F6EC"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Maximum</w:t>
            </w:r>
          </w:p>
        </w:tc>
        <w:tc>
          <w:tcPr>
            <w:tcW w:w="993" w:type="dxa"/>
            <w:tcBorders>
              <w:top w:val="single" w:sz="4" w:space="0" w:color="000000"/>
              <w:bottom w:val="single" w:sz="4" w:space="0" w:color="000000"/>
            </w:tcBorders>
          </w:tcPr>
          <w:p w14:paraId="0BBA9534"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Mean</w:t>
            </w:r>
          </w:p>
        </w:tc>
        <w:tc>
          <w:tcPr>
            <w:tcW w:w="992" w:type="dxa"/>
            <w:tcBorders>
              <w:top w:val="single" w:sz="4" w:space="0" w:color="000000"/>
              <w:bottom w:val="single" w:sz="4" w:space="0" w:color="000000"/>
            </w:tcBorders>
          </w:tcPr>
          <w:p w14:paraId="0FFA9AB9"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SD</w:t>
            </w:r>
          </w:p>
        </w:tc>
        <w:tc>
          <w:tcPr>
            <w:tcW w:w="709" w:type="dxa"/>
            <w:tcBorders>
              <w:top w:val="single" w:sz="4" w:space="0" w:color="000000"/>
              <w:bottom w:val="single" w:sz="4" w:space="0" w:color="000000"/>
            </w:tcBorders>
          </w:tcPr>
          <w:p w14:paraId="1C0E72D7"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N</w:t>
            </w:r>
          </w:p>
        </w:tc>
      </w:tr>
      <w:tr w:rsidR="00EB6BA0" w:rsidRPr="00BE6C6A" w14:paraId="7938F5E9" w14:textId="77777777" w:rsidTr="00332F7F">
        <w:tc>
          <w:tcPr>
            <w:tcW w:w="1985" w:type="dxa"/>
            <w:tcBorders>
              <w:top w:val="single" w:sz="4" w:space="0" w:color="000000"/>
            </w:tcBorders>
          </w:tcPr>
          <w:p w14:paraId="68925BDD"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Predicted value</w:t>
            </w:r>
          </w:p>
        </w:tc>
        <w:tc>
          <w:tcPr>
            <w:tcW w:w="1134" w:type="dxa"/>
            <w:tcBorders>
              <w:top w:val="single" w:sz="4" w:space="0" w:color="000000"/>
            </w:tcBorders>
          </w:tcPr>
          <w:p w14:paraId="51DB13B6"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24.7621</w:t>
            </w:r>
          </w:p>
        </w:tc>
        <w:tc>
          <w:tcPr>
            <w:tcW w:w="1134" w:type="dxa"/>
            <w:tcBorders>
              <w:top w:val="single" w:sz="4" w:space="0" w:color="000000"/>
            </w:tcBorders>
          </w:tcPr>
          <w:p w14:paraId="5C901292"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30.8029</w:t>
            </w:r>
          </w:p>
        </w:tc>
        <w:tc>
          <w:tcPr>
            <w:tcW w:w="993" w:type="dxa"/>
            <w:tcBorders>
              <w:top w:val="single" w:sz="4" w:space="0" w:color="000000"/>
            </w:tcBorders>
          </w:tcPr>
          <w:p w14:paraId="1E2542A2"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26.6692</w:t>
            </w:r>
          </w:p>
        </w:tc>
        <w:tc>
          <w:tcPr>
            <w:tcW w:w="992" w:type="dxa"/>
            <w:tcBorders>
              <w:top w:val="single" w:sz="4" w:space="0" w:color="000000"/>
            </w:tcBorders>
          </w:tcPr>
          <w:p w14:paraId="167A014B"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1.79098</w:t>
            </w:r>
          </w:p>
        </w:tc>
        <w:tc>
          <w:tcPr>
            <w:tcW w:w="709" w:type="dxa"/>
            <w:tcBorders>
              <w:top w:val="single" w:sz="4" w:space="0" w:color="000000"/>
            </w:tcBorders>
          </w:tcPr>
          <w:p w14:paraId="619055D0"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68</w:t>
            </w:r>
          </w:p>
        </w:tc>
      </w:tr>
      <w:tr w:rsidR="00EB6BA0" w:rsidRPr="00BE6C6A" w14:paraId="074DB297" w14:textId="77777777" w:rsidTr="00332F7F">
        <w:tc>
          <w:tcPr>
            <w:tcW w:w="1985" w:type="dxa"/>
          </w:tcPr>
          <w:p w14:paraId="193ED452"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Residual</w:t>
            </w:r>
          </w:p>
        </w:tc>
        <w:tc>
          <w:tcPr>
            <w:tcW w:w="1134" w:type="dxa"/>
          </w:tcPr>
          <w:p w14:paraId="1A641E31"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-10.06196</w:t>
            </w:r>
          </w:p>
        </w:tc>
        <w:tc>
          <w:tcPr>
            <w:tcW w:w="1134" w:type="dxa"/>
          </w:tcPr>
          <w:p w14:paraId="0DE6ED75"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4.98477</w:t>
            </w:r>
          </w:p>
        </w:tc>
        <w:tc>
          <w:tcPr>
            <w:tcW w:w="993" w:type="dxa"/>
          </w:tcPr>
          <w:p w14:paraId="6F30690F"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0.00000</w:t>
            </w:r>
          </w:p>
        </w:tc>
        <w:tc>
          <w:tcPr>
            <w:tcW w:w="992" w:type="dxa"/>
          </w:tcPr>
          <w:p w14:paraId="2F3B5033"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2.41957</w:t>
            </w:r>
          </w:p>
        </w:tc>
        <w:tc>
          <w:tcPr>
            <w:tcW w:w="709" w:type="dxa"/>
          </w:tcPr>
          <w:p w14:paraId="11806FCC"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68</w:t>
            </w:r>
          </w:p>
        </w:tc>
      </w:tr>
      <w:tr w:rsidR="00EB6BA0" w:rsidRPr="00BE6C6A" w14:paraId="74A36006" w14:textId="77777777" w:rsidTr="00332F7F">
        <w:tc>
          <w:tcPr>
            <w:tcW w:w="1985" w:type="dxa"/>
          </w:tcPr>
          <w:p w14:paraId="4AC8F74A"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Std. predicted value</w:t>
            </w:r>
          </w:p>
        </w:tc>
        <w:tc>
          <w:tcPr>
            <w:tcW w:w="1134" w:type="dxa"/>
          </w:tcPr>
          <w:p w14:paraId="1AC3A0B6"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-1.065</w:t>
            </w:r>
          </w:p>
        </w:tc>
        <w:tc>
          <w:tcPr>
            <w:tcW w:w="1134" w:type="dxa"/>
          </w:tcPr>
          <w:p w14:paraId="5DF91CE3"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2.308</w:t>
            </w:r>
          </w:p>
        </w:tc>
        <w:tc>
          <w:tcPr>
            <w:tcW w:w="993" w:type="dxa"/>
          </w:tcPr>
          <w:p w14:paraId="38D62833"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0.000</w:t>
            </w:r>
          </w:p>
        </w:tc>
        <w:tc>
          <w:tcPr>
            <w:tcW w:w="992" w:type="dxa"/>
          </w:tcPr>
          <w:p w14:paraId="0AD11069"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1.000</w:t>
            </w:r>
          </w:p>
        </w:tc>
        <w:tc>
          <w:tcPr>
            <w:tcW w:w="709" w:type="dxa"/>
          </w:tcPr>
          <w:p w14:paraId="116F447E"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68</w:t>
            </w:r>
          </w:p>
        </w:tc>
      </w:tr>
      <w:tr w:rsidR="00EB6BA0" w:rsidRPr="00BE6C6A" w14:paraId="50A037FB" w14:textId="77777777" w:rsidTr="00332F7F">
        <w:tc>
          <w:tcPr>
            <w:tcW w:w="1985" w:type="dxa"/>
          </w:tcPr>
          <w:p w14:paraId="3AA7C69C"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Std. residual</w:t>
            </w:r>
          </w:p>
        </w:tc>
        <w:tc>
          <w:tcPr>
            <w:tcW w:w="1134" w:type="dxa"/>
          </w:tcPr>
          <w:p w14:paraId="517B0F09"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-4.135</w:t>
            </w:r>
          </w:p>
        </w:tc>
        <w:tc>
          <w:tcPr>
            <w:tcW w:w="1134" w:type="dxa"/>
          </w:tcPr>
          <w:p w14:paraId="78FCA73B"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2.048</w:t>
            </w:r>
          </w:p>
        </w:tc>
        <w:tc>
          <w:tcPr>
            <w:tcW w:w="993" w:type="dxa"/>
          </w:tcPr>
          <w:p w14:paraId="0FA86FE8"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0.000</w:t>
            </w:r>
          </w:p>
        </w:tc>
        <w:tc>
          <w:tcPr>
            <w:tcW w:w="992" w:type="dxa"/>
          </w:tcPr>
          <w:p w14:paraId="4BD9D94B"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0.994</w:t>
            </w:r>
          </w:p>
        </w:tc>
        <w:tc>
          <w:tcPr>
            <w:tcW w:w="709" w:type="dxa"/>
          </w:tcPr>
          <w:p w14:paraId="7F71ED0E" w14:textId="77777777" w:rsidR="00EB6BA0" w:rsidRPr="00BE6C6A" w:rsidRDefault="00EB6BA0" w:rsidP="00BE6C6A">
            <w:pPr>
              <w:spacing w:after="0" w:line="240" w:lineRule="auto"/>
              <w:jc w:val="both"/>
              <w:rPr>
                <w:rFonts w:ascii="Arial" w:hAnsi="Arial" w:cs="Arial"/>
                <w:sz w:val="20"/>
                <w:szCs w:val="20"/>
              </w:rPr>
            </w:pPr>
            <w:r w:rsidRPr="00BE6C6A">
              <w:rPr>
                <w:rFonts w:ascii="Arial" w:hAnsi="Arial" w:cs="Arial"/>
                <w:sz w:val="20"/>
                <w:szCs w:val="20"/>
              </w:rPr>
              <w:t>68</w:t>
            </w:r>
          </w:p>
        </w:tc>
      </w:tr>
    </w:tbl>
    <w:p w14:paraId="2D9088CD" w14:textId="39F84CA7" w:rsidR="00EB6BA0" w:rsidRDefault="008436E2" w:rsidP="00BE6C6A">
      <w:pPr>
        <w:pStyle w:val="NormalWeb"/>
        <w:spacing w:before="0" w:beforeAutospacing="0" w:after="0" w:afterAutospacing="0"/>
        <w:ind w:firstLine="720"/>
        <w:jc w:val="both"/>
        <w:rPr>
          <w:rStyle w:val="Emphasis"/>
          <w:rFonts w:ascii="Arial" w:hAnsi="Arial" w:cs="Arial"/>
          <w:bCs/>
          <w:sz w:val="20"/>
          <w:szCs w:val="20"/>
          <w:lang w:val="en-US"/>
        </w:rPr>
      </w:pPr>
      <w:r w:rsidRPr="005510E9">
        <w:rPr>
          <w:rFonts w:ascii="Arial" w:hAnsi="Arial" w:cs="Arial"/>
          <w:bCs/>
          <w:sz w:val="20"/>
          <w:szCs w:val="20"/>
          <w:lang w:val="en-US"/>
        </w:rPr>
        <w:lastRenderedPageBreak/>
        <w:t>Source: Authors' Calculation</w:t>
      </w:r>
      <w:r w:rsidRPr="005510E9">
        <w:rPr>
          <w:rStyle w:val="Emphasis"/>
          <w:rFonts w:ascii="Arial" w:hAnsi="Arial" w:cs="Arial"/>
          <w:bCs/>
          <w:sz w:val="20"/>
          <w:szCs w:val="20"/>
          <w:lang w:val="en-US"/>
        </w:rPr>
        <w:t>, 2025</w:t>
      </w:r>
    </w:p>
    <w:p w14:paraId="05A185E0" w14:textId="77777777" w:rsidR="008436E2" w:rsidRPr="00BE6C6A" w:rsidRDefault="008436E2" w:rsidP="00BE6C6A">
      <w:pPr>
        <w:pStyle w:val="NormalWeb"/>
        <w:spacing w:before="0" w:beforeAutospacing="0" w:after="0" w:afterAutospacing="0"/>
        <w:ind w:firstLine="720"/>
        <w:jc w:val="both"/>
        <w:rPr>
          <w:rFonts w:ascii="Arial" w:hAnsi="Arial" w:cs="Arial"/>
          <w:sz w:val="20"/>
          <w:szCs w:val="20"/>
        </w:rPr>
      </w:pPr>
    </w:p>
    <w:p w14:paraId="1CDCFA8A" w14:textId="675362E2" w:rsidR="00EB6BA0" w:rsidRPr="001047A2" w:rsidRDefault="007B79C6" w:rsidP="00EB6BA0">
      <w:pPr>
        <w:pStyle w:val="NormalWeb"/>
        <w:spacing w:before="0" w:beforeAutospacing="0" w:after="0" w:afterAutospacing="0"/>
        <w:ind w:firstLine="720"/>
        <w:jc w:val="both"/>
        <w:rPr>
          <w:rFonts w:ascii="Arial" w:hAnsi="Arial" w:cs="Arial"/>
          <w:sz w:val="20"/>
          <w:szCs w:val="20"/>
        </w:rPr>
      </w:pPr>
      <w:r>
        <w:rPr>
          <w:rFonts w:ascii="Arial" w:hAnsi="Arial" w:cs="Arial"/>
          <w:sz w:val="20"/>
          <w:szCs w:val="20"/>
        </w:rPr>
        <w:t>Table 7 indicates that the predicted values varied from 24.7621 to 30.8029 (mean 26.6692, SD 1.79098), however the residuals ranged from −10.06196 to 4.98477 with a mean of 0.00000 (SD 2.41957), signifying that the residuals were centered around zero as anticipated. The standardized residuals had a mean near 0.000 and a standard deviation of approximately 0.994, ranging from −4.135 to 2.048. This indicates generally acceptable dispersion, however there exists at least one extreme negative residual (|Std. residual| &gt; 3) that may signify a potentially influential observation.</w:t>
      </w:r>
    </w:p>
    <w:p w14:paraId="40A5635C" w14:textId="1784EA43" w:rsidR="00EB6BA0" w:rsidRDefault="007B79C6" w:rsidP="00EB6BA0">
      <w:pPr>
        <w:jc w:val="center"/>
        <w:rPr>
          <w:rFonts w:ascii="Arial" w:hAnsi="Arial" w:cs="Arial"/>
          <w:sz w:val="20"/>
          <w:szCs w:val="18"/>
        </w:rPr>
      </w:pPr>
      <w:r w:rsidRPr="007B79C6">
        <w:rPr>
          <w:rFonts w:ascii="Arial" w:hAnsi="Arial" w:cs="Arial"/>
          <w:noProof/>
          <w:sz w:val="20"/>
          <w:szCs w:val="18"/>
        </w:rPr>
        <w:drawing>
          <wp:anchor distT="0" distB="0" distL="114300" distR="114300" simplePos="0" relativeHeight="251659264" behindDoc="0" locked="0" layoutInCell="1" allowOverlap="1" wp14:anchorId="0B0B3711" wp14:editId="020A760C">
            <wp:simplePos x="0" y="0"/>
            <wp:positionH relativeFrom="column">
              <wp:posOffset>1519555</wp:posOffset>
            </wp:positionH>
            <wp:positionV relativeFrom="paragraph">
              <wp:posOffset>412750</wp:posOffset>
            </wp:positionV>
            <wp:extent cx="2428875" cy="213868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plot_page1.png"/>
                    <pic:cNvPicPr/>
                  </pic:nvPicPr>
                  <pic:blipFill rotWithShape="1">
                    <a:blip r:embed="rId8" cstate="print">
                      <a:extLst>
                        <a:ext uri="{28A0092B-C50C-407E-A947-70E740481C1C}">
                          <a14:useLocalDpi xmlns:a14="http://schemas.microsoft.com/office/drawing/2010/main" val="0"/>
                        </a:ext>
                      </a:extLst>
                    </a:blip>
                    <a:srcRect l="9709" t="13338" r="36371" b="25196"/>
                    <a:stretch/>
                  </pic:blipFill>
                  <pic:spPr bwMode="auto">
                    <a:xfrm>
                      <a:off x="0" y="0"/>
                      <a:ext cx="2428875" cy="213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6BA0" w:rsidRPr="007B79C6">
        <w:rPr>
          <w:rFonts w:ascii="Arial" w:hAnsi="Arial" w:cs="Arial"/>
          <w:sz w:val="20"/>
          <w:szCs w:val="18"/>
        </w:rPr>
        <w:t>Figure 1. Histogram of regression standardized residuals</w:t>
      </w:r>
    </w:p>
    <w:p w14:paraId="66137B7D" w14:textId="71F322A4" w:rsidR="007B79C6" w:rsidRPr="007B79C6" w:rsidRDefault="007B79C6" w:rsidP="00EB6BA0">
      <w:pPr>
        <w:jc w:val="center"/>
        <w:rPr>
          <w:rFonts w:ascii="Arial" w:hAnsi="Arial" w:cs="Arial"/>
          <w:sz w:val="20"/>
          <w:szCs w:val="18"/>
        </w:rPr>
      </w:pPr>
    </w:p>
    <w:p w14:paraId="33A7732A" w14:textId="0D066732" w:rsidR="00EB6BA0" w:rsidRPr="00A572C0" w:rsidRDefault="007B79C6" w:rsidP="00EB6BA0">
      <w:pPr>
        <w:pStyle w:val="NormalWeb"/>
        <w:spacing w:before="0" w:beforeAutospacing="0" w:after="0" w:afterAutospacing="0"/>
        <w:ind w:firstLine="720"/>
        <w:jc w:val="both"/>
        <w:rPr>
          <w:rFonts w:ascii="Arial" w:hAnsi="Arial" w:cs="Arial"/>
          <w:sz w:val="20"/>
          <w:szCs w:val="20"/>
          <w:lang w:val="en-US"/>
        </w:rPr>
      </w:pPr>
      <w:r>
        <w:rPr>
          <w:rFonts w:ascii="Arial" w:hAnsi="Arial" w:cs="Arial"/>
          <w:sz w:val="20"/>
          <w:szCs w:val="20"/>
        </w:rPr>
        <w:t xml:space="preserve">Figure 1 (Histogram) demonstrates that normalized residuals are predominantly centered around zero and exhibit a unimodal, nearly bell-shaped distribution, aligning with the characteristics of approaching normalcy. The left tail extends further than the right, as seen by the minimum standardized residual of −4.135, suggesting a limited number of significantly large negative errors, where the model overestimated food availability compared to observed values. Figure 2 (Normal P–P Plot) illustrates points that predominantly align with the diagonal reference line, so affirming the validity of the normality assumption for residuals in this sample; slight deviations are observed mainly at the tails, further corroborating the existence of one or a few extreme residuals. The residual diagnostics indicate that normality is largely met; however, due to the presence of an extreme negative residual, it is prudent to augment these plots with influence diagnostics (such as leverage and Cook’s distance) and, if necessary, conduct a sensitivity analysis employing robust standard errors to confirm that inference is not unduly influenced by a singular case </w:t>
      </w:r>
      <w:r w:rsidR="00A572C0">
        <w:rPr>
          <w:rFonts w:ascii="Arial" w:hAnsi="Arial" w:cs="Arial"/>
          <w:sz w:val="20"/>
          <w:szCs w:val="20"/>
        </w:rPr>
        <w:fldChar w:fldCharType="begin" w:fldLock="1"/>
      </w:r>
      <w:r w:rsidR="00A572C0">
        <w:rPr>
          <w:rFonts w:ascii="Arial" w:hAnsi="Arial" w:cs="Arial"/>
          <w:sz w:val="20"/>
          <w:szCs w:val="20"/>
        </w:rPr>
        <w:instrText>ADDIN CSL_CITATION {"citationItems":[{"id":"ITEM-1","itemData":{"DOI":"10.1016/j.neuroimage.2024.120620","ISSN":"10538119","PMID":"38641257","abstract":"Social pain, a multifaceted emotional response triggered by interpersonal rejection or criticism, profoundly impacts mental well-being and social interactions. While prior research has implicated the right ventrolateral prefrontal cortex (rVLPFC) in mitigating social pain, the precise neural mechanisms and downstream effects on subsequent social attitudes remain elusive. This study employed transcranial magnetic stimulation (TMS) integrated with fMRI recordings during a social pain task to elucidate these aspects. Eighty participants underwent either active TMS targeting the rVLPFC (n = 41) or control stimulation at the vertex (n = 39). Our results revealed that TMS-induced rVLPFC facilitation significantly reduced self-reported social pain, confirming the causal role of the rVLPFC in social pain relief. Functional connectivity analyses demonstrated enhanced interactions between the rVLPFC and the dorsolateral prefrontal cortex, emphasizing the collaborative engagement of prefrontal regions in emotion regulation. Significantly, we observed that negative social feedback led to negative social attitudes, whereas rVLPFC activation countered this detrimental effect, showcasing the potential of the rVLPFC as a protective buffer against adverse social interactions. Moreover, our study uncovered the impact role of the hippocampus in subsequent social attitudes, a relationship particularly pronounced during excitatory TMS over the rVLPFC. These findings offer promising avenues for improving mental health within the intricate dynamics of social interactions. By advancing our comprehension of the neural mechanisms underlying social pain relief, this research introduces novel intervention strategies for individuals grappling with social distress. Empowering individuals to modulate rVLPFC activation may facilitate reshaping social attitudes and successful reintegration into communal life.","author":[{"dropping-particle":"","family":"Li","given":"Sijin","non-dropping-particle":"","parse-names":false,"suffix":""},{"dropping-particle":"","family":"Cao","given":"Xueying","non-dropping-particle":"","parse-names":false,"suffix":""},{"dropping-particle":"","family":"Li","given":"Yiwei","non-dropping-particle":"","parse-names":false,"suffix":""},{"dropping-particle":"","family":"Tang","given":"Yuyao","non-dropping-particle":"","parse-names":false,"suffix":""},{"dropping-particle":"","family":"Cheng","given":"Si","non-dropping-particle":"","parse-names":false,"suffix":""},{"dropping-particle":"","family":"Zhang","given":"Dandan","non-dropping-particle":"","parse-names":false,"suffix":""}],"container-title":"NeuroImage","id":"ITEM-1","issue":"December 2023","issued":{"date-parts":[["2024","4"]]},"page":"120620","publisher":"Elsevier Inc.","title":"Enhancing ventrolateral prefrontal cortex activation mitigates social pain and modifies subsequent social attitudes: Insights from TMS and fMRI","type":"article-journal","volume":"292"},"uris":["http://www.mendeley.com/documents/?uuid=b7baf70b-5650-4118-9390-e79247d30a1c"]}],"mendeley":{"formattedCitation":"(Li et al. 2024)","plainTextFormattedCitation":"(Li et al. 2024)","previouslyFormattedCitation":"(Li et al. 2024)"},"properties":{"noteIndex":0},"schema":"https://github.com/citation-style-language/schema/raw/master/csl-citation.json"}</w:instrText>
      </w:r>
      <w:r w:rsidR="00A572C0">
        <w:rPr>
          <w:rFonts w:ascii="Arial" w:hAnsi="Arial" w:cs="Arial"/>
          <w:sz w:val="20"/>
          <w:szCs w:val="20"/>
        </w:rPr>
        <w:fldChar w:fldCharType="separate"/>
      </w:r>
      <w:r w:rsidR="00A572C0" w:rsidRPr="00A572C0">
        <w:rPr>
          <w:rFonts w:ascii="Arial" w:hAnsi="Arial" w:cs="Arial"/>
          <w:noProof/>
          <w:sz w:val="20"/>
          <w:szCs w:val="20"/>
        </w:rPr>
        <w:t>(Li et al. 2024)</w:t>
      </w:r>
      <w:r w:rsidR="00A572C0">
        <w:rPr>
          <w:rFonts w:ascii="Arial" w:hAnsi="Arial" w:cs="Arial"/>
          <w:sz w:val="20"/>
          <w:szCs w:val="20"/>
        </w:rPr>
        <w:fldChar w:fldCharType="end"/>
      </w:r>
      <w:r w:rsidR="00A572C0">
        <w:rPr>
          <w:rFonts w:ascii="Arial" w:hAnsi="Arial" w:cs="Arial"/>
          <w:sz w:val="20"/>
          <w:szCs w:val="20"/>
          <w:lang w:val="en-US"/>
        </w:rPr>
        <w:t>.</w:t>
      </w:r>
    </w:p>
    <w:p w14:paraId="39F9F0AB" w14:textId="64407A14" w:rsidR="00EB6BA0" w:rsidRPr="001047A2" w:rsidRDefault="007B79C6" w:rsidP="00EB6BA0">
      <w:pPr>
        <w:jc w:val="both"/>
        <w:rPr>
          <w:rFonts w:ascii="Arial" w:hAnsi="Arial" w:cs="Arial"/>
        </w:rPr>
      </w:pPr>
      <w:r w:rsidRPr="007B79C6">
        <w:rPr>
          <w:rFonts w:ascii="Arial" w:hAnsi="Arial" w:cs="Arial"/>
          <w:noProof/>
          <w:sz w:val="20"/>
          <w:szCs w:val="20"/>
        </w:rPr>
        <w:drawing>
          <wp:anchor distT="0" distB="0" distL="114300" distR="114300" simplePos="0" relativeHeight="251660288" behindDoc="0" locked="0" layoutInCell="1" allowOverlap="1" wp14:anchorId="2E02FAE5" wp14:editId="2D202058">
            <wp:simplePos x="0" y="0"/>
            <wp:positionH relativeFrom="column">
              <wp:posOffset>1765300</wp:posOffset>
            </wp:positionH>
            <wp:positionV relativeFrom="paragraph">
              <wp:posOffset>186055</wp:posOffset>
            </wp:positionV>
            <wp:extent cx="1898650" cy="2006600"/>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plot_page2.png"/>
                    <pic:cNvPicPr/>
                  </pic:nvPicPr>
                  <pic:blipFill rotWithShape="1">
                    <a:blip r:embed="rId9" cstate="print">
                      <a:extLst>
                        <a:ext uri="{28A0092B-C50C-407E-A947-70E740481C1C}">
                          <a14:useLocalDpi xmlns:a14="http://schemas.microsoft.com/office/drawing/2010/main" val="0"/>
                        </a:ext>
                      </a:extLst>
                    </a:blip>
                    <a:srcRect l="17028" t="16430" r="38164" b="22296"/>
                    <a:stretch/>
                  </pic:blipFill>
                  <pic:spPr bwMode="auto">
                    <a:xfrm>
                      <a:off x="0" y="0"/>
                      <a:ext cx="1898650" cy="200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92A4DD" w14:textId="6D58018D" w:rsidR="00EB6BA0" w:rsidRPr="007B79C6" w:rsidRDefault="00EB6BA0" w:rsidP="00EB6BA0">
      <w:pPr>
        <w:jc w:val="center"/>
        <w:rPr>
          <w:rFonts w:ascii="Arial" w:hAnsi="Arial" w:cs="Arial"/>
          <w:sz w:val="20"/>
          <w:szCs w:val="20"/>
        </w:rPr>
      </w:pPr>
      <w:r w:rsidRPr="007B79C6">
        <w:rPr>
          <w:rFonts w:ascii="Arial" w:hAnsi="Arial" w:cs="Arial"/>
          <w:sz w:val="20"/>
          <w:szCs w:val="20"/>
        </w:rPr>
        <w:t>Figure 2. Normal P-P Plot of regression standardized residuals</w:t>
      </w:r>
    </w:p>
    <w:p w14:paraId="464C7C75" w14:textId="77777777" w:rsidR="00EB6BA0" w:rsidRPr="001047A2" w:rsidRDefault="00EB6BA0" w:rsidP="00EB6BA0">
      <w:pPr>
        <w:pStyle w:val="Heading2"/>
        <w:numPr>
          <w:ilvl w:val="0"/>
          <w:numId w:val="4"/>
        </w:numPr>
        <w:tabs>
          <w:tab w:val="num" w:pos="360"/>
        </w:tabs>
        <w:spacing w:before="120" w:after="120"/>
        <w:ind w:left="635" w:hanging="635"/>
        <w:jc w:val="both"/>
        <w:rPr>
          <w:rFonts w:ascii="Arial" w:eastAsia="Times New Roman" w:hAnsi="Arial" w:cs="Arial"/>
          <w:color w:val="auto"/>
          <w:sz w:val="20"/>
          <w:szCs w:val="20"/>
        </w:rPr>
      </w:pPr>
      <w:r w:rsidRPr="001047A2">
        <w:rPr>
          <w:rFonts w:ascii="Arial" w:eastAsia="Times New Roman" w:hAnsi="Arial" w:cs="Arial"/>
          <w:color w:val="auto"/>
          <w:sz w:val="20"/>
          <w:szCs w:val="20"/>
        </w:rPr>
        <w:lastRenderedPageBreak/>
        <w:t>Summary of key findings</w:t>
      </w:r>
    </w:p>
    <w:p w14:paraId="7F4F6F9D" w14:textId="56D4BAAB" w:rsidR="00EB6BA0" w:rsidRPr="001047A2" w:rsidRDefault="00547387" w:rsidP="00EB6BA0">
      <w:pPr>
        <w:pStyle w:val="NormalWeb"/>
        <w:spacing w:before="0" w:beforeAutospacing="0" w:after="0" w:afterAutospacing="0"/>
        <w:ind w:firstLine="720"/>
        <w:jc w:val="both"/>
        <w:rPr>
          <w:rFonts w:ascii="Arial" w:hAnsi="Arial" w:cs="Arial"/>
          <w:sz w:val="20"/>
          <w:szCs w:val="20"/>
        </w:rPr>
      </w:pPr>
      <w:r>
        <w:rPr>
          <w:rFonts w:ascii="Arial" w:hAnsi="Arial" w:cs="Arial"/>
          <w:sz w:val="20"/>
          <w:szCs w:val="20"/>
        </w:rPr>
        <w:t>In this dataset (n = 68 complete instances), the average household maize food availability was significantly high, although perceived extension responsibilities varied from moderate to high across the three dimensions. The multivariable regression model demonstrated statistical significance and accounted for 35.4% of the variance in maize food availability. All three extension-role dimensions were significant predictors in the adjusted model; however, collinearity diagnostics indicated substantial overlap among the predictors.</w:t>
      </w:r>
    </w:p>
    <w:p w14:paraId="4DFE302F" w14:textId="77777777" w:rsidR="00EB6BA0" w:rsidRPr="001047A2" w:rsidRDefault="00EB6BA0" w:rsidP="00EB6BA0">
      <w:pPr>
        <w:pStyle w:val="Head1"/>
        <w:numPr>
          <w:ilvl w:val="0"/>
          <w:numId w:val="1"/>
        </w:numPr>
        <w:spacing w:after="0" w:line="360" w:lineRule="auto"/>
        <w:ind w:left="180" w:firstLine="0"/>
        <w:jc w:val="both"/>
        <w:rPr>
          <w:rFonts w:ascii="Arial" w:hAnsi="Arial" w:cs="Arial"/>
          <w:szCs w:val="24"/>
        </w:rPr>
      </w:pPr>
      <w:r w:rsidRPr="001047A2">
        <w:rPr>
          <w:rFonts w:ascii="Arial" w:hAnsi="Arial" w:cs="Arial"/>
          <w:szCs w:val="24"/>
        </w:rPr>
        <w:t>DISCUSSION</w:t>
      </w:r>
    </w:p>
    <w:p w14:paraId="2B8B56A3" w14:textId="77777777" w:rsidR="00EB6BA0" w:rsidRPr="004D01B1" w:rsidRDefault="00EB6BA0" w:rsidP="00EB6BA0">
      <w:pPr>
        <w:pStyle w:val="Head1"/>
        <w:numPr>
          <w:ilvl w:val="0"/>
          <w:numId w:val="5"/>
        </w:numPr>
        <w:spacing w:before="120" w:after="120"/>
        <w:ind w:left="709" w:hanging="635"/>
        <w:jc w:val="both"/>
        <w:rPr>
          <w:rFonts w:ascii="Arial" w:hAnsi="Arial" w:cs="Arial"/>
          <w:sz w:val="20"/>
        </w:rPr>
      </w:pPr>
      <w:r w:rsidRPr="004D01B1">
        <w:rPr>
          <w:rFonts w:ascii="Arial" w:hAnsi="Arial" w:cs="Arial"/>
          <w:caps w:val="0"/>
          <w:sz w:val="20"/>
        </w:rPr>
        <w:t xml:space="preserve">Effect Of Facilitator/Educator Role On Maize Food Availability </w:t>
      </w:r>
      <w:r w:rsidRPr="004D01B1">
        <w:rPr>
          <w:rFonts w:ascii="Arial" w:hAnsi="Arial" w:cs="Arial"/>
          <w:sz w:val="20"/>
        </w:rPr>
        <w:t>(H1)</w:t>
      </w:r>
    </w:p>
    <w:p w14:paraId="1B8783B5" w14:textId="6BAB3ACF" w:rsidR="00EB6BA0" w:rsidRPr="001047A2" w:rsidRDefault="00D10E71" w:rsidP="00EB6BA0">
      <w:pPr>
        <w:pStyle w:val="NormalWeb"/>
        <w:spacing w:before="0" w:beforeAutospacing="0" w:after="0" w:afterAutospacing="0"/>
        <w:ind w:firstLine="720"/>
        <w:jc w:val="both"/>
        <w:rPr>
          <w:rFonts w:ascii="Arial" w:hAnsi="Arial" w:cs="Arial"/>
          <w:sz w:val="20"/>
          <w:szCs w:val="20"/>
        </w:rPr>
      </w:pPr>
      <w:r w:rsidRPr="00D10E71">
        <w:rPr>
          <w:rFonts w:ascii="Arial" w:hAnsi="Arial" w:cs="Arial"/>
          <w:sz w:val="20"/>
          <w:szCs w:val="20"/>
          <w:lang w:val="en-US"/>
        </w:rPr>
        <w:t xml:space="preserve">Our results corroborate that the facilitator/educator function is positively correlated with household maize food availability in TTU. This aligns with the notion that extension education enhances agronomic decision-making, seasonal planning, and postharvest awareness, thereby aiding families in sustaining staple stocks. This pattern corresponds with research from Uganda, which indicates that extension advice is associated with enhanced food security outcomes via productivity and related mechanisms </w:t>
      </w:r>
      <w:r w:rsidR="00A572C0">
        <w:rPr>
          <w:rFonts w:ascii="Arial" w:hAnsi="Arial" w:cs="Arial"/>
          <w:sz w:val="20"/>
          <w:szCs w:val="20"/>
          <w:lang w:val="en-US"/>
        </w:rPr>
        <w:fldChar w:fldCharType="begin" w:fldLock="1"/>
      </w:r>
      <w:r w:rsidR="00A572C0">
        <w:rPr>
          <w:rFonts w:ascii="Arial" w:hAnsi="Arial" w:cs="Arial"/>
          <w:sz w:val="20"/>
          <w:szCs w:val="20"/>
          <w:lang w:val="en-US"/>
        </w:rPr>
        <w:instrText>ADDIN CSL_CITATION {"citationItems":[{"id":"ITEM-1","itemData":{"DOI":"10.1016/j.gfs.2023.100678","ISSN":"22119124","abstract":"While a robust correlation has been proven between agricultural extension advisory service (AEAS) and increases in agricultural production in literature, it’s undefined whether this holds true between AEAS and food security. This study stretched the theory from increased agricultural production to food security by using WB-LSMS data from 2009 to 2020. We set up a treated and a control group and then employed difference-in-difference and kernel PSM-DID to analyze the two groups, whiles applying stationarity, cointegration, and post-estimation diagnostic tests to ensure data robustness. The results denote a positive relationship between AEAS and food security while factors including capital, finance, and region, among others hinder households from engaging in AEAS. Policy implications are outlined for AEAS and food security integration.","author":[{"dropping-particle":"","family":"Brenya","given":"Robert","non-dropping-particle":"","parse-names":false,"suffix":""},{"dropping-particle":"","family":"Zhu","given":"Jing","non-dropping-particle":"","parse-names":false,"suffix":""}],"container-title":"Global Food Security","id":"ITEM-1","issued":{"date-parts":[["2023","3"]]},"page":"100678","title":"Agricultural extension and food security – The case of Uganda","type":"article-journal","volume":"36"},"uris":["http://www.mendeley.com/documents/?uuid=eaafd90a-6528-41fb-a6eb-d443740db304"]}],"mendeley":{"formattedCitation":"(Brenya and Zhu 2023)","plainTextFormattedCitation":"(Brenya and Zhu 2023)","previouslyFormattedCitation":"(Brenya and Zhu 2023)"},"properties":{"noteIndex":0},"schema":"https://github.com/citation-style-language/schema/raw/master/csl-citation.json"}</w:instrText>
      </w:r>
      <w:r w:rsidR="00A572C0">
        <w:rPr>
          <w:rFonts w:ascii="Arial" w:hAnsi="Arial" w:cs="Arial"/>
          <w:sz w:val="20"/>
          <w:szCs w:val="20"/>
          <w:lang w:val="en-US"/>
        </w:rPr>
        <w:fldChar w:fldCharType="separate"/>
      </w:r>
      <w:r w:rsidR="00A572C0" w:rsidRPr="00A572C0">
        <w:rPr>
          <w:rFonts w:ascii="Arial" w:hAnsi="Arial" w:cs="Arial"/>
          <w:noProof/>
          <w:sz w:val="20"/>
          <w:szCs w:val="20"/>
          <w:lang w:val="en-US"/>
        </w:rPr>
        <w:t>(Brenya and Zhu 2023)</w:t>
      </w:r>
      <w:r w:rsidR="00A572C0">
        <w:rPr>
          <w:rFonts w:ascii="Arial" w:hAnsi="Arial" w:cs="Arial"/>
          <w:sz w:val="20"/>
          <w:szCs w:val="20"/>
          <w:lang w:val="en-US"/>
        </w:rPr>
        <w:fldChar w:fldCharType="end"/>
      </w:r>
      <w:r w:rsidR="00A572C0">
        <w:rPr>
          <w:rFonts w:ascii="Arial" w:hAnsi="Arial" w:cs="Arial"/>
          <w:sz w:val="20"/>
          <w:szCs w:val="20"/>
          <w:lang w:val="en-US"/>
        </w:rPr>
        <w:t xml:space="preserve">. </w:t>
      </w:r>
      <w:r w:rsidRPr="00D10E71">
        <w:rPr>
          <w:rFonts w:ascii="Arial" w:hAnsi="Arial" w:cs="Arial"/>
          <w:sz w:val="20"/>
          <w:szCs w:val="20"/>
          <w:lang w:val="en-US"/>
        </w:rPr>
        <w:t xml:space="preserve">Furthermore, panel evidence from Ghana demonstrates that extension and advisory services are linked to improved welfare outcomes, such as increased per-capita food consumption and dietary diversity; this suggests that knowledge and advisory support can lead to better household food security beyond mere yield increases </w:t>
      </w:r>
      <w:r w:rsidR="00A572C0">
        <w:rPr>
          <w:rFonts w:ascii="Arial" w:hAnsi="Arial" w:cs="Arial"/>
          <w:sz w:val="20"/>
          <w:szCs w:val="20"/>
          <w:lang w:val="en-US"/>
        </w:rPr>
        <w:fldChar w:fldCharType="begin" w:fldLock="1"/>
      </w:r>
      <w:r w:rsidR="00A572C0">
        <w:rPr>
          <w:rFonts w:ascii="Arial" w:hAnsi="Arial" w:cs="Arial"/>
          <w:sz w:val="20"/>
          <w:szCs w:val="20"/>
          <w:lang w:val="en-US"/>
        </w:rPr>
        <w:instrText>ADDIN CSL_CITATION {"citationItems":[{"id":"ITEM-1","itemData":{"DOI":"10.1186/s40100-025-00400-7","ISSN":"2193-7532","abstract":"While agriculture is integral to the development plans of many developing countries, the sector and those who work in it face several challenges. Additionally, even though agricultural extension and advisory service (AEAS) is prescribed as essential to addressing some of these challenges, the evidence base is thin, especially in Ghana, where most existing studies are based on cross-sectional, regional, and small-sample analyses. The absence of rigorous and generalizable analyses limits evidence-informed advocacy, planning, and decision-making on AEAS. To address this evidence gap, we analyze the effects of AEAS on poverty, assets, per capita consumption, and dietary diversity based on three waves of the nationally representative Ghana Socioeconomic Panel Survey. We find that AEAS is associated with a 28.3% increase in household and farm assets, 20% increase in value of per capita food consumption, and a 4.2% increase in household dietary diversity. Disaggregated by provider type, we also find that households receiving extension service advice from farmer-based organizations show the highest increase across these welfare outcomes. Despite these positive effects, our results show that the uptake of AEAS is generally low and especially from service providers other than government sources. Furthermore, those who received AEAS show null or negative results for poverty. These findings add to the body of evidence on the positive effects of access to agriculture advisory. We recommend that the government further strengthen the extension service system, specifically by encouraging uptake of extension services from government and non-government providers.","author":[{"dropping-particle":"","family":"Aremu","given":"Toyib","non-dropping-particle":"","parse-names":false,"suffix":""},{"dropping-particle":"","family":"Baye","given":"Richmond Silvanus","non-dropping-particle":"","parse-names":false,"suffix":""},{"dropping-particle":"","family":"Onyina","given":"Kingsford","non-dropping-particle":"","parse-names":false,"suffix":""},{"dropping-particle":"","family":"Abijah","given":"Priscilla","non-dropping-particle":"","parse-names":false,"suffix":""}],"container-title":"Agricultural and Food Economics","id":"ITEM-1","issue":"1","issued":{"date-parts":[["2025","9","29"]]},"page":"58","publisher":"Springer Berlin Heidelberg","title":"Agricultural extension services and household welfare: evidence from Ghana socioeconomic panel survey","type":"article-journal","volume":"13"},"uris":["http://www.mendeley.com/documents/?uuid=d2f812d5-45e2-409e-9a9d-c11cbef753f8"]}],"mendeley":{"formattedCitation":"(Aremu et al. 2025)","plainTextFormattedCitation":"(Aremu et al. 2025)","previouslyFormattedCitation":"(Aremu et al. 2025)"},"properties":{"noteIndex":0},"schema":"https://github.com/citation-style-language/schema/raw/master/csl-citation.json"}</w:instrText>
      </w:r>
      <w:r w:rsidR="00A572C0">
        <w:rPr>
          <w:rFonts w:ascii="Arial" w:hAnsi="Arial" w:cs="Arial"/>
          <w:sz w:val="20"/>
          <w:szCs w:val="20"/>
          <w:lang w:val="en-US"/>
        </w:rPr>
        <w:fldChar w:fldCharType="separate"/>
      </w:r>
      <w:r w:rsidR="00A572C0" w:rsidRPr="00A572C0">
        <w:rPr>
          <w:rFonts w:ascii="Arial" w:hAnsi="Arial" w:cs="Arial"/>
          <w:noProof/>
          <w:sz w:val="20"/>
          <w:szCs w:val="20"/>
          <w:lang w:val="en-US"/>
        </w:rPr>
        <w:t>(Aremu et al. 2025)</w:t>
      </w:r>
      <w:r w:rsidR="00A572C0">
        <w:rPr>
          <w:rFonts w:ascii="Arial" w:hAnsi="Arial" w:cs="Arial"/>
          <w:sz w:val="20"/>
          <w:szCs w:val="20"/>
          <w:lang w:val="en-US"/>
        </w:rPr>
        <w:fldChar w:fldCharType="end"/>
      </w:r>
      <w:r w:rsidRPr="00D10E71">
        <w:rPr>
          <w:rFonts w:ascii="Arial" w:hAnsi="Arial" w:cs="Arial"/>
          <w:sz w:val="20"/>
          <w:szCs w:val="20"/>
          <w:lang w:val="en-US"/>
        </w:rPr>
        <w:t>. Comparative studies indicate that the effects of extension services are contingent upon service quality and local feasibility. In regions where farmers exhibit high staple availability (as shown in our descriptive results), the influence of educators may manifest more in building resilience—mitigating seasonal gaps and averting unnecessary losses—rather than simply increasing average production scores. In conclusion, Hypothesis 1 is validated: enhancing educator-focused extension is pertinent in TTU, especially to bolster stability and safeguard the existing robust maize supply</w:t>
      </w:r>
      <w:r>
        <w:rPr>
          <w:rFonts w:ascii="Arial" w:hAnsi="Arial" w:cs="Arial"/>
          <w:sz w:val="20"/>
          <w:szCs w:val="20"/>
          <w:lang w:val="en-US"/>
        </w:rPr>
        <w:t xml:space="preserve"> </w:t>
      </w:r>
      <w:r w:rsidR="00EB6BA0" w:rsidRPr="001047A2">
        <w:rPr>
          <w:rFonts w:ascii="Arial" w:hAnsi="Arial" w:cs="Arial"/>
          <w:sz w:val="20"/>
          <w:szCs w:val="20"/>
          <w:lang w:val="en-US"/>
        </w:rPr>
        <w:fldChar w:fldCharType="begin" w:fldLock="1"/>
      </w:r>
      <w:r w:rsidR="00A572C0">
        <w:rPr>
          <w:rFonts w:ascii="Arial" w:hAnsi="Arial" w:cs="Arial"/>
          <w:sz w:val="20"/>
          <w:szCs w:val="20"/>
          <w:lang w:val="en-US"/>
        </w:rPr>
        <w:instrText>ADDIN CSL_CITATION {"citationItems":[{"id":"ITEM-1","itemData":{"DOI":"10.1016/j.gfs.2023.100678","ISSN":"22119124","abstract":"While a robust correlation has been proven between agricultural extension advisory service (AEAS) and increases in agricultural production in literature, it’s undefined whether this holds true between AEAS and food security. This study stretched the theory from increased agricultural production to food security by using WB-LSMS data from 2009 to 2020. We set up a treated and a control group and then employed difference-in-difference and kernel PSM-DID to analyze the two groups, whiles applying stationarity, cointegration, and post-estimation diagnostic tests to ensure data robustness. The results denote a positive relationship between AEAS and food security while factors including capital, finance, and region, among others hinder households from engaging in AEAS. Policy implications are outlined for AEAS and food security integration.","author":[{"dropping-particle":"","family":"Brenya","given":"Robert","non-dropping-particle":"","parse-names":false,"suffix":""},{"dropping-particle":"","family":"Zhu","given":"Jing","non-dropping-particle":"","parse-names":false,"suffix":""}],"container-title":"Global Food Security","id":"ITEM-1","issued":{"date-parts":[["2023","3"]]},"page":"100678","title":"Agricultural extension and food security – The case of Uganda","type":"article-journal","volume":"36"},"uris":["http://www.mendeley.com/documents/?uuid=eaafd90a-6528-41fb-a6eb-d443740db304"]}],"mendeley":{"formattedCitation":"(Brenya and Zhu 2023)","plainTextFormattedCitation":"(Brenya and Zhu 2023)","previouslyFormattedCitation":"(Brenya and Zhu 2023)"},"properties":{"noteIndex":0},"schema":"https://github.com/citation-style-language/schema/raw/master/csl-citation.json"}</w:instrText>
      </w:r>
      <w:r w:rsidR="00EB6BA0" w:rsidRPr="001047A2">
        <w:rPr>
          <w:rFonts w:ascii="Arial" w:hAnsi="Arial" w:cs="Arial"/>
          <w:sz w:val="20"/>
          <w:szCs w:val="20"/>
          <w:lang w:val="en-US"/>
        </w:rPr>
        <w:fldChar w:fldCharType="separate"/>
      </w:r>
      <w:r w:rsidR="00B1457B" w:rsidRPr="00B1457B">
        <w:rPr>
          <w:rFonts w:ascii="Arial" w:hAnsi="Arial" w:cs="Arial"/>
          <w:noProof/>
          <w:sz w:val="20"/>
          <w:szCs w:val="20"/>
          <w:lang w:val="en-US"/>
        </w:rPr>
        <w:t>(Brenya and Zhu 2023)</w:t>
      </w:r>
      <w:r w:rsidR="00EB6BA0" w:rsidRPr="001047A2">
        <w:rPr>
          <w:rFonts w:ascii="Arial" w:hAnsi="Arial" w:cs="Arial"/>
          <w:sz w:val="20"/>
          <w:szCs w:val="20"/>
          <w:lang w:val="en-US"/>
        </w:rPr>
        <w:fldChar w:fldCharType="end"/>
      </w:r>
      <w:r w:rsidR="00EB6BA0" w:rsidRPr="001047A2">
        <w:rPr>
          <w:rFonts w:ascii="Arial" w:hAnsi="Arial" w:cs="Arial"/>
          <w:sz w:val="20"/>
          <w:szCs w:val="20"/>
        </w:rPr>
        <w:t>.</w:t>
      </w:r>
    </w:p>
    <w:p w14:paraId="38D47E16" w14:textId="77777777" w:rsidR="00EB6BA0" w:rsidRPr="004D01B1" w:rsidRDefault="00EB6BA0" w:rsidP="00EB6BA0">
      <w:pPr>
        <w:pStyle w:val="Head1"/>
        <w:numPr>
          <w:ilvl w:val="0"/>
          <w:numId w:val="5"/>
        </w:numPr>
        <w:spacing w:before="120" w:after="120"/>
        <w:ind w:left="709" w:hanging="635"/>
        <w:jc w:val="both"/>
        <w:rPr>
          <w:rFonts w:ascii="Arial" w:hAnsi="Arial" w:cs="Arial"/>
          <w:caps w:val="0"/>
          <w:sz w:val="20"/>
        </w:rPr>
      </w:pPr>
      <w:r w:rsidRPr="004D01B1">
        <w:rPr>
          <w:rFonts w:ascii="Arial" w:hAnsi="Arial" w:cs="Arial"/>
          <w:caps w:val="0"/>
          <w:sz w:val="20"/>
        </w:rPr>
        <w:t>Effect of Technical/Motivator role on maize food availability (H2)</w:t>
      </w:r>
    </w:p>
    <w:p w14:paraId="329764CD" w14:textId="402B8566" w:rsidR="00D10E71" w:rsidRPr="00DB7292" w:rsidRDefault="00DB7292" w:rsidP="00DB7292">
      <w:pPr>
        <w:pStyle w:val="NormalWeb"/>
        <w:spacing w:before="0" w:beforeAutospacing="0" w:after="0" w:afterAutospacing="0"/>
        <w:ind w:firstLine="720"/>
        <w:jc w:val="both"/>
        <w:rPr>
          <w:rFonts w:ascii="Arial" w:hAnsi="Arial" w:cs="Arial"/>
          <w:sz w:val="20"/>
          <w:szCs w:val="20"/>
          <w:lang w:val="en-US"/>
        </w:rPr>
      </w:pPr>
      <w:r w:rsidRPr="00DB7292">
        <w:rPr>
          <w:rFonts w:ascii="Arial" w:hAnsi="Arial" w:cs="Arial"/>
          <w:sz w:val="20"/>
          <w:szCs w:val="20"/>
          <w:lang w:val="en-US"/>
        </w:rPr>
        <w:t xml:space="preserve">The findings support H2: the technical/motivator role is positively associated with household maize availability. This association plausibly reflects improvements in the quality and timeliness of farm operations—such as input use, crop management, and problem-solving—alongside strengthened farmer commitment to continue implementing recommended practices under environmental uncertainty. Evidence from Bangladesh is consistent with this mechanism, showing that extension engagement is associated with higher technology adoption and lower production risk, suggesting that technical guidance can help stabilize staple supplies rather than only raising average output </w:t>
      </w:r>
      <w:r>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{"citationItems":[{"id":"ITEM-1","itemData":{"DOI":"10.1016/j.heliyon.2024.e34226","ISSN":"24058440","abstract":"Rice production is inherently risky and volatile, and farmers in Bangladesh face a wide range of risks, including weather, pest and disease attacks, interruptions to input supply, and market-associated risks. Moreover, poor farm households often perceive risks in adopting new technology, even though it could improve productivity and food security. Such households are thus caught in a “risk-induced trap” that precludes them from realizing the benefits of technological innovation. Extension service is one way to help farmers improve risk management skills and escape risk-induced traps, but there is limited empirical analysis of its impact in Bangladesh. The objective of the study is to measure the nexus between agricultural extension services, technology adoption, and production risks as well as women empowerment in agriculture index. IFPRI utilized stratified random sampling to determine the 5603 households in 2018 (which is nationally called the BIHS-2018 dataset) from rural and pre-urban areas of Bangladesh. Out of these 5603 households, 2663 households were specifically selected for the study related to rice farming to achieve the main objective of the study. Focusing on rice farming, a moment-based Poisson regression model is estimated with 2SLS and identifies risks associated with key technologies and potential productivity and risk-reducing effects. The results revealed that wealthier households are more likely to adopt technology for minimizing production risk and women's empowerment which can positively affect productivity by mitigating risk. The result revealed a positive and significant difference in WEAI between the AES participant and non-participant group. We find that engagement in agricultural extension services was associated with technology adoption and production risk reduction. The agricultural extension services increased, technology adoption by 4.2 % and decreased production risk by 2.4 %. Based on the findings, it is concluded that more comprehensive extension services can enhance rice production and ameliorate farmers' risk in rice production to some extent.","author":[{"dropping-particle":"","family":"Alam","given":"Mohammad Jahangir","non-dropping-particle":"","parse-names":false,"suffix":""},{"dropping-particle":"","family":"Sarma","given":"Paresh Kumar","non-dropping-particle":"","parse-names":false,"suffix":""},{"dropping-particle":"","family":"Begum","given":"Ismat Ara","non-dropping-particle":"","parse-names":false,"suffix":""},{"dropping-particle":"","family":"Connor","given":"Jeff","non-dropping-particle":"","parse-names":false,"suffix":""},{"dropping-particle":"","family":"Crase","given":"Lin","non-dropping-particle":"","parse-names":false,"suffix":""},{"dropping-particle":"","family":"Sayem","given":"Sheikh Mohammad","non-dropping-particle":"","parse-names":false,"suffix":""},{"dropping-particle":"","family":"McKenzie","given":"Andrew M.","non-dropping-particle":"","parse-names":false,"suffix":""}],"container-title":"Heliyon","id":"ITEM-1","issue":"14","issued":{"date-parts":[["2024"]]},"page":"e34226","publisher":"Elsevier Ltd","title":"Agricultural extension service, technology adoption, and production risk nexus: Evidence from Bangladesh","type":"article-journal","volume":"10"},"uris":["http://www.mendeley.com/documents/?uuid=186a8504-d51a-479b-9145-c82854727135"]}],"mendeley":{"formattedCitation":"(Alam et al. 2024)","plainTextFormattedCitation":"(Alam et al. 2024)","previouslyFormattedCitation":"(Alam et al. 2024)"},"properties":{"noteIndex":0},"schema":"https://github.com/citation-style-language/schema/raw/master/csl-citation.json"}</w:instrText>
      </w:r>
      <w:r>
        <w:rPr>
          <w:rFonts w:ascii="Arial" w:hAnsi="Arial" w:cs="Arial"/>
          <w:sz w:val="20"/>
          <w:szCs w:val="20"/>
          <w:lang w:val="en-US"/>
        </w:rPr>
        <w:fldChar w:fldCharType="separate"/>
      </w:r>
      <w:r w:rsidRPr="00D1788A">
        <w:rPr>
          <w:rFonts w:ascii="Arial" w:hAnsi="Arial" w:cs="Arial"/>
          <w:noProof/>
          <w:sz w:val="20"/>
          <w:szCs w:val="20"/>
          <w:lang w:val="en-US"/>
        </w:rPr>
        <w:t>(Alam et al. 2024)</w:t>
      </w:r>
      <w:r>
        <w:rPr>
          <w:rFonts w:ascii="Arial" w:hAnsi="Arial" w:cs="Arial"/>
          <w:sz w:val="20"/>
          <w:szCs w:val="20"/>
          <w:lang w:val="en-US"/>
        </w:rPr>
        <w:fldChar w:fldCharType="end"/>
      </w:r>
      <w:r w:rsidRPr="00D1788A">
        <w:rPr>
          <w:rFonts w:ascii="Arial" w:hAnsi="Arial" w:cs="Arial"/>
          <w:sz w:val="20"/>
          <w:szCs w:val="20"/>
          <w:lang w:val="en-US"/>
        </w:rPr>
        <w:t xml:space="preserve">. </w:t>
      </w:r>
      <w:r>
        <w:rPr>
          <w:rFonts w:ascii="Arial" w:hAnsi="Arial" w:cs="Arial"/>
          <w:sz w:val="20"/>
          <w:szCs w:val="20"/>
          <w:lang w:val="en-US"/>
        </w:rPr>
        <w:t xml:space="preserve"> </w:t>
      </w:r>
      <w:r w:rsidRPr="00DB7292">
        <w:rPr>
          <w:rFonts w:ascii="Arial" w:hAnsi="Arial" w:cs="Arial"/>
          <w:sz w:val="20"/>
          <w:szCs w:val="20"/>
          <w:lang w:val="en-US"/>
        </w:rPr>
        <w:t xml:space="preserve">Similarly, evidence from Ethiopia using selection-correction approaches indicates that households receiving extension/advisory services attain higher crop yields than comparable non-recipients, reinforcing the productivity pathway through which extension can strengthen household staple availability </w:t>
      </w:r>
      <w:r>
        <w:rPr>
          <w:rFonts w:ascii="Arial" w:hAnsi="Arial" w:cs="Arial"/>
          <w:sz w:val="20"/>
          <w:szCs w:val="20"/>
          <w:lang w:val="en-US"/>
        </w:rPr>
        <w:fldChar w:fldCharType="begin" w:fldLock="1"/>
      </w:r>
      <w:r w:rsidR="00AD5ECE">
        <w:rPr>
          <w:rFonts w:ascii="Arial" w:hAnsi="Arial" w:cs="Arial"/>
          <w:sz w:val="20"/>
          <w:szCs w:val="20"/>
          <w:lang w:val="en-US"/>
        </w:rPr>
        <w:instrText>ADDIN CSL_CITATION {"citationItems":[{"id":"ITEM-1","itemData":{"DOI":"10.1186/s40066-025-00559-8","ISSN":"2048-7010","abstract":"This study investigates the access to and impact of agricultural extension services on crop yield among smallholder farmers in Farta Woreda, Ethiopia. The research addresses a critical gap in understanding the factors influencing farmers’ access to extension services and evaluates the overall benefits of these services on crop production. Using a multi-stage stratified simple random sampling technique, data were collected from 356 rural households and analyzed using descriptive statistics and an endogenous switching regression (ESR) model. Results from the selection equation of the ESR model revealed that off-farm income, credit access, livestock ownership, mobile phone ownership, and membership in farmer associations as key determinants of access to agricultural extension services. The findings also revealed significant differences between extension service receivers and non-receivers, with the former achieving 12.27% higher yields. The study highlights that households receiving extension services produced an average of 0.6 quintal (ATT) more crop yield per hectare than they would have without the services, while non-receivers could have achieved approximately 28% (ATU) higher yields had they participated in extension programs. These results emphasize the transformative role of extension services in enhancing farm productivity and call for policy interventions to strengthen farmer associations, integrate financial literacy training, and promote inclusive extension service delivery. By addressing these issues, policymakers can improve agricultural productivity and livelihoods for smallholder farmers in Ethiopia and similar contexts.","author":[{"dropping-particle":"","family":"Baylie","given":"Melese Mulu","non-dropping-particle":"","parse-names":false,"suffix":""},{"dropping-particle":"","family":"Pércsi","given":"Kinga Nagyné","non-dropping-particle":"","parse-names":false,"suffix":""}],"container-title":"Agriculture &amp; Food Security","id":"ITEM-1","issue":"1","issued":{"date-parts":[["2025","11","20"]]},"page":"32","publisher":"BioMed Central","title":"Examining access and impact of agricultural extension services on crop yield in Farta Woreda, Ethiopia, using endogenous switching regression model","type":"article-journal","volume":"14"},"uris":["http://www.mendeley.com/documents/?uuid=e48e91d5-0c04-4443-a61b-461f823d5e7e"]},{"id":"ITEM-2","itemData":{"DOI":"10.1016/j.foodpol.2023.102436","ISSN":"03069192","abstract":"Improving the performance of low-productivity smallholder farmers is a pathway with great potential for reducing poverty and enhancing food security and nutrition in sub-Saharan Africa. Using experimental data from Ethiopia and a mediated stochastic frontier model that accounts for endogenous treatment status, we examine the impact of advisory services and technology channeling on farm yields and efficiency. Our results show that the impact of improved extension services on yields is positive and statistically significant and that advisory services constitute a significant proportion of the output effect.","author":[{"dropping-particle":"","family":"Yitayew","given":"Asresu","non-dropping-particle":"","parse-names":false,"suffix":""},{"dropping-particle":"","family":"Abdulai","given":"Awudu","non-dropping-particle":"","parse-names":false,"suffix":""},{"dropping-particle":"","family":"Yigezu","given":"Yigezu A.","non-dropping-particle":"","parse-names":false,"suffix":""}],"container-title":"Food Policy","id":"ITEM-2","issued":{"date-parts":[["2023","4"]]},"page":"102436","title":"The effects of advisory services and technology channeling on farm yields and technical efficiency of wheat farmers in Ethiopia","type":"article-journal","volume":"116"},"uris":["http://www.mendeley.com/documents/?uuid=781f87e8-60d5-4ad6-845e-8fb2f0dfcd35"]}],"mendeley":{"formattedCitation":"(Baylie and Pércsi 2025; Yitayew, Abdulai, and Yigezu 2023)","plainTextFormattedCitation":"(Baylie and Pércsi 2025; Yitayew, Abdulai, and Yigezu 2023)","previouslyFormattedCitation":"(Baylie and Pércsi 2025; Yitayew, Abdulai, and Yigezu 2023)"},"properties":{"noteIndex":0},"schema":"https://github.com/citation-style-language/schema/raw/master/csl-citation.json"}</w:instrText>
      </w:r>
      <w:r>
        <w:rPr>
          <w:rFonts w:ascii="Arial" w:hAnsi="Arial" w:cs="Arial"/>
          <w:sz w:val="20"/>
          <w:szCs w:val="20"/>
          <w:lang w:val="en-US"/>
        </w:rPr>
        <w:fldChar w:fldCharType="separate"/>
      </w:r>
      <w:r w:rsidRPr="00DB7292">
        <w:rPr>
          <w:rFonts w:ascii="Arial" w:hAnsi="Arial" w:cs="Arial"/>
          <w:noProof/>
          <w:sz w:val="20"/>
          <w:szCs w:val="20"/>
          <w:lang w:val="en-US"/>
        </w:rPr>
        <w:t>(Baylie and Pércsi 2025; Yitayew, Abdulai, and Yigezu 2023)</w:t>
      </w:r>
      <w:r>
        <w:rPr>
          <w:rFonts w:ascii="Arial" w:hAnsi="Arial" w:cs="Arial"/>
          <w:sz w:val="20"/>
          <w:szCs w:val="20"/>
          <w:lang w:val="en-US"/>
        </w:rPr>
        <w:fldChar w:fldCharType="end"/>
      </w:r>
      <w:r w:rsidRPr="00DB7292">
        <w:rPr>
          <w:rFonts w:ascii="Arial" w:hAnsi="Arial" w:cs="Arial"/>
          <w:sz w:val="20"/>
          <w:szCs w:val="20"/>
          <w:lang w:val="en-US"/>
        </w:rPr>
        <w:t xml:space="preserve">. However, maize-specific evidence also highlights that availability depends critically on postharvest performance: experimental findings from Tanzania show that postharvest training—especially when combined with hermetic storage—reduces food insecurity by lowering losses, implying that “technical” extension content should explicitly include drying, storage hygiene, and pest management, particularly in maize-based systems </w:t>
      </w:r>
      <w:r w:rsidRPr="00D1788A">
        <w:rPr>
          <w:rFonts w:ascii="Arial" w:hAnsi="Arial" w:cs="Arial"/>
          <w:sz w:val="20"/>
          <w:szCs w:val="20"/>
          <w:lang w:val="en-US"/>
        </w:rPr>
        <w:t xml:space="preserve"> </w:t>
      </w:r>
      <w:r>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{"citationItems":[{"id":"ITEM-1","itemData":{"DOI":"10.1007/s12571-020-01052-9","ISSN":"1876-4517","abstract":"Reduction of post-harvest loss (PHL) can play an important role in complementing efforts to address food security challenges. This paper used data from 390 small-scale maize farmers in Kilosa, Tanzania to analyse the impact of post-harvest management training and the supply of hermetic bags on food insecurity status in a framed field experiment setting with two treatments. In the first treatment group, farmers were trained on post-harvest management, and in the second treatment they were given the same training as the first treatment group and were, in addition, provided with hermetic bags for storing maize. Our estimations show that the interventions had an impact in reducing maize PHL and household food insecurity. The intervention combining training and supply of hermetic bags abated maize PHL by 53%, whereas the training intervention alone abated PHL by 26%. Further, the intervention combining training and supply of hermetic bags reduced the household food insecurity access scale (HFIAS) score by 30.9% while the training intervention alone reduced it by 10.8% relative to the control group. The two interventions also lowered the probability of treated households experiencing moderate or severe food insecurity, and increased the probability of households being food secure or mildly insecure relative to the control group. Notably, the intervention which combined training and supply of hermetic bags had a significantly larger impact compared to the one providing training only. These results imply that more investment should be done on interventions to reduce PHL to complement efforts to improve food security. They also point to possible affordable interventions to reduce maize PHL and the importance of supplying material support in addition to training to minimize PHL and improve food security in Tanzania.","author":[{"dropping-particle":"","family":"Chegere","given":"Martin Julius","non-dropping-particle":"","parse-names":false,"suffix":""},{"dropping-particle":"","family":"Lokina","given":"Razack","non-dropping-particle":"","parse-names":false,"suffix":""},{"dropping-particle":"","family":"Mwakaje","given":"Agnes G.","non-dropping-particle":"","parse-names":false,"suffix":""}],"container-title":"Food Security","id":"ITEM-1","issue":"6","issued":{"date-parts":[["2020","12","10"]]},"page":"1299-1316","title":"The impact of hermetic storage bag supply and training on food security in Tanzania","type":"article-journal","volume":"12"},"uris":["http://www.mendeley.com/documents/?uuid=cf6f12a7-2c46-410a-8594-0a7607b21c39"]}],"mendeley":{"formattedCitation":"(Chegere, Lokina, and Mwakaje 2020)","plainTextFormattedCitation":"(Chegere, Lokina, and Mwakaje 2020)","previouslyFormattedCitation":"(Chegere, Lokina, and Mwakaje 2020)"},"properties":{"noteIndex":0},"schema":"https://github.com/citation-style-language/schema/raw/master/csl-citation.json"}</w:instrText>
      </w:r>
      <w:r>
        <w:rPr>
          <w:rFonts w:ascii="Arial" w:hAnsi="Arial" w:cs="Arial"/>
          <w:sz w:val="20"/>
          <w:szCs w:val="20"/>
          <w:lang w:val="en-US"/>
        </w:rPr>
        <w:fldChar w:fldCharType="separate"/>
      </w:r>
      <w:r w:rsidRPr="00D1788A">
        <w:rPr>
          <w:rFonts w:ascii="Arial" w:hAnsi="Arial" w:cs="Arial"/>
          <w:noProof/>
          <w:sz w:val="20"/>
          <w:szCs w:val="20"/>
          <w:lang w:val="en-US"/>
        </w:rPr>
        <w:t>(Chegere, Lokina, and Mwakaje 2020)</w:t>
      </w:r>
      <w:r>
        <w:rPr>
          <w:rFonts w:ascii="Arial" w:hAnsi="Arial" w:cs="Arial"/>
          <w:sz w:val="20"/>
          <w:szCs w:val="20"/>
          <w:lang w:val="en-US"/>
        </w:rPr>
        <w:fldChar w:fldCharType="end"/>
      </w:r>
      <w:r w:rsidRPr="00D1788A">
        <w:rPr>
          <w:rFonts w:ascii="Arial" w:hAnsi="Arial" w:cs="Arial"/>
          <w:sz w:val="20"/>
          <w:szCs w:val="20"/>
          <w:lang w:val="en-US"/>
        </w:rPr>
        <w:t>.</w:t>
      </w:r>
    </w:p>
    <w:p w14:paraId="56F22139" w14:textId="77777777" w:rsidR="00EB6BA0" w:rsidRPr="004D01B1" w:rsidRDefault="00EB6BA0" w:rsidP="00EB6BA0">
      <w:pPr>
        <w:pStyle w:val="Head1"/>
        <w:numPr>
          <w:ilvl w:val="0"/>
          <w:numId w:val="5"/>
        </w:numPr>
        <w:spacing w:before="120" w:after="120"/>
        <w:ind w:left="709" w:hanging="635"/>
        <w:jc w:val="both"/>
        <w:rPr>
          <w:rFonts w:ascii="Arial" w:hAnsi="Arial" w:cs="Arial"/>
          <w:caps w:val="0"/>
          <w:sz w:val="20"/>
        </w:rPr>
      </w:pPr>
      <w:r w:rsidRPr="004D01B1">
        <w:rPr>
          <w:rFonts w:ascii="Arial" w:hAnsi="Arial" w:cs="Arial"/>
          <w:caps w:val="0"/>
          <w:sz w:val="20"/>
        </w:rPr>
        <w:t>Effect of Organizer/Linkage role on maize food availability (H3)</w:t>
      </w:r>
    </w:p>
    <w:p w14:paraId="09356C91" w14:textId="01C13A20" w:rsidR="00D10E71" w:rsidRPr="00D1788A" w:rsidRDefault="00D10E71" w:rsidP="00D1788A">
      <w:pPr>
        <w:pStyle w:val="NormalWeb"/>
        <w:spacing w:before="0" w:beforeAutospacing="0" w:after="0" w:afterAutospacing="0"/>
        <w:ind w:firstLine="720"/>
        <w:jc w:val="both"/>
        <w:rPr>
          <w:rFonts w:ascii="Arial" w:hAnsi="Arial" w:cs="Arial"/>
          <w:sz w:val="20"/>
          <w:szCs w:val="20"/>
          <w:lang w:val="en-US"/>
        </w:rPr>
      </w:pPr>
      <w:r w:rsidRPr="00D1788A">
        <w:rPr>
          <w:rFonts w:ascii="Arial" w:hAnsi="Arial" w:cs="Arial"/>
          <w:sz w:val="20"/>
          <w:szCs w:val="20"/>
          <w:lang w:val="en-US"/>
        </w:rPr>
        <w:t xml:space="preserve">Our results corroborate that the organizer/linkage function—which connects farmers to groups, input suppliers, services, and markets—is positively correlated with maize availability. This aligns with evidence indicating that household food outcomes are influenced not only by personal production but also by dependable procurement channels, reduced transaction costs, and enhanced institutional </w:t>
      </w:r>
      <w:proofErr w:type="spellStart"/>
      <w:r w:rsidRPr="00D1788A">
        <w:rPr>
          <w:rFonts w:ascii="Arial" w:hAnsi="Arial" w:cs="Arial"/>
          <w:sz w:val="20"/>
          <w:szCs w:val="20"/>
          <w:lang w:val="en-US"/>
        </w:rPr>
        <w:t>coordination.Panel</w:t>
      </w:r>
      <w:proofErr w:type="spellEnd"/>
      <w:r w:rsidRPr="00D1788A">
        <w:rPr>
          <w:rFonts w:ascii="Arial" w:hAnsi="Arial" w:cs="Arial"/>
          <w:sz w:val="20"/>
          <w:szCs w:val="20"/>
          <w:lang w:val="en-US"/>
        </w:rPr>
        <w:t xml:space="preserve"> evidence from Eastern Africa indicates that improved market access correlates with increased consumer spending, greater dietary diversity, and enhanced food security; this suggests that linkage mechanisms can safeguard households during fluctuations in their own inventories </w:t>
      </w:r>
      <w:r w:rsidR="00D1788A">
        <w:rPr>
          <w:rFonts w:ascii="Arial" w:hAnsi="Arial" w:cs="Arial"/>
          <w:sz w:val="20"/>
          <w:szCs w:val="20"/>
          <w:lang w:val="en-US"/>
        </w:rPr>
        <w:fldChar w:fldCharType="begin" w:fldLock="1"/>
      </w:r>
      <w:r w:rsidR="00D1788A">
        <w:rPr>
          <w:rFonts w:ascii="Arial" w:hAnsi="Arial" w:cs="Arial"/>
          <w:sz w:val="20"/>
          <w:szCs w:val="20"/>
          <w:lang w:val="en-US"/>
        </w:rPr>
        <w:instrText>ADDIN CSL_CITATION {"citationItems":[{"id":"ITEM-1","itemData":{"DOI":"10.1016/j.foodpol.2022.102374","ISSN":"03069192","abstract":"Improved access to markets can influence household dietary diversity, consumption expenditure, and food security through multiple pathways. Market access can increase smallholder farmers’ income through decreased transaction costs, improve diet quality, and reduce poverty and household food insecurity. Improved market access also expands the variety of food available, opening opportunities for consumption diversification. We examine the association between market access and household dietary diversity, consumption expenditure, and food security in the Eastern African countries of Ethiopia and Tanzania using nationally representative panel data from the World Bank’s Living Standards Measurement Study-Integrated Surveys on Agriculture (LSMS-ISA). The empirical findings demonstrate that households located closer to market centers spend more on total household consumption expenditure, consume more diverse diets, and are less food insecure than households located farther away from markets. The results suggest that investing in accessible market development and rural infrastructure to link smallholder farmers to markets is essential for improving household dietary diversity and food security in sub-Saharan African countries.","author":[{"dropping-particle":"","family":"Usman","given":"Muhammed A.","non-dropping-particle":"","parse-names":false,"suffix":""},{"dropping-particle":"","family":"Haile","given":"Mekbib G.","non-dropping-particle":"","parse-names":false,"suffix":""}],"container-title":"Food Policy","id":"ITEM-1","issued":{"date-parts":[["2022","11"]]},"page":"102374","title":"Market access, household dietary diversity and food security: Evidence from Eastern Africa","type":"article-journal","volume":"113"},"uris":["http://www.mendeley.com/documents/?uuid=0b365135-a5c1-4e27-b328-5b9ff984b797"]}],"mendeley":{"formattedCitation":"(Usman and Haile 2022)","plainTextFormattedCitation":"(Usman and Haile 2022)","previouslyFormattedCitation":"(Usman and Haile 2022)"},"properties":{"noteIndex":0},"schema":"https://github.com/citation-style-language/schema/raw/master/csl-citation.json"}</w:instrText>
      </w:r>
      <w:r w:rsidR="00D1788A">
        <w:rPr>
          <w:rFonts w:ascii="Arial" w:hAnsi="Arial" w:cs="Arial"/>
          <w:sz w:val="20"/>
          <w:szCs w:val="20"/>
          <w:lang w:val="en-US"/>
        </w:rPr>
        <w:fldChar w:fldCharType="separate"/>
      </w:r>
      <w:r w:rsidR="00D1788A" w:rsidRPr="00D1788A">
        <w:rPr>
          <w:rFonts w:ascii="Arial" w:hAnsi="Arial" w:cs="Arial"/>
          <w:noProof/>
          <w:sz w:val="20"/>
          <w:szCs w:val="20"/>
          <w:lang w:val="en-US"/>
        </w:rPr>
        <w:t>(Usman and Haile 2022)</w:t>
      </w:r>
      <w:r w:rsidR="00D1788A">
        <w:rPr>
          <w:rFonts w:ascii="Arial" w:hAnsi="Arial" w:cs="Arial"/>
          <w:sz w:val="20"/>
          <w:szCs w:val="20"/>
          <w:lang w:val="en-US"/>
        </w:rPr>
        <w:fldChar w:fldCharType="end"/>
      </w:r>
      <w:r w:rsidRPr="00D1788A">
        <w:rPr>
          <w:rFonts w:ascii="Arial" w:hAnsi="Arial" w:cs="Arial"/>
          <w:sz w:val="20"/>
          <w:szCs w:val="20"/>
          <w:lang w:val="en-US"/>
        </w:rPr>
        <w:t xml:space="preserve">. A recent synthesis on "linking farmers to markets" highlights that market integration can improve income and welfare, though it frequently necessitates institutional and coordination solutions—specifically within the realm of organizer/linkage extension functions, such as group coordination, market </w:t>
      </w:r>
      <w:r w:rsidRPr="00D1788A">
        <w:rPr>
          <w:rFonts w:ascii="Arial" w:hAnsi="Arial" w:cs="Arial"/>
          <w:sz w:val="20"/>
          <w:szCs w:val="20"/>
          <w:lang w:val="en-US"/>
        </w:rPr>
        <w:lastRenderedPageBreak/>
        <w:t xml:space="preserve">information, and buyer connections </w:t>
      </w:r>
      <w:r w:rsidR="00D1788A">
        <w:rPr>
          <w:rFonts w:ascii="Arial" w:hAnsi="Arial" w:cs="Arial"/>
          <w:sz w:val="20"/>
          <w:szCs w:val="20"/>
          <w:lang w:val="en-US"/>
        </w:rPr>
        <w:fldChar w:fldCharType="begin" w:fldLock="1"/>
      </w:r>
      <w:r w:rsidR="00D1788A">
        <w:rPr>
          <w:rFonts w:ascii="Arial" w:hAnsi="Arial" w:cs="Arial"/>
          <w:sz w:val="20"/>
          <w:szCs w:val="20"/>
          <w:lang w:val="en-US"/>
        </w:rPr>
        <w:instrText>ADDIN CSL_CITATION {"citationItems":[{"id":"ITEM-1","itemData":{"DOI":"10.1016/j.eap.2024.05.005","ISSN":"03135926","abstract":"The 15 studies highlighted in this special issue collectively underscore the significant impacts of market participation on farmers’ well-being, income, poverty reduction, dietary diversity, and rural economic growth. They also delve into the importance of marketing channel choice and the role of e-commerce in enhancing farmers’ market linkages. In addition, they address farmers’ preferences for market access interventions and the examination of market power within the agricultural industry, especially in low-income countries. The key findings include: (1) Market participation is critical for improving farmers’ subjective and objective well-being, with studies demonstrating positive impacts on income, poverty reduction, and dietary diversity; (2) The choice of marketing channels significantly influences income, with evidence suggesting online sales can substantially increase farmers’ earnings; (3) E-commerce plays a pivotal role in connecting farmers to broader markets, leading to income growth and enhanced market visibility; (4) Understanding and addressing farmers’ preferences for market access through interventions like systematization policies and joint ventures can facilitate better market integration and support inclusive business models; (5) Analysis of market power within the primary foods industry reveals rising markups, particularly affecting low-income countries. These findings suggest that policies and interventions aiming to improve market access, promote e-commerce, and consider farmers’ preferences and market power dynamics can significantly impact farmers’ incomes, poverty levels, and overall rural economic development.","author":[{"dropping-particle":"","family":"Ma","given":"Wanglin","non-dropping-particle":"","parse-names":false,"suffix":""},{"dropping-particle":"","family":"Rahut","given":"Dil Bahadur","non-dropping-particle":"","parse-names":false,"suffix":""},{"dropping-particle":"","family":"Sonobe","given":"Tetsushi","non-dropping-particle":"","parse-names":false,"suffix":""},{"dropping-particle":"","family":"Gong","given":"Binlei","non-dropping-particle":"","parse-names":false,"suffix":""}],"container-title":"Economic Analysis and Policy","id":"ITEM-1","issue":"May","issued":{"date-parts":[["2024","6"]]},"page":"1102-1112","publisher":"Elsevier B.V.","title":"Linking farmers to markets: Barriers, solutions, and policy options","type":"article-journal","volume":"82"},"uris":["http://www.mendeley.com/documents/?uuid=d529330c-f23d-463b-bdcf-0aef9de10991"]}],"mendeley":{"formattedCitation":"(Ma et al. 2024)","plainTextFormattedCitation":"(Ma et al. 2024)","previouslyFormattedCitation":"(Ma et al. 2024)"},"properties":{"noteIndex":0},"schema":"https://github.com/citation-style-language/schema/raw/master/csl-citation.json"}</w:instrText>
      </w:r>
      <w:r w:rsidR="00D1788A">
        <w:rPr>
          <w:rFonts w:ascii="Arial" w:hAnsi="Arial" w:cs="Arial"/>
          <w:sz w:val="20"/>
          <w:szCs w:val="20"/>
          <w:lang w:val="en-US"/>
        </w:rPr>
        <w:fldChar w:fldCharType="separate"/>
      </w:r>
      <w:r w:rsidR="00D1788A" w:rsidRPr="00D1788A">
        <w:rPr>
          <w:rFonts w:ascii="Arial" w:hAnsi="Arial" w:cs="Arial"/>
          <w:noProof/>
          <w:sz w:val="20"/>
          <w:szCs w:val="20"/>
          <w:lang w:val="en-US"/>
        </w:rPr>
        <w:t>(Ma et al. 2024)</w:t>
      </w:r>
      <w:r w:rsidR="00D1788A">
        <w:rPr>
          <w:rFonts w:ascii="Arial" w:hAnsi="Arial" w:cs="Arial"/>
          <w:sz w:val="20"/>
          <w:szCs w:val="20"/>
          <w:lang w:val="en-US"/>
        </w:rPr>
        <w:fldChar w:fldCharType="end"/>
      </w:r>
      <w:r w:rsidRPr="00D1788A">
        <w:rPr>
          <w:rFonts w:ascii="Arial" w:hAnsi="Arial" w:cs="Arial"/>
          <w:sz w:val="20"/>
          <w:szCs w:val="20"/>
          <w:lang w:val="en-US"/>
        </w:rPr>
        <w:t>.  In contrast to environments with robust market infrastructure, the linkage effect may be more pronounced in remote or high-transaction-cost contexts, where enhanced coordination directly optimizes input timing and purchasing capability during periods of scarcity. Conclusion: H3 is validated; enhancing organizer/linkage capacity serves as a strategic mechanism in TTU to stabilize maize availability, particularly during seasonal deficits and market disruptions</w:t>
      </w:r>
    </w:p>
    <w:p w14:paraId="45DBB6A6" w14:textId="77777777" w:rsidR="00EB6BA0" w:rsidRPr="004D01B1" w:rsidRDefault="00EB6BA0" w:rsidP="00EB6BA0">
      <w:pPr>
        <w:pStyle w:val="Head1"/>
        <w:numPr>
          <w:ilvl w:val="0"/>
          <w:numId w:val="5"/>
        </w:numPr>
        <w:spacing w:before="120" w:after="120"/>
        <w:ind w:left="709" w:hanging="635"/>
        <w:jc w:val="both"/>
        <w:rPr>
          <w:rFonts w:ascii="Arial" w:hAnsi="Arial" w:cs="Arial"/>
          <w:caps w:val="0"/>
          <w:sz w:val="20"/>
        </w:rPr>
      </w:pPr>
      <w:r w:rsidRPr="004D01B1">
        <w:rPr>
          <w:rFonts w:ascii="Arial" w:hAnsi="Arial" w:cs="Arial"/>
          <w:caps w:val="0"/>
          <w:sz w:val="20"/>
        </w:rPr>
        <w:t>Simultaneous effect of extension roles on maize food availability (H4)</w:t>
      </w:r>
    </w:p>
    <w:p w14:paraId="18FAE3D6" w14:textId="0CEF061D" w:rsidR="00EB6BA0" w:rsidRPr="00D1788A" w:rsidRDefault="003D792D" w:rsidP="00EB6BA0">
      <w:pPr>
        <w:pStyle w:val="NormalWeb"/>
        <w:spacing w:before="0" w:beforeAutospacing="0" w:after="0" w:afterAutospacing="0"/>
        <w:ind w:firstLine="720"/>
        <w:jc w:val="both"/>
        <w:rPr>
          <w:rFonts w:ascii="Arial" w:hAnsi="Arial" w:cs="Arial"/>
          <w:sz w:val="20"/>
          <w:szCs w:val="20"/>
          <w:lang w:val="en-US"/>
        </w:rPr>
      </w:pPr>
      <w:r w:rsidRPr="00D1788A">
        <w:rPr>
          <w:rFonts w:ascii="Arial" w:hAnsi="Arial" w:cs="Arial"/>
          <w:sz w:val="20"/>
          <w:szCs w:val="20"/>
          <w:lang w:val="en-US"/>
        </w:rPr>
        <w:t xml:space="preserve">The model-level findings substantiate H4: the roles of facilitator/educator, technical/motivator, and organizer/linkage collectively account for the variability in maize availability, indicating that extension is provided and perceived as a cohesive service package rather than as discrete tasks. This approach aligns with empirical research indicating that extension and advisory services influence food security through various, interrelated pathways (knowledge → adoption/management → productivity/risk reduction → food outcomes) </w:t>
      </w:r>
      <w:r w:rsidRPr="00D1788A">
        <w:rPr>
          <w:rFonts w:ascii="Arial" w:hAnsi="Arial" w:cs="Arial"/>
          <w:sz w:val="20"/>
          <w:szCs w:val="20"/>
          <w:lang w:val="en-US"/>
        </w:rPr>
        <w:fldChar w:fldCharType="begin" w:fldLock="1"/>
      </w:r>
      <w:r w:rsidR="00B1457B" w:rsidRPr="00D1788A">
        <w:rPr>
          <w:rFonts w:ascii="Arial" w:hAnsi="Arial" w:cs="Arial"/>
          <w:sz w:val="20"/>
          <w:szCs w:val="20"/>
          <w:lang w:val="en-US"/>
        </w:rPr>
        <w:instrText>ADDIN CSL_CITATION {"citationItems":[{"id":"ITEM-1","itemData":{"DOI":"10.1016/j.gfs.2023.100678","ISSN":"22119124","abstract":"While a robust correlation has been proven between agricultural extension advisory service (AEAS) and increases in agricultural production in literature, it’s undefined whether this holds true between AEAS and food security. This study stretched the theory from increased agricultural production to food security by using WB-LSMS data from 2009 to 2020. We set up a treated and a control group and then employed difference-in-difference and kernel PSM-DID to analyze the two groups, whiles applying stationarity, cointegration, and post-estimation diagnostic tests to ensure data robustness. The results denote a positive relationship between AEAS and food security while factors including capital, finance, and region, among others hinder households from engaging in AEAS. Policy implications are outlined for AEAS and food security integration.","author":[{"dropping-particle":"","family":"Brenya","given":"Robert","non-dropping-particle":"","parse-names":false,"suffix":""},{"dropping-particle":"","family":"Zhu","given":"Jing","non-dropping-particle":"","parse-names":false,"suffix":""}],"container-title":"Global Food Security","id":"ITEM-1","issued":{"date-parts":[["2023","3"]]},"page":"100678","title":"Agricultural extension and food security – The case of Uganda","type":"article-journal","volume":"36"},"uris":["http://www.mendeley.com/documents/?uuid=eaafd90a-6528-41fb-a6eb-d443740db304"]}],"mendeley":{"formattedCitation":"(Brenya and Zhu 2023)","plainTextFormattedCitation":"(Brenya and Zhu 2023)","previouslyFormattedCitation":"(Brenya and Zhu 2023)"},"properties":{"noteIndex":0},"schema":"https://github.com/citation-style-language/schema/raw/master/csl-citation.json"}</w:instrText>
      </w:r>
      <w:r w:rsidRPr="00D1788A">
        <w:rPr>
          <w:rFonts w:ascii="Arial" w:hAnsi="Arial" w:cs="Arial"/>
          <w:sz w:val="20"/>
          <w:szCs w:val="20"/>
          <w:lang w:val="en-US"/>
        </w:rPr>
        <w:fldChar w:fldCharType="separate"/>
      </w:r>
      <w:r w:rsidR="00B1457B" w:rsidRPr="00D1788A">
        <w:rPr>
          <w:rFonts w:ascii="Arial" w:hAnsi="Arial" w:cs="Arial"/>
          <w:noProof/>
          <w:sz w:val="20"/>
          <w:szCs w:val="20"/>
          <w:lang w:val="en-US"/>
        </w:rPr>
        <w:t>(Brenya and Zhu 2023)</w:t>
      </w:r>
      <w:r w:rsidRPr="00D1788A">
        <w:rPr>
          <w:rFonts w:ascii="Arial" w:hAnsi="Arial" w:cs="Arial"/>
          <w:sz w:val="20"/>
          <w:szCs w:val="20"/>
          <w:lang w:val="en-US"/>
        </w:rPr>
        <w:fldChar w:fldCharType="end"/>
      </w:r>
      <w:r w:rsidRPr="00D1788A">
        <w:rPr>
          <w:rFonts w:ascii="Arial" w:hAnsi="Arial" w:cs="Arial"/>
          <w:sz w:val="20"/>
          <w:szCs w:val="20"/>
          <w:lang w:val="en-US"/>
        </w:rPr>
        <w:t xml:space="preserve">. Comparative studies indicate that systemic constraints (input access, knowledge, risk, and market linkages) seldom function in isolation; consequently, integrated interventions generally surpass single-component strategies—an observation highlighted in recent research on farmer–market linkages and associated barriers/solutions </w:t>
      </w:r>
      <w:r w:rsidRPr="00D1788A">
        <w:rPr>
          <w:rFonts w:ascii="Arial" w:hAnsi="Arial" w:cs="Arial"/>
          <w:sz w:val="20"/>
          <w:szCs w:val="20"/>
          <w:lang w:val="en-US"/>
        </w:rPr>
        <w:fldChar w:fldCharType="begin" w:fldLock="1"/>
      </w:r>
      <w:r w:rsidR="00B1457B" w:rsidRPr="00D1788A">
        <w:rPr>
          <w:rFonts w:ascii="Arial" w:hAnsi="Arial" w:cs="Arial"/>
          <w:sz w:val="20"/>
          <w:szCs w:val="20"/>
          <w:lang w:val="en-US"/>
        </w:rPr>
        <w:instrText>ADDIN CSL_CITATION {"citationItems":[{"id":"ITEM-1","itemData":{"DOI":"10.1016/j.eap.2024.05.005","ISSN":"03135926","abstract":"The 15 studies highlighted in this special issue collectively underscore the significant impacts of market participation on farmers’ well-being, income, poverty reduction, dietary diversity, and rural economic growth. They also delve into the importance of marketing channel choice and the role of e-commerce in enhancing farmers’ market linkages. In addition, they address farmers’ preferences for market access interventions and the examination of market power within the agricultural industry, especially in low-income countries. The key findings include: (1) Market participation is critical for improving farmers’ subjective and objective well-being, with studies demonstrating positive impacts on income, poverty reduction, and dietary diversity; (2) The choice of marketing channels significantly influences income, with evidence suggesting online sales can substantially increase farmers’ earnings; (3) E-commerce plays a pivotal role in connecting farmers to broader markets, leading to income growth and enhanced market visibility; (4) Understanding and addressing farmers’ preferences for market access through interventions like systematization policies and joint ventures can facilitate better market integration and support inclusive business models; (5) Analysis of market power within the primary foods industry reveals rising markups, particularly affecting low-income countries. These findings suggest that policies and interventions aiming to improve market access, promote e-commerce, and consider farmers’ preferences and market power dynamics can significantly impact farmers’ incomes, poverty levels, and overall rural economic development.","author":[{"dropping-particle":"","family":"Ma","given":"Wanglin","non-dropping-particle":"","parse-names":false,"suffix":""},{"dropping-particle":"","family":"Rahut","given":"Dil Bahadur","non-dropping-particle":"","parse-names":false,"suffix":""},{"dropping-particle":"","family":"Sonobe","given":"Tetsushi","non-dropping-particle":"","parse-names":false,"suffix":""},{"dropping-particle":"","family":"Gong","given":"Binlei","non-dropping-particle":"","parse-names":false,"suffix":""}],"container-title":"Economic Analysis and Policy","id":"ITEM-1","issue":"May","issued":{"date-parts":[["2024","6"]]},"page":"1102-1112","publisher":"Elsevier B.V.","title":"Linking farmers to markets: Barriers, solutions, and policy options","type":"article-journal","volume":"82"},"uris":["http://www.mendeley.com/documents/?uuid=d529330c-f23d-463b-bdcf-0aef9de10991"]}],"mendeley":{"formattedCitation":"(Ma et al. 2024)","plainTextFormattedCitation":"(Ma et al. 2024)","previouslyFormattedCitation":"(Ma et al. 2024)"},"properties":{"noteIndex":0},"schema":"https://github.com/citation-style-language/schema/raw/master/csl-citation.json"}</w:instrText>
      </w:r>
      <w:r w:rsidRPr="00D1788A">
        <w:rPr>
          <w:rFonts w:ascii="Arial" w:hAnsi="Arial" w:cs="Arial"/>
          <w:sz w:val="20"/>
          <w:szCs w:val="20"/>
          <w:lang w:val="en-US"/>
        </w:rPr>
        <w:fldChar w:fldCharType="separate"/>
      </w:r>
      <w:r w:rsidRPr="00D1788A">
        <w:rPr>
          <w:rFonts w:ascii="Arial" w:hAnsi="Arial" w:cs="Arial"/>
          <w:noProof/>
          <w:sz w:val="20"/>
          <w:szCs w:val="20"/>
          <w:lang w:val="en-US"/>
        </w:rPr>
        <w:t>(Ma et al. 2024)</w:t>
      </w:r>
      <w:r w:rsidRPr="00D1788A">
        <w:rPr>
          <w:rFonts w:ascii="Arial" w:hAnsi="Arial" w:cs="Arial"/>
          <w:sz w:val="20"/>
          <w:szCs w:val="20"/>
          <w:lang w:val="en-US"/>
        </w:rPr>
        <w:fldChar w:fldCharType="end"/>
      </w:r>
      <w:r w:rsidRPr="00D1788A">
        <w:rPr>
          <w:rFonts w:ascii="Arial" w:hAnsi="Arial" w:cs="Arial"/>
          <w:sz w:val="20"/>
          <w:szCs w:val="20"/>
          <w:lang w:val="en-US"/>
        </w:rPr>
        <w:t xml:space="preserve">. This suggests that concentrating solely on training (without tools or connections) or exclusively on links (without technical capacity) may yield inferior results compared to a coordinated enhancement of all functions. Conclusion: H4 is substantiated; the most tenable interpretation for TTU is that extension functions as a cohesive system, necessitating the integration of improvement techniques across education, technical support, and linking roles </w:t>
      </w:r>
      <w:r w:rsidR="00EB6BA0" w:rsidRPr="001047A2">
        <w:rPr>
          <w:rFonts w:ascii="Arial" w:hAnsi="Arial" w:cs="Arial"/>
          <w:sz w:val="20"/>
          <w:szCs w:val="20"/>
          <w:lang w:val="en-US"/>
        </w:rPr>
        <w:fldChar w:fldCharType="begin" w:fldLock="1"/>
      </w:r>
      <w:r w:rsidR="00B1457B">
        <w:rPr>
          <w:rFonts w:ascii="Arial" w:hAnsi="Arial" w:cs="Arial"/>
          <w:sz w:val="20"/>
          <w:szCs w:val="20"/>
          <w:lang w:val="en-US"/>
        </w:rPr>
        <w:instrText>ADDIN CSL_CITATION {"citationItems":[{"id":"ITEM-1","itemData":{"DOI":"10.1016/j.gfs.2023.100678","ISSN":"22119124","abstract":"While a robust correlation has been proven between agricultural extension advisory service (AEAS) and increases in agricultural production in literature, it’s undefined whether this holds true between AEAS and food security. This study stretched the theory from increased agricultural production to food security by using WB-LSMS data from 2009 to 2020. We set up a treated and a control group and then employed difference-in-difference and kernel PSM-DID to analyze the two groups, whiles applying stationarity, cointegration, and post-estimation diagnostic tests to ensure data robustness. The results denote a positive relationship between AEAS and food security while factors including capital, finance, and region, among others hinder households from engaging in AEAS. Policy implications are outlined for AEAS and food security integration.","author":[{"dropping-particle":"","family":"Brenya","given":"Robert","non-dropping-particle":"","parse-names":false,"suffix":""},{"dropping-particle":"","family":"Zhu","given":"Jing","non-dropping-particle":"","parse-names":false,"suffix":""}],"container-title":"Global Food Security","id":"ITEM-1","issued":{"date-parts":[["2023","3"]]},"page":"100678","title":"Agricultural extension and food security – The case of Uganda","type":"article-journal","volume":"36"},"uris":["http://www.mendeley.com/documents/?uuid=eaafd90a-6528-41fb-a6eb-d443740db304"]}],"mendeley":{"formattedCitation":"(Brenya and Zhu 2023)","plainTextFormattedCitation":"(Brenya and Zhu 2023)","previouslyFormattedCitation":"(Brenya and Zhu 2023)"},"properties":{"noteIndex":0},"schema":"https://github.com/citation-style-language/schema/raw/master/csl-citation.json"}</w:instrText>
      </w:r>
      <w:r w:rsidR="00EB6BA0" w:rsidRPr="001047A2">
        <w:rPr>
          <w:rFonts w:ascii="Arial" w:hAnsi="Arial" w:cs="Arial"/>
          <w:sz w:val="20"/>
          <w:szCs w:val="20"/>
          <w:lang w:val="en-US"/>
        </w:rPr>
        <w:fldChar w:fldCharType="separate"/>
      </w:r>
      <w:r w:rsidR="00B1457B" w:rsidRPr="00B1457B">
        <w:rPr>
          <w:rFonts w:ascii="Arial" w:hAnsi="Arial" w:cs="Arial"/>
          <w:noProof/>
          <w:sz w:val="20"/>
          <w:szCs w:val="20"/>
          <w:lang w:val="en-US"/>
        </w:rPr>
        <w:t>(Brenya and Zhu 2023)</w:t>
      </w:r>
      <w:r w:rsidR="00EB6BA0" w:rsidRPr="001047A2">
        <w:rPr>
          <w:rFonts w:ascii="Arial" w:hAnsi="Arial" w:cs="Arial"/>
          <w:sz w:val="20"/>
          <w:szCs w:val="20"/>
          <w:lang w:val="en-US"/>
        </w:rPr>
        <w:fldChar w:fldCharType="end"/>
      </w:r>
      <w:r w:rsidR="00EB6BA0" w:rsidRPr="00D1788A">
        <w:rPr>
          <w:rFonts w:ascii="Arial" w:hAnsi="Arial" w:cs="Arial"/>
          <w:sz w:val="20"/>
          <w:szCs w:val="20"/>
          <w:lang w:val="en-US"/>
        </w:rPr>
        <w:t>.</w:t>
      </w:r>
    </w:p>
    <w:p w14:paraId="6C0340F0" w14:textId="77777777" w:rsidR="00EB6BA0" w:rsidRPr="00D1788A" w:rsidRDefault="00EB6BA0" w:rsidP="00EB6BA0">
      <w:pPr>
        <w:pStyle w:val="NormalWeb"/>
        <w:spacing w:before="0" w:beforeAutospacing="0" w:after="0" w:afterAutospacing="0"/>
        <w:ind w:firstLine="720"/>
        <w:jc w:val="both"/>
        <w:rPr>
          <w:rFonts w:ascii="Arial" w:hAnsi="Arial" w:cs="Arial"/>
          <w:sz w:val="20"/>
          <w:szCs w:val="20"/>
          <w:lang w:val="en-US"/>
        </w:rPr>
      </w:pPr>
    </w:p>
    <w:p w14:paraId="53DF19DE" w14:textId="77777777" w:rsidR="00EB6BA0" w:rsidRPr="001047A2" w:rsidRDefault="00EB6BA0" w:rsidP="00EB6BA0">
      <w:pPr>
        <w:pStyle w:val="ConcHead"/>
        <w:spacing w:after="0"/>
        <w:jc w:val="both"/>
        <w:rPr>
          <w:rFonts w:ascii="Arial" w:hAnsi="Arial" w:cs="Arial"/>
        </w:rPr>
      </w:pPr>
      <w:r w:rsidRPr="001047A2">
        <w:rPr>
          <w:rFonts w:ascii="Arial" w:hAnsi="Arial" w:cs="Arial"/>
        </w:rPr>
        <w:t>4. Conclusion</w:t>
      </w:r>
    </w:p>
    <w:p w14:paraId="0B3BC558" w14:textId="487A89F2" w:rsidR="00EB6BA0" w:rsidRDefault="00D10E71" w:rsidP="00D10E71">
      <w:pPr>
        <w:pStyle w:val="NormalWeb"/>
        <w:spacing w:before="0" w:beforeAutospacing="0" w:after="0" w:afterAutospacing="0"/>
        <w:ind w:firstLine="720"/>
        <w:jc w:val="both"/>
        <w:rPr>
          <w:rFonts w:ascii="Arial" w:hAnsi="Arial" w:cs="Arial"/>
          <w:sz w:val="20"/>
          <w:lang w:val="en-US"/>
        </w:rPr>
      </w:pPr>
      <w:r w:rsidRPr="00D10E71">
        <w:rPr>
          <w:rFonts w:ascii="Arial" w:hAnsi="Arial" w:cs="Arial"/>
          <w:sz w:val="20"/>
          <w:lang w:val="en-US"/>
        </w:rPr>
        <w:t xml:space="preserve">This study evaluated the correlation between farmers’ perceptions of agricultural extension roles—facilitator/educator, technical adviser/motivator, and organizer/linkage—and household maize availability among </w:t>
      </w:r>
      <w:proofErr w:type="spellStart"/>
      <w:r w:rsidRPr="00D10E71">
        <w:rPr>
          <w:rFonts w:ascii="Arial" w:hAnsi="Arial" w:cs="Arial"/>
          <w:sz w:val="20"/>
          <w:lang w:val="en-US"/>
        </w:rPr>
        <w:t>Atoin</w:t>
      </w:r>
      <w:proofErr w:type="spellEnd"/>
      <w:r w:rsidRPr="00D10E71">
        <w:rPr>
          <w:rFonts w:ascii="Arial" w:hAnsi="Arial" w:cs="Arial"/>
          <w:sz w:val="20"/>
          <w:lang w:val="en-US"/>
        </w:rPr>
        <w:t xml:space="preserve"> </w:t>
      </w:r>
      <w:proofErr w:type="spellStart"/>
      <w:r w:rsidRPr="00D10E71">
        <w:rPr>
          <w:rFonts w:ascii="Arial" w:hAnsi="Arial" w:cs="Arial"/>
          <w:sz w:val="20"/>
          <w:lang w:val="en-US"/>
        </w:rPr>
        <w:t>Meto</w:t>
      </w:r>
      <w:proofErr w:type="spellEnd"/>
      <w:r w:rsidRPr="00D10E71">
        <w:rPr>
          <w:rFonts w:ascii="Arial" w:hAnsi="Arial" w:cs="Arial"/>
          <w:sz w:val="20"/>
          <w:lang w:val="en-US"/>
        </w:rPr>
        <w:t xml:space="preserve"> (</w:t>
      </w:r>
      <w:proofErr w:type="spellStart"/>
      <w:r w:rsidRPr="00D10E71">
        <w:rPr>
          <w:rFonts w:ascii="Arial" w:hAnsi="Arial" w:cs="Arial"/>
          <w:sz w:val="20"/>
          <w:lang w:val="en-US"/>
        </w:rPr>
        <w:t>Dawan</w:t>
      </w:r>
      <w:proofErr w:type="spellEnd"/>
      <w:r w:rsidRPr="00D10E71">
        <w:rPr>
          <w:rFonts w:ascii="Arial" w:hAnsi="Arial" w:cs="Arial"/>
          <w:sz w:val="20"/>
          <w:lang w:val="en-US"/>
        </w:rPr>
        <w:t xml:space="preserve">) farmers in North Central Timor (TTU), East Nusa Tenggara, Indonesia. The results demonstrate that extension functions correlate positively with maize availability; </w:t>
      </w:r>
      <w:r w:rsidRPr="00D10E71">
        <w:rPr>
          <w:rFonts w:ascii="Arial" w:hAnsi="Arial" w:cs="Arial"/>
          <w:bCs/>
          <w:sz w:val="20"/>
          <w:lang w:val="en-US"/>
        </w:rPr>
        <w:t>however,</w:t>
      </w:r>
      <w:r w:rsidRPr="00D10E71">
        <w:rPr>
          <w:rFonts w:ascii="Arial" w:hAnsi="Arial" w:cs="Arial"/>
          <w:sz w:val="20"/>
          <w:lang w:val="en-US"/>
        </w:rPr>
        <w:t xml:space="preserve"> because the dimensions of these roles significantly intersect, no single function can be identified as distinctly predominant. The findings indicate that extension services operate as a cohesive package, where the education and facilitation of Good Agricultural Practices (GAP) should be enhanced alongside prompt technical assistance—including postharvest loss mitigation—and organizational roles that link farmer groups to inputs, storage solutions, and markets. Given that a significant portion of the variation in maize availability is influenced by factors beyond extension services, enhancing these efforts must be supported by facilitating conditions, such as upgraded storage infrastructure, improved market access, and climate risk mitigation strategies, to effectively maintain staple stocks throughout the seasons</w:t>
      </w:r>
      <w:r w:rsidR="00AA3303">
        <w:rPr>
          <w:rFonts w:ascii="Arial" w:hAnsi="Arial" w:cs="Arial"/>
          <w:sz w:val="20"/>
          <w:lang w:val="en-US"/>
        </w:rPr>
        <w:t>.</w:t>
      </w:r>
    </w:p>
    <w:p w14:paraId="38412674" w14:textId="60D23A55" w:rsidR="00AA3303" w:rsidRDefault="00AA3303" w:rsidP="00D10E71">
      <w:pPr>
        <w:pStyle w:val="NormalWeb"/>
        <w:spacing w:before="0" w:beforeAutospacing="0" w:after="0" w:afterAutospacing="0"/>
        <w:ind w:firstLine="720"/>
        <w:jc w:val="both"/>
        <w:rPr>
          <w:rFonts w:ascii="Arial" w:hAnsi="Arial" w:cs="Arial"/>
        </w:rPr>
      </w:pPr>
    </w:p>
    <w:p w14:paraId="7C14AD96" w14:textId="77777777" w:rsidR="000D7F1E" w:rsidRPr="001047A2" w:rsidRDefault="000D7F1E" w:rsidP="00D10E71">
      <w:pPr>
        <w:pStyle w:val="NormalWeb"/>
        <w:spacing w:before="0" w:beforeAutospacing="0" w:after="0" w:afterAutospacing="0"/>
        <w:ind w:firstLine="720"/>
        <w:jc w:val="both"/>
        <w:rPr>
          <w:rFonts w:ascii="Arial" w:hAnsi="Arial" w:cs="Arial"/>
        </w:rPr>
      </w:pPr>
    </w:p>
    <w:p w14:paraId="371A9C28" w14:textId="77777777" w:rsidR="00EB6BA0" w:rsidRPr="00EA5CB1" w:rsidRDefault="00EB6BA0" w:rsidP="00EA5CB1">
      <w:pPr>
        <w:spacing w:before="120" w:after="120" w:line="240" w:lineRule="auto"/>
        <w:rPr>
          <w:rFonts w:ascii="Arial" w:hAnsi="Arial" w:cs="Arial"/>
          <w:b/>
          <w:sz w:val="22"/>
        </w:rPr>
      </w:pPr>
      <w:bookmarkStart w:id="0" w:name="_Hlk219125673"/>
      <w:r w:rsidRPr="00EA5CB1">
        <w:rPr>
          <w:rFonts w:ascii="Arial" w:hAnsi="Arial" w:cs="Arial"/>
          <w:b/>
          <w:sz w:val="22"/>
        </w:rPr>
        <w:t>Disclaimer (Artificial Intelligence)</w:t>
      </w:r>
    </w:p>
    <w:p w14:paraId="12E58AD1" w14:textId="5335DAB8" w:rsidR="00EB6BA0" w:rsidRDefault="00EB6BA0" w:rsidP="00EB6BA0">
      <w:pPr>
        <w:pStyle w:val="Body"/>
        <w:spacing w:after="0"/>
        <w:rPr>
          <w:rFonts w:ascii="Arial" w:hAnsi="Arial" w:cs="Arial"/>
        </w:rPr>
      </w:pPr>
      <w:r w:rsidRPr="001047A2">
        <w:rPr>
          <w:rFonts w:ascii="Arial" w:hAnsi="Arial" w:cs="Arial"/>
        </w:rPr>
        <w:t>The author(s) hereby declare that no generative AI technologies (including large language models such as ChatGPT, Copilot, or similar tools, and text-to-image generators) were used in the writing or editing of this manuscript.</w:t>
      </w:r>
    </w:p>
    <w:bookmarkEnd w:id="0"/>
    <w:p w14:paraId="45C7C518" w14:textId="1690093C" w:rsidR="00EA5CB1" w:rsidRDefault="00EA5CB1" w:rsidP="00EA5CB1">
      <w:pPr>
        <w:spacing w:before="120" w:after="120" w:line="240" w:lineRule="auto"/>
        <w:rPr>
          <w:rFonts w:ascii="Arial" w:hAnsi="Arial" w:cs="Arial"/>
          <w:b/>
          <w:sz w:val="22"/>
        </w:rPr>
      </w:pPr>
      <w:r w:rsidRPr="00EA5CB1">
        <w:rPr>
          <w:rFonts w:ascii="Arial" w:hAnsi="Arial" w:cs="Arial"/>
          <w:b/>
          <w:sz w:val="22"/>
        </w:rPr>
        <w:t>Recommendations</w:t>
      </w:r>
    </w:p>
    <w:p w14:paraId="2EBF015D" w14:textId="1E084ECF" w:rsidR="00D26233" w:rsidRPr="004C58A5" w:rsidRDefault="002D713F" w:rsidP="004C58A5">
      <w:pPr>
        <w:pStyle w:val="NormalWeb"/>
        <w:spacing w:before="0" w:beforeAutospacing="0" w:after="0" w:afterAutospacing="0"/>
        <w:jc w:val="both"/>
        <w:rPr>
          <w:rFonts w:ascii="Arial" w:hAnsi="Arial" w:cs="Arial"/>
          <w:sz w:val="20"/>
          <w:lang w:val="en-US"/>
        </w:rPr>
      </w:pPr>
      <w:r>
        <w:rPr>
          <w:rFonts w:ascii="Arial" w:hAnsi="Arial" w:cs="Arial"/>
          <w:sz w:val="20"/>
          <w:lang w:val="en-US"/>
        </w:rPr>
        <w:t>Policymakers and practitioners must enhance extension delivery in TTU as a cohesive service package—incorporating facilitation/education, technical guidance, and organizational/linkage functions—while emphasizing structured GAP implementation support (seasonal action plans, synchronized group schedules, and regular follow-ups), clear postharvest-loss mitigation to safeguard household maize reserves, and improved connections to inputs, storage solutions, and markets via farmer-group coordination. In culturally unique communities, pilot programs ought to be collaboratively designed with traditional leadership (</w:t>
      </w:r>
      <w:proofErr w:type="spellStart"/>
      <w:r>
        <w:rPr>
          <w:rFonts w:ascii="Arial" w:hAnsi="Arial" w:cs="Arial"/>
          <w:sz w:val="20"/>
          <w:lang w:val="en-US"/>
        </w:rPr>
        <w:t>Amaf</w:t>
      </w:r>
      <w:proofErr w:type="spellEnd"/>
      <w:r>
        <w:rPr>
          <w:rFonts w:ascii="Arial" w:hAnsi="Arial" w:cs="Arial"/>
          <w:sz w:val="20"/>
          <w:lang w:val="en-US"/>
        </w:rPr>
        <w:t>) and extension agents to enhance trust and compliance. Program enhancements should be assessed through longitudinal or quasi-experimental designs, supplemented by objective implementation and inventory metrics (e.g., storage audits, stock assessments, or farm records) and impact diagnostics.</w:t>
      </w:r>
    </w:p>
    <w:p w14:paraId="65ACFEE7" w14:textId="77777777" w:rsidR="00EA5CB1" w:rsidRPr="00EA5CB1" w:rsidRDefault="00EA5CB1" w:rsidP="00EA5CB1">
      <w:pPr>
        <w:spacing w:before="120" w:after="120" w:line="240" w:lineRule="auto"/>
        <w:rPr>
          <w:rFonts w:ascii="Arial" w:hAnsi="Arial" w:cs="Arial"/>
          <w:b/>
          <w:sz w:val="22"/>
        </w:rPr>
      </w:pPr>
      <w:bookmarkStart w:id="1" w:name="_GoBack"/>
      <w:bookmarkEnd w:id="1"/>
      <w:r w:rsidRPr="00EA5CB1">
        <w:rPr>
          <w:rFonts w:ascii="Arial" w:hAnsi="Arial" w:cs="Arial"/>
          <w:b/>
          <w:sz w:val="22"/>
        </w:rPr>
        <w:lastRenderedPageBreak/>
        <w:t>Data Availability</w:t>
      </w:r>
    </w:p>
    <w:p w14:paraId="38BBD3A4" w14:textId="77777777" w:rsidR="00EA5CB1" w:rsidRPr="00EA5CB1" w:rsidRDefault="00EA5CB1" w:rsidP="00EA5CB1">
      <w:pPr>
        <w:pStyle w:val="NormalWeb"/>
        <w:spacing w:before="0" w:beforeAutospacing="0" w:after="0" w:afterAutospacing="0"/>
        <w:jc w:val="both"/>
        <w:rPr>
          <w:rFonts w:ascii="Arial" w:hAnsi="Arial" w:cs="Arial"/>
          <w:sz w:val="20"/>
          <w:szCs w:val="20"/>
        </w:rPr>
      </w:pPr>
      <w:r w:rsidRPr="00EA5CB1">
        <w:rPr>
          <w:rFonts w:ascii="Arial" w:hAnsi="Arial" w:cs="Arial"/>
          <w:sz w:val="20"/>
          <w:szCs w:val="20"/>
        </w:rPr>
        <w:t>The data underpinning this investigation are available in the electronic supplementary materials.</w:t>
      </w:r>
    </w:p>
    <w:p w14:paraId="05E7B093" w14:textId="77777777" w:rsidR="00EA5CB1" w:rsidRPr="00EA5CB1" w:rsidRDefault="00EA5CB1" w:rsidP="00EA5CB1">
      <w:pPr>
        <w:spacing w:before="120" w:after="120" w:line="240" w:lineRule="auto"/>
        <w:rPr>
          <w:rFonts w:ascii="Arial" w:hAnsi="Arial" w:cs="Arial"/>
          <w:b/>
          <w:sz w:val="22"/>
        </w:rPr>
      </w:pPr>
      <w:r w:rsidRPr="00EA5CB1">
        <w:rPr>
          <w:rFonts w:ascii="Arial" w:hAnsi="Arial" w:cs="Arial"/>
          <w:b/>
          <w:sz w:val="22"/>
        </w:rPr>
        <w:t>Declarations</w:t>
      </w:r>
    </w:p>
    <w:p w14:paraId="4A1E087E" w14:textId="4FC838D5" w:rsidR="00EA5CB1" w:rsidRDefault="005B4FB8" w:rsidP="00EA5CB1">
      <w:pPr>
        <w:pStyle w:val="NormalWeb"/>
        <w:spacing w:before="0" w:beforeAutospacing="0" w:after="0" w:afterAutospacing="0"/>
        <w:jc w:val="both"/>
        <w:rPr>
          <w:rFonts w:ascii="Arial" w:hAnsi="Arial" w:cs="Arial"/>
          <w:sz w:val="20"/>
          <w:szCs w:val="20"/>
        </w:rPr>
      </w:pPr>
      <w:r>
        <w:rPr>
          <w:rStyle w:val="Strong"/>
          <w:rFonts w:ascii="Arial" w:hAnsi="Arial" w:cs="Arial"/>
          <w:sz w:val="20"/>
          <w:szCs w:val="20"/>
        </w:rPr>
        <w:t xml:space="preserve">Ethics approval: </w:t>
      </w:r>
      <w:r w:rsidRPr="005B4FB8">
        <w:rPr>
          <w:rStyle w:val="Strong"/>
          <w:rFonts w:ascii="Arial" w:hAnsi="Arial" w:cs="Arial"/>
          <w:b w:val="0"/>
          <w:bCs w:val="0"/>
          <w:sz w:val="20"/>
          <w:szCs w:val="20"/>
        </w:rPr>
        <w:t>The Ethics Committee of Rumah Sakit Akademik Universitas Gadjah Mada (RSA UGM), Yogyakarta, Indonesia, evaluated and sanctioned this study (permit number: 032/RSA/KEP/EC/2026; approval date: 20 February 2026). This article constitutes a segment of a thorough PhD dissertation and presents findings derived from the same ethics-approved protocol, study sites, and participant recruiting methods; no supplementary data were gathered beyond the sanctioned restrictions.</w:t>
      </w:r>
    </w:p>
    <w:p w14:paraId="2D6DA986" w14:textId="06123D90" w:rsidR="00EA5CB1" w:rsidRDefault="00EA5CB1" w:rsidP="00EA5CB1">
      <w:pPr>
        <w:spacing w:before="120" w:after="120" w:line="240" w:lineRule="auto"/>
        <w:rPr>
          <w:rFonts w:ascii="Arial" w:hAnsi="Arial" w:cs="Arial"/>
          <w:sz w:val="20"/>
          <w:szCs w:val="20"/>
        </w:rPr>
      </w:pPr>
      <w:r w:rsidRPr="00EA5CB1">
        <w:rPr>
          <w:rStyle w:val="Strong"/>
          <w:rFonts w:ascii="Arial" w:hAnsi="Arial" w:cs="Arial"/>
          <w:sz w:val="20"/>
          <w:szCs w:val="20"/>
          <w:lang w:val="id-ID" w:eastAsia="id-ID"/>
        </w:rPr>
        <w:t xml:space="preserve">Clinical </w:t>
      </w:r>
      <w:r>
        <w:rPr>
          <w:rStyle w:val="Strong"/>
          <w:rFonts w:ascii="Arial" w:hAnsi="Arial" w:cs="Arial"/>
          <w:sz w:val="20"/>
          <w:szCs w:val="20"/>
          <w:lang w:eastAsia="id-ID"/>
        </w:rPr>
        <w:t>t</w:t>
      </w:r>
      <w:r w:rsidRPr="00EA5CB1">
        <w:rPr>
          <w:rStyle w:val="Strong"/>
          <w:rFonts w:ascii="Arial" w:hAnsi="Arial" w:cs="Arial"/>
          <w:sz w:val="20"/>
          <w:szCs w:val="20"/>
          <w:lang w:val="id-ID" w:eastAsia="id-ID"/>
        </w:rPr>
        <w:t xml:space="preserve">rial </w:t>
      </w:r>
      <w:r>
        <w:rPr>
          <w:rStyle w:val="Strong"/>
          <w:rFonts w:ascii="Arial" w:hAnsi="Arial" w:cs="Arial"/>
          <w:sz w:val="20"/>
          <w:szCs w:val="20"/>
          <w:lang w:eastAsia="id-ID"/>
        </w:rPr>
        <w:t>n</w:t>
      </w:r>
      <w:r w:rsidRPr="00EA5CB1">
        <w:rPr>
          <w:rStyle w:val="Strong"/>
          <w:rFonts w:ascii="Arial" w:hAnsi="Arial" w:cs="Arial"/>
          <w:sz w:val="20"/>
          <w:szCs w:val="20"/>
          <w:lang w:val="id-ID" w:eastAsia="id-ID"/>
        </w:rPr>
        <w:t>umber:</w:t>
      </w:r>
      <w:r w:rsidRPr="00EA5CB1">
        <w:rPr>
          <w:rFonts w:ascii="Arial" w:hAnsi="Arial" w:cs="Arial"/>
          <w:sz w:val="20"/>
          <w:szCs w:val="20"/>
        </w:rPr>
        <w:t xml:space="preserve"> Not applicable.</w:t>
      </w:r>
    </w:p>
    <w:p w14:paraId="7EF56635" w14:textId="630D5368" w:rsidR="00EA5CB1" w:rsidRDefault="00EA5CB1" w:rsidP="00E07951">
      <w:pPr>
        <w:spacing w:before="120" w:after="120" w:line="240" w:lineRule="auto"/>
        <w:rPr>
          <w:rFonts w:ascii="Arial" w:hAnsi="Arial" w:cs="Arial"/>
          <w:sz w:val="20"/>
          <w:szCs w:val="20"/>
        </w:rPr>
      </w:pPr>
      <w:r w:rsidRPr="00E07951">
        <w:rPr>
          <w:rStyle w:val="Strong"/>
          <w:rFonts w:ascii="Arial" w:hAnsi="Arial" w:cs="Arial"/>
          <w:sz w:val="20"/>
          <w:szCs w:val="20"/>
          <w:lang w:val="id-ID" w:eastAsia="id-ID"/>
        </w:rPr>
        <w:t>Informed</w:t>
      </w:r>
      <w:r w:rsidRPr="00EA5CB1">
        <w:rPr>
          <w:rStyle w:val="Strong"/>
          <w:rFonts w:ascii="Arial" w:hAnsi="Arial" w:cs="Arial"/>
          <w:sz w:val="20"/>
          <w:szCs w:val="20"/>
        </w:rPr>
        <w:t xml:space="preserve"> consent:</w:t>
      </w:r>
      <w:r w:rsidRPr="00EA5CB1">
        <w:rPr>
          <w:rFonts w:ascii="Arial" w:hAnsi="Arial" w:cs="Arial"/>
          <w:sz w:val="20"/>
          <w:szCs w:val="20"/>
        </w:rPr>
        <w:t xml:space="preserve"> Written informed consent was obtained from all individual farmers and community participants prior to data collection. In addition, local village authorities provided community-level permission to conduct the study.</w:t>
      </w:r>
    </w:p>
    <w:p w14:paraId="246D9992" w14:textId="68B5BA8E" w:rsidR="00EA5CB1" w:rsidRPr="00EA5CB1" w:rsidRDefault="00EA5CB1" w:rsidP="00E07951">
      <w:pPr>
        <w:spacing w:before="120" w:after="120" w:line="240" w:lineRule="auto"/>
        <w:jc w:val="both"/>
        <w:rPr>
          <w:rFonts w:ascii="Arial" w:hAnsi="Arial" w:cs="Arial"/>
          <w:sz w:val="20"/>
          <w:szCs w:val="20"/>
        </w:rPr>
      </w:pPr>
      <w:r w:rsidRPr="00E07951">
        <w:rPr>
          <w:rStyle w:val="Strong"/>
          <w:rFonts w:ascii="Arial" w:hAnsi="Arial" w:cs="Arial"/>
          <w:sz w:val="20"/>
          <w:szCs w:val="20"/>
          <w:lang w:val="id-ID" w:eastAsia="id-ID"/>
        </w:rPr>
        <w:t>Consent</w:t>
      </w:r>
      <w:r w:rsidRPr="00EA5CB1">
        <w:rPr>
          <w:rStyle w:val="Strong"/>
          <w:rFonts w:ascii="Arial" w:hAnsi="Arial" w:cs="Arial"/>
          <w:sz w:val="20"/>
          <w:szCs w:val="20"/>
        </w:rPr>
        <w:t xml:space="preserve"> for publication:</w:t>
      </w:r>
      <w:r w:rsidRPr="00EA5CB1">
        <w:rPr>
          <w:rFonts w:ascii="Arial" w:hAnsi="Arial" w:cs="Arial"/>
          <w:sz w:val="20"/>
          <w:szCs w:val="20"/>
        </w:rPr>
        <w:t xml:space="preserve"> Not applicable (no identifying personal data or participant photographs are included).</w:t>
      </w:r>
      <w:r w:rsidRPr="00EA5CB1">
        <w:rPr>
          <w:rFonts w:ascii="Arial" w:hAnsi="Arial" w:cs="Arial"/>
          <w:sz w:val="20"/>
          <w:szCs w:val="20"/>
        </w:rPr>
        <w:br/>
      </w:r>
      <w:r w:rsidRPr="00E07951">
        <w:rPr>
          <w:rStyle w:val="Strong"/>
          <w:rFonts w:ascii="Arial" w:hAnsi="Arial" w:cs="Arial"/>
          <w:sz w:val="20"/>
          <w:szCs w:val="20"/>
          <w:lang w:val="id-ID" w:eastAsia="id-ID"/>
        </w:rPr>
        <w:t>Conflict</w:t>
      </w:r>
      <w:r w:rsidRPr="00EA5CB1">
        <w:rPr>
          <w:rStyle w:val="Strong"/>
          <w:rFonts w:ascii="Arial" w:hAnsi="Arial" w:cs="Arial"/>
          <w:sz w:val="20"/>
          <w:szCs w:val="20"/>
        </w:rPr>
        <w:t xml:space="preserve"> of interest:</w:t>
      </w:r>
      <w:r w:rsidRPr="00EA5CB1">
        <w:rPr>
          <w:rFonts w:ascii="Arial" w:hAnsi="Arial" w:cs="Arial"/>
          <w:sz w:val="20"/>
          <w:szCs w:val="20"/>
        </w:rPr>
        <w:t xml:space="preserve"> The authors declare no competing interests.</w:t>
      </w:r>
    </w:p>
    <w:p w14:paraId="0CD8820F" w14:textId="69023667" w:rsidR="005C38BE" w:rsidRPr="001047A2" w:rsidRDefault="005C38BE">
      <w:pPr>
        <w:rPr>
          <w:rFonts w:ascii="Arial" w:hAnsi="Arial" w:cs="Arial"/>
        </w:rPr>
      </w:pPr>
    </w:p>
    <w:p w14:paraId="43B739EE" w14:textId="1651A278" w:rsidR="001718C4" w:rsidRDefault="001718C4" w:rsidP="001718C4">
      <w:pPr>
        <w:pStyle w:val="ReferHead"/>
        <w:spacing w:after="0"/>
        <w:jc w:val="both"/>
        <w:rPr>
          <w:rFonts w:ascii="Arial" w:hAnsi="Arial" w:cs="Arial"/>
        </w:rPr>
      </w:pPr>
      <w:r w:rsidRPr="00B56DBB">
        <w:rPr>
          <w:rFonts w:ascii="Arial" w:hAnsi="Arial" w:cs="Arial"/>
        </w:rPr>
        <w:t>References</w:t>
      </w:r>
    </w:p>
    <w:p w14:paraId="54D2992E" w14:textId="77777777" w:rsidR="00D1788A" w:rsidRDefault="00D1788A" w:rsidP="001718C4">
      <w:pPr>
        <w:pStyle w:val="ReferHead"/>
        <w:spacing w:after="0"/>
        <w:jc w:val="both"/>
        <w:rPr>
          <w:rFonts w:ascii="Arial" w:hAnsi="Arial" w:cs="Arial"/>
        </w:rPr>
      </w:pPr>
    </w:p>
    <w:p w14:paraId="6A38A56F" w14:textId="52C7B605" w:rsidR="006B1660" w:rsidRPr="006B1660" w:rsidRDefault="00D1788A" w:rsidP="006B1660">
      <w:pPr>
        <w:widowControl w:val="0"/>
        <w:autoSpaceDE w:val="0"/>
        <w:autoSpaceDN w:val="0"/>
        <w:adjustRightInd w:val="0"/>
        <w:spacing w:line="240" w:lineRule="auto"/>
        <w:ind w:left="480" w:hanging="480"/>
        <w:jc w:val="both"/>
        <w:rPr>
          <w:rFonts w:ascii="Arial" w:hAnsi="Arial" w:cs="Arial"/>
          <w:noProof/>
          <w:sz w:val="20"/>
          <w:szCs w:val="24"/>
        </w:rPr>
      </w:pPr>
      <w:r>
        <w:rPr>
          <w:rFonts w:ascii="Arial" w:hAnsi="Arial" w:cs="Arial"/>
          <w:sz w:val="20"/>
          <w:szCs w:val="20"/>
        </w:rPr>
        <w:fldChar w:fldCharType="begin" w:fldLock="1"/>
      </w:r>
      <w:r>
        <w:rPr>
          <w:rFonts w:ascii="Arial" w:hAnsi="Arial" w:cs="Arial"/>
          <w:sz w:val="20"/>
          <w:szCs w:val="20"/>
        </w:rPr>
        <w:instrText xml:space="preserve">ADDIN Mendeley Bibliography CSL_BIBLIOGRAPHY </w:instrText>
      </w:r>
      <w:r>
        <w:rPr>
          <w:rFonts w:ascii="Arial" w:hAnsi="Arial" w:cs="Arial"/>
          <w:sz w:val="20"/>
          <w:szCs w:val="20"/>
        </w:rPr>
        <w:fldChar w:fldCharType="separate"/>
      </w:r>
      <w:r w:rsidR="006B1660" w:rsidRPr="006B1660">
        <w:rPr>
          <w:rFonts w:ascii="Arial" w:hAnsi="Arial" w:cs="Arial"/>
          <w:noProof/>
          <w:sz w:val="20"/>
          <w:szCs w:val="24"/>
        </w:rPr>
        <w:t xml:space="preserve">Al-Jaishi, Ahmed A. et al. 2026. ‘Statistical Analysis of Likert-Based Ordinal Scales: A Guide for Clinical Trialists’. </w:t>
      </w:r>
      <w:r w:rsidR="006B1660" w:rsidRPr="006B1660">
        <w:rPr>
          <w:rFonts w:ascii="Arial" w:hAnsi="Arial" w:cs="Arial"/>
          <w:i/>
          <w:iCs/>
          <w:noProof/>
          <w:sz w:val="20"/>
          <w:szCs w:val="24"/>
        </w:rPr>
        <w:t>BMC Medical Research Methodology</w:t>
      </w:r>
      <w:r w:rsidR="006B1660" w:rsidRPr="006B1660">
        <w:rPr>
          <w:rFonts w:ascii="Arial" w:hAnsi="Arial" w:cs="Arial"/>
          <w:noProof/>
          <w:sz w:val="20"/>
          <w:szCs w:val="24"/>
        </w:rPr>
        <w:t>. https://link.springer.com/10.1186/s12874-026-02793-5.</w:t>
      </w:r>
    </w:p>
    <w:p w14:paraId="1A2F8871"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Alam, Mohammad Jahangir et al. 2024. ‘Agricultural Extension Service, Technology Adoption, and Production Risk Nexus: Evidence from Bangladesh’. </w:t>
      </w:r>
      <w:r w:rsidRPr="006B1660">
        <w:rPr>
          <w:rFonts w:ascii="Arial" w:hAnsi="Arial" w:cs="Arial"/>
          <w:i/>
          <w:iCs/>
          <w:noProof/>
          <w:sz w:val="20"/>
          <w:szCs w:val="24"/>
        </w:rPr>
        <w:t>Heliyon</w:t>
      </w:r>
      <w:r w:rsidRPr="006B1660">
        <w:rPr>
          <w:rFonts w:ascii="Arial" w:hAnsi="Arial" w:cs="Arial"/>
          <w:noProof/>
          <w:sz w:val="20"/>
          <w:szCs w:val="24"/>
        </w:rPr>
        <w:t xml:space="preserve"> 10(14): e34226. https://doi.org/10.1016/j.heliyon.2024.e34226.</w:t>
      </w:r>
    </w:p>
    <w:p w14:paraId="2C9206DB"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Aremu, Toyib, Richmond Silvanus Baye, Kingsford Onyina, and Priscilla Abijah. 2025. ‘Agricultural Extension Services and Household Welfare: Evidence from Ghana Socioeconomic Panel Survey’. </w:t>
      </w:r>
      <w:r w:rsidRPr="006B1660">
        <w:rPr>
          <w:rFonts w:ascii="Arial" w:hAnsi="Arial" w:cs="Arial"/>
          <w:i/>
          <w:iCs/>
          <w:noProof/>
          <w:sz w:val="20"/>
          <w:szCs w:val="24"/>
        </w:rPr>
        <w:t>Agricultural and Food Economics</w:t>
      </w:r>
      <w:r w:rsidRPr="006B1660">
        <w:rPr>
          <w:rFonts w:ascii="Arial" w:hAnsi="Arial" w:cs="Arial"/>
          <w:noProof/>
          <w:sz w:val="20"/>
          <w:szCs w:val="24"/>
        </w:rPr>
        <w:t xml:space="preserve"> 13(1): 58. https://doi.org/10.1186/s40100-025-00400-7.</w:t>
      </w:r>
    </w:p>
    <w:p w14:paraId="791DD50C"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Austin, Peter C., Ian R. White, Douglas S. Lee, and Stef van Buuren. 2021. ‘Missing Data in Clinical Research: A Tutorial on Multiple Imputation’. </w:t>
      </w:r>
      <w:r w:rsidRPr="006B1660">
        <w:rPr>
          <w:rFonts w:ascii="Arial" w:hAnsi="Arial" w:cs="Arial"/>
          <w:i/>
          <w:iCs/>
          <w:noProof/>
          <w:sz w:val="20"/>
          <w:szCs w:val="24"/>
        </w:rPr>
        <w:t>Canadian Journal of Cardiology</w:t>
      </w:r>
      <w:r w:rsidRPr="006B1660">
        <w:rPr>
          <w:rFonts w:ascii="Arial" w:hAnsi="Arial" w:cs="Arial"/>
          <w:noProof/>
          <w:sz w:val="20"/>
          <w:szCs w:val="24"/>
        </w:rPr>
        <w:t xml:space="preserve"> 37(9): 1322–31. https://doi.org/10.1016/j.cjca.2020.11.010.</w:t>
      </w:r>
    </w:p>
    <w:p w14:paraId="0883373B"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Bauer, A G, J Williams, E Hambrick, and ... 2023. ‘Mental Health Attitudes, Norms, Beliefs, and Experiences with Care among Young Black Men: A Theory of Planned Behavior Assessment.’ </w:t>
      </w:r>
      <w:r w:rsidRPr="006B1660">
        <w:rPr>
          <w:rFonts w:ascii="Arial" w:hAnsi="Arial" w:cs="Arial"/>
          <w:i/>
          <w:iCs/>
          <w:noProof/>
          <w:sz w:val="20"/>
          <w:szCs w:val="24"/>
        </w:rPr>
        <w:t>… Trauma: Theory …</w:t>
      </w:r>
      <w:r w:rsidRPr="006B1660">
        <w:rPr>
          <w:rFonts w:ascii="Arial" w:hAnsi="Arial" w:cs="Arial"/>
          <w:noProof/>
          <w:sz w:val="20"/>
          <w:szCs w:val="24"/>
        </w:rPr>
        <w:t>. https://psycnet.apa.org/record/2023-63338-001.</w:t>
      </w:r>
    </w:p>
    <w:p w14:paraId="2CEA8E4E"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Baylie, Melese Mulu, and Kinga Nagyné Pércsi. 2025. ‘Examining Access and Impact of Agricultural Extension Services on Crop Yield in Farta Woreda, Ethiopia, Using Endogenous Switching Regression Model’. </w:t>
      </w:r>
      <w:r w:rsidRPr="006B1660">
        <w:rPr>
          <w:rFonts w:ascii="Arial" w:hAnsi="Arial" w:cs="Arial"/>
          <w:i/>
          <w:iCs/>
          <w:noProof/>
          <w:sz w:val="20"/>
          <w:szCs w:val="24"/>
        </w:rPr>
        <w:t>Agriculture &amp; Food Security</w:t>
      </w:r>
      <w:r w:rsidRPr="006B1660">
        <w:rPr>
          <w:rFonts w:ascii="Arial" w:hAnsi="Arial" w:cs="Arial"/>
          <w:noProof/>
          <w:sz w:val="20"/>
          <w:szCs w:val="24"/>
        </w:rPr>
        <w:t xml:space="preserve"> 14(1): 32. https://doi.org/10.1186/s40066-025-00559-8.</w:t>
      </w:r>
    </w:p>
    <w:p w14:paraId="3D61FED5"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Brenya, Robert, and Jing Zhu. 2023. ‘Agricultural Extension and Food Security – The Case of Uganda’. </w:t>
      </w:r>
      <w:r w:rsidRPr="006B1660">
        <w:rPr>
          <w:rFonts w:ascii="Arial" w:hAnsi="Arial" w:cs="Arial"/>
          <w:i/>
          <w:iCs/>
          <w:noProof/>
          <w:sz w:val="20"/>
          <w:szCs w:val="24"/>
        </w:rPr>
        <w:t>Global Food Security</w:t>
      </w:r>
      <w:r w:rsidRPr="006B1660">
        <w:rPr>
          <w:rFonts w:ascii="Arial" w:hAnsi="Arial" w:cs="Arial"/>
          <w:noProof/>
          <w:sz w:val="20"/>
          <w:szCs w:val="24"/>
        </w:rPr>
        <w:t xml:space="preserve"> 36: 100678. https://linkinghub.elsevier.com/retrieve/pii/S2211912423000081.</w:t>
      </w:r>
    </w:p>
    <w:p w14:paraId="737A0991"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Chegere, Martin Julius, Razack Lokina, and Agnes G. Mwakaje. 2020. ‘The Impact of Hermetic Storage Bag Supply and Training on Food Security in Tanzania’. </w:t>
      </w:r>
      <w:r w:rsidRPr="006B1660">
        <w:rPr>
          <w:rFonts w:ascii="Arial" w:hAnsi="Arial" w:cs="Arial"/>
          <w:i/>
          <w:iCs/>
          <w:noProof/>
          <w:sz w:val="20"/>
          <w:szCs w:val="24"/>
        </w:rPr>
        <w:t>Food Security</w:t>
      </w:r>
      <w:r w:rsidRPr="006B1660">
        <w:rPr>
          <w:rFonts w:ascii="Arial" w:hAnsi="Arial" w:cs="Arial"/>
          <w:noProof/>
          <w:sz w:val="20"/>
          <w:szCs w:val="24"/>
        </w:rPr>
        <w:t xml:space="preserve"> 12(6): 1299–1316. https://link.springer.com/10.1007/s12571-020-01052-9.</w:t>
      </w:r>
    </w:p>
    <w:p w14:paraId="2BCDF7DD"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Dadi, Tamiru Adugna et al. 2026. ‘Impaired Estimated Glomerular Filtration Rate and Associated Factors among Adult Patients Living with HIV at Asella Referral and Teaching Hospital, Ethiopia: A Cross-</w:t>
      </w:r>
      <w:r w:rsidRPr="006B1660">
        <w:rPr>
          <w:rFonts w:ascii="Arial" w:hAnsi="Arial" w:cs="Arial"/>
          <w:noProof/>
          <w:sz w:val="20"/>
          <w:szCs w:val="24"/>
        </w:rPr>
        <w:lastRenderedPageBreak/>
        <w:t xml:space="preserve">Sectional Study’ ed. Donovan Anthony McGrowder. </w:t>
      </w:r>
      <w:r w:rsidRPr="006B1660">
        <w:rPr>
          <w:rFonts w:ascii="Arial" w:hAnsi="Arial" w:cs="Arial"/>
          <w:i/>
          <w:iCs/>
          <w:noProof/>
          <w:sz w:val="20"/>
          <w:szCs w:val="24"/>
        </w:rPr>
        <w:t>PLOS One</w:t>
      </w:r>
      <w:r w:rsidRPr="006B1660">
        <w:rPr>
          <w:rFonts w:ascii="Arial" w:hAnsi="Arial" w:cs="Arial"/>
          <w:noProof/>
          <w:sz w:val="20"/>
          <w:szCs w:val="24"/>
        </w:rPr>
        <w:t xml:space="preserve"> 21(1): e0330238. https://doi.org/10.1371/journal.pone.0330238.</w:t>
      </w:r>
    </w:p>
    <w:p w14:paraId="17AA9A40"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Dewidar, Omar et al. 2025. ‘Improving the Reporting on Health Equity in Observational Research (STROBE-Equity): Extension Checklist and Elaboration’. </w:t>
      </w:r>
      <w:r w:rsidRPr="006B1660">
        <w:rPr>
          <w:rFonts w:ascii="Arial" w:hAnsi="Arial" w:cs="Arial"/>
          <w:i/>
          <w:iCs/>
          <w:noProof/>
          <w:sz w:val="20"/>
          <w:szCs w:val="24"/>
        </w:rPr>
        <w:t>JAMA network open</w:t>
      </w:r>
      <w:r w:rsidRPr="006B1660">
        <w:rPr>
          <w:rFonts w:ascii="Arial" w:hAnsi="Arial" w:cs="Arial"/>
          <w:noProof/>
          <w:sz w:val="20"/>
          <w:szCs w:val="24"/>
        </w:rPr>
        <w:t xml:space="preserve"> 8(9): e2532512.</w:t>
      </w:r>
    </w:p>
    <w:p w14:paraId="06EC4F3D"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Distan NTT. 2023. ‘Maize Production Statistics in East Nusa Tenggara Province (2018–2023) by Regency/Municipality’. : 2023. https://distankp.nttprov.go.id/web/publikasi/data-produksi-tanaman-pangan-provinsi-ntt-tahun-2022/.</w:t>
      </w:r>
    </w:p>
    <w:p w14:paraId="32A87D4D"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Gómez-Caballero, Marta, José Soto Vázquez, and Ramón Pérez Parejo. 2026. ‘Validation of a Likert Questionnaire for Creative Writing and Critical Thinking in Five Spanish Universities’. </w:t>
      </w:r>
      <w:r w:rsidRPr="006B1660">
        <w:rPr>
          <w:rFonts w:ascii="Arial" w:hAnsi="Arial" w:cs="Arial"/>
          <w:i/>
          <w:iCs/>
          <w:noProof/>
          <w:sz w:val="20"/>
          <w:szCs w:val="24"/>
        </w:rPr>
        <w:t>Frontiers in Education</w:t>
      </w:r>
      <w:r w:rsidRPr="006B1660">
        <w:rPr>
          <w:rFonts w:ascii="Arial" w:hAnsi="Arial" w:cs="Arial"/>
          <w:noProof/>
          <w:sz w:val="20"/>
          <w:szCs w:val="24"/>
        </w:rPr>
        <w:t xml:space="preserve"> 10(January). https://www.frontiersin.org/articles/10.3389/feduc.2025.1698270/full.</w:t>
      </w:r>
    </w:p>
    <w:p w14:paraId="04DBB7E9"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Huh, Iksoo, and Jungsoo Gim. 2025. ‘Exploration of Likert Scale in Terms of Continuous Variable with Parametric Statistical Methods’. </w:t>
      </w:r>
      <w:r w:rsidRPr="006B1660">
        <w:rPr>
          <w:rFonts w:ascii="Arial" w:hAnsi="Arial" w:cs="Arial"/>
          <w:i/>
          <w:iCs/>
          <w:noProof/>
          <w:sz w:val="20"/>
          <w:szCs w:val="24"/>
        </w:rPr>
        <w:t>BMC Medical Research Methodology</w:t>
      </w:r>
      <w:r w:rsidRPr="006B1660">
        <w:rPr>
          <w:rFonts w:ascii="Arial" w:hAnsi="Arial" w:cs="Arial"/>
          <w:noProof/>
          <w:sz w:val="20"/>
          <w:szCs w:val="24"/>
        </w:rPr>
        <w:t xml:space="preserve"> 25(1): 218. https://bmcmedresmethodol.biomedcentral.com/articles/10.1186/s12874-025-02668-1.</w:t>
      </w:r>
    </w:p>
    <w:p w14:paraId="7C2B1D50"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Juliannisa, Indri Arrafi, Hania Rahma, Sri Mulatsih, and Akhmad Fauzi. 2025. ‘Regional Vulnerability to Food Insecurity: The Case of Indonesia’. </w:t>
      </w:r>
      <w:r w:rsidRPr="006B1660">
        <w:rPr>
          <w:rFonts w:ascii="Arial" w:hAnsi="Arial" w:cs="Arial"/>
          <w:i/>
          <w:iCs/>
          <w:noProof/>
          <w:sz w:val="20"/>
          <w:szCs w:val="24"/>
        </w:rPr>
        <w:t>Sustainability</w:t>
      </w:r>
      <w:r w:rsidRPr="006B1660">
        <w:rPr>
          <w:rFonts w:ascii="Arial" w:hAnsi="Arial" w:cs="Arial"/>
          <w:noProof/>
          <w:sz w:val="20"/>
          <w:szCs w:val="24"/>
        </w:rPr>
        <w:t xml:space="preserve"> 17(11): 4800. https://www.mdpi.com/2071-1050/17/11/4800.</w:t>
      </w:r>
    </w:p>
    <w:p w14:paraId="1D1084B2"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Kalnins, Arturs, and Kendall Praitis Hill. 2025. ‘The VIF Score. What Is It Good For? Absolutely Nothing’. </w:t>
      </w:r>
      <w:r w:rsidRPr="006B1660">
        <w:rPr>
          <w:rFonts w:ascii="Arial" w:hAnsi="Arial" w:cs="Arial"/>
          <w:i/>
          <w:iCs/>
          <w:noProof/>
          <w:sz w:val="20"/>
          <w:szCs w:val="24"/>
        </w:rPr>
        <w:t>Organizational Research Methods</w:t>
      </w:r>
      <w:r w:rsidRPr="006B1660">
        <w:rPr>
          <w:rFonts w:ascii="Arial" w:hAnsi="Arial" w:cs="Arial"/>
          <w:noProof/>
          <w:sz w:val="20"/>
          <w:szCs w:val="24"/>
        </w:rPr>
        <w:t xml:space="preserve"> 28(1): 58–75. https://journals.sagepub.com/doi/10.1177/10944281231216381.</w:t>
      </w:r>
    </w:p>
    <w:p w14:paraId="1DBF533E"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Li, Sijin et al. 2024. ‘Enhancing Ventrolateral Prefrontal Cortex Activation Mitigates Social Pain and Modifies Subsequent Social Attitudes: Insights from TMS and FMRI’. </w:t>
      </w:r>
      <w:r w:rsidRPr="006B1660">
        <w:rPr>
          <w:rFonts w:ascii="Arial" w:hAnsi="Arial" w:cs="Arial"/>
          <w:i/>
          <w:iCs/>
          <w:noProof/>
          <w:sz w:val="20"/>
          <w:szCs w:val="24"/>
        </w:rPr>
        <w:t>NeuroImage</w:t>
      </w:r>
      <w:r w:rsidRPr="006B1660">
        <w:rPr>
          <w:rFonts w:ascii="Arial" w:hAnsi="Arial" w:cs="Arial"/>
          <w:noProof/>
          <w:sz w:val="20"/>
          <w:szCs w:val="24"/>
        </w:rPr>
        <w:t xml:space="preserve"> 292(December 2023): 120620. https://doi.org/10.1016/j.neuroimage.2024.120620.</w:t>
      </w:r>
    </w:p>
    <w:p w14:paraId="4FE93C4D"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Logan, Carolyn, Pablo Parás, Michael Robbins, and Elizabeth J. Zechmeister. 2020. ‘Improving Data Quality in Face-to-Face Survey Research’. </w:t>
      </w:r>
      <w:r w:rsidRPr="006B1660">
        <w:rPr>
          <w:rFonts w:ascii="Arial" w:hAnsi="Arial" w:cs="Arial"/>
          <w:i/>
          <w:iCs/>
          <w:noProof/>
          <w:sz w:val="20"/>
          <w:szCs w:val="24"/>
        </w:rPr>
        <w:t>PS: Political Science &amp; Politics</w:t>
      </w:r>
      <w:r w:rsidRPr="006B1660">
        <w:rPr>
          <w:rFonts w:ascii="Arial" w:hAnsi="Arial" w:cs="Arial"/>
          <w:noProof/>
          <w:sz w:val="20"/>
          <w:szCs w:val="24"/>
        </w:rPr>
        <w:t xml:space="preserve"> 53(1): 46–50. https://www.cambridge.org/core/product/identifier/S1049096519001161/type/journal_article.</w:t>
      </w:r>
    </w:p>
    <w:p w14:paraId="41BB3A74"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Ma, Wanglin, Dil Bahadur Rahut, Tetsushi Sonobe, and Binlei Gong. 2024. ‘Linking Farmers to Markets: Barriers, Solutions, and Policy Options’. </w:t>
      </w:r>
      <w:r w:rsidRPr="006B1660">
        <w:rPr>
          <w:rFonts w:ascii="Arial" w:hAnsi="Arial" w:cs="Arial"/>
          <w:i/>
          <w:iCs/>
          <w:noProof/>
          <w:sz w:val="20"/>
          <w:szCs w:val="24"/>
        </w:rPr>
        <w:t>Economic Analysis and Policy</w:t>
      </w:r>
      <w:r w:rsidRPr="006B1660">
        <w:rPr>
          <w:rFonts w:ascii="Arial" w:hAnsi="Arial" w:cs="Arial"/>
          <w:noProof/>
          <w:sz w:val="20"/>
          <w:szCs w:val="24"/>
        </w:rPr>
        <w:t xml:space="preserve"> 82(May): 1102–12. https://doi.org/10.1016/j.eap.2024.05.005.</w:t>
      </w:r>
    </w:p>
    <w:p w14:paraId="46BE3DDF"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Madadizadeh, Farzan, and Sajjad Bahariniya. 2025. ‘Tutorial on Internal Consistency Assessment by Cronbach’s Alpha and McDonald’s Omega’. </w:t>
      </w:r>
      <w:r w:rsidRPr="006B1660">
        <w:rPr>
          <w:rFonts w:ascii="Arial" w:hAnsi="Arial" w:cs="Arial"/>
          <w:i/>
          <w:iCs/>
          <w:noProof/>
          <w:sz w:val="20"/>
          <w:szCs w:val="24"/>
        </w:rPr>
        <w:t>Perioperative Care and Operating Room Management</w:t>
      </w:r>
      <w:r w:rsidRPr="006B1660">
        <w:rPr>
          <w:rFonts w:ascii="Arial" w:hAnsi="Arial" w:cs="Arial"/>
          <w:noProof/>
          <w:sz w:val="20"/>
          <w:szCs w:val="24"/>
        </w:rPr>
        <w:t xml:space="preserve"> 41: 100568. https://linkinghub.elsevier.com/retrieve/pii/S2405603025001098.</w:t>
      </w:r>
    </w:p>
    <w:p w14:paraId="0B5863AA"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Manda, Julius et al. 2024. ‘Assessing the Speed of Improved Postharvest Technology Adoption in Tanzania: The Role of Social Learning and Agricultural Extension Services’. </w:t>
      </w:r>
      <w:r w:rsidRPr="006B1660">
        <w:rPr>
          <w:rFonts w:ascii="Arial" w:hAnsi="Arial" w:cs="Arial"/>
          <w:i/>
          <w:iCs/>
          <w:noProof/>
          <w:sz w:val="20"/>
          <w:szCs w:val="24"/>
        </w:rPr>
        <w:t>Technological Forecasting and Social Change</w:t>
      </w:r>
      <w:r w:rsidRPr="006B1660">
        <w:rPr>
          <w:rFonts w:ascii="Arial" w:hAnsi="Arial" w:cs="Arial"/>
          <w:noProof/>
          <w:sz w:val="20"/>
          <w:szCs w:val="24"/>
        </w:rPr>
        <w:t xml:space="preserve"> 202(January 2023): 123306. https://doi.org/10.1016/j.techfore.2024.123306.</w:t>
      </w:r>
    </w:p>
    <w:p w14:paraId="58F42774"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Rauf, Rauf I., Masad A. Alrasheedi, Rasheedah Sadiq, and Abdulrahman M. A. Aldawsari. 2024. ‘Evaluating Predictive Accuracy of Regression Models with First-Order Autoregressive Disturbances: A Comparative Approach Using Artificial Neural Networks and Classical Estimators’. </w:t>
      </w:r>
      <w:r w:rsidRPr="006B1660">
        <w:rPr>
          <w:rFonts w:ascii="Arial" w:hAnsi="Arial" w:cs="Arial"/>
          <w:i/>
          <w:iCs/>
          <w:noProof/>
          <w:sz w:val="20"/>
          <w:szCs w:val="24"/>
        </w:rPr>
        <w:t>Mathematics</w:t>
      </w:r>
      <w:r w:rsidRPr="006B1660">
        <w:rPr>
          <w:rFonts w:ascii="Arial" w:hAnsi="Arial" w:cs="Arial"/>
          <w:noProof/>
          <w:sz w:val="20"/>
          <w:szCs w:val="24"/>
        </w:rPr>
        <w:t xml:space="preserve"> 12(24): 3966. https://www.mdpi.com/2227-7390/12/24/3966.</w:t>
      </w:r>
    </w:p>
    <w:p w14:paraId="299A7DE9"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Salmerón-Gómez, Román, Catalina Beatriz García-García, and Ainara Rodríguez-Sánchez. 2025. ‘Enlarging of the Sample to Address Multicollinearity’. </w:t>
      </w:r>
      <w:r w:rsidRPr="006B1660">
        <w:rPr>
          <w:rFonts w:ascii="Arial" w:hAnsi="Arial" w:cs="Arial"/>
          <w:i/>
          <w:iCs/>
          <w:noProof/>
          <w:sz w:val="20"/>
          <w:szCs w:val="24"/>
        </w:rPr>
        <w:t>Computational Economics</w:t>
      </w:r>
      <w:r w:rsidRPr="006B1660">
        <w:rPr>
          <w:rFonts w:ascii="Arial" w:hAnsi="Arial" w:cs="Arial"/>
          <w:noProof/>
          <w:sz w:val="20"/>
          <w:szCs w:val="24"/>
        </w:rPr>
        <w:t xml:space="preserve"> (0123456789). https://doi.org/10.1007/s10614-025-10920-5.</w:t>
      </w:r>
    </w:p>
    <w:p w14:paraId="26DD1549"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Usman, Muhammed A., and Mekbib G. Haile. 2022. ‘Market Access, Household Dietary Diversity and Food Security: Evidence from Eastern Africa’. </w:t>
      </w:r>
      <w:r w:rsidRPr="006B1660">
        <w:rPr>
          <w:rFonts w:ascii="Arial" w:hAnsi="Arial" w:cs="Arial"/>
          <w:i/>
          <w:iCs/>
          <w:noProof/>
          <w:sz w:val="20"/>
          <w:szCs w:val="24"/>
        </w:rPr>
        <w:t>Food Policy</w:t>
      </w:r>
      <w:r w:rsidRPr="006B1660">
        <w:rPr>
          <w:rFonts w:ascii="Arial" w:hAnsi="Arial" w:cs="Arial"/>
          <w:noProof/>
          <w:sz w:val="20"/>
          <w:szCs w:val="24"/>
        </w:rPr>
        <w:t xml:space="preserve"> 113: 102374. </w:t>
      </w:r>
      <w:r w:rsidRPr="006B1660">
        <w:rPr>
          <w:rFonts w:ascii="Arial" w:hAnsi="Arial" w:cs="Arial"/>
          <w:noProof/>
          <w:sz w:val="20"/>
          <w:szCs w:val="24"/>
        </w:rPr>
        <w:lastRenderedPageBreak/>
        <w:t>https://linkinghub.elsevier.com/retrieve/pii/S0306919222001439.</w:t>
      </w:r>
    </w:p>
    <w:p w14:paraId="0A86497F"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Yanfika, Helvi, Irwan Effendi, Sumaryo, and Andrianto Ansari. 2024. ‘The Role of Agricultural Extension Services on Supporting Circular Bioeconomy in Indonesia’. </w:t>
      </w:r>
      <w:r w:rsidRPr="006B1660">
        <w:rPr>
          <w:rFonts w:ascii="Arial" w:hAnsi="Arial" w:cs="Arial"/>
          <w:i/>
          <w:iCs/>
          <w:noProof/>
          <w:sz w:val="20"/>
          <w:szCs w:val="24"/>
        </w:rPr>
        <w:t>Frontiers in Sustainable Food Systems</w:t>
      </w:r>
      <w:r w:rsidRPr="006B1660">
        <w:rPr>
          <w:rFonts w:ascii="Arial" w:hAnsi="Arial" w:cs="Arial"/>
          <w:noProof/>
          <w:sz w:val="20"/>
          <w:szCs w:val="24"/>
        </w:rPr>
        <w:t xml:space="preserve"> 8. https://www.frontiersin.org/articles/10.3389/fsufs.2024.1428069/full.</w:t>
      </w:r>
    </w:p>
    <w:p w14:paraId="5CBE348C" w14:textId="77777777" w:rsidR="006B1660" w:rsidRPr="006B1660" w:rsidRDefault="006B1660" w:rsidP="006B1660">
      <w:pPr>
        <w:widowControl w:val="0"/>
        <w:autoSpaceDE w:val="0"/>
        <w:autoSpaceDN w:val="0"/>
        <w:adjustRightInd w:val="0"/>
        <w:spacing w:line="240" w:lineRule="auto"/>
        <w:ind w:left="480" w:hanging="480"/>
        <w:jc w:val="both"/>
        <w:rPr>
          <w:rFonts w:ascii="Arial" w:hAnsi="Arial" w:cs="Arial"/>
          <w:noProof/>
          <w:sz w:val="20"/>
          <w:szCs w:val="24"/>
        </w:rPr>
      </w:pPr>
      <w:r w:rsidRPr="006B1660">
        <w:rPr>
          <w:rFonts w:ascii="Arial" w:hAnsi="Arial" w:cs="Arial"/>
          <w:noProof/>
          <w:sz w:val="20"/>
          <w:szCs w:val="24"/>
        </w:rPr>
        <w:t xml:space="preserve">Yitayew, Asresu, Awudu Abdulai, and Yigezu A. Yigezu. 2023. ‘The Effects of Advisory Services and Technology Channeling on Farm Yields and Technical Efficiency of Wheat Farmers in Ethiopia’. </w:t>
      </w:r>
      <w:r w:rsidRPr="006B1660">
        <w:rPr>
          <w:rFonts w:ascii="Arial" w:hAnsi="Arial" w:cs="Arial"/>
          <w:i/>
          <w:iCs/>
          <w:noProof/>
          <w:sz w:val="20"/>
          <w:szCs w:val="24"/>
        </w:rPr>
        <w:t>Food Policy</w:t>
      </w:r>
      <w:r w:rsidRPr="006B1660">
        <w:rPr>
          <w:rFonts w:ascii="Arial" w:hAnsi="Arial" w:cs="Arial"/>
          <w:noProof/>
          <w:sz w:val="20"/>
          <w:szCs w:val="24"/>
        </w:rPr>
        <w:t xml:space="preserve"> 116: 102436. https://linkinghub.elsevier.com/retrieve/pii/S0306919223000349.</w:t>
      </w:r>
    </w:p>
    <w:p w14:paraId="06952F00" w14:textId="0A706389" w:rsidR="006B1660" w:rsidRDefault="006B1660" w:rsidP="00175425">
      <w:pPr>
        <w:widowControl w:val="0"/>
        <w:autoSpaceDE w:val="0"/>
        <w:autoSpaceDN w:val="0"/>
        <w:adjustRightInd w:val="0"/>
        <w:spacing w:line="240" w:lineRule="auto"/>
        <w:ind w:left="480" w:hanging="480"/>
        <w:jc w:val="both"/>
        <w:rPr>
          <w:rFonts w:ascii="Arial" w:hAnsi="Arial" w:cs="Arial"/>
          <w:sz w:val="20"/>
          <w:szCs w:val="20"/>
        </w:rPr>
      </w:pPr>
      <w:r w:rsidRPr="006B1660">
        <w:rPr>
          <w:rFonts w:ascii="Arial" w:hAnsi="Arial" w:cs="Arial"/>
          <w:noProof/>
          <w:sz w:val="20"/>
          <w:szCs w:val="24"/>
        </w:rPr>
        <w:t xml:space="preserve">Yustiningsih, Maria et al. 2026. ‘Drought-Tolerant Selection Model to Identify Prospective Maize Genotypes and Support Sustainable Agroecological Practices in the Semiarid Regions of East Nusa Tenggara, Indonesia’. </w:t>
      </w:r>
      <w:r w:rsidRPr="006B1660">
        <w:rPr>
          <w:rFonts w:ascii="Arial" w:hAnsi="Arial" w:cs="Arial"/>
          <w:i/>
          <w:iCs/>
          <w:noProof/>
          <w:sz w:val="20"/>
          <w:szCs w:val="24"/>
        </w:rPr>
        <w:t>Ecohydrology &amp; Hydrobiology</w:t>
      </w:r>
      <w:r w:rsidRPr="006B1660">
        <w:rPr>
          <w:rFonts w:ascii="Arial" w:hAnsi="Arial" w:cs="Arial"/>
          <w:noProof/>
          <w:sz w:val="20"/>
          <w:szCs w:val="24"/>
        </w:rPr>
        <w:t xml:space="preserve"> 26(1): 100730. https://linkinghub.elsevier.com/retrieve/pii/S1642359326000042.</w:t>
      </w:r>
      <w:r w:rsidR="00D1788A">
        <w:rPr>
          <w:rFonts w:ascii="Arial" w:hAnsi="Arial" w:cs="Arial"/>
          <w:sz w:val="20"/>
          <w:szCs w:val="20"/>
        </w:rPr>
        <w:fldChar w:fldCharType="end"/>
      </w:r>
    </w:p>
    <w:sectPr w:rsidR="006B1660" w:rsidSect="00AD2DC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54E51" w14:textId="77777777" w:rsidR="00744534" w:rsidRDefault="00744534" w:rsidP="00AD2DCB">
      <w:pPr>
        <w:spacing w:after="0" w:line="240" w:lineRule="auto"/>
      </w:pPr>
      <w:r>
        <w:separator/>
      </w:r>
    </w:p>
  </w:endnote>
  <w:endnote w:type="continuationSeparator" w:id="0">
    <w:p w14:paraId="1AAF18E1" w14:textId="77777777" w:rsidR="00744534" w:rsidRDefault="00744534" w:rsidP="00AD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05E10" w14:textId="77777777" w:rsidR="00AD2DCB" w:rsidRDefault="00AD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A3FF5" w14:textId="77777777" w:rsidR="00AD2DCB" w:rsidRDefault="00AD2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FED7" w14:textId="77777777" w:rsidR="00AD2DCB" w:rsidRDefault="00AD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96B2A" w14:textId="77777777" w:rsidR="00744534" w:rsidRDefault="00744534" w:rsidP="00AD2DCB">
      <w:pPr>
        <w:spacing w:after="0" w:line="240" w:lineRule="auto"/>
      </w:pPr>
      <w:r>
        <w:separator/>
      </w:r>
    </w:p>
  </w:footnote>
  <w:footnote w:type="continuationSeparator" w:id="0">
    <w:p w14:paraId="77CA8842" w14:textId="77777777" w:rsidR="00744534" w:rsidRDefault="00744534" w:rsidP="00AD2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FBEB5" w14:textId="17C8BC91" w:rsidR="00AD2DCB" w:rsidRDefault="00AD2DCB">
    <w:pPr>
      <w:pStyle w:val="Header"/>
    </w:pPr>
    <w:r>
      <w:rPr>
        <w:noProof/>
      </w:rPr>
      <w:pict w14:anchorId="08BB6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83140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6A49D" w14:textId="7FD0F349" w:rsidR="00AD2DCB" w:rsidRDefault="00AD2DCB">
    <w:pPr>
      <w:pStyle w:val="Header"/>
    </w:pPr>
    <w:r>
      <w:rPr>
        <w:noProof/>
      </w:rPr>
      <w:pict w14:anchorId="18AB5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83140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0CED" w14:textId="63CD01A7" w:rsidR="00AD2DCB" w:rsidRDefault="00AD2DCB">
    <w:pPr>
      <w:pStyle w:val="Header"/>
    </w:pPr>
    <w:r>
      <w:rPr>
        <w:noProof/>
      </w:rPr>
      <w:pict w14:anchorId="50FBB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83140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1D3C"/>
    <w:multiLevelType w:val="hybridMultilevel"/>
    <w:tmpl w:val="F4C824AE"/>
    <w:lvl w:ilvl="0" w:tplc="9E3C02AC">
      <w:start w:val="1"/>
      <w:numFmt w:val="decimal"/>
      <w:lvlText w:val="2.%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F82BFF"/>
    <w:multiLevelType w:val="hybridMultilevel"/>
    <w:tmpl w:val="220ECAF0"/>
    <w:lvl w:ilvl="0" w:tplc="1C402638">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AD7FE7"/>
    <w:multiLevelType w:val="hybridMultilevel"/>
    <w:tmpl w:val="2C9E292A"/>
    <w:lvl w:ilvl="0" w:tplc="63505180">
      <w:start w:val="1"/>
      <w:numFmt w:val="decimal"/>
      <w:lvlText w:val="3.%1."/>
      <w:lvlJc w:val="right"/>
      <w:pPr>
        <w:ind w:left="72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6643420"/>
    <w:multiLevelType w:val="hybridMultilevel"/>
    <w:tmpl w:val="C7C437F0"/>
    <w:lvl w:ilvl="0" w:tplc="573AE73C">
      <w:start w:val="1"/>
      <w:numFmt w:val="decimal"/>
      <w:lvlText w:val="2.4.%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B111C1F"/>
    <w:multiLevelType w:val="hybridMultilevel"/>
    <w:tmpl w:val="F7D2E862"/>
    <w:lvl w:ilvl="0" w:tplc="273445A4">
      <w:start w:val="1"/>
      <w:numFmt w:val="decimal"/>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BE4ACC"/>
    <w:multiLevelType w:val="multilevel"/>
    <w:tmpl w:val="A408373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2A2678A"/>
    <w:multiLevelType w:val="hybridMultilevel"/>
    <w:tmpl w:val="B0E01466"/>
    <w:lvl w:ilvl="0" w:tplc="1A1630DA">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AC30B59"/>
    <w:multiLevelType w:val="hybridMultilevel"/>
    <w:tmpl w:val="6B622E10"/>
    <w:lvl w:ilvl="0" w:tplc="0E46D59C">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7"/>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BE"/>
    <w:rsid w:val="00026A8C"/>
    <w:rsid w:val="00041B1E"/>
    <w:rsid w:val="000A0D7B"/>
    <w:rsid w:val="000B1137"/>
    <w:rsid w:val="000D7F1E"/>
    <w:rsid w:val="000F2216"/>
    <w:rsid w:val="000F3D77"/>
    <w:rsid w:val="000F7460"/>
    <w:rsid w:val="001014C3"/>
    <w:rsid w:val="001047A2"/>
    <w:rsid w:val="00124732"/>
    <w:rsid w:val="001718C4"/>
    <w:rsid w:val="00175425"/>
    <w:rsid w:val="00183B01"/>
    <w:rsid w:val="001A1694"/>
    <w:rsid w:val="001D5D4D"/>
    <w:rsid w:val="001E5EBF"/>
    <w:rsid w:val="001E7010"/>
    <w:rsid w:val="002B717B"/>
    <w:rsid w:val="002D713F"/>
    <w:rsid w:val="002F77ED"/>
    <w:rsid w:val="00335C50"/>
    <w:rsid w:val="003518C6"/>
    <w:rsid w:val="00353A25"/>
    <w:rsid w:val="00362AAC"/>
    <w:rsid w:val="003B1C9E"/>
    <w:rsid w:val="003D792D"/>
    <w:rsid w:val="003E331D"/>
    <w:rsid w:val="003F60C7"/>
    <w:rsid w:val="00407129"/>
    <w:rsid w:val="004165BA"/>
    <w:rsid w:val="0044216D"/>
    <w:rsid w:val="004A4D59"/>
    <w:rsid w:val="004C436B"/>
    <w:rsid w:val="004C58A5"/>
    <w:rsid w:val="004D01B1"/>
    <w:rsid w:val="004D6BE6"/>
    <w:rsid w:val="00547387"/>
    <w:rsid w:val="005B287C"/>
    <w:rsid w:val="005B4FB8"/>
    <w:rsid w:val="005C16D7"/>
    <w:rsid w:val="005C38BE"/>
    <w:rsid w:val="005E32B5"/>
    <w:rsid w:val="006B1660"/>
    <w:rsid w:val="00717798"/>
    <w:rsid w:val="00730724"/>
    <w:rsid w:val="00741523"/>
    <w:rsid w:val="00744534"/>
    <w:rsid w:val="00747C63"/>
    <w:rsid w:val="00764370"/>
    <w:rsid w:val="00772343"/>
    <w:rsid w:val="007B79C6"/>
    <w:rsid w:val="00803EB6"/>
    <w:rsid w:val="008358AB"/>
    <w:rsid w:val="008358D7"/>
    <w:rsid w:val="008436E2"/>
    <w:rsid w:val="00A572C0"/>
    <w:rsid w:val="00A61E80"/>
    <w:rsid w:val="00A80F34"/>
    <w:rsid w:val="00AA3303"/>
    <w:rsid w:val="00AD2DCB"/>
    <w:rsid w:val="00AD41AD"/>
    <w:rsid w:val="00AD5ECE"/>
    <w:rsid w:val="00AD6031"/>
    <w:rsid w:val="00B1457B"/>
    <w:rsid w:val="00BA2FBE"/>
    <w:rsid w:val="00BE22EA"/>
    <w:rsid w:val="00BE6C6A"/>
    <w:rsid w:val="00C131C9"/>
    <w:rsid w:val="00C210F9"/>
    <w:rsid w:val="00C65EC0"/>
    <w:rsid w:val="00C71B5E"/>
    <w:rsid w:val="00C9192A"/>
    <w:rsid w:val="00CA6DE5"/>
    <w:rsid w:val="00CD2290"/>
    <w:rsid w:val="00CE2FB7"/>
    <w:rsid w:val="00D02EC2"/>
    <w:rsid w:val="00D10261"/>
    <w:rsid w:val="00D10E71"/>
    <w:rsid w:val="00D1788A"/>
    <w:rsid w:val="00D26233"/>
    <w:rsid w:val="00D35D03"/>
    <w:rsid w:val="00D46AAE"/>
    <w:rsid w:val="00D642C9"/>
    <w:rsid w:val="00DB7292"/>
    <w:rsid w:val="00DC781A"/>
    <w:rsid w:val="00E07951"/>
    <w:rsid w:val="00EA5CB1"/>
    <w:rsid w:val="00EB6BA0"/>
    <w:rsid w:val="00F271B5"/>
    <w:rsid w:val="00F935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48CEFA"/>
  <w15:chartTrackingRefBased/>
  <w15:docId w15:val="{C6F05CB0-7E52-446E-B64F-2BA485DC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kern w:val="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8BE"/>
    <w:pPr>
      <w:spacing w:after="200" w:line="276" w:lineRule="auto"/>
    </w:pPr>
    <w:rPr>
      <w:rFonts w:ascii="Times New Roman" w:eastAsia="Times New Roman" w:hAnsi="Times New Roman" w:cstheme="minorBidi"/>
      <w:kern w:val="0"/>
      <w:sz w:val="24"/>
      <w:szCs w:val="22"/>
      <w14:ligatures w14:val="none"/>
    </w:rPr>
  </w:style>
  <w:style w:type="paragraph" w:styleId="Heading1">
    <w:name w:val="heading 1"/>
    <w:basedOn w:val="Normal"/>
    <w:next w:val="Normal"/>
    <w:link w:val="Heading1Char"/>
    <w:uiPriority w:val="9"/>
    <w:qFormat/>
    <w:rsid w:val="00041B1E"/>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unhideWhenUsed/>
    <w:qFormat/>
    <w:rsid w:val="00041B1E"/>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semiHidden/>
    <w:unhideWhenUsed/>
    <w:qFormat/>
    <w:rsid w:val="00041B1E"/>
    <w:pPr>
      <w:keepNext/>
      <w:keepLines/>
      <w:spacing w:before="200" w:after="0"/>
      <w:outlineLvl w:val="2"/>
    </w:pPr>
    <w:rPr>
      <w:rFonts w:ascii="Cambria" w:eastAsia="Cambria" w:hAnsi="Cambria" w:cs="Cambria"/>
      <w:b/>
      <w:color w:val="4F81BD"/>
    </w:rPr>
  </w:style>
  <w:style w:type="paragraph" w:styleId="Heading4">
    <w:name w:val="heading 4"/>
    <w:basedOn w:val="Normal"/>
    <w:next w:val="Normal"/>
    <w:link w:val="Heading4Char"/>
    <w:semiHidden/>
    <w:unhideWhenUsed/>
    <w:qFormat/>
    <w:rsid w:val="00041B1E"/>
    <w:pPr>
      <w:keepNext/>
      <w:keepLines/>
      <w:spacing w:before="240" w:after="40"/>
      <w:outlineLvl w:val="3"/>
    </w:pPr>
    <w:rPr>
      <w:b/>
      <w:szCs w:val="24"/>
    </w:rPr>
  </w:style>
  <w:style w:type="paragraph" w:styleId="Heading5">
    <w:name w:val="heading 5"/>
    <w:basedOn w:val="Normal"/>
    <w:next w:val="Normal"/>
    <w:link w:val="Heading5Char"/>
    <w:uiPriority w:val="9"/>
    <w:semiHidden/>
    <w:unhideWhenUsed/>
    <w:qFormat/>
    <w:rsid w:val="00041B1E"/>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41B1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B1E"/>
    <w:rPr>
      <w:rFonts w:ascii="Cambria" w:eastAsia="Cambria" w:hAnsi="Cambria" w:cs="Cambria"/>
      <w:b/>
      <w:sz w:val="32"/>
      <w:szCs w:val="32"/>
      <w:lang w:eastAsia="en-ID"/>
    </w:rPr>
  </w:style>
  <w:style w:type="character" w:customStyle="1" w:styleId="Heading2Char">
    <w:name w:val="Heading 2 Char"/>
    <w:basedOn w:val="DefaultParagraphFont"/>
    <w:link w:val="Heading2"/>
    <w:rsid w:val="00041B1E"/>
    <w:rPr>
      <w:rFonts w:ascii="Cambria" w:eastAsia="Cambria" w:hAnsi="Cambria" w:cs="Cambria"/>
      <w:b/>
      <w:color w:val="4F81BD"/>
      <w:sz w:val="26"/>
      <w:szCs w:val="26"/>
      <w:lang w:eastAsia="en-ID"/>
    </w:rPr>
  </w:style>
  <w:style w:type="character" w:customStyle="1" w:styleId="Heading3Char">
    <w:name w:val="Heading 3 Char"/>
    <w:basedOn w:val="DefaultParagraphFont"/>
    <w:link w:val="Heading3"/>
    <w:semiHidden/>
    <w:rsid w:val="00041B1E"/>
    <w:rPr>
      <w:rFonts w:ascii="Cambria" w:eastAsia="Cambria" w:hAnsi="Cambria" w:cs="Cambria"/>
      <w:b/>
      <w:color w:val="4F81BD"/>
      <w:sz w:val="22"/>
      <w:szCs w:val="22"/>
      <w:lang w:eastAsia="en-ID"/>
    </w:rPr>
  </w:style>
  <w:style w:type="character" w:customStyle="1" w:styleId="Heading4Char">
    <w:name w:val="Heading 4 Char"/>
    <w:basedOn w:val="DefaultParagraphFont"/>
    <w:link w:val="Heading4"/>
    <w:semiHidden/>
    <w:rsid w:val="00041B1E"/>
    <w:rPr>
      <w:b/>
      <w:sz w:val="24"/>
      <w:szCs w:val="24"/>
      <w:lang w:eastAsia="en-ID"/>
    </w:rPr>
  </w:style>
  <w:style w:type="character" w:customStyle="1" w:styleId="Heading5Char">
    <w:name w:val="Heading 5 Char"/>
    <w:basedOn w:val="DefaultParagraphFont"/>
    <w:link w:val="Heading5"/>
    <w:uiPriority w:val="9"/>
    <w:semiHidden/>
    <w:rsid w:val="00041B1E"/>
    <w:rPr>
      <w:b/>
      <w:sz w:val="22"/>
      <w:szCs w:val="22"/>
      <w:lang w:eastAsia="en-ID"/>
    </w:rPr>
  </w:style>
  <w:style w:type="character" w:customStyle="1" w:styleId="Heading6Char">
    <w:name w:val="Heading 6 Char"/>
    <w:basedOn w:val="DefaultParagraphFont"/>
    <w:link w:val="Heading6"/>
    <w:uiPriority w:val="9"/>
    <w:semiHidden/>
    <w:rsid w:val="00041B1E"/>
    <w:rPr>
      <w:b/>
      <w:lang w:eastAsia="en-ID"/>
    </w:rPr>
  </w:style>
  <w:style w:type="paragraph" w:styleId="Title">
    <w:name w:val="Title"/>
    <w:basedOn w:val="Normal"/>
    <w:next w:val="Normal"/>
    <w:link w:val="TitleChar"/>
    <w:uiPriority w:val="10"/>
    <w:qFormat/>
    <w:rsid w:val="00041B1E"/>
    <w:pPr>
      <w:keepNext/>
      <w:keepLines/>
      <w:spacing w:before="480" w:after="120"/>
    </w:pPr>
    <w:rPr>
      <w:b/>
      <w:sz w:val="72"/>
      <w:szCs w:val="72"/>
    </w:rPr>
  </w:style>
  <w:style w:type="character" w:customStyle="1" w:styleId="TitleChar">
    <w:name w:val="Title Char"/>
    <w:basedOn w:val="DefaultParagraphFont"/>
    <w:link w:val="Title"/>
    <w:uiPriority w:val="10"/>
    <w:rsid w:val="00041B1E"/>
    <w:rPr>
      <w:b/>
      <w:sz w:val="72"/>
      <w:szCs w:val="72"/>
      <w:lang w:eastAsia="en-ID"/>
    </w:rPr>
  </w:style>
  <w:style w:type="paragraph" w:styleId="BodyText">
    <w:name w:val="Body Text"/>
    <w:basedOn w:val="Normal"/>
    <w:link w:val="BodyTextChar"/>
    <w:uiPriority w:val="1"/>
    <w:qFormat/>
    <w:rsid w:val="00041B1E"/>
    <w:pPr>
      <w:widowControl w:val="0"/>
      <w:autoSpaceDE w:val="0"/>
      <w:autoSpaceDN w:val="0"/>
      <w:spacing w:after="0" w:line="240" w:lineRule="auto"/>
    </w:pPr>
    <w:rPr>
      <w:rFonts w:cs="Times New Roman"/>
      <w:szCs w:val="24"/>
    </w:rPr>
  </w:style>
  <w:style w:type="character" w:customStyle="1" w:styleId="BodyTextChar">
    <w:name w:val="Body Text Char"/>
    <w:link w:val="BodyText"/>
    <w:uiPriority w:val="1"/>
    <w:rsid w:val="00041B1E"/>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041B1E"/>
    <w:pPr>
      <w:spacing w:after="60" w:line="240" w:lineRule="auto"/>
      <w:jc w:val="center"/>
    </w:pPr>
    <w:rPr>
      <w:rFonts w:ascii="Arial" w:eastAsia="Arial" w:hAnsi="Arial" w:cs="Arial"/>
      <w:szCs w:val="24"/>
    </w:rPr>
  </w:style>
  <w:style w:type="character" w:customStyle="1" w:styleId="SubtitleChar">
    <w:name w:val="Subtitle Char"/>
    <w:basedOn w:val="DefaultParagraphFont"/>
    <w:link w:val="Subtitle"/>
    <w:uiPriority w:val="11"/>
    <w:rsid w:val="00041B1E"/>
    <w:rPr>
      <w:rFonts w:ascii="Arial" w:eastAsia="Arial" w:hAnsi="Arial" w:cs="Arial"/>
      <w:sz w:val="24"/>
      <w:szCs w:val="24"/>
      <w:lang w:eastAsia="en-ID"/>
    </w:rPr>
  </w:style>
  <w:style w:type="paragraph" w:styleId="ListParagraph">
    <w:name w:val="List Paragraph"/>
    <w:basedOn w:val="Normal"/>
    <w:uiPriority w:val="34"/>
    <w:qFormat/>
    <w:rsid w:val="00041B1E"/>
    <w:pPr>
      <w:ind w:left="720"/>
      <w:contextualSpacing/>
    </w:pPr>
  </w:style>
  <w:style w:type="paragraph" w:styleId="NormalWeb">
    <w:name w:val="Normal (Web)"/>
    <w:basedOn w:val="Normal"/>
    <w:uiPriority w:val="99"/>
    <w:semiHidden/>
    <w:unhideWhenUsed/>
    <w:rsid w:val="005C38BE"/>
    <w:pPr>
      <w:spacing w:before="100" w:beforeAutospacing="1" w:after="100" w:afterAutospacing="1" w:line="240" w:lineRule="auto"/>
    </w:pPr>
    <w:rPr>
      <w:rFonts w:cs="Times New Roman"/>
      <w:szCs w:val="24"/>
      <w:lang w:val="id-ID" w:eastAsia="id-ID"/>
    </w:rPr>
  </w:style>
  <w:style w:type="paragraph" w:customStyle="1" w:styleId="Body">
    <w:name w:val="Body"/>
    <w:basedOn w:val="Normal"/>
    <w:rsid w:val="005C38BE"/>
    <w:pPr>
      <w:spacing w:after="240" w:line="240" w:lineRule="auto"/>
      <w:jc w:val="both"/>
    </w:pPr>
    <w:rPr>
      <w:rFonts w:ascii="Helvetica" w:hAnsi="Helvetica" w:cs="Times New Roman"/>
      <w:sz w:val="20"/>
      <w:szCs w:val="20"/>
    </w:rPr>
  </w:style>
  <w:style w:type="paragraph" w:customStyle="1" w:styleId="AbstHead">
    <w:name w:val="Abst Head"/>
    <w:basedOn w:val="Normal"/>
    <w:rsid w:val="005C38BE"/>
    <w:pPr>
      <w:keepNext/>
      <w:spacing w:after="240" w:line="240" w:lineRule="auto"/>
    </w:pPr>
    <w:rPr>
      <w:rFonts w:ascii="Helvetica" w:hAnsi="Helvetica" w:cs="Times New Roman"/>
      <w:b/>
      <w:caps/>
      <w:sz w:val="22"/>
      <w:szCs w:val="20"/>
    </w:rPr>
  </w:style>
  <w:style w:type="paragraph" w:customStyle="1" w:styleId="ConcHead">
    <w:name w:val="Conc Head"/>
    <w:basedOn w:val="Normal"/>
    <w:rsid w:val="00EB6BA0"/>
    <w:pPr>
      <w:keepNext/>
      <w:spacing w:after="240" w:line="240" w:lineRule="auto"/>
    </w:pPr>
    <w:rPr>
      <w:rFonts w:ascii="Helvetica" w:hAnsi="Helvetica" w:cs="Times New Roman"/>
      <w:b/>
      <w:caps/>
      <w:sz w:val="22"/>
      <w:szCs w:val="20"/>
    </w:rPr>
  </w:style>
  <w:style w:type="paragraph" w:customStyle="1" w:styleId="Head1">
    <w:name w:val="Head1"/>
    <w:basedOn w:val="Normal"/>
    <w:rsid w:val="00EB6BA0"/>
    <w:pPr>
      <w:keepNext/>
      <w:spacing w:after="240" w:line="240" w:lineRule="auto"/>
    </w:pPr>
    <w:rPr>
      <w:rFonts w:ascii="Helvetica" w:hAnsi="Helvetica" w:cs="Times New Roman"/>
      <w:b/>
      <w:caps/>
      <w:sz w:val="22"/>
      <w:szCs w:val="20"/>
    </w:rPr>
  </w:style>
  <w:style w:type="table" w:styleId="TableGrid">
    <w:name w:val="Table Grid"/>
    <w:basedOn w:val="TableNormal"/>
    <w:uiPriority w:val="59"/>
    <w:rsid w:val="00EB6BA0"/>
    <w:rPr>
      <w:rFonts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EB6BA0"/>
    <w:rPr>
      <w:i/>
      <w:iCs/>
    </w:rPr>
  </w:style>
  <w:style w:type="character" w:styleId="Strong">
    <w:name w:val="Strong"/>
    <w:basedOn w:val="DefaultParagraphFont"/>
    <w:uiPriority w:val="22"/>
    <w:qFormat/>
    <w:rsid w:val="00EB6BA0"/>
    <w:rPr>
      <w:b/>
      <w:bCs/>
    </w:rPr>
  </w:style>
  <w:style w:type="paragraph" w:customStyle="1" w:styleId="ReferHead">
    <w:name w:val="Refer Head"/>
    <w:basedOn w:val="Normal"/>
    <w:rsid w:val="001718C4"/>
    <w:pPr>
      <w:keepNext/>
      <w:spacing w:after="240" w:line="240" w:lineRule="auto"/>
    </w:pPr>
    <w:rPr>
      <w:rFonts w:ascii="Helvetica" w:hAnsi="Helvetica" w:cs="Times New Roman"/>
      <w:b/>
      <w:caps/>
      <w:sz w:val="22"/>
      <w:szCs w:val="20"/>
    </w:rPr>
  </w:style>
  <w:style w:type="character" w:styleId="Hyperlink">
    <w:name w:val="Hyperlink"/>
    <w:basedOn w:val="DefaultParagraphFont"/>
    <w:uiPriority w:val="99"/>
    <w:semiHidden/>
    <w:unhideWhenUsed/>
    <w:rsid w:val="00CD2290"/>
    <w:rPr>
      <w:color w:val="0000FF"/>
      <w:u w:val="single"/>
    </w:rPr>
  </w:style>
  <w:style w:type="paragraph" w:customStyle="1" w:styleId="Author">
    <w:name w:val="Author"/>
    <w:basedOn w:val="Normal"/>
    <w:rsid w:val="00CD2290"/>
    <w:pPr>
      <w:spacing w:after="0" w:line="280" w:lineRule="exact"/>
      <w:jc w:val="right"/>
    </w:pPr>
    <w:rPr>
      <w:rFonts w:ascii="Helvetica" w:hAnsi="Helvetica" w:cs="Times New Roman"/>
      <w:b/>
      <w:szCs w:val="20"/>
    </w:rPr>
  </w:style>
  <w:style w:type="character" w:styleId="LineNumber">
    <w:name w:val="line number"/>
    <w:basedOn w:val="DefaultParagraphFont"/>
    <w:uiPriority w:val="99"/>
    <w:semiHidden/>
    <w:unhideWhenUsed/>
    <w:rsid w:val="003518C6"/>
  </w:style>
  <w:style w:type="paragraph" w:styleId="Header">
    <w:name w:val="header"/>
    <w:basedOn w:val="Normal"/>
    <w:link w:val="HeaderChar"/>
    <w:uiPriority w:val="99"/>
    <w:unhideWhenUsed/>
    <w:rsid w:val="00AD2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DCB"/>
    <w:rPr>
      <w:rFonts w:ascii="Times New Roman" w:eastAsia="Times New Roman" w:hAnsi="Times New Roman" w:cstheme="minorBidi"/>
      <w:kern w:val="0"/>
      <w:sz w:val="24"/>
      <w:szCs w:val="22"/>
      <w14:ligatures w14:val="none"/>
    </w:rPr>
  </w:style>
  <w:style w:type="paragraph" w:styleId="Footer">
    <w:name w:val="footer"/>
    <w:basedOn w:val="Normal"/>
    <w:link w:val="FooterChar"/>
    <w:uiPriority w:val="99"/>
    <w:unhideWhenUsed/>
    <w:rsid w:val="00AD2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DCB"/>
    <w:rPr>
      <w:rFonts w:ascii="Times New Roman" w:eastAsia="Times New Roman" w:hAnsi="Times New Roman" w:cstheme="minorBidi"/>
      <w:kern w:val="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30712">
      <w:bodyDiv w:val="1"/>
      <w:marLeft w:val="0"/>
      <w:marRight w:val="0"/>
      <w:marTop w:val="0"/>
      <w:marBottom w:val="0"/>
      <w:divBdr>
        <w:top w:val="none" w:sz="0" w:space="0" w:color="auto"/>
        <w:left w:val="none" w:sz="0" w:space="0" w:color="auto"/>
        <w:bottom w:val="none" w:sz="0" w:space="0" w:color="auto"/>
        <w:right w:val="none" w:sz="0" w:space="0" w:color="auto"/>
      </w:divBdr>
    </w:div>
    <w:div w:id="123736496">
      <w:bodyDiv w:val="1"/>
      <w:marLeft w:val="0"/>
      <w:marRight w:val="0"/>
      <w:marTop w:val="0"/>
      <w:marBottom w:val="0"/>
      <w:divBdr>
        <w:top w:val="none" w:sz="0" w:space="0" w:color="auto"/>
        <w:left w:val="none" w:sz="0" w:space="0" w:color="auto"/>
        <w:bottom w:val="none" w:sz="0" w:space="0" w:color="auto"/>
        <w:right w:val="none" w:sz="0" w:space="0" w:color="auto"/>
      </w:divBdr>
    </w:div>
    <w:div w:id="258756125">
      <w:bodyDiv w:val="1"/>
      <w:marLeft w:val="0"/>
      <w:marRight w:val="0"/>
      <w:marTop w:val="0"/>
      <w:marBottom w:val="0"/>
      <w:divBdr>
        <w:top w:val="none" w:sz="0" w:space="0" w:color="auto"/>
        <w:left w:val="none" w:sz="0" w:space="0" w:color="auto"/>
        <w:bottom w:val="none" w:sz="0" w:space="0" w:color="auto"/>
        <w:right w:val="none" w:sz="0" w:space="0" w:color="auto"/>
      </w:divBdr>
    </w:div>
    <w:div w:id="386300630">
      <w:bodyDiv w:val="1"/>
      <w:marLeft w:val="0"/>
      <w:marRight w:val="0"/>
      <w:marTop w:val="0"/>
      <w:marBottom w:val="0"/>
      <w:divBdr>
        <w:top w:val="none" w:sz="0" w:space="0" w:color="auto"/>
        <w:left w:val="none" w:sz="0" w:space="0" w:color="auto"/>
        <w:bottom w:val="none" w:sz="0" w:space="0" w:color="auto"/>
        <w:right w:val="none" w:sz="0" w:space="0" w:color="auto"/>
      </w:divBdr>
    </w:div>
    <w:div w:id="432435689">
      <w:bodyDiv w:val="1"/>
      <w:marLeft w:val="0"/>
      <w:marRight w:val="0"/>
      <w:marTop w:val="0"/>
      <w:marBottom w:val="0"/>
      <w:divBdr>
        <w:top w:val="none" w:sz="0" w:space="0" w:color="auto"/>
        <w:left w:val="none" w:sz="0" w:space="0" w:color="auto"/>
        <w:bottom w:val="none" w:sz="0" w:space="0" w:color="auto"/>
        <w:right w:val="none" w:sz="0" w:space="0" w:color="auto"/>
      </w:divBdr>
    </w:div>
    <w:div w:id="599142537">
      <w:bodyDiv w:val="1"/>
      <w:marLeft w:val="0"/>
      <w:marRight w:val="0"/>
      <w:marTop w:val="0"/>
      <w:marBottom w:val="0"/>
      <w:divBdr>
        <w:top w:val="none" w:sz="0" w:space="0" w:color="auto"/>
        <w:left w:val="none" w:sz="0" w:space="0" w:color="auto"/>
        <w:bottom w:val="none" w:sz="0" w:space="0" w:color="auto"/>
        <w:right w:val="none" w:sz="0" w:space="0" w:color="auto"/>
      </w:divBdr>
    </w:div>
    <w:div w:id="685596972">
      <w:bodyDiv w:val="1"/>
      <w:marLeft w:val="0"/>
      <w:marRight w:val="0"/>
      <w:marTop w:val="0"/>
      <w:marBottom w:val="0"/>
      <w:divBdr>
        <w:top w:val="none" w:sz="0" w:space="0" w:color="auto"/>
        <w:left w:val="none" w:sz="0" w:space="0" w:color="auto"/>
        <w:bottom w:val="none" w:sz="0" w:space="0" w:color="auto"/>
        <w:right w:val="none" w:sz="0" w:space="0" w:color="auto"/>
      </w:divBdr>
    </w:div>
    <w:div w:id="825777586">
      <w:bodyDiv w:val="1"/>
      <w:marLeft w:val="0"/>
      <w:marRight w:val="0"/>
      <w:marTop w:val="0"/>
      <w:marBottom w:val="0"/>
      <w:divBdr>
        <w:top w:val="none" w:sz="0" w:space="0" w:color="auto"/>
        <w:left w:val="none" w:sz="0" w:space="0" w:color="auto"/>
        <w:bottom w:val="none" w:sz="0" w:space="0" w:color="auto"/>
        <w:right w:val="none" w:sz="0" w:space="0" w:color="auto"/>
      </w:divBdr>
    </w:div>
    <w:div w:id="905531612">
      <w:bodyDiv w:val="1"/>
      <w:marLeft w:val="0"/>
      <w:marRight w:val="0"/>
      <w:marTop w:val="0"/>
      <w:marBottom w:val="0"/>
      <w:divBdr>
        <w:top w:val="none" w:sz="0" w:space="0" w:color="auto"/>
        <w:left w:val="none" w:sz="0" w:space="0" w:color="auto"/>
        <w:bottom w:val="none" w:sz="0" w:space="0" w:color="auto"/>
        <w:right w:val="none" w:sz="0" w:space="0" w:color="auto"/>
      </w:divBdr>
      <w:divsChild>
        <w:div w:id="175835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251434">
      <w:bodyDiv w:val="1"/>
      <w:marLeft w:val="0"/>
      <w:marRight w:val="0"/>
      <w:marTop w:val="0"/>
      <w:marBottom w:val="0"/>
      <w:divBdr>
        <w:top w:val="none" w:sz="0" w:space="0" w:color="auto"/>
        <w:left w:val="none" w:sz="0" w:space="0" w:color="auto"/>
        <w:bottom w:val="none" w:sz="0" w:space="0" w:color="auto"/>
        <w:right w:val="none" w:sz="0" w:space="0" w:color="auto"/>
      </w:divBdr>
    </w:div>
    <w:div w:id="1097747773">
      <w:bodyDiv w:val="1"/>
      <w:marLeft w:val="0"/>
      <w:marRight w:val="0"/>
      <w:marTop w:val="0"/>
      <w:marBottom w:val="0"/>
      <w:divBdr>
        <w:top w:val="none" w:sz="0" w:space="0" w:color="auto"/>
        <w:left w:val="none" w:sz="0" w:space="0" w:color="auto"/>
        <w:bottom w:val="none" w:sz="0" w:space="0" w:color="auto"/>
        <w:right w:val="none" w:sz="0" w:space="0" w:color="auto"/>
      </w:divBdr>
    </w:div>
    <w:div w:id="1560242606">
      <w:bodyDiv w:val="1"/>
      <w:marLeft w:val="0"/>
      <w:marRight w:val="0"/>
      <w:marTop w:val="0"/>
      <w:marBottom w:val="0"/>
      <w:divBdr>
        <w:top w:val="none" w:sz="0" w:space="0" w:color="auto"/>
        <w:left w:val="none" w:sz="0" w:space="0" w:color="auto"/>
        <w:bottom w:val="none" w:sz="0" w:space="0" w:color="auto"/>
        <w:right w:val="none" w:sz="0" w:space="0" w:color="auto"/>
      </w:divBdr>
    </w:div>
    <w:div w:id="1611085633">
      <w:bodyDiv w:val="1"/>
      <w:marLeft w:val="0"/>
      <w:marRight w:val="0"/>
      <w:marTop w:val="0"/>
      <w:marBottom w:val="0"/>
      <w:divBdr>
        <w:top w:val="none" w:sz="0" w:space="0" w:color="auto"/>
        <w:left w:val="none" w:sz="0" w:space="0" w:color="auto"/>
        <w:bottom w:val="none" w:sz="0" w:space="0" w:color="auto"/>
        <w:right w:val="none" w:sz="0" w:space="0" w:color="auto"/>
      </w:divBdr>
    </w:div>
    <w:div w:id="1694502097">
      <w:bodyDiv w:val="1"/>
      <w:marLeft w:val="0"/>
      <w:marRight w:val="0"/>
      <w:marTop w:val="0"/>
      <w:marBottom w:val="0"/>
      <w:divBdr>
        <w:top w:val="none" w:sz="0" w:space="0" w:color="auto"/>
        <w:left w:val="none" w:sz="0" w:space="0" w:color="auto"/>
        <w:bottom w:val="none" w:sz="0" w:space="0" w:color="auto"/>
        <w:right w:val="none" w:sz="0" w:space="0" w:color="auto"/>
      </w:divBdr>
    </w:div>
    <w:div w:id="1694647813">
      <w:bodyDiv w:val="1"/>
      <w:marLeft w:val="0"/>
      <w:marRight w:val="0"/>
      <w:marTop w:val="0"/>
      <w:marBottom w:val="0"/>
      <w:divBdr>
        <w:top w:val="none" w:sz="0" w:space="0" w:color="auto"/>
        <w:left w:val="none" w:sz="0" w:space="0" w:color="auto"/>
        <w:bottom w:val="none" w:sz="0" w:space="0" w:color="auto"/>
        <w:right w:val="none" w:sz="0" w:space="0" w:color="auto"/>
      </w:divBdr>
      <w:divsChild>
        <w:div w:id="2144275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122442">
      <w:bodyDiv w:val="1"/>
      <w:marLeft w:val="0"/>
      <w:marRight w:val="0"/>
      <w:marTop w:val="0"/>
      <w:marBottom w:val="0"/>
      <w:divBdr>
        <w:top w:val="none" w:sz="0" w:space="0" w:color="auto"/>
        <w:left w:val="none" w:sz="0" w:space="0" w:color="auto"/>
        <w:bottom w:val="none" w:sz="0" w:space="0" w:color="auto"/>
        <w:right w:val="none" w:sz="0" w:space="0" w:color="auto"/>
      </w:divBdr>
    </w:div>
    <w:div w:id="1966932836">
      <w:bodyDiv w:val="1"/>
      <w:marLeft w:val="0"/>
      <w:marRight w:val="0"/>
      <w:marTop w:val="0"/>
      <w:marBottom w:val="0"/>
      <w:divBdr>
        <w:top w:val="none" w:sz="0" w:space="0" w:color="auto"/>
        <w:left w:val="none" w:sz="0" w:space="0" w:color="auto"/>
        <w:bottom w:val="none" w:sz="0" w:space="0" w:color="auto"/>
        <w:right w:val="none" w:sz="0" w:space="0" w:color="auto"/>
      </w:divBdr>
      <w:divsChild>
        <w:div w:id="1907374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114C8F-E041-42E5-99EF-37294D8C1417}">
  <we:reference id="wa200000368" version="1.0.0.0" store="en-US" storeType="OMEX"/>
  <we:alternateReferences>
    <we:reference id="WA200000368" version="1.0.0.0" store="" storeType="OMEX"/>
  </we:alternateReferences>
  <we:properties>
    <we:property name="documentId" value="&quot;4f2f674a773bdef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66198-ACBE-4E0D-BA29-72E59093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21960</Words>
  <Characters>125178</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Banunaek</dc:creator>
  <cp:keywords/>
  <dc:description/>
  <cp:lastModifiedBy>SDI 1084</cp:lastModifiedBy>
  <cp:revision>33</cp:revision>
  <cp:lastPrinted>2026-03-02T09:11:00Z</cp:lastPrinted>
  <dcterms:created xsi:type="dcterms:W3CDTF">2026-03-02T07:24:00Z</dcterms:created>
  <dcterms:modified xsi:type="dcterms:W3CDTF">2026-03-04T09:57:00Z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https://csl.mendeley.com/styles/21371271/Jurnal-Agrikultura</vt:lpwstr>
  </property>
  <property fmtid="{D5CDD505-2E9C-101B-9397-08002B2CF9AE}" pid="17" name="Mendeley Recent Style Name 7_1">
    <vt:lpwstr>Jurnal Agrikultura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http://csl.mendeley.com/styles/754235221/vancouver</vt:lpwstr>
  </property>
  <property fmtid="{D5CDD505-2E9C-101B-9397-08002B2CF9AE}" pid="21" name="Mendeley Recent Style Name 9_1">
    <vt:lpwstr>Vancouver - Musa  Banunaek</vt:lpwstr>
  </property>
  <property fmtid="{D5CDD505-2E9C-101B-9397-08002B2CF9AE}" pid="22" name="Mendeley Document_1">
    <vt:lpwstr>True</vt:lpwstr>
  </property>
  <property fmtid="{D5CDD505-2E9C-101B-9397-08002B2CF9AE}" pid="23" name="Mendeley Unique User Id_1">
    <vt:lpwstr>c133c00e-4a55-3e52-afa7-f7dbcd81b28c</vt:lpwstr>
  </property>
  <property fmtid="{D5CDD505-2E9C-101B-9397-08002B2CF9AE}" pid="24" name="Mendeley Citation Style_1">
    <vt:lpwstr>http://www.zotero.org/styles/american-political-science-association</vt:lpwstr>
  </property>
</Properties>
</file>