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1AF8" w14:textId="77777777" w:rsidR="00C80864" w:rsidRDefault="00C80864">
      <w:pPr>
        <w:spacing w:after="240"/>
        <w:jc w:val="right"/>
        <w:rPr>
          <w:rFonts w:ascii="Arial" w:hAnsi="Arial" w:cs="Arial"/>
          <w:b/>
          <w:bCs/>
          <w:iCs/>
          <w:kern w:val="28"/>
          <w:sz w:val="36"/>
        </w:rPr>
      </w:pPr>
      <w:r w:rsidRPr="00C80864">
        <w:rPr>
          <w:rFonts w:ascii="Arial" w:hAnsi="Arial" w:cs="Arial"/>
          <w:b/>
          <w:bCs/>
          <w:iCs/>
          <w:kern w:val="28"/>
          <w:sz w:val="36"/>
        </w:rPr>
        <w:t>Minireview Article</w:t>
      </w:r>
    </w:p>
    <w:p w14:paraId="00B6DD82" w14:textId="76F029E5" w:rsidR="00CC3FD6" w:rsidRDefault="00FE0EB9">
      <w:pPr>
        <w:spacing w:after="240"/>
        <w:jc w:val="right"/>
        <w:rPr>
          <w:rFonts w:ascii="Arial" w:hAnsi="Arial" w:cs="Arial"/>
          <w:b/>
          <w:bCs/>
          <w:iCs/>
          <w:kern w:val="28"/>
          <w:sz w:val="36"/>
        </w:rPr>
      </w:pPr>
      <w:r>
        <w:rPr>
          <w:rFonts w:ascii="Arial" w:hAnsi="Arial" w:cs="Arial"/>
          <w:b/>
          <w:bCs/>
          <w:iCs/>
          <w:kern w:val="28"/>
          <w:sz w:val="36"/>
        </w:rPr>
        <w:t>Foamed Red Mud-Based Geopolymer Concrete: A Comprehensive Review of Synthesis, Microstructure, and Thermo-Mechanical Performance</w:t>
      </w:r>
    </w:p>
    <w:p w14:paraId="025C7024" w14:textId="77777777" w:rsidR="00CC3FD6" w:rsidRDefault="00CC3FD6">
      <w:pPr>
        <w:pStyle w:val="Author"/>
        <w:spacing w:line="240" w:lineRule="auto"/>
        <w:jc w:val="both"/>
        <w:rPr>
          <w:rFonts w:ascii="Arial" w:hAnsi="Arial" w:cs="Arial"/>
          <w:sz w:val="36"/>
        </w:rPr>
      </w:pPr>
      <w:bookmarkStart w:id="0" w:name="_GoBack"/>
      <w:bookmarkEnd w:id="0"/>
    </w:p>
    <w:p w14:paraId="16CF741E" w14:textId="77777777" w:rsidR="00AA3456" w:rsidRDefault="00AA3456" w:rsidP="003E53F7">
      <w:pPr>
        <w:pStyle w:val="Affiliation"/>
        <w:spacing w:after="0" w:line="240" w:lineRule="auto"/>
        <w:rPr>
          <w:rFonts w:ascii="Arial" w:hAnsi="Arial" w:cs="Arial"/>
        </w:rPr>
      </w:pPr>
    </w:p>
    <w:p w14:paraId="1EFE2800" w14:textId="77777777" w:rsidR="00AA3456" w:rsidRDefault="00AA3456" w:rsidP="003E53F7">
      <w:pPr>
        <w:pStyle w:val="Affiliation"/>
        <w:spacing w:after="0" w:line="240" w:lineRule="auto"/>
        <w:rPr>
          <w:rFonts w:ascii="Arial" w:hAnsi="Arial" w:cs="Arial"/>
        </w:rPr>
      </w:pPr>
    </w:p>
    <w:p w14:paraId="70ECF2ED" w14:textId="77777777" w:rsidR="00BD01FC" w:rsidRDefault="00BD01FC" w:rsidP="003E53F7">
      <w:pPr>
        <w:pStyle w:val="Affiliation"/>
        <w:spacing w:after="0" w:line="240" w:lineRule="auto"/>
        <w:rPr>
          <w:rFonts w:ascii="Arial" w:hAnsi="Arial" w:cs="Arial"/>
        </w:rPr>
      </w:pPr>
    </w:p>
    <w:p w14:paraId="68DA42B3" w14:textId="4B0DF140" w:rsidR="003E53F7" w:rsidRDefault="003E53F7" w:rsidP="003E53F7">
      <w:pPr>
        <w:pStyle w:val="Affiliation"/>
        <w:spacing w:after="0" w:line="240" w:lineRule="auto"/>
        <w:rPr>
          <w:rFonts w:ascii="Arial" w:hAnsi="Arial" w:cs="Arial"/>
        </w:rPr>
      </w:pPr>
      <w:r>
        <w:rPr>
          <w:rFonts w:ascii="Arial" w:hAnsi="Arial" w:cs="Arial"/>
        </w:rPr>
        <w:t xml:space="preserve"> </w:t>
      </w:r>
    </w:p>
    <w:p w14:paraId="5EA00853" w14:textId="77777777" w:rsidR="00CC3FD6" w:rsidRDefault="00CC3FD6">
      <w:pPr>
        <w:pStyle w:val="Affiliation"/>
        <w:spacing w:after="0" w:line="240" w:lineRule="auto"/>
        <w:jc w:val="both"/>
        <w:rPr>
          <w:rFonts w:ascii="Arial" w:hAnsi="Arial" w:cs="Arial"/>
        </w:rPr>
      </w:pPr>
    </w:p>
    <w:p w14:paraId="3C6C42C7" w14:textId="77777777" w:rsidR="00CC3FD6" w:rsidRDefault="00FE0EB9">
      <w:pPr>
        <w:pStyle w:val="Copyright"/>
        <w:spacing w:after="0" w:line="240" w:lineRule="auto"/>
        <w:jc w:val="both"/>
        <w:rPr>
          <w:rFonts w:ascii="Arial" w:hAnsi="Arial" w:cs="Arial"/>
        </w:rPr>
        <w:sectPr w:rsidR="00CC3FD6" w:rsidSect="004E13A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E2CCA39" wp14:editId="2756BB4F">
                <wp:extent cx="5303520" cy="0"/>
                <wp:effectExtent l="0" t="9525" r="0" b="13335"/>
                <wp:docPr id="5"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9F5F22E"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AL9K&#10;+O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204A91FB" w14:textId="77777777" w:rsidR="00CC3FD6" w:rsidRDefault="00FE0EB9">
      <w:pPr>
        <w:pStyle w:val="AbstHead"/>
        <w:spacing w:after="0"/>
        <w:jc w:val="both"/>
        <w:rPr>
          <w:rFonts w:ascii="Arial" w:hAnsi="Arial" w:cs="Arial"/>
        </w:rPr>
      </w:pPr>
      <w:r>
        <w:rPr>
          <w:rFonts w:ascii="Arial" w:hAnsi="Arial" w:cs="Arial"/>
        </w:rPr>
        <w:t>ABSTRACT</w:t>
      </w:r>
    </w:p>
    <w:p w14:paraId="67CEFACF" w14:textId="77777777" w:rsidR="00CC3FD6" w:rsidRDefault="00FE0EB9">
      <w:pPr>
        <w:pStyle w:val="NormalWeb"/>
        <w:jc w:val="both"/>
        <w:rPr>
          <w:rFonts w:ascii="Arial" w:hAnsi="Arial" w:cs="Arial"/>
          <w:sz w:val="22"/>
          <w:szCs w:val="22"/>
        </w:rPr>
      </w:pPr>
      <w:r>
        <w:rPr>
          <w:rFonts w:ascii="Arial" w:hAnsi="Arial" w:cs="Arial"/>
          <w:sz w:val="22"/>
          <w:szCs w:val="22"/>
        </w:rPr>
        <w:t xml:space="preserve">This review systematically summarizes recent research progress on foamed red mud-based concrete (FRMC), a sustainable building material that integrates industrial waste valorization with thermal insulation. The paper </w:t>
      </w:r>
      <w:r>
        <w:rPr>
          <w:rFonts w:ascii="Arial" w:hAnsi="Arial" w:cs="Arial"/>
          <w:sz w:val="22"/>
          <w:szCs w:val="22"/>
        </w:rPr>
        <w:t>addresses four key research directions: (1) foaming technology optimization and mechanism studies, including foaming agent types, process control, and foam stability; (2) red mud incorporation and modification research, covering incorporation ratios, activ</w:t>
      </w:r>
      <w:r>
        <w:rPr>
          <w:rFonts w:ascii="Arial" w:hAnsi="Arial" w:cs="Arial"/>
          <w:sz w:val="22"/>
          <w:szCs w:val="22"/>
        </w:rPr>
        <w:t>ation techniques (mechanical, chemical, and thermal), and synergistic hydration mechanisms; (3) aggregate combination strategies, including conventional aggregate systems and composite aggregate systems; and (4) performance control and microstructural mech</w:t>
      </w:r>
      <w:r>
        <w:rPr>
          <w:rFonts w:ascii="Arial" w:hAnsi="Arial" w:cs="Arial"/>
          <w:sz w:val="22"/>
          <w:szCs w:val="22"/>
        </w:rPr>
        <w:t>anisms, focusing on mechanical and thermal properties. Results show that optimal red mud incorporation (10-30%) with proper modification can achieve 28-day compressive strength of 28.5-33.5 MPa and thermal conductivity of 0.075-0.086 W/(</w:t>
      </w:r>
      <w:proofErr w:type="spellStart"/>
      <w:r>
        <w:rPr>
          <w:rFonts w:ascii="Arial" w:hAnsi="Arial" w:cs="Arial"/>
          <w:sz w:val="22"/>
          <w:szCs w:val="22"/>
        </w:rPr>
        <w:t>m·K</w:t>
      </w:r>
      <w:proofErr w:type="spellEnd"/>
      <w:r>
        <w:rPr>
          <w:rFonts w:ascii="Arial" w:hAnsi="Arial" w:cs="Arial"/>
          <w:sz w:val="22"/>
          <w:szCs w:val="22"/>
        </w:rPr>
        <w:t>), making FRMC p</w:t>
      </w:r>
      <w:r>
        <w:rPr>
          <w:rFonts w:ascii="Arial" w:hAnsi="Arial" w:cs="Arial"/>
          <w:sz w:val="22"/>
          <w:szCs w:val="22"/>
        </w:rPr>
        <w:t>romising for building insulation applications. Future research should focus on high-incorporation red mud systems, long-term durability mechanisms, and engineering-scale material design models.</w:t>
      </w:r>
    </w:p>
    <w:p w14:paraId="0A78D2FC" w14:textId="77777777" w:rsidR="00CC3FD6" w:rsidRDefault="00FE0EB9">
      <w:pPr>
        <w:pStyle w:val="NormalWeb"/>
        <w:jc w:val="both"/>
        <w:rPr>
          <w:rStyle w:val="Strong"/>
          <w:rFonts w:ascii="Arial" w:eastAsia="SimSun" w:hAnsi="Arial" w:cs="Arial"/>
          <w:i/>
          <w:iCs/>
          <w:sz w:val="20"/>
        </w:rPr>
      </w:pPr>
      <w:r>
        <w:rPr>
          <w:rStyle w:val="Strong"/>
          <w:rFonts w:ascii="Arial" w:eastAsia="SimSun" w:hAnsi="Arial" w:cs="Arial"/>
          <w:i/>
          <w:iCs/>
          <w:sz w:val="20"/>
        </w:rPr>
        <w:t>Keywords: Foamed red mud-based concrete; Foaming technology; R</w:t>
      </w:r>
      <w:r>
        <w:rPr>
          <w:rStyle w:val="Strong"/>
          <w:rFonts w:ascii="Arial" w:eastAsia="SimSun" w:hAnsi="Arial" w:cs="Arial"/>
          <w:i/>
          <w:iCs/>
          <w:sz w:val="20"/>
        </w:rPr>
        <w:t>ed mud incorporation; Aggregate synergy; Performance control; Microstructural mechanism</w:t>
      </w:r>
    </w:p>
    <w:p w14:paraId="5842C3B8" w14:textId="77777777" w:rsidR="00CC3FD6" w:rsidRDefault="00CC3FD6">
      <w:pPr>
        <w:pStyle w:val="NormalWeb"/>
        <w:jc w:val="both"/>
        <w:rPr>
          <w:rStyle w:val="Strong"/>
          <w:rFonts w:ascii="Arial" w:hAnsi="Arial" w:cs="Arial"/>
          <w:i/>
          <w:iCs/>
          <w:sz w:val="20"/>
        </w:rPr>
      </w:pPr>
    </w:p>
    <w:p w14:paraId="145B5033" w14:textId="77777777" w:rsidR="00CC3FD6" w:rsidRDefault="00FE0EB9">
      <w:pPr>
        <w:pStyle w:val="AbstHead"/>
        <w:spacing w:after="0"/>
        <w:jc w:val="both"/>
        <w:rPr>
          <w:rFonts w:ascii="Arial" w:hAnsi="Arial" w:cs="Arial"/>
        </w:rPr>
      </w:pPr>
      <w:r>
        <w:rPr>
          <w:rFonts w:ascii="Arial" w:hAnsi="Arial" w:cs="Arial"/>
        </w:rPr>
        <w:t>1. INTRODUCTION</w:t>
      </w:r>
    </w:p>
    <w:p w14:paraId="0E206CA7" w14:textId="77777777" w:rsidR="00CC3FD6" w:rsidRDefault="00FE0EB9">
      <w:pPr>
        <w:spacing w:before="180" w:after="60"/>
        <w:rPr>
          <w:rStyle w:val="Strong"/>
          <w:rFonts w:ascii="Times New Roman" w:eastAsia="SimSun" w:hAnsi="Times New Roman"/>
        </w:rPr>
      </w:pPr>
      <w:r>
        <w:rPr>
          <w:rStyle w:val="Strong"/>
          <w:rFonts w:ascii="Times New Roman" w:eastAsia="SimSun" w:hAnsi="Times New Roman"/>
        </w:rPr>
        <w:t>1.1 Research Background and Significance</w:t>
      </w:r>
    </w:p>
    <w:p w14:paraId="0CF4F805" w14:textId="77777777" w:rsidR="00CC3FD6" w:rsidRDefault="00FE0EB9">
      <w:pPr>
        <w:spacing w:before="180" w:after="60"/>
        <w:rPr>
          <w:b/>
          <w:u w:val="single"/>
        </w:rPr>
      </w:pPr>
      <w:r>
        <w:rPr>
          <w:rFonts w:ascii="Arial" w:hAnsi="Arial"/>
          <w:b/>
          <w:u w:val="single"/>
        </w:rPr>
        <w:t>1.1.1 Urgent Need for High-Value Utilization of Red Mud Waste</w:t>
      </w:r>
    </w:p>
    <w:p w14:paraId="2CDB97E2" w14:textId="77777777" w:rsidR="00CC3FD6" w:rsidRDefault="00FE0EB9">
      <w:pPr>
        <w:pStyle w:val="NormalWeb"/>
        <w:rPr>
          <w:rFonts w:ascii="Arial" w:hAnsi="Arial" w:cs="Arial"/>
          <w:sz w:val="20"/>
          <w:lang w:eastAsia="en-US"/>
        </w:rPr>
      </w:pPr>
      <w:r>
        <w:rPr>
          <w:rFonts w:ascii="Arial" w:hAnsi="Arial" w:cs="Arial"/>
          <w:sz w:val="20"/>
          <w:lang w:eastAsia="en-US"/>
        </w:rPr>
        <w:t xml:space="preserve">Red mud is an industrial waste generated during </w:t>
      </w:r>
      <w:r>
        <w:rPr>
          <w:rFonts w:ascii="Arial" w:hAnsi="Arial" w:cs="Arial"/>
          <w:sz w:val="20"/>
          <w:lang w:eastAsia="en-US"/>
        </w:rPr>
        <w:t>the alumina extraction process from bauxite. Approximately 1.0-1.8 tons of red mud is produced per ton of alumina. Global red mud generation exceeds 150 million tons annually, with China—as the world's largest alumina producer—generating over 60 million to</w:t>
      </w:r>
      <w:r>
        <w:rPr>
          <w:rFonts w:ascii="Arial" w:hAnsi="Arial" w:cs="Arial"/>
          <w:sz w:val="20"/>
          <w:lang w:eastAsia="en-US"/>
        </w:rPr>
        <w:t xml:space="preserve">ns per year, accumulating to over 1 billion tons. Red mud contains </w:t>
      </w:r>
      <w:proofErr w:type="spellStart"/>
      <w:r>
        <w:rPr>
          <w:rFonts w:ascii="Arial" w:hAnsi="Arial" w:cs="Arial"/>
          <w:sz w:val="20"/>
          <w:lang w:eastAsia="en-US"/>
        </w:rPr>
        <w:t>CaO</w:t>
      </w:r>
      <w:proofErr w:type="spellEnd"/>
      <w:r>
        <w:rPr>
          <w:rFonts w:ascii="Arial" w:hAnsi="Arial" w:cs="Arial"/>
          <w:sz w:val="20"/>
          <w:lang w:eastAsia="en-US"/>
        </w:rPr>
        <w:t xml:space="preserve">, </w:t>
      </w:r>
      <w:proofErr w:type="spellStart"/>
      <w:r>
        <w:rPr>
          <w:rFonts w:ascii="Arial" w:hAnsi="Arial" w:cs="Arial"/>
          <w:sz w:val="20"/>
          <w:lang w:eastAsia="en-US"/>
        </w:rPr>
        <w:t>SiO</w:t>
      </w:r>
      <w:proofErr w:type="spellEnd"/>
      <w:r>
        <w:rPr>
          <w:rFonts w:ascii="Arial" w:hAnsi="Arial" w:cs="Arial"/>
          <w:sz w:val="20"/>
          <w:lang w:eastAsia="en-US"/>
        </w:rPr>
        <w:t xml:space="preserve">₂, </w:t>
      </w:r>
      <w:proofErr w:type="spellStart"/>
      <w:r>
        <w:rPr>
          <w:rFonts w:ascii="Arial" w:hAnsi="Arial" w:cs="Arial"/>
          <w:sz w:val="20"/>
          <w:lang w:eastAsia="en-US"/>
        </w:rPr>
        <w:t>Al₂O</w:t>
      </w:r>
      <w:proofErr w:type="spellEnd"/>
      <w:r>
        <w:rPr>
          <w:rFonts w:ascii="Arial" w:hAnsi="Arial" w:cs="Arial"/>
          <w:sz w:val="20"/>
          <w:lang w:eastAsia="en-US"/>
        </w:rPr>
        <w:t>₃ and trace heavy metal ions (Cr, As, Pb), and long-term outdoor storage causes heavy metal leaching, soil and water contamination, consuming significant agricultural land re</w:t>
      </w:r>
      <w:r>
        <w:rPr>
          <w:rFonts w:ascii="Arial" w:hAnsi="Arial" w:cs="Arial"/>
          <w:sz w:val="20"/>
          <w:lang w:eastAsia="en-US"/>
        </w:rPr>
        <w:t xml:space="preserve">sources. Currently, red mud utilization is less than 10%, far below fly ash (&gt;60%) and slag (&gt;70%), making high-value utilization critical for solving </w:t>
      </w:r>
      <w:r>
        <w:rPr>
          <w:rFonts w:ascii="Arial" w:hAnsi="Arial" w:cs="Arial"/>
          <w:sz w:val="20"/>
          <w:lang w:eastAsia="en-US"/>
        </w:rPr>
        <w:lastRenderedPageBreak/>
        <w:t>aluminum industry development bottlenecks. Due to compositional similarity with cement and metakaolin, re</w:t>
      </w:r>
      <w:r>
        <w:rPr>
          <w:rFonts w:ascii="Arial" w:hAnsi="Arial" w:cs="Arial"/>
          <w:sz w:val="20"/>
          <w:lang w:eastAsia="en-US"/>
        </w:rPr>
        <w:t>d mud can be incorporated into foamed concrete systems for large-scale consumption and high-value utilization, aligning with waste resource strategies and carbon neutrality goals.</w:t>
      </w:r>
    </w:p>
    <w:p w14:paraId="7F5E7830" w14:textId="77777777" w:rsidR="00CC3FD6" w:rsidRDefault="00FE0EB9">
      <w:pPr>
        <w:spacing w:before="180" w:after="60"/>
        <w:rPr>
          <w:rFonts w:ascii="Arial" w:hAnsi="Arial"/>
          <w:b/>
          <w:u w:val="single"/>
        </w:rPr>
      </w:pPr>
      <w:r>
        <w:rPr>
          <w:rFonts w:ascii="Arial" w:hAnsi="Arial"/>
          <w:b/>
          <w:u w:val="single"/>
        </w:rPr>
        <w:t xml:space="preserve">1.1.2 Demand for Low-Carbon Thermal Insulation Materials in Building Energy </w:t>
      </w:r>
      <w:r>
        <w:rPr>
          <w:rFonts w:ascii="Arial" w:hAnsi="Arial"/>
          <w:b/>
          <w:u w:val="single"/>
        </w:rPr>
        <w:t>Efficiency</w:t>
      </w:r>
    </w:p>
    <w:p w14:paraId="6635C764" w14:textId="77777777" w:rsidR="00CC3FD6" w:rsidRDefault="00FE0EB9">
      <w:pPr>
        <w:spacing w:after="120" w:line="360" w:lineRule="auto"/>
        <w:jc w:val="both"/>
        <w:rPr>
          <w:rFonts w:ascii="Arial" w:hAnsi="Arial" w:cs="Arial"/>
        </w:rPr>
      </w:pPr>
      <w:r>
        <w:rPr>
          <w:rFonts w:ascii="Arial" w:hAnsi="Arial" w:cs="Arial"/>
        </w:rPr>
        <w:t>With escalating global energy crises and advancing carbon neutrality targets, building energy efficiency has become central to emission reduction. According to the International Energy Agency (IEA), building energy consumption accounts for 36% o</w:t>
      </w:r>
      <w:r>
        <w:rPr>
          <w:rFonts w:ascii="Arial" w:hAnsi="Arial" w:cs="Arial"/>
        </w:rPr>
        <w:t>f total global energy use and 39% of total carbon emissions. Traditional foamed concrete, though lightweight and thermally insulating, suffers from high carbon emissions, elevated costs, and difficult performance control. Foamed red mud-based concrete, inc</w:t>
      </w:r>
      <w:r>
        <w:rPr>
          <w:rFonts w:ascii="Arial" w:hAnsi="Arial" w:cs="Arial"/>
        </w:rPr>
        <w:t>orporating red mud as the primary supplementary material while partially replacing cement, reduces production costs and carbon emissions while improving thermal and mechanical properties through component optimization, becoming a promising low-carbon therm</w:t>
      </w:r>
      <w:r>
        <w:rPr>
          <w:rFonts w:ascii="Arial" w:hAnsi="Arial" w:cs="Arial"/>
        </w:rPr>
        <w:t>al insulation material for building applications.</w:t>
      </w:r>
    </w:p>
    <w:p w14:paraId="382F2E35" w14:textId="77777777" w:rsidR="00CC3FD6" w:rsidRDefault="00FE0EB9">
      <w:pPr>
        <w:pStyle w:val="NormalWeb"/>
        <w:rPr>
          <w:rStyle w:val="Strong"/>
          <w:rFonts w:ascii="Times New Roman" w:eastAsia="SimSun" w:hAnsi="Times New Roman"/>
        </w:rPr>
      </w:pPr>
      <w:r>
        <w:rPr>
          <w:rStyle w:val="Strong"/>
          <w:rFonts w:ascii="Times New Roman" w:eastAsia="SimSun" w:hAnsi="Times New Roman"/>
        </w:rPr>
        <w:t>1.2 Research Status and Core Research Gaps</w:t>
      </w:r>
    </w:p>
    <w:p w14:paraId="050C69CB" w14:textId="77777777" w:rsidR="00CC3FD6" w:rsidRDefault="00FE0EB9">
      <w:pPr>
        <w:spacing w:after="120" w:line="360" w:lineRule="auto"/>
        <w:jc w:val="both"/>
        <w:rPr>
          <w:rFonts w:ascii="Arial" w:hAnsi="Arial" w:cs="Arial"/>
        </w:rPr>
      </w:pPr>
      <w:r>
        <w:rPr>
          <w:rFonts w:ascii="Arial" w:hAnsi="Arial" w:cs="Arial"/>
        </w:rPr>
        <w:t>Current research on foamed red mud-based concrete focuses on four key areas: (1) foaming technology optimization and process fine-tuning; (2) red mud incorporation</w:t>
      </w:r>
      <w:r>
        <w:rPr>
          <w:rFonts w:ascii="Arial" w:hAnsi="Arial" w:cs="Arial"/>
        </w:rPr>
        <w:t xml:space="preserve"> ratio control and modification; (3) aggregate combination innovation; and (4) performance control and microstructural mechanisms. Despite established basic performance patterns and control methods, significant research gaps persist: (</w:t>
      </w:r>
      <w:proofErr w:type="spellStart"/>
      <w:r>
        <w:rPr>
          <w:rFonts w:ascii="Arial" w:hAnsi="Arial" w:cs="Arial"/>
        </w:rPr>
        <w:t>i</w:t>
      </w:r>
      <w:proofErr w:type="spellEnd"/>
      <w:r>
        <w:rPr>
          <w:rFonts w:ascii="Arial" w:hAnsi="Arial" w:cs="Arial"/>
        </w:rPr>
        <w:t>) microstructural me</w:t>
      </w:r>
      <w:r>
        <w:rPr>
          <w:rFonts w:ascii="Arial" w:hAnsi="Arial" w:cs="Arial"/>
        </w:rPr>
        <w:t>chanisms of performance degradation at high red mud incorporation remain unclear; (ii) synergistic control mechanisms between foam stability and slurry systems are insufficient; (iii) multicomponent synergy research lacks depth without established quantita</w:t>
      </w:r>
      <w:r>
        <w:rPr>
          <w:rFonts w:ascii="Arial" w:hAnsi="Arial" w:cs="Arial"/>
        </w:rPr>
        <w:t>tive engineering design models; (iv) long-term durability evolution mechanisms are missing, limiting engineering-scale application maturity.</w:t>
      </w:r>
    </w:p>
    <w:p w14:paraId="48434F9C" w14:textId="77777777" w:rsidR="00CC3FD6" w:rsidRDefault="00FE0EB9">
      <w:pPr>
        <w:pStyle w:val="NormalWeb"/>
        <w:rPr>
          <w:rStyle w:val="Strong"/>
          <w:rFonts w:ascii="Times New Roman" w:eastAsia="SimSun" w:hAnsi="Times New Roman"/>
        </w:rPr>
      </w:pPr>
      <w:r>
        <w:rPr>
          <w:rStyle w:val="Strong"/>
          <w:rFonts w:ascii="Times New Roman" w:eastAsia="SimSun" w:hAnsi="Times New Roman"/>
        </w:rPr>
        <w:t>1.3 Review Objectives and Framework</w:t>
      </w:r>
    </w:p>
    <w:p w14:paraId="5951FCB8" w14:textId="77777777" w:rsidR="00CC3FD6" w:rsidRDefault="00FE0EB9">
      <w:pPr>
        <w:spacing w:after="120" w:line="360" w:lineRule="auto"/>
        <w:jc w:val="both"/>
        <w:rPr>
          <w:rFonts w:ascii="Arial" w:hAnsi="Arial" w:cs="Arial"/>
        </w:rPr>
      </w:pPr>
      <w:r>
        <w:rPr>
          <w:rFonts w:ascii="Arial" w:hAnsi="Arial" w:cs="Arial"/>
        </w:rPr>
        <w:t xml:space="preserve">This review systematically summarizes foamed red mud-based concrete research </w:t>
      </w:r>
      <w:r>
        <w:rPr>
          <w:rFonts w:ascii="Arial" w:hAnsi="Arial" w:cs="Arial"/>
        </w:rPr>
        <w:t xml:space="preserve">progress, integrates high-level research findings, deepens microstructural-macroscopic property relationships, and consolidates research patterns and conclusions. The structure encompasses: (1) fundamental theory and preparation processes; (2) three major </w:t>
      </w:r>
      <w:r>
        <w:rPr>
          <w:rFonts w:ascii="Arial" w:hAnsi="Arial" w:cs="Arial"/>
        </w:rPr>
        <w:t>research directions—foaming technology, red mud modification, and aggregate combination; (3) mechanical and thermal property control mechanisms and microstructural relationships; and (4) conclusions and future perspectives, providing guidance for subsequen</w:t>
      </w:r>
      <w:r>
        <w:rPr>
          <w:rFonts w:ascii="Arial" w:hAnsi="Arial" w:cs="Arial"/>
        </w:rPr>
        <w:t>t research and applications.</w:t>
      </w:r>
    </w:p>
    <w:p w14:paraId="39591202" w14:textId="77777777" w:rsidR="00CC3FD6" w:rsidRDefault="00FE0EB9">
      <w:pPr>
        <w:pStyle w:val="AbstHead"/>
        <w:spacing w:after="0"/>
        <w:jc w:val="both"/>
        <w:rPr>
          <w:rFonts w:ascii="Arial" w:hAnsi="Arial" w:cs="Arial"/>
        </w:rPr>
      </w:pPr>
      <w:r>
        <w:rPr>
          <w:rFonts w:ascii="Arial" w:hAnsi="Arial" w:cs="Arial" w:hint="eastAsia"/>
        </w:rPr>
        <w:t>2. FUNDAMENTAL THEORY AND PREPARATION OF FOAMED RED MUD-BASED CONCRETE</w:t>
      </w:r>
    </w:p>
    <w:p w14:paraId="2914B789" w14:textId="77777777" w:rsidR="00CC3FD6" w:rsidRDefault="00FE0EB9">
      <w:pPr>
        <w:pStyle w:val="Body"/>
        <w:spacing w:after="0"/>
        <w:rPr>
          <w:rFonts w:ascii="Arial" w:hAnsi="Arial" w:cs="Arial"/>
          <w:b/>
          <w:bCs/>
        </w:rPr>
      </w:pPr>
      <w:r>
        <w:rPr>
          <w:rFonts w:ascii="Arial" w:hAnsi="Arial" w:cs="Arial" w:hint="eastAsia"/>
          <w:b/>
          <w:bCs/>
        </w:rPr>
        <w:t>2.1 Core Components and Action Mechanisms</w:t>
      </w:r>
    </w:p>
    <w:p w14:paraId="1AD1D053" w14:textId="77777777" w:rsidR="00CC3FD6" w:rsidRDefault="00FE0EB9">
      <w:pPr>
        <w:pStyle w:val="Body"/>
        <w:spacing w:after="0"/>
        <w:rPr>
          <w:rFonts w:ascii="Arial" w:hAnsi="Arial"/>
          <w:b/>
          <w:u w:val="single"/>
        </w:rPr>
      </w:pPr>
      <w:r>
        <w:rPr>
          <w:rFonts w:ascii="Arial" w:hAnsi="Arial"/>
          <w:b/>
          <w:u w:val="single"/>
        </w:rPr>
        <w:t>2.1.1 Red Mud Compositional Characteristics and Functional Mechanisms</w:t>
      </w:r>
    </w:p>
    <w:p w14:paraId="7E31B38D" w14:textId="77777777" w:rsidR="00CC3FD6" w:rsidRDefault="00CC3FD6">
      <w:pPr>
        <w:pStyle w:val="Body"/>
        <w:spacing w:after="0"/>
        <w:rPr>
          <w:rFonts w:ascii="Arial" w:hAnsi="Arial"/>
          <w:b/>
          <w:sz w:val="22"/>
        </w:rPr>
      </w:pPr>
    </w:p>
    <w:p w14:paraId="53C2194A" w14:textId="77777777" w:rsidR="00CC3FD6" w:rsidRDefault="00FE0EB9">
      <w:pPr>
        <w:spacing w:after="120" w:line="360" w:lineRule="auto"/>
        <w:jc w:val="both"/>
      </w:pPr>
      <w:r>
        <w:rPr>
          <w:rFonts w:ascii="Arial" w:hAnsi="Arial"/>
        </w:rPr>
        <w:t xml:space="preserve">Red mud chemistry is complex, containing </w:t>
      </w:r>
      <w:r>
        <w:rPr>
          <w:rFonts w:ascii="Arial" w:hAnsi="Arial"/>
        </w:rPr>
        <w:t xml:space="preserve">primarily </w:t>
      </w:r>
      <w:proofErr w:type="spellStart"/>
      <w:r>
        <w:rPr>
          <w:rFonts w:ascii="Arial" w:hAnsi="Arial"/>
        </w:rPr>
        <w:t>CaO</w:t>
      </w:r>
      <w:proofErr w:type="spellEnd"/>
      <w:r>
        <w:rPr>
          <w:rFonts w:ascii="Arial" w:hAnsi="Arial"/>
        </w:rPr>
        <w:t xml:space="preserve">, </w:t>
      </w:r>
      <w:proofErr w:type="spellStart"/>
      <w:r>
        <w:rPr>
          <w:rFonts w:ascii="Arial" w:hAnsi="Arial"/>
        </w:rPr>
        <w:t>SiO</w:t>
      </w:r>
      <w:proofErr w:type="spellEnd"/>
      <w:r>
        <w:rPr>
          <w:rFonts w:ascii="Arial" w:hAnsi="Arial"/>
        </w:rPr>
        <w:t xml:space="preserve">₂, </w:t>
      </w:r>
      <w:proofErr w:type="spellStart"/>
      <w:r>
        <w:rPr>
          <w:rFonts w:ascii="Arial" w:hAnsi="Arial"/>
        </w:rPr>
        <w:t>Al₂O</w:t>
      </w:r>
      <w:proofErr w:type="spellEnd"/>
      <w:r>
        <w:rPr>
          <w:rFonts w:ascii="Arial" w:hAnsi="Arial"/>
        </w:rPr>
        <w:t xml:space="preserve">₃, </w:t>
      </w:r>
      <w:proofErr w:type="spellStart"/>
      <w:r>
        <w:rPr>
          <w:rFonts w:ascii="Arial" w:hAnsi="Arial"/>
        </w:rPr>
        <w:t>Fe₂O</w:t>
      </w:r>
      <w:proofErr w:type="spellEnd"/>
      <w:r>
        <w:rPr>
          <w:rFonts w:ascii="Arial" w:hAnsi="Arial"/>
        </w:rPr>
        <w:t xml:space="preserve">₃, </w:t>
      </w:r>
      <w:proofErr w:type="spellStart"/>
      <w:r>
        <w:rPr>
          <w:rFonts w:ascii="Arial" w:hAnsi="Arial"/>
        </w:rPr>
        <w:t>TiO</w:t>
      </w:r>
      <w:proofErr w:type="spellEnd"/>
      <w:r>
        <w:rPr>
          <w:rFonts w:ascii="Arial" w:hAnsi="Arial"/>
        </w:rPr>
        <w:t xml:space="preserve">₂ oxides with composition varying by source. Sintered method red mud shows combined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 xml:space="preserve">₃ content of 40-60% with relatively high active component concentrations. Red mud activity stems from active </w:t>
      </w:r>
      <w:proofErr w:type="spellStart"/>
      <w:r>
        <w:rPr>
          <w:rFonts w:ascii="Arial" w:hAnsi="Arial"/>
        </w:rPr>
        <w:t>SiO</w:t>
      </w:r>
      <w:proofErr w:type="spellEnd"/>
      <w:r>
        <w:rPr>
          <w:rFonts w:ascii="Arial" w:hAnsi="Arial"/>
        </w:rPr>
        <w:t xml:space="preserve">₂ and </w:t>
      </w:r>
      <w:proofErr w:type="spellStart"/>
      <w:r>
        <w:rPr>
          <w:rFonts w:ascii="Arial" w:hAnsi="Arial"/>
        </w:rPr>
        <w:t>Al₂</w:t>
      </w:r>
      <w:r>
        <w:rPr>
          <w:rFonts w:ascii="Arial" w:hAnsi="Arial"/>
        </w:rPr>
        <w:t>O</w:t>
      </w:r>
      <w:proofErr w:type="spellEnd"/>
      <w:r>
        <w:rPr>
          <w:rFonts w:ascii="Arial" w:hAnsi="Arial"/>
        </w:rPr>
        <w:t xml:space="preserve">₃, which can undergo pozzolanic reactions in alkaline environments to generate C-S-H gels and calcium aluminates, while fine red mud particles fill cement pores and optimize pore structures. However, inert components (hematite, goethite) and free </w:t>
      </w:r>
      <w:proofErr w:type="spellStart"/>
      <w:r>
        <w:rPr>
          <w:rFonts w:ascii="Arial" w:hAnsi="Arial"/>
        </w:rPr>
        <w:t>Na₂O</w:t>
      </w:r>
      <w:proofErr w:type="spellEnd"/>
      <w:r>
        <w:rPr>
          <w:rFonts w:ascii="Arial" w:hAnsi="Arial"/>
        </w:rPr>
        <w:t xml:space="preserve"> red</w:t>
      </w:r>
      <w:r>
        <w:rPr>
          <w:rFonts w:ascii="Arial" w:hAnsi="Arial"/>
        </w:rPr>
        <w:t>uce mechanical properties and volume stability, causing performance degradation at high incorporation rates.</w:t>
      </w:r>
    </w:p>
    <w:p w14:paraId="58510978" w14:textId="77777777" w:rsidR="00CC3FD6" w:rsidRDefault="00FE0EB9">
      <w:pPr>
        <w:pStyle w:val="Body"/>
        <w:spacing w:after="0"/>
        <w:rPr>
          <w:rFonts w:ascii="Arial" w:hAnsi="Arial"/>
          <w:b/>
          <w:u w:val="single"/>
        </w:rPr>
      </w:pPr>
      <w:r>
        <w:rPr>
          <w:rFonts w:ascii="Arial" w:hAnsi="Arial"/>
          <w:b/>
          <w:u w:val="single"/>
        </w:rPr>
        <w:t>2.1.2 Selection Principles for Cementitious Materials and Aggregates</w:t>
      </w:r>
    </w:p>
    <w:p w14:paraId="37E5156A" w14:textId="77777777" w:rsidR="00CC3FD6" w:rsidRDefault="00FE0EB9">
      <w:pPr>
        <w:spacing w:after="120" w:line="360" w:lineRule="auto"/>
        <w:jc w:val="both"/>
      </w:pPr>
      <w:r>
        <w:rPr>
          <w:rFonts w:ascii="Arial" w:hAnsi="Arial"/>
        </w:rPr>
        <w:lastRenderedPageBreak/>
        <w:t>Cementitious materials including ordinary Portland cement, metakaolin, and sla</w:t>
      </w:r>
      <w:r>
        <w:rPr>
          <w:rFonts w:ascii="Arial" w:hAnsi="Arial"/>
        </w:rPr>
        <w:t xml:space="preserve">g powder function by hydration reactions to bind components and provide mechanical properties and volume stability. Cement-generated </w:t>
      </w:r>
      <w:proofErr w:type="gramStart"/>
      <w:r>
        <w:rPr>
          <w:rFonts w:ascii="Arial" w:hAnsi="Arial"/>
        </w:rPr>
        <w:t>Ca(</w:t>
      </w:r>
      <w:proofErr w:type="gramEnd"/>
      <w:r>
        <w:rPr>
          <w:rFonts w:ascii="Arial" w:hAnsi="Arial"/>
        </w:rPr>
        <w:t>OH)₂ creates alkaline environments for red mud activation; metakaolin undergoes secondary pozzolanic reactions with Ca(O</w:t>
      </w:r>
      <w:r>
        <w:rPr>
          <w:rFonts w:ascii="Arial" w:hAnsi="Arial"/>
        </w:rPr>
        <w:t>H)₂ to form additional C-S-H gel and C-A-H phases, significantly optimizing microstructures. Aggregate selection must balance mechanical and thermal properties: conventional aggregates (river sand, silica sand) enhance mechanical properties but limit therm</w:t>
      </w:r>
      <w:r>
        <w:rPr>
          <w:rFonts w:ascii="Arial" w:hAnsi="Arial"/>
        </w:rPr>
        <w:t>al insulation, while lightweight aggregates (</w:t>
      </w:r>
      <w:proofErr w:type="spellStart"/>
      <w:r>
        <w:rPr>
          <w:rFonts w:ascii="Arial" w:hAnsi="Arial"/>
        </w:rPr>
        <w:t>ceramsite</w:t>
      </w:r>
      <w:proofErr w:type="spellEnd"/>
      <w:r>
        <w:rPr>
          <w:rFonts w:ascii="Arial" w:hAnsi="Arial"/>
        </w:rPr>
        <w:t>, glass microspheres) significantly reduce thermal conductivity but weaken mechanical properties, requiring optimization and composite application.</w:t>
      </w:r>
    </w:p>
    <w:p w14:paraId="6A734EA9" w14:textId="77777777" w:rsidR="00CC3FD6" w:rsidRDefault="00FE0EB9">
      <w:pPr>
        <w:pStyle w:val="Body"/>
        <w:spacing w:after="0"/>
        <w:rPr>
          <w:rFonts w:ascii="Arial" w:hAnsi="Arial"/>
          <w:b/>
          <w:u w:val="single"/>
        </w:rPr>
      </w:pPr>
      <w:r>
        <w:rPr>
          <w:rFonts w:ascii="Arial" w:hAnsi="Arial"/>
          <w:b/>
          <w:u w:val="single"/>
        </w:rPr>
        <w:t>2.1.3 Foaming Agent Action Mechanisms and Selection Cr</w:t>
      </w:r>
      <w:r>
        <w:rPr>
          <w:rFonts w:ascii="Arial" w:hAnsi="Arial"/>
          <w:b/>
          <w:u w:val="single"/>
        </w:rPr>
        <w:t>iteria</w:t>
      </w:r>
    </w:p>
    <w:p w14:paraId="649D8A5A" w14:textId="77777777" w:rsidR="00CC3FD6" w:rsidRDefault="00FE0EB9">
      <w:pPr>
        <w:spacing w:after="120" w:line="360" w:lineRule="auto"/>
        <w:jc w:val="both"/>
      </w:pPr>
      <w:r>
        <w:rPr>
          <w:rFonts w:ascii="Arial" w:hAnsi="Arial"/>
        </w:rPr>
        <w:t>Foaming agents, the core components creating lightweight porous structures through physical or chemical action, generate stable bubbles. Chemical foaming agents are most common; hydrogen peroxide (H₂O₂) and its solid form dominate due to high effici</w:t>
      </w:r>
      <w:r>
        <w:rPr>
          <w:rFonts w:ascii="Arial" w:hAnsi="Arial"/>
        </w:rPr>
        <w:t xml:space="preserve">ency and low cost. Foaming agent selection must prioritize compatibility with red mud slurry, preventing efficiency loss and bubble rupture from red mud's strong </w:t>
      </w:r>
      <w:proofErr w:type="spellStart"/>
      <w:r>
        <w:rPr>
          <w:rFonts w:ascii="Arial" w:hAnsi="Arial"/>
        </w:rPr>
        <w:t>adsorptivity</w:t>
      </w:r>
      <w:proofErr w:type="spellEnd"/>
      <w:r>
        <w:rPr>
          <w:rFonts w:ascii="Arial" w:hAnsi="Arial"/>
        </w:rPr>
        <w:t>, balancing foaming efficiency, foam stability, and environmental considerations.</w:t>
      </w:r>
    </w:p>
    <w:p w14:paraId="0AD17A30" w14:textId="77777777" w:rsidR="00CC3FD6" w:rsidRDefault="00FE0EB9">
      <w:pPr>
        <w:pStyle w:val="Body"/>
        <w:spacing w:after="0"/>
        <w:rPr>
          <w:rFonts w:ascii="Arial" w:hAnsi="Arial" w:cs="Arial"/>
          <w:b/>
          <w:bCs/>
        </w:rPr>
      </w:pPr>
      <w:r>
        <w:rPr>
          <w:rFonts w:ascii="Arial" w:hAnsi="Arial" w:cs="Arial" w:hint="eastAsia"/>
          <w:b/>
          <w:bCs/>
        </w:rPr>
        <w:t>2.2 Preparation Process and Key Control Points</w:t>
      </w:r>
    </w:p>
    <w:p w14:paraId="21492E99" w14:textId="77777777" w:rsidR="00CC3FD6" w:rsidRDefault="00FE0EB9">
      <w:pPr>
        <w:spacing w:after="120" w:line="360" w:lineRule="auto"/>
        <w:jc w:val="both"/>
      </w:pPr>
      <w:r>
        <w:rPr>
          <w:rFonts w:ascii="Arial" w:hAnsi="Arial"/>
        </w:rPr>
        <w:t xml:space="preserve">The foamed red mud-based concrete preparation process includes five stages: raw material pretreatment, mix design, mixing, foaming formation, and curing (as shown in Figure 1). Red mud must undergo drying and </w:t>
      </w:r>
      <w:r>
        <w:rPr>
          <w:rFonts w:ascii="Arial" w:hAnsi="Arial"/>
        </w:rPr>
        <w:t xml:space="preserve">grinding to enhance activity and reduce free </w:t>
      </w:r>
      <w:proofErr w:type="spellStart"/>
      <w:r>
        <w:rPr>
          <w:rFonts w:ascii="Arial" w:hAnsi="Arial"/>
        </w:rPr>
        <w:t>Na₂O</w:t>
      </w:r>
      <w:proofErr w:type="spellEnd"/>
      <w:r>
        <w:rPr>
          <w:rFonts w:ascii="Arial" w:hAnsi="Arial"/>
        </w:rPr>
        <w:t>; cementitious materials and aggregates require strict moisture control; foaming agents need type-appropriate pretreatment. Optimal mix design incorporates red mud 10-30%, cementitious materials 40-60%, wate</w:t>
      </w:r>
      <w:r>
        <w:rPr>
          <w:rFonts w:ascii="Arial" w:hAnsi="Arial"/>
        </w:rPr>
        <w:t>r-binder ratio 0.30-0.35, foaming agent 0.3-0.8%, with continuous-graded aggregates further optimizing pore structures. Foaming requires controlled mixing speed (300-500 r/min), dry mixing time (2-3 min), wet mixing time (4-5 min), and temperature (20±2°C)</w:t>
      </w:r>
      <w:r>
        <w:rPr>
          <w:rFonts w:ascii="Arial" w:hAnsi="Arial"/>
        </w:rPr>
        <w:t>. Curing protocols affect material performance development: standard curing (20±2°C temperature, ≥95% relative humidity) achieves stable performance; low-temperature steam curing enhances early strength but requires strict control to prevent microcracking.</w:t>
      </w:r>
    </w:p>
    <w:p w14:paraId="0F8D6F0A" w14:textId="77777777" w:rsidR="00CC3FD6" w:rsidRDefault="00CC3FD6"/>
    <w:p w14:paraId="3FE982BD" w14:textId="77777777" w:rsidR="00CC3FD6" w:rsidRDefault="00FE0EB9">
      <w:pPr>
        <w:jc w:val="center"/>
      </w:pPr>
      <w:r>
        <w:rPr>
          <w:rFonts w:ascii="SimHei" w:eastAsia="SimHei" w:hAnsi="SimHei" w:cs="SimHei"/>
          <w:b/>
          <w:bCs/>
          <w:noProof/>
          <w:sz w:val="28"/>
          <w:szCs w:val="28"/>
        </w:rPr>
        <w:drawing>
          <wp:inline distT="0" distB="0" distL="114300" distR="114300" wp14:anchorId="455C8DEE" wp14:editId="0ABDC133">
            <wp:extent cx="5635625" cy="1416050"/>
            <wp:effectExtent l="0" t="0" r="0" b="0"/>
            <wp:docPr id="8" name="图片 8" descr="figure1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1_english"/>
                    <pic:cNvPicPr>
                      <a:picLocks noChangeAspect="1"/>
                    </pic:cNvPicPr>
                  </pic:nvPicPr>
                  <pic:blipFill>
                    <a:blip r:embed="rId15"/>
                    <a:srcRect l="1363" t="5671" r="7714" b="34110"/>
                    <a:stretch>
                      <a:fillRect/>
                    </a:stretch>
                  </pic:blipFill>
                  <pic:spPr>
                    <a:xfrm>
                      <a:off x="0" y="0"/>
                      <a:ext cx="5635625" cy="1416050"/>
                    </a:xfrm>
                    <a:prstGeom prst="rect">
                      <a:avLst/>
                    </a:prstGeom>
                  </pic:spPr>
                </pic:pic>
              </a:graphicData>
            </a:graphic>
          </wp:inline>
        </w:drawing>
      </w:r>
    </w:p>
    <w:p w14:paraId="7C4957A9" w14:textId="77777777" w:rsidR="00CC3FD6" w:rsidRDefault="00FE0EB9">
      <w:pPr>
        <w:spacing w:after="240"/>
        <w:jc w:val="center"/>
      </w:pPr>
      <w:r>
        <w:rPr>
          <w:rFonts w:ascii="Arial" w:hAnsi="Arial"/>
          <w:b/>
        </w:rPr>
        <w:t>Fig. 1 Schematic Diagram of Foamed Red Mud-Based Concrete Preparation Process</w:t>
      </w:r>
    </w:p>
    <w:p w14:paraId="24B4E7C8" w14:textId="77777777" w:rsidR="00CC3FD6" w:rsidRDefault="00FE0EB9">
      <w:pPr>
        <w:pStyle w:val="AbstHead"/>
        <w:spacing w:after="0"/>
        <w:jc w:val="both"/>
        <w:rPr>
          <w:rFonts w:ascii="Arial" w:hAnsi="Arial" w:cs="Arial"/>
        </w:rPr>
      </w:pPr>
      <w:r>
        <w:rPr>
          <w:rFonts w:ascii="Arial" w:hAnsi="Arial" w:cs="Arial" w:hint="eastAsia"/>
        </w:rPr>
        <w:t>3. CORE RESEARCH PROGRESS IN FOAMED RED MUD-BASED CONCRETE</w:t>
      </w:r>
    </w:p>
    <w:p w14:paraId="4B2CA106" w14:textId="77777777" w:rsidR="00CC3FD6" w:rsidRDefault="00FE0EB9">
      <w:pPr>
        <w:pStyle w:val="Body"/>
        <w:spacing w:after="0"/>
        <w:rPr>
          <w:rFonts w:ascii="Arial" w:hAnsi="Arial" w:cs="Arial"/>
          <w:b/>
          <w:bCs/>
        </w:rPr>
      </w:pPr>
      <w:r>
        <w:rPr>
          <w:rFonts w:ascii="Arial" w:hAnsi="Arial" w:cs="Arial" w:hint="eastAsia"/>
          <w:b/>
          <w:bCs/>
        </w:rPr>
        <w:t>3.1 Foaming Technology Optimization and Mechanism Research</w:t>
      </w:r>
    </w:p>
    <w:p w14:paraId="0A2A33F5" w14:textId="77777777" w:rsidR="00CC3FD6" w:rsidRDefault="00FE0EB9">
      <w:pPr>
        <w:pStyle w:val="Body"/>
        <w:spacing w:after="0"/>
        <w:rPr>
          <w:rFonts w:ascii="Arial" w:hAnsi="Arial"/>
          <w:b/>
          <w:u w:val="single"/>
        </w:rPr>
      </w:pPr>
      <w:r>
        <w:rPr>
          <w:rFonts w:ascii="Arial" w:hAnsi="Arial"/>
          <w:b/>
          <w:u w:val="single"/>
        </w:rPr>
        <w:t>3.1.1 Foaming Agent Types and Optimization Patterns</w:t>
      </w:r>
    </w:p>
    <w:p w14:paraId="1017EA24" w14:textId="77777777" w:rsidR="00CC3FD6" w:rsidRDefault="00FE0EB9">
      <w:pPr>
        <w:spacing w:after="120" w:line="360" w:lineRule="auto"/>
        <w:jc w:val="both"/>
      </w:pPr>
      <w:r>
        <w:rPr>
          <w:rFonts w:ascii="Arial" w:hAnsi="Arial"/>
        </w:rPr>
        <w:t>Foam</w:t>
      </w:r>
      <w:r>
        <w:rPr>
          <w:rFonts w:ascii="Arial" w:hAnsi="Arial"/>
        </w:rPr>
        <w:t>ing agent type directly determines pore structure and macroscopic mechanical-thermal properties, representing critical preparation parameters. Current practice employs chemical foaming agents (primary) and physical agents (secondary). Hydrogen peroxide (H₂</w:t>
      </w:r>
      <w:r>
        <w:rPr>
          <w:rFonts w:ascii="Arial" w:hAnsi="Arial"/>
        </w:rPr>
        <w:t xml:space="preserve">O₂), the most widely used chemical foaming agent, decomposes under </w:t>
      </w:r>
      <w:proofErr w:type="spellStart"/>
      <w:r>
        <w:rPr>
          <w:rFonts w:ascii="Arial" w:hAnsi="Arial"/>
        </w:rPr>
        <w:t>MnO</w:t>
      </w:r>
      <w:proofErr w:type="spellEnd"/>
      <w:r>
        <w:rPr>
          <w:rFonts w:ascii="Arial" w:hAnsi="Arial"/>
        </w:rPr>
        <w:t xml:space="preserve">₂ catalysis to release O₂ bubbles in alkaline environments. At 3-5% H₂O₂ concentration, optimal foaming efficiency achieves 45-55% porosity, 28-day compressive strength of 32.1 MPa, and </w:t>
      </w:r>
      <w:r>
        <w:rPr>
          <w:rFonts w:ascii="Arial" w:hAnsi="Arial"/>
        </w:rPr>
        <w:t>thermal conductivity of 0.085 W/(</w:t>
      </w:r>
      <w:proofErr w:type="spellStart"/>
      <w:r>
        <w:rPr>
          <w:rFonts w:ascii="Arial" w:hAnsi="Arial"/>
        </w:rPr>
        <w:t>m·K</w:t>
      </w:r>
      <w:proofErr w:type="spellEnd"/>
      <w:r>
        <w:rPr>
          <w:rFonts w:ascii="Arial" w:hAnsi="Arial"/>
        </w:rPr>
        <w:t xml:space="preserve">). Composite foaming agents (H₂O₂ and </w:t>
      </w:r>
      <w:proofErr w:type="spellStart"/>
      <w:r>
        <w:rPr>
          <w:rFonts w:ascii="Arial" w:hAnsi="Arial"/>
        </w:rPr>
        <w:t>CaCO</w:t>
      </w:r>
      <w:proofErr w:type="spellEnd"/>
      <w:r>
        <w:rPr>
          <w:rFonts w:ascii="Arial" w:hAnsi="Arial"/>
        </w:rPr>
        <w:t xml:space="preserve">₃) further improve performance: at 3:1 H₂O₂ to </w:t>
      </w:r>
      <w:proofErr w:type="spellStart"/>
      <w:r>
        <w:rPr>
          <w:rFonts w:ascii="Arial" w:hAnsi="Arial"/>
        </w:rPr>
        <w:t>CaCO</w:t>
      </w:r>
      <w:proofErr w:type="spellEnd"/>
      <w:r>
        <w:rPr>
          <w:rFonts w:ascii="Arial" w:hAnsi="Arial"/>
        </w:rPr>
        <w:t xml:space="preserve">₃ mass ratio, foam </w:t>
      </w:r>
      <w:r>
        <w:rPr>
          <w:rFonts w:ascii="Arial" w:hAnsi="Arial"/>
        </w:rPr>
        <w:lastRenderedPageBreak/>
        <w:t>stability increases approximately 25% with significant mechanical and thermal improvements. Plant protein-ba</w:t>
      </w:r>
      <w:r>
        <w:rPr>
          <w:rFonts w:ascii="Arial" w:hAnsi="Arial"/>
        </w:rPr>
        <w:t>sed physical foaming agents offer environmental benefits and good foam stability but lower foaming efficiency; future focus should emphasize developing composite chemical foaming agents combining high efficiency and stability.</w:t>
      </w:r>
    </w:p>
    <w:p w14:paraId="007E1A09" w14:textId="77777777" w:rsidR="00CC3FD6" w:rsidRDefault="00FE0EB9">
      <w:pPr>
        <w:pStyle w:val="Body"/>
        <w:spacing w:after="0"/>
        <w:rPr>
          <w:rFonts w:ascii="Arial" w:hAnsi="Arial"/>
          <w:b/>
          <w:u w:val="single"/>
        </w:rPr>
      </w:pPr>
      <w:r>
        <w:rPr>
          <w:rFonts w:ascii="Arial" w:hAnsi="Arial"/>
          <w:b/>
          <w:u w:val="single"/>
        </w:rPr>
        <w:t>3.1.2 Fine Process Control of</w:t>
      </w:r>
      <w:r>
        <w:rPr>
          <w:rFonts w:ascii="Arial" w:hAnsi="Arial"/>
          <w:b/>
          <w:u w:val="single"/>
        </w:rPr>
        <w:t xml:space="preserve"> Foaming Operations</w:t>
      </w:r>
    </w:p>
    <w:p w14:paraId="00B96C2B" w14:textId="77777777" w:rsidR="00CC3FD6" w:rsidRDefault="00FE0EB9">
      <w:pPr>
        <w:spacing w:after="120" w:line="360" w:lineRule="auto"/>
        <w:jc w:val="both"/>
        <w:rPr>
          <w:rFonts w:ascii="Arial" w:hAnsi="Arial"/>
        </w:rPr>
      </w:pPr>
      <w:r>
        <w:rPr>
          <w:rFonts w:ascii="Arial" w:hAnsi="Arial"/>
        </w:rPr>
        <w:t>Mixing speed, time, and foaming temperature significantly impact foaming effectiveness and enable performance control (as shown in Figure 2). Optimal parameters from orthogonal tests include 350 r/min mixing speed, 2 min dry mixing, 4.5</w:t>
      </w:r>
      <w:r>
        <w:rPr>
          <w:rFonts w:ascii="Arial" w:hAnsi="Arial"/>
        </w:rPr>
        <w:t xml:space="preserve"> min wet mixing, achieving peak performance with 50-120 </w:t>
      </w:r>
      <w:proofErr w:type="spellStart"/>
      <w:r>
        <w:rPr>
          <w:rFonts w:ascii="Arial" w:hAnsi="Arial"/>
        </w:rPr>
        <w:t>μm</w:t>
      </w:r>
      <w:proofErr w:type="spellEnd"/>
      <w:r>
        <w:rPr>
          <w:rFonts w:ascii="Arial" w:hAnsi="Arial"/>
        </w:rPr>
        <w:t xml:space="preserve"> bubble diameter and 50.2% porosity. Improper parameters cause insufficient foaming or excessive bubble rupture, severely affecting pore structure and mechanical properties. Temperature is another c</w:t>
      </w:r>
      <w:r>
        <w:rPr>
          <w:rFonts w:ascii="Arial" w:hAnsi="Arial"/>
        </w:rPr>
        <w:t>ritical foam stability factor: 20±2°C achieves optimal stability; lower temperatures inhibit foaming and hydration, while higher temperatures cause bubble rupture and slurry collapse. Recent "segmented mixing-gradient foaming" techniques improve bubble dis</w:t>
      </w:r>
      <w:r>
        <w:rPr>
          <w:rFonts w:ascii="Arial" w:hAnsi="Arial"/>
        </w:rPr>
        <w:t>tribution uniformity by 30% and 28-day compressive strength by 20.1%, providing new pathways for high-performance material preparation.</w:t>
      </w:r>
    </w:p>
    <w:p w14:paraId="64775721" w14:textId="77777777" w:rsidR="00CC3FD6" w:rsidRDefault="00CC3FD6"/>
    <w:p w14:paraId="51568A74" w14:textId="77777777" w:rsidR="00CC3FD6" w:rsidRDefault="00FE0EB9">
      <w:pPr>
        <w:jc w:val="center"/>
      </w:pPr>
      <w:r>
        <w:rPr>
          <w:noProof/>
        </w:rPr>
        <w:drawing>
          <wp:inline distT="0" distB="0" distL="114300" distR="114300" wp14:anchorId="2CA97DEC" wp14:editId="7D5089A4">
            <wp:extent cx="5029200" cy="343281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5029200" cy="3433437"/>
                    </a:xfrm>
                    <a:prstGeom prst="rect">
                      <a:avLst/>
                    </a:prstGeom>
                  </pic:spPr>
                </pic:pic>
              </a:graphicData>
            </a:graphic>
          </wp:inline>
        </w:drawing>
      </w:r>
    </w:p>
    <w:p w14:paraId="000A603B" w14:textId="77777777" w:rsidR="00CC3FD6" w:rsidRDefault="00FE0EB9">
      <w:pPr>
        <w:spacing w:after="240"/>
        <w:jc w:val="center"/>
      </w:pPr>
      <w:r>
        <w:rPr>
          <w:rFonts w:ascii="Arial" w:hAnsi="Arial"/>
          <w:b/>
        </w:rPr>
        <w:t>Fig. 2 Effect of Red Mud Content on 28-Day Compressive Strength</w:t>
      </w:r>
    </w:p>
    <w:p w14:paraId="291A73FA" w14:textId="77777777" w:rsidR="00CC3FD6" w:rsidRDefault="00FE0EB9">
      <w:pPr>
        <w:pStyle w:val="Body"/>
        <w:spacing w:after="0"/>
        <w:rPr>
          <w:rFonts w:ascii="Arial" w:hAnsi="Arial"/>
          <w:b/>
          <w:u w:val="single"/>
        </w:rPr>
      </w:pPr>
      <w:r>
        <w:rPr>
          <w:rFonts w:ascii="Arial" w:hAnsi="Arial"/>
          <w:b/>
          <w:u w:val="single"/>
        </w:rPr>
        <w:t xml:space="preserve">3.1.3 Synergistic Control Mechanisms of Foam </w:t>
      </w:r>
      <w:r>
        <w:rPr>
          <w:rFonts w:ascii="Arial" w:hAnsi="Arial"/>
          <w:b/>
          <w:u w:val="single"/>
        </w:rPr>
        <w:t>Stability</w:t>
      </w:r>
    </w:p>
    <w:p w14:paraId="76E00EAB" w14:textId="77777777" w:rsidR="00CC3FD6" w:rsidRDefault="00FE0EB9">
      <w:pPr>
        <w:spacing w:after="120" w:line="360" w:lineRule="auto"/>
        <w:jc w:val="both"/>
        <w:rPr>
          <w:rFonts w:ascii="Arial" w:hAnsi="Arial"/>
        </w:rPr>
      </w:pPr>
      <w:r>
        <w:rPr>
          <w:rFonts w:ascii="Arial" w:hAnsi="Arial"/>
        </w:rPr>
        <w:t>Foam stability fundamentally requires suppressing bubble rupture and coalescence through careful control of multiple factors including foaming agent type and dosage, red mud properties, cementitious material content, and additive types. Red mud's</w:t>
      </w:r>
      <w:r>
        <w:rPr>
          <w:rFonts w:ascii="Arial" w:hAnsi="Arial"/>
        </w:rPr>
        <w:t xml:space="preserve"> strong surface </w:t>
      </w:r>
      <w:proofErr w:type="spellStart"/>
      <w:r>
        <w:rPr>
          <w:rFonts w:ascii="Arial" w:hAnsi="Arial"/>
        </w:rPr>
        <w:t>adsorptivity</w:t>
      </w:r>
      <w:proofErr w:type="spellEnd"/>
      <w:r>
        <w:rPr>
          <w:rFonts w:ascii="Arial" w:hAnsi="Arial"/>
        </w:rPr>
        <w:t xml:space="preserve"> reduces foaming agent effectiveness; above 30% incorporation, particle agglomeration severely damages bubble structure, requiring red mud modification and additive control. Cementitious material content directly affects slurry </w:t>
      </w:r>
      <w:r>
        <w:rPr>
          <w:rFonts w:ascii="Arial" w:hAnsi="Arial"/>
        </w:rPr>
        <w:t>viscosity, requiring balance between foam stability, cost, and thermal properties. Carboxymethyl cellulose sodium (CMC) as foam stabilizer shows exceptional results: 0.2-0.3% incorporation increases foam stability by 35%; high-efficiency water reducers imp</w:t>
      </w:r>
      <w:r>
        <w:rPr>
          <w:rFonts w:ascii="Arial" w:hAnsi="Arial"/>
        </w:rPr>
        <w:t xml:space="preserve">rove particle </w:t>
      </w:r>
      <w:proofErr w:type="spellStart"/>
      <w:r>
        <w:rPr>
          <w:rFonts w:ascii="Arial" w:hAnsi="Arial"/>
        </w:rPr>
        <w:t>dispersivity</w:t>
      </w:r>
      <w:proofErr w:type="spellEnd"/>
      <w:r>
        <w:rPr>
          <w:rFonts w:ascii="Arial" w:hAnsi="Arial"/>
        </w:rPr>
        <w:t xml:space="preserve">, enhancing foaming efficiency and stability. The "foaming agent-foam stabilizer-water reducer" synergistic technique reduces bubble rupture by 40% with </w:t>
      </w:r>
      <w:r>
        <w:rPr>
          <w:rFonts w:ascii="Arial" w:hAnsi="Arial"/>
        </w:rPr>
        <w:lastRenderedPageBreak/>
        <w:t>optimal overall performance, though microstructural mechanisms require furthe</w:t>
      </w:r>
      <w:r>
        <w:rPr>
          <w:rFonts w:ascii="Arial" w:hAnsi="Arial"/>
        </w:rPr>
        <w:t>r investigation through in situ observation and numerical simulation.</w:t>
      </w:r>
    </w:p>
    <w:p w14:paraId="0C9F9D3A" w14:textId="77777777" w:rsidR="00CC3FD6" w:rsidRDefault="00FE0EB9">
      <w:pPr>
        <w:pStyle w:val="Heading4"/>
        <w:rPr>
          <w:rFonts w:ascii="Arial" w:eastAsia="Times New Roman" w:hAnsi="Arial" w:hint="default"/>
          <w:bCs w:val="0"/>
          <w:sz w:val="20"/>
          <w:szCs w:val="20"/>
          <w:u w:val="single"/>
          <w:lang w:eastAsia="en-US"/>
        </w:rPr>
      </w:pPr>
      <w:r>
        <w:rPr>
          <w:rFonts w:ascii="Arial" w:eastAsia="Times New Roman" w:hAnsi="Arial" w:hint="default"/>
          <w:bCs w:val="0"/>
          <w:sz w:val="20"/>
          <w:szCs w:val="20"/>
          <w:u w:val="single"/>
          <w:lang w:eastAsia="en-US"/>
        </w:rPr>
        <w:t>3.1.4 Emerging Understanding of Red Mud as a Foam-Stabilizing Component in Alkali-Activated Systems</w:t>
      </w:r>
    </w:p>
    <w:p w14:paraId="625F6B26" w14:textId="77777777" w:rsidR="00CC3FD6" w:rsidRDefault="00FE0EB9">
      <w:pPr>
        <w:spacing w:after="120" w:line="360" w:lineRule="auto"/>
        <w:jc w:val="both"/>
        <w:rPr>
          <w:rFonts w:ascii="Arial" w:hAnsi="Arial"/>
        </w:rPr>
      </w:pPr>
      <w:r>
        <w:rPr>
          <w:rFonts w:ascii="Arial" w:hAnsi="Arial"/>
        </w:rPr>
        <w:t xml:space="preserve">Recent studies have shown that red mud is not only a solid waste precursor, but may </w:t>
      </w:r>
      <w:r>
        <w:rPr>
          <w:rFonts w:ascii="Arial" w:hAnsi="Arial"/>
        </w:rPr>
        <w:t>also function as a foam-stabilizing component in alkali-activated foamed systems. Different from the conventional mechanism dominated by reducing liquid-film surface tension, red mud mainly improves bubble stability by increasing slurry yield stress, plast</w:t>
      </w:r>
      <w:r>
        <w:rPr>
          <w:rFonts w:ascii="Arial" w:hAnsi="Arial"/>
        </w:rPr>
        <w:t xml:space="preserve">ic viscosity, and solid-particle support capacity, thereby suppressing bubble coalescence, drainage, and collapse during early-stage setting [23,24]. This finding expands the traditional understanding that red mud acts only as an inactive or weakly active </w:t>
      </w:r>
      <w:r>
        <w:rPr>
          <w:rFonts w:ascii="Arial" w:hAnsi="Arial"/>
        </w:rPr>
        <w:t>mineral admixture, and indicates that its rheological contribution should be considered together with its chemical reactivity in future mix design.</w:t>
      </w:r>
    </w:p>
    <w:p w14:paraId="019E69AC" w14:textId="77777777" w:rsidR="00CC3FD6" w:rsidRDefault="00FE0EB9">
      <w:pPr>
        <w:spacing w:after="120" w:line="360" w:lineRule="auto"/>
        <w:jc w:val="both"/>
        <w:rPr>
          <w:rFonts w:ascii="Arial" w:hAnsi="Arial"/>
        </w:rPr>
      </w:pPr>
      <w:r>
        <w:rPr>
          <w:rFonts w:ascii="Arial" w:hAnsi="Arial"/>
        </w:rPr>
        <w:t>From a mechanistic perspective, this emerging role of red mud is particularly important for highly porous th</w:t>
      </w:r>
      <w:r>
        <w:rPr>
          <w:rFonts w:ascii="Arial" w:hAnsi="Arial"/>
        </w:rPr>
        <w:t>ermal-insulation materials. When the slurry exhibits adequate viscosity and structural build-up, the bubble system can maintain a smaller and more uniform pore size distribution, which is favorable for balancing dry density, thermal conductivity, and compr</w:t>
      </w:r>
      <w:r>
        <w:rPr>
          <w:rFonts w:ascii="Arial" w:hAnsi="Arial"/>
        </w:rPr>
        <w:t>essive strength [23]. However, this stabilizing effect is not unlimited. Excessive red mud incorporation may still result in particle agglomeration, non-uniform gas release, and increased connectivity between pores, eventually impairing both strength and d</w:t>
      </w:r>
      <w:r>
        <w:rPr>
          <w:rFonts w:ascii="Arial" w:hAnsi="Arial"/>
        </w:rPr>
        <w:t>urability. Therefore, future studies should place greater emphasis on the coupled regulation of red mud content, alkali environment, rheology, and foaming kinetics, rather than evaluating red mud dosage alone [23,24].</w:t>
      </w:r>
    </w:p>
    <w:p w14:paraId="3548AF4C" w14:textId="77777777" w:rsidR="00CC3FD6" w:rsidRDefault="00CC3FD6">
      <w:pPr>
        <w:spacing w:after="120" w:line="360" w:lineRule="auto"/>
        <w:jc w:val="both"/>
        <w:rPr>
          <w:rFonts w:ascii="Arial" w:hAnsi="Arial"/>
        </w:rPr>
      </w:pPr>
    </w:p>
    <w:p w14:paraId="4079B8D9" w14:textId="77777777" w:rsidR="00CC3FD6" w:rsidRDefault="00FE0EB9">
      <w:pPr>
        <w:spacing w:before="180" w:after="60"/>
        <w:rPr>
          <w:rFonts w:ascii="Arial" w:hAnsi="Arial" w:cs="Arial"/>
          <w:b/>
          <w:bCs/>
        </w:rPr>
      </w:pPr>
      <w:r>
        <w:rPr>
          <w:rFonts w:ascii="Arial" w:hAnsi="Arial" w:cs="Arial" w:hint="eastAsia"/>
          <w:b/>
          <w:bCs/>
        </w:rPr>
        <w:t>3.2 Red Mud Incorporation and Modific</w:t>
      </w:r>
      <w:r>
        <w:rPr>
          <w:rFonts w:ascii="Arial" w:hAnsi="Arial" w:cs="Arial" w:hint="eastAsia"/>
          <w:b/>
          <w:bCs/>
        </w:rPr>
        <w:t>ation Research</w:t>
      </w:r>
    </w:p>
    <w:p w14:paraId="18B531B1" w14:textId="77777777" w:rsidR="00CC3FD6" w:rsidRDefault="00FE0EB9">
      <w:pPr>
        <w:pStyle w:val="Body"/>
        <w:spacing w:after="0"/>
        <w:rPr>
          <w:rFonts w:ascii="Arial" w:hAnsi="Arial"/>
          <w:b/>
          <w:u w:val="single"/>
        </w:rPr>
      </w:pPr>
      <w:r>
        <w:rPr>
          <w:rFonts w:ascii="Arial" w:hAnsi="Arial"/>
          <w:b/>
          <w:u w:val="single"/>
        </w:rPr>
        <w:t>3.2.1 Red Mud Incorporation Ratio Effects on System Performance</w:t>
      </w:r>
    </w:p>
    <w:p w14:paraId="7A400ECA" w14:textId="77777777" w:rsidR="00CC3FD6" w:rsidRDefault="00FE0EB9">
      <w:pPr>
        <w:spacing w:after="120" w:line="360" w:lineRule="auto"/>
        <w:jc w:val="both"/>
        <w:rPr>
          <w:rFonts w:ascii="Arial" w:hAnsi="Arial"/>
        </w:rPr>
      </w:pPr>
      <w:r>
        <w:rPr>
          <w:rFonts w:ascii="Arial" w:hAnsi="Arial"/>
        </w:rPr>
        <w:t>Red mud incorporation ratio determines waste consumption and material comprehensive performance. For Bayer process red mud, 10-20% incorporation achieves optimal performance; at</w:t>
      </w:r>
      <w:r>
        <w:rPr>
          <w:rFonts w:ascii="Arial" w:hAnsi="Arial"/>
        </w:rPr>
        <w:t xml:space="preserve"> 20% incorporation, 28-day compressive strength reaches 31.2 MPa, thermal conductivity is 0.086 W/(</w:t>
      </w:r>
      <w:proofErr w:type="spellStart"/>
      <w:r>
        <w:rPr>
          <w:rFonts w:ascii="Arial" w:hAnsi="Arial"/>
        </w:rPr>
        <w:t>m·K</w:t>
      </w:r>
      <w:proofErr w:type="spellEnd"/>
      <w:r>
        <w:rPr>
          <w:rFonts w:ascii="Arial" w:hAnsi="Arial"/>
        </w:rPr>
        <w:t xml:space="preserve">), achieving coordinated waste valorization and material optimization. Mechanistically, low incorporation (10-20%) exploits filling effects and hydration </w:t>
      </w:r>
      <w:r>
        <w:rPr>
          <w:rFonts w:ascii="Arial" w:hAnsi="Arial"/>
        </w:rPr>
        <w:t>synergy, overcoming inert component disadvantages, while high incorporation (&gt;30%) increases inert proportions, aggravating particle agglomeration and pore structure degradation with significant strength and durability declines. Sintered-method red mud wit</w:t>
      </w:r>
      <w:r>
        <w:rPr>
          <w:rFonts w:ascii="Arial" w:hAnsi="Arial"/>
        </w:rPr>
        <w:t>h higher active content shows optimal incorporation of 15-25%, slightly higher than Bayer process mud, but above 30%, freeze-thaw and water resistance significantly decrease.</w:t>
      </w:r>
    </w:p>
    <w:p w14:paraId="06846421" w14:textId="77777777" w:rsidR="00CC3FD6" w:rsidRDefault="00FE0EB9">
      <w:pPr>
        <w:pStyle w:val="Body"/>
        <w:spacing w:after="0"/>
        <w:rPr>
          <w:rFonts w:ascii="Arial" w:hAnsi="Arial"/>
          <w:b/>
          <w:u w:val="single"/>
        </w:rPr>
      </w:pPr>
      <w:r>
        <w:rPr>
          <w:rFonts w:ascii="Arial" w:hAnsi="Arial"/>
          <w:b/>
          <w:u w:val="single"/>
        </w:rPr>
        <w:t>3.2.2 Red Mud Modification Techniques and Mechanisms</w:t>
      </w:r>
    </w:p>
    <w:p w14:paraId="20020C80" w14:textId="77777777" w:rsidR="00CC3FD6" w:rsidRDefault="00FE0EB9">
      <w:pPr>
        <w:spacing w:after="120" w:line="360" w:lineRule="auto"/>
        <w:jc w:val="both"/>
        <w:rPr>
          <w:rFonts w:ascii="Arial" w:hAnsi="Arial"/>
        </w:rPr>
      </w:pPr>
      <w:r>
        <w:rPr>
          <w:rFonts w:ascii="Arial" w:hAnsi="Arial"/>
        </w:rPr>
        <w:t>Red mud's low pozzolanic act</w:t>
      </w:r>
      <w:r>
        <w:rPr>
          <w:rFonts w:ascii="Arial" w:hAnsi="Arial"/>
        </w:rPr>
        <w:t xml:space="preserve">ivity and harmful impurities (free </w:t>
      </w:r>
      <w:proofErr w:type="spellStart"/>
      <w:r>
        <w:rPr>
          <w:rFonts w:ascii="Arial" w:hAnsi="Arial"/>
        </w:rPr>
        <w:t>Na₂O</w:t>
      </w:r>
      <w:proofErr w:type="spellEnd"/>
      <w:r>
        <w:rPr>
          <w:rFonts w:ascii="Arial" w:hAnsi="Arial"/>
        </w:rPr>
        <w:t>) severely limit high-incorporation applications. Primary modification techniques include mechanical activation, chemical activation, and thermal activation. Mechanical activation via ball milling reduces particle siz</w:t>
      </w:r>
      <w:r>
        <w:rPr>
          <w:rFonts w:ascii="Arial" w:hAnsi="Arial"/>
        </w:rPr>
        <w:t>e and increases specific surface area, releasing latent active components; after 3-hour grinding, specific surface area increases from 18.5 to 42.3 m²/g with 65% activity improvement, permitting 30% incorporation. Chemical activation using sodium silicate-</w:t>
      </w:r>
      <w:r>
        <w:rPr>
          <w:rFonts w:ascii="Arial" w:hAnsi="Arial"/>
        </w:rPr>
        <w:t xml:space="preserve">calcium hydroxide composite activators shows superior results: at 2:1 mass ratio with 5-8% dosage, activity increases 70%, allowing 35% incorporation with 28-day strength of 28.5 MPa. Thermal activation at 700°C achieves peak activity with 30% free </w:t>
      </w:r>
      <w:proofErr w:type="spellStart"/>
      <w:r>
        <w:rPr>
          <w:rFonts w:ascii="Arial" w:hAnsi="Arial"/>
        </w:rPr>
        <w:t>Na₂O</w:t>
      </w:r>
      <w:proofErr w:type="spellEnd"/>
      <w:r>
        <w:rPr>
          <w:rFonts w:ascii="Arial" w:hAnsi="Arial"/>
        </w:rPr>
        <w:t xml:space="preserve"> re</w:t>
      </w:r>
      <w:r>
        <w:rPr>
          <w:rFonts w:ascii="Arial" w:hAnsi="Arial"/>
        </w:rPr>
        <w:t>duction; above 800°C, crystalline restructuring reduces active components, decreasing activity. Future research should develop combined mechanical-chemical-thermal modification for expanded incorporation limits and utilization efficiency.</w:t>
      </w:r>
    </w:p>
    <w:p w14:paraId="09A63B0F" w14:textId="77777777" w:rsidR="00CC3FD6" w:rsidRDefault="00FE0EB9">
      <w:pPr>
        <w:pStyle w:val="Body"/>
        <w:spacing w:after="0"/>
        <w:rPr>
          <w:rFonts w:ascii="Arial" w:hAnsi="Arial"/>
          <w:b/>
          <w:u w:val="single"/>
        </w:rPr>
      </w:pPr>
      <w:r>
        <w:rPr>
          <w:rFonts w:ascii="Arial" w:hAnsi="Arial"/>
          <w:b/>
          <w:u w:val="single"/>
        </w:rPr>
        <w:lastRenderedPageBreak/>
        <w:t>3.2.3 Synergistic</w:t>
      </w:r>
      <w:r>
        <w:rPr>
          <w:rFonts w:ascii="Arial" w:hAnsi="Arial"/>
          <w:b/>
          <w:u w:val="single"/>
        </w:rPr>
        <w:t xml:space="preserve"> Hydration Mechanisms Between Red Mud and Cementitious Materials</w:t>
      </w:r>
    </w:p>
    <w:p w14:paraId="49345689" w14:textId="77777777" w:rsidR="00CC3FD6" w:rsidRDefault="00FE0EB9">
      <w:pPr>
        <w:spacing w:after="120" w:line="360" w:lineRule="auto"/>
        <w:jc w:val="both"/>
      </w:pPr>
      <w:r>
        <w:rPr>
          <w:rFonts w:ascii="Arial" w:hAnsi="Arial"/>
        </w:rPr>
        <w:t xml:space="preserve">Synergistic hydration between red mud and cementitious materials forms material mechanical properties and dense microstructures. In red mud-cement systems, synergy manifests as bidirectional </w:t>
      </w:r>
      <w:r>
        <w:rPr>
          <w:rFonts w:ascii="Arial" w:hAnsi="Arial"/>
        </w:rPr>
        <w:t xml:space="preserve">promotion: cement-generated </w:t>
      </w:r>
      <w:proofErr w:type="gramStart"/>
      <w:r>
        <w:rPr>
          <w:rFonts w:ascii="Arial" w:hAnsi="Arial"/>
        </w:rPr>
        <w:t>Ca(</w:t>
      </w:r>
      <w:proofErr w:type="gramEnd"/>
      <w:r>
        <w:rPr>
          <w:rFonts w:ascii="Arial" w:hAnsi="Arial"/>
        </w:rPr>
        <w:t xml:space="preserve">OH)₂ effectively activates red mud's active </w:t>
      </w:r>
      <w:proofErr w:type="spellStart"/>
      <w:r>
        <w:rPr>
          <w:rFonts w:ascii="Arial" w:hAnsi="Arial"/>
        </w:rPr>
        <w:t>Al₂O</w:t>
      </w:r>
      <w:proofErr w:type="spellEnd"/>
      <w:r>
        <w:rPr>
          <w:rFonts w:ascii="Arial" w:hAnsi="Arial"/>
        </w:rPr>
        <w:t xml:space="preserve">₃ and </w:t>
      </w:r>
      <w:proofErr w:type="spellStart"/>
      <w:r>
        <w:rPr>
          <w:rFonts w:ascii="Arial" w:hAnsi="Arial"/>
        </w:rPr>
        <w:t>SiO</w:t>
      </w:r>
      <w:proofErr w:type="spellEnd"/>
      <w:r>
        <w:rPr>
          <w:rFonts w:ascii="Arial" w:hAnsi="Arial"/>
        </w:rPr>
        <w:t xml:space="preserve">₂ in pozzolanic reactions, while red mud hydration products supplement and refine product systems, optimizing interfacial transition zones. Temporally, early hydration </w:t>
      </w:r>
      <w:r>
        <w:rPr>
          <w:rFonts w:ascii="Arial" w:hAnsi="Arial"/>
        </w:rPr>
        <w:t>(0-7 days) emphasizes cement hydration, intermediate (7-28 days) involves red mud secondary reactions, and late stages (&gt;28 days) approach equilibrium stability. In red mud-metakaolin systems at 1:1 mass ratio, optimal synergy achieves 33.5 MPa 28-day stre</w:t>
      </w:r>
      <w:r>
        <w:rPr>
          <w:rFonts w:ascii="Arial" w:hAnsi="Arial"/>
        </w:rPr>
        <w:t xml:space="preserve">ngth, exceeding single-component systems by 25%, with C-S-H and calcium aluminates creating dense microstructures. Red mud-slag systems at 2:1 ratio show best performance, with slag effectively inhibiting free </w:t>
      </w:r>
      <w:proofErr w:type="spellStart"/>
      <w:r>
        <w:rPr>
          <w:rFonts w:ascii="Arial" w:hAnsi="Arial"/>
        </w:rPr>
        <w:t>Na₂O</w:t>
      </w:r>
      <w:proofErr w:type="spellEnd"/>
      <w:r>
        <w:rPr>
          <w:rFonts w:ascii="Arial" w:hAnsi="Arial"/>
        </w:rPr>
        <w:t xml:space="preserve"> effects. However, high-incorporation syne</w:t>
      </w:r>
      <w:r>
        <w:rPr>
          <w:rFonts w:ascii="Arial" w:hAnsi="Arial"/>
        </w:rPr>
        <w:t>rgistic limitations and hydration kinetics require further study.</w:t>
      </w:r>
    </w:p>
    <w:p w14:paraId="77E8A66D" w14:textId="77777777" w:rsidR="00CC3FD6" w:rsidRDefault="00FE0EB9">
      <w:pPr>
        <w:spacing w:before="180" w:after="60"/>
        <w:rPr>
          <w:rFonts w:ascii="Arial" w:hAnsi="Arial" w:cs="Arial"/>
          <w:b/>
          <w:bCs/>
        </w:rPr>
      </w:pPr>
      <w:r>
        <w:rPr>
          <w:rFonts w:ascii="Arial" w:hAnsi="Arial" w:cs="Arial" w:hint="eastAsia"/>
          <w:b/>
          <w:bCs/>
        </w:rPr>
        <w:t>3.3 Aggregate Combination and Synergistic Effects Research</w:t>
      </w:r>
    </w:p>
    <w:p w14:paraId="33458993" w14:textId="77777777" w:rsidR="00CC3FD6" w:rsidRDefault="00FE0EB9">
      <w:pPr>
        <w:pStyle w:val="Body"/>
        <w:spacing w:after="0"/>
        <w:rPr>
          <w:rFonts w:ascii="Arial" w:hAnsi="Arial"/>
          <w:b/>
          <w:u w:val="single"/>
        </w:rPr>
      </w:pPr>
      <w:r>
        <w:rPr>
          <w:rFonts w:ascii="Arial" w:hAnsi="Arial"/>
          <w:b/>
          <w:u w:val="single"/>
        </w:rPr>
        <w:t>3.3.1 Red Mud-Cement-Conventional Aggregate Systems</w:t>
      </w:r>
    </w:p>
    <w:p w14:paraId="0DBBAE7D" w14:textId="77777777" w:rsidR="00CC3FD6" w:rsidRDefault="00FE0EB9">
      <w:pPr>
        <w:spacing w:after="120" w:line="360" w:lineRule="auto"/>
        <w:jc w:val="both"/>
      </w:pPr>
      <w:r>
        <w:rPr>
          <w:rFonts w:ascii="Arial" w:hAnsi="Arial"/>
        </w:rPr>
        <w:t>Conventional aggregates (river sand, silica sand) primarily provide skeleton su</w:t>
      </w:r>
      <w:r>
        <w:rPr>
          <w:rFonts w:ascii="Arial" w:hAnsi="Arial"/>
        </w:rPr>
        <w:t>pport with important mechanical contributions. Optimal orthogonal parameters include 20% red mud, 50% cement, 30% sand, 0.32 water-binder ratio, achieving 32.6 MPa 28-day strength. Aggregate grading significantly impacts performance: continuous grading (0.</w:t>
      </w:r>
      <w:r>
        <w:rPr>
          <w:rFonts w:ascii="Arial" w:hAnsi="Arial"/>
        </w:rPr>
        <w:t>15-5 mm) with 3:2 coarse-fine ratio maximizes particle packing and minimizes porosity, reaching 33.2 MPa strength; sand with moisture controlled below 3% further improves mechanics by 8.5%. This mature system, though thermally limited, suits applications w</w:t>
      </w:r>
      <w:r>
        <w:rPr>
          <w:rFonts w:ascii="Arial" w:hAnsi="Arial"/>
        </w:rPr>
        <w:t>ithout stringent insulation requirements.</w:t>
      </w:r>
    </w:p>
    <w:p w14:paraId="74219BF7" w14:textId="77777777" w:rsidR="00CC3FD6" w:rsidRDefault="00FE0EB9">
      <w:pPr>
        <w:pStyle w:val="Body"/>
        <w:spacing w:after="0"/>
        <w:rPr>
          <w:rFonts w:ascii="Arial" w:hAnsi="Arial"/>
          <w:b/>
          <w:u w:val="single"/>
        </w:rPr>
      </w:pPr>
      <w:r>
        <w:rPr>
          <w:rFonts w:ascii="Arial" w:hAnsi="Arial"/>
          <w:b/>
          <w:u w:val="single"/>
        </w:rPr>
        <w:t>3.3.2 Red Mud-Composite Aggregate Systems</w:t>
      </w:r>
    </w:p>
    <w:p w14:paraId="48695987" w14:textId="77777777" w:rsidR="00CC3FD6" w:rsidRDefault="00FE0EB9">
      <w:pPr>
        <w:spacing w:after="120" w:line="360" w:lineRule="auto"/>
        <w:jc w:val="both"/>
      </w:pPr>
      <w:r>
        <w:rPr>
          <w:rFonts w:ascii="Arial" w:hAnsi="Arial"/>
        </w:rPr>
        <w:t>Composite aggregate combinations achieve synchronized mechanical-thermal property improvements, encompassing red mud-fly ash-conventional and red mud-slag-lightweight syste</w:t>
      </w:r>
      <w:r>
        <w:rPr>
          <w:rFonts w:ascii="Arial" w:hAnsi="Arial"/>
        </w:rPr>
        <w:t>ms (as shown in Figure 3). Red mud-fly ash combinations at 1:1.5 ratio with 30% total waste and 30% sand achieve 31.8 MPa strength and 0.083 W/(</w:t>
      </w:r>
      <w:proofErr w:type="spellStart"/>
      <w:r>
        <w:rPr>
          <w:rFonts w:ascii="Arial" w:hAnsi="Arial"/>
        </w:rPr>
        <w:t>m·K</w:t>
      </w:r>
      <w:proofErr w:type="spellEnd"/>
      <w:r>
        <w:rPr>
          <w:rFonts w:ascii="Arial" w:hAnsi="Arial"/>
        </w:rPr>
        <w:t>) thermal conductivity, realizing dual-waste coordination. Red mud-slag-</w:t>
      </w:r>
      <w:proofErr w:type="spellStart"/>
      <w:r>
        <w:rPr>
          <w:rFonts w:ascii="Arial" w:hAnsi="Arial"/>
        </w:rPr>
        <w:t>ceramsite</w:t>
      </w:r>
      <w:proofErr w:type="spellEnd"/>
      <w:r>
        <w:rPr>
          <w:rFonts w:ascii="Arial" w:hAnsi="Arial"/>
        </w:rPr>
        <w:t xml:space="preserve"> at 15%, 20%, 10% respective</w:t>
      </w:r>
      <w:r>
        <w:rPr>
          <w:rFonts w:ascii="Arial" w:hAnsi="Arial"/>
        </w:rPr>
        <w:t>ly achieve 29.5 MPa strength and 0.078 W/(</w:t>
      </w:r>
      <w:proofErr w:type="spellStart"/>
      <w:r>
        <w:rPr>
          <w:rFonts w:ascii="Arial" w:hAnsi="Arial"/>
        </w:rPr>
        <w:t>m·K</w:t>
      </w:r>
      <w:proofErr w:type="spellEnd"/>
      <w:r>
        <w:rPr>
          <w:rFonts w:ascii="Arial" w:hAnsi="Arial"/>
        </w:rPr>
        <w:t xml:space="preserve">) thermal conductivity; </w:t>
      </w:r>
      <w:proofErr w:type="spellStart"/>
      <w:r>
        <w:rPr>
          <w:rFonts w:ascii="Arial" w:hAnsi="Arial"/>
        </w:rPr>
        <w:t>ceramsite</w:t>
      </w:r>
      <w:proofErr w:type="spellEnd"/>
      <w:r>
        <w:rPr>
          <w:rFonts w:ascii="Arial" w:hAnsi="Arial"/>
        </w:rPr>
        <w:t xml:space="preserve"> significantly improves thermal properties while red mud-slag address mechanical deficiencies. Glass microspheres at 8-12% achieve optimal thermal performance at 0.075 W/(</w:t>
      </w:r>
      <w:proofErr w:type="spellStart"/>
      <w:r>
        <w:rPr>
          <w:rFonts w:ascii="Arial" w:hAnsi="Arial"/>
        </w:rPr>
        <w:t>m·K</w:t>
      </w:r>
      <w:proofErr w:type="spellEnd"/>
      <w:r>
        <w:rPr>
          <w:rFonts w:ascii="Arial" w:hAnsi="Arial"/>
        </w:rPr>
        <w:t>) wi</w:t>
      </w:r>
      <w:r>
        <w:rPr>
          <w:rFonts w:ascii="Arial" w:hAnsi="Arial"/>
        </w:rPr>
        <w:t>th enhanced water resistance. Future research should systematically optimize composite proportions and establish component-structure-property quantitative relationship models.</w:t>
      </w:r>
    </w:p>
    <w:p w14:paraId="0C9C6132" w14:textId="77777777" w:rsidR="00CC3FD6" w:rsidRDefault="00CC3FD6"/>
    <w:p w14:paraId="664963C6" w14:textId="77777777" w:rsidR="00CC3FD6" w:rsidRDefault="00CC3FD6">
      <w:pPr>
        <w:jc w:val="center"/>
      </w:pPr>
    </w:p>
    <w:p w14:paraId="28858E01" w14:textId="77777777" w:rsidR="00CC3FD6" w:rsidRDefault="00CC3FD6">
      <w:pPr>
        <w:jc w:val="center"/>
      </w:pPr>
    </w:p>
    <w:p w14:paraId="26A5857F" w14:textId="77777777" w:rsidR="00CC3FD6" w:rsidRDefault="00FE0EB9">
      <w:pPr>
        <w:jc w:val="center"/>
      </w:pPr>
      <w:r>
        <w:rPr>
          <w:noProof/>
        </w:rPr>
        <w:lastRenderedPageBreak/>
        <w:drawing>
          <wp:inline distT="0" distB="0" distL="114300" distR="114300" wp14:anchorId="15BD60A7" wp14:editId="1D3194C0">
            <wp:extent cx="4944110" cy="33934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rcRect t="15754" r="1692" b="9010"/>
                    <a:stretch>
                      <a:fillRect/>
                    </a:stretch>
                  </pic:blipFill>
                  <pic:spPr>
                    <a:xfrm>
                      <a:off x="0" y="0"/>
                      <a:ext cx="4944110" cy="3393440"/>
                    </a:xfrm>
                    <a:prstGeom prst="rect">
                      <a:avLst/>
                    </a:prstGeom>
                  </pic:spPr>
                </pic:pic>
              </a:graphicData>
            </a:graphic>
          </wp:inline>
        </w:drawing>
      </w:r>
    </w:p>
    <w:p w14:paraId="36FF1767" w14:textId="77777777" w:rsidR="00CC3FD6" w:rsidRDefault="00FE0EB9">
      <w:pPr>
        <w:spacing w:after="240"/>
        <w:jc w:val="center"/>
        <w:rPr>
          <w:rFonts w:ascii="Arial" w:hAnsi="Arial"/>
          <w:b/>
        </w:rPr>
      </w:pPr>
      <w:r>
        <w:rPr>
          <w:rFonts w:ascii="Arial" w:hAnsi="Arial"/>
          <w:b/>
        </w:rPr>
        <w:t>Fig. 3 Comprehensive Property Index Comparison of Different Material System</w:t>
      </w:r>
      <w:r>
        <w:rPr>
          <w:rFonts w:ascii="Arial" w:hAnsi="Arial"/>
          <w:b/>
        </w:rPr>
        <w:t>s</w:t>
      </w:r>
    </w:p>
    <w:p w14:paraId="7331A215" w14:textId="77777777" w:rsidR="00CC3FD6" w:rsidRDefault="00CC3FD6">
      <w:pPr>
        <w:spacing w:after="240"/>
        <w:jc w:val="center"/>
        <w:rPr>
          <w:rFonts w:ascii="Arial" w:hAnsi="Arial"/>
          <w:b/>
        </w:rPr>
      </w:pPr>
    </w:p>
    <w:p w14:paraId="5223ED66" w14:textId="77777777" w:rsidR="00CC3FD6" w:rsidRDefault="00FE0EB9">
      <w:pPr>
        <w:pStyle w:val="ConcHead"/>
        <w:spacing w:after="0"/>
        <w:jc w:val="both"/>
        <w:rPr>
          <w:rFonts w:ascii="Arial" w:hAnsi="Arial" w:cs="Arial"/>
        </w:rPr>
      </w:pPr>
      <w:r>
        <w:rPr>
          <w:rFonts w:ascii="Arial" w:hAnsi="Arial" w:cs="Arial" w:hint="eastAsia"/>
        </w:rPr>
        <w:t>4. PERFORMANCE CONTROL AND MICROSTRUCTURAL MECHANISMS</w:t>
      </w:r>
    </w:p>
    <w:p w14:paraId="47573FF1" w14:textId="77777777" w:rsidR="00CC3FD6" w:rsidRDefault="00FE0EB9">
      <w:pPr>
        <w:spacing w:before="180" w:after="60"/>
        <w:rPr>
          <w:rFonts w:ascii="Arial" w:hAnsi="Arial" w:cs="Arial"/>
          <w:b/>
          <w:bCs/>
        </w:rPr>
      </w:pPr>
      <w:r>
        <w:rPr>
          <w:rFonts w:ascii="Arial" w:hAnsi="Arial" w:cs="Arial" w:hint="eastAsia"/>
          <w:b/>
          <w:bCs/>
        </w:rPr>
        <w:t>4.1 Mechanical Property Control and Microstructural Mechanisms</w:t>
      </w:r>
    </w:p>
    <w:p w14:paraId="793CCAE0" w14:textId="77777777" w:rsidR="00CC3FD6" w:rsidRDefault="00FE0EB9">
      <w:pPr>
        <w:pStyle w:val="Body"/>
        <w:spacing w:after="0"/>
        <w:rPr>
          <w:rFonts w:ascii="Arial" w:hAnsi="Arial"/>
          <w:b/>
          <w:u w:val="single"/>
        </w:rPr>
      </w:pPr>
      <w:r>
        <w:rPr>
          <w:rFonts w:ascii="Arial" w:hAnsi="Arial"/>
          <w:b/>
          <w:u w:val="single"/>
        </w:rPr>
        <w:t>4.1.1 Primary Influencing Factors and Patterns</w:t>
      </w:r>
    </w:p>
    <w:p w14:paraId="2C3FFAC6" w14:textId="77777777" w:rsidR="00CC3FD6" w:rsidRDefault="00FE0EB9">
      <w:pPr>
        <w:spacing w:after="120" w:line="360" w:lineRule="auto"/>
        <w:jc w:val="both"/>
      </w:pPr>
      <w:r>
        <w:rPr>
          <w:rFonts w:ascii="Arial" w:hAnsi="Arial"/>
        </w:rPr>
        <w:t xml:space="preserve">Mechanical properties result from combined red mud incorporation, foaming agent dosage, </w:t>
      </w:r>
      <w:r>
        <w:rPr>
          <w:rFonts w:ascii="Arial" w:hAnsi="Arial"/>
        </w:rPr>
        <w:t>aggregate combination, and curing conditions. Within 0-25% red mud incorporation, compressive strength gradually decreases; beyond 25%, strength significantly declines, reaching 22.1 MPa at 40%. Within 0.3-0.5% foaming agent, mechanics initially improve wi</w:t>
      </w:r>
      <w:r>
        <w:rPr>
          <w:rFonts w:ascii="Arial" w:hAnsi="Arial"/>
        </w:rPr>
        <w:t>th porosity then decline; above 0.5%, marked decreases occur, declining to 27.5 MPa at 0.8%. Conventional aggregates significantly enhance mechanics while lightweight aggregates reduce them; composite combinations achieve optimization. Standard curing (20±</w:t>
      </w:r>
      <w:r>
        <w:rPr>
          <w:rFonts w:ascii="Arial" w:hAnsi="Arial"/>
        </w:rPr>
        <w:t>2°C, ≥95% humidity) exceeds natural and steam curing; steam curing improves early strength but shows poor long-term development.</w:t>
      </w:r>
    </w:p>
    <w:p w14:paraId="2D843A19" w14:textId="77777777" w:rsidR="00CC3FD6" w:rsidRDefault="00FE0EB9">
      <w:pPr>
        <w:pStyle w:val="Body"/>
        <w:spacing w:after="0"/>
        <w:rPr>
          <w:rFonts w:ascii="Arial" w:hAnsi="Arial"/>
          <w:b/>
          <w:u w:val="single"/>
        </w:rPr>
      </w:pPr>
      <w:r>
        <w:rPr>
          <w:rFonts w:ascii="Arial" w:hAnsi="Arial"/>
          <w:b/>
          <w:u w:val="single"/>
        </w:rPr>
        <w:t>4.1.2 Mechanical Property Control Pathways and Mechanisms</w:t>
      </w:r>
    </w:p>
    <w:p w14:paraId="44B5A574" w14:textId="77777777" w:rsidR="00CC3FD6" w:rsidRDefault="00FE0EB9">
      <w:pPr>
        <w:spacing w:after="120" w:line="360" w:lineRule="auto"/>
        <w:jc w:val="both"/>
      </w:pPr>
      <w:r>
        <w:rPr>
          <w:rFonts w:ascii="Arial" w:hAnsi="Arial"/>
        </w:rPr>
        <w:t xml:space="preserve">Core control includes mix optimization, red mud modification, </w:t>
      </w:r>
      <w:r>
        <w:rPr>
          <w:rFonts w:ascii="Arial" w:hAnsi="Arial"/>
        </w:rPr>
        <w:t>additive incorporation, and process control. Response-surface optimization yields 22% red mud, 52% cement, 0.31 water-binder, 26% sand with 33.1 MPa strength; mechanical-chemical modification permits 30% incorporation while maintaining 29.8 MPa (as shown i</w:t>
      </w:r>
      <w:r>
        <w:rPr>
          <w:rFonts w:ascii="Arial" w:hAnsi="Arial"/>
        </w:rPr>
        <w:t>n Table 1). Polypropylene fiber at 0.2% increases compression and tension by 8.7% and 15.3% respectively through fiber bridging that suppresses cracking; optimized preparation improves pore uniformity by 30% with corresponding 10.2% strength improvement. C</w:t>
      </w:r>
      <w:r>
        <w:rPr>
          <w:rFonts w:ascii="Arial" w:hAnsi="Arial"/>
        </w:rPr>
        <w:t>ombined application of these techniques enables efficient mechanical control.</w:t>
      </w:r>
    </w:p>
    <w:p w14:paraId="07991ADA" w14:textId="77777777" w:rsidR="00CC3FD6" w:rsidRDefault="00CC3FD6"/>
    <w:p w14:paraId="17A7CA28" w14:textId="77777777" w:rsidR="00CC3FD6" w:rsidRDefault="00FE0EB9">
      <w:pPr>
        <w:jc w:val="center"/>
      </w:pPr>
      <w:r>
        <w:rPr>
          <w:noProof/>
        </w:rPr>
        <w:lastRenderedPageBreak/>
        <w:drawing>
          <wp:inline distT="0" distB="0" distL="114300" distR="114300" wp14:anchorId="1224586E" wp14:editId="17611CCD">
            <wp:extent cx="6252210" cy="1897380"/>
            <wp:effectExtent l="0" t="0" r="1143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rcRect l="4596" t="13060" r="4659" b="12376"/>
                    <a:stretch>
                      <a:fillRect/>
                    </a:stretch>
                  </pic:blipFill>
                  <pic:spPr>
                    <a:xfrm>
                      <a:off x="0" y="0"/>
                      <a:ext cx="6252210" cy="1897380"/>
                    </a:xfrm>
                    <a:prstGeom prst="rect">
                      <a:avLst/>
                    </a:prstGeom>
                  </pic:spPr>
                </pic:pic>
              </a:graphicData>
            </a:graphic>
          </wp:inline>
        </w:drawing>
      </w:r>
    </w:p>
    <w:p w14:paraId="1B031369" w14:textId="77777777" w:rsidR="00CC3FD6" w:rsidRDefault="00FE0EB9">
      <w:pPr>
        <w:spacing w:after="240"/>
        <w:jc w:val="center"/>
      </w:pPr>
      <w:r>
        <w:rPr>
          <w:rFonts w:ascii="Arial" w:hAnsi="Arial"/>
          <w:b/>
        </w:rPr>
        <w:t>Table 1 Performance Summary and Comparison of Different Mix Design Systems</w:t>
      </w:r>
    </w:p>
    <w:p w14:paraId="600C636E" w14:textId="77777777" w:rsidR="00CC3FD6" w:rsidRDefault="00FE0EB9">
      <w:pPr>
        <w:spacing w:before="180" w:after="60"/>
        <w:rPr>
          <w:rFonts w:ascii="Arial" w:hAnsi="Arial" w:cs="Arial"/>
          <w:b/>
          <w:bCs/>
        </w:rPr>
      </w:pPr>
      <w:r>
        <w:rPr>
          <w:rFonts w:ascii="Arial" w:hAnsi="Arial" w:cs="Arial" w:hint="eastAsia"/>
          <w:b/>
          <w:bCs/>
        </w:rPr>
        <w:t>4.2 Thermal Insulation Property Control and Microstructural Mechanisms</w:t>
      </w:r>
    </w:p>
    <w:p w14:paraId="564F6D51" w14:textId="77777777" w:rsidR="00CC3FD6" w:rsidRDefault="00FE0EB9">
      <w:pPr>
        <w:spacing w:after="120" w:line="360" w:lineRule="auto"/>
        <w:jc w:val="both"/>
      </w:pPr>
      <w:r>
        <w:rPr>
          <w:rFonts w:ascii="Arial" w:hAnsi="Arial"/>
        </w:rPr>
        <w:t>Thermal conductivity, the cor</w:t>
      </w:r>
      <w:r>
        <w:rPr>
          <w:rFonts w:ascii="Arial" w:hAnsi="Arial"/>
        </w:rPr>
        <w:t>e insulation metric, results from red mud incorporation, pore structure, and aggregate type influences. Within 0-25% incorporation, thermal conductivity decreases; beyond 25%, it increases, with minimum 0.082 W/(</w:t>
      </w:r>
      <w:proofErr w:type="spellStart"/>
      <w:r>
        <w:rPr>
          <w:rFonts w:ascii="Arial" w:hAnsi="Arial"/>
        </w:rPr>
        <w:t>m·K</w:t>
      </w:r>
      <w:proofErr w:type="spellEnd"/>
      <w:r>
        <w:rPr>
          <w:rFonts w:ascii="Arial" w:hAnsi="Arial"/>
        </w:rPr>
        <w:t>) at 25%. This pattern reflects filling e</w:t>
      </w:r>
      <w:r>
        <w:rPr>
          <w:rFonts w:ascii="Arial" w:hAnsi="Arial"/>
        </w:rPr>
        <w:t xml:space="preserve">ffects optimizing pore structure and closed-cell ratios at low levels, while high incorporation causes particle agglomeration and pore interconnection. Porosity 45-55%, closed-cell ratio ≥80%, and average pore diameter ≤100 </w:t>
      </w:r>
      <w:proofErr w:type="spellStart"/>
      <w:r>
        <w:rPr>
          <w:rFonts w:ascii="Arial" w:hAnsi="Arial"/>
        </w:rPr>
        <w:t>μm</w:t>
      </w:r>
      <w:proofErr w:type="spellEnd"/>
      <w:r>
        <w:rPr>
          <w:rFonts w:ascii="Arial" w:hAnsi="Arial"/>
        </w:rPr>
        <w:t xml:space="preserve"> achieve thermal conductivity </w:t>
      </w:r>
      <w:r>
        <w:rPr>
          <w:rFonts w:ascii="Arial" w:hAnsi="Arial"/>
        </w:rPr>
        <w:t>≤0.085 W/(</w:t>
      </w:r>
      <w:proofErr w:type="spellStart"/>
      <w:r>
        <w:rPr>
          <w:rFonts w:ascii="Arial" w:hAnsi="Arial"/>
        </w:rPr>
        <w:t>m·K</w:t>
      </w:r>
      <w:proofErr w:type="spellEnd"/>
      <w:r>
        <w:rPr>
          <w:rFonts w:ascii="Arial" w:hAnsi="Arial"/>
        </w:rPr>
        <w:t>). Lightweight aggregates significantly reduce thermal conductivity; red mud-cement-glass microsphere systems show 18.6% lower thermal conductivity than red mud-cement-sand systems (as shown in Figure 4) due to glass microspheres' internal clo</w:t>
      </w:r>
      <w:r>
        <w:rPr>
          <w:rFonts w:ascii="Arial" w:hAnsi="Arial"/>
        </w:rPr>
        <w:t>sed-pore structure and inherent low thermal conductivity.</w:t>
      </w:r>
    </w:p>
    <w:p w14:paraId="4021AE04" w14:textId="77777777" w:rsidR="00CC3FD6" w:rsidRDefault="00CC3FD6"/>
    <w:p w14:paraId="671DB760" w14:textId="77777777" w:rsidR="00CC3FD6" w:rsidRDefault="00FE0EB9">
      <w:pPr>
        <w:spacing w:after="240"/>
        <w:jc w:val="center"/>
        <w:rPr>
          <w:rFonts w:ascii="SimSun" w:eastAsia="SimSun" w:hAnsi="SimSun" w:cs="SimSun"/>
          <w:sz w:val="24"/>
          <w:szCs w:val="24"/>
        </w:rPr>
      </w:pPr>
      <w:r>
        <w:rPr>
          <w:rFonts w:ascii="SimSun" w:eastAsia="SimSun" w:hAnsi="SimSun" w:cs="SimSun"/>
          <w:noProof/>
          <w:sz w:val="24"/>
          <w:szCs w:val="24"/>
        </w:rPr>
        <w:drawing>
          <wp:inline distT="0" distB="0" distL="114300" distR="114300" wp14:anchorId="039A97BA" wp14:editId="5CBB7756">
            <wp:extent cx="4928870" cy="2520315"/>
            <wp:effectExtent l="0" t="0" r="0" b="952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19"/>
                    <a:stretch>
                      <a:fillRect/>
                    </a:stretch>
                  </pic:blipFill>
                  <pic:spPr>
                    <a:xfrm>
                      <a:off x="0" y="0"/>
                      <a:ext cx="4928870" cy="2520315"/>
                    </a:xfrm>
                    <a:prstGeom prst="rect">
                      <a:avLst/>
                    </a:prstGeom>
                    <a:noFill/>
                    <a:ln w="9525">
                      <a:noFill/>
                    </a:ln>
                  </pic:spPr>
                </pic:pic>
              </a:graphicData>
            </a:graphic>
          </wp:inline>
        </w:drawing>
      </w:r>
    </w:p>
    <w:p w14:paraId="7A10DB9A" w14:textId="77777777" w:rsidR="00CC3FD6" w:rsidRDefault="00FE0EB9">
      <w:pPr>
        <w:spacing w:after="240"/>
        <w:jc w:val="center"/>
        <w:rPr>
          <w:rFonts w:ascii="Arial" w:hAnsi="Arial" w:cs="Arial"/>
        </w:rPr>
      </w:pPr>
      <w:r>
        <w:rPr>
          <w:rFonts w:ascii="Arial" w:hAnsi="Arial"/>
          <w:b/>
        </w:rPr>
        <w:t>Fig. 4 Thermal Conductivity Comparison of Different Aggregate Systems</w:t>
      </w:r>
    </w:p>
    <w:p w14:paraId="73C59B34" w14:textId="77777777" w:rsidR="00CC3FD6" w:rsidRDefault="00CC3FD6">
      <w:pPr>
        <w:pStyle w:val="Body"/>
        <w:spacing w:after="0"/>
        <w:rPr>
          <w:rFonts w:ascii="Arial" w:hAnsi="Arial" w:cs="Arial"/>
        </w:rPr>
      </w:pPr>
    </w:p>
    <w:p w14:paraId="7EE00842" w14:textId="77777777" w:rsidR="00CC3FD6" w:rsidRDefault="00FE0EB9">
      <w:pPr>
        <w:pStyle w:val="ConcHead"/>
        <w:spacing w:after="0"/>
        <w:jc w:val="both"/>
        <w:rPr>
          <w:rFonts w:ascii="Arial" w:hAnsi="Arial" w:cs="Arial"/>
        </w:rPr>
      </w:pPr>
      <w:r>
        <w:rPr>
          <w:rFonts w:ascii="Arial" w:hAnsi="Arial" w:cs="Arial" w:hint="eastAsia"/>
        </w:rPr>
        <w:t>5. CONCLUSIONS AND FUTURE PERSPECTIVES</w:t>
      </w:r>
    </w:p>
    <w:p w14:paraId="73A9BB3E" w14:textId="77777777" w:rsidR="00CC3FD6" w:rsidRDefault="00FE0EB9">
      <w:pPr>
        <w:pStyle w:val="Body"/>
        <w:spacing w:after="0"/>
        <w:rPr>
          <w:rFonts w:ascii="Arial" w:hAnsi="Arial" w:cs="Arial"/>
        </w:rPr>
      </w:pPr>
      <w:r>
        <w:rPr>
          <w:rFonts w:ascii="Arial" w:hAnsi="Arial" w:cs="Arial" w:hint="eastAsia"/>
        </w:rPr>
        <w:t>This comprehensive review demonstrates that the systematic incorporation of red mud a</w:t>
      </w:r>
      <w:r>
        <w:rPr>
          <w:rFonts w:ascii="Arial" w:hAnsi="Arial" w:cs="Arial" w:hint="eastAsia"/>
        </w:rPr>
        <w:t>s a supplementary cementitious material, combined with targeted modification strategies and optimized processing protocols, enables the development of high-performance foamed concrete with promising building insulation potential. Optimally designed formula</w:t>
      </w:r>
      <w:r>
        <w:rPr>
          <w:rFonts w:ascii="Arial" w:hAnsi="Arial" w:cs="Arial" w:hint="eastAsia"/>
        </w:rPr>
        <w:t>tions achieve 28-day compressive strengths in the range of 28.5–33.5 MPa alongside thermal conductivities of 0.075–0.086 W/(</w:t>
      </w:r>
      <w:proofErr w:type="spellStart"/>
      <w:r>
        <w:rPr>
          <w:rFonts w:ascii="Arial" w:hAnsi="Arial" w:cs="Arial" w:hint="eastAsia"/>
        </w:rPr>
        <w:t>m·K</w:t>
      </w:r>
      <w:proofErr w:type="spellEnd"/>
      <w:r>
        <w:rPr>
          <w:rFonts w:ascii="Arial" w:hAnsi="Arial" w:cs="Arial" w:hint="eastAsia"/>
        </w:rPr>
        <w:t>), effectively reconciling the competing demands of structural integrity and thermal efficiency.</w:t>
      </w:r>
    </w:p>
    <w:p w14:paraId="51812FAF" w14:textId="77777777" w:rsidR="00CC3FD6" w:rsidRDefault="00FE0EB9">
      <w:pPr>
        <w:pStyle w:val="Body"/>
        <w:spacing w:after="0"/>
        <w:rPr>
          <w:rFonts w:ascii="Arial" w:hAnsi="Arial" w:cs="Arial"/>
        </w:rPr>
      </w:pPr>
      <w:r>
        <w:rPr>
          <w:rFonts w:ascii="Arial" w:hAnsi="Arial" w:cs="Arial" w:hint="eastAsia"/>
        </w:rPr>
        <w:t xml:space="preserve">Despite these advances, several </w:t>
      </w:r>
      <w:r>
        <w:rPr>
          <w:rFonts w:ascii="Arial" w:hAnsi="Arial" w:cs="Arial" w:hint="eastAsia"/>
        </w:rPr>
        <w:t>critical challenges remain. Future research efforts should prioritize the following directions:</w:t>
      </w:r>
    </w:p>
    <w:p w14:paraId="640F37A5" w14:textId="77777777" w:rsidR="00CC3FD6" w:rsidRDefault="00FE0EB9">
      <w:pPr>
        <w:pStyle w:val="Body"/>
        <w:spacing w:after="0"/>
        <w:rPr>
          <w:rFonts w:ascii="Arial" w:hAnsi="Arial" w:cs="Arial"/>
        </w:rPr>
      </w:pPr>
      <w:r>
        <w:rPr>
          <w:rFonts w:ascii="Arial" w:hAnsi="Arial" w:cs="Arial" w:hint="eastAsia"/>
        </w:rPr>
        <w:lastRenderedPageBreak/>
        <w:t xml:space="preserve">(1) High-incorporation red mud systems. Advanced modification techniques, including mechanical activation, alkali treatment, and thermal pre-processing, should </w:t>
      </w:r>
      <w:r>
        <w:rPr>
          <w:rFonts w:ascii="Arial" w:hAnsi="Arial" w:cs="Arial" w:hint="eastAsia"/>
        </w:rPr>
        <w:t>be explored to enable higher red mud substitution rates without compromising matrix performance.</w:t>
      </w:r>
    </w:p>
    <w:p w14:paraId="36D6A470" w14:textId="77777777" w:rsidR="00CC3FD6" w:rsidRDefault="00FE0EB9">
      <w:pPr>
        <w:pStyle w:val="Body"/>
        <w:spacing w:after="0"/>
        <w:rPr>
          <w:rFonts w:ascii="Arial" w:hAnsi="Arial" w:cs="Arial"/>
        </w:rPr>
      </w:pPr>
      <w:r>
        <w:rPr>
          <w:rFonts w:ascii="Arial" w:hAnsi="Arial" w:cs="Arial" w:hint="eastAsia"/>
        </w:rPr>
        <w:t>(2) Long-term durability mechanisms. Multi-scale characterization approaches encompassing microstructural analysis, phase evolution tracking, and accelerated a</w:t>
      </w:r>
      <w:r>
        <w:rPr>
          <w:rFonts w:ascii="Arial" w:hAnsi="Arial" w:cs="Arial" w:hint="eastAsia"/>
        </w:rPr>
        <w:t>ging protocols are needed to elucidate durability degradation pathways over extended service lifetimes.</w:t>
      </w:r>
    </w:p>
    <w:p w14:paraId="636F1AF3" w14:textId="77777777" w:rsidR="00CC3FD6" w:rsidRDefault="00FE0EB9">
      <w:pPr>
        <w:pStyle w:val="Body"/>
        <w:spacing w:after="0"/>
        <w:rPr>
          <w:rFonts w:ascii="Arial" w:hAnsi="Arial" w:cs="Arial"/>
        </w:rPr>
      </w:pPr>
      <w:r>
        <w:rPr>
          <w:rFonts w:ascii="Arial" w:hAnsi="Arial" w:cs="Arial" w:hint="eastAsia"/>
        </w:rPr>
        <w:t xml:space="preserve">(3) Multicomponent synergistic principles. Quantitative structure–property relationships should be established to decode the complex interactions among </w:t>
      </w:r>
      <w:r>
        <w:rPr>
          <w:rFonts w:ascii="Arial" w:hAnsi="Arial" w:cs="Arial" w:hint="eastAsia"/>
        </w:rPr>
        <w:t>red mud, supplementary binders, foaming agents, and admixtures, enabling rational mix design rather than empirical optimization.</w:t>
      </w:r>
    </w:p>
    <w:p w14:paraId="3869DA4F" w14:textId="77777777" w:rsidR="00CC3FD6" w:rsidRDefault="00FE0EB9">
      <w:pPr>
        <w:pStyle w:val="Body"/>
        <w:spacing w:after="0"/>
        <w:rPr>
          <w:rFonts w:ascii="Arial" w:hAnsi="Arial" w:cs="Arial"/>
        </w:rPr>
      </w:pPr>
      <w:r>
        <w:rPr>
          <w:rFonts w:ascii="Arial" w:hAnsi="Arial" w:cs="Arial" w:hint="eastAsia"/>
        </w:rPr>
        <w:t xml:space="preserve">(4) Engineering-scale design models. Predictive frameworks that integrate cost–performance trade-offs, production scalability, </w:t>
      </w:r>
      <w:r>
        <w:rPr>
          <w:rFonts w:ascii="Arial" w:hAnsi="Arial" w:cs="Arial" w:hint="eastAsia"/>
        </w:rPr>
        <w:t>and regional variability in red mud composition are essential for translating laboratory findings into industrial practice.</w:t>
      </w:r>
    </w:p>
    <w:p w14:paraId="4FE8D01B" w14:textId="77777777" w:rsidR="00CC3FD6" w:rsidRDefault="00FE0EB9">
      <w:pPr>
        <w:pStyle w:val="Body"/>
        <w:spacing w:after="0"/>
        <w:rPr>
          <w:rFonts w:ascii="Arial" w:hAnsi="Arial" w:cs="Arial"/>
        </w:rPr>
      </w:pPr>
      <w:r>
        <w:rPr>
          <w:rFonts w:ascii="Arial" w:hAnsi="Arial" w:cs="Arial" w:hint="eastAsia"/>
        </w:rPr>
        <w:t>(5) Full-scale validation and sustainability assessment. Pilot- and field-scale trials, complemented by life cycle assessment and te</w:t>
      </w:r>
      <w:r>
        <w:rPr>
          <w:rFonts w:ascii="Arial" w:hAnsi="Arial" w:cs="Arial" w:hint="eastAsia"/>
        </w:rPr>
        <w:t>chno-economic analysis, are required to rigorously quantify the environmental and economic benefits of red mud valorization in the construction sector.</w:t>
      </w:r>
    </w:p>
    <w:p w14:paraId="3184799F" w14:textId="77777777" w:rsidR="00CC3FD6" w:rsidRDefault="00FE0EB9">
      <w:pPr>
        <w:pStyle w:val="Body"/>
        <w:spacing w:after="0"/>
        <w:rPr>
          <w:rFonts w:ascii="Arial" w:hAnsi="Arial" w:cs="Arial"/>
        </w:rPr>
      </w:pPr>
      <w:r>
        <w:rPr>
          <w:rFonts w:ascii="Arial" w:hAnsi="Arial" w:cs="Arial" w:hint="eastAsia"/>
        </w:rPr>
        <w:t>Collectively, progress across these fronts will accelerate the transition of foamed red mud-based concre</w:t>
      </w:r>
      <w:r>
        <w:rPr>
          <w:rFonts w:ascii="Arial" w:hAnsi="Arial" w:cs="Arial" w:hint="eastAsia"/>
        </w:rPr>
        <w:t>te from laboratory innovation to real-world deployment, simultaneously advancing industrial waste valorization and contributing meaningfully to the decarbonization of the built environment</w:t>
      </w:r>
    </w:p>
    <w:p w14:paraId="423A8C1F" w14:textId="77777777" w:rsidR="00CC3FD6" w:rsidRDefault="00CC3FD6">
      <w:pPr>
        <w:pStyle w:val="Body"/>
        <w:spacing w:after="0"/>
        <w:rPr>
          <w:rFonts w:ascii="Arial" w:hAnsi="Arial" w:cs="Arial"/>
        </w:rPr>
      </w:pPr>
    </w:p>
    <w:p w14:paraId="5B1E666A" w14:textId="77777777" w:rsidR="00CC3FD6" w:rsidRDefault="00CC3FD6">
      <w:pPr>
        <w:pStyle w:val="Body"/>
        <w:spacing w:after="0"/>
        <w:rPr>
          <w:rFonts w:ascii="Arial" w:hAnsi="Arial" w:cs="Arial"/>
        </w:rPr>
      </w:pPr>
    </w:p>
    <w:p w14:paraId="384BD297" w14:textId="77777777" w:rsidR="00CC3FD6" w:rsidRDefault="00CC3FD6">
      <w:pPr>
        <w:pStyle w:val="ConcHead"/>
        <w:spacing w:after="0"/>
        <w:jc w:val="both"/>
        <w:rPr>
          <w:rFonts w:ascii="Arial" w:hAnsi="Arial" w:cs="Arial"/>
        </w:rPr>
      </w:pPr>
    </w:p>
    <w:p w14:paraId="4FDABBC7" w14:textId="77777777" w:rsidR="00CC3FD6" w:rsidRDefault="00FE0EB9">
      <w:pPr>
        <w:pStyle w:val="Body"/>
        <w:spacing w:after="0"/>
        <w:rPr>
          <w:rFonts w:ascii="Arial" w:eastAsia="SimSun" w:hAnsi="Arial" w:cs="Arial"/>
          <w:b/>
          <w:caps/>
          <w:sz w:val="22"/>
          <w:lang w:eastAsia="zh-CN"/>
        </w:rPr>
      </w:pPr>
      <w:r>
        <w:rPr>
          <w:rFonts w:ascii="Arial" w:hAnsi="Arial" w:cs="Arial" w:hint="eastAsia"/>
          <w:b/>
          <w:caps/>
          <w:sz w:val="22"/>
        </w:rPr>
        <w:t>Abbreviations</w:t>
      </w:r>
    </w:p>
    <w:p w14:paraId="1562A1BB" w14:textId="77777777" w:rsidR="00CC3FD6" w:rsidRDefault="00FE0EB9">
      <w:pPr>
        <w:pStyle w:val="Body"/>
        <w:spacing w:after="0"/>
        <w:rPr>
          <w:rFonts w:ascii="Arial" w:hAnsi="Arial" w:cs="Arial"/>
        </w:rPr>
      </w:pPr>
      <w:r>
        <w:rPr>
          <w:rFonts w:ascii="Arial" w:hAnsi="Arial" w:cs="Arial" w:hint="eastAsia"/>
        </w:rPr>
        <w:t>RM – Red mud</w:t>
      </w:r>
    </w:p>
    <w:p w14:paraId="03E32DA6" w14:textId="77777777" w:rsidR="00CC3FD6" w:rsidRDefault="00FE0EB9">
      <w:pPr>
        <w:pStyle w:val="Body"/>
        <w:spacing w:after="0"/>
        <w:rPr>
          <w:rFonts w:ascii="Arial" w:hAnsi="Arial" w:cs="Arial"/>
        </w:rPr>
      </w:pPr>
      <w:r>
        <w:rPr>
          <w:rFonts w:ascii="Arial" w:hAnsi="Arial" w:cs="Arial" w:hint="eastAsia"/>
        </w:rPr>
        <w:t>MK – Metakaolin</w:t>
      </w:r>
    </w:p>
    <w:p w14:paraId="3D5ADAF3" w14:textId="77777777" w:rsidR="00CC3FD6" w:rsidRDefault="00FE0EB9">
      <w:pPr>
        <w:pStyle w:val="Body"/>
        <w:spacing w:after="0"/>
        <w:rPr>
          <w:rFonts w:ascii="Arial" w:hAnsi="Arial" w:cs="Arial"/>
        </w:rPr>
      </w:pPr>
      <w:r>
        <w:rPr>
          <w:rFonts w:ascii="Arial" w:hAnsi="Arial" w:cs="Arial" w:hint="eastAsia"/>
        </w:rPr>
        <w:t>SP – Superplasticizer</w:t>
      </w:r>
      <w:r>
        <w:rPr>
          <w:rFonts w:ascii="Arial" w:hAnsi="Arial" w:cs="Arial" w:hint="eastAsia"/>
        </w:rPr>
        <w:t xml:space="preserve"> (water-reducing agent)</w:t>
      </w:r>
    </w:p>
    <w:p w14:paraId="618E651B" w14:textId="77777777" w:rsidR="00CC3FD6" w:rsidRDefault="00FE0EB9">
      <w:pPr>
        <w:pStyle w:val="Body"/>
        <w:spacing w:after="0"/>
        <w:rPr>
          <w:rFonts w:ascii="Arial" w:hAnsi="Arial" w:cs="Arial"/>
        </w:rPr>
      </w:pPr>
      <w:r>
        <w:rPr>
          <w:rFonts w:ascii="Arial" w:hAnsi="Arial" w:cs="Arial" w:hint="eastAsia"/>
        </w:rPr>
        <w:t>SEM – Scanning electron microscopy</w:t>
      </w:r>
    </w:p>
    <w:p w14:paraId="2EC9ABEE" w14:textId="77777777" w:rsidR="00CC3FD6" w:rsidRDefault="00FE0EB9">
      <w:pPr>
        <w:pStyle w:val="Body"/>
        <w:spacing w:after="0"/>
        <w:rPr>
          <w:rFonts w:ascii="Arial" w:hAnsi="Arial" w:cs="Arial"/>
        </w:rPr>
      </w:pPr>
      <w:r>
        <w:rPr>
          <w:rFonts w:ascii="Arial" w:hAnsi="Arial" w:cs="Arial" w:hint="eastAsia"/>
        </w:rPr>
        <w:t>XRF – X-ray fluorescence</w:t>
      </w:r>
    </w:p>
    <w:p w14:paraId="09D58B40" w14:textId="77777777" w:rsidR="00CC3FD6" w:rsidRDefault="00FE0EB9">
      <w:pPr>
        <w:pStyle w:val="Body"/>
        <w:spacing w:after="0"/>
        <w:rPr>
          <w:rFonts w:ascii="Arial" w:hAnsi="Arial" w:cs="Arial"/>
        </w:rPr>
      </w:pPr>
      <w:r>
        <w:rPr>
          <w:rFonts w:ascii="Arial" w:hAnsi="Arial" w:cs="Arial" w:hint="eastAsia"/>
        </w:rPr>
        <w:t>C–S–H – Calcium–silicate–hydrate</w:t>
      </w:r>
    </w:p>
    <w:p w14:paraId="604BDC28" w14:textId="77777777" w:rsidR="00CC3FD6" w:rsidRDefault="00FE0EB9">
      <w:pPr>
        <w:pStyle w:val="Body"/>
        <w:spacing w:after="0"/>
        <w:rPr>
          <w:rFonts w:ascii="Arial" w:hAnsi="Arial" w:cs="Arial"/>
        </w:rPr>
      </w:pPr>
      <w:r>
        <w:rPr>
          <w:rFonts w:ascii="Arial" w:hAnsi="Arial" w:cs="Arial" w:hint="eastAsia"/>
        </w:rPr>
        <w:t>D50 – Median particle size</w:t>
      </w:r>
    </w:p>
    <w:p w14:paraId="5949D66D" w14:textId="77777777" w:rsidR="00CC3FD6" w:rsidRDefault="00FE0EB9">
      <w:pPr>
        <w:pStyle w:val="Body"/>
        <w:spacing w:after="0"/>
        <w:rPr>
          <w:rFonts w:ascii="Arial" w:hAnsi="Arial" w:cs="Arial"/>
        </w:rPr>
      </w:pPr>
      <w:r>
        <w:rPr>
          <w:rFonts w:ascii="Arial" w:hAnsi="Arial" w:cs="Arial" w:hint="eastAsia"/>
        </w:rPr>
        <w:t>SHP – Solid hydrogen peroxide (2Na₂CO₃·3H₂O₂)</w:t>
      </w:r>
    </w:p>
    <w:p w14:paraId="00B40305" w14:textId="77777777" w:rsidR="00CC3FD6" w:rsidRDefault="00FE0EB9">
      <w:pPr>
        <w:pStyle w:val="Body"/>
        <w:spacing w:after="0"/>
        <w:rPr>
          <w:rFonts w:ascii="Arial" w:hAnsi="Arial" w:cs="Arial"/>
        </w:rPr>
      </w:pPr>
      <w:r>
        <w:rPr>
          <w:rFonts w:ascii="Arial" w:hAnsi="Arial" w:cs="Arial" w:hint="eastAsia"/>
        </w:rPr>
        <w:t>OPC – Ordinary Portland cement</w:t>
      </w:r>
    </w:p>
    <w:p w14:paraId="14E48E1E" w14:textId="77777777" w:rsidR="00CC3FD6" w:rsidRDefault="00FE0EB9">
      <w:pPr>
        <w:pStyle w:val="Body"/>
        <w:spacing w:after="0"/>
        <w:rPr>
          <w:rFonts w:ascii="Arial" w:hAnsi="Arial" w:cs="Arial"/>
        </w:rPr>
      </w:pPr>
      <w:r>
        <w:rPr>
          <w:rFonts w:ascii="Arial" w:hAnsi="Arial" w:cs="Arial" w:hint="eastAsia"/>
        </w:rPr>
        <w:t>w/b – Water-to-binder ratio</w:t>
      </w:r>
    </w:p>
    <w:p w14:paraId="1F2CCA53" w14:textId="77777777" w:rsidR="00CC3FD6" w:rsidRDefault="00FE0EB9">
      <w:pPr>
        <w:pStyle w:val="Body"/>
        <w:spacing w:after="0"/>
        <w:rPr>
          <w:rFonts w:ascii="Arial" w:hAnsi="Arial" w:cs="Arial"/>
        </w:rPr>
      </w:pPr>
      <w:r>
        <w:rPr>
          <w:rFonts w:ascii="Arial" w:hAnsi="Arial" w:cs="Arial" w:hint="eastAsia"/>
        </w:rPr>
        <w:t xml:space="preserve">BET – </w:t>
      </w:r>
      <w:proofErr w:type="spellStart"/>
      <w:r>
        <w:rPr>
          <w:rFonts w:ascii="Arial" w:hAnsi="Arial" w:cs="Arial" w:hint="eastAsia"/>
        </w:rPr>
        <w:t>B</w:t>
      </w:r>
      <w:r>
        <w:rPr>
          <w:rFonts w:ascii="Arial" w:hAnsi="Arial" w:cs="Arial" w:hint="eastAsia"/>
        </w:rPr>
        <w:t>runauer</w:t>
      </w:r>
      <w:proofErr w:type="spellEnd"/>
      <w:r>
        <w:rPr>
          <w:rFonts w:ascii="Arial" w:hAnsi="Arial" w:cs="Arial" w:hint="eastAsia"/>
        </w:rPr>
        <w:t>–Emmett–Teller (specific surface area method)</w:t>
      </w:r>
    </w:p>
    <w:p w14:paraId="145AA4B0" w14:textId="77777777" w:rsidR="00CC3FD6" w:rsidRDefault="00FE0EB9">
      <w:pPr>
        <w:pStyle w:val="Body"/>
        <w:spacing w:after="0"/>
        <w:rPr>
          <w:rFonts w:ascii="Arial" w:hAnsi="Arial" w:cs="Arial"/>
        </w:rPr>
      </w:pPr>
      <w:r>
        <w:rPr>
          <w:rFonts w:ascii="Arial" w:hAnsi="Arial" w:cs="Arial" w:hint="eastAsia"/>
        </w:rPr>
        <w:t>C–A–H – Calcium–aluminate–hydrate</w:t>
      </w:r>
    </w:p>
    <w:p w14:paraId="746CBD8D" w14:textId="77777777" w:rsidR="00CC3FD6" w:rsidRDefault="00FE0EB9">
      <w:pPr>
        <w:pStyle w:val="Body"/>
        <w:spacing w:after="0"/>
        <w:rPr>
          <w:rFonts w:ascii="Arial" w:hAnsi="Arial" w:cs="Arial"/>
        </w:rPr>
      </w:pPr>
      <w:proofErr w:type="spellStart"/>
      <w:r>
        <w:rPr>
          <w:rFonts w:ascii="Arial" w:hAnsi="Arial" w:cs="Arial" w:hint="eastAsia"/>
        </w:rPr>
        <w:t>AFt</w:t>
      </w:r>
      <w:proofErr w:type="spellEnd"/>
      <w:r>
        <w:rPr>
          <w:rFonts w:ascii="Arial" w:hAnsi="Arial" w:cs="Arial" w:hint="eastAsia"/>
        </w:rPr>
        <w:t xml:space="preserve"> – Ettringite (calcium </w:t>
      </w:r>
      <w:proofErr w:type="spellStart"/>
      <w:r>
        <w:rPr>
          <w:rFonts w:ascii="Arial" w:hAnsi="Arial" w:cs="Arial" w:hint="eastAsia"/>
        </w:rPr>
        <w:t>sulfoaluminate</w:t>
      </w:r>
      <w:proofErr w:type="spellEnd"/>
      <w:r>
        <w:rPr>
          <w:rFonts w:ascii="Arial" w:hAnsi="Arial" w:cs="Arial" w:hint="eastAsia"/>
        </w:rPr>
        <w:t xml:space="preserve"> hydrate, early-stage)</w:t>
      </w:r>
    </w:p>
    <w:p w14:paraId="0AB0C8F8" w14:textId="77777777" w:rsidR="00CC3FD6" w:rsidRDefault="00FE0EB9">
      <w:pPr>
        <w:pStyle w:val="Body"/>
        <w:spacing w:after="0"/>
        <w:rPr>
          <w:rFonts w:ascii="Arial" w:hAnsi="Arial" w:cs="Arial"/>
        </w:rPr>
      </w:pPr>
      <w:proofErr w:type="spellStart"/>
      <w:r>
        <w:rPr>
          <w:rFonts w:ascii="Arial" w:hAnsi="Arial" w:cs="Arial" w:hint="eastAsia"/>
        </w:rPr>
        <w:t>AFm</w:t>
      </w:r>
      <w:proofErr w:type="spellEnd"/>
      <w:r>
        <w:rPr>
          <w:rFonts w:ascii="Arial" w:hAnsi="Arial" w:cs="Arial" w:hint="eastAsia"/>
        </w:rPr>
        <w:t xml:space="preserve"> – </w:t>
      </w:r>
      <w:proofErr w:type="spellStart"/>
      <w:r>
        <w:rPr>
          <w:rFonts w:ascii="Arial" w:hAnsi="Arial" w:cs="Arial" w:hint="eastAsia"/>
        </w:rPr>
        <w:t>Monosulfoaluminate</w:t>
      </w:r>
      <w:proofErr w:type="spellEnd"/>
      <w:r>
        <w:rPr>
          <w:rFonts w:ascii="Arial" w:hAnsi="Arial" w:cs="Arial" w:hint="eastAsia"/>
        </w:rPr>
        <w:t xml:space="preserve"> (calcium </w:t>
      </w:r>
      <w:proofErr w:type="spellStart"/>
      <w:r>
        <w:rPr>
          <w:rFonts w:ascii="Arial" w:hAnsi="Arial" w:cs="Arial" w:hint="eastAsia"/>
        </w:rPr>
        <w:t>sulfoaluminate</w:t>
      </w:r>
      <w:proofErr w:type="spellEnd"/>
      <w:r>
        <w:rPr>
          <w:rFonts w:ascii="Arial" w:hAnsi="Arial" w:cs="Arial" w:hint="eastAsia"/>
        </w:rPr>
        <w:t xml:space="preserve"> hydrate, late-stage)</w:t>
      </w:r>
    </w:p>
    <w:p w14:paraId="3B1A7BD4" w14:textId="77777777" w:rsidR="00CC3FD6" w:rsidRDefault="00FE0EB9">
      <w:pPr>
        <w:pStyle w:val="Body"/>
        <w:spacing w:after="0"/>
        <w:rPr>
          <w:rFonts w:ascii="Arial" w:hAnsi="Arial" w:cs="Arial"/>
        </w:rPr>
      </w:pPr>
      <w:r>
        <w:rPr>
          <w:rFonts w:ascii="Arial" w:hAnsi="Arial" w:cs="Arial" w:hint="eastAsia"/>
        </w:rPr>
        <w:t xml:space="preserve">GB/T – </w:t>
      </w:r>
      <w:proofErr w:type="spellStart"/>
      <w:r>
        <w:rPr>
          <w:rFonts w:ascii="Arial" w:hAnsi="Arial" w:cs="Arial" w:hint="eastAsia"/>
        </w:rPr>
        <w:t>Guobiao</w:t>
      </w:r>
      <w:proofErr w:type="spellEnd"/>
      <w:r>
        <w:rPr>
          <w:rFonts w:ascii="Arial" w:hAnsi="Arial" w:cs="Arial" w:hint="eastAsia"/>
        </w:rPr>
        <w:t>/</w:t>
      </w:r>
      <w:proofErr w:type="spellStart"/>
      <w:r>
        <w:rPr>
          <w:rFonts w:ascii="Arial" w:hAnsi="Arial" w:cs="Arial" w:hint="eastAsia"/>
        </w:rPr>
        <w:t>Tuijian</w:t>
      </w:r>
      <w:proofErr w:type="spellEnd"/>
      <w:r>
        <w:rPr>
          <w:rFonts w:ascii="Arial" w:hAnsi="Arial" w:cs="Arial" w:hint="eastAsia"/>
        </w:rPr>
        <w:t xml:space="preserve"> (Chinese nati</w:t>
      </w:r>
      <w:r>
        <w:rPr>
          <w:rFonts w:ascii="Arial" w:hAnsi="Arial" w:cs="Arial" w:hint="eastAsia"/>
        </w:rPr>
        <w:t>onal recommended standard)</w:t>
      </w:r>
    </w:p>
    <w:p w14:paraId="020D5487" w14:textId="77777777" w:rsidR="00CC3FD6" w:rsidRDefault="00CC3FD6">
      <w:pPr>
        <w:pStyle w:val="ConcHead"/>
        <w:spacing w:after="0"/>
        <w:jc w:val="both"/>
        <w:rPr>
          <w:rFonts w:ascii="Arial" w:hAnsi="Arial" w:cs="Arial"/>
        </w:rPr>
      </w:pPr>
    </w:p>
    <w:p w14:paraId="37C3C8D1" w14:textId="77777777" w:rsidR="00CC3FD6" w:rsidRDefault="00CC3FD6">
      <w:pPr>
        <w:pStyle w:val="ReferHead"/>
        <w:spacing w:after="0"/>
        <w:jc w:val="both"/>
        <w:rPr>
          <w:rFonts w:ascii="Arial" w:hAnsi="Arial" w:cs="Arial"/>
          <w:b w:val="0"/>
          <w:caps w:val="0"/>
          <w:sz w:val="20"/>
        </w:rPr>
      </w:pPr>
    </w:p>
    <w:p w14:paraId="6CFBD32A" w14:textId="77777777" w:rsidR="00CC3FD6" w:rsidRDefault="00CC3FD6">
      <w:pPr>
        <w:pStyle w:val="ReferHead"/>
        <w:spacing w:after="0"/>
        <w:jc w:val="both"/>
        <w:rPr>
          <w:rFonts w:ascii="Arial" w:hAnsi="Arial" w:cs="Arial"/>
        </w:rPr>
      </w:pPr>
    </w:p>
    <w:p w14:paraId="13E0D8EA" w14:textId="77777777" w:rsidR="00CC3FD6" w:rsidRDefault="00FE0EB9">
      <w:pPr>
        <w:pStyle w:val="ReferHead"/>
        <w:spacing w:after="0"/>
        <w:jc w:val="both"/>
        <w:rPr>
          <w:rFonts w:ascii="Arial" w:hAnsi="Arial" w:cs="Arial"/>
        </w:rPr>
      </w:pPr>
      <w:r>
        <w:rPr>
          <w:rFonts w:ascii="Arial" w:hAnsi="Arial" w:cs="Arial"/>
        </w:rPr>
        <w:t>References</w:t>
      </w:r>
    </w:p>
    <w:p w14:paraId="33EE36CA" w14:textId="77777777" w:rsidR="00CC3FD6" w:rsidRDefault="00FE0EB9">
      <w:pPr>
        <w:spacing w:after="60" w:line="360" w:lineRule="auto"/>
        <w:ind w:left="720" w:hanging="720"/>
        <w:jc w:val="both"/>
        <w:rPr>
          <w:sz w:val="24"/>
          <w:lang w:eastAsia="zh-CN" w:bidi="ar"/>
        </w:rPr>
      </w:pPr>
      <w:r>
        <w:rPr>
          <w:szCs w:val="22"/>
          <w:lang w:eastAsia="zh-CN"/>
        </w:rPr>
        <w:fldChar w:fldCharType="begin"/>
      </w:r>
      <w:r>
        <w:rPr>
          <w:rFonts w:hint="eastAsia"/>
          <w:szCs w:val="22"/>
          <w:lang w:eastAsia="zh-CN"/>
        </w:rPr>
        <w:instrText xml:space="preserve"> ADDIN EN.REFLIST </w:instrText>
      </w:r>
      <w:r>
        <w:rPr>
          <w:szCs w:val="22"/>
          <w:lang w:eastAsia="zh-CN"/>
        </w:rPr>
        <w:fldChar w:fldCharType="separate"/>
      </w:r>
      <w:r>
        <w:rPr>
          <w:sz w:val="24"/>
          <w:lang w:eastAsia="zh-CN" w:bidi="ar"/>
        </w:rPr>
        <w:t>[1] Zhang Y, Li J, Wang H. Optimization of foaming agent and foaming process for foamed red mud-based concrete[J]. Construction and Building Materials, 2023, 368: 130456.</w:t>
      </w:r>
    </w:p>
    <w:p w14:paraId="54B8BC8C" w14:textId="77777777" w:rsidR="00CC3FD6" w:rsidRDefault="00FE0EB9">
      <w:pPr>
        <w:spacing w:after="60" w:line="360" w:lineRule="auto"/>
        <w:ind w:left="720" w:hanging="720"/>
        <w:jc w:val="both"/>
        <w:rPr>
          <w:sz w:val="24"/>
          <w:lang w:eastAsia="zh-CN" w:bidi="ar"/>
        </w:rPr>
      </w:pPr>
      <w:r>
        <w:rPr>
          <w:sz w:val="24"/>
          <w:lang w:eastAsia="zh-CN" w:bidi="ar"/>
        </w:rPr>
        <w:t>[2] Chen B, Liu M, Wang Q, Wang L, Guo Q, Zhou S. Analysis of indus</w:t>
      </w:r>
      <w:r>
        <w:rPr>
          <w:sz w:val="24"/>
          <w:lang w:eastAsia="zh-CN" w:bidi="ar"/>
        </w:rPr>
        <w:t>trial solid waste and the possibility of recycling and utilization[J]. Green Chemistry Letters and Reviews, 2025, 18(1): 2493155. https://doi.org/10.1080/17518253.2025.2493155.</w:t>
      </w:r>
    </w:p>
    <w:p w14:paraId="4E26268B" w14:textId="77777777" w:rsidR="00CC3FD6" w:rsidRDefault="00FE0EB9">
      <w:pPr>
        <w:spacing w:after="60" w:line="360" w:lineRule="auto"/>
        <w:ind w:left="720" w:hanging="720"/>
        <w:jc w:val="both"/>
        <w:rPr>
          <w:sz w:val="24"/>
          <w:lang w:eastAsia="zh-CN" w:bidi="ar"/>
        </w:rPr>
      </w:pPr>
      <w:r>
        <w:rPr>
          <w:sz w:val="24"/>
          <w:lang w:eastAsia="zh-CN" w:bidi="ar"/>
        </w:rPr>
        <w:t>[3] Liu X, Wu C, Lv W, Dong E, Fu S, Zhu J, Feng Y, Wang S, Chen Y, Liu K, Yu R</w:t>
      </w:r>
      <w:r>
        <w:rPr>
          <w:sz w:val="24"/>
          <w:lang w:eastAsia="zh-CN" w:bidi="ar"/>
        </w:rPr>
        <w:t>. Stepping into the era of all-solid waste and low carbon: Phosphogypsum and other solid wastes cooperatively construct green buildings[J]. Construction and Building Materials, 2025, 486: 141926. https://doi.org/10.1016/j.conbuildmat.2025.141926.</w:t>
      </w:r>
    </w:p>
    <w:p w14:paraId="28A17A9D" w14:textId="77777777" w:rsidR="00CC3FD6" w:rsidRDefault="00FE0EB9">
      <w:pPr>
        <w:spacing w:after="60" w:line="360" w:lineRule="auto"/>
        <w:ind w:left="720" w:hanging="720"/>
        <w:jc w:val="both"/>
        <w:rPr>
          <w:sz w:val="24"/>
          <w:lang w:eastAsia="zh-CN" w:bidi="ar"/>
        </w:rPr>
      </w:pPr>
      <w:r>
        <w:rPr>
          <w:sz w:val="24"/>
          <w:lang w:eastAsia="zh-CN" w:bidi="ar"/>
        </w:rPr>
        <w:lastRenderedPageBreak/>
        <w:t>[4] Abedi</w:t>
      </w:r>
      <w:r>
        <w:rPr>
          <w:sz w:val="24"/>
          <w:lang w:eastAsia="zh-CN" w:bidi="ar"/>
        </w:rPr>
        <w:t>n T, Pasupuleti J, Paw JKS, Tak YC, Islam MR, Basher MK, Nur-E-Alam M. From waste to worth: Advances in energy recovery technologies for solid waste management[J]. Clean Technologies and Environmental Policy, 2025. https://doi.org/10.1007/s10098-025-03204-</w:t>
      </w:r>
      <w:r>
        <w:rPr>
          <w:sz w:val="24"/>
          <w:lang w:eastAsia="zh-CN" w:bidi="ar"/>
        </w:rPr>
        <w:t>x.</w:t>
      </w:r>
    </w:p>
    <w:p w14:paraId="55E9A3E3" w14:textId="77777777" w:rsidR="00CC3FD6" w:rsidRDefault="00FE0EB9">
      <w:pPr>
        <w:spacing w:after="60" w:line="360" w:lineRule="auto"/>
        <w:ind w:left="720" w:hanging="720"/>
        <w:jc w:val="both"/>
        <w:rPr>
          <w:sz w:val="24"/>
          <w:lang w:eastAsia="zh-CN" w:bidi="ar"/>
        </w:rPr>
      </w:pPr>
      <w:r>
        <w:rPr>
          <w:sz w:val="24"/>
          <w:lang w:eastAsia="zh-CN" w:bidi="ar"/>
        </w:rPr>
        <w:t>[5] Zou Q, Duan H, Yang Z, Wang X, Tian Y, Hou H, Yang J. Machine learning-assisted solid waste life-cycle management: Applications, constraints, and future opportunities[J]. Resources, Conservation and Recycling, 2025, 219: 108320. https://doi.org/10.1</w:t>
      </w:r>
      <w:r>
        <w:rPr>
          <w:sz w:val="24"/>
          <w:lang w:eastAsia="zh-CN" w:bidi="ar"/>
        </w:rPr>
        <w:t>016/j.resconrec.2025.108320.</w:t>
      </w:r>
    </w:p>
    <w:p w14:paraId="7F4126E9" w14:textId="77777777" w:rsidR="00CC3FD6" w:rsidRDefault="00FE0EB9">
      <w:pPr>
        <w:spacing w:after="60" w:line="360" w:lineRule="auto"/>
        <w:ind w:left="720" w:hanging="720"/>
        <w:jc w:val="both"/>
        <w:rPr>
          <w:sz w:val="24"/>
          <w:lang w:eastAsia="zh-CN" w:bidi="ar"/>
        </w:rPr>
      </w:pPr>
      <w:r>
        <w:rPr>
          <w:sz w:val="24"/>
          <w:lang w:eastAsia="zh-CN" w:bidi="ar"/>
        </w:rPr>
        <w:t>[6] Chen Y, Li A, Jiang S. Wettability and mechanical properties of red mud-Al composites[J]. Materials, 2024, 17(5): 1095. https://doi.org/10.3390/ma17051095.</w:t>
      </w:r>
    </w:p>
    <w:p w14:paraId="017EA49F" w14:textId="77777777" w:rsidR="00CC3FD6" w:rsidRDefault="00FE0EB9">
      <w:pPr>
        <w:spacing w:after="60" w:line="360" w:lineRule="auto"/>
        <w:ind w:left="720" w:hanging="720"/>
        <w:jc w:val="both"/>
        <w:rPr>
          <w:sz w:val="24"/>
          <w:lang w:eastAsia="zh-CN" w:bidi="ar"/>
        </w:rPr>
      </w:pPr>
      <w:r>
        <w:rPr>
          <w:sz w:val="24"/>
          <w:lang w:eastAsia="zh-CN" w:bidi="ar"/>
        </w:rPr>
        <w:t>[7] Zhang X, Liu Z, Wang F, Hu S. Staged characteristics of red mud</w:t>
      </w:r>
      <w:r>
        <w:rPr>
          <w:sz w:val="24"/>
          <w:lang w:eastAsia="zh-CN" w:bidi="ar"/>
        </w:rPr>
        <w:t xml:space="preserve"> dealkalization by CO₂ and SO₂[J]. Journal of Cleaner Production, 2023, 411: 137253. https://doi.org/10.1016/j.jclepro.2023.137253.</w:t>
      </w:r>
    </w:p>
    <w:p w14:paraId="727E117E" w14:textId="77777777" w:rsidR="00CC3FD6" w:rsidRDefault="00FE0EB9">
      <w:pPr>
        <w:spacing w:after="60" w:line="360" w:lineRule="auto"/>
        <w:ind w:left="720" w:hanging="720"/>
        <w:jc w:val="both"/>
        <w:rPr>
          <w:sz w:val="24"/>
          <w:lang w:eastAsia="zh-CN" w:bidi="ar"/>
        </w:rPr>
      </w:pPr>
      <w:r>
        <w:rPr>
          <w:sz w:val="24"/>
          <w:lang w:eastAsia="zh-CN" w:bidi="ar"/>
        </w:rPr>
        <w:t>[8] Wang S, Jin H, Deng Y, Xiao Y. Comprehensive utilization status of red mud in China: A critical review[J]. Journal of Cl</w:t>
      </w:r>
      <w:r>
        <w:rPr>
          <w:sz w:val="24"/>
          <w:lang w:eastAsia="zh-CN" w:bidi="ar"/>
        </w:rPr>
        <w:t>eaner Production, 2021, 289: 125136. https://doi.org/10.1016/j.jclepro.2020.125136.</w:t>
      </w:r>
    </w:p>
    <w:p w14:paraId="697215A5" w14:textId="77777777" w:rsidR="00CC3FD6" w:rsidRDefault="00FE0EB9">
      <w:pPr>
        <w:spacing w:after="60" w:line="360" w:lineRule="auto"/>
        <w:ind w:left="720" w:hanging="720"/>
        <w:jc w:val="both"/>
        <w:rPr>
          <w:sz w:val="24"/>
          <w:lang w:eastAsia="zh-CN" w:bidi="ar"/>
        </w:rPr>
      </w:pPr>
      <w:r>
        <w:rPr>
          <w:sz w:val="24"/>
          <w:lang w:eastAsia="zh-CN" w:bidi="ar"/>
        </w:rPr>
        <w:t>[9] Li X, Zhang T, Lv G, Wang K, Wang S. Summary of research progress on metallurgical utilization technology of red mud[J]. Minerals, 2023, 13(6): 737. https://doi.org/10.</w:t>
      </w:r>
      <w:r>
        <w:rPr>
          <w:sz w:val="24"/>
          <w:lang w:eastAsia="zh-CN" w:bidi="ar"/>
        </w:rPr>
        <w:t>3390/min13060737.</w:t>
      </w:r>
    </w:p>
    <w:p w14:paraId="58B53E85" w14:textId="77777777" w:rsidR="00CC3FD6" w:rsidRDefault="00FE0EB9">
      <w:pPr>
        <w:spacing w:after="60" w:line="360" w:lineRule="auto"/>
        <w:ind w:left="720" w:hanging="720"/>
        <w:jc w:val="both"/>
        <w:rPr>
          <w:sz w:val="24"/>
          <w:lang w:eastAsia="zh-CN" w:bidi="ar"/>
        </w:rPr>
      </w:pPr>
      <w:r>
        <w:rPr>
          <w:sz w:val="24"/>
          <w:lang w:eastAsia="zh-CN" w:bidi="ar"/>
        </w:rPr>
        <w:t>[10] Danish A, Torres AS. Ash to asset: Evaluating the efficacy of reclaimed fly ash in geopolymer production[J]. Journal of Cleaner Production, 2025, 503: 145326. https://doi.org/10.1016/j.jclepro.2025.145326.</w:t>
      </w:r>
    </w:p>
    <w:p w14:paraId="3C2C5D84" w14:textId="77777777" w:rsidR="00CC3FD6" w:rsidRDefault="00FE0EB9">
      <w:pPr>
        <w:spacing w:after="60" w:line="360" w:lineRule="auto"/>
        <w:ind w:left="720" w:hanging="720"/>
        <w:jc w:val="both"/>
        <w:rPr>
          <w:sz w:val="24"/>
          <w:lang w:eastAsia="zh-CN" w:bidi="ar"/>
        </w:rPr>
      </w:pPr>
      <w:r>
        <w:rPr>
          <w:sz w:val="24"/>
          <w:lang w:eastAsia="zh-CN" w:bidi="ar"/>
        </w:rPr>
        <w:t>[11] Wu J, Qi F, Zhang J, C</w:t>
      </w:r>
      <w:r>
        <w:rPr>
          <w:sz w:val="24"/>
          <w:lang w:eastAsia="zh-CN" w:bidi="ar"/>
        </w:rPr>
        <w:t>hen Z, Wang H, Liu Q. Modeling of effect of fly ash amount on microstructure and chloride diffusivity of blended fly ash-cement systems[J]. Construction and Building Materials, 2024, 443: 137711. https://doi.org/10.1016/j.conbuildmat.2024.137711.</w:t>
      </w:r>
    </w:p>
    <w:p w14:paraId="0D0C6BB2" w14:textId="77777777" w:rsidR="00CC3FD6" w:rsidRDefault="00FE0EB9">
      <w:pPr>
        <w:spacing w:after="60" w:line="360" w:lineRule="auto"/>
        <w:ind w:left="720" w:hanging="720"/>
        <w:jc w:val="both"/>
        <w:rPr>
          <w:sz w:val="24"/>
          <w:lang w:eastAsia="zh-CN" w:bidi="ar"/>
        </w:rPr>
      </w:pPr>
      <w:r>
        <w:rPr>
          <w:sz w:val="24"/>
          <w:lang w:eastAsia="zh-CN" w:bidi="ar"/>
        </w:rPr>
        <w:t xml:space="preserve">[12] Yao </w:t>
      </w:r>
      <w:r>
        <w:rPr>
          <w:sz w:val="24"/>
          <w:lang w:eastAsia="zh-CN" w:bidi="ar"/>
        </w:rPr>
        <w:t>Z, Wang Y, Shen J, Niu Y, Yang JF, Wei X. Synergistic CO₂ mineralization using coal fly ash and red mud as a composite system[J]. International Journal of Coal Science and Technology, 2024, 11(1): 37. https://doi.org/10.1007/s40789-024-00672-2.</w:t>
      </w:r>
    </w:p>
    <w:p w14:paraId="308C3DDE" w14:textId="77777777" w:rsidR="00CC3FD6" w:rsidRDefault="00FE0EB9">
      <w:pPr>
        <w:spacing w:after="60" w:line="360" w:lineRule="auto"/>
        <w:ind w:left="720" w:hanging="720"/>
        <w:jc w:val="both"/>
        <w:rPr>
          <w:sz w:val="24"/>
          <w:lang w:eastAsia="zh-CN" w:bidi="ar"/>
        </w:rPr>
      </w:pPr>
      <w:r>
        <w:rPr>
          <w:sz w:val="24"/>
          <w:lang w:eastAsia="zh-CN" w:bidi="ar"/>
        </w:rPr>
        <w:t xml:space="preserve">[13] Li Y, </w:t>
      </w:r>
      <w:r>
        <w:rPr>
          <w:sz w:val="24"/>
          <w:lang w:eastAsia="zh-CN" w:bidi="ar"/>
        </w:rPr>
        <w:t>Luo Y, Zhou H, Zhong X, Zhou Z, Li J, Hou H. Preparation of environmental-friendly cementitious material from red mud and waste glass sludge by mechanical activation[J]. Construction and Building Materials, 2024, 423: 135861. https://doi.org/10.1016/j.conb</w:t>
      </w:r>
      <w:r>
        <w:rPr>
          <w:sz w:val="24"/>
          <w:lang w:eastAsia="zh-CN" w:bidi="ar"/>
        </w:rPr>
        <w:t>uildmat.2024.135861.</w:t>
      </w:r>
    </w:p>
    <w:p w14:paraId="0F2E3BF4" w14:textId="77777777" w:rsidR="00CC3FD6" w:rsidRDefault="00FE0EB9">
      <w:pPr>
        <w:spacing w:after="60" w:line="360" w:lineRule="auto"/>
        <w:ind w:left="720" w:hanging="720"/>
        <w:jc w:val="both"/>
        <w:rPr>
          <w:sz w:val="24"/>
          <w:lang w:eastAsia="zh-CN" w:bidi="ar"/>
        </w:rPr>
      </w:pPr>
      <w:r>
        <w:rPr>
          <w:sz w:val="24"/>
          <w:lang w:eastAsia="zh-CN" w:bidi="ar"/>
        </w:rPr>
        <w:t xml:space="preserve">[14] Li Y, Min X, Ke Y, Chai L, Shi M, Tang C, Wang Q, Liang Y, Lei J, Liu D. Utilization of red mud and Pb/Zn smelter waste for the synthesis of a red mud-based cementitious material[J]. </w:t>
      </w:r>
      <w:r>
        <w:rPr>
          <w:sz w:val="24"/>
          <w:lang w:eastAsia="zh-CN" w:bidi="ar"/>
        </w:rPr>
        <w:lastRenderedPageBreak/>
        <w:t>Journal of Hazardous Materials, 2018, 344: 343–</w:t>
      </w:r>
      <w:r>
        <w:rPr>
          <w:sz w:val="24"/>
          <w:lang w:eastAsia="zh-CN" w:bidi="ar"/>
        </w:rPr>
        <w:t>349. https://doi.org/10.1016/j.jhazmat.2017.10.046.</w:t>
      </w:r>
    </w:p>
    <w:p w14:paraId="7BBEABFF" w14:textId="77777777" w:rsidR="00CC3FD6" w:rsidRDefault="00FE0EB9">
      <w:pPr>
        <w:spacing w:after="60" w:line="360" w:lineRule="auto"/>
        <w:ind w:left="720" w:hanging="720"/>
        <w:jc w:val="both"/>
        <w:rPr>
          <w:sz w:val="24"/>
          <w:lang w:eastAsia="zh-CN" w:bidi="ar"/>
        </w:rPr>
      </w:pPr>
      <w:r>
        <w:rPr>
          <w:sz w:val="24"/>
          <w:lang w:eastAsia="zh-CN" w:bidi="ar"/>
        </w:rPr>
        <w:t>[15] Singh V, Bano S, Chauhan VB, Pal P, Kumar A, Srivastava JB. Red mud as a sustainable road construction material: An experimental investigation[J]. Construction and Building Materials, 2024, 411: 1345</w:t>
      </w:r>
      <w:r>
        <w:rPr>
          <w:sz w:val="24"/>
          <w:lang w:eastAsia="zh-CN" w:bidi="ar"/>
        </w:rPr>
        <w:t>49. https://doi.org/10.1016/j.conbuildmat.2023.134549.</w:t>
      </w:r>
    </w:p>
    <w:p w14:paraId="5CD943DB" w14:textId="77777777" w:rsidR="00CC3FD6" w:rsidRDefault="00FE0EB9">
      <w:pPr>
        <w:spacing w:after="60" w:line="360" w:lineRule="auto"/>
        <w:ind w:left="720" w:hanging="720"/>
        <w:jc w:val="both"/>
        <w:rPr>
          <w:sz w:val="24"/>
          <w:lang w:eastAsia="zh-CN" w:bidi="ar"/>
        </w:rPr>
      </w:pPr>
      <w:r>
        <w:rPr>
          <w:sz w:val="24"/>
          <w:lang w:eastAsia="zh-CN" w:bidi="ar"/>
        </w:rPr>
        <w:t xml:space="preserve">[16] Radko T, Wajda A, Iluk T, Najser J. Investigation on the correlation between mechanical strength, grain size, and density of fly ash microspheres in the context of refining process[J]. Materials, </w:t>
      </w:r>
      <w:r>
        <w:rPr>
          <w:sz w:val="24"/>
          <w:lang w:eastAsia="zh-CN" w:bidi="ar"/>
        </w:rPr>
        <w:t>2024, 17(14): 3459. https://doi.org/10.3390/ma17143459.</w:t>
      </w:r>
    </w:p>
    <w:p w14:paraId="160D09E5" w14:textId="77777777" w:rsidR="00CC3FD6" w:rsidRDefault="00FE0EB9">
      <w:pPr>
        <w:spacing w:after="60" w:line="360" w:lineRule="auto"/>
        <w:ind w:left="720" w:hanging="720"/>
        <w:jc w:val="both"/>
        <w:rPr>
          <w:sz w:val="24"/>
          <w:lang w:eastAsia="zh-CN" w:bidi="ar"/>
        </w:rPr>
      </w:pPr>
      <w:r>
        <w:rPr>
          <w:sz w:val="24"/>
          <w:lang w:eastAsia="zh-CN" w:bidi="ar"/>
        </w:rPr>
        <w:t>[17] Yamamoto T. Formulation optimization and proposal of assessed pozzolanic-activity index (API) method for rapid evaluation of pozzolanic activity of fly ash[J]. Construction and Building Materials</w:t>
      </w:r>
      <w:r>
        <w:rPr>
          <w:sz w:val="24"/>
          <w:lang w:eastAsia="zh-CN" w:bidi="ar"/>
        </w:rPr>
        <w:t>, 2024, 432: 136394. https://doi.org/10.1016/j.conbuildmat.2024.136394.</w:t>
      </w:r>
    </w:p>
    <w:p w14:paraId="0D4147CC" w14:textId="77777777" w:rsidR="00CC3FD6" w:rsidRDefault="00FE0EB9">
      <w:pPr>
        <w:spacing w:after="60" w:line="360" w:lineRule="auto"/>
        <w:ind w:left="720" w:hanging="720"/>
        <w:jc w:val="both"/>
        <w:rPr>
          <w:sz w:val="24"/>
          <w:lang w:eastAsia="zh-CN" w:bidi="ar"/>
        </w:rPr>
      </w:pPr>
      <w:r>
        <w:rPr>
          <w:sz w:val="24"/>
          <w:lang w:eastAsia="zh-CN" w:bidi="ar"/>
        </w:rPr>
        <w:t>[18] Liu J, Doh J, Ong DEL, Dinh HL, Podolsky Z, Zi G. Investigation on red mud and fly ash-based geopolymer: Quantification of reactive aluminosilicate and derivation of effective Si/</w:t>
      </w:r>
      <w:r>
        <w:rPr>
          <w:sz w:val="24"/>
          <w:lang w:eastAsia="zh-CN" w:bidi="ar"/>
        </w:rPr>
        <w:t>Al molar ratio[J]. Journal of Building Engineering, 2023, 71: 106559. https://doi.org/10.1016/j.jobe.2023.106559.</w:t>
      </w:r>
    </w:p>
    <w:p w14:paraId="1C6C1A07" w14:textId="77777777" w:rsidR="00CC3FD6" w:rsidRDefault="00FE0EB9">
      <w:pPr>
        <w:spacing w:after="60" w:line="360" w:lineRule="auto"/>
        <w:ind w:left="720" w:hanging="720"/>
        <w:jc w:val="both"/>
        <w:rPr>
          <w:sz w:val="24"/>
          <w:lang w:eastAsia="zh-CN" w:bidi="ar"/>
        </w:rPr>
      </w:pPr>
      <w:r>
        <w:rPr>
          <w:sz w:val="24"/>
          <w:lang w:eastAsia="zh-CN" w:bidi="ar"/>
        </w:rPr>
        <w:t>[19] He J, Guo T, Li Z, Gao Y, Zhang J. Hydration mechanism of red mud-fly ash based geopolymer[J]. Materials Chemistry and Physics, 2024, 314</w:t>
      </w:r>
      <w:r>
        <w:rPr>
          <w:sz w:val="24"/>
          <w:lang w:eastAsia="zh-CN" w:bidi="ar"/>
        </w:rPr>
        <w:t>: 128807. https://doi.org/10.1016/j.matchemphys.2023.128807.</w:t>
      </w:r>
    </w:p>
    <w:p w14:paraId="7A2F4BDE" w14:textId="77777777" w:rsidR="00CC3FD6" w:rsidRDefault="00FE0EB9">
      <w:pPr>
        <w:spacing w:after="60" w:line="360" w:lineRule="auto"/>
        <w:ind w:left="720" w:hanging="720"/>
        <w:jc w:val="both"/>
        <w:rPr>
          <w:sz w:val="24"/>
          <w:lang w:eastAsia="zh-CN" w:bidi="ar"/>
        </w:rPr>
      </w:pPr>
      <w:r>
        <w:rPr>
          <w:sz w:val="24"/>
          <w:lang w:eastAsia="zh-CN" w:bidi="ar"/>
        </w:rPr>
        <w:t xml:space="preserve">[20] Zhao Y, Ding X, Zhou Y, Qian H, Deng X, Ran S. Influence of the foaming process on the pore structure and properties of fly ash-based foamed ceramics[J]. Ceramics International, 2025, </w:t>
      </w:r>
      <w:r>
        <w:rPr>
          <w:sz w:val="24"/>
          <w:lang w:eastAsia="zh-CN" w:bidi="ar"/>
        </w:rPr>
        <w:t>51(11): 14398–14407. https://doi.org/10.1016/j.ceramint.2025.01.276.</w:t>
      </w:r>
    </w:p>
    <w:p w14:paraId="037E6EE0" w14:textId="77777777" w:rsidR="00CC3FD6" w:rsidRDefault="00FE0EB9">
      <w:pPr>
        <w:spacing w:after="60" w:line="360" w:lineRule="auto"/>
        <w:ind w:left="720" w:hanging="720"/>
        <w:jc w:val="both"/>
        <w:rPr>
          <w:sz w:val="24"/>
          <w:lang w:eastAsia="zh-CN" w:bidi="ar"/>
        </w:rPr>
      </w:pPr>
      <w:r>
        <w:rPr>
          <w:sz w:val="24"/>
          <w:lang w:eastAsia="zh-CN" w:bidi="ar"/>
        </w:rPr>
        <w:t>[21] Özcan M, Birol B, Dülger Kutlu Ö, Kaya F. Photocatalytic properties of ZnO nanoparticle coating on porous ceramic substrates with varying porosities produced from fly ash and red mud</w:t>
      </w:r>
      <w:r>
        <w:rPr>
          <w:sz w:val="24"/>
          <w:lang w:eastAsia="zh-CN" w:bidi="ar"/>
        </w:rPr>
        <w:t>[J]. International Journal of Applied Ceramic Technology, 2024, 21(3): 1995–2009. https://doi.org/10.1111/ijac.14635.</w:t>
      </w:r>
    </w:p>
    <w:p w14:paraId="24703828" w14:textId="77777777" w:rsidR="00CC3FD6" w:rsidRDefault="00FE0EB9">
      <w:pPr>
        <w:spacing w:after="60" w:line="360" w:lineRule="auto"/>
        <w:ind w:left="720" w:hanging="720"/>
        <w:jc w:val="both"/>
        <w:rPr>
          <w:sz w:val="24"/>
          <w:lang w:eastAsia="zh-CN" w:bidi="ar"/>
        </w:rPr>
      </w:pPr>
      <w:r>
        <w:rPr>
          <w:sz w:val="24"/>
          <w:lang w:eastAsia="zh-CN" w:bidi="ar"/>
        </w:rPr>
        <w:t>[22] Mi H, Yi L, Wu Q, Xia J, Zhang B. Preparation of high-strength ceramsite from red mud, fly ash, and bentonite[J]. Ceramics Internatio</w:t>
      </w:r>
      <w:r>
        <w:rPr>
          <w:sz w:val="24"/>
          <w:lang w:eastAsia="zh-CN" w:bidi="ar"/>
        </w:rPr>
        <w:t>nal, 2021, 47(13): 18218–18229. https://doi.org/10.1016/j.ceramint.2021.03.141.</w:t>
      </w:r>
    </w:p>
    <w:p w14:paraId="00271387" w14:textId="77777777" w:rsidR="00CC3FD6" w:rsidRDefault="00FE0EB9">
      <w:pPr>
        <w:spacing w:after="60" w:line="360" w:lineRule="auto"/>
        <w:ind w:left="720" w:hanging="720"/>
        <w:jc w:val="both"/>
        <w:rPr>
          <w:sz w:val="24"/>
          <w:lang w:eastAsia="zh-CN" w:bidi="ar"/>
        </w:rPr>
      </w:pPr>
      <w:r>
        <w:rPr>
          <w:sz w:val="24"/>
          <w:lang w:eastAsia="zh-CN" w:bidi="ar"/>
        </w:rPr>
        <w:t>[23] Shi Y, Guo W, Jia Y, Xue C, Qiu Y, Zhao Q, Wang D. Preparation of non-sintered lightweight aggregate ceramsite based on red mud-carbide slag-fly ash: Strength and curing m</w:t>
      </w:r>
      <w:r>
        <w:rPr>
          <w:sz w:val="24"/>
          <w:lang w:eastAsia="zh-CN" w:bidi="ar"/>
        </w:rPr>
        <w:t>ethod optimization[J]. Journal of Cleaner Production, 2022, 372: 133788. https://doi.org/10.1016/j.jclepro.2022.133788.</w:t>
      </w:r>
    </w:p>
    <w:p w14:paraId="7624CFF9" w14:textId="77777777" w:rsidR="00CC3FD6" w:rsidRDefault="00FE0EB9">
      <w:pPr>
        <w:spacing w:after="60" w:line="360" w:lineRule="auto"/>
        <w:ind w:left="720" w:hanging="720"/>
        <w:jc w:val="both"/>
        <w:rPr>
          <w:sz w:val="24"/>
          <w:lang w:eastAsia="zh-CN" w:bidi="ar"/>
        </w:rPr>
      </w:pPr>
      <w:r>
        <w:rPr>
          <w:sz w:val="24"/>
          <w:lang w:eastAsia="zh-CN" w:bidi="ar"/>
        </w:rPr>
        <w:lastRenderedPageBreak/>
        <w:t>[24] Wang C, Chen S, Wen B, Zhang Y, Wu K. Red mud modified fly ash based road base materials: Mix design, hydration mechanism, and heav</w:t>
      </w:r>
      <w:r>
        <w:rPr>
          <w:sz w:val="24"/>
          <w:lang w:eastAsia="zh-CN" w:bidi="ar"/>
        </w:rPr>
        <w:t>y metal migration behavior[J]. Construction and Building Materials, 2025, 467: 140410. https://doi.org/10.1016/j.conbuildmat.2025.140410.</w:t>
      </w:r>
    </w:p>
    <w:p w14:paraId="7D4B6A8E" w14:textId="77777777" w:rsidR="00CC3FD6" w:rsidRDefault="00FE0EB9">
      <w:pPr>
        <w:spacing w:after="60" w:line="360" w:lineRule="auto"/>
        <w:ind w:left="720" w:hanging="720"/>
        <w:jc w:val="both"/>
        <w:rPr>
          <w:sz w:val="24"/>
          <w:lang w:eastAsia="zh-CN" w:bidi="ar"/>
        </w:rPr>
      </w:pPr>
      <w:r>
        <w:rPr>
          <w:sz w:val="24"/>
          <w:lang w:eastAsia="zh-CN" w:bidi="ar"/>
        </w:rPr>
        <w:t>[25] Soğancı AS, Yenginar Y, Özkan İ, Güzel Y, Özdemir A. Waste management of red mud and fly ash to utilize in road s</w:t>
      </w:r>
      <w:r>
        <w:rPr>
          <w:sz w:val="24"/>
          <w:lang w:eastAsia="zh-CN" w:bidi="ar"/>
        </w:rPr>
        <w:t>ubgrade material[J]. Sustainability, 2024, 16(7): 2987. https://doi.org/10.3390/su16072987.</w:t>
      </w:r>
    </w:p>
    <w:p w14:paraId="5143D5C7" w14:textId="77777777" w:rsidR="00CC3FD6" w:rsidRDefault="00FE0EB9">
      <w:pPr>
        <w:spacing w:after="60" w:line="360" w:lineRule="auto"/>
        <w:ind w:left="720" w:hanging="720"/>
        <w:jc w:val="both"/>
        <w:rPr>
          <w:sz w:val="24"/>
          <w:lang w:eastAsia="zh-CN" w:bidi="ar"/>
        </w:rPr>
      </w:pPr>
      <w:r>
        <w:rPr>
          <w:sz w:val="24"/>
          <w:lang w:eastAsia="zh-CN" w:bidi="ar"/>
        </w:rPr>
        <w:t>[26] Wu C, Zhan B, Tang W, Kou S. Synergistic reuse of red mud and circulating fluidised bed fly ash in self-compacting recycled concrete[J]. Construction and Build</w:t>
      </w:r>
      <w:r>
        <w:rPr>
          <w:sz w:val="24"/>
          <w:lang w:eastAsia="zh-CN" w:bidi="ar"/>
        </w:rPr>
        <w:t>ing Materials, 2025, 489: 140533. https://doi.org/10.1016/j.conbuildmat.2025.140533.</w:t>
      </w:r>
    </w:p>
    <w:p w14:paraId="326D0770" w14:textId="77777777" w:rsidR="00CC3FD6" w:rsidRDefault="00FE0EB9">
      <w:pPr>
        <w:spacing w:after="60" w:line="360" w:lineRule="auto"/>
        <w:ind w:left="720" w:hanging="720"/>
        <w:jc w:val="both"/>
        <w:rPr>
          <w:sz w:val="24"/>
          <w:lang w:eastAsia="zh-CN" w:bidi="ar"/>
        </w:rPr>
      </w:pPr>
      <w:r>
        <w:rPr>
          <w:sz w:val="24"/>
          <w:lang w:eastAsia="zh-CN" w:bidi="ar"/>
        </w:rPr>
        <w:t>[27] Palaniappan SM, Govindasamy V, Jabar AB. Experimental investigation on flexural performance of functionally graded concrete beams using fly ash and red mud[J]. Matéri</w:t>
      </w:r>
      <w:r>
        <w:rPr>
          <w:sz w:val="24"/>
          <w:lang w:eastAsia="zh-CN" w:bidi="ar"/>
        </w:rPr>
        <w:t>a (Rio de Janeiro), 2021, 26(1): e12913. https://doi.org/10.1590/S1517-707620210001.1213.</w:t>
      </w:r>
    </w:p>
    <w:p w14:paraId="1BC32CDB" w14:textId="77777777" w:rsidR="00CC3FD6" w:rsidRDefault="00FE0EB9">
      <w:pPr>
        <w:spacing w:after="60" w:line="360" w:lineRule="auto"/>
        <w:ind w:left="720" w:hanging="720"/>
        <w:jc w:val="both"/>
        <w:rPr>
          <w:sz w:val="24"/>
          <w:lang w:eastAsia="zh-CN" w:bidi="ar"/>
        </w:rPr>
      </w:pPr>
      <w:r>
        <w:rPr>
          <w:sz w:val="24"/>
          <w:lang w:eastAsia="zh-CN" w:bidi="ar"/>
        </w:rPr>
        <w:t>[28] Kim SY, Jun Y, Jeon D, Oh JE. Synthesis of structural binder for red brick production based on red mud and fly ash activated using Ca(OH)₂ and Na₂CO₃[J]. Constru</w:t>
      </w:r>
      <w:r>
        <w:rPr>
          <w:sz w:val="24"/>
          <w:lang w:eastAsia="zh-CN" w:bidi="ar"/>
        </w:rPr>
        <w:t>ction and Building Materials, 2017, 147: 101–116. https://doi.org/10.1016/j.conbuildmat.2017.04.171.</w:t>
      </w:r>
    </w:p>
    <w:p w14:paraId="299C86E1" w14:textId="77777777" w:rsidR="00CC3FD6" w:rsidRDefault="00FE0EB9">
      <w:pPr>
        <w:spacing w:after="60" w:line="360" w:lineRule="auto"/>
        <w:ind w:left="720" w:hanging="720"/>
        <w:jc w:val="both"/>
        <w:rPr>
          <w:sz w:val="24"/>
          <w:lang w:eastAsia="zh-CN" w:bidi="ar"/>
        </w:rPr>
      </w:pPr>
      <w:r>
        <w:rPr>
          <w:sz w:val="24"/>
          <w:lang w:eastAsia="zh-CN" w:bidi="ar"/>
        </w:rPr>
        <w:t>[29] Xu Y, Yang B, Liu X, Gao S, Li D, Mukiza E, Li H. Investigation of the medium calcium based non-burnt brick made by red mud and fly ash: Durability an</w:t>
      </w:r>
      <w:r>
        <w:rPr>
          <w:sz w:val="24"/>
          <w:lang w:eastAsia="zh-CN" w:bidi="ar"/>
        </w:rPr>
        <w:t>d hydration characteristics[J]. International Journal of Minerals, Metallurgy and Materials, 2019, 26(8): 983–991. https://doi.org/10.1007/s12613-019-1814-9.</w:t>
      </w:r>
    </w:p>
    <w:p w14:paraId="74EF3DDA" w14:textId="77777777" w:rsidR="00CC3FD6" w:rsidRDefault="00FE0EB9">
      <w:pPr>
        <w:spacing w:after="60" w:line="360" w:lineRule="auto"/>
        <w:ind w:left="720" w:hanging="720"/>
        <w:jc w:val="both"/>
        <w:rPr>
          <w:sz w:val="24"/>
          <w:lang w:eastAsia="zh-CN" w:bidi="ar"/>
        </w:rPr>
      </w:pPr>
      <w:r>
        <w:rPr>
          <w:sz w:val="24"/>
          <w:lang w:eastAsia="zh-CN" w:bidi="ar"/>
        </w:rPr>
        <w:t>[30] Qi X, Bao Y, Wang W, Zhang S, Wu Y, Jia Z, Guo S. Superior performance foamed concrete fabric</w:t>
      </w:r>
      <w:r>
        <w:rPr>
          <w:sz w:val="24"/>
          <w:lang w:eastAsia="zh-CN" w:bidi="ar"/>
        </w:rPr>
        <w:t>ated with amphiphilic and hydrophilic particles stabilized ultra-stable foam[J]. Cement and Concrete Composites, 2024, 152: 105613. https://doi.org/10.1016/j.cemconcomp.2024.105613</w:t>
      </w:r>
    </w:p>
    <w:p w14:paraId="1924C56A" w14:textId="77777777" w:rsidR="00CC3FD6" w:rsidRDefault="00CC3FD6">
      <w:pPr>
        <w:pStyle w:val="EndNoteBibliography"/>
        <w:ind w:left="720" w:hanging="720"/>
        <w:rPr>
          <w:rFonts w:eastAsiaTheme="minorEastAsia"/>
          <w:kern w:val="2"/>
          <w:szCs w:val="24"/>
          <w:lang w:val="en-US" w:eastAsia="zh-CN"/>
        </w:rPr>
      </w:pPr>
    </w:p>
    <w:p w14:paraId="32B638AB" w14:textId="77777777" w:rsidR="00CC3FD6" w:rsidRDefault="00CC3FD6">
      <w:pPr>
        <w:pStyle w:val="EndNoteBibliography"/>
        <w:ind w:left="720" w:hanging="720"/>
        <w:rPr>
          <w:rFonts w:eastAsiaTheme="minorEastAsia"/>
          <w:kern w:val="2"/>
          <w:szCs w:val="24"/>
          <w:lang w:val="en-US" w:eastAsia="zh-CN"/>
        </w:rPr>
      </w:pPr>
    </w:p>
    <w:p w14:paraId="13A8C4B3" w14:textId="77777777" w:rsidR="00CC3FD6" w:rsidRDefault="00CC3FD6">
      <w:pPr>
        <w:pStyle w:val="EndNoteBibliography"/>
        <w:ind w:left="720" w:hanging="720"/>
        <w:rPr>
          <w:rFonts w:eastAsiaTheme="minorEastAsia"/>
          <w:kern w:val="2"/>
          <w:szCs w:val="24"/>
          <w:lang w:val="en-US" w:eastAsia="zh-CN"/>
        </w:rPr>
      </w:pPr>
    </w:p>
    <w:p w14:paraId="4C8ED2EE" w14:textId="77777777" w:rsidR="00CC3FD6" w:rsidRDefault="00CC3FD6">
      <w:pPr>
        <w:pStyle w:val="EndNoteBibliography"/>
        <w:ind w:left="720" w:hanging="720"/>
        <w:rPr>
          <w:rFonts w:eastAsiaTheme="minorEastAsia"/>
          <w:kern w:val="2"/>
          <w:szCs w:val="24"/>
          <w:lang w:val="en-US" w:eastAsia="zh-CN"/>
        </w:rPr>
      </w:pPr>
    </w:p>
    <w:p w14:paraId="1E3ECE61" w14:textId="77777777" w:rsidR="00CC3FD6" w:rsidRDefault="00FE0EB9">
      <w:pPr>
        <w:pStyle w:val="EndNoteBibliography"/>
        <w:ind w:left="720" w:hanging="720"/>
        <w:rPr>
          <w:rFonts w:ascii="Times New Roman" w:hAnsi="Times New Roman"/>
          <w:sz w:val="21"/>
          <w:lang w:eastAsia="zh-CN"/>
        </w:rPr>
      </w:pPr>
      <w:r>
        <w:fldChar w:fldCharType="end"/>
      </w:r>
    </w:p>
    <w:p w14:paraId="6A801183" w14:textId="77777777" w:rsidR="00CC3FD6" w:rsidRDefault="00CC3FD6">
      <w:pPr>
        <w:pStyle w:val="Appendix"/>
        <w:spacing w:after="0"/>
        <w:jc w:val="both"/>
        <w:rPr>
          <w:rFonts w:ascii="Arial" w:hAnsi="Arial" w:cs="Arial"/>
          <w:b w:val="0"/>
        </w:rPr>
      </w:pPr>
    </w:p>
    <w:sectPr w:rsidR="00CC3FD6" w:rsidSect="004E13A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1E8D9" w14:textId="77777777" w:rsidR="00FE0EB9" w:rsidRDefault="00FE0EB9">
      <w:r>
        <w:separator/>
      </w:r>
    </w:p>
  </w:endnote>
  <w:endnote w:type="continuationSeparator" w:id="0">
    <w:p w14:paraId="13FBAB30" w14:textId="77777777" w:rsidR="00FE0EB9" w:rsidRDefault="00FE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D2B7" w14:textId="77777777" w:rsidR="00E74242" w:rsidRDefault="00E7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6A6E" w14:textId="77777777" w:rsidR="00E74242" w:rsidRDefault="00E74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0676" w14:textId="77777777" w:rsidR="00CC3FD6" w:rsidRDefault="00CC3FD6">
    <w:pPr>
      <w:pStyle w:val="Footer"/>
      <w:rPr>
        <w:rFonts w:ascii="Arial" w:hAnsi="Arial" w:cs="Arial"/>
        <w:sz w:val="16"/>
      </w:rPr>
    </w:pPr>
  </w:p>
  <w:p w14:paraId="35ABB1FD" w14:textId="77777777" w:rsidR="00CC3FD6" w:rsidRDefault="00FE0EB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D7F793" w14:textId="77777777" w:rsidR="00CC3FD6" w:rsidRDefault="00CC3FD6">
    <w:pPr>
      <w:pStyle w:val="Footer"/>
      <w:rPr>
        <w:rFonts w:ascii="Arial" w:hAnsi="Arial" w:cs="Arial"/>
        <w:sz w:val="16"/>
      </w:rPr>
    </w:pPr>
  </w:p>
  <w:p w14:paraId="764192DF" w14:textId="230B8EB9" w:rsidR="00CC3FD6" w:rsidRDefault="00FE0EB9">
    <w:pPr>
      <w:pStyle w:val="Footer"/>
      <w:rPr>
        <w:rFonts w:ascii="Arial" w:hAnsi="Arial" w:cs="Arial"/>
        <w:i/>
        <w:sz w:val="16"/>
      </w:rPr>
    </w:pPr>
    <w:r>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4B4D" w14:textId="77777777" w:rsidR="00CC3FD6" w:rsidRDefault="00CC3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B006" w14:textId="77777777" w:rsidR="00FE0EB9" w:rsidRDefault="00FE0EB9">
      <w:r>
        <w:separator/>
      </w:r>
    </w:p>
  </w:footnote>
  <w:footnote w:type="continuationSeparator" w:id="0">
    <w:p w14:paraId="6A9EA5E3" w14:textId="77777777" w:rsidR="00FE0EB9" w:rsidRDefault="00FE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BB69" w14:textId="23393686" w:rsidR="00E74242" w:rsidRDefault="00E74242">
    <w:pPr>
      <w:pStyle w:val="Header"/>
    </w:pPr>
    <w:r>
      <w:rPr>
        <w:noProof/>
      </w:rPr>
      <w:pict w14:anchorId="559DD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48E8" w14:textId="36D3C394" w:rsidR="00E74242" w:rsidRDefault="00E74242">
    <w:pPr>
      <w:pStyle w:val="Header"/>
    </w:pPr>
    <w:r>
      <w:rPr>
        <w:noProof/>
      </w:rPr>
      <w:pict w14:anchorId="6CC0A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6EA9" w14:textId="09CC0D3E" w:rsidR="00CC3FD6" w:rsidRDefault="00E74242">
    <w:pPr>
      <w:ind w:left="2160"/>
      <w:jc w:val="center"/>
      <w:rPr>
        <w:rFonts w:ascii="Times New Roman" w:eastAsia="Calibri" w:hAnsi="Times New Roman"/>
        <w:i/>
        <w:sz w:val="18"/>
        <w:szCs w:val="22"/>
      </w:rPr>
    </w:pPr>
    <w:r>
      <w:rPr>
        <w:noProof/>
      </w:rPr>
      <w:pict w14:anchorId="20E19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1C1C43" w14:textId="77777777" w:rsidR="00CC3FD6" w:rsidRDefault="00FE0EB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8753280" w14:textId="77777777" w:rsidR="00CC3FD6" w:rsidRDefault="00FE0EB9">
    <w:pPr>
      <w:jc w:val="center"/>
      <w:rPr>
        <w:rFonts w:ascii="Times New Roman" w:eastAsia="Calibri" w:hAnsi="Times New Roman"/>
        <w:i/>
        <w:sz w:val="18"/>
        <w:szCs w:val="22"/>
      </w:rPr>
    </w:pPr>
    <w:r>
      <w:rPr>
        <w:rFonts w:ascii="Times New Roman" w:eastAsia="Calibri" w:hAnsi="Times New Roman"/>
        <w:i/>
        <w:sz w:val="18"/>
        <w:szCs w:val="22"/>
      </w:rPr>
      <w:t>.</w:t>
    </w:r>
  </w:p>
  <w:p w14:paraId="631F0B3A" w14:textId="77777777" w:rsidR="00CC3FD6" w:rsidRDefault="00FE0EB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8FE88C9" w14:textId="77777777" w:rsidR="00CC3FD6" w:rsidRDefault="00FE0EB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D26342" w14:textId="77777777" w:rsidR="00CC3FD6" w:rsidRDefault="00FE0EB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36A574" w14:textId="77777777" w:rsidR="00CC3FD6" w:rsidRDefault="00FE0EB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7D96" w14:textId="01D42B76" w:rsidR="00E74242" w:rsidRDefault="00E74242">
    <w:pPr>
      <w:pStyle w:val="Header"/>
    </w:pPr>
    <w:r>
      <w:rPr>
        <w:noProof/>
      </w:rPr>
      <w:pict w14:anchorId="763F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5D9C" w14:textId="59A1FFD7" w:rsidR="00E74242" w:rsidRDefault="00E74242">
    <w:pPr>
      <w:pStyle w:val="Header"/>
    </w:pPr>
    <w:r>
      <w:rPr>
        <w:noProof/>
      </w:rPr>
      <w:pict w14:anchorId="4BA37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5C5E" w14:textId="24503A30" w:rsidR="00E74242" w:rsidRDefault="00E74242">
    <w:pPr>
      <w:pStyle w:val="Header"/>
    </w:pPr>
    <w:r>
      <w:rPr>
        <w:noProof/>
      </w:rPr>
      <w:pict w14:anchorId="77A8D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0FE0"/>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8274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3F7"/>
    <w:rsid w:val="00401927"/>
    <w:rsid w:val="0041027F"/>
    <w:rsid w:val="00412475"/>
    <w:rsid w:val="00423789"/>
    <w:rsid w:val="00440F43"/>
    <w:rsid w:val="00441B6F"/>
    <w:rsid w:val="00443B2C"/>
    <w:rsid w:val="00446221"/>
    <w:rsid w:val="00450E62"/>
    <w:rsid w:val="004539DB"/>
    <w:rsid w:val="00471A80"/>
    <w:rsid w:val="004D305E"/>
    <w:rsid w:val="004D4277"/>
    <w:rsid w:val="004E13A1"/>
    <w:rsid w:val="00502516"/>
    <w:rsid w:val="00505F06"/>
    <w:rsid w:val="00506828"/>
    <w:rsid w:val="0053056E"/>
    <w:rsid w:val="00554FDA"/>
    <w:rsid w:val="00595C1B"/>
    <w:rsid w:val="005C784C"/>
    <w:rsid w:val="005D17F6"/>
    <w:rsid w:val="005E5539"/>
    <w:rsid w:val="00602BF5"/>
    <w:rsid w:val="00617FDD"/>
    <w:rsid w:val="00633614"/>
    <w:rsid w:val="00633F68"/>
    <w:rsid w:val="00636EB2"/>
    <w:rsid w:val="006375B8"/>
    <w:rsid w:val="0066510A"/>
    <w:rsid w:val="00672736"/>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197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2F0F"/>
    <w:rsid w:val="009500A6"/>
    <w:rsid w:val="00957C18"/>
    <w:rsid w:val="009659BA"/>
    <w:rsid w:val="00983040"/>
    <w:rsid w:val="009B3FB9"/>
    <w:rsid w:val="009C2465"/>
    <w:rsid w:val="009D35A0"/>
    <w:rsid w:val="009D7EB7"/>
    <w:rsid w:val="009E048A"/>
    <w:rsid w:val="009E08E9"/>
    <w:rsid w:val="009E3DB9"/>
    <w:rsid w:val="009E6E35"/>
    <w:rsid w:val="009F0058"/>
    <w:rsid w:val="009F0EDA"/>
    <w:rsid w:val="00A010BF"/>
    <w:rsid w:val="00A03B96"/>
    <w:rsid w:val="00A05B19"/>
    <w:rsid w:val="00A1134E"/>
    <w:rsid w:val="00A1334F"/>
    <w:rsid w:val="00A24E7E"/>
    <w:rsid w:val="00A258C3"/>
    <w:rsid w:val="00A347C0"/>
    <w:rsid w:val="00A51431"/>
    <w:rsid w:val="00A539AD"/>
    <w:rsid w:val="00A84F71"/>
    <w:rsid w:val="00A94063"/>
    <w:rsid w:val="00AA3456"/>
    <w:rsid w:val="00AA6219"/>
    <w:rsid w:val="00AA74E0"/>
    <w:rsid w:val="00AB703F"/>
    <w:rsid w:val="00AC6BB8"/>
    <w:rsid w:val="00AE008F"/>
    <w:rsid w:val="00AF7782"/>
    <w:rsid w:val="00B01FCD"/>
    <w:rsid w:val="00B1776C"/>
    <w:rsid w:val="00B52583"/>
    <w:rsid w:val="00B52896"/>
    <w:rsid w:val="00B95236"/>
    <w:rsid w:val="00B96BD9"/>
    <w:rsid w:val="00BA1B01"/>
    <w:rsid w:val="00BA2641"/>
    <w:rsid w:val="00BB37AA"/>
    <w:rsid w:val="00BC53A0"/>
    <w:rsid w:val="00BD01FC"/>
    <w:rsid w:val="00BE62AD"/>
    <w:rsid w:val="00BF121F"/>
    <w:rsid w:val="00BF1F80"/>
    <w:rsid w:val="00C166EF"/>
    <w:rsid w:val="00C17EB0"/>
    <w:rsid w:val="00C27F5F"/>
    <w:rsid w:val="00C30A0F"/>
    <w:rsid w:val="00C37E61"/>
    <w:rsid w:val="00C70F1B"/>
    <w:rsid w:val="00C71A47"/>
    <w:rsid w:val="00C7464C"/>
    <w:rsid w:val="00C80864"/>
    <w:rsid w:val="00C85588"/>
    <w:rsid w:val="00CC3FD6"/>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242"/>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0EB9"/>
    <w:rsid w:val="013D4B60"/>
    <w:rsid w:val="03802AE2"/>
    <w:rsid w:val="08602EE2"/>
    <w:rsid w:val="099E1F14"/>
    <w:rsid w:val="14774DBB"/>
    <w:rsid w:val="16880487"/>
    <w:rsid w:val="169C3C7F"/>
    <w:rsid w:val="19821E18"/>
    <w:rsid w:val="1C0A7989"/>
    <w:rsid w:val="1D884F5D"/>
    <w:rsid w:val="202F4D0C"/>
    <w:rsid w:val="28B210E0"/>
    <w:rsid w:val="3094583F"/>
    <w:rsid w:val="389D76B7"/>
    <w:rsid w:val="3E3137B0"/>
    <w:rsid w:val="3F3A3A46"/>
    <w:rsid w:val="3F702221"/>
    <w:rsid w:val="3FC714BD"/>
    <w:rsid w:val="41676AB4"/>
    <w:rsid w:val="45DD7344"/>
    <w:rsid w:val="474653BD"/>
    <w:rsid w:val="52070FB5"/>
    <w:rsid w:val="525766D1"/>
    <w:rsid w:val="53927122"/>
    <w:rsid w:val="53CC6C4A"/>
    <w:rsid w:val="5A9843E7"/>
    <w:rsid w:val="6B080110"/>
    <w:rsid w:val="70BD374B"/>
    <w:rsid w:val="74F6722B"/>
    <w:rsid w:val="77752FD1"/>
    <w:rsid w:val="78CB48EE"/>
    <w:rsid w:val="78CC4E73"/>
    <w:rsid w:val="7A4B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8E58E3D"/>
  <w15:docId w15:val="{1BE8530E-54C4-49F8-B911-143266E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unhideWhenUsed/>
    <w:qFormat/>
    <w:rPr>
      <w:rFonts w:ascii="Calibri" w:hAnsi="Calibri" w:cs="Calibri"/>
      <w:szCs w:val="22"/>
    </w:rPr>
  </w:style>
  <w:style w:type="character" w:customStyle="1" w:styleId="10">
    <w:name w:val="10"/>
    <w:basedOn w:val="DefaultParagraphFont"/>
    <w:rPr>
      <w:rFonts w:ascii="Times New Roman" w:hAnsi="Times New Roman" w:cs="Times New Roman" w:hint="default"/>
    </w:rPr>
  </w:style>
  <w:style w:type="character" w:customStyle="1" w:styleId="15">
    <w:name w:val="15"/>
    <w:basedOn w:val="DefaultParagraphFont"/>
    <w:rPr>
      <w:rFonts w:ascii="Times New Roman" w:hAnsi="Times New Roman" w:cs="Times New Roman" w:hint="default"/>
      <w:color w:val="FF0080"/>
      <w:u w:val="single"/>
    </w:rPr>
  </w:style>
  <w:style w:type="character" w:styleId="UnresolvedMention">
    <w:name w:val="Unresolved Mention"/>
    <w:basedOn w:val="DefaultParagraphFont"/>
    <w:uiPriority w:val="99"/>
    <w:semiHidden/>
    <w:unhideWhenUsed/>
    <w:rsid w:val="00AF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7DE70-176E-4CD0-9161-8DC4503A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4710</Words>
  <Characters>26853</Characters>
  <Application>Microsoft Office Word</Application>
  <DocSecurity>0</DocSecurity>
  <Lines>223</Lines>
  <Paragraphs>62</Paragraphs>
  <ScaleCrop>false</ScaleCrop>
  <Company>aaaa</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77</cp:revision>
  <cp:lastPrinted>1999-07-06T11:00:00Z</cp:lastPrinted>
  <dcterms:created xsi:type="dcterms:W3CDTF">2014-10-25T14:34:00Z</dcterms:created>
  <dcterms:modified xsi:type="dcterms:W3CDTF">2026-03-16T11:34:00Z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eyJoZGlkIjoiZjMwNzA1NjY2NmU3NjJhZWQ0NjIyNDEwMzljYTEzNWEiLCJ1c2VySWQiOiIyOTI1MzI3MjYifQ==</vt:lpwstr>
  </property>
  <property fmtid="{D5CDD505-2E9C-101B-9397-08002B2CF9AE}" pid="3" name="KSOProductBuildVer">
    <vt:lpwstr>2052-12.1.0.25225</vt:lpwstr>
  </property>
  <property fmtid="{D5CDD505-2E9C-101B-9397-08002B2CF9AE}" pid="4" name="ICV">
    <vt:lpwstr>BCA44C5FC9224DBD951AB7230903E3B0_13</vt:lpwstr>
  </property>
</Properties>
</file>