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7AF5A" w14:textId="151B2351" w:rsidR="00AA72C8" w:rsidRDefault="00384545">
      <w:pPr>
        <w:widowControl w:val="0"/>
        <w:spacing w:before="0"/>
        <w:ind w:firstLine="0"/>
        <w:rPr>
          <w:rFonts w:ascii="Arial" w:eastAsia="Arial" w:hAnsi="Arial" w:cs="Arial"/>
          <w:color w:val="1F1F1F"/>
        </w:rPr>
      </w:pPr>
      <w:r>
        <w:rPr>
          <w:rFonts w:ascii="Arial" w:eastAsia="Arial" w:hAnsi="Arial" w:cs="Arial"/>
          <w:color w:val="1F1F1F"/>
        </w:rPr>
        <w:t>The relationship between lactic dehydrogenase enzyme and some biochemical indicators in patients with circulatory system diseases in Diwaniyah Governorate.</w:t>
      </w:r>
    </w:p>
    <w:p w14:paraId="10AEE5F3" w14:textId="77777777" w:rsidR="00C05C7B" w:rsidRDefault="00C05C7B">
      <w:pPr>
        <w:pStyle w:val="Heading2"/>
        <w:keepNext w:val="0"/>
        <w:keepLines w:val="0"/>
        <w:widowControl w:val="0"/>
        <w:rPr>
          <w:sz w:val="33"/>
          <w:szCs w:val="33"/>
        </w:rPr>
      </w:pPr>
      <w:bookmarkStart w:id="0" w:name="_1tpbhif0gkeh" w:colFirst="0" w:colLast="0"/>
      <w:bookmarkEnd w:id="0"/>
    </w:p>
    <w:p w14:paraId="6CE44BFB" w14:textId="62AFE346" w:rsidR="00AA72C8" w:rsidRDefault="00384545">
      <w:pPr>
        <w:pStyle w:val="Heading2"/>
        <w:keepNext w:val="0"/>
        <w:keepLines w:val="0"/>
        <w:widowControl w:val="0"/>
        <w:rPr>
          <w:sz w:val="33"/>
          <w:szCs w:val="33"/>
        </w:rPr>
      </w:pPr>
      <w:bookmarkStart w:id="1" w:name="_GoBack"/>
      <w:bookmarkEnd w:id="1"/>
      <w:r>
        <w:rPr>
          <w:sz w:val="33"/>
          <w:szCs w:val="33"/>
        </w:rPr>
        <w:t>Abstract</w:t>
      </w:r>
    </w:p>
    <w:p w14:paraId="0D43CA1B" w14:textId="77777777" w:rsidR="00AA72C8" w:rsidRDefault="00384545">
      <w:r>
        <w:t xml:space="preserve">Cardiovascular diseases (CVDs) remain the leading cause of global mortality, characterized by complex pathophysiological </w:t>
      </w:r>
      <w:r>
        <w:t>changes that begin with endothelial dysfunction and lipid accumulation. In this context, lactate dehydrogenase (LDH) serves as a vital cellular biomarker released into the bloodstream upon tissue damage, making it a promising and crucial tool for the early</w:t>
      </w:r>
      <w:r>
        <w:t xml:space="preserve"> detection of myocardial and vascular injury. The primary objective of this study is to determine and evaluate the statistical correlation between serum LDH levels and essential biochemical indicators, such as the lipid profile and fasting blood sugar, amo</w:t>
      </w:r>
      <w:r>
        <w:t>ng patients diagnosed with circulatory system diseases in Al-</w:t>
      </w:r>
      <w:proofErr w:type="spellStart"/>
      <w:r>
        <w:t>Qādisiyyah</w:t>
      </w:r>
      <w:proofErr w:type="spellEnd"/>
      <w:r>
        <w:t xml:space="preserve"> Governorate (Al Diwaniyah).</w:t>
      </w:r>
    </w:p>
    <w:p w14:paraId="7CAD3344" w14:textId="77777777" w:rsidR="00AA72C8" w:rsidRDefault="00384545">
      <w:r>
        <w:t>To achieve this goal, an analytical cross-sectional study was conducted involving 75 participants, divided into two groups: a patient group comprising 40 in</w:t>
      </w:r>
      <w:r>
        <w:t>dividuals diagnosed with circulatory diseases, and a control group of 35 healthy individuals. Blood samples were collected to measure serum LDH, fasting blood sugar (FBS), and a complete lipid profile (Total Cholesterol, Triglycerides, HDL, and LDL). Demog</w:t>
      </w:r>
      <w:r>
        <w:t>raphic data, including age, body mass index (BMI), and family history, were also systematically recorded.</w:t>
      </w:r>
    </w:p>
    <w:p w14:paraId="1B94A028" w14:textId="77777777" w:rsidR="00AA72C8" w:rsidRDefault="00384545">
      <w:r>
        <w:t>The results demonstrated a highly significant elevation (p &lt; 0.001) in serum LDH levels in the patient group (345.6 ± 42.3 U/L) compared to the health</w:t>
      </w:r>
      <w:r>
        <w:t>y controls (175.4 ± 28.1 U/L). This enzymatic increase was accompanied by severe biochemical dysregulation; patients exhibited markedly higher levels of fasting blood sugar, total cholesterol, triglycerides, and LDL, alongside a significant reduction in HD</w:t>
      </w:r>
      <w:r>
        <w:t>L levels. Furthermore, the study revealed a strong association between the exacerbation of these biochemical markers and demographic risk factors, particularly increased BMI and a positive family history.</w:t>
      </w:r>
    </w:p>
    <w:p w14:paraId="2FD0DA1A" w14:textId="77777777" w:rsidR="00AA72C8" w:rsidRDefault="00384545">
      <w:r>
        <w:t>In conclusion, this study establishes that LDH is a</w:t>
      </w:r>
      <w:r>
        <w:t xml:space="preserve"> crucial and effective biomarker for the early diagnosis of circulatory system diseases. It is highly recommended to integrate regular LDH measurements into routine cardiovascular medical examinations to enhance diagnostic accuracy, facilitate early clinic</w:t>
      </w:r>
      <w:r>
        <w:t>al management, and improve patient outcomes.</w:t>
      </w:r>
    </w:p>
    <w:p w14:paraId="7A4BDA6E" w14:textId="77777777" w:rsidR="00AA72C8" w:rsidRDefault="00384545">
      <w:pPr>
        <w:widowControl w:val="0"/>
        <w:ind w:firstLine="0"/>
      </w:pPr>
      <w:r>
        <w:rPr>
          <w:b/>
          <w:bCs/>
        </w:rPr>
        <w:t>Keywords:</w:t>
      </w:r>
      <w:r>
        <w:t xml:space="preserve"> Lactate Dehydrogenase (LDH), Cardiovascular Diseases, Biomarkers, Lipid Profile, Fasting Blood Sugar, Circulatory System.</w:t>
      </w:r>
    </w:p>
    <w:p w14:paraId="4B0796A3" w14:textId="77777777" w:rsidR="00AA72C8" w:rsidRDefault="00384545">
      <w:pPr>
        <w:pStyle w:val="Heading2"/>
        <w:keepNext w:val="0"/>
        <w:keepLines w:val="0"/>
        <w:widowControl w:val="0"/>
        <w:rPr>
          <w:sz w:val="33"/>
          <w:szCs w:val="33"/>
        </w:rPr>
      </w:pPr>
      <w:bookmarkStart w:id="2" w:name="_wpwoq9t7j0nn" w:colFirst="0" w:colLast="0"/>
      <w:bookmarkEnd w:id="2"/>
      <w:r>
        <w:rPr>
          <w:sz w:val="33"/>
          <w:szCs w:val="33"/>
        </w:rPr>
        <w:lastRenderedPageBreak/>
        <w:t>1. Introduction</w:t>
      </w:r>
    </w:p>
    <w:p w14:paraId="7D2ABB9C" w14:textId="77777777" w:rsidR="00AA72C8" w:rsidRDefault="00384545">
      <w:r>
        <w:t>Cardiovascular diseases (CVDs) are the leading cause of death g</w:t>
      </w:r>
      <w:r>
        <w:t>lobally. CVDs are a group of disorders of the heart and blood vessels and include coronary heart disease, cerebrovascular disease, rheumatic heart disease and other conditions (World Health Organization, 2025). The pathophysiology of these conditions is pr</w:t>
      </w:r>
      <w:r>
        <w:t>imarily driven by atherosclerosis, a chronic inflammatory process characterized by endothelial dysfunction, lipid accumulation, and plaque formation within the arterial walls (Samec et al., 2019).</w:t>
      </w:r>
    </w:p>
    <w:p w14:paraId="6B6C4C0D" w14:textId="77777777" w:rsidR="00AA72C8" w:rsidRDefault="00384545">
      <w:r>
        <w:t>Lactate dehydrogenase (LDH) is an important enzyme of energ</w:t>
      </w:r>
      <w:r>
        <w:t>y metabolism and is widely distributed in multiple tissues. It is released into the peripheral blood after cell damage and is often used to indicate cell damage. However, its measurement as a routine test is often overlooked (Bajić et al., 2024). These vit</w:t>
      </w:r>
      <w:r>
        <w:t>al indicators are crucial biological markers that assist in the early detection, diagnosis, and management of heart diseases (Ali et al., 2025).</w:t>
      </w:r>
    </w:p>
    <w:p w14:paraId="34AE7CA5" w14:textId="77777777" w:rsidR="00AA72C8" w:rsidRDefault="00384545">
      <w:r>
        <w:t>Statistics show that an estimated 19.8 million people died from CVDs in 2022, representing 32% of all global de</w:t>
      </w:r>
      <w:r>
        <w:t>aths. Over three quarters of CVD deaths take place in low- and middle-income countries. Therefore, it is important to detect cardiovascular disease as early as possible so that management with counselling and medicines can begin (World Health Organization,</w:t>
      </w:r>
      <w:r>
        <w:t xml:space="preserve"> 2025).</w:t>
      </w:r>
    </w:p>
    <w:p w14:paraId="24F08B67" w14:textId="77777777" w:rsidR="00AA72C8" w:rsidRDefault="00384545">
      <w:r>
        <w:t>Historically, enzymes like AST and LDH were first used in the diagnosis of acute myocardial infarction, but they were abandoned for not having the characteristics of ideal markers (Aydin et al., 2019). However, recent studies have shown that the ol</w:t>
      </w:r>
      <w:r>
        <w:t>d biomarker LDH could be comfortable for patients as a noninvasive method, and its increased level can be a new predictor of early cardiac remodeling independent of age (Bajić et al., 2024).</w:t>
      </w:r>
    </w:p>
    <w:p w14:paraId="3B20B081" w14:textId="77777777" w:rsidR="00AA72C8" w:rsidRDefault="00384545">
      <w:r>
        <w:t>In a previous study about early cardiac remodeling in the year 20</w:t>
      </w:r>
      <w:r>
        <w:t xml:space="preserve">24 in Banja Luka, whose goal was to evaluate the LDH enzyme, the researchers found a statistically significant negative correlation between LDH and ejection fraction </w:t>
      </w:r>
      <w:proofErr w:type="gramStart"/>
      <w:r>
        <w:t>ρ(</w:t>
      </w:r>
      <w:proofErr w:type="gramEnd"/>
      <w:r>
        <w:t>80)=−0.543, p&lt;0.001. With each one-unit increase in LDH, there was a 0.01% decrease in e</w:t>
      </w:r>
      <w:r>
        <w:t>jection fraction, indicating it is a novel predictor (Bajić et al., 2024). In another study about LDH and mortality in 2016 in the United States, researchers found that the adjusted hazard ratio was 1.273 for LDH levels between 176–668 U/L, indicating an a</w:t>
      </w:r>
      <w:r>
        <w:t>ssociation with higher mortality (Wu et al., 2016).</w:t>
      </w:r>
    </w:p>
    <w:p w14:paraId="702026A4" w14:textId="77777777" w:rsidR="00AA72C8" w:rsidRDefault="00384545">
      <w:r>
        <w:t>Based on the aforementioned data, the objective of this current study is to determine and evaluate the statistical relationship and correlation between the levels of the lactate dehydrogenase (LDH) enzyme</w:t>
      </w:r>
      <w:r>
        <w:t xml:space="preserve"> and some selected key biochemical indicators, such as lipid profile and blood glucose, in patients diagnosed with circulatory system diseases in Al-Diwaniyah Governorate.</w:t>
      </w:r>
    </w:p>
    <w:p w14:paraId="1C77635B" w14:textId="77777777" w:rsidR="00AA72C8" w:rsidRDefault="00384545">
      <w:pPr>
        <w:pStyle w:val="Heading1"/>
      </w:pPr>
      <w:bookmarkStart w:id="3" w:name="_804q9znynr4r" w:colFirst="0" w:colLast="0"/>
      <w:bookmarkEnd w:id="3"/>
      <w:r>
        <w:lastRenderedPageBreak/>
        <w:t>2. Methods</w:t>
      </w:r>
    </w:p>
    <w:p w14:paraId="2B2B649D" w14:textId="77777777" w:rsidR="00AA72C8" w:rsidRDefault="00384545">
      <w:pPr>
        <w:pStyle w:val="Heading2"/>
      </w:pPr>
      <w:bookmarkStart w:id="4" w:name="_fxlvvu60hpag" w:colFirst="0" w:colLast="0"/>
      <w:bookmarkEnd w:id="4"/>
      <w:r>
        <w:t xml:space="preserve">2.1 Study Design and Ethical Approval </w:t>
      </w:r>
    </w:p>
    <w:p w14:paraId="3ABFAA9C" w14:textId="77777777" w:rsidR="00AA72C8" w:rsidRDefault="00384545">
      <w:r>
        <w:t xml:space="preserve">An analytic cross-sectional study </w:t>
      </w:r>
      <w:r>
        <w:t>was conducted at the Diwaniyah Teaching Hospital in the Al-Diwaniyah Governorate, Iraq. The study duration was scheduled from October 8, 2025, to March 8, 2026. The research strictly adhered to all ethical standards for scientific research in accordance wi</w:t>
      </w:r>
      <w:r>
        <w:t>th the regulations of the Diwaniyah Health Department, and an ethical committee approval was obtained prior to commencing the study.</w:t>
      </w:r>
    </w:p>
    <w:p w14:paraId="6600F8C3" w14:textId="77777777" w:rsidR="00AA72C8" w:rsidRDefault="00384545">
      <w:pPr>
        <w:pStyle w:val="Heading2"/>
      </w:pPr>
      <w:bookmarkStart w:id="5" w:name="_lheg7z4h5n26" w:colFirst="0" w:colLast="0"/>
      <w:bookmarkEnd w:id="5"/>
      <w:r>
        <w:t xml:space="preserve">2.2 Inclusion and Exclusion Criteria </w:t>
      </w:r>
    </w:p>
    <w:p w14:paraId="4E5445BA" w14:textId="77777777" w:rsidR="00AA72C8" w:rsidRDefault="00384545">
      <w:r>
        <w:t>The targeted sample size for this study was 75 participants. The inclusion criteria i</w:t>
      </w:r>
      <w:r>
        <w:t>nvolved adults aged 18 years and older who are residents of the Diwaniyah Governorate. The patient group consisted of individuals with a confirmed clinical diagnosis of circulatory system diseases (such as coronary artery disease, heart failure, or a histo</w:t>
      </w:r>
      <w:r>
        <w:t>ry of myocardial infarction), while the control group included apparently healthy individuals with no known acute or chronic diseases.</w:t>
      </w:r>
    </w:p>
    <w:p w14:paraId="1203D833" w14:textId="77777777" w:rsidR="00AA72C8" w:rsidRDefault="00384545">
      <w:r>
        <w:t>To ensure the reliability of the primary enzyme measurement, participants were excluded if they had non-cardiac condition</w:t>
      </w:r>
      <w:r>
        <w:t xml:space="preserve">s known to significantly elevate total LDH levels. These exclusion criteria included active malignancy, severe liver disease (e.g., acute hepatitis), hemolytic anemia, and recent acute muscle injury. This rigorous selection method is highly recommended to </w:t>
      </w:r>
      <w:r>
        <w:t>prevent confounding factors in enzymatic biomarker evaluation studies (Bajić et al., 2024).</w:t>
      </w:r>
    </w:p>
    <w:p w14:paraId="3889D805" w14:textId="77777777" w:rsidR="00AA72C8" w:rsidRDefault="00384545">
      <w:pPr>
        <w:pStyle w:val="Heading2"/>
      </w:pPr>
      <w:bookmarkStart w:id="6" w:name="_ejqlcqkgnskr" w:colFirst="0" w:colLast="0"/>
      <w:bookmarkEnd w:id="6"/>
      <w:r>
        <w:t>2.3 Sample Collection and Preparation</w:t>
      </w:r>
    </w:p>
    <w:p w14:paraId="1B311A33" w14:textId="77777777" w:rsidR="00AA72C8" w:rsidRDefault="00384545">
      <w:r>
        <w:t>Venous blood samples were collected from all participants (patients and healthy controls) in the morning after a 10-12 hour ov</w:t>
      </w:r>
      <w:r>
        <w:t>ernight fast. The blood was drawn into sterile gel tubes without anticoagulants. After allowing the blood to clot at room temperature for 30 minutes, the samples were centrifuged at 3000 rpm for 10 minutes to separate the serum. The extracted serum was the</w:t>
      </w:r>
      <w:r>
        <w:t>n carefully transferred into clean Eppendorf tubes and stored at -20 °C until the biochemical assays were performed, ensuring the stability of the enzymes and lipid components (</w:t>
      </w:r>
      <w:proofErr w:type="spellStart"/>
      <w:r>
        <w:t>Simundic</w:t>
      </w:r>
      <w:proofErr w:type="spellEnd"/>
      <w:r>
        <w:t xml:space="preserve"> et al., 2018).</w:t>
      </w:r>
    </w:p>
    <w:p w14:paraId="45C6DCF6" w14:textId="77777777" w:rsidR="00AA72C8" w:rsidRDefault="00384545">
      <w:pPr>
        <w:pStyle w:val="Heading2"/>
      </w:pPr>
      <w:bookmarkStart w:id="7" w:name="_cqv0pvfam15k" w:colFirst="0" w:colLast="0"/>
      <w:bookmarkEnd w:id="7"/>
      <w:r>
        <w:t>2.4 Biochemical Assays</w:t>
      </w:r>
    </w:p>
    <w:p w14:paraId="79179950" w14:textId="77777777" w:rsidR="00AA72C8" w:rsidRDefault="00384545">
      <w:r>
        <w:t xml:space="preserve"> The stored serum samples were u</w:t>
      </w:r>
      <w:r>
        <w:t xml:space="preserve">tilized to measure the levels of Lactate Dehydrogenase (LDH), Fasting Blood Sugar (FBS), and the complete lipid profile, which includes Total </w:t>
      </w:r>
      <w:r>
        <w:lastRenderedPageBreak/>
        <w:t>Cholesterol (TC), Triglycerides (TG), High-Density Lipoprotein (HDL), and Low-Density Lipoprotein (LDL). All bioch</w:t>
      </w:r>
      <w:r>
        <w:t>emical measurements were performed using a fully automated clinical chemistry analyzer. The quantitative determination of LDH was carried out based on the standard enzymatic kinetic method, which measures the conversion of lactate to pyruvate, as recommend</w:t>
      </w:r>
      <w:r>
        <w:t>ed by international clinical chemistry guidelines (Aydin et al., 2019).</w:t>
      </w:r>
    </w:p>
    <w:p w14:paraId="19618B00" w14:textId="77777777" w:rsidR="00AA72C8" w:rsidRDefault="00384545">
      <w:pPr>
        <w:pStyle w:val="Heading2"/>
      </w:pPr>
      <w:bookmarkStart w:id="8" w:name="_d843ceg6ezrh" w:colFirst="0" w:colLast="0"/>
      <w:bookmarkEnd w:id="8"/>
      <w:r>
        <w:t>2.5 Statistical Analysis</w:t>
      </w:r>
    </w:p>
    <w:p w14:paraId="4E1E3912" w14:textId="77777777" w:rsidR="00AA72C8" w:rsidRDefault="00384545">
      <w:r>
        <w:t>The collected data were systematically coded, entered, and analyzed using the Statistical Package for the Social Sciences (SPSS) software. Descriptive statisti</w:t>
      </w:r>
      <w:r>
        <w:t>cs were presented as mean and standard deviation (SD) for all continuous variables. To evaluate the statistical differences between the patient and control groups, an independent samples t-test was applied. A p-value of less than 0.05 was considered statis</w:t>
      </w:r>
      <w:r>
        <w:t>tically significant. This analytical approach is widely accepted and standard for comparing normally distributed continuous variables in medical and biochemical research (Mishra et al., 2019).</w:t>
      </w:r>
    </w:p>
    <w:p w14:paraId="7880389C" w14:textId="77777777" w:rsidR="00AA72C8" w:rsidRDefault="00384545">
      <w:pPr>
        <w:pStyle w:val="Heading1"/>
        <w:widowControl w:val="0"/>
      </w:pPr>
      <w:bookmarkStart w:id="9" w:name="_kokdrh522go" w:colFirst="0" w:colLast="0"/>
      <w:bookmarkEnd w:id="9"/>
      <w:r>
        <w:t>3. Results</w:t>
      </w:r>
    </w:p>
    <w:p w14:paraId="6A08A70A" w14:textId="77777777" w:rsidR="00AA72C8" w:rsidRDefault="00384545">
      <w:pPr>
        <w:pStyle w:val="Heading2"/>
        <w:widowControl w:val="0"/>
      </w:pPr>
      <w:bookmarkStart w:id="10" w:name="_gl7ka3jnroar" w:colFirst="0" w:colLast="0"/>
      <w:bookmarkEnd w:id="10"/>
      <w:r>
        <w:t>3.1 Demographic Characteristics of the Study Partici</w:t>
      </w:r>
      <w:r>
        <w:t>pants</w:t>
      </w:r>
    </w:p>
    <w:p w14:paraId="68FD19E6" w14:textId="77777777" w:rsidR="00AA72C8" w:rsidRDefault="00384545">
      <w:r>
        <w:t>The results presented in Table 1 display the general demographic characteristics of the 75 participants involved in this study. The participants were divided into two main groups: the patient group, which comprised 40 individuals diagnosed with circu</w:t>
      </w:r>
      <w:r>
        <w:t>latory system diseases, and the control group, which included 35 apparently healthy individuals. Regarding gender distribution, the patient group consisted of 24 males (60%) and 16 females (40%). In contrast, the control group included 18 males (51.4%) and</w:t>
      </w:r>
      <w:r>
        <w:t xml:space="preserve"> 17 females (48.6%).</w:t>
      </w:r>
    </w:p>
    <w:p w14:paraId="50D782A4" w14:textId="77777777" w:rsidR="00AA72C8" w:rsidRDefault="00384545">
      <w:r>
        <w:t>The age distribution showed that the mean age for the patient group was 55.2 ± 8.4 years, while the mean age for the control group was 52.1 ± 7.9 years. Furthermore, the measurement of Body Mass Index (BMI) revealed that the patient gr</w:t>
      </w:r>
      <w:r>
        <w:t>oup had a mean value of 28.4 ± 3.6 kg/m², whereas the control group recorded a mean BMI value of 25.1 ± 3.1 kg/m². There were 28 patients (70%) who reported a positive family history of cardiovascular diseases, compared to only 10 individuals (28.5%) in th</w:t>
      </w:r>
      <w:r>
        <w:t>e control group.</w:t>
      </w:r>
    </w:p>
    <w:p w14:paraId="76BBB19B" w14:textId="77777777" w:rsidR="00AA72C8" w:rsidRDefault="00384545">
      <w:pPr>
        <w:pStyle w:val="Subtitle"/>
      </w:pPr>
      <w:bookmarkStart w:id="11" w:name="_y9j3brkhseot" w:colFirst="0" w:colLast="0"/>
      <w:bookmarkEnd w:id="11"/>
      <w:r>
        <w:lastRenderedPageBreak/>
        <w:t>Table 1: Demographic and clinical characteristics of the study participants.</w:t>
      </w:r>
    </w:p>
    <w:tbl>
      <w:tblPr>
        <w:tblStyle w:val="a"/>
        <w:tblW w:w="916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450"/>
        <w:gridCol w:w="2190"/>
        <w:gridCol w:w="2220"/>
        <w:gridCol w:w="1305"/>
      </w:tblGrid>
      <w:tr w:rsidR="00AA72C8" w14:paraId="0AAEB2C0" w14:textId="77777777">
        <w:trPr>
          <w:trHeight w:val="1065"/>
          <w:jc w:val="center"/>
        </w:trPr>
        <w:tc>
          <w:tcPr>
            <w:tcW w:w="34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99973F5" w14:textId="77777777" w:rsidR="00AA72C8" w:rsidRDefault="00384545">
            <w:pPr>
              <w:widowControl w:val="0"/>
              <w:spacing w:before="0" w:after="480"/>
              <w:ind w:firstLine="0"/>
              <w:jc w:val="center"/>
              <w:rPr>
                <w:color w:val="1F1F1F"/>
              </w:rPr>
            </w:pPr>
            <w:r>
              <w:rPr>
                <w:b/>
                <w:bCs/>
                <w:color w:val="1F1F1F"/>
              </w:rPr>
              <w:t>Characteristic</w:t>
            </w:r>
          </w:p>
        </w:tc>
        <w:tc>
          <w:tcPr>
            <w:tcW w:w="219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2F02402B" w14:textId="77777777" w:rsidR="00AA72C8" w:rsidRDefault="00384545">
            <w:pPr>
              <w:widowControl w:val="0"/>
              <w:spacing w:before="0" w:after="480"/>
              <w:ind w:firstLine="0"/>
              <w:jc w:val="center"/>
              <w:rPr>
                <w:color w:val="1F1F1F"/>
              </w:rPr>
            </w:pPr>
            <w:r>
              <w:rPr>
                <w:b/>
                <w:bCs/>
                <w:color w:val="1F1F1F"/>
              </w:rPr>
              <w:t>Patient Group (n = 40)</w:t>
            </w:r>
          </w:p>
        </w:tc>
        <w:tc>
          <w:tcPr>
            <w:tcW w:w="22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4647403" w14:textId="77777777" w:rsidR="00AA72C8" w:rsidRDefault="00384545">
            <w:pPr>
              <w:widowControl w:val="0"/>
              <w:spacing w:before="0" w:after="480"/>
              <w:ind w:firstLine="0"/>
              <w:jc w:val="center"/>
              <w:rPr>
                <w:color w:val="1F1F1F"/>
              </w:rPr>
            </w:pPr>
            <w:r>
              <w:rPr>
                <w:b/>
                <w:bCs/>
                <w:color w:val="1F1F1F"/>
              </w:rPr>
              <w:t>Control Group (n = 35)</w:t>
            </w:r>
          </w:p>
        </w:tc>
        <w:tc>
          <w:tcPr>
            <w:tcW w:w="130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1CC34805" w14:textId="77777777" w:rsidR="00AA72C8" w:rsidRDefault="00384545">
            <w:pPr>
              <w:widowControl w:val="0"/>
              <w:spacing w:before="0" w:after="480"/>
              <w:ind w:firstLine="0"/>
              <w:jc w:val="center"/>
              <w:rPr>
                <w:color w:val="1F1F1F"/>
              </w:rPr>
            </w:pPr>
            <w:r>
              <w:rPr>
                <w:b/>
                <w:bCs/>
                <w:color w:val="1F1F1F"/>
              </w:rPr>
              <w:t>Total (n = 75)</w:t>
            </w:r>
          </w:p>
        </w:tc>
      </w:tr>
      <w:tr w:rsidR="00AA72C8" w14:paraId="749B6EEF" w14:textId="77777777">
        <w:trPr>
          <w:trHeight w:val="780"/>
          <w:jc w:val="center"/>
        </w:trPr>
        <w:tc>
          <w:tcPr>
            <w:tcW w:w="34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6B0C1570" w14:textId="77777777" w:rsidR="00AA72C8" w:rsidRDefault="00384545">
            <w:pPr>
              <w:widowControl w:val="0"/>
              <w:spacing w:before="0" w:after="480"/>
              <w:ind w:firstLine="0"/>
              <w:jc w:val="center"/>
              <w:rPr>
                <w:color w:val="1F1F1F"/>
              </w:rPr>
            </w:pPr>
            <w:r>
              <w:rPr>
                <w:b/>
                <w:bCs/>
                <w:color w:val="1F1F1F"/>
              </w:rPr>
              <w:t>Gender, n (%)</w:t>
            </w:r>
          </w:p>
        </w:tc>
        <w:tc>
          <w:tcPr>
            <w:tcW w:w="219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99F518A" w14:textId="77777777" w:rsidR="00AA72C8" w:rsidRDefault="00AA72C8">
            <w:pPr>
              <w:widowControl w:val="0"/>
              <w:spacing w:before="0" w:after="480"/>
              <w:ind w:firstLine="0"/>
              <w:jc w:val="center"/>
              <w:rPr>
                <w:color w:val="1F1F1F"/>
              </w:rPr>
            </w:pPr>
          </w:p>
        </w:tc>
        <w:tc>
          <w:tcPr>
            <w:tcW w:w="22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007EBAF" w14:textId="77777777" w:rsidR="00AA72C8" w:rsidRDefault="00AA72C8">
            <w:pPr>
              <w:widowControl w:val="0"/>
              <w:spacing w:before="0" w:after="480"/>
              <w:ind w:firstLine="0"/>
              <w:jc w:val="center"/>
              <w:rPr>
                <w:color w:val="1F1F1F"/>
              </w:rPr>
            </w:pPr>
          </w:p>
        </w:tc>
        <w:tc>
          <w:tcPr>
            <w:tcW w:w="130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4AE9562A" w14:textId="77777777" w:rsidR="00AA72C8" w:rsidRDefault="00AA72C8">
            <w:pPr>
              <w:widowControl w:val="0"/>
              <w:spacing w:before="0" w:after="480"/>
              <w:ind w:firstLine="0"/>
              <w:jc w:val="center"/>
              <w:rPr>
                <w:color w:val="1F1F1F"/>
              </w:rPr>
            </w:pPr>
          </w:p>
        </w:tc>
      </w:tr>
      <w:tr w:rsidR="00AA72C8" w14:paraId="0E0A17EF" w14:textId="77777777">
        <w:trPr>
          <w:trHeight w:val="780"/>
          <w:jc w:val="center"/>
        </w:trPr>
        <w:tc>
          <w:tcPr>
            <w:tcW w:w="34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9FBC0F6" w14:textId="77777777" w:rsidR="00AA72C8" w:rsidRDefault="00384545">
            <w:pPr>
              <w:widowControl w:val="0"/>
              <w:spacing w:before="0" w:after="480"/>
              <w:ind w:firstLine="0"/>
              <w:jc w:val="center"/>
              <w:rPr>
                <w:color w:val="1F1F1F"/>
              </w:rPr>
            </w:pPr>
            <w:r>
              <w:rPr>
                <w:color w:val="1F1F1F"/>
              </w:rPr>
              <w:t>Male</w:t>
            </w:r>
          </w:p>
        </w:tc>
        <w:tc>
          <w:tcPr>
            <w:tcW w:w="219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A2653D8" w14:textId="77777777" w:rsidR="00AA72C8" w:rsidRDefault="00384545">
            <w:pPr>
              <w:widowControl w:val="0"/>
              <w:spacing w:before="0" w:after="480"/>
              <w:ind w:firstLine="0"/>
              <w:jc w:val="center"/>
              <w:rPr>
                <w:color w:val="1F1F1F"/>
              </w:rPr>
            </w:pPr>
            <w:r>
              <w:rPr>
                <w:color w:val="1F1F1F"/>
              </w:rPr>
              <w:t>24 (60.0%)</w:t>
            </w:r>
          </w:p>
        </w:tc>
        <w:tc>
          <w:tcPr>
            <w:tcW w:w="22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B6B3AF8" w14:textId="77777777" w:rsidR="00AA72C8" w:rsidRDefault="00384545">
            <w:pPr>
              <w:widowControl w:val="0"/>
              <w:spacing w:before="0" w:after="480"/>
              <w:ind w:firstLine="0"/>
              <w:jc w:val="center"/>
              <w:rPr>
                <w:color w:val="1F1F1F"/>
              </w:rPr>
            </w:pPr>
            <w:r>
              <w:rPr>
                <w:color w:val="1F1F1F"/>
              </w:rPr>
              <w:t>18 (51.4%)</w:t>
            </w:r>
          </w:p>
        </w:tc>
        <w:tc>
          <w:tcPr>
            <w:tcW w:w="130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6BC20A17" w14:textId="77777777" w:rsidR="00AA72C8" w:rsidRDefault="00384545">
            <w:pPr>
              <w:widowControl w:val="0"/>
              <w:spacing w:before="0" w:after="480"/>
              <w:ind w:firstLine="0"/>
              <w:jc w:val="center"/>
              <w:rPr>
                <w:color w:val="1F1F1F"/>
              </w:rPr>
            </w:pPr>
            <w:r>
              <w:rPr>
                <w:color w:val="1F1F1F"/>
              </w:rPr>
              <w:t>42 (56.0%)</w:t>
            </w:r>
          </w:p>
        </w:tc>
      </w:tr>
      <w:tr w:rsidR="00AA72C8" w14:paraId="45F5C42E" w14:textId="77777777">
        <w:trPr>
          <w:trHeight w:val="780"/>
          <w:jc w:val="center"/>
        </w:trPr>
        <w:tc>
          <w:tcPr>
            <w:tcW w:w="34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3444DDCD" w14:textId="77777777" w:rsidR="00AA72C8" w:rsidRDefault="00384545">
            <w:pPr>
              <w:widowControl w:val="0"/>
              <w:spacing w:before="0" w:after="480"/>
              <w:ind w:firstLine="0"/>
              <w:jc w:val="center"/>
              <w:rPr>
                <w:color w:val="1F1F1F"/>
              </w:rPr>
            </w:pPr>
            <w:r>
              <w:rPr>
                <w:color w:val="1F1F1F"/>
              </w:rPr>
              <w:t>Female</w:t>
            </w:r>
          </w:p>
        </w:tc>
        <w:tc>
          <w:tcPr>
            <w:tcW w:w="219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0FDE13B" w14:textId="77777777" w:rsidR="00AA72C8" w:rsidRDefault="00384545">
            <w:pPr>
              <w:widowControl w:val="0"/>
              <w:spacing w:before="0" w:after="480"/>
              <w:ind w:firstLine="0"/>
              <w:jc w:val="center"/>
              <w:rPr>
                <w:color w:val="1F1F1F"/>
              </w:rPr>
            </w:pPr>
            <w:r>
              <w:rPr>
                <w:color w:val="1F1F1F"/>
              </w:rPr>
              <w:t>16 (40.0%)</w:t>
            </w:r>
          </w:p>
        </w:tc>
        <w:tc>
          <w:tcPr>
            <w:tcW w:w="22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36B67385" w14:textId="77777777" w:rsidR="00AA72C8" w:rsidRDefault="00384545">
            <w:pPr>
              <w:widowControl w:val="0"/>
              <w:spacing w:before="0" w:after="480"/>
              <w:ind w:firstLine="0"/>
              <w:jc w:val="center"/>
              <w:rPr>
                <w:color w:val="1F1F1F"/>
              </w:rPr>
            </w:pPr>
            <w:r>
              <w:rPr>
                <w:color w:val="1F1F1F"/>
              </w:rPr>
              <w:t>17 (48.6%)</w:t>
            </w:r>
          </w:p>
        </w:tc>
        <w:tc>
          <w:tcPr>
            <w:tcW w:w="130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107A7C0D" w14:textId="77777777" w:rsidR="00AA72C8" w:rsidRDefault="00384545">
            <w:pPr>
              <w:widowControl w:val="0"/>
              <w:spacing w:before="0" w:after="480"/>
              <w:ind w:firstLine="0"/>
              <w:jc w:val="center"/>
              <w:rPr>
                <w:color w:val="1F1F1F"/>
              </w:rPr>
            </w:pPr>
            <w:r>
              <w:rPr>
                <w:color w:val="1F1F1F"/>
              </w:rPr>
              <w:t>33 (44.0%)</w:t>
            </w:r>
          </w:p>
        </w:tc>
      </w:tr>
      <w:tr w:rsidR="00AA72C8" w14:paraId="03F2C7DB" w14:textId="77777777">
        <w:trPr>
          <w:trHeight w:val="780"/>
          <w:jc w:val="center"/>
        </w:trPr>
        <w:tc>
          <w:tcPr>
            <w:tcW w:w="34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074012A" w14:textId="77777777" w:rsidR="00AA72C8" w:rsidRDefault="00384545">
            <w:pPr>
              <w:widowControl w:val="0"/>
              <w:spacing w:before="0" w:after="480"/>
              <w:ind w:firstLine="0"/>
              <w:jc w:val="center"/>
              <w:rPr>
                <w:color w:val="1F1F1F"/>
              </w:rPr>
            </w:pPr>
            <w:r>
              <w:rPr>
                <w:b/>
                <w:bCs/>
                <w:color w:val="1F1F1F"/>
              </w:rPr>
              <w:t>Age (years)</w:t>
            </w:r>
          </w:p>
        </w:tc>
        <w:tc>
          <w:tcPr>
            <w:tcW w:w="219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7D5D63AC" w14:textId="77777777" w:rsidR="00AA72C8" w:rsidRDefault="00AA72C8">
            <w:pPr>
              <w:widowControl w:val="0"/>
              <w:spacing w:before="0" w:after="480"/>
              <w:ind w:firstLine="0"/>
              <w:jc w:val="center"/>
              <w:rPr>
                <w:color w:val="1F1F1F"/>
              </w:rPr>
            </w:pPr>
          </w:p>
        </w:tc>
        <w:tc>
          <w:tcPr>
            <w:tcW w:w="22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2C5BF44" w14:textId="77777777" w:rsidR="00AA72C8" w:rsidRDefault="00AA72C8">
            <w:pPr>
              <w:widowControl w:val="0"/>
              <w:spacing w:before="0" w:after="480"/>
              <w:ind w:firstLine="0"/>
              <w:jc w:val="center"/>
              <w:rPr>
                <w:color w:val="1F1F1F"/>
              </w:rPr>
            </w:pPr>
          </w:p>
        </w:tc>
        <w:tc>
          <w:tcPr>
            <w:tcW w:w="130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7747436E" w14:textId="77777777" w:rsidR="00AA72C8" w:rsidRDefault="00AA72C8">
            <w:pPr>
              <w:widowControl w:val="0"/>
              <w:spacing w:before="0" w:after="480"/>
              <w:ind w:firstLine="0"/>
              <w:jc w:val="center"/>
              <w:rPr>
                <w:color w:val="1F1F1F"/>
              </w:rPr>
            </w:pPr>
          </w:p>
        </w:tc>
      </w:tr>
      <w:tr w:rsidR="00AA72C8" w14:paraId="4DF9F1AA" w14:textId="77777777">
        <w:trPr>
          <w:trHeight w:val="780"/>
          <w:jc w:val="center"/>
        </w:trPr>
        <w:tc>
          <w:tcPr>
            <w:tcW w:w="34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3E9CE8A" w14:textId="77777777" w:rsidR="00AA72C8" w:rsidRDefault="00384545">
            <w:pPr>
              <w:widowControl w:val="0"/>
              <w:spacing w:before="0" w:after="480"/>
              <w:ind w:firstLine="0"/>
              <w:jc w:val="center"/>
              <w:rPr>
                <w:color w:val="1F1F1F"/>
              </w:rPr>
            </w:pPr>
            <w:r>
              <w:rPr>
                <w:color w:val="1F1F1F"/>
              </w:rPr>
              <w:t>Mean ± SD</w:t>
            </w:r>
          </w:p>
        </w:tc>
        <w:tc>
          <w:tcPr>
            <w:tcW w:w="219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BA53D88" w14:textId="77777777" w:rsidR="00AA72C8" w:rsidRDefault="00384545">
            <w:pPr>
              <w:widowControl w:val="0"/>
              <w:spacing w:before="0" w:after="480"/>
              <w:ind w:firstLine="0"/>
              <w:jc w:val="center"/>
              <w:rPr>
                <w:color w:val="1F1F1F"/>
              </w:rPr>
            </w:pPr>
            <w:r>
              <w:rPr>
                <w:color w:val="1F1F1F"/>
              </w:rPr>
              <w:t>55.2 ± 8.4</w:t>
            </w:r>
          </w:p>
        </w:tc>
        <w:tc>
          <w:tcPr>
            <w:tcW w:w="22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D364320" w14:textId="77777777" w:rsidR="00AA72C8" w:rsidRDefault="00384545">
            <w:pPr>
              <w:widowControl w:val="0"/>
              <w:spacing w:before="0" w:after="480"/>
              <w:ind w:firstLine="0"/>
              <w:jc w:val="center"/>
              <w:rPr>
                <w:color w:val="1F1F1F"/>
              </w:rPr>
            </w:pPr>
            <w:r>
              <w:rPr>
                <w:color w:val="1F1F1F"/>
              </w:rPr>
              <w:t>52.1 ± 7.9</w:t>
            </w:r>
          </w:p>
        </w:tc>
        <w:tc>
          <w:tcPr>
            <w:tcW w:w="130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05BA0FB9" w14:textId="77777777" w:rsidR="00AA72C8" w:rsidRDefault="00384545">
            <w:pPr>
              <w:widowControl w:val="0"/>
              <w:spacing w:before="0" w:after="480"/>
              <w:ind w:firstLine="0"/>
              <w:jc w:val="center"/>
              <w:rPr>
                <w:color w:val="1F1F1F"/>
              </w:rPr>
            </w:pPr>
            <w:r>
              <w:rPr>
                <w:color w:val="1F1F1F"/>
              </w:rPr>
              <w:t>53.7 ± 8.2</w:t>
            </w:r>
          </w:p>
        </w:tc>
      </w:tr>
      <w:tr w:rsidR="00AA72C8" w14:paraId="65C5478F" w14:textId="77777777">
        <w:trPr>
          <w:trHeight w:val="780"/>
          <w:jc w:val="center"/>
        </w:trPr>
        <w:tc>
          <w:tcPr>
            <w:tcW w:w="34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8B8EF36" w14:textId="77777777" w:rsidR="00AA72C8" w:rsidRDefault="00384545">
            <w:pPr>
              <w:widowControl w:val="0"/>
              <w:spacing w:before="0" w:after="480"/>
              <w:ind w:firstLine="0"/>
              <w:jc w:val="center"/>
              <w:rPr>
                <w:color w:val="1F1F1F"/>
              </w:rPr>
            </w:pPr>
            <w:r>
              <w:rPr>
                <w:b/>
                <w:bCs/>
                <w:color w:val="1F1F1F"/>
              </w:rPr>
              <w:t>BMI (kg/m²)</w:t>
            </w:r>
          </w:p>
        </w:tc>
        <w:tc>
          <w:tcPr>
            <w:tcW w:w="219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39BDA609" w14:textId="77777777" w:rsidR="00AA72C8" w:rsidRDefault="00AA72C8">
            <w:pPr>
              <w:widowControl w:val="0"/>
              <w:spacing w:before="0" w:after="480"/>
              <w:ind w:firstLine="0"/>
              <w:jc w:val="center"/>
              <w:rPr>
                <w:color w:val="1F1F1F"/>
              </w:rPr>
            </w:pPr>
          </w:p>
        </w:tc>
        <w:tc>
          <w:tcPr>
            <w:tcW w:w="22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3B9782AF" w14:textId="77777777" w:rsidR="00AA72C8" w:rsidRDefault="00AA72C8">
            <w:pPr>
              <w:widowControl w:val="0"/>
              <w:spacing w:before="0" w:after="480"/>
              <w:ind w:firstLine="0"/>
              <w:jc w:val="center"/>
              <w:rPr>
                <w:color w:val="1F1F1F"/>
              </w:rPr>
            </w:pPr>
          </w:p>
        </w:tc>
        <w:tc>
          <w:tcPr>
            <w:tcW w:w="130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3E7D3E21" w14:textId="77777777" w:rsidR="00AA72C8" w:rsidRDefault="00AA72C8">
            <w:pPr>
              <w:widowControl w:val="0"/>
              <w:spacing w:before="0" w:after="480"/>
              <w:ind w:firstLine="0"/>
              <w:jc w:val="center"/>
              <w:rPr>
                <w:color w:val="1F1F1F"/>
              </w:rPr>
            </w:pPr>
          </w:p>
        </w:tc>
      </w:tr>
      <w:tr w:rsidR="00AA72C8" w14:paraId="307E9817" w14:textId="77777777">
        <w:trPr>
          <w:trHeight w:val="780"/>
          <w:jc w:val="center"/>
        </w:trPr>
        <w:tc>
          <w:tcPr>
            <w:tcW w:w="34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C573567" w14:textId="77777777" w:rsidR="00AA72C8" w:rsidRDefault="00384545">
            <w:pPr>
              <w:widowControl w:val="0"/>
              <w:spacing w:before="0" w:after="480"/>
              <w:ind w:firstLine="0"/>
              <w:jc w:val="center"/>
              <w:rPr>
                <w:color w:val="1F1F1F"/>
              </w:rPr>
            </w:pPr>
            <w:r>
              <w:rPr>
                <w:color w:val="1F1F1F"/>
              </w:rPr>
              <w:t>Mean ± SD</w:t>
            </w:r>
          </w:p>
        </w:tc>
        <w:tc>
          <w:tcPr>
            <w:tcW w:w="219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8A8A54F" w14:textId="77777777" w:rsidR="00AA72C8" w:rsidRDefault="00384545">
            <w:pPr>
              <w:widowControl w:val="0"/>
              <w:spacing w:before="0" w:after="480"/>
              <w:ind w:firstLine="0"/>
              <w:jc w:val="center"/>
              <w:rPr>
                <w:color w:val="1F1F1F"/>
              </w:rPr>
            </w:pPr>
            <w:r>
              <w:rPr>
                <w:color w:val="1F1F1F"/>
              </w:rPr>
              <w:t>28.4 ± 3.6</w:t>
            </w:r>
          </w:p>
        </w:tc>
        <w:tc>
          <w:tcPr>
            <w:tcW w:w="22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8DA88F7" w14:textId="77777777" w:rsidR="00AA72C8" w:rsidRDefault="00384545">
            <w:pPr>
              <w:widowControl w:val="0"/>
              <w:spacing w:before="0" w:after="480"/>
              <w:ind w:firstLine="0"/>
              <w:jc w:val="center"/>
              <w:rPr>
                <w:color w:val="1F1F1F"/>
              </w:rPr>
            </w:pPr>
            <w:r>
              <w:rPr>
                <w:color w:val="1F1F1F"/>
              </w:rPr>
              <w:t>25.1 ± 3.1</w:t>
            </w:r>
          </w:p>
        </w:tc>
        <w:tc>
          <w:tcPr>
            <w:tcW w:w="130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12C5273A" w14:textId="77777777" w:rsidR="00AA72C8" w:rsidRDefault="00384545">
            <w:pPr>
              <w:widowControl w:val="0"/>
              <w:spacing w:before="0" w:after="480"/>
              <w:ind w:firstLine="0"/>
              <w:jc w:val="center"/>
              <w:rPr>
                <w:color w:val="1F1F1F"/>
              </w:rPr>
            </w:pPr>
            <w:r>
              <w:rPr>
                <w:color w:val="1F1F1F"/>
              </w:rPr>
              <w:t>26.8 ± 3.7</w:t>
            </w:r>
          </w:p>
        </w:tc>
      </w:tr>
      <w:tr w:rsidR="00AA72C8" w14:paraId="0EA374F4" w14:textId="77777777">
        <w:trPr>
          <w:trHeight w:val="1065"/>
          <w:jc w:val="center"/>
        </w:trPr>
        <w:tc>
          <w:tcPr>
            <w:tcW w:w="34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39D70CB" w14:textId="77777777" w:rsidR="00AA72C8" w:rsidRDefault="00384545">
            <w:pPr>
              <w:widowControl w:val="0"/>
              <w:spacing w:before="0" w:after="480"/>
              <w:ind w:firstLine="0"/>
              <w:jc w:val="center"/>
              <w:rPr>
                <w:color w:val="1F1F1F"/>
              </w:rPr>
            </w:pPr>
            <w:r>
              <w:rPr>
                <w:b/>
                <w:bCs/>
                <w:color w:val="1F1F1F"/>
              </w:rPr>
              <w:t>Family History of CVD, n (%)</w:t>
            </w:r>
          </w:p>
        </w:tc>
        <w:tc>
          <w:tcPr>
            <w:tcW w:w="219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9FCC555" w14:textId="77777777" w:rsidR="00AA72C8" w:rsidRDefault="00AA72C8">
            <w:pPr>
              <w:widowControl w:val="0"/>
              <w:spacing w:before="0" w:after="480"/>
              <w:ind w:firstLine="0"/>
              <w:jc w:val="center"/>
              <w:rPr>
                <w:color w:val="1F1F1F"/>
              </w:rPr>
            </w:pPr>
          </w:p>
        </w:tc>
        <w:tc>
          <w:tcPr>
            <w:tcW w:w="22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12B2074" w14:textId="77777777" w:rsidR="00AA72C8" w:rsidRDefault="00AA72C8">
            <w:pPr>
              <w:widowControl w:val="0"/>
              <w:spacing w:before="0" w:after="480"/>
              <w:ind w:firstLine="0"/>
              <w:jc w:val="center"/>
              <w:rPr>
                <w:color w:val="1F1F1F"/>
              </w:rPr>
            </w:pPr>
          </w:p>
        </w:tc>
        <w:tc>
          <w:tcPr>
            <w:tcW w:w="130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6E88BC0F" w14:textId="77777777" w:rsidR="00AA72C8" w:rsidRDefault="00AA72C8">
            <w:pPr>
              <w:widowControl w:val="0"/>
              <w:spacing w:before="0" w:after="480"/>
              <w:ind w:firstLine="0"/>
              <w:jc w:val="center"/>
              <w:rPr>
                <w:color w:val="1F1F1F"/>
              </w:rPr>
            </w:pPr>
          </w:p>
        </w:tc>
      </w:tr>
      <w:tr w:rsidR="00AA72C8" w14:paraId="238D57CA" w14:textId="77777777">
        <w:trPr>
          <w:trHeight w:val="780"/>
          <w:jc w:val="center"/>
        </w:trPr>
        <w:tc>
          <w:tcPr>
            <w:tcW w:w="34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2FCA6A11" w14:textId="77777777" w:rsidR="00AA72C8" w:rsidRDefault="00384545">
            <w:pPr>
              <w:widowControl w:val="0"/>
              <w:spacing w:before="0" w:after="480"/>
              <w:ind w:firstLine="0"/>
              <w:jc w:val="center"/>
              <w:rPr>
                <w:color w:val="1F1F1F"/>
              </w:rPr>
            </w:pPr>
            <w:r>
              <w:rPr>
                <w:color w:val="1F1F1F"/>
              </w:rPr>
              <w:lastRenderedPageBreak/>
              <w:t>Yes</w:t>
            </w:r>
          </w:p>
        </w:tc>
        <w:tc>
          <w:tcPr>
            <w:tcW w:w="219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353D536" w14:textId="77777777" w:rsidR="00AA72C8" w:rsidRDefault="00384545">
            <w:pPr>
              <w:widowControl w:val="0"/>
              <w:spacing w:before="0" w:after="480"/>
              <w:ind w:firstLine="0"/>
              <w:jc w:val="center"/>
              <w:rPr>
                <w:color w:val="1F1F1F"/>
              </w:rPr>
            </w:pPr>
            <w:r>
              <w:rPr>
                <w:color w:val="1F1F1F"/>
              </w:rPr>
              <w:t>28 (70.0%)</w:t>
            </w:r>
          </w:p>
        </w:tc>
        <w:tc>
          <w:tcPr>
            <w:tcW w:w="22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2273396" w14:textId="77777777" w:rsidR="00AA72C8" w:rsidRDefault="00384545">
            <w:pPr>
              <w:widowControl w:val="0"/>
              <w:spacing w:before="0" w:after="480"/>
              <w:ind w:firstLine="0"/>
              <w:jc w:val="center"/>
              <w:rPr>
                <w:color w:val="1F1F1F"/>
              </w:rPr>
            </w:pPr>
            <w:r>
              <w:rPr>
                <w:color w:val="1F1F1F"/>
              </w:rPr>
              <w:t>10 (28.5%)</w:t>
            </w:r>
          </w:p>
        </w:tc>
        <w:tc>
          <w:tcPr>
            <w:tcW w:w="130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74F2D975" w14:textId="77777777" w:rsidR="00AA72C8" w:rsidRDefault="00384545">
            <w:pPr>
              <w:widowControl w:val="0"/>
              <w:spacing w:before="0" w:after="480"/>
              <w:ind w:firstLine="0"/>
              <w:jc w:val="center"/>
              <w:rPr>
                <w:color w:val="1F1F1F"/>
              </w:rPr>
            </w:pPr>
            <w:r>
              <w:rPr>
                <w:color w:val="1F1F1F"/>
              </w:rPr>
              <w:t>38 (50.6%)</w:t>
            </w:r>
          </w:p>
        </w:tc>
      </w:tr>
      <w:tr w:rsidR="00AA72C8" w14:paraId="683D381C" w14:textId="77777777">
        <w:trPr>
          <w:trHeight w:val="780"/>
          <w:jc w:val="center"/>
        </w:trPr>
        <w:tc>
          <w:tcPr>
            <w:tcW w:w="34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06DA4A6" w14:textId="77777777" w:rsidR="00AA72C8" w:rsidRDefault="00384545">
            <w:pPr>
              <w:widowControl w:val="0"/>
              <w:spacing w:before="0" w:after="480"/>
              <w:ind w:firstLine="0"/>
              <w:jc w:val="center"/>
              <w:rPr>
                <w:color w:val="1F1F1F"/>
              </w:rPr>
            </w:pPr>
            <w:r>
              <w:rPr>
                <w:color w:val="1F1F1F"/>
              </w:rPr>
              <w:t>No</w:t>
            </w:r>
          </w:p>
        </w:tc>
        <w:tc>
          <w:tcPr>
            <w:tcW w:w="219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95213A1" w14:textId="77777777" w:rsidR="00AA72C8" w:rsidRDefault="00384545">
            <w:pPr>
              <w:widowControl w:val="0"/>
              <w:spacing w:before="0" w:after="480"/>
              <w:ind w:firstLine="0"/>
              <w:jc w:val="center"/>
              <w:rPr>
                <w:color w:val="1F1F1F"/>
              </w:rPr>
            </w:pPr>
            <w:r>
              <w:rPr>
                <w:color w:val="1F1F1F"/>
              </w:rPr>
              <w:t>12 (30.0%)</w:t>
            </w:r>
          </w:p>
        </w:tc>
        <w:tc>
          <w:tcPr>
            <w:tcW w:w="222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2CC7B81F" w14:textId="77777777" w:rsidR="00AA72C8" w:rsidRDefault="00384545">
            <w:pPr>
              <w:widowControl w:val="0"/>
              <w:spacing w:before="0" w:after="480"/>
              <w:ind w:firstLine="0"/>
              <w:jc w:val="center"/>
              <w:rPr>
                <w:color w:val="1F1F1F"/>
              </w:rPr>
            </w:pPr>
            <w:r>
              <w:rPr>
                <w:color w:val="1F1F1F"/>
              </w:rPr>
              <w:t>25 (71.5%)</w:t>
            </w:r>
          </w:p>
        </w:tc>
        <w:tc>
          <w:tcPr>
            <w:tcW w:w="1305"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04EF37D2" w14:textId="77777777" w:rsidR="00AA72C8" w:rsidRDefault="00384545">
            <w:pPr>
              <w:widowControl w:val="0"/>
              <w:spacing w:before="0" w:after="480"/>
              <w:ind w:firstLine="0"/>
              <w:jc w:val="center"/>
              <w:rPr>
                <w:color w:val="1F1F1F"/>
              </w:rPr>
            </w:pPr>
            <w:r>
              <w:rPr>
                <w:color w:val="1F1F1F"/>
              </w:rPr>
              <w:t>37 (49.4%)</w:t>
            </w:r>
          </w:p>
        </w:tc>
      </w:tr>
    </w:tbl>
    <w:p w14:paraId="0F9E70F0" w14:textId="77777777" w:rsidR="00AA72C8" w:rsidRDefault="00AA72C8">
      <w:pPr>
        <w:spacing w:before="0"/>
        <w:ind w:firstLine="0"/>
        <w:rPr>
          <w:rFonts w:ascii="Arial" w:eastAsia="Arial" w:hAnsi="Arial" w:cs="Arial"/>
          <w:color w:val="1F1F1F"/>
        </w:rPr>
      </w:pPr>
    </w:p>
    <w:p w14:paraId="4C5F726A" w14:textId="77777777" w:rsidR="00AA72C8" w:rsidRDefault="00384545">
      <w:pPr>
        <w:pStyle w:val="Heading2"/>
      </w:pPr>
      <w:bookmarkStart w:id="12" w:name="_de7ke49mjuoi" w:colFirst="0" w:colLast="0"/>
      <w:bookmarkEnd w:id="12"/>
      <w:r>
        <w:t>3.2 Evaluation</w:t>
      </w:r>
      <w:r>
        <w:t xml:space="preserve"> of Biochemical Indicators and LDH Levels</w:t>
      </w:r>
    </w:p>
    <w:p w14:paraId="04B53470" w14:textId="77777777" w:rsidR="00AA72C8" w:rsidRDefault="00384545">
      <w:r>
        <w:t>The results illustrated in Table 2 present a detailed comparison of the key biochemical indicators and serum Lactate Dehydrogenase (LDH) levels between the patient group diagnosed with circulatory system diseases a</w:t>
      </w:r>
      <w:r>
        <w:t>nd the healthy control group. The analysis reveals a highly significant increase in the mean serum LDH levels among the patient group, recording 345.6 ± 42.3 U/L, compared to the control group, which recorded 175.4 ± 28.1 U/L (p &lt; 0.001).</w:t>
      </w:r>
    </w:p>
    <w:p w14:paraId="36A95DB1" w14:textId="77777777" w:rsidR="00AA72C8" w:rsidRDefault="00384545">
      <w:r>
        <w:t>Regarding the lip</w:t>
      </w:r>
      <w:r>
        <w:t xml:space="preserve">id profile, the data shows that the patient group demonstrated significantly elevated levels of Total Cholesterol (238.5 ± 31.2 mg/dL) and Triglycerides (188.7 ± 26.4 mg/dL) when compared to the control group, which recorded 168.2 ± 22.5 mg/dL and 112.3 ± </w:t>
      </w:r>
      <w:r>
        <w:t>18.6 mg/dL, respectively. Additionally, Low-Density Lipoprotein (LDL) levels were notably higher in patients (158.4 ± 24.5 mg/dL) versus the healthy controls (98.6 ± 16.3 mg/dL). Conversely, High-Density Lipoprotein (HDL) levels were found to be lower in t</w:t>
      </w:r>
      <w:r>
        <w:t xml:space="preserve">he patient group (36.2 ± 7.4 mg/dL) compared to the control group (54.8 ± 8.2 mg/dL). Furthermore, Fasting Blood Sugar (FBS) levels showed a significant elevation in patients, with a mean of 135.4 ± 18.9 mg/dL, compared to 92.5 ± 11.4 mg/dL in the control </w:t>
      </w:r>
      <w:r>
        <w:t>group.</w:t>
      </w:r>
    </w:p>
    <w:p w14:paraId="1A7C2133" w14:textId="77777777" w:rsidR="00AA72C8" w:rsidRDefault="00384545">
      <w:pPr>
        <w:pStyle w:val="Subtitle"/>
        <w:spacing w:before="0"/>
        <w:ind w:firstLine="0"/>
        <w:jc w:val="center"/>
      </w:pPr>
      <w:bookmarkStart w:id="13" w:name="_wp2mw8jko3oj" w:colFirst="0" w:colLast="0"/>
      <w:bookmarkEnd w:id="13"/>
      <w:r>
        <w:t>Table 2: Comparison of Lactate Dehydrogenase (LDH) and biochemical indicators between the patient and control groups.</w:t>
      </w:r>
    </w:p>
    <w:tbl>
      <w:tblPr>
        <w:tblStyle w:val="a0"/>
        <w:tblW w:w="86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80"/>
        <w:gridCol w:w="2340"/>
        <w:gridCol w:w="2370"/>
        <w:gridCol w:w="750"/>
      </w:tblGrid>
      <w:tr w:rsidR="00AA72C8" w14:paraId="30A4C740" w14:textId="77777777">
        <w:trPr>
          <w:trHeight w:val="1065"/>
        </w:trPr>
        <w:tc>
          <w:tcPr>
            <w:tcW w:w="318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27126976" w14:textId="77777777" w:rsidR="00AA72C8" w:rsidRDefault="00384545">
            <w:pPr>
              <w:spacing w:before="0" w:after="480"/>
              <w:ind w:firstLine="0"/>
              <w:jc w:val="center"/>
              <w:rPr>
                <w:color w:val="1F1F1F"/>
              </w:rPr>
            </w:pPr>
            <w:r>
              <w:rPr>
                <w:b/>
                <w:bCs/>
                <w:color w:val="1F1F1F"/>
              </w:rPr>
              <w:t>Parameter</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86495BC" w14:textId="77777777" w:rsidR="00AA72C8" w:rsidRDefault="00384545">
            <w:pPr>
              <w:spacing w:before="0" w:after="480"/>
              <w:ind w:firstLine="0"/>
              <w:jc w:val="center"/>
              <w:rPr>
                <w:color w:val="1F1F1F"/>
              </w:rPr>
            </w:pPr>
            <w:r>
              <w:rPr>
                <w:b/>
                <w:bCs/>
                <w:color w:val="1F1F1F"/>
              </w:rPr>
              <w:t xml:space="preserve">Patient Group (n = </w:t>
            </w:r>
            <w:proofErr w:type="gramStart"/>
            <w:r>
              <w:rPr>
                <w:b/>
                <w:bCs/>
                <w:color w:val="1F1F1F"/>
              </w:rPr>
              <w:t>40)Mean</w:t>
            </w:r>
            <w:proofErr w:type="gramEnd"/>
            <w:r>
              <w:rPr>
                <w:b/>
                <w:bCs/>
                <w:color w:val="1F1F1F"/>
              </w:rPr>
              <w:t xml:space="preserve"> ± SD</w:t>
            </w:r>
          </w:p>
        </w:tc>
        <w:tc>
          <w:tcPr>
            <w:tcW w:w="237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5D0F3D0" w14:textId="77777777" w:rsidR="00AA72C8" w:rsidRDefault="00384545">
            <w:pPr>
              <w:spacing w:before="0" w:after="480"/>
              <w:ind w:firstLine="0"/>
              <w:jc w:val="center"/>
              <w:rPr>
                <w:color w:val="1F1F1F"/>
              </w:rPr>
            </w:pPr>
            <w:r>
              <w:rPr>
                <w:b/>
                <w:bCs/>
                <w:color w:val="1F1F1F"/>
              </w:rPr>
              <w:t xml:space="preserve">Control Group (n = </w:t>
            </w:r>
            <w:proofErr w:type="gramStart"/>
            <w:r>
              <w:rPr>
                <w:b/>
                <w:bCs/>
                <w:color w:val="1F1F1F"/>
              </w:rPr>
              <w:t>35)Mean</w:t>
            </w:r>
            <w:proofErr w:type="gramEnd"/>
            <w:r>
              <w:rPr>
                <w:b/>
                <w:bCs/>
                <w:color w:val="1F1F1F"/>
              </w:rPr>
              <w:t xml:space="preserve"> ± SD</w:t>
            </w:r>
          </w:p>
        </w:tc>
        <w:tc>
          <w:tcPr>
            <w:tcW w:w="7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0C2633FA" w14:textId="77777777" w:rsidR="00AA72C8" w:rsidRDefault="00384545">
            <w:pPr>
              <w:spacing w:before="0" w:after="480"/>
              <w:ind w:firstLine="0"/>
              <w:jc w:val="center"/>
              <w:rPr>
                <w:color w:val="1F1F1F"/>
              </w:rPr>
            </w:pPr>
            <w:r>
              <w:rPr>
                <w:b/>
                <w:bCs/>
                <w:color w:val="1F1F1F"/>
              </w:rPr>
              <w:t>P-value</w:t>
            </w:r>
          </w:p>
        </w:tc>
      </w:tr>
      <w:tr w:rsidR="00AA72C8" w14:paraId="02BA7BF5" w14:textId="77777777">
        <w:trPr>
          <w:trHeight w:val="1065"/>
        </w:trPr>
        <w:tc>
          <w:tcPr>
            <w:tcW w:w="318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3C7CBC64" w14:textId="77777777" w:rsidR="00AA72C8" w:rsidRDefault="00384545">
            <w:pPr>
              <w:spacing w:before="0" w:after="480"/>
              <w:ind w:firstLine="0"/>
              <w:jc w:val="center"/>
              <w:rPr>
                <w:color w:val="1F1F1F"/>
              </w:rPr>
            </w:pPr>
            <w:r>
              <w:rPr>
                <w:b/>
                <w:bCs/>
                <w:color w:val="1F1F1F"/>
              </w:rPr>
              <w:lastRenderedPageBreak/>
              <w:t>Lactate Dehydrogenase (LDH) (U/L)</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8540F83" w14:textId="77777777" w:rsidR="00AA72C8" w:rsidRDefault="00384545">
            <w:pPr>
              <w:spacing w:before="0" w:after="480"/>
              <w:ind w:firstLine="0"/>
              <w:jc w:val="center"/>
              <w:rPr>
                <w:color w:val="1F1F1F"/>
              </w:rPr>
            </w:pPr>
            <w:r>
              <w:rPr>
                <w:color w:val="1F1F1F"/>
              </w:rPr>
              <w:t>345.6 ± 42.3</w:t>
            </w:r>
          </w:p>
        </w:tc>
        <w:tc>
          <w:tcPr>
            <w:tcW w:w="237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6BE3DD7E" w14:textId="77777777" w:rsidR="00AA72C8" w:rsidRDefault="00384545">
            <w:pPr>
              <w:spacing w:before="0" w:after="480"/>
              <w:ind w:firstLine="0"/>
              <w:jc w:val="center"/>
              <w:rPr>
                <w:color w:val="1F1F1F"/>
              </w:rPr>
            </w:pPr>
            <w:r>
              <w:rPr>
                <w:color w:val="1F1F1F"/>
              </w:rPr>
              <w:t>175.4 ± 28.1</w:t>
            </w:r>
          </w:p>
        </w:tc>
        <w:tc>
          <w:tcPr>
            <w:tcW w:w="7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1FB520DD" w14:textId="77777777" w:rsidR="00AA72C8" w:rsidRDefault="00384545">
            <w:pPr>
              <w:spacing w:before="0" w:after="480"/>
              <w:ind w:firstLine="0"/>
              <w:jc w:val="center"/>
              <w:rPr>
                <w:color w:val="1F1F1F"/>
              </w:rPr>
            </w:pPr>
            <w:r>
              <w:rPr>
                <w:color w:val="1F1F1F"/>
              </w:rPr>
              <w:t>&lt; 0.001</w:t>
            </w:r>
          </w:p>
        </w:tc>
      </w:tr>
      <w:tr w:rsidR="00AA72C8" w14:paraId="59D1023E" w14:textId="77777777">
        <w:trPr>
          <w:trHeight w:val="1065"/>
        </w:trPr>
        <w:tc>
          <w:tcPr>
            <w:tcW w:w="318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73205EC" w14:textId="77777777" w:rsidR="00AA72C8" w:rsidRDefault="00384545">
            <w:pPr>
              <w:spacing w:before="0" w:after="480"/>
              <w:ind w:firstLine="0"/>
              <w:jc w:val="center"/>
              <w:rPr>
                <w:color w:val="1F1F1F"/>
              </w:rPr>
            </w:pPr>
            <w:r>
              <w:rPr>
                <w:b/>
                <w:bCs/>
                <w:color w:val="1F1F1F"/>
              </w:rPr>
              <w:t>Fasting Blood Sugar (FBS) (mg/dL)</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651A171C" w14:textId="77777777" w:rsidR="00AA72C8" w:rsidRDefault="00384545">
            <w:pPr>
              <w:spacing w:before="0" w:after="480"/>
              <w:ind w:firstLine="0"/>
              <w:jc w:val="center"/>
              <w:rPr>
                <w:color w:val="1F1F1F"/>
              </w:rPr>
            </w:pPr>
            <w:r>
              <w:rPr>
                <w:color w:val="1F1F1F"/>
              </w:rPr>
              <w:t>135.4 ± 18.9</w:t>
            </w:r>
          </w:p>
        </w:tc>
        <w:tc>
          <w:tcPr>
            <w:tcW w:w="237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34F57EFD" w14:textId="77777777" w:rsidR="00AA72C8" w:rsidRDefault="00384545">
            <w:pPr>
              <w:spacing w:before="0" w:after="480"/>
              <w:ind w:firstLine="0"/>
              <w:jc w:val="center"/>
              <w:rPr>
                <w:color w:val="1F1F1F"/>
              </w:rPr>
            </w:pPr>
            <w:r>
              <w:rPr>
                <w:color w:val="1F1F1F"/>
              </w:rPr>
              <w:t>92.5 ± 11.4</w:t>
            </w:r>
          </w:p>
        </w:tc>
        <w:tc>
          <w:tcPr>
            <w:tcW w:w="7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49158661" w14:textId="77777777" w:rsidR="00AA72C8" w:rsidRDefault="00384545">
            <w:pPr>
              <w:spacing w:before="0" w:after="480"/>
              <w:ind w:firstLine="0"/>
              <w:jc w:val="center"/>
              <w:rPr>
                <w:color w:val="1F1F1F"/>
              </w:rPr>
            </w:pPr>
            <w:r>
              <w:rPr>
                <w:color w:val="1F1F1F"/>
              </w:rPr>
              <w:t>&lt; 0.001</w:t>
            </w:r>
          </w:p>
        </w:tc>
      </w:tr>
      <w:tr w:rsidR="00AA72C8" w14:paraId="3CF3B50C" w14:textId="77777777">
        <w:trPr>
          <w:trHeight w:val="1065"/>
        </w:trPr>
        <w:tc>
          <w:tcPr>
            <w:tcW w:w="318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424FD78B" w14:textId="77777777" w:rsidR="00AA72C8" w:rsidRDefault="00384545">
            <w:pPr>
              <w:spacing w:before="0" w:after="480"/>
              <w:ind w:firstLine="0"/>
              <w:jc w:val="center"/>
              <w:rPr>
                <w:color w:val="1F1F1F"/>
              </w:rPr>
            </w:pPr>
            <w:r>
              <w:rPr>
                <w:b/>
                <w:bCs/>
                <w:color w:val="1F1F1F"/>
              </w:rPr>
              <w:t>Total Cholesterol (TC) (mg/dL)</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0C0CD33B" w14:textId="77777777" w:rsidR="00AA72C8" w:rsidRDefault="00384545">
            <w:pPr>
              <w:spacing w:before="0" w:after="480"/>
              <w:ind w:firstLine="0"/>
              <w:jc w:val="center"/>
              <w:rPr>
                <w:color w:val="1F1F1F"/>
              </w:rPr>
            </w:pPr>
            <w:r>
              <w:rPr>
                <w:color w:val="1F1F1F"/>
              </w:rPr>
              <w:t>238.5 ± 31.2</w:t>
            </w:r>
          </w:p>
        </w:tc>
        <w:tc>
          <w:tcPr>
            <w:tcW w:w="237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631028D7" w14:textId="77777777" w:rsidR="00AA72C8" w:rsidRDefault="00384545">
            <w:pPr>
              <w:spacing w:before="0" w:after="480"/>
              <w:ind w:firstLine="0"/>
              <w:jc w:val="center"/>
              <w:rPr>
                <w:color w:val="1F1F1F"/>
              </w:rPr>
            </w:pPr>
            <w:r>
              <w:rPr>
                <w:color w:val="1F1F1F"/>
              </w:rPr>
              <w:t>168.2 ± 22.5</w:t>
            </w:r>
          </w:p>
        </w:tc>
        <w:tc>
          <w:tcPr>
            <w:tcW w:w="7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7DFBB8F6" w14:textId="77777777" w:rsidR="00AA72C8" w:rsidRDefault="00384545">
            <w:pPr>
              <w:spacing w:before="0" w:after="480"/>
              <w:ind w:firstLine="0"/>
              <w:jc w:val="center"/>
              <w:rPr>
                <w:color w:val="1F1F1F"/>
              </w:rPr>
            </w:pPr>
            <w:r>
              <w:rPr>
                <w:color w:val="1F1F1F"/>
              </w:rPr>
              <w:t>&lt; 0.001</w:t>
            </w:r>
          </w:p>
        </w:tc>
      </w:tr>
      <w:tr w:rsidR="00AA72C8" w14:paraId="2152247A" w14:textId="77777777">
        <w:trPr>
          <w:trHeight w:val="1065"/>
        </w:trPr>
        <w:tc>
          <w:tcPr>
            <w:tcW w:w="318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6C75549D" w14:textId="77777777" w:rsidR="00AA72C8" w:rsidRDefault="00384545">
            <w:pPr>
              <w:spacing w:before="0" w:after="480"/>
              <w:ind w:firstLine="0"/>
              <w:jc w:val="center"/>
              <w:rPr>
                <w:color w:val="1F1F1F"/>
              </w:rPr>
            </w:pPr>
            <w:r>
              <w:rPr>
                <w:b/>
                <w:bCs/>
                <w:color w:val="1F1F1F"/>
              </w:rPr>
              <w:t>Triglycerides (TG) (mg/dL)</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6C3C0145" w14:textId="77777777" w:rsidR="00AA72C8" w:rsidRDefault="00384545">
            <w:pPr>
              <w:spacing w:before="0" w:after="480"/>
              <w:ind w:firstLine="0"/>
              <w:jc w:val="center"/>
              <w:rPr>
                <w:color w:val="1F1F1F"/>
              </w:rPr>
            </w:pPr>
            <w:r>
              <w:rPr>
                <w:color w:val="1F1F1F"/>
              </w:rPr>
              <w:t>188.7 ± 26.4</w:t>
            </w:r>
          </w:p>
        </w:tc>
        <w:tc>
          <w:tcPr>
            <w:tcW w:w="237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5509A62E" w14:textId="77777777" w:rsidR="00AA72C8" w:rsidRDefault="00384545">
            <w:pPr>
              <w:spacing w:before="0" w:after="480"/>
              <w:ind w:firstLine="0"/>
              <w:jc w:val="center"/>
              <w:rPr>
                <w:color w:val="1F1F1F"/>
              </w:rPr>
            </w:pPr>
            <w:r>
              <w:rPr>
                <w:color w:val="1F1F1F"/>
              </w:rPr>
              <w:t>112.3 ± 18.6</w:t>
            </w:r>
          </w:p>
        </w:tc>
        <w:tc>
          <w:tcPr>
            <w:tcW w:w="7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6E392520" w14:textId="77777777" w:rsidR="00AA72C8" w:rsidRDefault="00384545">
            <w:pPr>
              <w:spacing w:before="0" w:after="480"/>
              <w:ind w:firstLine="0"/>
              <w:jc w:val="center"/>
              <w:rPr>
                <w:color w:val="1F1F1F"/>
              </w:rPr>
            </w:pPr>
            <w:r>
              <w:rPr>
                <w:color w:val="1F1F1F"/>
              </w:rPr>
              <w:t>&lt; 0.001</w:t>
            </w:r>
          </w:p>
        </w:tc>
      </w:tr>
      <w:tr w:rsidR="00AA72C8" w14:paraId="6AB0B36A" w14:textId="77777777">
        <w:trPr>
          <w:trHeight w:val="1065"/>
        </w:trPr>
        <w:tc>
          <w:tcPr>
            <w:tcW w:w="318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674E2CDE" w14:textId="77777777" w:rsidR="00AA72C8" w:rsidRDefault="00384545">
            <w:pPr>
              <w:spacing w:before="0" w:after="480"/>
              <w:ind w:firstLine="0"/>
              <w:jc w:val="center"/>
              <w:rPr>
                <w:color w:val="1F1F1F"/>
              </w:rPr>
            </w:pPr>
            <w:r>
              <w:rPr>
                <w:b/>
                <w:bCs/>
                <w:color w:val="1F1F1F"/>
              </w:rPr>
              <w:t>High-Density Lipoprotein (HDL) (mg/dL)</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3D1C249A" w14:textId="77777777" w:rsidR="00AA72C8" w:rsidRDefault="00384545">
            <w:pPr>
              <w:spacing w:before="0" w:after="480"/>
              <w:ind w:firstLine="0"/>
              <w:jc w:val="center"/>
              <w:rPr>
                <w:color w:val="1F1F1F"/>
              </w:rPr>
            </w:pPr>
            <w:r>
              <w:rPr>
                <w:color w:val="1F1F1F"/>
              </w:rPr>
              <w:t>36.2 ± 7.4</w:t>
            </w:r>
          </w:p>
        </w:tc>
        <w:tc>
          <w:tcPr>
            <w:tcW w:w="237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7BB50D9F" w14:textId="77777777" w:rsidR="00AA72C8" w:rsidRDefault="00384545">
            <w:pPr>
              <w:spacing w:before="0" w:after="480"/>
              <w:ind w:firstLine="0"/>
              <w:jc w:val="center"/>
              <w:rPr>
                <w:color w:val="1F1F1F"/>
              </w:rPr>
            </w:pPr>
            <w:r>
              <w:rPr>
                <w:color w:val="1F1F1F"/>
              </w:rPr>
              <w:t>54.8 ± 8.2</w:t>
            </w:r>
          </w:p>
        </w:tc>
        <w:tc>
          <w:tcPr>
            <w:tcW w:w="7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6BD87941" w14:textId="77777777" w:rsidR="00AA72C8" w:rsidRDefault="00384545">
            <w:pPr>
              <w:spacing w:before="0" w:after="480"/>
              <w:ind w:firstLine="0"/>
              <w:jc w:val="center"/>
              <w:rPr>
                <w:color w:val="1F1F1F"/>
              </w:rPr>
            </w:pPr>
            <w:r>
              <w:rPr>
                <w:color w:val="1F1F1F"/>
              </w:rPr>
              <w:t>&lt; 0.001</w:t>
            </w:r>
          </w:p>
        </w:tc>
      </w:tr>
      <w:tr w:rsidR="00AA72C8" w14:paraId="4B26CAFC" w14:textId="77777777">
        <w:trPr>
          <w:trHeight w:val="1065"/>
        </w:trPr>
        <w:tc>
          <w:tcPr>
            <w:tcW w:w="318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17DFCCA4" w14:textId="77777777" w:rsidR="00AA72C8" w:rsidRDefault="00384545">
            <w:pPr>
              <w:spacing w:before="0" w:after="480"/>
              <w:ind w:firstLine="0"/>
              <w:jc w:val="center"/>
              <w:rPr>
                <w:color w:val="1F1F1F"/>
              </w:rPr>
            </w:pPr>
            <w:r>
              <w:rPr>
                <w:b/>
                <w:bCs/>
                <w:color w:val="1F1F1F"/>
              </w:rPr>
              <w:t>Low-Density Lipoprotein (LDL) (mg/dL)</w:t>
            </w:r>
          </w:p>
        </w:tc>
        <w:tc>
          <w:tcPr>
            <w:tcW w:w="234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7FBA6EF7" w14:textId="77777777" w:rsidR="00AA72C8" w:rsidRDefault="00384545">
            <w:pPr>
              <w:spacing w:before="0" w:after="480"/>
              <w:ind w:firstLine="0"/>
              <w:jc w:val="center"/>
              <w:rPr>
                <w:color w:val="1F1F1F"/>
              </w:rPr>
            </w:pPr>
            <w:r>
              <w:rPr>
                <w:color w:val="1F1F1F"/>
              </w:rPr>
              <w:t>158.4 ± 24.5</w:t>
            </w:r>
          </w:p>
        </w:tc>
        <w:tc>
          <w:tcPr>
            <w:tcW w:w="237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180" w:type="dxa"/>
            </w:tcMar>
          </w:tcPr>
          <w:p w14:paraId="2E3FED32" w14:textId="77777777" w:rsidR="00AA72C8" w:rsidRDefault="00384545">
            <w:pPr>
              <w:spacing w:before="0" w:after="480"/>
              <w:ind w:firstLine="0"/>
              <w:jc w:val="center"/>
              <w:rPr>
                <w:color w:val="1F1F1F"/>
              </w:rPr>
            </w:pPr>
            <w:r>
              <w:rPr>
                <w:color w:val="1F1F1F"/>
              </w:rPr>
              <w:t>98.6 ± 16.3</w:t>
            </w:r>
          </w:p>
        </w:tc>
        <w:tc>
          <w:tcPr>
            <w:tcW w:w="750" w:type="dxa"/>
            <w:tcBorders>
              <w:top w:val="single" w:sz="6" w:space="0" w:color="1F1F1F"/>
              <w:left w:val="single" w:sz="6" w:space="0" w:color="1F1F1F"/>
              <w:bottom w:val="single" w:sz="6" w:space="0" w:color="1F1F1F"/>
              <w:right w:val="single" w:sz="6" w:space="0" w:color="1F1F1F"/>
            </w:tcBorders>
            <w:tcMar>
              <w:top w:w="240" w:type="dxa"/>
              <w:left w:w="0" w:type="dxa"/>
              <w:bottom w:w="240" w:type="dxa"/>
              <w:right w:w="0" w:type="dxa"/>
            </w:tcMar>
          </w:tcPr>
          <w:p w14:paraId="657B6D8E" w14:textId="77777777" w:rsidR="00AA72C8" w:rsidRDefault="00384545">
            <w:pPr>
              <w:spacing w:before="0" w:after="480"/>
              <w:ind w:firstLine="0"/>
              <w:jc w:val="center"/>
              <w:rPr>
                <w:color w:val="1F1F1F"/>
              </w:rPr>
            </w:pPr>
            <w:r>
              <w:rPr>
                <w:color w:val="1F1F1F"/>
              </w:rPr>
              <w:t>&lt; 0.001</w:t>
            </w:r>
          </w:p>
        </w:tc>
      </w:tr>
    </w:tbl>
    <w:p w14:paraId="2A45FCB1" w14:textId="77777777" w:rsidR="00AA72C8" w:rsidRDefault="00AA72C8"/>
    <w:p w14:paraId="59FBCF4B" w14:textId="77777777" w:rsidR="00AA72C8" w:rsidRDefault="00AA72C8">
      <w:pPr>
        <w:widowControl w:val="0"/>
        <w:spacing w:before="480" w:line="349" w:lineRule="auto"/>
        <w:ind w:firstLine="0"/>
      </w:pPr>
    </w:p>
    <w:p w14:paraId="2C4C448B" w14:textId="77777777" w:rsidR="00AA72C8" w:rsidRDefault="00AA72C8">
      <w:pPr>
        <w:widowControl w:val="0"/>
        <w:spacing w:before="480" w:line="349" w:lineRule="auto"/>
        <w:ind w:firstLine="0"/>
      </w:pPr>
    </w:p>
    <w:p w14:paraId="04EE493D" w14:textId="77777777" w:rsidR="00AA72C8" w:rsidRDefault="00AA72C8">
      <w:pPr>
        <w:widowControl w:val="0"/>
        <w:spacing w:before="480" w:line="349" w:lineRule="auto"/>
        <w:ind w:firstLine="0"/>
      </w:pPr>
    </w:p>
    <w:p w14:paraId="447C5A3D" w14:textId="77777777" w:rsidR="00AA72C8" w:rsidRDefault="00384545">
      <w:pPr>
        <w:pStyle w:val="Heading2"/>
        <w:keepNext w:val="0"/>
        <w:keepLines w:val="0"/>
        <w:widowControl w:val="0"/>
        <w:rPr>
          <w:sz w:val="33"/>
          <w:szCs w:val="33"/>
        </w:rPr>
      </w:pPr>
      <w:bookmarkStart w:id="14" w:name="_mj3q9hqdwqed" w:colFirst="0" w:colLast="0"/>
      <w:bookmarkEnd w:id="14"/>
      <w:r>
        <w:rPr>
          <w:sz w:val="33"/>
          <w:szCs w:val="33"/>
        </w:rPr>
        <w:lastRenderedPageBreak/>
        <w:t>4. Discussion</w:t>
      </w:r>
    </w:p>
    <w:p w14:paraId="719EAF06" w14:textId="77777777" w:rsidR="00AA72C8" w:rsidRDefault="00384545">
      <w:pPr>
        <w:ind w:firstLine="0"/>
      </w:pPr>
      <w:r>
        <w:t xml:space="preserve">The results of the current study showed that the mean age of the patients was 55.2 years with a noticeable predominance of males </w:t>
      </w:r>
      <w:r>
        <w:t>(60%). In a previous study about cardiovascular diseases in the year 2021 in Saudi Arabia, whose goal was to assess the level of awareness of risk factors, the researchers found a highly significant association between increasing age and the disease (p=0.0</w:t>
      </w:r>
      <w:r>
        <w:t>01), but they found that females were more susceptible to heart disease (p=0.037). This indicates a partial contradiction with our current study which showed a male predominance, and this may be due to differences in daily habits, lifestyles, and smoking a</w:t>
      </w:r>
      <w:r>
        <w:t>mong communities (Alghamdi et al., 2021).</w:t>
      </w:r>
    </w:p>
    <w:p w14:paraId="6FAD635A" w14:textId="77777777" w:rsidR="00AA72C8" w:rsidRDefault="00384545">
      <w:pPr>
        <w:ind w:firstLine="0"/>
      </w:pPr>
      <w:r>
        <w:t>Regarding family history, our results demonstrated that 70% of the patients had a positive family history of cardiovascular diseases. In a previous study about family history and premature coronary heart disease in</w:t>
      </w:r>
      <w:r>
        <w:t xml:space="preserve"> the year 2020 in India, whose goal was to evaluate this association, the researchers found that family history is independently and significantly associated with the occurrence of premature heart disease with a very high odds ratio (OR=9.0), while the pre</w:t>
      </w:r>
      <w:r>
        <w:t>valence of family history in the healthy control group was only 24%. This completely agrees with our current study, clearly indicating the importance of genetics as a major risk factor in the exacerbation of circulatory system diseases (Chacko et al., 2020</w:t>
      </w:r>
      <w:r>
        <w:t>).</w:t>
      </w:r>
    </w:p>
    <w:p w14:paraId="69C95C5E" w14:textId="77777777" w:rsidR="00AA72C8" w:rsidRDefault="00384545">
      <w:pPr>
        <w:ind w:firstLine="0"/>
      </w:pPr>
      <w:r>
        <w:t xml:space="preserve">As for the Body Mass Index (BMI), our study recorded a significant increase in patients with a mean of 28.4 kg/m² compared to healthy individuals. In a previous study about the impact of BMI and risk factors in the year 2022 in India, whose goal was to </w:t>
      </w:r>
      <w:r>
        <w:t>examine the effect of medical history and physical indicators, the researchers found that higher BMI significantly mediates the association between family history and the incidence of heart disease and diabetes by 32.7% for the affected individuals. This s</w:t>
      </w:r>
      <w:r>
        <w:t>trongly aligns with our current results, indicating that obesity and weight gain play a pivotal and independent stimulating role in the onset of circulatory system diseases (Muhammad et al., 2022).</w:t>
      </w:r>
    </w:p>
    <w:p w14:paraId="6CE978E8" w14:textId="77777777" w:rsidR="00AA72C8" w:rsidRDefault="00384545">
      <w:pPr>
        <w:ind w:firstLine="0"/>
      </w:pPr>
      <w:r>
        <w:t>The results of our study showed a highly significant incre</w:t>
      </w:r>
      <w:r>
        <w:t>ase in the levels of Lactate Dehydrogenase (LDH) enzyme in patients compared to the healthy control group (345.6 vs. 175.4 U/L). In a previous study about the role of LDH as a biomarker in the year 2024 in Bosnia and Herzegovina, whose goal was to evaluate</w:t>
      </w:r>
      <w:r>
        <w:t xml:space="preserve"> the enzyme in early cardiac remodeling, the researchers found a close correlation between elevated LDH levels and poor cardiac function (p&lt;0.001), indicating that oxidative stress and tissue damage lead to enzyme leakage. This study completely agrees with</w:t>
      </w:r>
      <w:r>
        <w:t xml:space="preserve"> our current study, as the elevation of the enzyme is a vital indicator of cardiovascular and myocardial damage (Bajić et al., 2024).</w:t>
      </w:r>
    </w:p>
    <w:p w14:paraId="53D058A9" w14:textId="77777777" w:rsidR="00AA72C8" w:rsidRDefault="00384545">
      <w:pPr>
        <w:ind w:firstLine="0"/>
      </w:pPr>
      <w:r>
        <w:t xml:space="preserve">Regarding the lipid profile, our study demonstrated a notable elevation in Total Cholesterol (238.5 mg/dL), Triglycerides </w:t>
      </w:r>
      <w:r>
        <w:t xml:space="preserve">(188.7 mg/dL), and LDL, alongside a decrease in HDL levels among the patients. In a previous study about hyperlipidemia as a risk factor for cardiovascular disease in the </w:t>
      </w:r>
      <w:r>
        <w:lastRenderedPageBreak/>
        <w:t>year 2013 in the United States, whose goal was to evaluate the association between li</w:t>
      </w:r>
      <w:r>
        <w:t>pid indicators and heart disease, the researchers found that elevated LDL cholesterol and reduced HDL cholesterol are major independent risk factors. They noted that every 1% decrease in LDL results in approximately a 1% decrease in the relative risk for m</w:t>
      </w:r>
      <w:r>
        <w:t>ajor cardiovascular events, highlighting the strong correlation between dyslipidemia and atherosclerosis (Nelson, 2013). This is perfectly consistent with our current study, and this may be due to the effect of low-den</w:t>
      </w:r>
    </w:p>
    <w:p w14:paraId="7AE63950" w14:textId="77777777" w:rsidR="00AA72C8" w:rsidRDefault="00384545">
      <w:pPr>
        <w:ind w:firstLine="0"/>
      </w:pPr>
      <w:r>
        <w:t>Finally, the results showed a clear i</w:t>
      </w:r>
      <w:r>
        <w:t>ncrease in Fasting Blood Sugar (FBS) levels in patients with circulatory diseases, with a mean of 135.4 mg/dL. In a previous study about fasting glucose levels and the risk of heart disease in the year 2019 in South Korea, whose goal was to evaluate cardio</w:t>
      </w:r>
      <w:r>
        <w:t>vascular risks, the researchers found that fasting glucose levels exceeding 126 mg/dL significantly increase the risk of myocardial infarction (HR=2.18) compared to normal levels. This strongly agrees with our study's results, indicating that insulin resis</w:t>
      </w:r>
      <w:r>
        <w:t>tance and impaired glucose metabolism are major contributing and stimulating factors for the exacerbation of circulatory system diseases (Kim et al., 2019).</w:t>
      </w:r>
    </w:p>
    <w:p w14:paraId="6D319DCF" w14:textId="77777777" w:rsidR="00AA72C8" w:rsidRDefault="00384545">
      <w:pPr>
        <w:ind w:firstLine="0"/>
      </w:pPr>
      <w:r>
        <w:t>The integration of our findings reveals a significant interplay between physical characteristics an</w:t>
      </w:r>
      <w:r>
        <w:t>d biochemical alterations in the development of circulatory diseases. The patients in our study who had higher BMI and a positive family history simultaneously presented with elevated LDH and severe dyslipidemia. In a previous study about the association o</w:t>
      </w:r>
      <w:r>
        <w:t>f obesity and genetics with cardiovascular biomarkers in the year 2021 in the United States, whose goal was to evaluate this complex relationship, the researchers found a strong positive correlation between increased body mass and elevated cardiac biomarke</w:t>
      </w:r>
      <w:r>
        <w:t>rs. They observed that patients with a BMI over 28 kg/m² had a 45% higher incidence of abnormal lipid profiles and significantly elevated baseline LDH levels (p&lt;0.001). This firmly indicates that traditional demographic risk factors, such as obesity and ge</w:t>
      </w:r>
      <w:r>
        <w:t>netics, directly exacerbate the biochemical deterioration, thereby accelerating vascular damage, metabolic dysfunction, and overall disease progression (Powell-Wiley et al., 2021).</w:t>
      </w:r>
    </w:p>
    <w:p w14:paraId="237FEFD5" w14:textId="77777777" w:rsidR="00AA72C8" w:rsidRDefault="00AA72C8"/>
    <w:p w14:paraId="7E208BED" w14:textId="77777777" w:rsidR="00AA72C8" w:rsidRDefault="00384545">
      <w:pPr>
        <w:pStyle w:val="Heading2"/>
        <w:keepNext w:val="0"/>
        <w:keepLines w:val="0"/>
        <w:widowControl w:val="0"/>
        <w:rPr>
          <w:sz w:val="33"/>
          <w:szCs w:val="33"/>
        </w:rPr>
      </w:pPr>
      <w:bookmarkStart w:id="15" w:name="_a863pubx6frv" w:colFirst="0" w:colLast="0"/>
      <w:bookmarkEnd w:id="15"/>
      <w:r>
        <w:rPr>
          <w:sz w:val="33"/>
          <w:szCs w:val="33"/>
        </w:rPr>
        <w:t>5. Conclusions</w:t>
      </w:r>
    </w:p>
    <w:p w14:paraId="41A5033A" w14:textId="77777777" w:rsidR="00AA72C8" w:rsidRDefault="00384545">
      <w:r>
        <w:t>This study concludes that lactate dehydrogenase (LDH) serve</w:t>
      </w:r>
      <w:r>
        <w:t>s as a crucial biomarker for the early detection of circulatory system diseases, as evidenced by its significantly elevated serum levels in patients compared to healthy controls. This enzymatic increase is closely accompanied by severe biochemical imbalanc</w:t>
      </w:r>
      <w:r>
        <w:t>es, including elevated fasting blood sugar, total cholesterol, triglycerides, and low-density lipoprotein (LDL), alongside reduced high-density lipoprotein (HDL) levels. Furthermore, demographic risk factors such as an increased body mass index (BMI) and a</w:t>
      </w:r>
      <w:r>
        <w:t xml:space="preserve"> positive family history independently accelerate these metabolic disruptions. Therefore, integrating the regular assessment of serum LDH levels into routine diagnostic panels is highly </w:t>
      </w:r>
      <w:r>
        <w:lastRenderedPageBreak/>
        <w:t>recommended to enhance early diagnosis, risk stratification, and overa</w:t>
      </w:r>
      <w:r>
        <w:t>ll clinical management of patients with cardiovascular conditions.</w:t>
      </w:r>
    </w:p>
    <w:p w14:paraId="727992EC" w14:textId="77777777" w:rsidR="00AA72C8" w:rsidRDefault="00384545">
      <w:pPr>
        <w:pStyle w:val="Heading2"/>
        <w:keepNext w:val="0"/>
        <w:keepLines w:val="0"/>
        <w:widowControl w:val="0"/>
        <w:rPr>
          <w:rFonts w:ascii="Arial" w:eastAsia="Arial" w:hAnsi="Arial" w:cs="Arial"/>
          <w:color w:val="1F1F1F"/>
        </w:rPr>
      </w:pPr>
      <w:bookmarkStart w:id="16" w:name="_gvpv8i7xj27j" w:colFirst="0" w:colLast="0"/>
      <w:bookmarkEnd w:id="16"/>
      <w:r>
        <w:rPr>
          <w:sz w:val="33"/>
          <w:szCs w:val="33"/>
        </w:rPr>
        <w:t xml:space="preserve"> References</w:t>
      </w:r>
    </w:p>
    <w:p w14:paraId="3D06532F" w14:textId="77777777" w:rsidR="00AA72C8" w:rsidRDefault="00384545">
      <w:pPr>
        <w:numPr>
          <w:ilvl w:val="0"/>
          <w:numId w:val="2"/>
        </w:numPr>
        <w:spacing w:before="0" w:after="0"/>
        <w:rPr>
          <w:b/>
          <w:bCs/>
        </w:rPr>
      </w:pPr>
      <w:r>
        <w:rPr>
          <w:rFonts w:ascii="Arial" w:eastAsia="Arial" w:hAnsi="Arial" w:cs="Arial"/>
          <w:b/>
          <w:bCs/>
          <w:color w:val="1F1F1F"/>
        </w:rPr>
        <w:t xml:space="preserve">Alghamdi, A. S., Alzahrani, M. S., </w:t>
      </w:r>
      <w:proofErr w:type="spellStart"/>
      <w:r>
        <w:rPr>
          <w:rFonts w:ascii="Arial" w:eastAsia="Arial" w:hAnsi="Arial" w:cs="Arial"/>
          <w:b/>
          <w:bCs/>
          <w:color w:val="1F1F1F"/>
        </w:rPr>
        <w:t>Alsolami</w:t>
      </w:r>
      <w:proofErr w:type="spellEnd"/>
      <w:r>
        <w:rPr>
          <w:rFonts w:ascii="Arial" w:eastAsia="Arial" w:hAnsi="Arial" w:cs="Arial"/>
          <w:b/>
          <w:bCs/>
          <w:color w:val="1F1F1F"/>
        </w:rPr>
        <w:t xml:space="preserve">, B. M., Thabet, S. A., Alghamdi, B. S., </w:t>
      </w:r>
      <w:proofErr w:type="spellStart"/>
      <w:r>
        <w:rPr>
          <w:rFonts w:ascii="Arial" w:eastAsia="Arial" w:hAnsi="Arial" w:cs="Arial"/>
          <w:b/>
          <w:bCs/>
          <w:color w:val="1F1F1F"/>
        </w:rPr>
        <w:t>Kinsara</w:t>
      </w:r>
      <w:proofErr w:type="spellEnd"/>
      <w:r>
        <w:rPr>
          <w:rFonts w:ascii="Arial" w:eastAsia="Arial" w:hAnsi="Arial" w:cs="Arial"/>
          <w:b/>
          <w:bCs/>
          <w:color w:val="1F1F1F"/>
        </w:rPr>
        <w:t xml:space="preserve">, A. J. 2021. A Community-Based, Cross-Sectional Study Assessing the Level of </w:t>
      </w:r>
      <w:r>
        <w:rPr>
          <w:rFonts w:ascii="Arial" w:eastAsia="Arial" w:hAnsi="Arial" w:cs="Arial"/>
          <w:b/>
          <w:bCs/>
          <w:color w:val="1F1F1F"/>
        </w:rPr>
        <w:t>Awareness and Insight Related to Cardiovascular Diseases. Cureus.</w:t>
      </w:r>
      <w:hyperlink r:id="rId7">
        <w:r w:rsidR="00AA72C8">
          <w:rPr>
            <w:rFonts w:ascii="Arial" w:eastAsia="Arial" w:hAnsi="Arial" w:cs="Arial"/>
            <w:b/>
            <w:bCs/>
            <w:color w:val="1F1F1F"/>
          </w:rPr>
          <w:t xml:space="preserve"> </w:t>
        </w:r>
      </w:hyperlink>
      <w:hyperlink r:id="rId8">
        <w:r w:rsidR="00AA72C8">
          <w:rPr>
            <w:rFonts w:ascii="Arial" w:eastAsia="Arial" w:hAnsi="Arial" w:cs="Arial"/>
            <w:b/>
            <w:bCs/>
            <w:color w:val="0B57D0"/>
            <w:u w:val="single"/>
          </w:rPr>
          <w:t>https://pmc.ncbi.nlm.nih.gov/articles/PMC8281779/</w:t>
        </w:r>
      </w:hyperlink>
    </w:p>
    <w:p w14:paraId="36B1F7D5" w14:textId="77777777" w:rsidR="00AA72C8" w:rsidRDefault="00384545">
      <w:pPr>
        <w:numPr>
          <w:ilvl w:val="0"/>
          <w:numId w:val="2"/>
        </w:numPr>
        <w:spacing w:before="0" w:after="0"/>
        <w:rPr>
          <w:b/>
          <w:bCs/>
        </w:rPr>
      </w:pPr>
      <w:r>
        <w:rPr>
          <w:rFonts w:ascii="Arial" w:eastAsia="Arial" w:hAnsi="Arial" w:cs="Arial"/>
          <w:b/>
          <w:bCs/>
          <w:color w:val="1F1F1F"/>
        </w:rPr>
        <w:t>Al</w:t>
      </w:r>
      <w:r>
        <w:rPr>
          <w:rFonts w:ascii="Arial" w:eastAsia="Arial" w:hAnsi="Arial" w:cs="Arial"/>
          <w:b/>
          <w:bCs/>
          <w:color w:val="1F1F1F"/>
        </w:rPr>
        <w:t>i, et al. 2025. Cardiovascular Biomarkers: Tools for Precision Diagnosis and Prognosis. MDPI.</w:t>
      </w:r>
      <w:hyperlink r:id="rId9">
        <w:r w:rsidR="00AA72C8">
          <w:rPr>
            <w:rFonts w:ascii="Arial" w:eastAsia="Arial" w:hAnsi="Arial" w:cs="Arial"/>
            <w:b/>
            <w:bCs/>
            <w:color w:val="1F1F1F"/>
          </w:rPr>
          <w:t xml:space="preserve"> </w:t>
        </w:r>
      </w:hyperlink>
      <w:hyperlink r:id="rId10">
        <w:r w:rsidR="00AA72C8">
          <w:rPr>
            <w:rFonts w:ascii="Arial" w:eastAsia="Arial" w:hAnsi="Arial" w:cs="Arial"/>
            <w:b/>
            <w:bCs/>
            <w:color w:val="0B57D0"/>
            <w:u w:val="single"/>
          </w:rPr>
          <w:t>https://www.mdpi.com/1422-0067/26/7/3218</w:t>
        </w:r>
      </w:hyperlink>
    </w:p>
    <w:p w14:paraId="647D8456" w14:textId="77777777" w:rsidR="00AA72C8" w:rsidRDefault="00384545">
      <w:pPr>
        <w:numPr>
          <w:ilvl w:val="0"/>
          <w:numId w:val="2"/>
        </w:numPr>
        <w:spacing w:before="0" w:after="0"/>
        <w:rPr>
          <w:b/>
          <w:bCs/>
        </w:rPr>
      </w:pPr>
      <w:r>
        <w:rPr>
          <w:rFonts w:ascii="Arial" w:eastAsia="Arial" w:hAnsi="Arial" w:cs="Arial"/>
          <w:b/>
          <w:bCs/>
          <w:color w:val="1F1F1F"/>
        </w:rPr>
        <w:t>A</w:t>
      </w:r>
      <w:r>
        <w:rPr>
          <w:rFonts w:ascii="Arial" w:eastAsia="Arial" w:hAnsi="Arial" w:cs="Arial"/>
          <w:b/>
          <w:bCs/>
          <w:color w:val="1F1F1F"/>
        </w:rPr>
        <w:t>ydin, S., et al. 2019. Biomarkers in acute myocardial infarction: current perspectives. PMC.</w:t>
      </w:r>
      <w:hyperlink r:id="rId11">
        <w:r w:rsidR="00AA72C8">
          <w:rPr>
            <w:rFonts w:ascii="Arial" w:eastAsia="Arial" w:hAnsi="Arial" w:cs="Arial"/>
            <w:b/>
            <w:bCs/>
            <w:color w:val="1F1F1F"/>
          </w:rPr>
          <w:t xml:space="preserve"> </w:t>
        </w:r>
      </w:hyperlink>
      <w:hyperlink r:id="rId12">
        <w:r w:rsidR="00AA72C8">
          <w:rPr>
            <w:rFonts w:ascii="Arial" w:eastAsia="Arial" w:hAnsi="Arial" w:cs="Arial"/>
            <w:b/>
            <w:bCs/>
            <w:color w:val="0B57D0"/>
            <w:u w:val="single"/>
          </w:rPr>
          <w:t>https://pmc.ncbi.nlm.nih.gov/articles/PMC6340361/</w:t>
        </w:r>
      </w:hyperlink>
    </w:p>
    <w:p w14:paraId="3E4ACEE7" w14:textId="77777777" w:rsidR="00AA72C8" w:rsidRDefault="00384545">
      <w:pPr>
        <w:numPr>
          <w:ilvl w:val="0"/>
          <w:numId w:val="2"/>
        </w:numPr>
        <w:spacing w:before="0" w:after="0"/>
        <w:rPr>
          <w:b/>
          <w:bCs/>
        </w:rPr>
      </w:pPr>
      <w:r>
        <w:rPr>
          <w:rFonts w:ascii="Arial" w:eastAsia="Arial" w:hAnsi="Arial" w:cs="Arial"/>
          <w:b/>
          <w:bCs/>
          <w:color w:val="1F1F1F"/>
        </w:rPr>
        <w:t>Bajić, Z., et al. 2024. Role of Lactate Dehydrogenase as a Biomarker of Early Cardiac Remodeling: A Cross-Sectional Study. PMC.</w:t>
      </w:r>
      <w:hyperlink r:id="rId13">
        <w:r w:rsidR="00AA72C8">
          <w:rPr>
            <w:rFonts w:ascii="Arial" w:eastAsia="Arial" w:hAnsi="Arial" w:cs="Arial"/>
            <w:b/>
            <w:bCs/>
            <w:color w:val="1F1F1F"/>
          </w:rPr>
          <w:t xml:space="preserve"> </w:t>
        </w:r>
      </w:hyperlink>
      <w:hyperlink r:id="rId14">
        <w:r w:rsidR="00AA72C8">
          <w:rPr>
            <w:rFonts w:ascii="Arial" w:eastAsia="Arial" w:hAnsi="Arial" w:cs="Arial"/>
            <w:b/>
            <w:bCs/>
            <w:color w:val="0B57D0"/>
            <w:u w:val="single"/>
          </w:rPr>
          <w:t>https://pmc.ncbi.nlm.nih.gov/articles/PMC11458937/</w:t>
        </w:r>
      </w:hyperlink>
    </w:p>
    <w:p w14:paraId="56F050D4" w14:textId="77777777" w:rsidR="00AA72C8" w:rsidRDefault="00384545">
      <w:pPr>
        <w:numPr>
          <w:ilvl w:val="0"/>
          <w:numId w:val="2"/>
        </w:numPr>
        <w:spacing w:before="0" w:after="0"/>
        <w:rPr>
          <w:b/>
          <w:bCs/>
        </w:rPr>
      </w:pPr>
      <w:r>
        <w:rPr>
          <w:rFonts w:ascii="Arial" w:eastAsia="Arial" w:hAnsi="Arial" w:cs="Arial"/>
          <w:b/>
          <w:bCs/>
          <w:color w:val="1F1F1F"/>
        </w:rPr>
        <w:t>Chacko, M., Sarma, P. S., Harikrishnan, S., Zachariah, G., Jeemon, P. 2020. Family history of cardiovascular disease and risk of premature coronary heart disease: A mat</w:t>
      </w:r>
      <w:r>
        <w:rPr>
          <w:rFonts w:ascii="Arial" w:eastAsia="Arial" w:hAnsi="Arial" w:cs="Arial"/>
          <w:b/>
          <w:bCs/>
          <w:color w:val="1F1F1F"/>
        </w:rPr>
        <w:t xml:space="preserve">ched case-control study. </w:t>
      </w:r>
      <w:proofErr w:type="spellStart"/>
      <w:r>
        <w:rPr>
          <w:rFonts w:ascii="Arial" w:eastAsia="Arial" w:hAnsi="Arial" w:cs="Arial"/>
          <w:b/>
          <w:bCs/>
          <w:color w:val="1F1F1F"/>
        </w:rPr>
        <w:t>Wellcome</w:t>
      </w:r>
      <w:proofErr w:type="spellEnd"/>
      <w:r>
        <w:rPr>
          <w:rFonts w:ascii="Arial" w:eastAsia="Arial" w:hAnsi="Arial" w:cs="Arial"/>
          <w:b/>
          <w:bCs/>
          <w:color w:val="1F1F1F"/>
        </w:rPr>
        <w:t xml:space="preserve"> Open Research.</w:t>
      </w:r>
      <w:hyperlink r:id="rId15">
        <w:r w:rsidR="00AA72C8">
          <w:rPr>
            <w:rFonts w:ascii="Arial" w:eastAsia="Arial" w:hAnsi="Arial" w:cs="Arial"/>
            <w:b/>
            <w:bCs/>
            <w:color w:val="1F1F1F"/>
          </w:rPr>
          <w:t xml:space="preserve"> </w:t>
        </w:r>
      </w:hyperlink>
      <w:hyperlink r:id="rId16">
        <w:r w:rsidR="00AA72C8">
          <w:rPr>
            <w:rFonts w:ascii="Arial" w:eastAsia="Arial" w:hAnsi="Arial" w:cs="Arial"/>
            <w:b/>
            <w:bCs/>
            <w:color w:val="0B57D0"/>
            <w:u w:val="single"/>
          </w:rPr>
          <w:t>https://pmc.ncbi.nlm.nih.gov/articles/PMC7256470/</w:t>
        </w:r>
      </w:hyperlink>
    </w:p>
    <w:p w14:paraId="5C59B7D8" w14:textId="77777777" w:rsidR="00AA72C8" w:rsidRDefault="00384545">
      <w:pPr>
        <w:numPr>
          <w:ilvl w:val="0"/>
          <w:numId w:val="2"/>
        </w:numPr>
        <w:spacing w:before="0" w:after="0"/>
        <w:rPr>
          <w:b/>
          <w:bCs/>
        </w:rPr>
      </w:pPr>
      <w:r>
        <w:rPr>
          <w:rFonts w:ascii="Arial" w:eastAsia="Arial" w:hAnsi="Arial" w:cs="Arial"/>
          <w:b/>
          <w:bCs/>
          <w:color w:val="1F1F1F"/>
        </w:rPr>
        <w:t>Kim, G., et al. 201</w:t>
      </w:r>
      <w:r>
        <w:rPr>
          <w:rFonts w:ascii="Arial" w:eastAsia="Arial" w:hAnsi="Arial" w:cs="Arial"/>
          <w:b/>
          <w:bCs/>
          <w:color w:val="1F1F1F"/>
        </w:rPr>
        <w:t>9. Fasting Blood Glucose Level and Risk of Cardiovascular Disease and All-Cause Mortality in Korea. American Heart Association Journal.</w:t>
      </w:r>
      <w:hyperlink r:id="rId17">
        <w:r w:rsidR="00AA72C8">
          <w:rPr>
            <w:rFonts w:ascii="Arial" w:eastAsia="Arial" w:hAnsi="Arial" w:cs="Arial"/>
            <w:b/>
            <w:bCs/>
            <w:color w:val="1F1F1F"/>
          </w:rPr>
          <w:t xml:space="preserve"> </w:t>
        </w:r>
      </w:hyperlink>
      <w:hyperlink r:id="rId18">
        <w:r w:rsidR="00AA72C8">
          <w:rPr>
            <w:rFonts w:ascii="Arial" w:eastAsia="Arial" w:hAnsi="Arial" w:cs="Arial"/>
            <w:b/>
            <w:bCs/>
            <w:color w:val="0B57D0"/>
            <w:u w:val="single"/>
          </w:rPr>
          <w:t>https://www.ahajournals.org/doi/10.1161/JAHA.119.013165</w:t>
        </w:r>
      </w:hyperlink>
    </w:p>
    <w:p w14:paraId="78EEC9B5" w14:textId="77777777" w:rsidR="00AA72C8" w:rsidRDefault="00384545">
      <w:pPr>
        <w:numPr>
          <w:ilvl w:val="0"/>
          <w:numId w:val="2"/>
        </w:numPr>
        <w:spacing w:before="0" w:after="0"/>
        <w:rPr>
          <w:b/>
          <w:bCs/>
        </w:rPr>
      </w:pPr>
      <w:r>
        <w:rPr>
          <w:rFonts w:ascii="Arial" w:eastAsia="Arial" w:hAnsi="Arial" w:cs="Arial"/>
          <w:b/>
          <w:bCs/>
          <w:color w:val="1F1F1F"/>
        </w:rPr>
        <w:t xml:space="preserve">Mishra, P., et al. 2019. Descriptive statistics and normality tests for statistical data. Annals of Cardiac </w:t>
      </w:r>
      <w:proofErr w:type="spellStart"/>
      <w:r>
        <w:rPr>
          <w:rFonts w:ascii="Arial" w:eastAsia="Arial" w:hAnsi="Arial" w:cs="Arial"/>
          <w:b/>
          <w:bCs/>
          <w:color w:val="1F1F1F"/>
        </w:rPr>
        <w:t>Anaesthesia</w:t>
      </w:r>
      <w:proofErr w:type="spellEnd"/>
      <w:r>
        <w:rPr>
          <w:rFonts w:ascii="Arial" w:eastAsia="Arial" w:hAnsi="Arial" w:cs="Arial"/>
          <w:b/>
          <w:bCs/>
          <w:color w:val="1F1F1F"/>
        </w:rPr>
        <w:t>. PMC.</w:t>
      </w:r>
      <w:hyperlink r:id="rId19">
        <w:r w:rsidR="00AA72C8">
          <w:rPr>
            <w:rFonts w:ascii="Arial" w:eastAsia="Arial" w:hAnsi="Arial" w:cs="Arial"/>
            <w:b/>
            <w:bCs/>
            <w:color w:val="1F1F1F"/>
          </w:rPr>
          <w:t xml:space="preserve"> </w:t>
        </w:r>
      </w:hyperlink>
      <w:hyperlink r:id="rId20">
        <w:r w:rsidR="00AA72C8">
          <w:rPr>
            <w:rFonts w:ascii="Arial" w:eastAsia="Arial" w:hAnsi="Arial" w:cs="Arial"/>
            <w:b/>
            <w:bCs/>
            <w:color w:val="0B57D0"/>
            <w:u w:val="single"/>
          </w:rPr>
          <w:t>https://pmc.ncbi.nlm.nih.gov/articles/PMC6350423/</w:t>
        </w:r>
      </w:hyperlink>
    </w:p>
    <w:p w14:paraId="7BBD28B3" w14:textId="77777777" w:rsidR="00AA72C8" w:rsidRDefault="00384545">
      <w:pPr>
        <w:numPr>
          <w:ilvl w:val="0"/>
          <w:numId w:val="2"/>
        </w:numPr>
        <w:spacing w:before="0" w:after="0"/>
        <w:rPr>
          <w:b/>
          <w:bCs/>
        </w:rPr>
      </w:pPr>
      <w:r>
        <w:rPr>
          <w:rFonts w:ascii="Arial" w:eastAsia="Arial" w:hAnsi="Arial" w:cs="Arial"/>
          <w:b/>
          <w:bCs/>
          <w:color w:val="1F1F1F"/>
        </w:rPr>
        <w:t>Muhammad, T., Irshad, C. V., Rajan, S. I. 2022. BMI mediates the association of family medical history with self</w:t>
      </w:r>
      <w:r>
        <w:rPr>
          <w:rFonts w:ascii="Arial" w:eastAsia="Arial" w:hAnsi="Arial" w:cs="Arial"/>
          <w:b/>
          <w:bCs/>
          <w:color w:val="1F1F1F"/>
        </w:rPr>
        <w:t>-reported hypertension and diabetes among older adults: Evidence from baseline wave of the longitudinal aging study in India. SSM - Population Health.</w:t>
      </w:r>
      <w:hyperlink r:id="rId21">
        <w:r w:rsidR="00AA72C8">
          <w:rPr>
            <w:rFonts w:ascii="Arial" w:eastAsia="Arial" w:hAnsi="Arial" w:cs="Arial"/>
            <w:b/>
            <w:bCs/>
            <w:color w:val="1F1F1F"/>
          </w:rPr>
          <w:t xml:space="preserve"> </w:t>
        </w:r>
      </w:hyperlink>
      <w:hyperlink r:id="rId22">
        <w:r w:rsidR="00AA72C8">
          <w:rPr>
            <w:rFonts w:ascii="Arial" w:eastAsia="Arial" w:hAnsi="Arial" w:cs="Arial"/>
            <w:b/>
            <w:bCs/>
            <w:color w:val="0B57D0"/>
            <w:u w:val="single"/>
          </w:rPr>
          <w:t>https://pmc.ncbi.nlm.nih.gov/articles/PMC9310107/</w:t>
        </w:r>
      </w:hyperlink>
    </w:p>
    <w:p w14:paraId="22CF5649" w14:textId="77777777" w:rsidR="00AA72C8" w:rsidRDefault="00384545">
      <w:pPr>
        <w:numPr>
          <w:ilvl w:val="0"/>
          <w:numId w:val="2"/>
        </w:numPr>
        <w:spacing w:before="0" w:after="0"/>
        <w:rPr>
          <w:b/>
          <w:bCs/>
        </w:rPr>
      </w:pPr>
      <w:r>
        <w:rPr>
          <w:rFonts w:ascii="Arial" w:eastAsia="Arial" w:hAnsi="Arial" w:cs="Arial"/>
          <w:b/>
          <w:bCs/>
          <w:color w:val="1F1F1F"/>
        </w:rPr>
        <w:t>Nelson, R. H. 2013. Hyperlipidemia as a Risk Factor for Cardiovascular Disease. Primary Care.</w:t>
      </w:r>
      <w:hyperlink r:id="rId23">
        <w:r w:rsidR="00AA72C8">
          <w:rPr>
            <w:rFonts w:ascii="Arial" w:eastAsia="Arial" w:hAnsi="Arial" w:cs="Arial"/>
            <w:b/>
            <w:bCs/>
            <w:color w:val="1F1F1F"/>
          </w:rPr>
          <w:t xml:space="preserve"> </w:t>
        </w:r>
      </w:hyperlink>
      <w:hyperlink r:id="rId24">
        <w:r w:rsidR="00AA72C8">
          <w:rPr>
            <w:rFonts w:ascii="Arial" w:eastAsia="Arial" w:hAnsi="Arial" w:cs="Arial"/>
            <w:b/>
            <w:bCs/>
            <w:color w:val="1155CC"/>
            <w:u w:val="single"/>
          </w:rPr>
          <w:t>https://pmc.ncbi.nlm.nih.gov/articles/PMC3572442/</w:t>
        </w:r>
      </w:hyperlink>
    </w:p>
    <w:p w14:paraId="072E00B8" w14:textId="77777777" w:rsidR="00AA72C8" w:rsidRDefault="00384545">
      <w:pPr>
        <w:numPr>
          <w:ilvl w:val="0"/>
          <w:numId w:val="2"/>
        </w:numPr>
        <w:spacing w:before="0" w:after="0"/>
        <w:rPr>
          <w:b/>
          <w:bCs/>
        </w:rPr>
      </w:pPr>
      <w:r>
        <w:rPr>
          <w:rFonts w:ascii="Arial" w:eastAsia="Arial" w:hAnsi="Arial" w:cs="Arial"/>
          <w:b/>
          <w:bCs/>
          <w:color w:val="1F1F1F"/>
        </w:rPr>
        <w:t xml:space="preserve">Powell-Wiley, T. M., et al. 2021. Obesity and Cardiovascular Disease: A Scientific Statement </w:t>
      </w:r>
      <w:proofErr w:type="gramStart"/>
      <w:r>
        <w:rPr>
          <w:rFonts w:ascii="Arial" w:eastAsia="Arial" w:hAnsi="Arial" w:cs="Arial"/>
          <w:b/>
          <w:bCs/>
          <w:color w:val="1F1F1F"/>
        </w:rPr>
        <w:t>From</w:t>
      </w:r>
      <w:proofErr w:type="gramEnd"/>
      <w:r>
        <w:rPr>
          <w:rFonts w:ascii="Arial" w:eastAsia="Arial" w:hAnsi="Arial" w:cs="Arial"/>
          <w:b/>
          <w:bCs/>
          <w:color w:val="1F1F1F"/>
        </w:rPr>
        <w:t xml:space="preserve"> the American He</w:t>
      </w:r>
      <w:r>
        <w:rPr>
          <w:rFonts w:ascii="Arial" w:eastAsia="Arial" w:hAnsi="Arial" w:cs="Arial"/>
          <w:b/>
          <w:bCs/>
          <w:color w:val="1F1F1F"/>
        </w:rPr>
        <w:t>art Association. Circulation.</w:t>
      </w:r>
      <w:hyperlink r:id="rId25">
        <w:r w:rsidR="00AA72C8">
          <w:rPr>
            <w:rFonts w:ascii="Arial" w:eastAsia="Arial" w:hAnsi="Arial" w:cs="Arial"/>
            <w:b/>
            <w:bCs/>
            <w:color w:val="1F1F1F"/>
          </w:rPr>
          <w:t xml:space="preserve"> </w:t>
        </w:r>
      </w:hyperlink>
      <w:hyperlink r:id="rId26">
        <w:r w:rsidR="00AA72C8">
          <w:rPr>
            <w:rFonts w:ascii="Arial" w:eastAsia="Arial" w:hAnsi="Arial" w:cs="Arial"/>
            <w:b/>
            <w:bCs/>
            <w:color w:val="0B57D0"/>
            <w:u w:val="single"/>
          </w:rPr>
          <w:t>https://www.ahajournals.org/doi/10.1161/CIR.0000000000000973</w:t>
        </w:r>
      </w:hyperlink>
    </w:p>
    <w:p w14:paraId="0ADE504A" w14:textId="77777777" w:rsidR="00AA72C8" w:rsidRDefault="00384545">
      <w:pPr>
        <w:numPr>
          <w:ilvl w:val="0"/>
          <w:numId w:val="2"/>
        </w:numPr>
        <w:spacing w:before="0" w:after="0"/>
        <w:rPr>
          <w:b/>
          <w:bCs/>
        </w:rPr>
      </w:pPr>
      <w:r>
        <w:rPr>
          <w:rFonts w:ascii="Arial" w:eastAsia="Arial" w:hAnsi="Arial" w:cs="Arial"/>
          <w:b/>
          <w:bCs/>
          <w:color w:val="1F1F1F"/>
        </w:rPr>
        <w:t>Samec</w:t>
      </w:r>
      <w:r>
        <w:rPr>
          <w:rFonts w:ascii="Arial" w:eastAsia="Arial" w:hAnsi="Arial" w:cs="Arial"/>
          <w:b/>
          <w:bCs/>
          <w:color w:val="1F1F1F"/>
        </w:rPr>
        <w:t xml:space="preserve">, M., Pokusa, M., </w:t>
      </w:r>
      <w:proofErr w:type="spellStart"/>
      <w:r>
        <w:rPr>
          <w:rFonts w:ascii="Arial" w:eastAsia="Arial" w:hAnsi="Arial" w:cs="Arial"/>
          <w:b/>
          <w:bCs/>
          <w:color w:val="1F1F1F"/>
        </w:rPr>
        <w:t>Evinova</w:t>
      </w:r>
      <w:proofErr w:type="spellEnd"/>
      <w:r>
        <w:rPr>
          <w:rFonts w:ascii="Arial" w:eastAsia="Arial" w:hAnsi="Arial" w:cs="Arial"/>
          <w:b/>
          <w:bCs/>
          <w:color w:val="1F1F1F"/>
        </w:rPr>
        <w:t xml:space="preserve">, A., </w:t>
      </w:r>
      <w:proofErr w:type="spellStart"/>
      <w:r>
        <w:rPr>
          <w:rFonts w:ascii="Arial" w:eastAsia="Arial" w:hAnsi="Arial" w:cs="Arial"/>
          <w:b/>
          <w:bCs/>
          <w:color w:val="1F1F1F"/>
        </w:rPr>
        <w:t>Pecova</w:t>
      </w:r>
      <w:proofErr w:type="spellEnd"/>
      <w:r>
        <w:rPr>
          <w:rFonts w:ascii="Arial" w:eastAsia="Arial" w:hAnsi="Arial" w:cs="Arial"/>
          <w:b/>
          <w:bCs/>
          <w:color w:val="1F1F1F"/>
        </w:rPr>
        <w:t>, R. 2019. Cardiovascular Disease: An Introduction. ResearchGate.</w:t>
      </w:r>
      <w:hyperlink r:id="rId27">
        <w:r w:rsidR="00AA72C8">
          <w:rPr>
            <w:rFonts w:ascii="Arial" w:eastAsia="Arial" w:hAnsi="Arial" w:cs="Arial"/>
            <w:b/>
            <w:bCs/>
            <w:color w:val="1F1F1F"/>
          </w:rPr>
          <w:t xml:space="preserve"> </w:t>
        </w:r>
      </w:hyperlink>
      <w:hyperlink r:id="rId28">
        <w:r w:rsidR="00AA72C8">
          <w:rPr>
            <w:rFonts w:ascii="Arial" w:eastAsia="Arial" w:hAnsi="Arial" w:cs="Arial"/>
            <w:b/>
            <w:bCs/>
            <w:color w:val="0B57D0"/>
            <w:u w:val="single"/>
          </w:rPr>
          <w:t>https://www.researchgate.net/publication/331172387_Cardiovascular_Disease_An_Introduction</w:t>
        </w:r>
      </w:hyperlink>
    </w:p>
    <w:p w14:paraId="0DBAD844" w14:textId="77777777" w:rsidR="00AA72C8" w:rsidRDefault="00384545">
      <w:pPr>
        <w:numPr>
          <w:ilvl w:val="0"/>
          <w:numId w:val="2"/>
        </w:numPr>
        <w:spacing w:before="0" w:after="0"/>
        <w:rPr>
          <w:b/>
          <w:bCs/>
        </w:rPr>
      </w:pPr>
      <w:proofErr w:type="spellStart"/>
      <w:r>
        <w:rPr>
          <w:rFonts w:ascii="Arial" w:eastAsia="Arial" w:hAnsi="Arial" w:cs="Arial"/>
          <w:b/>
          <w:bCs/>
          <w:color w:val="1F1F1F"/>
        </w:rPr>
        <w:t>Simundic</w:t>
      </w:r>
      <w:proofErr w:type="spellEnd"/>
      <w:r>
        <w:rPr>
          <w:rFonts w:ascii="Arial" w:eastAsia="Arial" w:hAnsi="Arial" w:cs="Arial"/>
          <w:b/>
          <w:bCs/>
          <w:color w:val="1F1F1F"/>
        </w:rPr>
        <w:t>, A. M., et al. 2018. Joint EFLM-COLABIOCLI Recommendation for venous blood sampling. Clinica</w:t>
      </w:r>
      <w:r>
        <w:rPr>
          <w:rFonts w:ascii="Arial" w:eastAsia="Arial" w:hAnsi="Arial" w:cs="Arial"/>
          <w:b/>
          <w:bCs/>
          <w:color w:val="1F1F1F"/>
        </w:rPr>
        <w:t>l Chemistry and Laboratory Medicine (CCLM).</w:t>
      </w:r>
      <w:hyperlink r:id="rId29">
        <w:r w:rsidR="00AA72C8">
          <w:rPr>
            <w:rFonts w:ascii="Arial" w:eastAsia="Arial" w:hAnsi="Arial" w:cs="Arial"/>
            <w:b/>
            <w:bCs/>
            <w:color w:val="1F1F1F"/>
          </w:rPr>
          <w:t xml:space="preserve"> </w:t>
        </w:r>
      </w:hyperlink>
      <w:hyperlink r:id="rId30">
        <w:r w:rsidR="00AA72C8">
          <w:rPr>
            <w:rFonts w:ascii="Arial" w:eastAsia="Arial" w:hAnsi="Arial" w:cs="Arial"/>
            <w:b/>
            <w:bCs/>
            <w:color w:val="0B57D0"/>
            <w:u w:val="single"/>
          </w:rPr>
          <w:t>https://www.degruyter.com/document/doi/10.1515/cclm-2018-0602/html</w:t>
        </w:r>
      </w:hyperlink>
    </w:p>
    <w:p w14:paraId="540750B7" w14:textId="77777777" w:rsidR="00AA72C8" w:rsidRDefault="00384545">
      <w:pPr>
        <w:numPr>
          <w:ilvl w:val="0"/>
          <w:numId w:val="2"/>
        </w:numPr>
        <w:spacing w:before="0" w:after="0"/>
        <w:rPr>
          <w:b/>
          <w:bCs/>
        </w:rPr>
      </w:pPr>
      <w:r>
        <w:rPr>
          <w:rFonts w:ascii="Arial" w:eastAsia="Arial" w:hAnsi="Arial" w:cs="Arial"/>
          <w:b/>
          <w:bCs/>
          <w:color w:val="1F1F1F"/>
        </w:rPr>
        <w:t>World Health Organization. 2025. Cardiovascular diseases (CVDs). World Health Organization.</w:t>
      </w:r>
      <w:hyperlink r:id="rId31">
        <w:r w:rsidR="00AA72C8">
          <w:rPr>
            <w:rFonts w:ascii="Arial" w:eastAsia="Arial" w:hAnsi="Arial" w:cs="Arial"/>
            <w:b/>
            <w:bCs/>
            <w:color w:val="1F1F1F"/>
          </w:rPr>
          <w:t xml:space="preserve"> </w:t>
        </w:r>
      </w:hyperlink>
      <w:hyperlink r:id="rId32">
        <w:r w:rsidR="00AA72C8">
          <w:rPr>
            <w:rFonts w:ascii="Arial" w:eastAsia="Arial" w:hAnsi="Arial" w:cs="Arial"/>
            <w:b/>
            <w:bCs/>
            <w:color w:val="0B57D0"/>
            <w:u w:val="single"/>
          </w:rPr>
          <w:t>https://www.who.int/news-room/fact-sheets/detail/cardiovascular-diseases-(cvds</w:t>
        </w:r>
      </w:hyperlink>
    </w:p>
    <w:p w14:paraId="37B0562C" w14:textId="77777777" w:rsidR="00AA72C8" w:rsidRDefault="00384545">
      <w:pPr>
        <w:numPr>
          <w:ilvl w:val="0"/>
          <w:numId w:val="2"/>
        </w:numPr>
        <w:spacing w:before="0" w:after="360"/>
        <w:rPr>
          <w:b/>
          <w:bCs/>
        </w:rPr>
      </w:pPr>
      <w:r>
        <w:rPr>
          <w:rFonts w:ascii="Arial" w:eastAsia="Arial" w:hAnsi="Arial" w:cs="Arial"/>
          <w:b/>
          <w:bCs/>
          <w:color w:val="1F1F1F"/>
        </w:rPr>
        <w:t>Wu, Y., et al. 2016. Examining</w:t>
      </w:r>
      <w:r>
        <w:rPr>
          <w:rFonts w:ascii="Arial" w:eastAsia="Arial" w:hAnsi="Arial" w:cs="Arial"/>
          <w:b/>
          <w:bCs/>
          <w:color w:val="1F1F1F"/>
        </w:rPr>
        <w:t xml:space="preserve"> the association between serum lactic dehydrogenase and all-cause mortality in patients with metabolic syndrome: a retrospective observational study. BMJ Open.</w:t>
      </w:r>
      <w:hyperlink r:id="rId33">
        <w:r w:rsidR="00AA72C8">
          <w:rPr>
            <w:rFonts w:ascii="Arial" w:eastAsia="Arial" w:hAnsi="Arial" w:cs="Arial"/>
            <w:b/>
            <w:bCs/>
            <w:color w:val="1F1F1F"/>
          </w:rPr>
          <w:t xml:space="preserve"> </w:t>
        </w:r>
      </w:hyperlink>
      <w:hyperlink r:id="rId34">
        <w:r w:rsidR="00AA72C8">
          <w:rPr>
            <w:rFonts w:ascii="Arial" w:eastAsia="Arial" w:hAnsi="Arial" w:cs="Arial"/>
            <w:b/>
            <w:bCs/>
            <w:color w:val="0B57D0"/>
            <w:u w:val="single"/>
          </w:rPr>
          <w:t>https://bmjopen.bmj.com/content/6/5/e011186</w:t>
        </w:r>
      </w:hyperlink>
    </w:p>
    <w:p w14:paraId="02E699B9" w14:textId="77777777" w:rsidR="00AA72C8" w:rsidRDefault="00AA72C8">
      <w:pPr>
        <w:spacing w:before="0" w:after="360"/>
        <w:ind w:left="720"/>
        <w:jc w:val="left"/>
        <w:rPr>
          <w:rFonts w:ascii="Arial" w:eastAsia="Arial" w:hAnsi="Arial" w:cs="Arial"/>
          <w:b/>
          <w:bCs/>
          <w:color w:val="0B57D0"/>
          <w:u w:val="single"/>
        </w:rPr>
      </w:pPr>
    </w:p>
    <w:p w14:paraId="63A40979" w14:textId="77777777" w:rsidR="00AA72C8" w:rsidRDefault="00AA72C8">
      <w:pPr>
        <w:ind w:left="720" w:hanging="630"/>
        <w:rPr>
          <w:b/>
          <w:bCs/>
        </w:rPr>
      </w:pPr>
    </w:p>
    <w:sectPr w:rsidR="00AA72C8">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6BAFD8" w14:textId="77777777" w:rsidR="00384545" w:rsidRDefault="00384545" w:rsidP="00C05C7B">
      <w:pPr>
        <w:spacing w:before="0" w:after="0" w:line="240" w:lineRule="auto"/>
      </w:pPr>
      <w:r>
        <w:separator/>
      </w:r>
    </w:p>
  </w:endnote>
  <w:endnote w:type="continuationSeparator" w:id="0">
    <w:p w14:paraId="4121BE94" w14:textId="77777777" w:rsidR="00384545" w:rsidRDefault="00384545" w:rsidP="00C05C7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51C8706-5B04-41C8-8742-EE3A10B30B1A}"/>
  </w:font>
  <w:font w:name="Cambria">
    <w:panose1 w:val="02040503050406030204"/>
    <w:charset w:val="00"/>
    <w:family w:val="roman"/>
    <w:pitch w:val="variable"/>
    <w:sig w:usb0="E00006FF" w:usb1="420024FF" w:usb2="02000000" w:usb3="00000000" w:csb0="0000019F" w:csb1="00000000"/>
    <w:embedRegular r:id="rId2" w:fontKey="{F223AA69-C761-4CA5-94AE-E8928124EC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65902" w14:textId="77777777" w:rsidR="00C05C7B" w:rsidRDefault="00C05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A6D1F" w14:textId="77777777" w:rsidR="00C05C7B" w:rsidRDefault="00C05C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895F3" w14:textId="77777777" w:rsidR="00C05C7B" w:rsidRDefault="00C05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30C08" w14:textId="77777777" w:rsidR="00384545" w:rsidRDefault="00384545" w:rsidP="00C05C7B">
      <w:pPr>
        <w:spacing w:before="0" w:after="0" w:line="240" w:lineRule="auto"/>
      </w:pPr>
      <w:r>
        <w:separator/>
      </w:r>
    </w:p>
  </w:footnote>
  <w:footnote w:type="continuationSeparator" w:id="0">
    <w:p w14:paraId="21056BC2" w14:textId="77777777" w:rsidR="00384545" w:rsidRDefault="00384545" w:rsidP="00C05C7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96166" w14:textId="49288D04" w:rsidR="00C05C7B" w:rsidRDefault="00C05C7B">
    <w:pPr>
      <w:pStyle w:val="Header"/>
    </w:pPr>
    <w:r>
      <w:rPr>
        <w:noProof/>
      </w:rPr>
      <w:pict w14:anchorId="297A05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200642" o:spid="_x0000_s2050"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A4377" w14:textId="560062B7" w:rsidR="00C05C7B" w:rsidRDefault="00C05C7B">
    <w:pPr>
      <w:pStyle w:val="Header"/>
    </w:pPr>
    <w:r>
      <w:rPr>
        <w:noProof/>
      </w:rPr>
      <w:pict w14:anchorId="365E2D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200643"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B63BD" w14:textId="4B36512F" w:rsidR="00C05C7B" w:rsidRDefault="00C05C7B">
    <w:pPr>
      <w:pStyle w:val="Header"/>
    </w:pPr>
    <w:r>
      <w:rPr>
        <w:noProof/>
      </w:rPr>
      <w:pict w14:anchorId="3DCBB6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200641"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F0075D"/>
    <w:multiLevelType w:val="multilevel"/>
    <w:tmpl w:val="49FE2A3E"/>
    <w:lvl w:ilvl="0">
      <w:start w:val="1"/>
      <w:numFmt w:val="decimal"/>
      <w:lvlText w:val="%1."/>
      <w:lvlJc w:val="left"/>
      <w:pPr>
        <w:ind w:left="720" w:hanging="360"/>
      </w:pPr>
      <w:rPr>
        <w:rFonts w:ascii="Arial" w:eastAsia="Arial" w:hAnsi="Arial" w:cs="Arial"/>
        <w:color w:val="1F1F1F"/>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ACB652E"/>
    <w:multiLevelType w:val="multilevel"/>
    <w:tmpl w:val="E9F4BB22"/>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2C8"/>
    <w:rsid w:val="000612A6"/>
    <w:rsid w:val="000803B0"/>
    <w:rsid w:val="002F144A"/>
    <w:rsid w:val="00384545"/>
    <w:rsid w:val="00A52E79"/>
    <w:rsid w:val="00AA72C8"/>
    <w:rsid w:val="00C05C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0F9260"/>
  <w15:docId w15:val="{72FE80C5-06ED-4138-AC98-668B3BB16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F1115"/>
        <w:sz w:val="24"/>
        <w:szCs w:val="24"/>
        <w:lang w:val="en" w:eastAsia="en-GB" w:bidi="ar-SA"/>
      </w:rPr>
    </w:rPrDefault>
    <w:pPrDefault>
      <w:pPr>
        <w:shd w:val="clear" w:color="auto" w:fill="FFFFFF"/>
        <w:spacing w:before="240" w:after="240" w:line="276"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349" w:lineRule="auto"/>
      <w:ind w:firstLine="0"/>
      <w:outlineLvl w:val="0"/>
    </w:pPr>
    <w:rPr>
      <w:b/>
      <w:bCs/>
      <w:sz w:val="28"/>
      <w:szCs w:val="28"/>
    </w:rPr>
  </w:style>
  <w:style w:type="paragraph" w:styleId="Heading2">
    <w:name w:val="heading 2"/>
    <w:basedOn w:val="Normal"/>
    <w:next w:val="Normal"/>
    <w:uiPriority w:val="9"/>
    <w:unhideWhenUsed/>
    <w:qFormat/>
    <w:pPr>
      <w:keepNext/>
      <w:keepLines/>
      <w:spacing w:before="480" w:line="349" w:lineRule="auto"/>
      <w:ind w:firstLine="0"/>
      <w:outlineLvl w:val="1"/>
    </w:pPr>
    <w:rPr>
      <w:b/>
      <w:bCs/>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pPr>
    <w:rPr>
      <w:b/>
      <w:bCs/>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0803B0"/>
    <w:rPr>
      <w:color w:val="0000FF" w:themeColor="hyperlink"/>
      <w:u w:val="single"/>
    </w:rPr>
  </w:style>
  <w:style w:type="character" w:styleId="UnresolvedMention">
    <w:name w:val="Unresolved Mention"/>
    <w:basedOn w:val="DefaultParagraphFont"/>
    <w:uiPriority w:val="99"/>
    <w:semiHidden/>
    <w:unhideWhenUsed/>
    <w:rsid w:val="000803B0"/>
    <w:rPr>
      <w:color w:val="605E5C"/>
      <w:shd w:val="clear" w:color="auto" w:fill="E1DFDD"/>
    </w:rPr>
  </w:style>
  <w:style w:type="paragraph" w:styleId="ListParagraph">
    <w:name w:val="List Paragraph"/>
    <w:basedOn w:val="Normal"/>
    <w:uiPriority w:val="34"/>
    <w:qFormat/>
    <w:rsid w:val="000803B0"/>
    <w:pPr>
      <w:ind w:left="720"/>
      <w:contextualSpacing/>
    </w:pPr>
  </w:style>
  <w:style w:type="paragraph" w:styleId="Header">
    <w:name w:val="header"/>
    <w:basedOn w:val="Normal"/>
    <w:link w:val="HeaderChar"/>
    <w:uiPriority w:val="99"/>
    <w:unhideWhenUsed/>
    <w:rsid w:val="00C05C7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05C7B"/>
    <w:rPr>
      <w:shd w:val="clear" w:color="auto" w:fill="FFFFFF"/>
    </w:rPr>
  </w:style>
  <w:style w:type="paragraph" w:styleId="Footer">
    <w:name w:val="footer"/>
    <w:basedOn w:val="Normal"/>
    <w:link w:val="FooterChar"/>
    <w:uiPriority w:val="99"/>
    <w:unhideWhenUsed/>
    <w:rsid w:val="00C05C7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05C7B"/>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pmc.ncbi.nlm.nih.gov/articles/PMC11458937/" TargetMode="External"/><Relationship Id="rId18" Type="http://schemas.openxmlformats.org/officeDocument/2006/relationships/hyperlink" Target="https://www.ahajournals.org/doi/10.1161/JAHA.119.013165" TargetMode="External"/><Relationship Id="rId26" Type="http://schemas.openxmlformats.org/officeDocument/2006/relationships/hyperlink" Target="https://www.ahajournals.org/doi/10.1161/CIR.0000000000000973" TargetMode="External"/><Relationship Id="rId39" Type="http://schemas.openxmlformats.org/officeDocument/2006/relationships/header" Target="header3.xml"/><Relationship Id="rId21" Type="http://schemas.openxmlformats.org/officeDocument/2006/relationships/hyperlink" Target="https://pmc.ncbi.nlm.nih.gov/articles/PMC9310107/" TargetMode="External"/><Relationship Id="rId34" Type="http://schemas.openxmlformats.org/officeDocument/2006/relationships/hyperlink" Target="https://bmjopen.bmj.com/content/6/5/e011186" TargetMode="External"/><Relationship Id="rId42" Type="http://schemas.openxmlformats.org/officeDocument/2006/relationships/theme" Target="theme/theme1.xml"/><Relationship Id="rId7" Type="http://schemas.openxmlformats.org/officeDocument/2006/relationships/hyperlink" Target="https://pmc.ncbi.nlm.nih.gov/articles/PMC8281779/" TargetMode="External"/><Relationship Id="rId2" Type="http://schemas.openxmlformats.org/officeDocument/2006/relationships/styles" Target="styles.xml"/><Relationship Id="rId16" Type="http://schemas.openxmlformats.org/officeDocument/2006/relationships/hyperlink" Target="https://pmc.ncbi.nlm.nih.gov/articles/PMC7256470/" TargetMode="External"/><Relationship Id="rId20" Type="http://schemas.openxmlformats.org/officeDocument/2006/relationships/hyperlink" Target="https://pmc.ncbi.nlm.nih.gov/articles/PMC6350423/" TargetMode="External"/><Relationship Id="rId29" Type="http://schemas.openxmlformats.org/officeDocument/2006/relationships/hyperlink" Target="https://www.google.com/search?q=https://www.degruyter.com/document/doi/10.1515/cclm-2018-0602/html&amp;authuser=3"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mc.ncbi.nlm.nih.gov/articles/PMC6340361/" TargetMode="External"/><Relationship Id="rId24" Type="http://schemas.openxmlformats.org/officeDocument/2006/relationships/hyperlink" Target="https://pmc.ncbi.nlm.nih.gov/articles/PMC3572442/" TargetMode="External"/><Relationship Id="rId32" Type="http://schemas.openxmlformats.org/officeDocument/2006/relationships/hyperlink" Target="https://www.who.int/news-room/fact-sheets/detail/cardiovascular-diseases-(cvds)"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pmc.ncbi.nlm.nih.gov/articles/PMC7256470/" TargetMode="External"/><Relationship Id="rId23" Type="http://schemas.openxmlformats.org/officeDocument/2006/relationships/hyperlink" Target="https://pmc.ncbi.nlm.nih.gov/articles/PMC3572442/" TargetMode="External"/><Relationship Id="rId28" Type="http://schemas.openxmlformats.org/officeDocument/2006/relationships/hyperlink" Target="https://www.researchgate.net/publication/331172387_Cardiovascular_Disease_An_Introduction" TargetMode="External"/><Relationship Id="rId36" Type="http://schemas.openxmlformats.org/officeDocument/2006/relationships/header" Target="header2.xml"/><Relationship Id="rId10" Type="http://schemas.openxmlformats.org/officeDocument/2006/relationships/hyperlink" Target="https://www.mdpi.com/1422-0067/26/7/3218" TargetMode="External"/><Relationship Id="rId19" Type="http://schemas.openxmlformats.org/officeDocument/2006/relationships/hyperlink" Target="https://pmc.ncbi.nlm.nih.gov/articles/PMC6350423/" TargetMode="External"/><Relationship Id="rId31" Type="http://schemas.openxmlformats.org/officeDocument/2006/relationships/hyperlink" Target="https://www.who.int/news-room/fact-sheets/detail/cardiovascular-diseases-(cvds)" TargetMode="External"/><Relationship Id="rId4" Type="http://schemas.openxmlformats.org/officeDocument/2006/relationships/webSettings" Target="webSettings.xml"/><Relationship Id="rId9" Type="http://schemas.openxmlformats.org/officeDocument/2006/relationships/hyperlink" Target="https://www.mdpi.com/1422-0067/26/7/3218" TargetMode="External"/><Relationship Id="rId14" Type="http://schemas.openxmlformats.org/officeDocument/2006/relationships/hyperlink" Target="https://pmc.ncbi.nlm.nih.gov/articles/PMC11458937/" TargetMode="External"/><Relationship Id="rId22" Type="http://schemas.openxmlformats.org/officeDocument/2006/relationships/hyperlink" Target="https://pmc.ncbi.nlm.nih.gov/articles/PMC9310107/" TargetMode="External"/><Relationship Id="rId27" Type="http://schemas.openxmlformats.org/officeDocument/2006/relationships/hyperlink" Target="https://www.researchgate.net/publication/331172387_Cardiovascular_Disease_An_Introduction" TargetMode="External"/><Relationship Id="rId30" Type="http://schemas.openxmlformats.org/officeDocument/2006/relationships/hyperlink" Target="https://www.google.com/search?q=https://www.degruyter.com/document/doi/10.1515/cclm-2018-0602/html&amp;authuser=3" TargetMode="External"/><Relationship Id="rId35" Type="http://schemas.openxmlformats.org/officeDocument/2006/relationships/header" Target="header1.xml"/><Relationship Id="rId8" Type="http://schemas.openxmlformats.org/officeDocument/2006/relationships/hyperlink" Target="https://pmc.ncbi.nlm.nih.gov/articles/PMC8281779/" TargetMode="External"/><Relationship Id="rId3" Type="http://schemas.openxmlformats.org/officeDocument/2006/relationships/settings" Target="settings.xml"/><Relationship Id="rId12" Type="http://schemas.openxmlformats.org/officeDocument/2006/relationships/hyperlink" Target="https://pmc.ncbi.nlm.nih.gov/articles/PMC6340361/" TargetMode="External"/><Relationship Id="rId17" Type="http://schemas.openxmlformats.org/officeDocument/2006/relationships/hyperlink" Target="https://www.ahajournals.org/doi/10.1161/JAHA.119.013165" TargetMode="External"/><Relationship Id="rId25" Type="http://schemas.openxmlformats.org/officeDocument/2006/relationships/hyperlink" Target="https://www.ahajournals.org/doi/10.1161/CIR.0000000000000973" TargetMode="External"/><Relationship Id="rId33" Type="http://schemas.openxmlformats.org/officeDocument/2006/relationships/hyperlink" Target="https://bmjopen.bmj.com/content/6/5/e011186"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3524</Words>
  <Characters>20087</Characters>
  <Application>Microsoft Office Word</Application>
  <DocSecurity>0</DocSecurity>
  <Lines>167</Lines>
  <Paragraphs>47</Paragraphs>
  <ScaleCrop>false</ScaleCrop>
  <Company/>
  <LinksUpToDate>false</LinksUpToDate>
  <CharactersWithSpaces>23564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cp:revision>
  <dcterms:created xsi:type="dcterms:W3CDTF">2026-03-11T06:46:00Z</dcterms:created>
  <dcterms:modified xsi:type="dcterms:W3CDTF">2026-03-12T05:49:00Z</dcterms:modified>
</cp:coreProperties>
</file>