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9A4A8" w14:textId="07F9E911" w:rsidR="00DE2602" w:rsidRDefault="00DE2602" w:rsidP="00DE2602">
      <w:pPr>
        <w:pStyle w:val="Author"/>
        <w:spacing w:line="240" w:lineRule="auto"/>
        <w:rPr>
          <w:rFonts w:ascii="Arial" w:hAnsi="Arial" w:cs="Arial"/>
          <w:bCs/>
          <w:iCs/>
          <w:kern w:val="28"/>
          <w:sz w:val="36"/>
        </w:rPr>
      </w:pPr>
      <w:r w:rsidRPr="00DE2602">
        <w:rPr>
          <w:rFonts w:ascii="Arial" w:hAnsi="Arial" w:cs="Arial"/>
          <w:bCs/>
          <w:iCs/>
          <w:kern w:val="28"/>
          <w:sz w:val="36"/>
        </w:rPr>
        <w:t>Effect of Site-Specific Nutrient Management on Physiological Growth Parameters and Nutrient Recovery Efficiency of Transplanted Rice (</w:t>
      </w:r>
      <w:r w:rsidRPr="0059349A">
        <w:rPr>
          <w:rFonts w:ascii="Arial" w:hAnsi="Arial" w:cs="Arial"/>
          <w:bCs/>
          <w:i/>
          <w:kern w:val="28"/>
          <w:sz w:val="36"/>
        </w:rPr>
        <w:t>Oryza</w:t>
      </w:r>
      <w:r w:rsidRPr="00DE2602">
        <w:rPr>
          <w:rFonts w:ascii="Arial" w:hAnsi="Arial" w:cs="Arial"/>
          <w:bCs/>
          <w:iCs/>
          <w:kern w:val="28"/>
          <w:sz w:val="36"/>
        </w:rPr>
        <w:t xml:space="preserve"> </w:t>
      </w:r>
      <w:r w:rsidRPr="0059349A">
        <w:rPr>
          <w:rFonts w:ascii="Arial" w:hAnsi="Arial" w:cs="Arial"/>
          <w:bCs/>
          <w:i/>
          <w:kern w:val="28"/>
          <w:sz w:val="36"/>
        </w:rPr>
        <w:t>sativa</w:t>
      </w:r>
      <w:r w:rsidRPr="00DE2602">
        <w:rPr>
          <w:rFonts w:ascii="Arial" w:hAnsi="Arial" w:cs="Arial"/>
          <w:bCs/>
          <w:iCs/>
          <w:kern w:val="28"/>
          <w:sz w:val="36"/>
        </w:rPr>
        <w:t xml:space="preserve"> L.)</w:t>
      </w:r>
    </w:p>
    <w:p w14:paraId="3A1DC23D" w14:textId="77777777" w:rsidR="00B733B8" w:rsidRPr="00A76292" w:rsidRDefault="00B733B8" w:rsidP="00DE2602">
      <w:pPr>
        <w:pStyle w:val="Author"/>
        <w:spacing w:line="240" w:lineRule="auto"/>
        <w:rPr>
          <w:rFonts w:ascii="Arial" w:hAnsi="Arial" w:cs="Arial"/>
          <w:bCs/>
          <w:iCs/>
          <w:kern w:val="28"/>
          <w:sz w:val="36"/>
        </w:rPr>
      </w:pPr>
    </w:p>
    <w:p w14:paraId="6F78BD59" w14:textId="4591D83C" w:rsidR="00DE2602" w:rsidRDefault="002D5D0A" w:rsidP="00DE2602">
      <w:pPr>
        <w:pStyle w:val="Affiliation"/>
        <w:spacing w:after="0" w:line="240" w:lineRule="auto"/>
        <w:jc w:val="both"/>
        <w:rPr>
          <w:rFonts w:ascii="Arial" w:hAnsi="Arial" w:cs="Arial"/>
          <w:iCs/>
        </w:rPr>
      </w:pPr>
      <w:r>
        <w:rPr>
          <w:rFonts w:ascii="Arial" w:hAnsi="Arial" w:cs="Arial"/>
          <w:iCs/>
        </w:rPr>
        <w:t xml:space="preserve"> </w:t>
      </w:r>
    </w:p>
    <w:p w14:paraId="3C8D9E63" w14:textId="7BC79E2A" w:rsidR="00DD6AC3" w:rsidRDefault="00DD6AC3" w:rsidP="00DD6AC3">
      <w:pPr>
        <w:rPr>
          <w:rFonts w:ascii="Arial" w:hAnsi="Arial" w:cs="Arial"/>
          <w:b/>
          <w:bCs/>
          <w:sz w:val="22"/>
          <w:szCs w:val="22"/>
        </w:rPr>
      </w:pPr>
      <w:r>
        <w:rPr>
          <w:noProof/>
        </w:rPr>
        <mc:AlternateContent>
          <mc:Choice Requires="wps">
            <w:drawing>
              <wp:inline distT="0" distB="0" distL="0" distR="0" wp14:anchorId="1969DFD9" wp14:editId="3238F032">
                <wp:extent cx="5303520" cy="635"/>
                <wp:effectExtent l="0" t="0" r="30480" b="37465"/>
                <wp:docPr id="54313078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8A4DBF"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Pr="00DD6AC3">
        <w:rPr>
          <w:rFonts w:ascii="Arial" w:hAnsi="Arial" w:cs="Arial"/>
          <w:b/>
          <w:bCs/>
          <w:sz w:val="22"/>
          <w:szCs w:val="22"/>
        </w:rPr>
        <w:t>ABSTRACT</w:t>
      </w: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3609EC" w:rsidRPr="00FD0A5D" w14:paraId="7A2DABE3" w14:textId="77777777" w:rsidTr="000B66C8">
        <w:tc>
          <w:tcPr>
            <w:tcW w:w="9576" w:type="dxa"/>
          </w:tcPr>
          <w:p w14:paraId="0F7798CD" w14:textId="4A060EF8" w:rsidR="003609EC" w:rsidRPr="003609EC" w:rsidRDefault="003609EC" w:rsidP="003609EC">
            <w:pPr>
              <w:jc w:val="both"/>
              <w:rPr>
                <w:rFonts w:ascii="Arial" w:hAnsi="Arial" w:cs="Arial"/>
                <w:sz w:val="22"/>
                <w:szCs w:val="22"/>
              </w:rPr>
            </w:pPr>
            <w:r w:rsidRPr="00DD6AC3">
              <w:rPr>
                <w:rFonts w:ascii="Arial" w:hAnsi="Arial" w:cs="Arial"/>
                <w:sz w:val="20"/>
                <w:szCs w:val="20"/>
              </w:rPr>
              <w:t>This study aimed to evaluate the effect of site-specific nutrient management (SSNM) on physiological growth parameters and nutrient recovery efficiency of transplanted rice (</w:t>
            </w:r>
            <w:r w:rsidRPr="00DD6AC3">
              <w:rPr>
                <w:rFonts w:ascii="Arial" w:hAnsi="Arial" w:cs="Arial"/>
                <w:i/>
                <w:iCs/>
                <w:sz w:val="20"/>
                <w:szCs w:val="20"/>
              </w:rPr>
              <w:t>Oryza sativa</w:t>
            </w:r>
            <w:r w:rsidRPr="00DD6AC3">
              <w:rPr>
                <w:rFonts w:ascii="Arial" w:hAnsi="Arial" w:cs="Arial"/>
                <w:sz w:val="20"/>
                <w:szCs w:val="20"/>
              </w:rPr>
              <w:t xml:space="preserve"> L.). The field experiment was conducted at the South Farm of the School of Agricultural Sciences, Karunya Institute of Technology and Sciences, Coimbatore during the Samba season of 2025. The experiment was laid out in a randomized block design with twelve treatments and three replications, which included soil test-based fertilizer recommendation, recommended dose of fertilizers, nutrient omission treatments and farmers’ practice. Physiological growth parameters such as crop growth rate (CGR), relative growth rate (RGR) and net assimilation rate (NAR) were recorded at different growth stages, and nutrient recovery efficiency of nitrogen, phosphorus, potassium and zinc was estimated. The results revealed that soil test-based nutrient management with zinc application (T</w:t>
            </w:r>
            <w:r w:rsidRPr="00DD6AC3">
              <w:rPr>
                <w:rFonts w:ascii="Cambria Math" w:hAnsi="Cambria Math" w:cs="Cambria Math"/>
                <w:sz w:val="20"/>
                <w:szCs w:val="20"/>
              </w:rPr>
              <w:t>₂</w:t>
            </w:r>
            <w:r w:rsidRPr="00DD6AC3">
              <w:rPr>
                <w:rFonts w:ascii="Arial" w:hAnsi="Arial" w:cs="Arial"/>
                <w:sz w:val="20"/>
                <w:szCs w:val="20"/>
              </w:rPr>
              <w:t>) recorded the highest CGR values of 92.3, 167.3 and 205.2 kg ha</w:t>
            </w:r>
            <w:r w:rsidRPr="00DD6AC3">
              <w:rPr>
                <w:rFonts w:ascii="Cambria Math" w:hAnsi="Cambria Math" w:cs="Cambria Math"/>
                <w:sz w:val="20"/>
                <w:szCs w:val="20"/>
              </w:rPr>
              <w:t>⁻</w:t>
            </w:r>
            <w:r w:rsidRPr="00DD6AC3">
              <w:rPr>
                <w:rFonts w:ascii="Arial" w:hAnsi="Arial" w:cs="Arial"/>
                <w:sz w:val="20"/>
                <w:szCs w:val="20"/>
              </w:rPr>
              <w:t>¹ day</w:t>
            </w:r>
            <w:r w:rsidRPr="00DD6AC3">
              <w:rPr>
                <w:rFonts w:ascii="Cambria Math" w:hAnsi="Cambria Math" w:cs="Cambria Math"/>
                <w:sz w:val="20"/>
                <w:szCs w:val="20"/>
              </w:rPr>
              <w:t>⁻</w:t>
            </w:r>
            <w:r w:rsidRPr="00DD6AC3">
              <w:rPr>
                <w:rFonts w:ascii="Arial" w:hAnsi="Arial" w:cs="Arial"/>
                <w:sz w:val="20"/>
                <w:szCs w:val="20"/>
              </w:rPr>
              <w:t>¹ during 30–60, 60–90 days after transplanting and 90 days to harvest, respectively. Similarly, higher values of RGR and NAR were also recorded under the same treatment compared to recommended fertilizer dose, nutrient omission treatments and farmers’ practice. The highest nutrient recovery efficiency for nitrogen (0.41 kg kg</w:t>
            </w:r>
            <w:r w:rsidRPr="00DD6AC3">
              <w:rPr>
                <w:rFonts w:ascii="Cambria Math" w:hAnsi="Cambria Math" w:cs="Cambria Math"/>
                <w:sz w:val="20"/>
                <w:szCs w:val="20"/>
              </w:rPr>
              <w:t>⁻</w:t>
            </w:r>
            <w:r w:rsidRPr="00DD6AC3">
              <w:rPr>
                <w:rFonts w:ascii="Arial" w:hAnsi="Arial" w:cs="Arial"/>
                <w:sz w:val="20"/>
                <w:szCs w:val="20"/>
              </w:rPr>
              <w:t>¹), phosphorus (0.24 kg kg</w:t>
            </w:r>
            <w:r w:rsidRPr="00DD6AC3">
              <w:rPr>
                <w:rFonts w:ascii="Cambria Math" w:hAnsi="Cambria Math" w:cs="Cambria Math"/>
                <w:sz w:val="20"/>
                <w:szCs w:val="20"/>
              </w:rPr>
              <w:t>⁻</w:t>
            </w:r>
            <w:r w:rsidRPr="00DD6AC3">
              <w:rPr>
                <w:rFonts w:ascii="Arial" w:hAnsi="Arial" w:cs="Arial"/>
                <w:sz w:val="20"/>
                <w:szCs w:val="20"/>
              </w:rPr>
              <w:t>¹), potassium (2.68 kg kg</w:t>
            </w:r>
            <w:r w:rsidRPr="00DD6AC3">
              <w:rPr>
                <w:rFonts w:ascii="Cambria Math" w:hAnsi="Cambria Math" w:cs="Cambria Math"/>
                <w:sz w:val="20"/>
                <w:szCs w:val="20"/>
              </w:rPr>
              <w:t>⁻</w:t>
            </w:r>
            <w:r w:rsidRPr="00DD6AC3">
              <w:rPr>
                <w:rFonts w:ascii="Arial" w:hAnsi="Arial" w:cs="Arial"/>
                <w:sz w:val="20"/>
                <w:szCs w:val="20"/>
              </w:rPr>
              <w:t>¹) and zinc (8.50 g ha</w:t>
            </w:r>
            <w:r w:rsidRPr="00DD6AC3">
              <w:rPr>
                <w:rFonts w:ascii="Cambria Math" w:hAnsi="Cambria Math" w:cs="Cambria Math"/>
                <w:sz w:val="20"/>
                <w:szCs w:val="20"/>
              </w:rPr>
              <w:t>⁻</w:t>
            </w:r>
            <w:r w:rsidRPr="00DD6AC3">
              <w:rPr>
                <w:rFonts w:ascii="Arial" w:hAnsi="Arial" w:cs="Arial"/>
                <w:sz w:val="20"/>
                <w:szCs w:val="20"/>
              </w:rPr>
              <w:t>¹) was also observed in the soil test-based nutrient management with zinc application treatment. The control treatment recorded the lowest values for growth parameters and nutrient recovery efficiency. The findings indicate that soil test-based balanced fertilization along with zinc application can improve physiological growth and nutrient use efficiency in transplanted rice.</w:t>
            </w:r>
          </w:p>
        </w:tc>
      </w:tr>
    </w:tbl>
    <w:p w14:paraId="369F9077" w14:textId="77777777" w:rsidR="003609EC" w:rsidRPr="00DD6AC3" w:rsidRDefault="003609EC" w:rsidP="00DD6AC3">
      <w:pPr>
        <w:rPr>
          <w:rFonts w:ascii="Arial" w:hAnsi="Arial" w:cs="Arial"/>
          <w:b/>
          <w:bCs/>
          <w:sz w:val="22"/>
          <w:szCs w:val="22"/>
        </w:rPr>
      </w:pPr>
    </w:p>
    <w:p w14:paraId="5BDD0B9C" w14:textId="6A8AB989" w:rsidR="00DD6AC3" w:rsidRPr="00DD6AC3" w:rsidRDefault="00DD6AC3" w:rsidP="00DD6AC3">
      <w:pPr>
        <w:jc w:val="both"/>
        <w:rPr>
          <w:rFonts w:ascii="Arial" w:hAnsi="Arial" w:cs="Arial"/>
          <w:i/>
          <w:iCs/>
          <w:sz w:val="20"/>
          <w:szCs w:val="20"/>
        </w:rPr>
      </w:pPr>
      <w:r w:rsidRPr="00DD6AC3">
        <w:rPr>
          <w:rFonts w:ascii="Arial" w:hAnsi="Arial" w:cs="Arial"/>
          <w:i/>
          <w:iCs/>
          <w:sz w:val="20"/>
          <w:szCs w:val="20"/>
        </w:rPr>
        <w:t>Keywords</w:t>
      </w:r>
      <w:r>
        <w:rPr>
          <w:rFonts w:ascii="Arial" w:hAnsi="Arial" w:cs="Arial"/>
          <w:i/>
          <w:iCs/>
          <w:sz w:val="20"/>
          <w:szCs w:val="20"/>
        </w:rPr>
        <w:t xml:space="preserve">: </w:t>
      </w:r>
      <w:r w:rsidRPr="00DD6AC3">
        <w:rPr>
          <w:rFonts w:ascii="Arial" w:hAnsi="Arial" w:cs="Arial"/>
          <w:i/>
          <w:iCs/>
          <w:sz w:val="20"/>
          <w:szCs w:val="20"/>
        </w:rPr>
        <w:t>Site-specific nutrient management (SSNM); Crop growth rate (CGR); Net assimilation rate (NAR); Nutrient recovery efficiency; Rice (Oryza sativa L.)</w:t>
      </w:r>
    </w:p>
    <w:p w14:paraId="604E905C" w14:textId="36A46181" w:rsidR="00885241" w:rsidRPr="00885241" w:rsidRDefault="00885241" w:rsidP="00DD6AC3">
      <w:pPr>
        <w:jc w:val="both"/>
        <w:rPr>
          <w:rFonts w:ascii="Arial" w:hAnsi="Arial" w:cs="Arial"/>
          <w:b/>
          <w:bCs/>
          <w:sz w:val="22"/>
          <w:szCs w:val="22"/>
        </w:rPr>
      </w:pPr>
      <w:r w:rsidRPr="00885241">
        <w:rPr>
          <w:rFonts w:ascii="Arial" w:hAnsi="Arial" w:cs="Arial"/>
          <w:b/>
          <w:bCs/>
          <w:sz w:val="22"/>
          <w:szCs w:val="22"/>
        </w:rPr>
        <w:t>1. INTRODUCTION</w:t>
      </w:r>
    </w:p>
    <w:p w14:paraId="14FBA827" w14:textId="5F7CB637" w:rsidR="00D70F60" w:rsidRPr="00D70F60" w:rsidRDefault="00D70F60" w:rsidP="00D70F60">
      <w:pPr>
        <w:jc w:val="both"/>
        <w:rPr>
          <w:rFonts w:ascii="Arial" w:hAnsi="Arial" w:cs="Arial"/>
          <w:sz w:val="20"/>
          <w:szCs w:val="20"/>
        </w:rPr>
      </w:pPr>
      <w:r w:rsidRPr="00D70F60">
        <w:rPr>
          <w:rFonts w:ascii="Arial" w:hAnsi="Arial" w:cs="Arial"/>
          <w:sz w:val="20"/>
          <w:szCs w:val="20"/>
        </w:rPr>
        <w:t>Rice (</w:t>
      </w:r>
      <w:r w:rsidRPr="00D70F60">
        <w:rPr>
          <w:rFonts w:ascii="Arial" w:hAnsi="Arial" w:cs="Arial"/>
          <w:i/>
          <w:iCs/>
          <w:sz w:val="20"/>
          <w:szCs w:val="20"/>
        </w:rPr>
        <w:t>Oryza sativa</w:t>
      </w:r>
      <w:r w:rsidRPr="00D70F60">
        <w:rPr>
          <w:rFonts w:ascii="Arial" w:hAnsi="Arial" w:cs="Arial"/>
          <w:sz w:val="20"/>
          <w:szCs w:val="20"/>
        </w:rPr>
        <w:t xml:space="preserve"> L.) is one of the most important staple food crops in the world and serves as the primary source of food for more than half of the global population. In India, rice occupies a major share in total food grain production and plays a vital role in ensuring food security and livelihood for millions of farmers </w:t>
      </w:r>
      <w:r w:rsidR="00B712EF">
        <w:rPr>
          <w:rFonts w:ascii="Arial" w:hAnsi="Arial" w:cs="Arial"/>
          <w:sz w:val="20"/>
          <w:szCs w:val="20"/>
        </w:rPr>
        <w:t xml:space="preserve">[1,2]. </w:t>
      </w:r>
      <w:r w:rsidRPr="00D70F60">
        <w:rPr>
          <w:rFonts w:ascii="Arial" w:hAnsi="Arial" w:cs="Arial"/>
          <w:sz w:val="20"/>
          <w:szCs w:val="20"/>
        </w:rPr>
        <w:t xml:space="preserve">The productivity of rice largely depends on efficient nutrient management practices, as nutrient deficiencies and imbalanced fertilization often limit crop growth, yield and nutrient use efficiency </w:t>
      </w:r>
      <w:r w:rsidR="00EB441A">
        <w:rPr>
          <w:rFonts w:ascii="Arial" w:hAnsi="Arial" w:cs="Arial"/>
          <w:sz w:val="20"/>
          <w:szCs w:val="20"/>
        </w:rPr>
        <w:t>[3,4]</w:t>
      </w:r>
      <w:r w:rsidRPr="00D70F60">
        <w:rPr>
          <w:rFonts w:ascii="Arial" w:hAnsi="Arial" w:cs="Arial"/>
          <w:sz w:val="20"/>
          <w:szCs w:val="20"/>
        </w:rPr>
        <w:t xml:space="preserve">. Continuous cultivation and indiscriminate use of fertilizers without considering soil nutrient status have resulted in nutrient imbalances and declining soil fertility in many rice growing regions </w:t>
      </w:r>
      <w:r w:rsidR="00B5725D">
        <w:rPr>
          <w:rFonts w:ascii="Arial" w:hAnsi="Arial" w:cs="Arial"/>
          <w:sz w:val="20"/>
          <w:szCs w:val="20"/>
        </w:rPr>
        <w:t>[5,6]</w:t>
      </w:r>
      <w:r w:rsidRPr="00D70F60">
        <w:rPr>
          <w:rFonts w:ascii="Arial" w:hAnsi="Arial" w:cs="Arial"/>
          <w:sz w:val="20"/>
          <w:szCs w:val="20"/>
        </w:rPr>
        <w:t>.</w:t>
      </w:r>
    </w:p>
    <w:p w14:paraId="156EAF25" w14:textId="6BC6DE49" w:rsidR="00D70F60" w:rsidRPr="00D70F60" w:rsidRDefault="00D70F60" w:rsidP="00D70F60">
      <w:pPr>
        <w:jc w:val="both"/>
        <w:rPr>
          <w:rFonts w:ascii="Arial" w:hAnsi="Arial" w:cs="Arial"/>
          <w:sz w:val="20"/>
          <w:szCs w:val="20"/>
        </w:rPr>
      </w:pPr>
      <w:r w:rsidRPr="00D70F60">
        <w:rPr>
          <w:rFonts w:ascii="Arial" w:hAnsi="Arial" w:cs="Arial"/>
          <w:sz w:val="20"/>
          <w:szCs w:val="20"/>
        </w:rPr>
        <w:t xml:space="preserve">Balanced nutrient management is essential for sustaining soil health and improving crop productivity. Conventional fertilizer recommendations often follow blanket recommendations which may not adequately address the spatial variability in soil fertility and crop nutrient requirements </w:t>
      </w:r>
      <w:r w:rsidR="00734D37">
        <w:rPr>
          <w:rFonts w:ascii="Arial" w:hAnsi="Arial" w:cs="Arial"/>
          <w:sz w:val="20"/>
          <w:szCs w:val="20"/>
        </w:rPr>
        <w:t>[7]</w:t>
      </w:r>
      <w:r w:rsidRPr="00D70F60">
        <w:rPr>
          <w:rFonts w:ascii="Arial" w:hAnsi="Arial" w:cs="Arial"/>
          <w:sz w:val="20"/>
          <w:szCs w:val="20"/>
        </w:rPr>
        <w:t xml:space="preserve">. In this context, site-specific nutrient management (SSNM) has emerged as an effective approach to improve nutrient use efficiency and crop productivity. SSNM aims to supply nutrients according to the crop demand and the indigenous nutrient supplying capacity of the soil, thereby optimizing fertilizer application and minimizing nutrient losses </w:t>
      </w:r>
      <w:r w:rsidR="00A91439">
        <w:rPr>
          <w:rFonts w:ascii="Arial" w:hAnsi="Arial" w:cs="Arial"/>
          <w:sz w:val="20"/>
          <w:szCs w:val="20"/>
        </w:rPr>
        <w:t>[3,8]</w:t>
      </w:r>
      <w:r w:rsidRPr="00D70F60">
        <w:rPr>
          <w:rFonts w:ascii="Arial" w:hAnsi="Arial" w:cs="Arial"/>
          <w:sz w:val="20"/>
          <w:szCs w:val="20"/>
        </w:rPr>
        <w:t>.</w:t>
      </w:r>
    </w:p>
    <w:p w14:paraId="5241E326" w14:textId="5F21D181" w:rsidR="00D70F60" w:rsidRPr="00D70F60" w:rsidRDefault="00D70F60" w:rsidP="00D70F60">
      <w:pPr>
        <w:jc w:val="both"/>
        <w:rPr>
          <w:rFonts w:ascii="Arial" w:hAnsi="Arial" w:cs="Arial"/>
          <w:sz w:val="20"/>
          <w:szCs w:val="20"/>
        </w:rPr>
      </w:pPr>
      <w:r w:rsidRPr="00D70F60">
        <w:rPr>
          <w:rFonts w:ascii="Arial" w:hAnsi="Arial" w:cs="Arial"/>
          <w:sz w:val="20"/>
          <w:szCs w:val="20"/>
        </w:rPr>
        <w:lastRenderedPageBreak/>
        <w:t xml:space="preserve">The application of balanced nutrients, particularly nitrogen, phosphorus and potassium along with micronutrients such as zinc, plays a crucial role in enhancing physiological processes including photosynthesis, biomass accumulation and nutrient uptake in rice </w:t>
      </w:r>
      <w:r w:rsidR="00BC3E86">
        <w:rPr>
          <w:rFonts w:ascii="Arial" w:hAnsi="Arial" w:cs="Arial"/>
          <w:sz w:val="20"/>
          <w:szCs w:val="20"/>
        </w:rPr>
        <w:t>[4,9]</w:t>
      </w:r>
      <w:r w:rsidRPr="00D70F60">
        <w:rPr>
          <w:rFonts w:ascii="Arial" w:hAnsi="Arial" w:cs="Arial"/>
          <w:sz w:val="20"/>
          <w:szCs w:val="20"/>
        </w:rPr>
        <w:t xml:space="preserve">. Zinc deficiency is widely reported in many rice growing soils and its application along with macronutrients has been shown to improve crop growth, nutrient use efficiency and grain yield </w:t>
      </w:r>
      <w:r w:rsidR="00203F64">
        <w:rPr>
          <w:rFonts w:ascii="Arial" w:hAnsi="Arial" w:cs="Arial"/>
          <w:sz w:val="20"/>
          <w:szCs w:val="20"/>
        </w:rPr>
        <w:t>[9,10]</w:t>
      </w:r>
      <w:r w:rsidRPr="00D70F60">
        <w:rPr>
          <w:rFonts w:ascii="Arial" w:hAnsi="Arial" w:cs="Arial"/>
          <w:sz w:val="20"/>
          <w:szCs w:val="20"/>
        </w:rPr>
        <w:t xml:space="preserve">. Proper nutrient management practices also influence physiological growth parameters such as crop growth rate, relative growth rate and net assimilation rate, which are important indicators of crop productivity </w:t>
      </w:r>
      <w:r w:rsidR="00C81A35">
        <w:rPr>
          <w:rFonts w:ascii="Arial" w:hAnsi="Arial" w:cs="Arial"/>
          <w:sz w:val="20"/>
          <w:szCs w:val="20"/>
        </w:rPr>
        <w:t>[11]</w:t>
      </w:r>
      <w:r w:rsidRPr="00D70F60">
        <w:rPr>
          <w:rFonts w:ascii="Arial" w:hAnsi="Arial" w:cs="Arial"/>
          <w:sz w:val="20"/>
          <w:szCs w:val="20"/>
        </w:rPr>
        <w:t>.</w:t>
      </w:r>
    </w:p>
    <w:p w14:paraId="44B4184C" w14:textId="216D831B" w:rsidR="00D70F60" w:rsidRPr="00D70F60" w:rsidRDefault="00D70F60" w:rsidP="00D70F60">
      <w:pPr>
        <w:jc w:val="both"/>
        <w:rPr>
          <w:rFonts w:ascii="Arial" w:hAnsi="Arial" w:cs="Arial"/>
          <w:sz w:val="20"/>
          <w:szCs w:val="20"/>
        </w:rPr>
      </w:pPr>
      <w:r w:rsidRPr="00D70F60">
        <w:rPr>
          <w:rFonts w:ascii="Arial" w:hAnsi="Arial" w:cs="Arial"/>
          <w:sz w:val="20"/>
          <w:szCs w:val="20"/>
        </w:rPr>
        <w:t xml:space="preserve">Nutrient omission studies are also useful in identifying the most limiting nutrients affecting crop growth and yield. Such studies help in understanding the role of individual nutrients and assist in developing efficient fertilizer management strategies for improving crop productivity </w:t>
      </w:r>
      <w:r w:rsidR="00FC7E2B">
        <w:rPr>
          <w:rFonts w:ascii="Arial" w:hAnsi="Arial" w:cs="Arial"/>
          <w:sz w:val="20"/>
          <w:szCs w:val="20"/>
        </w:rPr>
        <w:t>[8,7]</w:t>
      </w:r>
      <w:r w:rsidRPr="00D70F60">
        <w:rPr>
          <w:rFonts w:ascii="Arial" w:hAnsi="Arial" w:cs="Arial"/>
          <w:sz w:val="20"/>
          <w:szCs w:val="20"/>
        </w:rPr>
        <w:t>. Therefore, the present study was undertaken to evaluate the effect of site-specific nutrient management on physiological growth parameters and nutrient recovery efficiency of transplanted rice during the Samba season.</w:t>
      </w:r>
    </w:p>
    <w:p w14:paraId="06F485B8" w14:textId="0CADF006" w:rsidR="000F0EBD" w:rsidRPr="000F0EBD" w:rsidRDefault="000F0EBD" w:rsidP="00DD6AC3">
      <w:pPr>
        <w:jc w:val="both"/>
        <w:rPr>
          <w:rFonts w:ascii="Arial" w:hAnsi="Arial" w:cs="Arial"/>
          <w:b/>
          <w:bCs/>
          <w:sz w:val="22"/>
          <w:szCs w:val="22"/>
        </w:rPr>
      </w:pPr>
      <w:r w:rsidRPr="000F0EBD">
        <w:rPr>
          <w:rFonts w:ascii="Arial" w:hAnsi="Arial" w:cs="Arial"/>
          <w:b/>
          <w:bCs/>
          <w:sz w:val="22"/>
          <w:szCs w:val="22"/>
        </w:rPr>
        <w:t>2. MATERIALS AND METHODS</w:t>
      </w:r>
    </w:p>
    <w:p w14:paraId="6DBA984B" w14:textId="77777777" w:rsidR="000F0EBD" w:rsidRPr="000F0EBD" w:rsidRDefault="000F0EBD" w:rsidP="00DD6AC3">
      <w:pPr>
        <w:jc w:val="both"/>
        <w:rPr>
          <w:rFonts w:ascii="Arial" w:hAnsi="Arial" w:cs="Arial"/>
          <w:b/>
          <w:bCs/>
          <w:sz w:val="20"/>
          <w:szCs w:val="20"/>
        </w:rPr>
      </w:pPr>
      <w:r w:rsidRPr="000F0EBD">
        <w:rPr>
          <w:rFonts w:ascii="Arial" w:hAnsi="Arial" w:cs="Arial"/>
          <w:b/>
          <w:bCs/>
          <w:sz w:val="20"/>
          <w:szCs w:val="20"/>
        </w:rPr>
        <w:t>2.1 Study area location</w:t>
      </w:r>
    </w:p>
    <w:p w14:paraId="58CE46E9" w14:textId="11F631ED" w:rsidR="000F0EBD" w:rsidRPr="000F0EBD" w:rsidRDefault="000F0EBD" w:rsidP="00DD6AC3">
      <w:pPr>
        <w:jc w:val="both"/>
        <w:rPr>
          <w:rFonts w:ascii="Arial" w:hAnsi="Arial" w:cs="Arial"/>
          <w:sz w:val="20"/>
          <w:szCs w:val="20"/>
        </w:rPr>
      </w:pPr>
      <w:r w:rsidRPr="000F0EBD">
        <w:rPr>
          <w:rFonts w:ascii="Arial" w:hAnsi="Arial" w:cs="Arial"/>
          <w:sz w:val="20"/>
          <w:szCs w:val="20"/>
        </w:rPr>
        <w:t xml:space="preserve">A field experiment was conducted during the Samba season (August–December 2025) at the South Farm, School of Agricultural Sciences, Karunya Institute of Technology and Sciences, Coimbatore, India. The experimental site is geographically situated in the North Western </w:t>
      </w:r>
      <w:proofErr w:type="spellStart"/>
      <w:r w:rsidRPr="000F0EBD">
        <w:rPr>
          <w:rFonts w:ascii="Arial" w:hAnsi="Arial" w:cs="Arial"/>
          <w:sz w:val="20"/>
          <w:szCs w:val="20"/>
        </w:rPr>
        <w:t>Agro</w:t>
      </w:r>
      <w:proofErr w:type="spellEnd"/>
      <w:r w:rsidRPr="000F0EBD">
        <w:rPr>
          <w:rFonts w:ascii="Arial" w:hAnsi="Arial" w:cs="Arial"/>
          <w:sz w:val="20"/>
          <w:szCs w:val="20"/>
        </w:rPr>
        <w:t xml:space="preserve">-climatic Zone of Tamil Nadu at 10°55'57.5"N latitude and 76°45'02.2"E longitude, with an altitude of 516.97 m above mean sea level. During the cropping period, the experimental site experienced typical semi-arid tropical climatic conditions with moderately high temperature, moderate rainfall and favourable sunshine hours. The prevailing weather conditions were suitable for normal growth and development of the rice crop. Prior to the initiation of the experiment, soil samples were collected from 0–15 cm depth at five different locations of the experimental field and composited for analysis. The soil was sandy clay loam in texture with pH 8.01 and electrical conductivity of 0.3 </w:t>
      </w:r>
      <w:proofErr w:type="spellStart"/>
      <w:r w:rsidRPr="000F0EBD">
        <w:rPr>
          <w:rFonts w:ascii="Arial" w:hAnsi="Arial" w:cs="Arial"/>
          <w:sz w:val="20"/>
          <w:szCs w:val="20"/>
        </w:rPr>
        <w:t>dS</w:t>
      </w:r>
      <w:proofErr w:type="spellEnd"/>
      <w:r w:rsidRPr="000F0EBD">
        <w:rPr>
          <w:rFonts w:ascii="Arial" w:hAnsi="Arial" w:cs="Arial"/>
          <w:sz w:val="20"/>
          <w:szCs w:val="20"/>
        </w:rPr>
        <w:t xml:space="preserve"> m</w:t>
      </w:r>
      <w:r w:rsidRPr="000F0EBD">
        <w:rPr>
          <w:rFonts w:ascii="Cambria Math" w:hAnsi="Cambria Math" w:cs="Cambria Math"/>
          <w:sz w:val="20"/>
          <w:szCs w:val="20"/>
        </w:rPr>
        <w:t>⁻</w:t>
      </w:r>
      <w:r w:rsidRPr="000F0EBD">
        <w:rPr>
          <w:rFonts w:ascii="Arial" w:hAnsi="Arial" w:cs="Arial"/>
          <w:sz w:val="20"/>
          <w:szCs w:val="20"/>
        </w:rPr>
        <w:t>¹. The soil contained 0.30% organic carbon, 263.2 kg ha</w:t>
      </w:r>
      <w:r w:rsidRPr="000F0EBD">
        <w:rPr>
          <w:rFonts w:ascii="Cambria Math" w:hAnsi="Cambria Math" w:cs="Cambria Math"/>
          <w:sz w:val="20"/>
          <w:szCs w:val="20"/>
        </w:rPr>
        <w:t>⁻</w:t>
      </w:r>
      <w:r w:rsidRPr="000F0EBD">
        <w:rPr>
          <w:rFonts w:ascii="Arial" w:hAnsi="Arial" w:cs="Arial"/>
          <w:sz w:val="20"/>
          <w:szCs w:val="20"/>
        </w:rPr>
        <w:t>¹ available nitrogen, 11.3 kg ha</w:t>
      </w:r>
      <w:r w:rsidRPr="000F0EBD">
        <w:rPr>
          <w:rFonts w:ascii="Cambria Math" w:hAnsi="Cambria Math" w:cs="Cambria Math"/>
          <w:sz w:val="20"/>
          <w:szCs w:val="20"/>
        </w:rPr>
        <w:t>⁻</w:t>
      </w:r>
      <w:r w:rsidRPr="000F0EBD">
        <w:rPr>
          <w:rFonts w:ascii="Arial" w:hAnsi="Arial" w:cs="Arial"/>
          <w:sz w:val="20"/>
          <w:szCs w:val="20"/>
        </w:rPr>
        <w:t>¹ available phosphorus, 508.4 kg ha</w:t>
      </w:r>
      <w:r w:rsidRPr="000F0EBD">
        <w:rPr>
          <w:rFonts w:ascii="Cambria Math" w:hAnsi="Cambria Math" w:cs="Cambria Math"/>
          <w:sz w:val="20"/>
          <w:szCs w:val="20"/>
        </w:rPr>
        <w:t>⁻</w:t>
      </w:r>
      <w:r w:rsidRPr="000F0EBD">
        <w:rPr>
          <w:rFonts w:ascii="Arial" w:hAnsi="Arial" w:cs="Arial"/>
          <w:sz w:val="20"/>
          <w:szCs w:val="20"/>
        </w:rPr>
        <w:t>¹ available potassium, and 6.25 mg kg</w:t>
      </w:r>
      <w:r w:rsidRPr="000F0EBD">
        <w:rPr>
          <w:rFonts w:ascii="Cambria Math" w:hAnsi="Cambria Math" w:cs="Cambria Math"/>
          <w:sz w:val="20"/>
          <w:szCs w:val="20"/>
        </w:rPr>
        <w:t>⁻</w:t>
      </w:r>
      <w:r w:rsidRPr="000F0EBD">
        <w:rPr>
          <w:rFonts w:ascii="Arial" w:hAnsi="Arial" w:cs="Arial"/>
          <w:sz w:val="20"/>
          <w:szCs w:val="20"/>
        </w:rPr>
        <w:t>¹ available zinc.</w:t>
      </w:r>
    </w:p>
    <w:p w14:paraId="7C8332B4" w14:textId="77777777" w:rsidR="000F0EBD" w:rsidRPr="000F0EBD" w:rsidRDefault="000F0EBD" w:rsidP="00DD6AC3">
      <w:pPr>
        <w:jc w:val="both"/>
        <w:rPr>
          <w:rFonts w:ascii="Arial" w:hAnsi="Arial" w:cs="Arial"/>
          <w:b/>
          <w:bCs/>
          <w:sz w:val="20"/>
          <w:szCs w:val="20"/>
        </w:rPr>
      </w:pPr>
      <w:r w:rsidRPr="000F0EBD">
        <w:rPr>
          <w:rFonts w:ascii="Arial" w:hAnsi="Arial" w:cs="Arial"/>
          <w:b/>
          <w:bCs/>
          <w:sz w:val="20"/>
          <w:szCs w:val="20"/>
        </w:rPr>
        <w:t>2.2 Experimental details</w:t>
      </w:r>
    </w:p>
    <w:p w14:paraId="503D3055" w14:textId="1F0364FD" w:rsidR="000F0EBD" w:rsidRPr="000F0EBD" w:rsidRDefault="000F0EBD" w:rsidP="00DD6AC3">
      <w:pPr>
        <w:jc w:val="both"/>
        <w:rPr>
          <w:rFonts w:ascii="Arial" w:hAnsi="Arial" w:cs="Arial"/>
          <w:sz w:val="20"/>
          <w:szCs w:val="20"/>
        </w:rPr>
      </w:pPr>
      <w:r w:rsidRPr="000F0EBD">
        <w:rPr>
          <w:rFonts w:ascii="Arial" w:hAnsi="Arial" w:cs="Arial"/>
          <w:sz w:val="20"/>
          <w:szCs w:val="20"/>
        </w:rPr>
        <w:t>The field experiment was laid out in a Randomized Block Design (RBD) with twelve treatments replicated thrice. The treatments consisted of soil test based nutrient management, recommended fertilizer dose, nutrient omission plots and farmers’ practice. The treatments followed for the study were: T</w:t>
      </w:r>
      <w:r w:rsidRPr="000F0EBD">
        <w:rPr>
          <w:rFonts w:ascii="Cambria Math" w:hAnsi="Cambria Math" w:cs="Cambria Math"/>
          <w:sz w:val="20"/>
          <w:szCs w:val="20"/>
        </w:rPr>
        <w:t>₁</w:t>
      </w:r>
      <w:r w:rsidRPr="000F0EBD">
        <w:rPr>
          <w:rFonts w:ascii="Arial" w:hAnsi="Arial" w:cs="Arial"/>
          <w:sz w:val="20"/>
          <w:szCs w:val="20"/>
        </w:rPr>
        <w:t xml:space="preserve"> – NPK (soil test based fertilizer recommendation), T</w:t>
      </w:r>
      <w:r w:rsidRPr="000F0EBD">
        <w:rPr>
          <w:rFonts w:ascii="Cambria Math" w:hAnsi="Cambria Math" w:cs="Cambria Math"/>
          <w:sz w:val="20"/>
          <w:szCs w:val="20"/>
        </w:rPr>
        <w:t>₂</w:t>
      </w:r>
      <w:r w:rsidRPr="000F0EBD">
        <w:rPr>
          <w:rFonts w:ascii="Arial" w:hAnsi="Arial" w:cs="Arial"/>
          <w:sz w:val="20"/>
          <w:szCs w:val="20"/>
        </w:rPr>
        <w:t xml:space="preserve"> – NPK + </w:t>
      </w:r>
      <w:proofErr w:type="spellStart"/>
      <w:r w:rsidRPr="000F0EBD">
        <w:rPr>
          <w:rFonts w:ascii="Arial" w:hAnsi="Arial" w:cs="Arial"/>
          <w:sz w:val="20"/>
          <w:szCs w:val="20"/>
        </w:rPr>
        <w:t>ZnSO</w:t>
      </w:r>
      <w:proofErr w:type="spellEnd"/>
      <w:r w:rsidRPr="000F0EBD">
        <w:rPr>
          <w:rFonts w:ascii="Cambria Math" w:hAnsi="Cambria Math" w:cs="Cambria Math"/>
          <w:sz w:val="20"/>
          <w:szCs w:val="20"/>
        </w:rPr>
        <w:t>₄</w:t>
      </w:r>
      <w:r w:rsidRPr="000F0EBD">
        <w:rPr>
          <w:rFonts w:ascii="Arial" w:hAnsi="Arial" w:cs="Arial"/>
          <w:sz w:val="20"/>
          <w:szCs w:val="20"/>
        </w:rPr>
        <w:t xml:space="preserve"> (soil test based fertilizer recommendation), T</w:t>
      </w:r>
      <w:r w:rsidRPr="000F0EBD">
        <w:rPr>
          <w:rFonts w:ascii="Cambria Math" w:hAnsi="Cambria Math" w:cs="Cambria Math"/>
          <w:sz w:val="20"/>
          <w:szCs w:val="20"/>
        </w:rPr>
        <w:t>₃</w:t>
      </w:r>
      <w:r w:rsidRPr="000F0EBD">
        <w:rPr>
          <w:rFonts w:ascii="Arial" w:hAnsi="Arial" w:cs="Arial"/>
          <w:sz w:val="20"/>
          <w:szCs w:val="20"/>
        </w:rPr>
        <w:t xml:space="preserve"> – NPK (recommended dose of fertilizer), T</w:t>
      </w:r>
      <w:r w:rsidRPr="000F0EBD">
        <w:rPr>
          <w:rFonts w:ascii="Cambria Math" w:hAnsi="Cambria Math" w:cs="Cambria Math"/>
          <w:sz w:val="20"/>
          <w:szCs w:val="20"/>
        </w:rPr>
        <w:t>₄</w:t>
      </w:r>
      <w:r w:rsidRPr="000F0EBD">
        <w:rPr>
          <w:rFonts w:ascii="Arial" w:hAnsi="Arial" w:cs="Arial"/>
          <w:sz w:val="20"/>
          <w:szCs w:val="20"/>
        </w:rPr>
        <w:t xml:space="preserve"> – NPK + </w:t>
      </w:r>
      <w:proofErr w:type="spellStart"/>
      <w:r w:rsidRPr="000F0EBD">
        <w:rPr>
          <w:rFonts w:ascii="Arial" w:hAnsi="Arial" w:cs="Arial"/>
          <w:sz w:val="20"/>
          <w:szCs w:val="20"/>
        </w:rPr>
        <w:t>ZnSO</w:t>
      </w:r>
      <w:proofErr w:type="spellEnd"/>
      <w:r w:rsidRPr="000F0EBD">
        <w:rPr>
          <w:rFonts w:ascii="Cambria Math" w:hAnsi="Cambria Math" w:cs="Cambria Math"/>
          <w:sz w:val="20"/>
          <w:szCs w:val="20"/>
        </w:rPr>
        <w:t>₄</w:t>
      </w:r>
      <w:r w:rsidRPr="000F0EBD">
        <w:rPr>
          <w:rFonts w:ascii="Arial" w:hAnsi="Arial" w:cs="Arial"/>
          <w:sz w:val="20"/>
          <w:szCs w:val="20"/>
        </w:rPr>
        <w:t xml:space="preserve"> (recommended dose of fertilizer), T</w:t>
      </w:r>
      <w:r w:rsidRPr="000F0EBD">
        <w:rPr>
          <w:rFonts w:ascii="Cambria Math" w:hAnsi="Cambria Math" w:cs="Cambria Math"/>
          <w:sz w:val="20"/>
          <w:szCs w:val="20"/>
        </w:rPr>
        <w:t>₅</w:t>
      </w:r>
      <w:r w:rsidRPr="000F0EBD">
        <w:rPr>
          <w:rFonts w:ascii="Arial" w:hAnsi="Arial" w:cs="Arial"/>
          <w:sz w:val="20"/>
          <w:szCs w:val="20"/>
        </w:rPr>
        <w:t xml:space="preserve"> – −N</w:t>
      </w:r>
      <w:r w:rsidR="00E32292">
        <w:rPr>
          <w:rFonts w:ascii="Arial" w:hAnsi="Arial" w:cs="Arial"/>
          <w:sz w:val="20"/>
          <w:szCs w:val="20"/>
        </w:rPr>
        <w:t xml:space="preserve"> omission</w:t>
      </w:r>
      <w:r w:rsidRPr="000F0EBD">
        <w:rPr>
          <w:rFonts w:ascii="Arial" w:hAnsi="Arial" w:cs="Arial"/>
          <w:sz w:val="20"/>
          <w:szCs w:val="20"/>
        </w:rPr>
        <w:t xml:space="preserve"> (PKZ) soil test based recommendation, T</w:t>
      </w:r>
      <w:r w:rsidRPr="000F0EBD">
        <w:rPr>
          <w:rFonts w:ascii="Cambria Math" w:hAnsi="Cambria Math" w:cs="Cambria Math"/>
          <w:sz w:val="20"/>
          <w:szCs w:val="20"/>
        </w:rPr>
        <w:t>₆</w:t>
      </w:r>
      <w:r w:rsidRPr="000F0EBD">
        <w:rPr>
          <w:rFonts w:ascii="Arial" w:hAnsi="Arial" w:cs="Arial"/>
          <w:sz w:val="20"/>
          <w:szCs w:val="20"/>
        </w:rPr>
        <w:t xml:space="preserve"> – −P</w:t>
      </w:r>
      <w:r w:rsidR="00E32292">
        <w:rPr>
          <w:rFonts w:ascii="Arial" w:hAnsi="Arial" w:cs="Arial"/>
          <w:sz w:val="20"/>
          <w:szCs w:val="20"/>
        </w:rPr>
        <w:t xml:space="preserve"> omission</w:t>
      </w:r>
      <w:r w:rsidRPr="000F0EBD">
        <w:rPr>
          <w:rFonts w:ascii="Arial" w:hAnsi="Arial" w:cs="Arial"/>
          <w:sz w:val="20"/>
          <w:szCs w:val="20"/>
        </w:rPr>
        <w:t xml:space="preserve"> (NKZ) soil test based recommendation, T</w:t>
      </w:r>
      <w:r w:rsidRPr="000F0EBD">
        <w:rPr>
          <w:rFonts w:ascii="Cambria Math" w:hAnsi="Cambria Math" w:cs="Cambria Math"/>
          <w:sz w:val="20"/>
          <w:szCs w:val="20"/>
        </w:rPr>
        <w:t>₇</w:t>
      </w:r>
      <w:r w:rsidRPr="000F0EBD">
        <w:rPr>
          <w:rFonts w:ascii="Arial" w:hAnsi="Arial" w:cs="Arial"/>
          <w:sz w:val="20"/>
          <w:szCs w:val="20"/>
        </w:rPr>
        <w:t xml:space="preserve"> – −K</w:t>
      </w:r>
      <w:r w:rsidR="00E32292">
        <w:rPr>
          <w:rFonts w:ascii="Arial" w:hAnsi="Arial" w:cs="Arial"/>
          <w:sz w:val="20"/>
          <w:szCs w:val="20"/>
        </w:rPr>
        <w:t xml:space="preserve"> omission</w:t>
      </w:r>
      <w:r w:rsidRPr="000F0EBD">
        <w:rPr>
          <w:rFonts w:ascii="Arial" w:hAnsi="Arial" w:cs="Arial"/>
          <w:sz w:val="20"/>
          <w:szCs w:val="20"/>
        </w:rPr>
        <w:t xml:space="preserve"> (NPZ) soil test based recommendation, T</w:t>
      </w:r>
      <w:r w:rsidRPr="000F0EBD">
        <w:rPr>
          <w:rFonts w:ascii="Cambria Math" w:hAnsi="Cambria Math" w:cs="Cambria Math"/>
          <w:sz w:val="20"/>
          <w:szCs w:val="20"/>
        </w:rPr>
        <w:t>₈</w:t>
      </w:r>
      <w:r w:rsidRPr="000F0EBD">
        <w:rPr>
          <w:rFonts w:ascii="Arial" w:hAnsi="Arial" w:cs="Arial"/>
          <w:sz w:val="20"/>
          <w:szCs w:val="20"/>
        </w:rPr>
        <w:t xml:space="preserve"> – −N (PK) soil test based recommendation without Zn, T</w:t>
      </w:r>
      <w:r w:rsidRPr="000F0EBD">
        <w:rPr>
          <w:rFonts w:ascii="Cambria Math" w:hAnsi="Cambria Math" w:cs="Cambria Math"/>
          <w:sz w:val="20"/>
          <w:szCs w:val="20"/>
        </w:rPr>
        <w:t>₉</w:t>
      </w:r>
      <w:r w:rsidRPr="000F0EBD">
        <w:rPr>
          <w:rFonts w:ascii="Arial" w:hAnsi="Arial" w:cs="Arial"/>
          <w:sz w:val="20"/>
          <w:szCs w:val="20"/>
        </w:rPr>
        <w:t xml:space="preserve"> – −P (NK) soil test based recommendation without Zn, T</w:t>
      </w:r>
      <w:r w:rsidRPr="000F0EBD">
        <w:rPr>
          <w:rFonts w:ascii="Cambria Math" w:hAnsi="Cambria Math" w:cs="Cambria Math"/>
          <w:sz w:val="20"/>
          <w:szCs w:val="20"/>
        </w:rPr>
        <w:t>₁₀</w:t>
      </w:r>
      <w:r w:rsidRPr="000F0EBD">
        <w:rPr>
          <w:rFonts w:ascii="Arial" w:hAnsi="Arial" w:cs="Arial"/>
          <w:sz w:val="20"/>
          <w:szCs w:val="20"/>
        </w:rPr>
        <w:t xml:space="preserve"> – −K (NP) soil test based recommendation without Zn, T</w:t>
      </w:r>
      <w:r w:rsidRPr="000F0EBD">
        <w:rPr>
          <w:rFonts w:ascii="Cambria Math" w:hAnsi="Cambria Math" w:cs="Cambria Math"/>
          <w:sz w:val="20"/>
          <w:szCs w:val="20"/>
        </w:rPr>
        <w:t>₁₁</w:t>
      </w:r>
      <w:r w:rsidRPr="000F0EBD">
        <w:rPr>
          <w:rFonts w:ascii="Arial" w:hAnsi="Arial" w:cs="Arial"/>
          <w:sz w:val="20"/>
          <w:szCs w:val="20"/>
        </w:rPr>
        <w:t xml:space="preserve"> – farmers’ practice and T</w:t>
      </w:r>
      <w:r w:rsidRPr="000F0EBD">
        <w:rPr>
          <w:rFonts w:ascii="Cambria Math" w:hAnsi="Cambria Math" w:cs="Cambria Math"/>
          <w:sz w:val="20"/>
          <w:szCs w:val="20"/>
        </w:rPr>
        <w:t>₁₂</w:t>
      </w:r>
      <w:r w:rsidRPr="000F0EBD">
        <w:rPr>
          <w:rFonts w:ascii="Arial" w:hAnsi="Arial" w:cs="Arial"/>
          <w:sz w:val="20"/>
          <w:szCs w:val="20"/>
        </w:rPr>
        <w:t xml:space="preserve"> – control.</w:t>
      </w:r>
      <w:r w:rsidR="002F0F3A" w:rsidRPr="002F0F3A">
        <w:t xml:space="preserve"> </w:t>
      </w:r>
      <w:r w:rsidR="002F0F3A" w:rsidRPr="002F0F3A">
        <w:rPr>
          <w:rFonts w:ascii="Arial" w:hAnsi="Arial" w:cs="Arial"/>
          <w:sz w:val="20"/>
          <w:szCs w:val="20"/>
        </w:rPr>
        <w:t>Nitrogen (N), phosphorus (P), potassium (K) and zinc (Zn) were applied through urea, single super phosphate (SSP), muriate of potash (MOP) and zinc sulphate (</w:t>
      </w:r>
      <w:proofErr w:type="spellStart"/>
      <w:r w:rsidR="002F0F3A" w:rsidRPr="002F0F3A">
        <w:rPr>
          <w:rFonts w:ascii="Arial" w:hAnsi="Arial" w:cs="Arial"/>
          <w:sz w:val="20"/>
          <w:szCs w:val="20"/>
        </w:rPr>
        <w:t>ZnSO</w:t>
      </w:r>
      <w:proofErr w:type="spellEnd"/>
      <w:r w:rsidR="002F0F3A" w:rsidRPr="002F0F3A">
        <w:rPr>
          <w:rFonts w:ascii="Cambria Math" w:hAnsi="Cambria Math" w:cs="Cambria Math"/>
          <w:sz w:val="20"/>
          <w:szCs w:val="20"/>
        </w:rPr>
        <w:t>₄</w:t>
      </w:r>
      <w:r w:rsidR="002F0F3A" w:rsidRPr="002F0F3A">
        <w:rPr>
          <w:rFonts w:ascii="Arial" w:hAnsi="Arial" w:cs="Arial"/>
          <w:sz w:val="20"/>
          <w:szCs w:val="20"/>
        </w:rPr>
        <w:t>), respectively. Fertilizer quantities were calculated on a gross plot basis according to the recommended fertilizer dose and soil test values and weighed separately for each plot. The recommended dose of fertilizers (RDF) for rice was 150:50:50 kg N:P</w:t>
      </w:r>
      <w:r w:rsidR="002F0F3A" w:rsidRPr="002F0F3A">
        <w:rPr>
          <w:rFonts w:ascii="Cambria Math" w:hAnsi="Cambria Math" w:cs="Cambria Math"/>
          <w:sz w:val="20"/>
          <w:szCs w:val="20"/>
        </w:rPr>
        <w:t>₂</w:t>
      </w:r>
      <w:r w:rsidR="002F0F3A" w:rsidRPr="002F0F3A">
        <w:rPr>
          <w:rFonts w:ascii="Arial" w:hAnsi="Arial" w:cs="Arial"/>
          <w:sz w:val="20"/>
          <w:szCs w:val="20"/>
        </w:rPr>
        <w:t>O</w:t>
      </w:r>
      <w:proofErr w:type="gramStart"/>
      <w:r w:rsidR="002F0F3A" w:rsidRPr="002F0F3A">
        <w:rPr>
          <w:rFonts w:ascii="Cambria Math" w:hAnsi="Cambria Math" w:cs="Cambria Math"/>
          <w:sz w:val="20"/>
          <w:szCs w:val="20"/>
        </w:rPr>
        <w:t>₅</w:t>
      </w:r>
      <w:r w:rsidR="002F0F3A" w:rsidRPr="002F0F3A">
        <w:rPr>
          <w:rFonts w:ascii="Arial" w:hAnsi="Arial" w:cs="Arial"/>
          <w:sz w:val="20"/>
          <w:szCs w:val="20"/>
        </w:rPr>
        <w:t>:K</w:t>
      </w:r>
      <w:proofErr w:type="gramEnd"/>
      <w:r w:rsidR="002F0F3A" w:rsidRPr="002F0F3A">
        <w:rPr>
          <w:rFonts w:ascii="Cambria Math" w:hAnsi="Cambria Math" w:cs="Cambria Math"/>
          <w:sz w:val="20"/>
          <w:szCs w:val="20"/>
        </w:rPr>
        <w:t>₂</w:t>
      </w:r>
      <w:r w:rsidR="002F0F3A" w:rsidRPr="002F0F3A">
        <w:rPr>
          <w:rFonts w:ascii="Arial" w:hAnsi="Arial" w:cs="Arial"/>
          <w:sz w:val="20"/>
          <w:szCs w:val="20"/>
        </w:rPr>
        <w:t>O ha</w:t>
      </w:r>
      <w:r w:rsidR="002F0F3A" w:rsidRPr="002F0F3A">
        <w:rPr>
          <w:rFonts w:ascii="Cambria Math" w:hAnsi="Cambria Math" w:cs="Cambria Math"/>
          <w:sz w:val="20"/>
          <w:szCs w:val="20"/>
        </w:rPr>
        <w:t>⁻</w:t>
      </w:r>
      <w:r w:rsidR="002F0F3A" w:rsidRPr="002F0F3A">
        <w:rPr>
          <w:rFonts w:ascii="Arial" w:hAnsi="Arial" w:cs="Arial"/>
          <w:sz w:val="20"/>
          <w:szCs w:val="20"/>
        </w:rPr>
        <w:t xml:space="preserve">¹ along with </w:t>
      </w:r>
      <w:proofErr w:type="spellStart"/>
      <w:r w:rsidR="002F0F3A" w:rsidRPr="002F0F3A">
        <w:rPr>
          <w:rFonts w:ascii="Arial" w:hAnsi="Arial" w:cs="Arial"/>
          <w:sz w:val="20"/>
          <w:szCs w:val="20"/>
        </w:rPr>
        <w:t>ZnSO</w:t>
      </w:r>
      <w:proofErr w:type="spellEnd"/>
      <w:r w:rsidR="002F0F3A" w:rsidRPr="002F0F3A">
        <w:rPr>
          <w:rFonts w:ascii="Cambria Math" w:hAnsi="Cambria Math" w:cs="Cambria Math"/>
          <w:sz w:val="20"/>
          <w:szCs w:val="20"/>
        </w:rPr>
        <w:t>₄</w:t>
      </w:r>
      <w:r w:rsidR="002F0F3A" w:rsidRPr="002F0F3A">
        <w:rPr>
          <w:rFonts w:ascii="Arial" w:hAnsi="Arial" w:cs="Arial"/>
          <w:sz w:val="20"/>
          <w:szCs w:val="20"/>
        </w:rPr>
        <w:t xml:space="preserve"> at 25 kg ha</w:t>
      </w:r>
      <w:r w:rsidR="002F0F3A" w:rsidRPr="002F0F3A">
        <w:rPr>
          <w:rFonts w:ascii="Cambria Math" w:hAnsi="Cambria Math" w:cs="Cambria Math"/>
          <w:sz w:val="20"/>
          <w:szCs w:val="20"/>
        </w:rPr>
        <w:t>⁻</w:t>
      </w:r>
      <w:r w:rsidR="002F0F3A" w:rsidRPr="002F0F3A">
        <w:rPr>
          <w:rFonts w:ascii="Arial" w:hAnsi="Arial" w:cs="Arial"/>
          <w:sz w:val="20"/>
          <w:szCs w:val="20"/>
        </w:rPr>
        <w:t>¹ in the respective treatments. Based on soil test results, the soil test–based fertilizer recommendation was 125:50:25 kg N:P</w:t>
      </w:r>
      <w:r w:rsidR="002F0F3A" w:rsidRPr="002F0F3A">
        <w:rPr>
          <w:rFonts w:ascii="Cambria Math" w:hAnsi="Cambria Math" w:cs="Cambria Math"/>
          <w:sz w:val="20"/>
          <w:szCs w:val="20"/>
        </w:rPr>
        <w:t>₂</w:t>
      </w:r>
      <w:r w:rsidR="002F0F3A" w:rsidRPr="002F0F3A">
        <w:rPr>
          <w:rFonts w:ascii="Arial" w:hAnsi="Arial" w:cs="Arial"/>
          <w:sz w:val="20"/>
          <w:szCs w:val="20"/>
        </w:rPr>
        <w:t>O</w:t>
      </w:r>
      <w:proofErr w:type="gramStart"/>
      <w:r w:rsidR="002F0F3A" w:rsidRPr="002F0F3A">
        <w:rPr>
          <w:rFonts w:ascii="Cambria Math" w:hAnsi="Cambria Math" w:cs="Cambria Math"/>
          <w:sz w:val="20"/>
          <w:szCs w:val="20"/>
        </w:rPr>
        <w:t>₅</w:t>
      </w:r>
      <w:r w:rsidR="002F0F3A" w:rsidRPr="002F0F3A">
        <w:rPr>
          <w:rFonts w:ascii="Arial" w:hAnsi="Arial" w:cs="Arial"/>
          <w:sz w:val="20"/>
          <w:szCs w:val="20"/>
        </w:rPr>
        <w:t>:K</w:t>
      </w:r>
      <w:proofErr w:type="gramEnd"/>
      <w:r w:rsidR="002F0F3A" w:rsidRPr="002F0F3A">
        <w:rPr>
          <w:rFonts w:ascii="Cambria Math" w:hAnsi="Cambria Math" w:cs="Cambria Math"/>
          <w:sz w:val="20"/>
          <w:szCs w:val="20"/>
        </w:rPr>
        <w:t>₂</w:t>
      </w:r>
      <w:r w:rsidR="002F0F3A" w:rsidRPr="002F0F3A">
        <w:rPr>
          <w:rFonts w:ascii="Arial" w:hAnsi="Arial" w:cs="Arial"/>
          <w:sz w:val="20"/>
          <w:szCs w:val="20"/>
        </w:rPr>
        <w:t>O ha</w:t>
      </w:r>
      <w:r w:rsidR="002F0F3A" w:rsidRPr="002F0F3A">
        <w:rPr>
          <w:rFonts w:ascii="Cambria Math" w:hAnsi="Cambria Math" w:cs="Cambria Math"/>
          <w:sz w:val="20"/>
          <w:szCs w:val="20"/>
        </w:rPr>
        <w:t>⁻</w:t>
      </w:r>
      <w:r w:rsidR="002F0F3A" w:rsidRPr="002F0F3A">
        <w:rPr>
          <w:rFonts w:ascii="Arial" w:hAnsi="Arial" w:cs="Arial"/>
          <w:sz w:val="20"/>
          <w:szCs w:val="20"/>
        </w:rPr>
        <w:t xml:space="preserve">¹ with </w:t>
      </w:r>
      <w:proofErr w:type="spellStart"/>
      <w:r w:rsidR="002F0F3A" w:rsidRPr="002F0F3A">
        <w:rPr>
          <w:rFonts w:ascii="Arial" w:hAnsi="Arial" w:cs="Arial"/>
          <w:sz w:val="20"/>
          <w:szCs w:val="20"/>
        </w:rPr>
        <w:t>ZnSO</w:t>
      </w:r>
      <w:proofErr w:type="spellEnd"/>
      <w:r w:rsidR="002F0F3A" w:rsidRPr="002F0F3A">
        <w:rPr>
          <w:rFonts w:ascii="Cambria Math" w:hAnsi="Cambria Math" w:cs="Cambria Math"/>
          <w:sz w:val="20"/>
          <w:szCs w:val="20"/>
        </w:rPr>
        <w:t>₄</w:t>
      </w:r>
      <w:r w:rsidR="002F0F3A" w:rsidRPr="002F0F3A">
        <w:rPr>
          <w:rFonts w:ascii="Arial" w:hAnsi="Arial" w:cs="Arial"/>
          <w:sz w:val="20"/>
          <w:szCs w:val="20"/>
        </w:rPr>
        <w:t xml:space="preserve"> at 18 kg ha</w:t>
      </w:r>
      <w:r w:rsidR="002F0F3A" w:rsidRPr="002F0F3A">
        <w:rPr>
          <w:rFonts w:ascii="Cambria Math" w:hAnsi="Cambria Math" w:cs="Cambria Math"/>
          <w:sz w:val="20"/>
          <w:szCs w:val="20"/>
        </w:rPr>
        <w:t>⁻</w:t>
      </w:r>
      <w:r w:rsidR="002F0F3A" w:rsidRPr="002F0F3A">
        <w:rPr>
          <w:rFonts w:ascii="Arial" w:hAnsi="Arial" w:cs="Arial"/>
          <w:sz w:val="20"/>
          <w:szCs w:val="20"/>
        </w:rPr>
        <w:t>¹. Fertilizers under SSNM treatments were applied according to the respective nutrient omission treatments.</w:t>
      </w:r>
    </w:p>
    <w:p w14:paraId="5673F9FB" w14:textId="77777777" w:rsidR="000F0EBD" w:rsidRPr="000F0EBD" w:rsidRDefault="000F0EBD" w:rsidP="00DD6AC3">
      <w:pPr>
        <w:jc w:val="both"/>
        <w:rPr>
          <w:rFonts w:ascii="Arial" w:hAnsi="Arial" w:cs="Arial"/>
          <w:sz w:val="20"/>
          <w:szCs w:val="20"/>
        </w:rPr>
      </w:pPr>
      <w:r w:rsidRPr="000F0EBD">
        <w:rPr>
          <w:rFonts w:ascii="Arial" w:hAnsi="Arial" w:cs="Arial"/>
          <w:sz w:val="20"/>
          <w:szCs w:val="20"/>
        </w:rPr>
        <w:t>Rice variety Bhavani, a medium duration variety (130–135 days) with long slender grains, was used as the test crop. Seeds were sown on 01 August 2025 and transplanted following standard nursery practices with a spacing of 20 cm × 15 cm and a seed rate of 40 kg ha</w:t>
      </w:r>
      <w:r w:rsidRPr="000F0EBD">
        <w:rPr>
          <w:rFonts w:ascii="Cambria Math" w:hAnsi="Cambria Math" w:cs="Cambria Math"/>
          <w:sz w:val="20"/>
          <w:szCs w:val="20"/>
        </w:rPr>
        <w:t>⁻</w:t>
      </w:r>
      <w:r w:rsidRPr="000F0EBD">
        <w:rPr>
          <w:rFonts w:ascii="Arial" w:hAnsi="Arial" w:cs="Arial"/>
          <w:sz w:val="20"/>
          <w:szCs w:val="20"/>
        </w:rPr>
        <w:t xml:space="preserve">¹. The gross plot size was 5 m </w:t>
      </w:r>
      <w:r w:rsidRPr="000F0EBD">
        <w:rPr>
          <w:rFonts w:ascii="Arial" w:hAnsi="Arial" w:cs="Arial"/>
          <w:sz w:val="20"/>
          <w:szCs w:val="20"/>
        </w:rPr>
        <w:lastRenderedPageBreak/>
        <w:t>× 4 m, while the net plot size was 3 m × 2.8 m. Fertilizers were applied according to the respective treatment schedule and zinc was applied as zinc sulphate (</w:t>
      </w:r>
      <w:proofErr w:type="spellStart"/>
      <w:r w:rsidRPr="000F0EBD">
        <w:rPr>
          <w:rFonts w:ascii="Arial" w:hAnsi="Arial" w:cs="Arial"/>
          <w:sz w:val="20"/>
          <w:szCs w:val="20"/>
        </w:rPr>
        <w:t>ZnSO</w:t>
      </w:r>
      <w:proofErr w:type="spellEnd"/>
      <w:r w:rsidRPr="000F0EBD">
        <w:rPr>
          <w:rFonts w:ascii="Cambria Math" w:hAnsi="Cambria Math" w:cs="Cambria Math"/>
          <w:sz w:val="20"/>
          <w:szCs w:val="20"/>
        </w:rPr>
        <w:t>₄</w:t>
      </w:r>
      <w:r w:rsidRPr="000F0EBD">
        <w:rPr>
          <w:rFonts w:ascii="Arial" w:hAnsi="Arial" w:cs="Arial"/>
          <w:sz w:val="20"/>
          <w:szCs w:val="20"/>
        </w:rPr>
        <w:t>) where specified. Recommended agronomic practices such as irrigation, weed management and plant protection measures were followed uniformly for all treatments. The crop was harvested on 10 December 2025.</w:t>
      </w:r>
    </w:p>
    <w:p w14:paraId="3A49E880" w14:textId="77777777" w:rsidR="000F0EBD" w:rsidRPr="000F0EBD" w:rsidRDefault="000F0EBD" w:rsidP="00DD6AC3">
      <w:pPr>
        <w:jc w:val="both"/>
        <w:rPr>
          <w:rFonts w:ascii="Arial" w:hAnsi="Arial" w:cs="Arial"/>
          <w:b/>
          <w:bCs/>
          <w:sz w:val="20"/>
          <w:szCs w:val="20"/>
        </w:rPr>
      </w:pPr>
      <w:r w:rsidRPr="000F0EBD">
        <w:rPr>
          <w:rFonts w:ascii="Arial" w:hAnsi="Arial" w:cs="Arial"/>
          <w:b/>
          <w:bCs/>
          <w:sz w:val="20"/>
          <w:szCs w:val="20"/>
        </w:rPr>
        <w:t>2.3 Growth analysis and nutrient recovery estimation</w:t>
      </w:r>
    </w:p>
    <w:p w14:paraId="406959EE" w14:textId="4BF5CD13" w:rsidR="000F0EBD" w:rsidRDefault="000F0EBD" w:rsidP="00DD6AC3">
      <w:pPr>
        <w:jc w:val="both"/>
        <w:rPr>
          <w:rFonts w:ascii="Arial" w:hAnsi="Arial" w:cs="Arial"/>
          <w:sz w:val="20"/>
          <w:szCs w:val="20"/>
        </w:rPr>
      </w:pPr>
      <w:r w:rsidRPr="000F0EBD">
        <w:rPr>
          <w:rFonts w:ascii="Arial" w:hAnsi="Arial" w:cs="Arial"/>
          <w:sz w:val="20"/>
          <w:szCs w:val="20"/>
        </w:rPr>
        <w:t>Physiological growth parameters were estimated using dry matter production and leaf area data recorded at 30, 60 and 90 days after transplanting and at harvest</w:t>
      </w:r>
      <w:r w:rsidR="00A56C12">
        <w:rPr>
          <w:rFonts w:ascii="Arial" w:hAnsi="Arial" w:cs="Arial"/>
          <w:sz w:val="20"/>
          <w:szCs w:val="20"/>
        </w:rPr>
        <w:t>.</w:t>
      </w:r>
      <w:r w:rsidR="006719AC">
        <w:rPr>
          <w:rFonts w:ascii="Arial" w:hAnsi="Arial" w:cs="Arial"/>
          <w:sz w:val="20"/>
          <w:szCs w:val="20"/>
        </w:rPr>
        <w:t xml:space="preserve"> </w:t>
      </w:r>
      <w:bookmarkStart w:id="1" w:name="_Hlk224490982"/>
      <w:r w:rsidR="00A56C12">
        <w:rPr>
          <w:rFonts w:ascii="Arial" w:hAnsi="Arial" w:cs="Arial"/>
          <w:sz w:val="20"/>
          <w:szCs w:val="20"/>
        </w:rPr>
        <w:t>CGR, RGR, NAR</w:t>
      </w:r>
      <w:r w:rsidR="006719AC">
        <w:rPr>
          <w:rFonts w:ascii="Arial" w:hAnsi="Arial" w:cs="Arial"/>
          <w:sz w:val="20"/>
          <w:szCs w:val="20"/>
        </w:rPr>
        <w:t xml:space="preserve"> were calculated respectively to [12-14] and nutrient recovery efficiency [5,3]</w:t>
      </w:r>
      <w:bookmarkEnd w:id="1"/>
      <w:r w:rsidRPr="000F0EBD">
        <w:rPr>
          <w:rFonts w:ascii="Arial" w:hAnsi="Arial" w:cs="Arial"/>
          <w:sz w:val="20"/>
          <w:szCs w:val="20"/>
        </w:rPr>
        <w:t>. Crop growth rate (CGR) was calculated as:</w:t>
      </w:r>
    </w:p>
    <w:p w14:paraId="355EA797" w14:textId="1A9C0748" w:rsidR="00EE0EC4" w:rsidRPr="000F0EBD" w:rsidRDefault="00EE0EC4" w:rsidP="00DD6AC3">
      <w:pPr>
        <w:jc w:val="both"/>
        <w:rPr>
          <w:rFonts w:ascii="Arial" w:hAnsi="Arial" w:cs="Arial"/>
          <w:sz w:val="20"/>
          <w:szCs w:val="20"/>
        </w:rPr>
      </w:pPr>
      <w:r>
        <w:rPr>
          <w:rFonts w:ascii="Arial" w:eastAsiaTheme="minorEastAsia" w:hAnsi="Arial" w:cs="Arial"/>
          <w:sz w:val="20"/>
          <w:szCs w:val="20"/>
        </w:rPr>
        <w:t xml:space="preserve">                                                                    </w:t>
      </w:r>
      <m:oMath>
        <m:r>
          <w:rPr>
            <w:rFonts w:ascii="Cambria Math" w:hAnsi="Cambria Math" w:cs="Arial"/>
            <w:sz w:val="20"/>
            <w:szCs w:val="20"/>
          </w:rPr>
          <m:t>CGR=</m:t>
        </m:r>
        <m:f>
          <m:fPr>
            <m:ctrlPr>
              <w:rPr>
                <w:rFonts w:ascii="Cambria Math" w:hAnsi="Cambria Math" w:cs="Arial"/>
                <w:i/>
                <w:sz w:val="20"/>
                <w:szCs w:val="20"/>
              </w:rPr>
            </m:ctrlPr>
          </m:fPr>
          <m:num>
            <m:r>
              <m:rPr>
                <m:sty m:val="p"/>
              </m:rPr>
              <w:rPr>
                <w:rFonts w:ascii="Cambria Math" w:hAnsi="Cambria Math" w:cs="Arial"/>
                <w:sz w:val="20"/>
                <w:szCs w:val="20"/>
              </w:rPr>
              <m:t>W</m:t>
            </m:r>
            <m:r>
              <m:rPr>
                <m:sty m:val="p"/>
              </m:rPr>
              <w:rPr>
                <w:rFonts w:ascii="Cambria Math" w:hAnsi="Cambria Math" w:cs="Cambria Math"/>
                <w:sz w:val="20"/>
                <w:szCs w:val="20"/>
              </w:rPr>
              <m:t>₂</m:t>
            </m:r>
            <m:r>
              <m:rPr>
                <m:sty m:val="p"/>
              </m:rPr>
              <w:rPr>
                <w:rFonts w:ascii="Cambria Math" w:hAnsi="Cambria Math" w:cs="Arial"/>
                <w:sz w:val="20"/>
                <w:szCs w:val="20"/>
              </w:rPr>
              <m:t xml:space="preserve"> - W</m:t>
            </m:r>
            <m:r>
              <m:rPr>
                <m:sty m:val="p"/>
              </m:rPr>
              <w:rPr>
                <w:rFonts w:ascii="Cambria Math" w:hAnsi="Cambria Math" w:cs="Cambria Math"/>
                <w:sz w:val="20"/>
                <w:szCs w:val="20"/>
              </w:rPr>
              <m:t>₁</m:t>
            </m:r>
          </m:num>
          <m:den>
            <m:r>
              <m:rPr>
                <m:sty m:val="p"/>
              </m:rPr>
              <w:rPr>
                <w:rFonts w:ascii="Cambria Math" w:hAnsi="Cambria Math" w:cs="Arial"/>
                <w:sz w:val="20"/>
                <w:szCs w:val="20"/>
              </w:rPr>
              <m:t>t</m:t>
            </m:r>
            <m:r>
              <m:rPr>
                <m:sty m:val="p"/>
              </m:rPr>
              <w:rPr>
                <w:rFonts w:ascii="Cambria Math" w:hAnsi="Cambria Math" w:cs="Cambria Math"/>
                <w:sz w:val="20"/>
                <w:szCs w:val="20"/>
              </w:rPr>
              <m:t>₂</m:t>
            </m:r>
            <m:r>
              <m:rPr>
                <m:sty m:val="p"/>
              </m:rPr>
              <w:rPr>
                <w:rFonts w:ascii="Cambria Math" w:hAnsi="Cambria Math" w:cs="Arial"/>
                <w:sz w:val="20"/>
                <w:szCs w:val="20"/>
              </w:rPr>
              <m:t xml:space="preserve"> - t</m:t>
            </m:r>
            <m:r>
              <m:rPr>
                <m:sty m:val="p"/>
              </m:rPr>
              <w:rPr>
                <w:rFonts w:ascii="Cambria Math" w:hAnsi="Cambria Math" w:cs="Cambria Math"/>
                <w:sz w:val="20"/>
                <w:szCs w:val="20"/>
              </w:rPr>
              <m:t>₁</m:t>
            </m:r>
          </m:den>
        </m:f>
      </m:oMath>
      <w:r>
        <w:rPr>
          <w:rFonts w:ascii="Arial" w:eastAsiaTheme="minorEastAsia" w:hAnsi="Arial" w:cs="Arial"/>
          <w:sz w:val="20"/>
          <w:szCs w:val="20"/>
        </w:rPr>
        <w:t xml:space="preserve">                                                            </w:t>
      </w:r>
      <w:r w:rsidR="002A4D7F">
        <w:rPr>
          <w:rFonts w:ascii="Arial" w:eastAsiaTheme="minorEastAsia" w:hAnsi="Arial" w:cs="Arial"/>
          <w:sz w:val="20"/>
          <w:szCs w:val="20"/>
        </w:rPr>
        <w:t xml:space="preserve"> </w:t>
      </w:r>
      <w:r>
        <w:rPr>
          <w:rFonts w:ascii="Arial" w:eastAsiaTheme="minorEastAsia" w:hAnsi="Arial" w:cs="Arial"/>
          <w:sz w:val="20"/>
          <w:szCs w:val="20"/>
        </w:rPr>
        <w:t xml:space="preserve">   (1)   </w:t>
      </w:r>
    </w:p>
    <w:p w14:paraId="6FF2CE2F" w14:textId="77777777" w:rsidR="000F0EBD" w:rsidRPr="000F0EBD" w:rsidRDefault="000F0EBD" w:rsidP="00DD6AC3">
      <w:pPr>
        <w:jc w:val="both"/>
        <w:rPr>
          <w:rFonts w:ascii="Arial" w:hAnsi="Arial" w:cs="Arial"/>
          <w:sz w:val="20"/>
          <w:szCs w:val="20"/>
        </w:rPr>
      </w:pPr>
      <w:r w:rsidRPr="000F0EBD">
        <w:rPr>
          <w:rFonts w:ascii="Arial" w:hAnsi="Arial" w:cs="Arial"/>
          <w:sz w:val="20"/>
          <w:szCs w:val="20"/>
        </w:rPr>
        <w:t>where W</w:t>
      </w:r>
      <w:r w:rsidRPr="000F0EBD">
        <w:rPr>
          <w:rFonts w:ascii="Cambria Math" w:hAnsi="Cambria Math" w:cs="Cambria Math"/>
          <w:sz w:val="20"/>
          <w:szCs w:val="20"/>
        </w:rPr>
        <w:t>₁</w:t>
      </w:r>
      <w:r w:rsidRPr="000F0EBD">
        <w:rPr>
          <w:rFonts w:ascii="Arial" w:hAnsi="Arial" w:cs="Arial"/>
          <w:sz w:val="20"/>
          <w:szCs w:val="20"/>
        </w:rPr>
        <w:t xml:space="preserve"> and W</w:t>
      </w:r>
      <w:r w:rsidRPr="000F0EBD">
        <w:rPr>
          <w:rFonts w:ascii="Cambria Math" w:hAnsi="Cambria Math" w:cs="Cambria Math"/>
          <w:sz w:val="20"/>
          <w:szCs w:val="20"/>
        </w:rPr>
        <w:t>₂</w:t>
      </w:r>
      <w:r w:rsidRPr="000F0EBD">
        <w:rPr>
          <w:rFonts w:ascii="Arial" w:hAnsi="Arial" w:cs="Arial"/>
          <w:sz w:val="20"/>
          <w:szCs w:val="20"/>
        </w:rPr>
        <w:t xml:space="preserve"> represent the dry matter production at times t</w:t>
      </w:r>
      <w:r w:rsidRPr="000F0EBD">
        <w:rPr>
          <w:rFonts w:ascii="Cambria Math" w:hAnsi="Cambria Math" w:cs="Cambria Math"/>
          <w:sz w:val="20"/>
          <w:szCs w:val="20"/>
        </w:rPr>
        <w:t>₁</w:t>
      </w:r>
      <w:r w:rsidRPr="000F0EBD">
        <w:rPr>
          <w:rFonts w:ascii="Arial" w:hAnsi="Arial" w:cs="Arial"/>
          <w:sz w:val="20"/>
          <w:szCs w:val="20"/>
        </w:rPr>
        <w:t xml:space="preserve"> and t</w:t>
      </w:r>
      <w:r w:rsidRPr="000F0EBD">
        <w:rPr>
          <w:rFonts w:ascii="Cambria Math" w:hAnsi="Cambria Math" w:cs="Cambria Math"/>
          <w:sz w:val="20"/>
          <w:szCs w:val="20"/>
        </w:rPr>
        <w:t>₂</w:t>
      </w:r>
      <w:r w:rsidRPr="000F0EBD">
        <w:rPr>
          <w:rFonts w:ascii="Arial" w:hAnsi="Arial" w:cs="Arial"/>
          <w:sz w:val="20"/>
          <w:szCs w:val="20"/>
        </w:rPr>
        <w:t xml:space="preserve"> respectively.</w:t>
      </w:r>
    </w:p>
    <w:p w14:paraId="50DCDF41" w14:textId="77777777" w:rsidR="000F0EBD" w:rsidRDefault="000F0EBD" w:rsidP="00DD6AC3">
      <w:pPr>
        <w:jc w:val="both"/>
        <w:rPr>
          <w:rFonts w:ascii="Arial" w:hAnsi="Arial" w:cs="Arial"/>
          <w:sz w:val="20"/>
          <w:szCs w:val="20"/>
        </w:rPr>
      </w:pPr>
      <w:r w:rsidRPr="000F0EBD">
        <w:rPr>
          <w:rFonts w:ascii="Arial" w:hAnsi="Arial" w:cs="Arial"/>
          <w:sz w:val="20"/>
          <w:szCs w:val="20"/>
        </w:rPr>
        <w:t>Relative growth rate (RGR) was calculated as:</w:t>
      </w:r>
    </w:p>
    <w:p w14:paraId="32C0CA63" w14:textId="134A0B31" w:rsidR="00EE0EC4" w:rsidRPr="000F0EBD" w:rsidRDefault="00EE0EC4" w:rsidP="00DD6AC3">
      <w:pPr>
        <w:jc w:val="both"/>
        <w:rPr>
          <w:rFonts w:ascii="Arial" w:hAnsi="Arial" w:cs="Arial"/>
          <w:sz w:val="20"/>
          <w:szCs w:val="20"/>
        </w:rPr>
      </w:pPr>
      <w:r>
        <w:rPr>
          <w:rFonts w:ascii="Arial" w:eastAsiaTheme="minorEastAsia" w:hAnsi="Arial" w:cs="Arial"/>
          <w:sz w:val="20"/>
          <w:szCs w:val="20"/>
        </w:rPr>
        <w:t xml:space="preserve">                                                                  </w:t>
      </w:r>
      <m:oMath>
        <m:r>
          <m:rPr>
            <m:sty m:val="p"/>
          </m:rPr>
          <w:rPr>
            <w:rFonts w:ascii="Cambria Math" w:hAnsi="Cambria Math" w:cs="Arial"/>
            <w:sz w:val="20"/>
            <w:szCs w:val="20"/>
          </w:rPr>
          <m:t xml:space="preserve">RGR </m:t>
        </m:r>
        <m:r>
          <w:rPr>
            <w:rFonts w:ascii="Cambria Math" w:hAnsi="Cambria Math" w:cs="Arial"/>
            <w:sz w:val="20"/>
            <w:szCs w:val="20"/>
          </w:rPr>
          <m:t>=</m:t>
        </m:r>
        <m:f>
          <m:fPr>
            <m:ctrlPr>
              <w:rPr>
                <w:rFonts w:ascii="Cambria Math" w:hAnsi="Cambria Math" w:cs="Arial"/>
                <w:i/>
                <w:sz w:val="20"/>
                <w:szCs w:val="20"/>
              </w:rPr>
            </m:ctrlPr>
          </m:fPr>
          <m:num>
            <m:r>
              <m:rPr>
                <m:sty m:val="p"/>
              </m:rPr>
              <w:rPr>
                <w:rFonts w:ascii="Cambria Math" w:hAnsi="Cambria Math" w:cs="Arial"/>
                <w:sz w:val="20"/>
                <w:szCs w:val="20"/>
              </w:rPr>
              <m:t>ln W</m:t>
            </m:r>
            <m:r>
              <m:rPr>
                <m:sty m:val="p"/>
              </m:rPr>
              <w:rPr>
                <w:rFonts w:ascii="Cambria Math" w:hAnsi="Cambria Math" w:cs="Cambria Math"/>
                <w:sz w:val="20"/>
                <w:szCs w:val="20"/>
              </w:rPr>
              <m:t>₂</m:t>
            </m:r>
            <m:r>
              <m:rPr>
                <m:sty m:val="p"/>
              </m:rPr>
              <w:rPr>
                <w:rFonts w:ascii="Cambria Math" w:hAnsi="Cambria Math" w:cs="Arial"/>
                <w:sz w:val="20"/>
                <w:szCs w:val="20"/>
              </w:rPr>
              <m:t xml:space="preserve"> - ln W</m:t>
            </m:r>
            <m:r>
              <m:rPr>
                <m:sty m:val="p"/>
              </m:rPr>
              <w:rPr>
                <w:rFonts w:ascii="Cambria Math" w:hAnsi="Cambria Math" w:cs="Cambria Math"/>
                <w:sz w:val="20"/>
                <w:szCs w:val="20"/>
              </w:rPr>
              <m:t>₁</m:t>
            </m:r>
          </m:num>
          <m:den>
            <m:r>
              <m:rPr>
                <m:sty m:val="p"/>
              </m:rPr>
              <w:rPr>
                <w:rFonts w:ascii="Cambria Math" w:hAnsi="Cambria Math" w:cs="Arial"/>
                <w:sz w:val="20"/>
                <w:szCs w:val="20"/>
              </w:rPr>
              <m:t>t</m:t>
            </m:r>
            <m:r>
              <m:rPr>
                <m:sty m:val="p"/>
              </m:rPr>
              <w:rPr>
                <w:rFonts w:ascii="Cambria Math" w:hAnsi="Cambria Math" w:cs="Cambria Math"/>
                <w:sz w:val="20"/>
                <w:szCs w:val="20"/>
              </w:rPr>
              <m:t>₂</m:t>
            </m:r>
            <m:r>
              <m:rPr>
                <m:sty m:val="p"/>
              </m:rPr>
              <w:rPr>
                <w:rFonts w:ascii="Cambria Math" w:hAnsi="Cambria Math" w:cs="Arial"/>
                <w:sz w:val="20"/>
                <w:szCs w:val="20"/>
              </w:rPr>
              <m:t xml:space="preserve"> - t</m:t>
            </m:r>
            <m:r>
              <m:rPr>
                <m:sty m:val="p"/>
              </m:rPr>
              <w:rPr>
                <w:rFonts w:ascii="Cambria Math" w:hAnsi="Cambria Math" w:cs="Cambria Math"/>
                <w:sz w:val="20"/>
                <w:szCs w:val="20"/>
              </w:rPr>
              <m:t>₁</m:t>
            </m:r>
          </m:den>
        </m:f>
      </m:oMath>
      <w:r>
        <w:rPr>
          <w:rFonts w:ascii="Arial" w:eastAsiaTheme="minorEastAsia" w:hAnsi="Arial" w:cs="Arial"/>
          <w:sz w:val="20"/>
          <w:szCs w:val="20"/>
        </w:rPr>
        <w:t xml:space="preserve">                                                    </w:t>
      </w:r>
      <w:r w:rsidR="002A4D7F">
        <w:rPr>
          <w:rFonts w:ascii="Arial" w:eastAsiaTheme="minorEastAsia" w:hAnsi="Arial" w:cs="Arial"/>
          <w:sz w:val="20"/>
          <w:szCs w:val="20"/>
        </w:rPr>
        <w:t xml:space="preserve">  </w:t>
      </w:r>
      <w:r>
        <w:rPr>
          <w:rFonts w:ascii="Arial" w:eastAsiaTheme="minorEastAsia" w:hAnsi="Arial" w:cs="Arial"/>
          <w:sz w:val="20"/>
          <w:szCs w:val="20"/>
        </w:rPr>
        <w:t xml:space="preserve">     (2)</w:t>
      </w:r>
    </w:p>
    <w:p w14:paraId="3B1EAD93" w14:textId="77777777" w:rsidR="000F0EBD" w:rsidRDefault="000F0EBD" w:rsidP="00DD6AC3">
      <w:pPr>
        <w:jc w:val="both"/>
        <w:rPr>
          <w:rFonts w:ascii="Arial" w:hAnsi="Arial" w:cs="Arial"/>
          <w:sz w:val="20"/>
          <w:szCs w:val="20"/>
        </w:rPr>
      </w:pPr>
      <w:r w:rsidRPr="000F0EBD">
        <w:rPr>
          <w:rFonts w:ascii="Arial" w:hAnsi="Arial" w:cs="Arial"/>
          <w:sz w:val="20"/>
          <w:szCs w:val="20"/>
        </w:rPr>
        <w:t>Net assimilation rate (NAR) was calculated using dry matter and leaf area values between successive sampling intervals as:</w:t>
      </w:r>
    </w:p>
    <w:p w14:paraId="27F257D6" w14:textId="1D9AAB78" w:rsidR="002A4D7F" w:rsidRPr="000F0EBD" w:rsidRDefault="002A4D7F" w:rsidP="00DD6AC3">
      <w:pPr>
        <w:jc w:val="both"/>
        <w:rPr>
          <w:rFonts w:ascii="Arial" w:hAnsi="Arial" w:cs="Arial"/>
          <w:sz w:val="20"/>
          <w:szCs w:val="20"/>
        </w:rPr>
      </w:pPr>
      <w:r>
        <w:rPr>
          <w:rFonts w:ascii="Arial" w:eastAsiaTheme="minorEastAsia" w:hAnsi="Arial" w:cs="Arial"/>
          <w:sz w:val="20"/>
          <w:szCs w:val="20"/>
        </w:rPr>
        <w:t xml:space="preserve">                                                                  </w:t>
      </w:r>
      <m:oMath>
        <m:r>
          <m:rPr>
            <m:sty m:val="p"/>
          </m:rPr>
          <w:rPr>
            <w:rFonts w:ascii="Cambria Math" w:hAnsi="Cambria Math" w:cs="Arial"/>
            <w:sz w:val="20"/>
            <w:szCs w:val="20"/>
          </w:rPr>
          <m:t xml:space="preserve">NAR </m:t>
        </m:r>
        <m:r>
          <w:rPr>
            <w:rFonts w:ascii="Cambria Math" w:hAnsi="Cambria Math" w:cs="Arial"/>
            <w:sz w:val="20"/>
            <w:szCs w:val="20"/>
          </w:rPr>
          <m:t>=</m:t>
        </m:r>
        <m:f>
          <m:fPr>
            <m:ctrlPr>
              <w:rPr>
                <w:rFonts w:ascii="Cambria Math" w:hAnsi="Cambria Math" w:cs="Arial"/>
                <w:i/>
                <w:sz w:val="20"/>
                <w:szCs w:val="20"/>
              </w:rPr>
            </m:ctrlPr>
          </m:fPr>
          <m:num>
            <m:d>
              <m:dPr>
                <m:ctrlPr>
                  <w:rPr>
                    <w:rFonts w:ascii="Cambria Math" w:hAnsi="Cambria Math" w:cs="Arial"/>
                    <w:sz w:val="20"/>
                    <w:szCs w:val="20"/>
                  </w:rPr>
                </m:ctrlPr>
              </m:dPr>
              <m:e>
                <m:r>
                  <m:rPr>
                    <m:sty m:val="p"/>
                  </m:rPr>
                  <w:rPr>
                    <w:rFonts w:ascii="Cambria Math" w:hAnsi="Cambria Math" w:cs="Arial"/>
                    <w:sz w:val="20"/>
                    <w:szCs w:val="20"/>
                  </w:rPr>
                  <m:t>W2​-W1​</m:t>
                </m:r>
              </m:e>
            </m:d>
            <m:r>
              <m:rPr>
                <m:sty m:val="p"/>
              </m:rPr>
              <w:rPr>
                <w:rFonts w:ascii="Cambria Math" w:hAnsi="Cambria Math" w:cs="Arial"/>
                <w:sz w:val="20"/>
                <w:szCs w:val="20"/>
              </w:rPr>
              <m:t>*(lnL2​-lnL1​)</m:t>
            </m:r>
          </m:num>
          <m:den>
            <m:d>
              <m:dPr>
                <m:ctrlPr>
                  <w:rPr>
                    <w:rFonts w:ascii="Cambria Math" w:hAnsi="Cambria Math" w:cs="Arial"/>
                    <w:sz w:val="20"/>
                    <w:szCs w:val="20"/>
                  </w:rPr>
                </m:ctrlPr>
              </m:dPr>
              <m:e>
                <m:r>
                  <m:rPr>
                    <m:sty m:val="p"/>
                  </m:rPr>
                  <w:rPr>
                    <w:rFonts w:ascii="Cambria Math" w:hAnsi="Cambria Math" w:cs="Cambria Math"/>
                    <w:sz w:val="20"/>
                    <w:szCs w:val="20"/>
                  </w:rPr>
                  <m:t>t2</m:t>
                </m:r>
                <m:r>
                  <m:rPr>
                    <m:sty m:val="p"/>
                  </m:rPr>
                  <w:rPr>
                    <w:rFonts w:ascii="Cambria Math" w:hAnsi="Cambria Math" w:cs="Arial"/>
                    <w:sz w:val="20"/>
                    <w:szCs w:val="20"/>
                  </w:rPr>
                  <m:t xml:space="preserve">- </m:t>
                </m:r>
                <m:r>
                  <m:rPr>
                    <m:sty m:val="p"/>
                  </m:rPr>
                  <w:rPr>
                    <w:rFonts w:ascii="Cambria Math" w:hAnsi="Cambria Math" w:cs="Cambria Math"/>
                    <w:sz w:val="20"/>
                    <w:szCs w:val="20"/>
                  </w:rPr>
                  <m:t>t1</m:t>
                </m:r>
                <m:ctrlPr>
                  <w:rPr>
                    <w:rFonts w:ascii="Cambria Math" w:hAnsi="Cambria Math" w:cs="Cambria Math"/>
                    <w:sz w:val="20"/>
                    <w:szCs w:val="20"/>
                  </w:rPr>
                </m:ctrlPr>
              </m:e>
            </m:d>
            <m:r>
              <m:rPr>
                <m:sty m:val="p"/>
              </m:rPr>
              <w:rPr>
                <w:rFonts w:ascii="Cambria Math" w:hAnsi="Cambria Math" w:cs="Cambria Math"/>
                <w:sz w:val="20"/>
                <w:szCs w:val="20"/>
              </w:rPr>
              <m:t>*(</m:t>
            </m:r>
            <m:r>
              <m:rPr>
                <m:sty m:val="p"/>
              </m:rPr>
              <w:rPr>
                <w:rFonts w:ascii="Cambria Math" w:hAnsi="Cambria Math" w:cs="Arial"/>
                <w:sz w:val="20"/>
                <w:szCs w:val="20"/>
              </w:rPr>
              <m:t>L</m:t>
            </m:r>
            <m:r>
              <m:rPr>
                <m:sty m:val="p"/>
              </m:rPr>
              <w:rPr>
                <w:rFonts w:ascii="Cambria Math" w:hAnsi="Cambria Math" w:cs="Cambria Math"/>
                <w:sz w:val="20"/>
                <w:szCs w:val="20"/>
              </w:rPr>
              <m:t>₂</m:t>
            </m:r>
            <m:r>
              <m:rPr>
                <m:sty m:val="p"/>
              </m:rPr>
              <w:rPr>
                <w:rFonts w:ascii="Cambria Math" w:hAnsi="Cambria Math" w:cs="Arial"/>
                <w:sz w:val="20"/>
                <w:szCs w:val="20"/>
              </w:rPr>
              <m:t xml:space="preserve"> - L</m:t>
            </m:r>
            <m:r>
              <m:rPr>
                <m:sty m:val="p"/>
              </m:rPr>
              <w:rPr>
                <w:rFonts w:ascii="Cambria Math" w:hAnsi="Cambria Math" w:cs="Cambria Math"/>
                <w:sz w:val="20"/>
                <w:szCs w:val="20"/>
              </w:rPr>
              <m:t>₁)</m:t>
            </m:r>
          </m:den>
        </m:f>
      </m:oMath>
      <w:r>
        <w:rPr>
          <w:rFonts w:ascii="Arial" w:eastAsiaTheme="minorEastAsia" w:hAnsi="Arial" w:cs="Arial"/>
          <w:sz w:val="20"/>
          <w:szCs w:val="20"/>
        </w:rPr>
        <w:t xml:space="preserve">                                               (3)</w:t>
      </w:r>
    </w:p>
    <w:p w14:paraId="44B513B3" w14:textId="77777777" w:rsidR="000F0EBD" w:rsidRPr="000F0EBD" w:rsidRDefault="000F0EBD" w:rsidP="00DD6AC3">
      <w:pPr>
        <w:jc w:val="both"/>
        <w:rPr>
          <w:rFonts w:ascii="Arial" w:hAnsi="Arial" w:cs="Arial"/>
          <w:sz w:val="20"/>
          <w:szCs w:val="20"/>
        </w:rPr>
      </w:pPr>
      <w:r w:rsidRPr="000F0EBD">
        <w:rPr>
          <w:rFonts w:ascii="Arial" w:hAnsi="Arial" w:cs="Arial"/>
          <w:sz w:val="20"/>
          <w:szCs w:val="20"/>
        </w:rPr>
        <w:t>where L</w:t>
      </w:r>
      <w:r w:rsidRPr="000F0EBD">
        <w:rPr>
          <w:rFonts w:ascii="Cambria Math" w:hAnsi="Cambria Math" w:cs="Cambria Math"/>
          <w:sz w:val="20"/>
          <w:szCs w:val="20"/>
        </w:rPr>
        <w:t>₁</w:t>
      </w:r>
      <w:r w:rsidRPr="000F0EBD">
        <w:rPr>
          <w:rFonts w:ascii="Arial" w:hAnsi="Arial" w:cs="Arial"/>
          <w:sz w:val="20"/>
          <w:szCs w:val="20"/>
        </w:rPr>
        <w:t xml:space="preserve"> and L</w:t>
      </w:r>
      <w:r w:rsidRPr="000F0EBD">
        <w:rPr>
          <w:rFonts w:ascii="Cambria Math" w:hAnsi="Cambria Math" w:cs="Cambria Math"/>
          <w:sz w:val="20"/>
          <w:szCs w:val="20"/>
        </w:rPr>
        <w:t>₂</w:t>
      </w:r>
      <w:r w:rsidRPr="000F0EBD">
        <w:rPr>
          <w:rFonts w:ascii="Arial" w:hAnsi="Arial" w:cs="Arial"/>
          <w:sz w:val="20"/>
          <w:szCs w:val="20"/>
        </w:rPr>
        <w:t xml:space="preserve"> represent leaf area at times t</w:t>
      </w:r>
      <w:r w:rsidRPr="000F0EBD">
        <w:rPr>
          <w:rFonts w:ascii="Cambria Math" w:hAnsi="Cambria Math" w:cs="Cambria Math"/>
          <w:sz w:val="20"/>
          <w:szCs w:val="20"/>
        </w:rPr>
        <w:t>₁</w:t>
      </w:r>
      <w:r w:rsidRPr="000F0EBD">
        <w:rPr>
          <w:rFonts w:ascii="Arial" w:hAnsi="Arial" w:cs="Arial"/>
          <w:sz w:val="20"/>
          <w:szCs w:val="20"/>
        </w:rPr>
        <w:t xml:space="preserve"> and t</w:t>
      </w:r>
      <w:r w:rsidRPr="000F0EBD">
        <w:rPr>
          <w:rFonts w:ascii="Cambria Math" w:hAnsi="Cambria Math" w:cs="Cambria Math"/>
          <w:sz w:val="20"/>
          <w:szCs w:val="20"/>
        </w:rPr>
        <w:t>₂</w:t>
      </w:r>
      <w:r w:rsidRPr="000F0EBD">
        <w:rPr>
          <w:rFonts w:ascii="Arial" w:hAnsi="Arial" w:cs="Arial"/>
          <w:sz w:val="20"/>
          <w:szCs w:val="20"/>
        </w:rPr>
        <w:t xml:space="preserve"> respectively.</w:t>
      </w:r>
    </w:p>
    <w:p w14:paraId="71C19942" w14:textId="77777777" w:rsidR="000F0EBD" w:rsidRDefault="000F0EBD" w:rsidP="00DD6AC3">
      <w:pPr>
        <w:jc w:val="both"/>
        <w:rPr>
          <w:rFonts w:ascii="Arial" w:hAnsi="Arial" w:cs="Arial"/>
          <w:sz w:val="20"/>
          <w:szCs w:val="20"/>
        </w:rPr>
      </w:pPr>
      <w:r w:rsidRPr="000F0EBD">
        <w:rPr>
          <w:rFonts w:ascii="Arial" w:hAnsi="Arial" w:cs="Arial"/>
          <w:sz w:val="20"/>
          <w:szCs w:val="20"/>
        </w:rPr>
        <w:t>Recovery efficiency of nutrients was estimated based on nutrient uptake using the formula:</w:t>
      </w:r>
    </w:p>
    <w:p w14:paraId="7167B509" w14:textId="0BD4F531" w:rsidR="00456D81" w:rsidRPr="000F0EBD" w:rsidRDefault="001475C7" w:rsidP="00DD6AC3">
      <w:pPr>
        <w:jc w:val="both"/>
        <w:rPr>
          <w:rFonts w:ascii="Arial" w:hAnsi="Arial" w:cs="Arial"/>
          <w:sz w:val="20"/>
          <w:szCs w:val="20"/>
        </w:rPr>
      </w:pPr>
      <w:r>
        <w:rPr>
          <w:rFonts w:ascii="Arial" w:eastAsiaTheme="minorEastAsia" w:hAnsi="Arial" w:cs="Arial"/>
          <w:sz w:val="20"/>
          <w:szCs w:val="20"/>
        </w:rPr>
        <w:t xml:space="preserve">                                                                      </w:t>
      </w:r>
      <m:oMath>
        <m:r>
          <m:rPr>
            <m:sty m:val="p"/>
          </m:rPr>
          <w:rPr>
            <w:rFonts w:ascii="Cambria Math" w:hAnsi="Cambria Math" w:cs="Arial"/>
            <w:sz w:val="20"/>
            <w:szCs w:val="20"/>
          </w:rPr>
          <m:t xml:space="preserve">RE </m:t>
        </m:r>
        <m:r>
          <w:rPr>
            <w:rFonts w:ascii="Cambria Math" w:hAnsi="Cambria Math" w:cs="Arial"/>
            <w:sz w:val="20"/>
            <w:szCs w:val="20"/>
          </w:rPr>
          <m:t>=</m:t>
        </m:r>
        <m:f>
          <m:fPr>
            <m:ctrlPr>
              <w:rPr>
                <w:rFonts w:ascii="Cambria Math" w:hAnsi="Cambria Math" w:cs="Arial"/>
                <w:i/>
                <w:sz w:val="20"/>
                <w:szCs w:val="20"/>
              </w:rPr>
            </m:ctrlPr>
          </m:fPr>
          <m:num>
            <m:r>
              <m:rPr>
                <m:sty m:val="p"/>
              </m:rPr>
              <w:rPr>
                <w:rFonts w:ascii="Cambria Math" w:hAnsi="Cambria Math" w:cs="Arial"/>
                <w:sz w:val="20"/>
                <w:szCs w:val="20"/>
              </w:rPr>
              <m:t>(U</m:t>
            </m:r>
            <m:r>
              <m:rPr>
                <m:sty m:val="p"/>
              </m:rPr>
              <w:rPr>
                <w:rFonts w:ascii="Cambria Math" w:hAnsi="Cambria Math" w:cs="Cambria Math"/>
                <w:sz w:val="20"/>
                <w:szCs w:val="20"/>
              </w:rPr>
              <m:t>ₜ</m:t>
            </m:r>
            <m:r>
              <m:rPr>
                <m:sty m:val="p"/>
              </m:rPr>
              <w:rPr>
                <w:rFonts w:ascii="Cambria Math" w:hAnsi="Cambria Math" w:cs="Arial"/>
                <w:sz w:val="20"/>
                <w:szCs w:val="20"/>
              </w:rPr>
              <m:t xml:space="preserve"> - U</m:t>
            </m:r>
            <m:r>
              <m:rPr>
                <m:sty m:val="p"/>
              </m:rPr>
              <w:rPr>
                <w:rFonts w:ascii="Cambria Math" w:hAnsi="Cambria Math" w:cs="Cambria Math"/>
                <w:sz w:val="20"/>
                <w:szCs w:val="20"/>
              </w:rPr>
              <m:t>₀</m:t>
            </m:r>
            <m:r>
              <m:rPr>
                <m:sty m:val="p"/>
              </m:rPr>
              <w:rPr>
                <w:rFonts w:ascii="Cambria Math" w:hAnsi="Cambria Math" w:cs="Arial"/>
                <w:sz w:val="20"/>
                <w:szCs w:val="20"/>
              </w:rPr>
              <m:t>)</m:t>
            </m:r>
          </m:num>
          <m:den>
            <m:r>
              <w:rPr>
                <w:rFonts w:ascii="Cambria Math" w:hAnsi="Cambria Math" w:cs="Arial"/>
                <w:sz w:val="20"/>
                <w:szCs w:val="20"/>
              </w:rPr>
              <m:t>F</m:t>
            </m:r>
          </m:den>
        </m:f>
      </m:oMath>
      <w:r>
        <w:rPr>
          <w:rFonts w:ascii="Arial" w:eastAsiaTheme="minorEastAsia" w:hAnsi="Arial" w:cs="Arial"/>
          <w:sz w:val="20"/>
          <w:szCs w:val="20"/>
        </w:rPr>
        <w:t xml:space="preserve">                                                              (4)</w:t>
      </w:r>
    </w:p>
    <w:p w14:paraId="3D6C5475" w14:textId="77777777" w:rsidR="000F0EBD" w:rsidRPr="000F0EBD" w:rsidRDefault="000F0EBD" w:rsidP="00DD6AC3">
      <w:pPr>
        <w:jc w:val="both"/>
        <w:rPr>
          <w:rFonts w:ascii="Arial" w:hAnsi="Arial" w:cs="Arial"/>
          <w:sz w:val="20"/>
          <w:szCs w:val="20"/>
        </w:rPr>
      </w:pPr>
      <w:r w:rsidRPr="000F0EBD">
        <w:rPr>
          <w:rFonts w:ascii="Arial" w:hAnsi="Arial" w:cs="Arial"/>
          <w:sz w:val="20"/>
          <w:szCs w:val="20"/>
        </w:rPr>
        <w:t>where U</w:t>
      </w:r>
      <w:r w:rsidRPr="000F0EBD">
        <w:rPr>
          <w:rFonts w:ascii="Cambria Math" w:hAnsi="Cambria Math" w:cs="Cambria Math"/>
          <w:sz w:val="20"/>
          <w:szCs w:val="20"/>
        </w:rPr>
        <w:t>ₜ</w:t>
      </w:r>
      <w:r w:rsidRPr="000F0EBD">
        <w:rPr>
          <w:rFonts w:ascii="Arial" w:hAnsi="Arial" w:cs="Arial"/>
          <w:sz w:val="20"/>
          <w:szCs w:val="20"/>
        </w:rPr>
        <w:t xml:space="preserve"> is nutrient uptake in fertilized treatment, U</w:t>
      </w:r>
      <w:r w:rsidRPr="000F0EBD">
        <w:rPr>
          <w:rFonts w:ascii="Cambria Math" w:hAnsi="Cambria Math" w:cs="Cambria Math"/>
          <w:sz w:val="20"/>
          <w:szCs w:val="20"/>
        </w:rPr>
        <w:t>₀</w:t>
      </w:r>
      <w:r w:rsidRPr="000F0EBD">
        <w:rPr>
          <w:rFonts w:ascii="Arial" w:hAnsi="Arial" w:cs="Arial"/>
          <w:sz w:val="20"/>
          <w:szCs w:val="20"/>
        </w:rPr>
        <w:t xml:space="preserve"> is nutrient uptake in control treatment and F is the amount of nutrient applied.</w:t>
      </w:r>
    </w:p>
    <w:p w14:paraId="7FF0DD46" w14:textId="77777777" w:rsidR="000F0EBD" w:rsidRPr="000F0EBD" w:rsidRDefault="000F0EBD" w:rsidP="00DD6AC3">
      <w:pPr>
        <w:jc w:val="both"/>
        <w:rPr>
          <w:rFonts w:ascii="Arial" w:hAnsi="Arial" w:cs="Arial"/>
          <w:b/>
          <w:bCs/>
          <w:sz w:val="20"/>
          <w:szCs w:val="20"/>
        </w:rPr>
      </w:pPr>
      <w:r w:rsidRPr="000F0EBD">
        <w:rPr>
          <w:rFonts w:ascii="Arial" w:hAnsi="Arial" w:cs="Arial"/>
          <w:b/>
          <w:bCs/>
          <w:sz w:val="20"/>
          <w:szCs w:val="20"/>
        </w:rPr>
        <w:t>2.4 Statistical analysis</w:t>
      </w:r>
    </w:p>
    <w:p w14:paraId="5665BF4A" w14:textId="5EC57FF0" w:rsidR="000F0EBD" w:rsidRDefault="000F0EBD" w:rsidP="00DD6AC3">
      <w:pPr>
        <w:jc w:val="both"/>
        <w:rPr>
          <w:rFonts w:ascii="Arial" w:hAnsi="Arial" w:cs="Arial"/>
          <w:sz w:val="20"/>
          <w:szCs w:val="20"/>
        </w:rPr>
      </w:pPr>
      <w:r w:rsidRPr="000F0EBD">
        <w:rPr>
          <w:rFonts w:ascii="Arial" w:hAnsi="Arial" w:cs="Arial"/>
          <w:sz w:val="20"/>
          <w:szCs w:val="20"/>
        </w:rPr>
        <w:t xml:space="preserve">The experimental data were statistically </w:t>
      </w:r>
      <w:proofErr w:type="spellStart"/>
      <w:r w:rsidRPr="000F0EBD">
        <w:rPr>
          <w:rFonts w:ascii="Arial" w:hAnsi="Arial" w:cs="Arial"/>
          <w:sz w:val="20"/>
          <w:szCs w:val="20"/>
        </w:rPr>
        <w:t>analyzed</w:t>
      </w:r>
      <w:proofErr w:type="spellEnd"/>
      <w:r w:rsidRPr="000F0EBD">
        <w:rPr>
          <w:rFonts w:ascii="Arial" w:hAnsi="Arial" w:cs="Arial"/>
          <w:sz w:val="20"/>
          <w:szCs w:val="20"/>
        </w:rPr>
        <w:t xml:space="preserve"> using analysis of variance (ANOVA) appropriate for Randomized Block Design following the procedure described by Gomez and Gomez </w:t>
      </w:r>
      <w:r w:rsidR="004D5337">
        <w:rPr>
          <w:rFonts w:ascii="Arial" w:hAnsi="Arial" w:cs="Arial"/>
          <w:sz w:val="20"/>
          <w:szCs w:val="20"/>
        </w:rPr>
        <w:t>[</w:t>
      </w:r>
      <w:r w:rsidR="00576F01">
        <w:rPr>
          <w:rFonts w:ascii="Arial" w:hAnsi="Arial" w:cs="Arial"/>
          <w:sz w:val="20"/>
          <w:szCs w:val="20"/>
        </w:rPr>
        <w:t>15</w:t>
      </w:r>
      <w:r w:rsidR="004D5337">
        <w:rPr>
          <w:rFonts w:ascii="Arial" w:hAnsi="Arial" w:cs="Arial"/>
          <w:sz w:val="20"/>
          <w:szCs w:val="20"/>
        </w:rPr>
        <w:t>]</w:t>
      </w:r>
      <w:r w:rsidRPr="000F0EBD">
        <w:rPr>
          <w:rFonts w:ascii="Arial" w:hAnsi="Arial" w:cs="Arial"/>
          <w:sz w:val="20"/>
          <w:szCs w:val="20"/>
        </w:rPr>
        <w:t>. The significance of treatment differences was tested using the F-test, and treatment means were compared using critical difference (CD) at 5% probability level.</w:t>
      </w:r>
    </w:p>
    <w:p w14:paraId="351DD22F" w14:textId="77777777" w:rsidR="005C38AA" w:rsidRPr="005C38AA" w:rsidRDefault="005C38AA" w:rsidP="00DD6AC3">
      <w:pPr>
        <w:jc w:val="both"/>
        <w:rPr>
          <w:rFonts w:ascii="Arial" w:hAnsi="Arial" w:cs="Arial"/>
          <w:b/>
          <w:bCs/>
          <w:sz w:val="22"/>
          <w:szCs w:val="22"/>
        </w:rPr>
      </w:pPr>
      <w:r w:rsidRPr="005C38AA">
        <w:rPr>
          <w:rFonts w:ascii="Arial" w:hAnsi="Arial" w:cs="Arial"/>
          <w:b/>
          <w:bCs/>
          <w:sz w:val="22"/>
          <w:szCs w:val="22"/>
        </w:rPr>
        <w:t>3. RESULTS AND DISCUSSION</w:t>
      </w:r>
    </w:p>
    <w:p w14:paraId="5415241F" w14:textId="77777777" w:rsidR="005C38AA" w:rsidRPr="005C38AA" w:rsidRDefault="005C38AA" w:rsidP="00DD6AC3">
      <w:pPr>
        <w:jc w:val="both"/>
        <w:rPr>
          <w:rFonts w:ascii="Arial" w:hAnsi="Arial" w:cs="Arial"/>
          <w:b/>
          <w:bCs/>
          <w:sz w:val="20"/>
          <w:szCs w:val="20"/>
        </w:rPr>
      </w:pPr>
      <w:r w:rsidRPr="005C38AA">
        <w:rPr>
          <w:rFonts w:ascii="Arial" w:hAnsi="Arial" w:cs="Arial"/>
          <w:b/>
          <w:bCs/>
          <w:sz w:val="20"/>
          <w:szCs w:val="20"/>
        </w:rPr>
        <w:t>3.1 Effect of SSNM on physiological growth analysis parameters of Bhavani rice</w:t>
      </w:r>
    </w:p>
    <w:p w14:paraId="4A17AB4D" w14:textId="77777777" w:rsidR="005C38AA" w:rsidRPr="005C38AA" w:rsidRDefault="005C38AA" w:rsidP="00DD6AC3">
      <w:pPr>
        <w:jc w:val="both"/>
        <w:rPr>
          <w:rFonts w:ascii="Arial" w:hAnsi="Arial" w:cs="Arial"/>
          <w:sz w:val="20"/>
          <w:szCs w:val="20"/>
        </w:rPr>
      </w:pPr>
      <w:r w:rsidRPr="005C38AA">
        <w:rPr>
          <w:rFonts w:ascii="Arial" w:hAnsi="Arial" w:cs="Arial"/>
          <w:sz w:val="20"/>
          <w:szCs w:val="20"/>
        </w:rPr>
        <w:t>The results of different nutrient management treatments on physiological growth parameters such as crop growth rate (CGR), relative growth rate (RGR) and net assimilation rate (NAR) of Bhavani rice are presented in Table 1. The results revealed that nutrient management practices significantly influenced the physiological growth parameters during different growth stages.</w:t>
      </w:r>
    </w:p>
    <w:p w14:paraId="09139459" w14:textId="77777777" w:rsidR="005C38AA" w:rsidRPr="005C38AA" w:rsidRDefault="005C38AA" w:rsidP="00DD6AC3">
      <w:pPr>
        <w:jc w:val="both"/>
        <w:rPr>
          <w:rFonts w:ascii="Arial" w:hAnsi="Arial" w:cs="Arial"/>
          <w:sz w:val="20"/>
          <w:szCs w:val="20"/>
        </w:rPr>
      </w:pPr>
      <w:r w:rsidRPr="005C38AA">
        <w:rPr>
          <w:rFonts w:ascii="Arial" w:hAnsi="Arial" w:cs="Arial"/>
          <w:sz w:val="20"/>
          <w:szCs w:val="20"/>
        </w:rPr>
        <w:t>Among the treatments, T</w:t>
      </w:r>
      <w:r w:rsidRPr="005C38AA">
        <w:rPr>
          <w:rFonts w:ascii="Cambria Math" w:hAnsi="Cambria Math" w:cs="Cambria Math"/>
          <w:sz w:val="20"/>
          <w:szCs w:val="20"/>
        </w:rPr>
        <w:t>₂</w:t>
      </w:r>
      <w:r w:rsidRPr="005C38AA">
        <w:rPr>
          <w:rFonts w:ascii="Arial" w:hAnsi="Arial" w:cs="Arial"/>
          <w:sz w:val="20"/>
          <w:szCs w:val="20"/>
        </w:rPr>
        <w:t xml:space="preserve"> (NPKZ soil test based) recorded the highest crop growth rate during all the growth stages with values of 92.3, 167.3 and 205.2 kg ha</w:t>
      </w:r>
      <w:r w:rsidRPr="005C38AA">
        <w:rPr>
          <w:rFonts w:ascii="Cambria Math" w:hAnsi="Cambria Math" w:cs="Cambria Math"/>
          <w:sz w:val="20"/>
          <w:szCs w:val="20"/>
        </w:rPr>
        <w:t>⁻</w:t>
      </w:r>
      <w:r w:rsidRPr="005C38AA">
        <w:rPr>
          <w:rFonts w:ascii="Arial" w:hAnsi="Arial" w:cs="Arial"/>
          <w:sz w:val="20"/>
          <w:szCs w:val="20"/>
        </w:rPr>
        <w:t>¹ day</w:t>
      </w:r>
      <w:r w:rsidRPr="005C38AA">
        <w:rPr>
          <w:rFonts w:ascii="Cambria Math" w:hAnsi="Cambria Math" w:cs="Cambria Math"/>
          <w:sz w:val="20"/>
          <w:szCs w:val="20"/>
        </w:rPr>
        <w:t>⁻</w:t>
      </w:r>
      <w:r w:rsidRPr="005C38AA">
        <w:rPr>
          <w:rFonts w:ascii="Arial" w:hAnsi="Arial" w:cs="Arial"/>
          <w:sz w:val="20"/>
          <w:szCs w:val="20"/>
        </w:rPr>
        <w:t>¹ during 30–60, 60–90 days after transplanting and 90 days to harvest, respectively. This was followed by T</w:t>
      </w:r>
      <w:r w:rsidRPr="005C38AA">
        <w:rPr>
          <w:rFonts w:ascii="Cambria Math" w:hAnsi="Cambria Math" w:cs="Cambria Math"/>
          <w:sz w:val="20"/>
          <w:szCs w:val="20"/>
        </w:rPr>
        <w:t>₁</w:t>
      </w:r>
      <w:r w:rsidRPr="005C38AA">
        <w:rPr>
          <w:rFonts w:ascii="Arial" w:hAnsi="Arial" w:cs="Arial"/>
          <w:sz w:val="20"/>
          <w:szCs w:val="20"/>
        </w:rPr>
        <w:t xml:space="preserve"> (NPK soil test based) and T</w:t>
      </w:r>
      <w:r w:rsidRPr="005C38AA">
        <w:rPr>
          <w:rFonts w:ascii="Cambria Math" w:hAnsi="Cambria Math" w:cs="Cambria Math"/>
          <w:sz w:val="20"/>
          <w:szCs w:val="20"/>
        </w:rPr>
        <w:t>₄</w:t>
      </w:r>
      <w:r w:rsidRPr="005C38AA">
        <w:rPr>
          <w:rFonts w:ascii="Arial" w:hAnsi="Arial" w:cs="Arial"/>
          <w:sz w:val="20"/>
          <w:szCs w:val="20"/>
        </w:rPr>
        <w:t xml:space="preserve"> (NPKZ recommended dose) which also recorded relatively higher CGR values. The lowest CGR values were observed in the control treatment (T</w:t>
      </w:r>
      <w:r w:rsidRPr="005C38AA">
        <w:rPr>
          <w:rFonts w:ascii="Cambria Math" w:hAnsi="Cambria Math" w:cs="Cambria Math"/>
          <w:sz w:val="20"/>
          <w:szCs w:val="20"/>
        </w:rPr>
        <w:t>₁₂</w:t>
      </w:r>
      <w:r w:rsidRPr="005C38AA">
        <w:rPr>
          <w:rFonts w:ascii="Arial" w:hAnsi="Arial" w:cs="Arial"/>
          <w:sz w:val="20"/>
          <w:szCs w:val="20"/>
        </w:rPr>
        <w:t>), while farmers’ practice (T</w:t>
      </w:r>
      <w:r w:rsidRPr="005C38AA">
        <w:rPr>
          <w:rFonts w:ascii="Cambria Math" w:hAnsi="Cambria Math" w:cs="Cambria Math"/>
          <w:sz w:val="20"/>
          <w:szCs w:val="20"/>
        </w:rPr>
        <w:t>₁₁</w:t>
      </w:r>
      <w:r w:rsidRPr="005C38AA">
        <w:rPr>
          <w:rFonts w:ascii="Arial" w:hAnsi="Arial" w:cs="Arial"/>
          <w:sz w:val="20"/>
          <w:szCs w:val="20"/>
        </w:rPr>
        <w:t>) and nutrient omission treatments recorded comparatively lower values.</w:t>
      </w:r>
    </w:p>
    <w:p w14:paraId="4F2ED8F9" w14:textId="0F38B5D2" w:rsidR="005C38AA" w:rsidRPr="005C38AA" w:rsidRDefault="005C38AA" w:rsidP="00DD6AC3">
      <w:pPr>
        <w:jc w:val="both"/>
        <w:rPr>
          <w:rFonts w:ascii="Arial" w:hAnsi="Arial" w:cs="Arial"/>
          <w:sz w:val="20"/>
          <w:szCs w:val="20"/>
        </w:rPr>
      </w:pPr>
      <w:r w:rsidRPr="005C38AA">
        <w:rPr>
          <w:rFonts w:ascii="Arial" w:hAnsi="Arial" w:cs="Arial"/>
          <w:sz w:val="20"/>
          <w:szCs w:val="20"/>
        </w:rPr>
        <w:lastRenderedPageBreak/>
        <w:t xml:space="preserve">The higher CGR observed in soil test based nutrient management treatments could be attributed to balanced and adequate supply of nutrients which enhanced dry matter accumulation and crop growth. Balanced fertilization improves nutrient uptake efficiency, leaf area development and biomass production, which ultimately increases crop growth rate in rice </w:t>
      </w:r>
      <w:r w:rsidR="00576F01">
        <w:rPr>
          <w:rFonts w:ascii="Arial" w:hAnsi="Arial" w:cs="Arial"/>
          <w:sz w:val="20"/>
          <w:szCs w:val="20"/>
        </w:rPr>
        <w:t>[16-18]</w:t>
      </w:r>
      <w:r w:rsidRPr="005C38AA">
        <w:rPr>
          <w:rFonts w:ascii="Arial" w:hAnsi="Arial" w:cs="Arial"/>
          <w:sz w:val="20"/>
          <w:szCs w:val="20"/>
        </w:rPr>
        <w:t xml:space="preserve">. In contrast, omission treatments recorded lower CGR due to nutrient deficiencies that limit metabolic activities and reduce photosynthesis and plant growth </w:t>
      </w:r>
      <w:r w:rsidR="00A23041">
        <w:rPr>
          <w:rFonts w:ascii="Arial" w:hAnsi="Arial" w:cs="Arial"/>
          <w:sz w:val="20"/>
          <w:szCs w:val="20"/>
        </w:rPr>
        <w:t>[19]</w:t>
      </w:r>
      <w:r w:rsidRPr="005C38AA">
        <w:rPr>
          <w:rFonts w:ascii="Arial" w:hAnsi="Arial" w:cs="Arial"/>
          <w:sz w:val="20"/>
          <w:szCs w:val="20"/>
        </w:rPr>
        <w:t>.</w:t>
      </w:r>
    </w:p>
    <w:p w14:paraId="53469C9A" w14:textId="74D97A22" w:rsidR="005C38AA" w:rsidRPr="005C38AA" w:rsidRDefault="005C38AA" w:rsidP="00DD6AC3">
      <w:pPr>
        <w:jc w:val="both"/>
        <w:rPr>
          <w:rFonts w:ascii="Arial" w:hAnsi="Arial" w:cs="Arial"/>
          <w:sz w:val="20"/>
          <w:szCs w:val="20"/>
        </w:rPr>
      </w:pPr>
      <w:r w:rsidRPr="005C38AA">
        <w:rPr>
          <w:rFonts w:ascii="Arial" w:hAnsi="Arial" w:cs="Arial"/>
          <w:sz w:val="20"/>
          <w:szCs w:val="20"/>
        </w:rPr>
        <w:t>Relative growth rate (RGR) values were relatively higher during the 30–60 days after transplanting stage and gradually declined at later stages. Treatments T</w:t>
      </w:r>
      <w:r w:rsidRPr="005C38AA">
        <w:rPr>
          <w:rFonts w:ascii="Cambria Math" w:hAnsi="Cambria Math" w:cs="Cambria Math"/>
          <w:sz w:val="20"/>
          <w:szCs w:val="20"/>
        </w:rPr>
        <w:t>₂</w:t>
      </w:r>
      <w:r w:rsidRPr="005C38AA">
        <w:rPr>
          <w:rFonts w:ascii="Arial" w:hAnsi="Arial" w:cs="Arial"/>
          <w:sz w:val="20"/>
          <w:szCs w:val="20"/>
        </w:rPr>
        <w:t xml:space="preserve"> (NPKZ soil test based) and T</w:t>
      </w:r>
      <w:r w:rsidRPr="005C38AA">
        <w:rPr>
          <w:rFonts w:ascii="Cambria Math" w:hAnsi="Cambria Math" w:cs="Cambria Math"/>
          <w:sz w:val="20"/>
          <w:szCs w:val="20"/>
        </w:rPr>
        <w:t>₁</w:t>
      </w:r>
      <w:r w:rsidRPr="005C38AA">
        <w:rPr>
          <w:rFonts w:ascii="Arial" w:hAnsi="Arial" w:cs="Arial"/>
          <w:sz w:val="20"/>
          <w:szCs w:val="20"/>
        </w:rPr>
        <w:t xml:space="preserve"> (NPK soil test based) maintained relatively higher RGR values compared to other treatments. The decline in RGR during later stages may be attributed to increased plant biomass and reduced proportional growth rate as the crop approaches maturity </w:t>
      </w:r>
      <w:r w:rsidR="00D162BB">
        <w:rPr>
          <w:rFonts w:ascii="Arial" w:hAnsi="Arial" w:cs="Arial"/>
          <w:sz w:val="20"/>
          <w:szCs w:val="20"/>
        </w:rPr>
        <w:t>[20,21]</w:t>
      </w:r>
      <w:r w:rsidRPr="005C38AA">
        <w:rPr>
          <w:rFonts w:ascii="Arial" w:hAnsi="Arial" w:cs="Arial"/>
          <w:sz w:val="20"/>
          <w:szCs w:val="20"/>
        </w:rPr>
        <w:t xml:space="preserve">. Balanced nutrient supply helps maintain higher metabolic activity and carbon assimilation, thereby sustaining higher RGR compared to nutrient omission treatments </w:t>
      </w:r>
      <w:r w:rsidR="008C5D26">
        <w:rPr>
          <w:rFonts w:ascii="Arial" w:hAnsi="Arial" w:cs="Arial"/>
          <w:sz w:val="20"/>
          <w:szCs w:val="20"/>
        </w:rPr>
        <w:t>[22,23]</w:t>
      </w:r>
      <w:r w:rsidRPr="005C38AA">
        <w:rPr>
          <w:rFonts w:ascii="Arial" w:hAnsi="Arial" w:cs="Arial"/>
          <w:sz w:val="20"/>
          <w:szCs w:val="20"/>
        </w:rPr>
        <w:t>.</w:t>
      </w:r>
    </w:p>
    <w:p w14:paraId="56F2991C" w14:textId="161DB1A7" w:rsidR="005C38AA" w:rsidRPr="005C38AA" w:rsidRDefault="005C38AA" w:rsidP="00DD6AC3">
      <w:pPr>
        <w:jc w:val="both"/>
        <w:rPr>
          <w:rFonts w:ascii="Arial" w:hAnsi="Arial" w:cs="Arial"/>
          <w:sz w:val="20"/>
          <w:szCs w:val="20"/>
        </w:rPr>
      </w:pPr>
      <w:r w:rsidRPr="005C38AA">
        <w:rPr>
          <w:rFonts w:ascii="Arial" w:hAnsi="Arial" w:cs="Arial"/>
          <w:sz w:val="20"/>
          <w:szCs w:val="20"/>
        </w:rPr>
        <w:t>Net assimilation rate (NAR) also varied among the treatments. The highest NAR values were observed under T</w:t>
      </w:r>
      <w:r w:rsidRPr="005C38AA">
        <w:rPr>
          <w:rFonts w:ascii="Cambria Math" w:hAnsi="Cambria Math" w:cs="Cambria Math"/>
          <w:sz w:val="20"/>
          <w:szCs w:val="20"/>
        </w:rPr>
        <w:t>₂</w:t>
      </w:r>
      <w:r w:rsidRPr="005C38AA">
        <w:rPr>
          <w:rFonts w:ascii="Arial" w:hAnsi="Arial" w:cs="Arial"/>
          <w:sz w:val="20"/>
          <w:szCs w:val="20"/>
        </w:rPr>
        <w:t xml:space="preserve"> (NPKZ soil test based) with values of 58.2, 44.1 and 21.8 g m</w:t>
      </w:r>
      <w:r w:rsidRPr="005C38AA">
        <w:rPr>
          <w:rFonts w:ascii="Cambria Math" w:hAnsi="Cambria Math" w:cs="Cambria Math"/>
          <w:sz w:val="20"/>
          <w:szCs w:val="20"/>
        </w:rPr>
        <w:t>⁻</w:t>
      </w:r>
      <w:r w:rsidRPr="005C38AA">
        <w:rPr>
          <w:rFonts w:ascii="Arial" w:hAnsi="Arial" w:cs="Arial"/>
          <w:sz w:val="20"/>
          <w:szCs w:val="20"/>
        </w:rPr>
        <w:t>² day</w:t>
      </w:r>
      <w:r w:rsidRPr="005C38AA">
        <w:rPr>
          <w:rFonts w:ascii="Cambria Math" w:hAnsi="Cambria Math" w:cs="Cambria Math"/>
          <w:sz w:val="20"/>
          <w:szCs w:val="20"/>
        </w:rPr>
        <w:t>⁻</w:t>
      </w:r>
      <w:r w:rsidRPr="005C38AA">
        <w:rPr>
          <w:rFonts w:ascii="Arial" w:hAnsi="Arial" w:cs="Arial"/>
          <w:sz w:val="20"/>
          <w:szCs w:val="20"/>
        </w:rPr>
        <w:t xml:space="preserve">¹ during the respective growth stages. Treatments receiving balanced nutrient application recorded comparatively higher NAR values, whereas omission treatments and control recorded lower values. The higher NAR under balanced nutrient treatments may be due to improved leaf area development, chlorophyll formation and enhanced photosynthetic efficiency. Adequate nutrient supply, particularly nitrogen and micronutrients like zinc, enhances chlorophyll content and photosynthetic activity, resulting in improved assimilation rates </w:t>
      </w:r>
      <w:r w:rsidR="00A96FD3">
        <w:rPr>
          <w:rFonts w:ascii="Arial" w:hAnsi="Arial" w:cs="Arial"/>
          <w:sz w:val="20"/>
          <w:szCs w:val="20"/>
        </w:rPr>
        <w:t>[24-26]</w:t>
      </w:r>
      <w:r w:rsidRPr="005C38AA">
        <w:rPr>
          <w:rFonts w:ascii="Arial" w:hAnsi="Arial" w:cs="Arial"/>
          <w:sz w:val="20"/>
          <w:szCs w:val="20"/>
        </w:rPr>
        <w:t xml:space="preserve">. At later crop stages, NAR tends to decline due to leaf senescence and reduced photosynthetic capacity </w:t>
      </w:r>
      <w:r w:rsidR="00A96FD3">
        <w:rPr>
          <w:rFonts w:ascii="Arial" w:hAnsi="Arial" w:cs="Arial"/>
          <w:sz w:val="20"/>
          <w:szCs w:val="20"/>
        </w:rPr>
        <w:t>[27]</w:t>
      </w:r>
      <w:r w:rsidRPr="005C38AA">
        <w:rPr>
          <w:rFonts w:ascii="Arial" w:hAnsi="Arial" w:cs="Arial"/>
          <w:sz w:val="20"/>
          <w:szCs w:val="20"/>
        </w:rPr>
        <w:t>.</w:t>
      </w:r>
    </w:p>
    <w:p w14:paraId="33E8A6DB" w14:textId="42182498" w:rsidR="005C38AA" w:rsidRPr="005C38AA" w:rsidRDefault="005C38AA" w:rsidP="00DD6AC3">
      <w:pPr>
        <w:jc w:val="both"/>
        <w:rPr>
          <w:rFonts w:ascii="Arial" w:hAnsi="Arial" w:cs="Arial"/>
          <w:sz w:val="20"/>
          <w:szCs w:val="20"/>
        </w:rPr>
      </w:pPr>
      <w:r w:rsidRPr="005C38AA">
        <w:rPr>
          <w:rFonts w:ascii="Arial" w:hAnsi="Arial" w:cs="Arial"/>
          <w:sz w:val="20"/>
          <w:szCs w:val="20"/>
        </w:rPr>
        <w:t>Overall, soil test based nutrient management along with zinc application (T</w:t>
      </w:r>
      <w:r w:rsidRPr="005C38AA">
        <w:rPr>
          <w:rFonts w:ascii="Cambria Math" w:hAnsi="Cambria Math" w:cs="Cambria Math"/>
          <w:sz w:val="20"/>
          <w:szCs w:val="20"/>
        </w:rPr>
        <w:t>₂</w:t>
      </w:r>
      <w:r w:rsidRPr="005C38AA">
        <w:rPr>
          <w:rFonts w:ascii="Arial" w:hAnsi="Arial" w:cs="Arial"/>
          <w:sz w:val="20"/>
          <w:szCs w:val="20"/>
        </w:rPr>
        <w:t xml:space="preserve">) significantly improved physiological growth parameters of rice compared to recommended dose, omission treatments and farmers’ practice. Similar findings have been reported earlier where balanced fertilization improved crop growth, nutrient use efficiency and productivity in rice systems </w:t>
      </w:r>
      <w:r w:rsidR="00A96FD3">
        <w:rPr>
          <w:rFonts w:ascii="Arial" w:hAnsi="Arial" w:cs="Arial"/>
          <w:sz w:val="20"/>
          <w:szCs w:val="20"/>
        </w:rPr>
        <w:t>[28,29]</w:t>
      </w:r>
      <w:r w:rsidRPr="005C38AA">
        <w:rPr>
          <w:rFonts w:ascii="Arial" w:hAnsi="Arial" w:cs="Arial"/>
          <w:sz w:val="20"/>
          <w:szCs w:val="20"/>
        </w:rPr>
        <w:t>.</w:t>
      </w:r>
    </w:p>
    <w:p w14:paraId="200B72B4" w14:textId="77777777" w:rsidR="005C38AA" w:rsidRPr="005C38AA" w:rsidRDefault="005C38AA" w:rsidP="00DD6AC3">
      <w:pPr>
        <w:jc w:val="both"/>
        <w:rPr>
          <w:rFonts w:ascii="Arial" w:hAnsi="Arial" w:cs="Arial"/>
          <w:b/>
          <w:bCs/>
          <w:sz w:val="20"/>
          <w:szCs w:val="20"/>
        </w:rPr>
      </w:pPr>
      <w:r w:rsidRPr="005C38AA">
        <w:rPr>
          <w:rFonts w:ascii="Arial" w:hAnsi="Arial" w:cs="Arial"/>
          <w:b/>
          <w:bCs/>
          <w:sz w:val="20"/>
          <w:szCs w:val="20"/>
        </w:rPr>
        <w:t>3.2 Effect of SSNM on nutrient recovery efficiency of Bhavani rice</w:t>
      </w:r>
    </w:p>
    <w:p w14:paraId="723C288C" w14:textId="77777777" w:rsidR="005C38AA" w:rsidRPr="005C38AA" w:rsidRDefault="005C38AA" w:rsidP="00DD6AC3">
      <w:pPr>
        <w:jc w:val="both"/>
        <w:rPr>
          <w:rFonts w:ascii="Arial" w:hAnsi="Arial" w:cs="Arial"/>
          <w:sz w:val="20"/>
          <w:szCs w:val="20"/>
        </w:rPr>
      </w:pPr>
      <w:r w:rsidRPr="005C38AA">
        <w:rPr>
          <w:rFonts w:ascii="Arial" w:hAnsi="Arial" w:cs="Arial"/>
          <w:sz w:val="20"/>
          <w:szCs w:val="20"/>
        </w:rPr>
        <w:t>The effect of nutrient management treatments on nutrient recovery efficiency of nitrogen, phosphorus, potassium and zinc is presented in Table 2. The results indicated that nutrient recovery efficiency varied considerably among the treatments.</w:t>
      </w:r>
    </w:p>
    <w:p w14:paraId="08EC75CE" w14:textId="26D9CC6E" w:rsidR="005C38AA" w:rsidRPr="005C38AA" w:rsidRDefault="005C38AA" w:rsidP="00DD6AC3">
      <w:pPr>
        <w:jc w:val="both"/>
        <w:rPr>
          <w:rFonts w:ascii="Arial" w:hAnsi="Arial" w:cs="Arial"/>
          <w:sz w:val="20"/>
          <w:szCs w:val="20"/>
        </w:rPr>
      </w:pPr>
      <w:r w:rsidRPr="005C38AA">
        <w:rPr>
          <w:rFonts w:ascii="Arial" w:hAnsi="Arial" w:cs="Arial"/>
          <w:sz w:val="20"/>
          <w:szCs w:val="20"/>
        </w:rPr>
        <w:t>Among the treatments, T</w:t>
      </w:r>
      <w:r w:rsidRPr="005C38AA">
        <w:rPr>
          <w:rFonts w:ascii="Cambria Math" w:hAnsi="Cambria Math" w:cs="Cambria Math"/>
          <w:sz w:val="20"/>
          <w:szCs w:val="20"/>
        </w:rPr>
        <w:t>₂</w:t>
      </w:r>
      <w:r w:rsidRPr="005C38AA">
        <w:rPr>
          <w:rFonts w:ascii="Arial" w:hAnsi="Arial" w:cs="Arial"/>
          <w:sz w:val="20"/>
          <w:szCs w:val="20"/>
        </w:rPr>
        <w:t xml:space="preserve"> (NPKZ soil test based) recorded the highest recovery efficiency for nitrogen, phosphorus, potassium and zinc with values of </w:t>
      </w:r>
      <w:r w:rsidR="003B513C">
        <w:rPr>
          <w:rFonts w:ascii="Arial" w:hAnsi="Arial" w:cs="Arial"/>
          <w:sz w:val="20"/>
          <w:szCs w:val="20"/>
        </w:rPr>
        <w:t>40.88 %,</w:t>
      </w:r>
      <w:r w:rsidRPr="005C38AA">
        <w:rPr>
          <w:rFonts w:ascii="Arial" w:hAnsi="Arial" w:cs="Arial"/>
          <w:sz w:val="20"/>
          <w:szCs w:val="20"/>
        </w:rPr>
        <w:t xml:space="preserve"> </w:t>
      </w:r>
      <w:r w:rsidR="003B513C">
        <w:rPr>
          <w:rFonts w:ascii="Arial" w:hAnsi="Arial" w:cs="Arial"/>
          <w:sz w:val="20"/>
          <w:szCs w:val="20"/>
        </w:rPr>
        <w:t>24%</w:t>
      </w:r>
      <w:r w:rsidRPr="005C38AA">
        <w:rPr>
          <w:rFonts w:ascii="Arial" w:hAnsi="Arial" w:cs="Arial"/>
          <w:sz w:val="20"/>
          <w:szCs w:val="20"/>
        </w:rPr>
        <w:t xml:space="preserve">, </w:t>
      </w:r>
      <w:r w:rsidR="003B513C">
        <w:rPr>
          <w:rFonts w:ascii="Arial" w:hAnsi="Arial" w:cs="Arial"/>
          <w:sz w:val="20"/>
          <w:szCs w:val="20"/>
        </w:rPr>
        <w:t>268.4 %,</w:t>
      </w:r>
      <w:r w:rsidRPr="005C38AA">
        <w:rPr>
          <w:rFonts w:ascii="Arial" w:hAnsi="Arial" w:cs="Arial"/>
          <w:sz w:val="20"/>
          <w:szCs w:val="20"/>
        </w:rPr>
        <w:t xml:space="preserve"> and </w:t>
      </w:r>
      <w:r w:rsidR="003B513C">
        <w:rPr>
          <w:rFonts w:ascii="Arial" w:hAnsi="Arial" w:cs="Arial"/>
          <w:sz w:val="20"/>
          <w:szCs w:val="20"/>
        </w:rPr>
        <w:t xml:space="preserve">850%, </w:t>
      </w:r>
      <w:r w:rsidRPr="005C38AA">
        <w:rPr>
          <w:rFonts w:ascii="Arial" w:hAnsi="Arial" w:cs="Arial"/>
          <w:sz w:val="20"/>
          <w:szCs w:val="20"/>
        </w:rPr>
        <w:t>respectively. This was followed by T</w:t>
      </w:r>
      <w:r w:rsidRPr="005C38AA">
        <w:rPr>
          <w:rFonts w:ascii="Cambria Math" w:hAnsi="Cambria Math" w:cs="Cambria Math"/>
          <w:sz w:val="20"/>
          <w:szCs w:val="20"/>
        </w:rPr>
        <w:t>₁</w:t>
      </w:r>
      <w:r w:rsidRPr="005C38AA">
        <w:rPr>
          <w:rFonts w:ascii="Arial" w:hAnsi="Arial" w:cs="Arial"/>
          <w:sz w:val="20"/>
          <w:szCs w:val="20"/>
        </w:rPr>
        <w:t xml:space="preserve"> (NPK soil test based) which also recorded relatively higher recovery efficiency values compared to recommended dose treatments.</w:t>
      </w:r>
    </w:p>
    <w:p w14:paraId="72700586" w14:textId="1AFDCE51" w:rsidR="005C38AA" w:rsidRPr="005C38AA" w:rsidRDefault="005C38AA" w:rsidP="00DD6AC3">
      <w:pPr>
        <w:jc w:val="both"/>
        <w:rPr>
          <w:rFonts w:ascii="Arial" w:hAnsi="Arial" w:cs="Arial"/>
          <w:sz w:val="20"/>
          <w:szCs w:val="20"/>
        </w:rPr>
      </w:pPr>
      <w:r w:rsidRPr="005C38AA">
        <w:rPr>
          <w:rFonts w:ascii="Arial" w:hAnsi="Arial" w:cs="Arial"/>
          <w:sz w:val="20"/>
          <w:szCs w:val="20"/>
        </w:rPr>
        <w:t xml:space="preserve">The improved nutrient recovery efficiency under soil </w:t>
      </w:r>
      <w:proofErr w:type="gramStart"/>
      <w:r w:rsidRPr="005C38AA">
        <w:rPr>
          <w:rFonts w:ascii="Arial" w:hAnsi="Arial" w:cs="Arial"/>
          <w:sz w:val="20"/>
          <w:szCs w:val="20"/>
        </w:rPr>
        <w:t>test based</w:t>
      </w:r>
      <w:proofErr w:type="gramEnd"/>
      <w:r w:rsidRPr="005C38AA">
        <w:rPr>
          <w:rFonts w:ascii="Arial" w:hAnsi="Arial" w:cs="Arial"/>
          <w:sz w:val="20"/>
          <w:szCs w:val="20"/>
        </w:rPr>
        <w:t xml:space="preserve"> fertilization may be due to precise and balanced nutrient application according to soil nutrient status, which enhances nutrient uptake and utilization by the crop. Soil </w:t>
      </w:r>
      <w:proofErr w:type="gramStart"/>
      <w:r w:rsidRPr="005C38AA">
        <w:rPr>
          <w:rFonts w:ascii="Arial" w:hAnsi="Arial" w:cs="Arial"/>
          <w:sz w:val="20"/>
          <w:szCs w:val="20"/>
        </w:rPr>
        <w:t>test based</w:t>
      </w:r>
      <w:proofErr w:type="gramEnd"/>
      <w:r w:rsidRPr="005C38AA">
        <w:rPr>
          <w:rFonts w:ascii="Arial" w:hAnsi="Arial" w:cs="Arial"/>
          <w:sz w:val="20"/>
          <w:szCs w:val="20"/>
        </w:rPr>
        <w:t xml:space="preserve"> fertilization improves synchronization between nutrient supply and crop demand, thereby increasing nutrient use efficiency and reducing nutrient losses </w:t>
      </w:r>
      <w:r w:rsidR="00A56C12">
        <w:rPr>
          <w:rFonts w:ascii="Arial" w:hAnsi="Arial" w:cs="Arial"/>
          <w:sz w:val="20"/>
          <w:szCs w:val="20"/>
        </w:rPr>
        <w:t>[17,18]</w:t>
      </w:r>
      <w:r w:rsidRPr="005C38AA">
        <w:rPr>
          <w:rFonts w:ascii="Arial" w:hAnsi="Arial" w:cs="Arial"/>
          <w:sz w:val="20"/>
          <w:szCs w:val="20"/>
        </w:rPr>
        <w:t xml:space="preserve">. Nutrient omission treatments recorded lower recovery efficiency for the omitted nutrients, indicating the importance of balanced nutrient supply for efficient nutrient utilization </w:t>
      </w:r>
      <w:r w:rsidR="00A56C12">
        <w:rPr>
          <w:rFonts w:ascii="Arial" w:hAnsi="Arial" w:cs="Arial"/>
          <w:sz w:val="20"/>
          <w:szCs w:val="20"/>
        </w:rPr>
        <w:t>[30,31]</w:t>
      </w:r>
      <w:r w:rsidRPr="005C38AA">
        <w:rPr>
          <w:rFonts w:ascii="Arial" w:hAnsi="Arial" w:cs="Arial"/>
          <w:sz w:val="20"/>
          <w:szCs w:val="20"/>
        </w:rPr>
        <w:t>.</w:t>
      </w:r>
    </w:p>
    <w:p w14:paraId="4E90CD88" w14:textId="5B8C4EE0" w:rsidR="005C38AA" w:rsidRPr="005C38AA" w:rsidRDefault="005C38AA" w:rsidP="00DD6AC3">
      <w:pPr>
        <w:jc w:val="both"/>
        <w:rPr>
          <w:rFonts w:ascii="Arial" w:hAnsi="Arial" w:cs="Arial"/>
          <w:sz w:val="20"/>
          <w:szCs w:val="20"/>
        </w:rPr>
      </w:pPr>
      <w:r w:rsidRPr="005C38AA">
        <w:rPr>
          <w:rFonts w:ascii="Arial" w:hAnsi="Arial" w:cs="Arial"/>
          <w:sz w:val="20"/>
          <w:szCs w:val="20"/>
        </w:rPr>
        <w:t>The control treatment (T</w:t>
      </w:r>
      <w:r w:rsidRPr="005C38AA">
        <w:rPr>
          <w:rFonts w:ascii="Cambria Math" w:hAnsi="Cambria Math" w:cs="Cambria Math"/>
          <w:sz w:val="20"/>
          <w:szCs w:val="20"/>
        </w:rPr>
        <w:t>₁₂</w:t>
      </w:r>
      <w:r w:rsidRPr="005C38AA">
        <w:rPr>
          <w:rFonts w:ascii="Arial" w:hAnsi="Arial" w:cs="Arial"/>
          <w:sz w:val="20"/>
          <w:szCs w:val="20"/>
        </w:rPr>
        <w:t xml:space="preserve">) recorded the lowest recovery efficiency values for all nutrients due to reliance solely on native soil fertility which may not meet crop nutrient requirements. Balanced fertilization practices based on soil testing have been widely reported to improve nutrient use efficiency, soil fertility and crop productivity </w:t>
      </w:r>
      <w:r w:rsidR="00A822DB">
        <w:rPr>
          <w:rFonts w:ascii="Arial" w:hAnsi="Arial" w:cs="Arial"/>
          <w:sz w:val="20"/>
          <w:szCs w:val="20"/>
        </w:rPr>
        <w:t>[30,17]</w:t>
      </w:r>
      <w:r w:rsidRPr="005C38AA">
        <w:rPr>
          <w:rFonts w:ascii="Arial" w:hAnsi="Arial" w:cs="Arial"/>
          <w:sz w:val="20"/>
          <w:szCs w:val="20"/>
        </w:rPr>
        <w:t>.</w:t>
      </w:r>
    </w:p>
    <w:p w14:paraId="2429AAF5" w14:textId="48F95D74" w:rsidR="005C38AA" w:rsidRPr="005C38AA" w:rsidRDefault="005C38AA" w:rsidP="00DD6AC3">
      <w:pPr>
        <w:jc w:val="both"/>
        <w:rPr>
          <w:rFonts w:ascii="Arial" w:hAnsi="Arial" w:cs="Arial"/>
          <w:sz w:val="20"/>
          <w:szCs w:val="20"/>
        </w:rPr>
      </w:pPr>
      <w:r w:rsidRPr="005C38AA">
        <w:rPr>
          <w:rFonts w:ascii="Arial" w:hAnsi="Arial" w:cs="Arial"/>
          <w:sz w:val="20"/>
          <w:szCs w:val="20"/>
        </w:rPr>
        <w:t>The higher nutrient recovery efficiency observed under T</w:t>
      </w:r>
      <w:r w:rsidRPr="005C38AA">
        <w:rPr>
          <w:rFonts w:ascii="Cambria Math" w:hAnsi="Cambria Math" w:cs="Cambria Math"/>
          <w:sz w:val="20"/>
          <w:szCs w:val="20"/>
        </w:rPr>
        <w:t>₂</w:t>
      </w:r>
      <w:r w:rsidRPr="005C38AA">
        <w:rPr>
          <w:rFonts w:ascii="Arial" w:hAnsi="Arial" w:cs="Arial"/>
          <w:sz w:val="20"/>
          <w:szCs w:val="20"/>
        </w:rPr>
        <w:t xml:space="preserve"> (NPKZ soil test based) also highlights the beneficial role of zinc in improving nutrient uptake and physiological processes in crops. Zinc acts as </w:t>
      </w:r>
      <w:r w:rsidRPr="005C38AA">
        <w:rPr>
          <w:rFonts w:ascii="Arial" w:hAnsi="Arial" w:cs="Arial"/>
          <w:sz w:val="20"/>
          <w:szCs w:val="20"/>
        </w:rPr>
        <w:lastRenderedPageBreak/>
        <w:t xml:space="preserve">an important cofactor for several enzymes and improves chlorophyll synthesis, photosynthetic efficiency and nutrient translocation within the plant </w:t>
      </w:r>
      <w:r w:rsidR="00A822DB">
        <w:rPr>
          <w:rFonts w:ascii="Arial" w:hAnsi="Arial" w:cs="Arial"/>
          <w:sz w:val="20"/>
          <w:szCs w:val="20"/>
        </w:rPr>
        <w:t>[32-34]</w:t>
      </w:r>
      <w:r w:rsidRPr="005C38AA">
        <w:rPr>
          <w:rFonts w:ascii="Arial" w:hAnsi="Arial" w:cs="Arial"/>
          <w:sz w:val="20"/>
          <w:szCs w:val="20"/>
        </w:rPr>
        <w:t>.</w:t>
      </w:r>
    </w:p>
    <w:p w14:paraId="6D903698" w14:textId="77777777" w:rsidR="005C38AA" w:rsidRPr="005C38AA" w:rsidRDefault="005C38AA" w:rsidP="00DD6AC3">
      <w:pPr>
        <w:jc w:val="both"/>
        <w:rPr>
          <w:rFonts w:ascii="Arial" w:hAnsi="Arial" w:cs="Arial"/>
          <w:sz w:val="20"/>
          <w:szCs w:val="20"/>
        </w:rPr>
      </w:pPr>
      <w:r w:rsidRPr="005C38AA">
        <w:rPr>
          <w:rFonts w:ascii="Arial" w:hAnsi="Arial" w:cs="Arial"/>
          <w:sz w:val="20"/>
          <w:szCs w:val="20"/>
        </w:rPr>
        <w:t>Overall, the results clearly indicated that soil test based nutrient management with zinc application improved nutrient recovery efficiency and physiological growth parameters of rice, emphasizing the importance of balanced fertilization for sustainable rice production.</w:t>
      </w:r>
    </w:p>
    <w:p w14:paraId="323F0A26" w14:textId="77777777" w:rsidR="00777384" w:rsidRPr="00777384" w:rsidRDefault="00777384" w:rsidP="00DD6AC3">
      <w:pPr>
        <w:jc w:val="both"/>
        <w:rPr>
          <w:rFonts w:ascii="Arial" w:hAnsi="Arial" w:cs="Arial"/>
          <w:b/>
          <w:bCs/>
          <w:sz w:val="20"/>
          <w:szCs w:val="20"/>
        </w:rPr>
      </w:pPr>
      <w:r w:rsidRPr="00777384">
        <w:rPr>
          <w:rFonts w:ascii="Arial" w:hAnsi="Arial" w:cs="Arial"/>
          <w:b/>
          <w:bCs/>
          <w:sz w:val="20"/>
          <w:szCs w:val="20"/>
        </w:rPr>
        <w:t>4. CONCLUSION</w:t>
      </w:r>
    </w:p>
    <w:p w14:paraId="37751B36" w14:textId="77777777" w:rsidR="00777384" w:rsidRPr="00777384" w:rsidRDefault="00777384" w:rsidP="00DD6AC3">
      <w:pPr>
        <w:jc w:val="both"/>
        <w:rPr>
          <w:rFonts w:ascii="Arial" w:hAnsi="Arial" w:cs="Arial"/>
          <w:sz w:val="20"/>
          <w:szCs w:val="20"/>
        </w:rPr>
      </w:pPr>
      <w:r w:rsidRPr="00777384">
        <w:rPr>
          <w:rFonts w:ascii="Arial" w:hAnsi="Arial" w:cs="Arial"/>
          <w:sz w:val="20"/>
          <w:szCs w:val="20"/>
        </w:rPr>
        <w:t>The present study demonstrated that site-specific nutrient management significantly influenced the physiological growth parameters and nutrient recovery efficiency of Bhavani rice. Among the treatments, soil test-based nutrient management with zinc application (T</w:t>
      </w:r>
      <w:r w:rsidRPr="00777384">
        <w:rPr>
          <w:rFonts w:ascii="Cambria Math" w:hAnsi="Cambria Math" w:cs="Cambria Math"/>
          <w:sz w:val="20"/>
          <w:szCs w:val="20"/>
        </w:rPr>
        <w:t>₂</w:t>
      </w:r>
      <w:r w:rsidRPr="00777384">
        <w:rPr>
          <w:rFonts w:ascii="Arial" w:hAnsi="Arial" w:cs="Arial"/>
          <w:sz w:val="20"/>
          <w:szCs w:val="20"/>
        </w:rPr>
        <w:t>) recorded the highest crop growth rate, relative growth rate, net assimilation rate and nutrient recovery efficiency compared to recommended fertilizer dose, nutrient omission treatments and farmers’ practice. The improved growth and nutrient recovery under this treatment may be attributed to balanced and precise nutrient supply which enhanced dry matter accumulation, photosynthetic efficiency and nutrient uptake by the crop. In contrast, nutrient omission treatments and control recorded lower growth parameters and nutrient recovery due to nutrient deficiencies. Therefore, soil test-based balanced fertilization along with zinc application can be considered an effective strategy to improve crop growth, nutrient use efficiency and sustainable rice production.</w:t>
      </w:r>
    </w:p>
    <w:p w14:paraId="4AB84DAE" w14:textId="77777777" w:rsidR="00C95EE9" w:rsidRPr="00C95EE9" w:rsidRDefault="00C95EE9" w:rsidP="00C95EE9">
      <w:pPr>
        <w:rPr>
          <w:rFonts w:ascii="Arial" w:hAnsi="Arial" w:cs="Arial"/>
          <w:b/>
          <w:bCs/>
          <w:sz w:val="22"/>
          <w:szCs w:val="22"/>
          <w:shd w:val="clear" w:color="auto" w:fill="FFFFFF"/>
        </w:rPr>
      </w:pPr>
      <w:r w:rsidRPr="00C95EE9">
        <w:rPr>
          <w:rFonts w:ascii="Arial" w:hAnsi="Arial" w:cs="Arial"/>
          <w:b/>
          <w:bCs/>
          <w:sz w:val="22"/>
          <w:szCs w:val="22"/>
          <w:shd w:val="clear" w:color="auto" w:fill="FFFFFF"/>
        </w:rPr>
        <w:t>REFERENCES</w:t>
      </w:r>
    </w:p>
    <w:p w14:paraId="1B88DA4A" w14:textId="77777777" w:rsidR="00C95EE9" w:rsidRPr="00C95EE9" w:rsidRDefault="00C95EE9" w:rsidP="00C95EE9">
      <w:pPr>
        <w:rPr>
          <w:rFonts w:ascii="Arial" w:hAnsi="Arial" w:cs="Arial"/>
          <w:b/>
          <w:bCs/>
          <w:sz w:val="20"/>
          <w:szCs w:val="20"/>
          <w:shd w:val="clear" w:color="auto" w:fill="FFFFFF"/>
        </w:rPr>
      </w:pPr>
    </w:p>
    <w:p w14:paraId="6C2B06B2"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1. FAO. FAOSTAT statistical database. Food and Agriculture Organization, Rome. 2021.</w:t>
      </w:r>
    </w:p>
    <w:p w14:paraId="49ACD53F" w14:textId="77777777" w:rsidR="00C95EE9" w:rsidRPr="00C95EE9" w:rsidRDefault="00C95EE9" w:rsidP="00C95EE9">
      <w:pPr>
        <w:rPr>
          <w:rFonts w:ascii="Arial" w:hAnsi="Arial" w:cs="Arial"/>
          <w:sz w:val="20"/>
          <w:szCs w:val="20"/>
          <w:shd w:val="clear" w:color="auto" w:fill="FFFFFF"/>
        </w:rPr>
      </w:pPr>
    </w:p>
    <w:p w14:paraId="067DB206"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2. IRRI. Rice Knowledge Bank. International Rice Research Institute, Philippines. 2019.</w:t>
      </w:r>
    </w:p>
    <w:p w14:paraId="1F234562" w14:textId="77777777" w:rsidR="00C95EE9" w:rsidRPr="00C95EE9" w:rsidRDefault="00C95EE9" w:rsidP="00C95EE9">
      <w:pPr>
        <w:rPr>
          <w:rFonts w:ascii="Arial" w:hAnsi="Arial" w:cs="Arial"/>
          <w:sz w:val="20"/>
          <w:szCs w:val="20"/>
          <w:shd w:val="clear" w:color="auto" w:fill="FFFFFF"/>
        </w:rPr>
      </w:pPr>
    </w:p>
    <w:p w14:paraId="272972BB"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3. Dobermann A, Fairhurst T. Rice: Nutrient Disorders and Nutrient Management. Potash &amp; Phosphate Institute, Singapore. 2000.</w:t>
      </w:r>
    </w:p>
    <w:p w14:paraId="7C233743" w14:textId="77777777" w:rsidR="00C95EE9" w:rsidRPr="00C95EE9" w:rsidRDefault="00C95EE9" w:rsidP="00C95EE9">
      <w:pPr>
        <w:rPr>
          <w:rFonts w:ascii="Arial" w:hAnsi="Arial" w:cs="Arial"/>
          <w:sz w:val="20"/>
          <w:szCs w:val="20"/>
          <w:shd w:val="clear" w:color="auto" w:fill="FFFFFF"/>
        </w:rPr>
      </w:pPr>
    </w:p>
    <w:p w14:paraId="6E0C028B"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 xml:space="preserve">4. </w:t>
      </w:r>
      <w:proofErr w:type="spellStart"/>
      <w:r w:rsidRPr="00C95EE9">
        <w:rPr>
          <w:rFonts w:ascii="Arial" w:hAnsi="Arial" w:cs="Arial"/>
          <w:sz w:val="20"/>
          <w:szCs w:val="20"/>
          <w:shd w:val="clear" w:color="auto" w:fill="FFFFFF"/>
        </w:rPr>
        <w:t>Fageria</w:t>
      </w:r>
      <w:proofErr w:type="spellEnd"/>
      <w:r w:rsidRPr="00C95EE9">
        <w:rPr>
          <w:rFonts w:ascii="Arial" w:hAnsi="Arial" w:cs="Arial"/>
          <w:sz w:val="20"/>
          <w:szCs w:val="20"/>
          <w:shd w:val="clear" w:color="auto" w:fill="FFFFFF"/>
        </w:rPr>
        <w:t xml:space="preserve"> NK, </w:t>
      </w:r>
      <w:proofErr w:type="spellStart"/>
      <w:r w:rsidRPr="00C95EE9">
        <w:rPr>
          <w:rFonts w:ascii="Arial" w:hAnsi="Arial" w:cs="Arial"/>
          <w:sz w:val="20"/>
          <w:szCs w:val="20"/>
          <w:shd w:val="clear" w:color="auto" w:fill="FFFFFF"/>
        </w:rPr>
        <w:t>Baligar</w:t>
      </w:r>
      <w:proofErr w:type="spellEnd"/>
      <w:r w:rsidRPr="00C95EE9">
        <w:rPr>
          <w:rFonts w:ascii="Arial" w:hAnsi="Arial" w:cs="Arial"/>
          <w:sz w:val="20"/>
          <w:szCs w:val="20"/>
          <w:shd w:val="clear" w:color="auto" w:fill="FFFFFF"/>
        </w:rPr>
        <w:t xml:space="preserve"> VC, Li YC. The role of nutrient efficient plants in improving crop yields in the twenty first century. Journal of Plant Nutrition. 2011.</w:t>
      </w:r>
    </w:p>
    <w:p w14:paraId="5DCA7C6A" w14:textId="77777777" w:rsidR="00C95EE9" w:rsidRPr="00C95EE9" w:rsidRDefault="00C95EE9" w:rsidP="00C95EE9">
      <w:pPr>
        <w:rPr>
          <w:rFonts w:ascii="Arial" w:hAnsi="Arial" w:cs="Arial"/>
          <w:sz w:val="20"/>
          <w:szCs w:val="20"/>
          <w:shd w:val="clear" w:color="auto" w:fill="FFFFFF"/>
        </w:rPr>
      </w:pPr>
    </w:p>
    <w:p w14:paraId="3C13DA55"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 xml:space="preserve">5. Cassman KG, Dobermann A, Walters DT. Agroecosystems, nitrogen-use efficiency and nitrogen management. </w:t>
      </w:r>
      <w:proofErr w:type="spellStart"/>
      <w:r w:rsidRPr="00C95EE9">
        <w:rPr>
          <w:rFonts w:ascii="Arial" w:hAnsi="Arial" w:cs="Arial"/>
          <w:sz w:val="20"/>
          <w:szCs w:val="20"/>
          <w:shd w:val="clear" w:color="auto" w:fill="FFFFFF"/>
        </w:rPr>
        <w:t>Ambio</w:t>
      </w:r>
      <w:proofErr w:type="spellEnd"/>
      <w:r w:rsidRPr="00C95EE9">
        <w:rPr>
          <w:rFonts w:ascii="Arial" w:hAnsi="Arial" w:cs="Arial"/>
          <w:sz w:val="20"/>
          <w:szCs w:val="20"/>
          <w:shd w:val="clear" w:color="auto" w:fill="FFFFFF"/>
        </w:rPr>
        <w:t xml:space="preserve">. </w:t>
      </w:r>
      <w:proofErr w:type="gramStart"/>
      <w:r w:rsidRPr="00C95EE9">
        <w:rPr>
          <w:rFonts w:ascii="Arial" w:hAnsi="Arial" w:cs="Arial"/>
          <w:sz w:val="20"/>
          <w:szCs w:val="20"/>
          <w:shd w:val="clear" w:color="auto" w:fill="FFFFFF"/>
        </w:rPr>
        <w:t>2002;31:132</w:t>
      </w:r>
      <w:proofErr w:type="gramEnd"/>
      <w:r w:rsidRPr="00C95EE9">
        <w:rPr>
          <w:rFonts w:ascii="Arial" w:hAnsi="Arial" w:cs="Arial"/>
          <w:sz w:val="20"/>
          <w:szCs w:val="20"/>
          <w:shd w:val="clear" w:color="auto" w:fill="FFFFFF"/>
        </w:rPr>
        <w:t>–140.</w:t>
      </w:r>
    </w:p>
    <w:p w14:paraId="60ABB0F7" w14:textId="77777777" w:rsidR="00C95EE9" w:rsidRPr="00C95EE9" w:rsidRDefault="00C95EE9" w:rsidP="00C95EE9">
      <w:pPr>
        <w:rPr>
          <w:rFonts w:ascii="Arial" w:hAnsi="Arial" w:cs="Arial"/>
          <w:sz w:val="20"/>
          <w:szCs w:val="20"/>
          <w:shd w:val="clear" w:color="auto" w:fill="FFFFFF"/>
        </w:rPr>
      </w:pPr>
    </w:p>
    <w:p w14:paraId="35B0D583"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6. Ladha JK, Pathak H, Krupnik TJ, Six J, van Kessel C. Efficiency of fertilizer nitrogen in cereal production. Advances in Agronomy. 2003.</w:t>
      </w:r>
    </w:p>
    <w:p w14:paraId="5BFBDE00" w14:textId="77777777" w:rsidR="00C95EE9" w:rsidRPr="00C95EE9" w:rsidRDefault="00C95EE9" w:rsidP="00C95EE9">
      <w:pPr>
        <w:rPr>
          <w:rFonts w:ascii="Arial" w:hAnsi="Arial" w:cs="Arial"/>
          <w:sz w:val="20"/>
          <w:szCs w:val="20"/>
          <w:shd w:val="clear" w:color="auto" w:fill="FFFFFF"/>
        </w:rPr>
      </w:pPr>
    </w:p>
    <w:p w14:paraId="688096EA"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7. Dobermann A, Witt C, Dawe D. Increasing productivity of intensive rice systems through site-specific nutrient management. Science Publishers. 2003.</w:t>
      </w:r>
    </w:p>
    <w:p w14:paraId="282A84F2" w14:textId="77777777" w:rsidR="00C95EE9" w:rsidRPr="00C95EE9" w:rsidRDefault="00C95EE9" w:rsidP="00C95EE9">
      <w:pPr>
        <w:rPr>
          <w:rFonts w:ascii="Arial" w:hAnsi="Arial" w:cs="Arial"/>
          <w:sz w:val="20"/>
          <w:szCs w:val="20"/>
          <w:shd w:val="clear" w:color="auto" w:fill="FFFFFF"/>
        </w:rPr>
      </w:pPr>
    </w:p>
    <w:p w14:paraId="023B0E03"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 xml:space="preserve">8. </w:t>
      </w:r>
      <w:proofErr w:type="spellStart"/>
      <w:r w:rsidRPr="00C95EE9">
        <w:rPr>
          <w:rFonts w:ascii="Arial" w:hAnsi="Arial" w:cs="Arial"/>
          <w:sz w:val="20"/>
          <w:szCs w:val="20"/>
          <w:shd w:val="clear" w:color="auto" w:fill="FFFFFF"/>
        </w:rPr>
        <w:t>Pampolino</w:t>
      </w:r>
      <w:proofErr w:type="spellEnd"/>
      <w:r w:rsidRPr="00C95EE9">
        <w:rPr>
          <w:rFonts w:ascii="Arial" w:hAnsi="Arial" w:cs="Arial"/>
          <w:sz w:val="20"/>
          <w:szCs w:val="20"/>
          <w:shd w:val="clear" w:color="auto" w:fill="FFFFFF"/>
        </w:rPr>
        <w:t xml:space="preserve"> MF, Witt C, </w:t>
      </w:r>
      <w:proofErr w:type="spellStart"/>
      <w:r w:rsidRPr="00C95EE9">
        <w:rPr>
          <w:rFonts w:ascii="Arial" w:hAnsi="Arial" w:cs="Arial"/>
          <w:sz w:val="20"/>
          <w:szCs w:val="20"/>
          <w:shd w:val="clear" w:color="auto" w:fill="FFFFFF"/>
        </w:rPr>
        <w:t>Pasuquin</w:t>
      </w:r>
      <w:proofErr w:type="spellEnd"/>
      <w:r w:rsidRPr="00C95EE9">
        <w:rPr>
          <w:rFonts w:ascii="Arial" w:hAnsi="Arial" w:cs="Arial"/>
          <w:sz w:val="20"/>
          <w:szCs w:val="20"/>
          <w:shd w:val="clear" w:color="auto" w:fill="FFFFFF"/>
        </w:rPr>
        <w:t xml:space="preserve"> JM, Johnston A, Fisher MJ. Development of nutrient recommendations for rice in Asia. Field Crops Research. </w:t>
      </w:r>
      <w:proofErr w:type="gramStart"/>
      <w:r w:rsidRPr="00C95EE9">
        <w:rPr>
          <w:rFonts w:ascii="Arial" w:hAnsi="Arial" w:cs="Arial"/>
          <w:sz w:val="20"/>
          <w:szCs w:val="20"/>
          <w:shd w:val="clear" w:color="auto" w:fill="FFFFFF"/>
        </w:rPr>
        <w:t>2012;135:157</w:t>
      </w:r>
      <w:proofErr w:type="gramEnd"/>
      <w:r w:rsidRPr="00C95EE9">
        <w:rPr>
          <w:rFonts w:ascii="Arial" w:hAnsi="Arial" w:cs="Arial"/>
          <w:sz w:val="20"/>
          <w:szCs w:val="20"/>
          <w:shd w:val="clear" w:color="auto" w:fill="FFFFFF"/>
        </w:rPr>
        <w:t>–168.</w:t>
      </w:r>
    </w:p>
    <w:p w14:paraId="2E953141" w14:textId="77777777" w:rsidR="00C95EE9" w:rsidRPr="00C95EE9" w:rsidRDefault="00C95EE9" w:rsidP="00C95EE9">
      <w:pPr>
        <w:rPr>
          <w:rFonts w:ascii="Arial" w:hAnsi="Arial" w:cs="Arial"/>
          <w:sz w:val="20"/>
          <w:szCs w:val="20"/>
          <w:shd w:val="clear" w:color="auto" w:fill="FFFFFF"/>
        </w:rPr>
      </w:pPr>
    </w:p>
    <w:p w14:paraId="2C8F4BE1"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9. Alloway BJ. Zinc in Soils and Crop Nutrition. International Zinc Association and International Fertilizer Industry Association. Brussels and Paris. 2008.</w:t>
      </w:r>
    </w:p>
    <w:p w14:paraId="105EC93D" w14:textId="77777777" w:rsidR="00C95EE9" w:rsidRPr="00C95EE9" w:rsidRDefault="00C95EE9" w:rsidP="00C95EE9">
      <w:pPr>
        <w:rPr>
          <w:rFonts w:ascii="Arial" w:hAnsi="Arial" w:cs="Arial"/>
          <w:sz w:val="20"/>
          <w:szCs w:val="20"/>
          <w:shd w:val="clear" w:color="auto" w:fill="FFFFFF"/>
        </w:rPr>
      </w:pPr>
    </w:p>
    <w:p w14:paraId="1F5ADC1D" w14:textId="77777777"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 xml:space="preserve">10. Cakmak I. Enrichment of cereal grains with zinc: Agronomic or genetic biofortification? Plant Soil. </w:t>
      </w:r>
      <w:proofErr w:type="gramStart"/>
      <w:r w:rsidRPr="00C95EE9">
        <w:rPr>
          <w:rFonts w:ascii="Arial" w:hAnsi="Arial" w:cs="Arial"/>
          <w:sz w:val="20"/>
          <w:szCs w:val="20"/>
          <w:shd w:val="clear" w:color="auto" w:fill="FFFFFF"/>
        </w:rPr>
        <w:t>2008;302:1</w:t>
      </w:r>
      <w:proofErr w:type="gramEnd"/>
      <w:r w:rsidRPr="00C95EE9">
        <w:rPr>
          <w:rFonts w:ascii="Arial" w:hAnsi="Arial" w:cs="Arial"/>
          <w:sz w:val="20"/>
          <w:szCs w:val="20"/>
          <w:shd w:val="clear" w:color="auto" w:fill="FFFFFF"/>
        </w:rPr>
        <w:t>–17.</w:t>
      </w:r>
    </w:p>
    <w:p w14:paraId="7BBB0BCA" w14:textId="77777777" w:rsidR="00C95EE9" w:rsidRPr="00C95EE9" w:rsidRDefault="00C95EE9" w:rsidP="00C95EE9">
      <w:pPr>
        <w:rPr>
          <w:rFonts w:ascii="Arial" w:hAnsi="Arial" w:cs="Arial"/>
          <w:sz w:val="20"/>
          <w:szCs w:val="20"/>
          <w:shd w:val="clear" w:color="auto" w:fill="FFFFFF"/>
        </w:rPr>
      </w:pPr>
    </w:p>
    <w:p w14:paraId="51C03A9E" w14:textId="77777777" w:rsid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11. Yoshida S. Fundamentals of Rice Crop Science. International Rice Research Institute, Philippines. 1981.</w:t>
      </w:r>
    </w:p>
    <w:p w14:paraId="55E7A3C7" w14:textId="77777777" w:rsidR="00504A03" w:rsidRDefault="00504A03" w:rsidP="00C95EE9">
      <w:pPr>
        <w:rPr>
          <w:rFonts w:ascii="Arial" w:hAnsi="Arial" w:cs="Arial"/>
          <w:sz w:val="20"/>
          <w:szCs w:val="20"/>
          <w:shd w:val="clear" w:color="auto" w:fill="FFFFFF"/>
        </w:rPr>
      </w:pPr>
    </w:p>
    <w:p w14:paraId="5194D1DC" w14:textId="03759680" w:rsidR="00504A03" w:rsidRDefault="00504A03" w:rsidP="00504A03">
      <w:pPr>
        <w:rPr>
          <w:rFonts w:ascii="Arial" w:hAnsi="Arial" w:cs="Arial"/>
          <w:sz w:val="20"/>
          <w:szCs w:val="20"/>
          <w:shd w:val="clear" w:color="auto" w:fill="FFFFFF"/>
        </w:rPr>
      </w:pPr>
      <w:r>
        <w:rPr>
          <w:rFonts w:ascii="Arial" w:hAnsi="Arial" w:cs="Arial"/>
          <w:sz w:val="20"/>
          <w:szCs w:val="20"/>
          <w:shd w:val="clear" w:color="auto" w:fill="FFFFFF"/>
        </w:rPr>
        <w:t>12.</w:t>
      </w:r>
      <w:r w:rsidRPr="00504A03">
        <w:rPr>
          <w:rFonts w:ascii="Arial" w:hAnsi="Arial" w:cs="Arial"/>
          <w:sz w:val="20"/>
          <w:szCs w:val="20"/>
          <w:shd w:val="clear" w:color="auto" w:fill="FFFFFF"/>
        </w:rPr>
        <w:t xml:space="preserve">Hunt R. </w:t>
      </w:r>
      <w:r w:rsidRPr="00504A03">
        <w:rPr>
          <w:rFonts w:ascii="Arial" w:hAnsi="Arial" w:cs="Arial"/>
          <w:i/>
          <w:iCs/>
          <w:sz w:val="20"/>
          <w:szCs w:val="20"/>
          <w:shd w:val="clear" w:color="auto" w:fill="FFFFFF"/>
        </w:rPr>
        <w:t>Plant Growth Analysis</w:t>
      </w:r>
      <w:r w:rsidRPr="00504A03">
        <w:rPr>
          <w:rFonts w:ascii="Arial" w:hAnsi="Arial" w:cs="Arial"/>
          <w:sz w:val="20"/>
          <w:szCs w:val="20"/>
          <w:shd w:val="clear" w:color="auto" w:fill="FFFFFF"/>
        </w:rPr>
        <w:t>. Edward Arnold, London, 1978.</w:t>
      </w:r>
    </w:p>
    <w:p w14:paraId="64C26B86" w14:textId="77777777" w:rsidR="00504A03" w:rsidRPr="00504A03" w:rsidRDefault="00504A03" w:rsidP="00504A03">
      <w:pPr>
        <w:rPr>
          <w:rFonts w:ascii="Arial" w:hAnsi="Arial" w:cs="Arial"/>
          <w:sz w:val="20"/>
          <w:szCs w:val="20"/>
          <w:shd w:val="clear" w:color="auto" w:fill="FFFFFF"/>
        </w:rPr>
      </w:pPr>
    </w:p>
    <w:p w14:paraId="5543BD90" w14:textId="1298A419" w:rsidR="00504A03" w:rsidRDefault="00504A03" w:rsidP="00504A03">
      <w:pPr>
        <w:rPr>
          <w:rFonts w:ascii="Arial" w:hAnsi="Arial" w:cs="Arial"/>
          <w:sz w:val="20"/>
          <w:szCs w:val="20"/>
          <w:shd w:val="clear" w:color="auto" w:fill="FFFFFF"/>
        </w:rPr>
      </w:pPr>
      <w:r>
        <w:rPr>
          <w:rFonts w:ascii="Arial" w:hAnsi="Arial" w:cs="Arial"/>
          <w:sz w:val="20"/>
          <w:szCs w:val="20"/>
          <w:shd w:val="clear" w:color="auto" w:fill="FFFFFF"/>
        </w:rPr>
        <w:t>13.</w:t>
      </w:r>
      <w:r w:rsidRPr="00504A03">
        <w:rPr>
          <w:rFonts w:ascii="Arial" w:hAnsi="Arial" w:cs="Arial"/>
          <w:sz w:val="20"/>
          <w:szCs w:val="20"/>
          <w:shd w:val="clear" w:color="auto" w:fill="FFFFFF"/>
        </w:rPr>
        <w:t xml:space="preserve">Radford PJ. Growth analysis formulae: Their use and abuse. </w:t>
      </w:r>
      <w:r w:rsidRPr="00504A03">
        <w:rPr>
          <w:rFonts w:ascii="Arial" w:hAnsi="Arial" w:cs="Arial"/>
          <w:i/>
          <w:iCs/>
          <w:sz w:val="20"/>
          <w:szCs w:val="20"/>
          <w:shd w:val="clear" w:color="auto" w:fill="FFFFFF"/>
        </w:rPr>
        <w:t>Crop Science</w:t>
      </w:r>
      <w:r w:rsidRPr="00504A03">
        <w:rPr>
          <w:rFonts w:ascii="Arial" w:hAnsi="Arial" w:cs="Arial"/>
          <w:sz w:val="20"/>
          <w:szCs w:val="20"/>
          <w:shd w:val="clear" w:color="auto" w:fill="FFFFFF"/>
        </w:rPr>
        <w:t xml:space="preserve"> 1967; 7:171–175.</w:t>
      </w:r>
    </w:p>
    <w:p w14:paraId="64728873" w14:textId="77777777" w:rsidR="00504A03" w:rsidRPr="00504A03" w:rsidRDefault="00504A03" w:rsidP="00504A03">
      <w:pPr>
        <w:rPr>
          <w:rFonts w:ascii="Arial" w:hAnsi="Arial" w:cs="Arial"/>
          <w:sz w:val="20"/>
          <w:szCs w:val="20"/>
          <w:shd w:val="clear" w:color="auto" w:fill="FFFFFF"/>
        </w:rPr>
      </w:pPr>
    </w:p>
    <w:p w14:paraId="22CC1295" w14:textId="62988ACB" w:rsidR="00504A03" w:rsidRPr="00504A03" w:rsidRDefault="00504A03" w:rsidP="00504A03">
      <w:pPr>
        <w:rPr>
          <w:rFonts w:ascii="Arial" w:hAnsi="Arial" w:cs="Arial"/>
          <w:sz w:val="20"/>
          <w:szCs w:val="20"/>
          <w:shd w:val="clear" w:color="auto" w:fill="FFFFFF"/>
        </w:rPr>
      </w:pPr>
      <w:r>
        <w:rPr>
          <w:rFonts w:ascii="Arial" w:hAnsi="Arial" w:cs="Arial"/>
          <w:sz w:val="20"/>
          <w:szCs w:val="20"/>
          <w:shd w:val="clear" w:color="auto" w:fill="FFFFFF"/>
        </w:rPr>
        <w:t>14.</w:t>
      </w:r>
      <w:r w:rsidRPr="00504A03">
        <w:rPr>
          <w:rFonts w:ascii="Arial" w:hAnsi="Arial" w:cs="Arial"/>
          <w:sz w:val="20"/>
          <w:szCs w:val="20"/>
          <w:shd w:val="clear" w:color="auto" w:fill="FFFFFF"/>
        </w:rPr>
        <w:t xml:space="preserve">Watson DJ. The physiological basis of variation in yield. </w:t>
      </w:r>
      <w:r w:rsidRPr="00504A03">
        <w:rPr>
          <w:rFonts w:ascii="Arial" w:hAnsi="Arial" w:cs="Arial"/>
          <w:i/>
          <w:iCs/>
          <w:sz w:val="20"/>
          <w:szCs w:val="20"/>
          <w:shd w:val="clear" w:color="auto" w:fill="FFFFFF"/>
        </w:rPr>
        <w:t>Advances in Agronomy</w:t>
      </w:r>
      <w:r w:rsidRPr="00504A03">
        <w:rPr>
          <w:rFonts w:ascii="Arial" w:hAnsi="Arial" w:cs="Arial"/>
          <w:sz w:val="20"/>
          <w:szCs w:val="20"/>
          <w:shd w:val="clear" w:color="auto" w:fill="FFFFFF"/>
        </w:rPr>
        <w:t xml:space="preserve"> 1952; 4:101–145.</w:t>
      </w:r>
    </w:p>
    <w:p w14:paraId="7181DB89" w14:textId="77777777" w:rsidR="00A9023E" w:rsidRDefault="00A9023E" w:rsidP="00C95EE9">
      <w:pPr>
        <w:rPr>
          <w:rFonts w:ascii="Arial" w:hAnsi="Arial" w:cs="Arial"/>
          <w:sz w:val="20"/>
          <w:szCs w:val="20"/>
          <w:shd w:val="clear" w:color="auto" w:fill="FFFFFF"/>
        </w:rPr>
      </w:pPr>
    </w:p>
    <w:p w14:paraId="2E480773" w14:textId="53D7C1CA" w:rsidR="00A9023E" w:rsidRPr="00C95EE9" w:rsidRDefault="00A9023E" w:rsidP="00C95EE9">
      <w:pPr>
        <w:rPr>
          <w:rFonts w:ascii="Arial" w:hAnsi="Arial" w:cs="Arial"/>
          <w:sz w:val="20"/>
          <w:szCs w:val="20"/>
          <w:shd w:val="clear" w:color="auto" w:fill="FFFFFF"/>
        </w:rPr>
      </w:pPr>
      <w:r>
        <w:rPr>
          <w:rFonts w:ascii="Arial" w:hAnsi="Arial" w:cs="Arial"/>
          <w:sz w:val="20"/>
          <w:szCs w:val="20"/>
          <w:shd w:val="clear" w:color="auto" w:fill="FFFFFF"/>
        </w:rPr>
        <w:t>1</w:t>
      </w:r>
      <w:r w:rsidR="00504A03">
        <w:rPr>
          <w:rFonts w:ascii="Arial" w:hAnsi="Arial" w:cs="Arial"/>
          <w:sz w:val="20"/>
          <w:szCs w:val="20"/>
          <w:shd w:val="clear" w:color="auto" w:fill="FFFFFF"/>
        </w:rPr>
        <w:t>5</w:t>
      </w:r>
      <w:r>
        <w:rPr>
          <w:rFonts w:ascii="Arial" w:hAnsi="Arial" w:cs="Arial"/>
          <w:sz w:val="20"/>
          <w:szCs w:val="20"/>
          <w:shd w:val="clear" w:color="auto" w:fill="FFFFFF"/>
        </w:rPr>
        <w:t>.</w:t>
      </w:r>
      <w:r w:rsidRPr="00A9023E">
        <w:rPr>
          <w:rFonts w:ascii="Arial" w:hAnsi="Arial" w:cs="Arial"/>
          <w:sz w:val="20"/>
          <w:szCs w:val="20"/>
        </w:rPr>
        <w:t xml:space="preserve"> </w:t>
      </w:r>
      <w:r w:rsidRPr="008357D7">
        <w:rPr>
          <w:rFonts w:ascii="Arial" w:hAnsi="Arial" w:cs="Arial"/>
          <w:sz w:val="20"/>
          <w:szCs w:val="20"/>
        </w:rPr>
        <w:t>Gomez KA, Gomez AA. Statistical procedures for agricultural research. 2010.</w:t>
      </w:r>
    </w:p>
    <w:p w14:paraId="5695B183" w14:textId="77777777" w:rsidR="00C95EE9" w:rsidRPr="00C95EE9" w:rsidRDefault="00C95EE9" w:rsidP="00C95EE9">
      <w:pPr>
        <w:rPr>
          <w:rFonts w:ascii="Arial" w:hAnsi="Arial" w:cs="Arial"/>
          <w:sz w:val="20"/>
          <w:szCs w:val="20"/>
          <w:shd w:val="clear" w:color="auto" w:fill="FFFFFF"/>
        </w:rPr>
      </w:pPr>
    </w:p>
    <w:p w14:paraId="47C7E0EE" w14:textId="7E56DBB4"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1</w:t>
      </w:r>
      <w:r w:rsidR="00504A03">
        <w:rPr>
          <w:rFonts w:ascii="Arial" w:hAnsi="Arial" w:cs="Arial"/>
          <w:sz w:val="20"/>
          <w:szCs w:val="20"/>
          <w:shd w:val="clear" w:color="auto" w:fill="FFFFFF"/>
        </w:rPr>
        <w:t>6</w:t>
      </w:r>
      <w:r w:rsidRPr="00C95EE9">
        <w:rPr>
          <w:rFonts w:ascii="Arial" w:hAnsi="Arial" w:cs="Arial"/>
          <w:sz w:val="20"/>
          <w:szCs w:val="20"/>
          <w:shd w:val="clear" w:color="auto" w:fill="FFFFFF"/>
        </w:rPr>
        <w:t xml:space="preserve">. Paramanik B, Mahanta S, Das B, Patra P, Choudhury A, </w:t>
      </w:r>
      <w:proofErr w:type="spellStart"/>
      <w:r w:rsidRPr="00C95EE9">
        <w:rPr>
          <w:rFonts w:ascii="Arial" w:hAnsi="Arial" w:cs="Arial"/>
          <w:sz w:val="20"/>
          <w:szCs w:val="20"/>
          <w:shd w:val="clear" w:color="auto" w:fill="FFFFFF"/>
        </w:rPr>
        <w:t>Ghatak</w:t>
      </w:r>
      <w:proofErr w:type="spellEnd"/>
      <w:r w:rsidRPr="00C95EE9">
        <w:rPr>
          <w:rFonts w:ascii="Arial" w:hAnsi="Arial" w:cs="Arial"/>
          <w:sz w:val="20"/>
          <w:szCs w:val="20"/>
          <w:shd w:val="clear" w:color="auto" w:fill="FFFFFF"/>
        </w:rPr>
        <w:t xml:space="preserve"> P, </w:t>
      </w:r>
      <w:proofErr w:type="spellStart"/>
      <w:r w:rsidRPr="00C95EE9">
        <w:rPr>
          <w:rFonts w:ascii="Arial" w:hAnsi="Arial" w:cs="Arial"/>
          <w:sz w:val="20"/>
          <w:szCs w:val="20"/>
          <w:shd w:val="clear" w:color="auto" w:fill="FFFFFF"/>
        </w:rPr>
        <w:t>Layek</w:t>
      </w:r>
      <w:proofErr w:type="spellEnd"/>
      <w:r w:rsidRPr="00C95EE9">
        <w:rPr>
          <w:rFonts w:ascii="Arial" w:hAnsi="Arial" w:cs="Arial"/>
          <w:sz w:val="20"/>
          <w:szCs w:val="20"/>
          <w:shd w:val="clear" w:color="auto" w:fill="FFFFFF"/>
        </w:rPr>
        <w:t xml:space="preserve"> J, Dutta G, </w:t>
      </w:r>
      <w:proofErr w:type="spellStart"/>
      <w:r w:rsidRPr="00C95EE9">
        <w:rPr>
          <w:rFonts w:ascii="Arial" w:hAnsi="Arial" w:cs="Arial"/>
          <w:sz w:val="20"/>
          <w:szCs w:val="20"/>
          <w:shd w:val="clear" w:color="auto" w:fill="FFFFFF"/>
        </w:rPr>
        <w:t>Saikia</w:t>
      </w:r>
      <w:proofErr w:type="spellEnd"/>
      <w:r w:rsidRPr="00C95EE9">
        <w:rPr>
          <w:rFonts w:ascii="Arial" w:hAnsi="Arial" w:cs="Arial"/>
          <w:sz w:val="20"/>
          <w:szCs w:val="20"/>
          <w:shd w:val="clear" w:color="auto" w:fill="FFFFFF"/>
        </w:rPr>
        <w:t xml:space="preserve"> N, </w:t>
      </w:r>
      <w:proofErr w:type="spellStart"/>
      <w:r w:rsidRPr="00C95EE9">
        <w:rPr>
          <w:rFonts w:ascii="Arial" w:hAnsi="Arial" w:cs="Arial"/>
          <w:sz w:val="20"/>
          <w:szCs w:val="20"/>
          <w:shd w:val="clear" w:color="auto" w:fill="FFFFFF"/>
        </w:rPr>
        <w:t>Biswakarma</w:t>
      </w:r>
      <w:proofErr w:type="spellEnd"/>
      <w:r w:rsidRPr="00C95EE9">
        <w:rPr>
          <w:rFonts w:ascii="Arial" w:hAnsi="Arial" w:cs="Arial"/>
          <w:sz w:val="20"/>
          <w:szCs w:val="20"/>
          <w:shd w:val="clear" w:color="auto" w:fill="FFFFFF"/>
        </w:rPr>
        <w:t xml:space="preserve"> N. Enhancing rice productivity through holistic nutrient management. Journal of Plant Nutrition. </w:t>
      </w:r>
      <w:proofErr w:type="gramStart"/>
      <w:r w:rsidRPr="00C95EE9">
        <w:rPr>
          <w:rFonts w:ascii="Arial" w:hAnsi="Arial" w:cs="Arial"/>
          <w:sz w:val="20"/>
          <w:szCs w:val="20"/>
          <w:shd w:val="clear" w:color="auto" w:fill="FFFFFF"/>
        </w:rPr>
        <w:t>2024;47:2866</w:t>
      </w:r>
      <w:proofErr w:type="gramEnd"/>
      <w:r w:rsidRPr="00C95EE9">
        <w:rPr>
          <w:rFonts w:ascii="Arial" w:hAnsi="Arial" w:cs="Arial"/>
          <w:sz w:val="20"/>
          <w:szCs w:val="20"/>
          <w:shd w:val="clear" w:color="auto" w:fill="FFFFFF"/>
        </w:rPr>
        <w:t>–2880.</w:t>
      </w:r>
    </w:p>
    <w:p w14:paraId="5A0CEB58" w14:textId="77777777" w:rsidR="00C95EE9" w:rsidRPr="00C95EE9" w:rsidRDefault="00C95EE9" w:rsidP="00C95EE9">
      <w:pPr>
        <w:rPr>
          <w:rFonts w:ascii="Arial" w:hAnsi="Arial" w:cs="Arial"/>
          <w:sz w:val="20"/>
          <w:szCs w:val="20"/>
          <w:shd w:val="clear" w:color="auto" w:fill="FFFFFF"/>
        </w:rPr>
      </w:pPr>
    </w:p>
    <w:p w14:paraId="3CAD637D" w14:textId="1B66A4A9"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1</w:t>
      </w:r>
      <w:r w:rsidR="00504A03">
        <w:rPr>
          <w:rFonts w:ascii="Arial" w:hAnsi="Arial" w:cs="Arial"/>
          <w:sz w:val="20"/>
          <w:szCs w:val="20"/>
          <w:shd w:val="clear" w:color="auto" w:fill="FFFFFF"/>
        </w:rPr>
        <w:t>7</w:t>
      </w:r>
      <w:r w:rsidRPr="00C95EE9">
        <w:rPr>
          <w:rFonts w:ascii="Arial" w:hAnsi="Arial" w:cs="Arial"/>
          <w:sz w:val="20"/>
          <w:szCs w:val="20"/>
          <w:shd w:val="clear" w:color="auto" w:fill="FFFFFF"/>
        </w:rPr>
        <w:t xml:space="preserve">. Singh V, Gautam P, Nanda G, Dhaliwal S, </w:t>
      </w:r>
      <w:proofErr w:type="spellStart"/>
      <w:r w:rsidRPr="00C95EE9">
        <w:rPr>
          <w:rFonts w:ascii="Arial" w:hAnsi="Arial" w:cs="Arial"/>
          <w:sz w:val="20"/>
          <w:szCs w:val="20"/>
          <w:shd w:val="clear" w:color="auto" w:fill="FFFFFF"/>
        </w:rPr>
        <w:t>Pramanick</w:t>
      </w:r>
      <w:proofErr w:type="spellEnd"/>
      <w:r w:rsidRPr="00C95EE9">
        <w:rPr>
          <w:rFonts w:ascii="Arial" w:hAnsi="Arial" w:cs="Arial"/>
          <w:sz w:val="20"/>
          <w:szCs w:val="20"/>
          <w:shd w:val="clear" w:color="auto" w:fill="FFFFFF"/>
        </w:rPr>
        <w:t xml:space="preserve"> B, Meena S, </w:t>
      </w:r>
      <w:proofErr w:type="spellStart"/>
      <w:r w:rsidRPr="00C95EE9">
        <w:rPr>
          <w:rFonts w:ascii="Arial" w:hAnsi="Arial" w:cs="Arial"/>
          <w:sz w:val="20"/>
          <w:szCs w:val="20"/>
          <w:shd w:val="clear" w:color="auto" w:fill="FFFFFF"/>
        </w:rPr>
        <w:t>Alsanie</w:t>
      </w:r>
      <w:proofErr w:type="spellEnd"/>
      <w:r w:rsidRPr="00C95EE9">
        <w:rPr>
          <w:rFonts w:ascii="Arial" w:hAnsi="Arial" w:cs="Arial"/>
          <w:sz w:val="20"/>
          <w:szCs w:val="20"/>
          <w:shd w:val="clear" w:color="auto" w:fill="FFFFFF"/>
        </w:rPr>
        <w:t xml:space="preserve"> W, Gaber A, Sayed S, Hossain A. Soil test-based fertilizer application improves productivity and nutrient use efficiency of rice. Agronomy. </w:t>
      </w:r>
      <w:proofErr w:type="gramStart"/>
      <w:r w:rsidRPr="00C95EE9">
        <w:rPr>
          <w:rFonts w:ascii="Arial" w:hAnsi="Arial" w:cs="Arial"/>
          <w:sz w:val="20"/>
          <w:szCs w:val="20"/>
          <w:shd w:val="clear" w:color="auto" w:fill="FFFFFF"/>
        </w:rPr>
        <w:t>2021;11:1756</w:t>
      </w:r>
      <w:proofErr w:type="gramEnd"/>
      <w:r w:rsidRPr="00C95EE9">
        <w:rPr>
          <w:rFonts w:ascii="Arial" w:hAnsi="Arial" w:cs="Arial"/>
          <w:sz w:val="20"/>
          <w:szCs w:val="20"/>
          <w:shd w:val="clear" w:color="auto" w:fill="FFFFFF"/>
        </w:rPr>
        <w:t>.</w:t>
      </w:r>
    </w:p>
    <w:p w14:paraId="62CE880D" w14:textId="77777777" w:rsidR="00C95EE9" w:rsidRPr="00C95EE9" w:rsidRDefault="00C95EE9" w:rsidP="00C95EE9">
      <w:pPr>
        <w:rPr>
          <w:rFonts w:ascii="Arial" w:hAnsi="Arial" w:cs="Arial"/>
          <w:sz w:val="20"/>
          <w:szCs w:val="20"/>
          <w:shd w:val="clear" w:color="auto" w:fill="FFFFFF"/>
        </w:rPr>
      </w:pPr>
    </w:p>
    <w:p w14:paraId="28464C2A" w14:textId="4841987F"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1</w:t>
      </w:r>
      <w:r w:rsidR="00504A03">
        <w:rPr>
          <w:rFonts w:ascii="Arial" w:hAnsi="Arial" w:cs="Arial"/>
          <w:sz w:val="20"/>
          <w:szCs w:val="20"/>
          <w:shd w:val="clear" w:color="auto" w:fill="FFFFFF"/>
        </w:rPr>
        <w:t>8</w:t>
      </w:r>
      <w:r w:rsidRPr="00C95EE9">
        <w:rPr>
          <w:rFonts w:ascii="Arial" w:hAnsi="Arial" w:cs="Arial"/>
          <w:sz w:val="20"/>
          <w:szCs w:val="20"/>
          <w:shd w:val="clear" w:color="auto" w:fill="FFFFFF"/>
        </w:rPr>
        <w:t xml:space="preserve">. Murthy R, Nagaraju B, Govinda K, Kumar S, </w:t>
      </w:r>
      <w:proofErr w:type="spellStart"/>
      <w:r w:rsidRPr="00C95EE9">
        <w:rPr>
          <w:rFonts w:ascii="Arial" w:hAnsi="Arial" w:cs="Arial"/>
          <w:sz w:val="20"/>
          <w:szCs w:val="20"/>
          <w:shd w:val="clear" w:color="auto" w:fill="FFFFFF"/>
        </w:rPr>
        <w:t>Basavaraja</w:t>
      </w:r>
      <w:proofErr w:type="spellEnd"/>
      <w:r w:rsidRPr="00C95EE9">
        <w:rPr>
          <w:rFonts w:ascii="Arial" w:hAnsi="Arial" w:cs="Arial"/>
          <w:sz w:val="20"/>
          <w:szCs w:val="20"/>
          <w:shd w:val="clear" w:color="auto" w:fill="FFFFFF"/>
        </w:rPr>
        <w:t xml:space="preserve"> P, </w:t>
      </w:r>
      <w:proofErr w:type="spellStart"/>
      <w:r w:rsidRPr="00C95EE9">
        <w:rPr>
          <w:rFonts w:ascii="Arial" w:hAnsi="Arial" w:cs="Arial"/>
          <w:sz w:val="20"/>
          <w:szCs w:val="20"/>
          <w:shd w:val="clear" w:color="auto" w:fill="FFFFFF"/>
        </w:rPr>
        <w:t>Saqeebulla</w:t>
      </w:r>
      <w:proofErr w:type="spellEnd"/>
      <w:r w:rsidRPr="00C95EE9">
        <w:rPr>
          <w:rFonts w:ascii="Arial" w:hAnsi="Arial" w:cs="Arial"/>
          <w:sz w:val="20"/>
          <w:szCs w:val="20"/>
          <w:shd w:val="clear" w:color="auto" w:fill="FFFFFF"/>
        </w:rPr>
        <w:t xml:space="preserve"> H, </w:t>
      </w:r>
      <w:proofErr w:type="spellStart"/>
      <w:r w:rsidRPr="00C95EE9">
        <w:rPr>
          <w:rFonts w:ascii="Arial" w:hAnsi="Arial" w:cs="Arial"/>
          <w:sz w:val="20"/>
          <w:szCs w:val="20"/>
          <w:shd w:val="clear" w:color="auto" w:fill="FFFFFF"/>
        </w:rPr>
        <w:t>Gangamrutha</w:t>
      </w:r>
      <w:proofErr w:type="spellEnd"/>
      <w:r w:rsidRPr="00C95EE9">
        <w:rPr>
          <w:rFonts w:ascii="Arial" w:hAnsi="Arial" w:cs="Arial"/>
          <w:sz w:val="20"/>
          <w:szCs w:val="20"/>
          <w:shd w:val="clear" w:color="auto" w:fill="FFFFFF"/>
        </w:rPr>
        <w:t xml:space="preserve"> G, Srivastava S, Dey P. Soil test crop response nutrient prescription equations for improving soil health and yield sustainability under </w:t>
      </w:r>
      <w:proofErr w:type="spellStart"/>
      <w:r w:rsidRPr="00C95EE9">
        <w:rPr>
          <w:rFonts w:ascii="Arial" w:hAnsi="Arial" w:cs="Arial"/>
          <w:sz w:val="20"/>
          <w:szCs w:val="20"/>
          <w:shd w:val="clear" w:color="auto" w:fill="FFFFFF"/>
        </w:rPr>
        <w:t>Alfisols</w:t>
      </w:r>
      <w:proofErr w:type="spellEnd"/>
      <w:r w:rsidRPr="00C95EE9">
        <w:rPr>
          <w:rFonts w:ascii="Arial" w:hAnsi="Arial" w:cs="Arial"/>
          <w:sz w:val="20"/>
          <w:szCs w:val="20"/>
          <w:shd w:val="clear" w:color="auto" w:fill="FFFFFF"/>
        </w:rPr>
        <w:t xml:space="preserve"> of southern India. Frontiers in Plant Science. </w:t>
      </w:r>
      <w:proofErr w:type="gramStart"/>
      <w:r w:rsidRPr="00C95EE9">
        <w:rPr>
          <w:rFonts w:ascii="Arial" w:hAnsi="Arial" w:cs="Arial"/>
          <w:sz w:val="20"/>
          <w:szCs w:val="20"/>
          <w:shd w:val="clear" w:color="auto" w:fill="FFFFFF"/>
        </w:rPr>
        <w:t>2024;15:1439523</w:t>
      </w:r>
      <w:proofErr w:type="gramEnd"/>
      <w:r w:rsidRPr="00C95EE9">
        <w:rPr>
          <w:rFonts w:ascii="Arial" w:hAnsi="Arial" w:cs="Arial"/>
          <w:sz w:val="20"/>
          <w:szCs w:val="20"/>
          <w:shd w:val="clear" w:color="auto" w:fill="FFFFFF"/>
        </w:rPr>
        <w:t>.</w:t>
      </w:r>
    </w:p>
    <w:p w14:paraId="2BE4C140" w14:textId="77777777" w:rsidR="00C95EE9" w:rsidRPr="00C95EE9" w:rsidRDefault="00C95EE9" w:rsidP="00C95EE9">
      <w:pPr>
        <w:rPr>
          <w:rFonts w:ascii="Arial" w:hAnsi="Arial" w:cs="Arial"/>
          <w:sz w:val="20"/>
          <w:szCs w:val="20"/>
          <w:shd w:val="clear" w:color="auto" w:fill="FFFFFF"/>
        </w:rPr>
      </w:pPr>
    </w:p>
    <w:p w14:paraId="01D66D80" w14:textId="41C5BEEA"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1</w:t>
      </w:r>
      <w:r w:rsidR="00504A03">
        <w:rPr>
          <w:rFonts w:ascii="Arial" w:hAnsi="Arial" w:cs="Arial"/>
          <w:sz w:val="20"/>
          <w:szCs w:val="20"/>
          <w:shd w:val="clear" w:color="auto" w:fill="FFFFFF"/>
        </w:rPr>
        <w:t>9</w:t>
      </w:r>
      <w:r w:rsidRPr="00C95EE9">
        <w:rPr>
          <w:rFonts w:ascii="Arial" w:hAnsi="Arial" w:cs="Arial"/>
          <w:sz w:val="20"/>
          <w:szCs w:val="20"/>
          <w:shd w:val="clear" w:color="auto" w:fill="FFFFFF"/>
        </w:rPr>
        <w:t xml:space="preserve">. </w:t>
      </w:r>
      <w:proofErr w:type="spellStart"/>
      <w:r w:rsidRPr="00C95EE9">
        <w:rPr>
          <w:rFonts w:ascii="Arial" w:hAnsi="Arial" w:cs="Arial"/>
          <w:sz w:val="20"/>
          <w:szCs w:val="20"/>
          <w:shd w:val="clear" w:color="auto" w:fill="FFFFFF"/>
        </w:rPr>
        <w:t>Rurinda</w:t>
      </w:r>
      <w:proofErr w:type="spellEnd"/>
      <w:r w:rsidRPr="00C95EE9">
        <w:rPr>
          <w:rFonts w:ascii="Arial" w:hAnsi="Arial" w:cs="Arial"/>
          <w:sz w:val="20"/>
          <w:szCs w:val="20"/>
          <w:shd w:val="clear" w:color="auto" w:fill="FFFFFF"/>
        </w:rPr>
        <w:t xml:space="preserve"> J, </w:t>
      </w:r>
      <w:proofErr w:type="spellStart"/>
      <w:r w:rsidRPr="00C95EE9">
        <w:rPr>
          <w:rFonts w:ascii="Arial" w:hAnsi="Arial" w:cs="Arial"/>
          <w:sz w:val="20"/>
          <w:szCs w:val="20"/>
          <w:shd w:val="clear" w:color="auto" w:fill="FFFFFF"/>
        </w:rPr>
        <w:t>Zingore</w:t>
      </w:r>
      <w:proofErr w:type="spellEnd"/>
      <w:r w:rsidRPr="00C95EE9">
        <w:rPr>
          <w:rFonts w:ascii="Arial" w:hAnsi="Arial" w:cs="Arial"/>
          <w:sz w:val="20"/>
          <w:szCs w:val="20"/>
          <w:shd w:val="clear" w:color="auto" w:fill="FFFFFF"/>
        </w:rPr>
        <w:t xml:space="preserve"> S, </w:t>
      </w:r>
      <w:proofErr w:type="spellStart"/>
      <w:r w:rsidRPr="00C95EE9">
        <w:rPr>
          <w:rFonts w:ascii="Arial" w:hAnsi="Arial" w:cs="Arial"/>
          <w:sz w:val="20"/>
          <w:szCs w:val="20"/>
          <w:shd w:val="clear" w:color="auto" w:fill="FFFFFF"/>
        </w:rPr>
        <w:t>Jibrin</w:t>
      </w:r>
      <w:proofErr w:type="spellEnd"/>
      <w:r w:rsidRPr="00C95EE9">
        <w:rPr>
          <w:rFonts w:ascii="Arial" w:hAnsi="Arial" w:cs="Arial"/>
          <w:sz w:val="20"/>
          <w:szCs w:val="20"/>
          <w:shd w:val="clear" w:color="auto" w:fill="FFFFFF"/>
        </w:rPr>
        <w:t xml:space="preserve"> J, </w:t>
      </w:r>
      <w:proofErr w:type="spellStart"/>
      <w:r w:rsidRPr="00C95EE9">
        <w:rPr>
          <w:rFonts w:ascii="Arial" w:hAnsi="Arial" w:cs="Arial"/>
          <w:sz w:val="20"/>
          <w:szCs w:val="20"/>
          <w:shd w:val="clear" w:color="auto" w:fill="FFFFFF"/>
        </w:rPr>
        <w:t>Balemi</w:t>
      </w:r>
      <w:proofErr w:type="spellEnd"/>
      <w:r w:rsidRPr="00C95EE9">
        <w:rPr>
          <w:rFonts w:ascii="Arial" w:hAnsi="Arial" w:cs="Arial"/>
          <w:sz w:val="20"/>
          <w:szCs w:val="20"/>
          <w:shd w:val="clear" w:color="auto" w:fill="FFFFFF"/>
        </w:rPr>
        <w:t xml:space="preserve"> T, </w:t>
      </w:r>
      <w:proofErr w:type="spellStart"/>
      <w:r w:rsidRPr="00C95EE9">
        <w:rPr>
          <w:rFonts w:ascii="Arial" w:hAnsi="Arial" w:cs="Arial"/>
          <w:sz w:val="20"/>
          <w:szCs w:val="20"/>
          <w:shd w:val="clear" w:color="auto" w:fill="FFFFFF"/>
        </w:rPr>
        <w:t>Masuki</w:t>
      </w:r>
      <w:proofErr w:type="spellEnd"/>
      <w:r w:rsidRPr="00C95EE9">
        <w:rPr>
          <w:rFonts w:ascii="Arial" w:hAnsi="Arial" w:cs="Arial"/>
          <w:sz w:val="20"/>
          <w:szCs w:val="20"/>
          <w:shd w:val="clear" w:color="auto" w:fill="FFFFFF"/>
        </w:rPr>
        <w:t xml:space="preserve"> K, Andersson J, </w:t>
      </w:r>
      <w:proofErr w:type="spellStart"/>
      <w:r w:rsidRPr="00C95EE9">
        <w:rPr>
          <w:rFonts w:ascii="Arial" w:hAnsi="Arial" w:cs="Arial"/>
          <w:sz w:val="20"/>
          <w:szCs w:val="20"/>
          <w:shd w:val="clear" w:color="auto" w:fill="FFFFFF"/>
        </w:rPr>
        <w:t>Pampolino</w:t>
      </w:r>
      <w:proofErr w:type="spellEnd"/>
      <w:r w:rsidRPr="00C95EE9">
        <w:rPr>
          <w:rFonts w:ascii="Arial" w:hAnsi="Arial" w:cs="Arial"/>
          <w:sz w:val="20"/>
          <w:szCs w:val="20"/>
          <w:shd w:val="clear" w:color="auto" w:fill="FFFFFF"/>
        </w:rPr>
        <w:t xml:space="preserve"> M, Mohammed I, Mutegi J, Kamara A, </w:t>
      </w:r>
      <w:proofErr w:type="spellStart"/>
      <w:r w:rsidRPr="00C95EE9">
        <w:rPr>
          <w:rFonts w:ascii="Arial" w:hAnsi="Arial" w:cs="Arial"/>
          <w:sz w:val="20"/>
          <w:szCs w:val="20"/>
          <w:shd w:val="clear" w:color="auto" w:fill="FFFFFF"/>
        </w:rPr>
        <w:t>Vanlauwe</w:t>
      </w:r>
      <w:proofErr w:type="spellEnd"/>
      <w:r w:rsidRPr="00C95EE9">
        <w:rPr>
          <w:rFonts w:ascii="Arial" w:hAnsi="Arial" w:cs="Arial"/>
          <w:sz w:val="20"/>
          <w:szCs w:val="20"/>
          <w:shd w:val="clear" w:color="auto" w:fill="FFFFFF"/>
        </w:rPr>
        <w:t xml:space="preserve"> B, </w:t>
      </w:r>
      <w:proofErr w:type="spellStart"/>
      <w:r w:rsidRPr="00C95EE9">
        <w:rPr>
          <w:rFonts w:ascii="Arial" w:hAnsi="Arial" w:cs="Arial"/>
          <w:sz w:val="20"/>
          <w:szCs w:val="20"/>
          <w:shd w:val="clear" w:color="auto" w:fill="FFFFFF"/>
        </w:rPr>
        <w:t>Craufurd</w:t>
      </w:r>
      <w:proofErr w:type="spellEnd"/>
      <w:r w:rsidRPr="00C95EE9">
        <w:rPr>
          <w:rFonts w:ascii="Arial" w:hAnsi="Arial" w:cs="Arial"/>
          <w:sz w:val="20"/>
          <w:szCs w:val="20"/>
          <w:shd w:val="clear" w:color="auto" w:fill="FFFFFF"/>
        </w:rPr>
        <w:t xml:space="preserve"> P. Science-based decision support for crop fertilizer recommendations in sub-Saharan Africa. Agricultural Systems. </w:t>
      </w:r>
      <w:proofErr w:type="gramStart"/>
      <w:r w:rsidRPr="00C95EE9">
        <w:rPr>
          <w:rFonts w:ascii="Arial" w:hAnsi="Arial" w:cs="Arial"/>
          <w:sz w:val="20"/>
          <w:szCs w:val="20"/>
          <w:shd w:val="clear" w:color="auto" w:fill="FFFFFF"/>
        </w:rPr>
        <w:t>2020;180:102790</w:t>
      </w:r>
      <w:proofErr w:type="gramEnd"/>
      <w:r w:rsidRPr="00C95EE9">
        <w:rPr>
          <w:rFonts w:ascii="Arial" w:hAnsi="Arial" w:cs="Arial"/>
          <w:sz w:val="20"/>
          <w:szCs w:val="20"/>
          <w:shd w:val="clear" w:color="auto" w:fill="FFFFFF"/>
        </w:rPr>
        <w:t>.</w:t>
      </w:r>
    </w:p>
    <w:p w14:paraId="1A337249" w14:textId="77777777" w:rsidR="00C95EE9" w:rsidRPr="00C95EE9" w:rsidRDefault="00C95EE9" w:rsidP="00C95EE9">
      <w:pPr>
        <w:rPr>
          <w:rFonts w:ascii="Arial" w:hAnsi="Arial" w:cs="Arial"/>
          <w:sz w:val="20"/>
          <w:szCs w:val="20"/>
          <w:shd w:val="clear" w:color="auto" w:fill="FFFFFF"/>
        </w:rPr>
      </w:pPr>
    </w:p>
    <w:p w14:paraId="42B4297F" w14:textId="2B42B97B" w:rsidR="00C95EE9" w:rsidRPr="00C95EE9" w:rsidRDefault="00504A03" w:rsidP="00C95EE9">
      <w:pPr>
        <w:rPr>
          <w:rFonts w:ascii="Arial" w:hAnsi="Arial" w:cs="Arial"/>
          <w:sz w:val="20"/>
          <w:szCs w:val="20"/>
          <w:shd w:val="clear" w:color="auto" w:fill="FFFFFF"/>
        </w:rPr>
      </w:pPr>
      <w:r>
        <w:rPr>
          <w:rFonts w:ascii="Arial" w:hAnsi="Arial" w:cs="Arial"/>
          <w:sz w:val="20"/>
          <w:szCs w:val="20"/>
          <w:shd w:val="clear" w:color="auto" w:fill="FFFFFF"/>
        </w:rPr>
        <w:t>20</w:t>
      </w:r>
      <w:r w:rsidR="00C95EE9" w:rsidRPr="00C95EE9">
        <w:rPr>
          <w:rFonts w:ascii="Arial" w:hAnsi="Arial" w:cs="Arial"/>
          <w:sz w:val="20"/>
          <w:szCs w:val="20"/>
          <w:shd w:val="clear" w:color="auto" w:fill="FFFFFF"/>
        </w:rPr>
        <w:t xml:space="preserve">. Roch L, Prigent S, Klose H, </w:t>
      </w:r>
      <w:proofErr w:type="spellStart"/>
      <w:r w:rsidR="00C95EE9" w:rsidRPr="00C95EE9">
        <w:rPr>
          <w:rFonts w:ascii="Arial" w:hAnsi="Arial" w:cs="Arial"/>
          <w:sz w:val="20"/>
          <w:szCs w:val="20"/>
          <w:shd w:val="clear" w:color="auto" w:fill="FFFFFF"/>
        </w:rPr>
        <w:t>Cakpo</w:t>
      </w:r>
      <w:proofErr w:type="spellEnd"/>
      <w:r w:rsidR="00C95EE9" w:rsidRPr="00C95EE9">
        <w:rPr>
          <w:rFonts w:ascii="Arial" w:hAnsi="Arial" w:cs="Arial"/>
          <w:sz w:val="20"/>
          <w:szCs w:val="20"/>
          <w:shd w:val="clear" w:color="auto" w:fill="FFFFFF"/>
        </w:rPr>
        <w:t xml:space="preserve"> C, </w:t>
      </w:r>
      <w:proofErr w:type="spellStart"/>
      <w:r w:rsidR="00C95EE9" w:rsidRPr="00C95EE9">
        <w:rPr>
          <w:rFonts w:ascii="Arial" w:hAnsi="Arial" w:cs="Arial"/>
          <w:sz w:val="20"/>
          <w:szCs w:val="20"/>
          <w:shd w:val="clear" w:color="auto" w:fill="FFFFFF"/>
        </w:rPr>
        <w:t>Beauvoit</w:t>
      </w:r>
      <w:proofErr w:type="spellEnd"/>
      <w:r w:rsidR="00C95EE9" w:rsidRPr="00C95EE9">
        <w:rPr>
          <w:rFonts w:ascii="Arial" w:hAnsi="Arial" w:cs="Arial"/>
          <w:sz w:val="20"/>
          <w:szCs w:val="20"/>
          <w:shd w:val="clear" w:color="auto" w:fill="FFFFFF"/>
        </w:rPr>
        <w:t xml:space="preserve"> B, </w:t>
      </w:r>
      <w:proofErr w:type="spellStart"/>
      <w:r w:rsidR="00C95EE9" w:rsidRPr="00C95EE9">
        <w:rPr>
          <w:rFonts w:ascii="Arial" w:hAnsi="Arial" w:cs="Arial"/>
          <w:sz w:val="20"/>
          <w:szCs w:val="20"/>
          <w:shd w:val="clear" w:color="auto" w:fill="FFFFFF"/>
        </w:rPr>
        <w:t>Deborde</w:t>
      </w:r>
      <w:proofErr w:type="spellEnd"/>
      <w:r w:rsidR="00C95EE9" w:rsidRPr="00C95EE9">
        <w:rPr>
          <w:rFonts w:ascii="Arial" w:hAnsi="Arial" w:cs="Arial"/>
          <w:sz w:val="20"/>
          <w:szCs w:val="20"/>
          <w:shd w:val="clear" w:color="auto" w:fill="FFFFFF"/>
        </w:rPr>
        <w:t xml:space="preserve"> C, </w:t>
      </w:r>
      <w:proofErr w:type="spellStart"/>
      <w:r w:rsidR="00C95EE9" w:rsidRPr="00C95EE9">
        <w:rPr>
          <w:rFonts w:ascii="Arial" w:hAnsi="Arial" w:cs="Arial"/>
          <w:sz w:val="20"/>
          <w:szCs w:val="20"/>
          <w:shd w:val="clear" w:color="auto" w:fill="FFFFFF"/>
        </w:rPr>
        <w:t>Fouillen</w:t>
      </w:r>
      <w:proofErr w:type="spellEnd"/>
      <w:r w:rsidR="00C95EE9" w:rsidRPr="00C95EE9">
        <w:rPr>
          <w:rFonts w:ascii="Arial" w:hAnsi="Arial" w:cs="Arial"/>
          <w:sz w:val="20"/>
          <w:szCs w:val="20"/>
          <w:shd w:val="clear" w:color="auto" w:fill="FFFFFF"/>
        </w:rPr>
        <w:t xml:space="preserve"> L, Van Delft P, Jacob D, </w:t>
      </w:r>
      <w:proofErr w:type="spellStart"/>
      <w:r w:rsidR="00C95EE9" w:rsidRPr="00C95EE9">
        <w:rPr>
          <w:rFonts w:ascii="Arial" w:hAnsi="Arial" w:cs="Arial"/>
          <w:sz w:val="20"/>
          <w:szCs w:val="20"/>
          <w:shd w:val="clear" w:color="auto" w:fill="FFFFFF"/>
        </w:rPr>
        <w:t>Usadel</w:t>
      </w:r>
      <w:proofErr w:type="spellEnd"/>
      <w:r w:rsidR="00C95EE9" w:rsidRPr="00C95EE9">
        <w:rPr>
          <w:rFonts w:ascii="Arial" w:hAnsi="Arial" w:cs="Arial"/>
          <w:sz w:val="20"/>
          <w:szCs w:val="20"/>
          <w:shd w:val="clear" w:color="auto" w:fill="FFFFFF"/>
        </w:rPr>
        <w:t xml:space="preserve"> B, Dai Z, </w:t>
      </w:r>
      <w:proofErr w:type="spellStart"/>
      <w:r w:rsidR="00C95EE9" w:rsidRPr="00C95EE9">
        <w:rPr>
          <w:rFonts w:ascii="Arial" w:hAnsi="Arial" w:cs="Arial"/>
          <w:sz w:val="20"/>
          <w:szCs w:val="20"/>
          <w:shd w:val="clear" w:color="auto" w:fill="FFFFFF"/>
        </w:rPr>
        <w:t>Génard</w:t>
      </w:r>
      <w:proofErr w:type="spellEnd"/>
      <w:r w:rsidR="00C95EE9" w:rsidRPr="00C95EE9">
        <w:rPr>
          <w:rFonts w:ascii="Arial" w:hAnsi="Arial" w:cs="Arial"/>
          <w:sz w:val="20"/>
          <w:szCs w:val="20"/>
          <w:shd w:val="clear" w:color="auto" w:fill="FFFFFF"/>
        </w:rPr>
        <w:t xml:space="preserve"> M, </w:t>
      </w:r>
      <w:proofErr w:type="spellStart"/>
      <w:r w:rsidR="00C95EE9" w:rsidRPr="00C95EE9">
        <w:rPr>
          <w:rFonts w:ascii="Arial" w:hAnsi="Arial" w:cs="Arial"/>
          <w:sz w:val="20"/>
          <w:szCs w:val="20"/>
          <w:shd w:val="clear" w:color="auto" w:fill="FFFFFF"/>
        </w:rPr>
        <w:t>Vercambre</w:t>
      </w:r>
      <w:proofErr w:type="spellEnd"/>
      <w:r w:rsidR="00C95EE9" w:rsidRPr="00C95EE9">
        <w:rPr>
          <w:rFonts w:ascii="Arial" w:hAnsi="Arial" w:cs="Arial"/>
          <w:sz w:val="20"/>
          <w:szCs w:val="20"/>
          <w:shd w:val="clear" w:color="auto" w:fill="FFFFFF"/>
        </w:rPr>
        <w:t xml:space="preserve"> G, </w:t>
      </w:r>
      <w:proofErr w:type="spellStart"/>
      <w:r w:rsidR="00C95EE9" w:rsidRPr="00C95EE9">
        <w:rPr>
          <w:rFonts w:ascii="Arial" w:hAnsi="Arial" w:cs="Arial"/>
          <w:sz w:val="20"/>
          <w:szCs w:val="20"/>
          <w:shd w:val="clear" w:color="auto" w:fill="FFFFFF"/>
        </w:rPr>
        <w:t>Colombié</w:t>
      </w:r>
      <w:proofErr w:type="spellEnd"/>
      <w:r w:rsidR="00C95EE9" w:rsidRPr="00C95EE9">
        <w:rPr>
          <w:rFonts w:ascii="Arial" w:hAnsi="Arial" w:cs="Arial"/>
          <w:sz w:val="20"/>
          <w:szCs w:val="20"/>
          <w:shd w:val="clear" w:color="auto" w:fill="FFFFFF"/>
        </w:rPr>
        <w:t xml:space="preserve"> S, </w:t>
      </w:r>
      <w:proofErr w:type="spellStart"/>
      <w:r w:rsidR="00C95EE9" w:rsidRPr="00C95EE9">
        <w:rPr>
          <w:rFonts w:ascii="Arial" w:hAnsi="Arial" w:cs="Arial"/>
          <w:sz w:val="20"/>
          <w:szCs w:val="20"/>
          <w:shd w:val="clear" w:color="auto" w:fill="FFFFFF"/>
        </w:rPr>
        <w:t>Moing</w:t>
      </w:r>
      <w:proofErr w:type="spellEnd"/>
      <w:r w:rsidR="00C95EE9" w:rsidRPr="00C95EE9">
        <w:rPr>
          <w:rFonts w:ascii="Arial" w:hAnsi="Arial" w:cs="Arial"/>
          <w:sz w:val="20"/>
          <w:szCs w:val="20"/>
          <w:shd w:val="clear" w:color="auto" w:fill="FFFFFF"/>
        </w:rPr>
        <w:t xml:space="preserve"> A, </w:t>
      </w:r>
      <w:proofErr w:type="spellStart"/>
      <w:r w:rsidR="00C95EE9" w:rsidRPr="00C95EE9">
        <w:rPr>
          <w:rFonts w:ascii="Arial" w:hAnsi="Arial" w:cs="Arial"/>
          <w:sz w:val="20"/>
          <w:szCs w:val="20"/>
          <w:shd w:val="clear" w:color="auto" w:fill="FFFFFF"/>
        </w:rPr>
        <w:t>Gibon</w:t>
      </w:r>
      <w:proofErr w:type="spellEnd"/>
      <w:r w:rsidR="00C95EE9" w:rsidRPr="00C95EE9">
        <w:rPr>
          <w:rFonts w:ascii="Arial" w:hAnsi="Arial" w:cs="Arial"/>
          <w:sz w:val="20"/>
          <w:szCs w:val="20"/>
          <w:shd w:val="clear" w:color="auto" w:fill="FFFFFF"/>
        </w:rPr>
        <w:t xml:space="preserve"> Y. Biomass composition explains fruit relative growth rate. Journal of Experimental Botany. </w:t>
      </w:r>
      <w:proofErr w:type="gramStart"/>
      <w:r w:rsidR="00C95EE9" w:rsidRPr="00C95EE9">
        <w:rPr>
          <w:rFonts w:ascii="Arial" w:hAnsi="Arial" w:cs="Arial"/>
          <w:sz w:val="20"/>
          <w:szCs w:val="20"/>
          <w:shd w:val="clear" w:color="auto" w:fill="FFFFFF"/>
        </w:rPr>
        <w:t>2020;71:5823</w:t>
      </w:r>
      <w:proofErr w:type="gramEnd"/>
      <w:r w:rsidR="00C95EE9" w:rsidRPr="00C95EE9">
        <w:rPr>
          <w:rFonts w:ascii="Arial" w:hAnsi="Arial" w:cs="Arial"/>
          <w:sz w:val="20"/>
          <w:szCs w:val="20"/>
          <w:shd w:val="clear" w:color="auto" w:fill="FFFFFF"/>
        </w:rPr>
        <w:t>–5836.</w:t>
      </w:r>
    </w:p>
    <w:p w14:paraId="14A8C8DA" w14:textId="77777777" w:rsidR="00C95EE9" w:rsidRPr="00C95EE9" w:rsidRDefault="00C95EE9" w:rsidP="00C95EE9">
      <w:pPr>
        <w:rPr>
          <w:rFonts w:ascii="Arial" w:hAnsi="Arial" w:cs="Arial"/>
          <w:sz w:val="20"/>
          <w:szCs w:val="20"/>
          <w:shd w:val="clear" w:color="auto" w:fill="FFFFFF"/>
        </w:rPr>
      </w:pPr>
    </w:p>
    <w:p w14:paraId="2A2E1343" w14:textId="51D7AA84" w:rsidR="00C95EE9" w:rsidRPr="00C95EE9" w:rsidRDefault="00504A03" w:rsidP="00C95EE9">
      <w:pPr>
        <w:rPr>
          <w:rFonts w:ascii="Arial" w:hAnsi="Arial" w:cs="Arial"/>
          <w:sz w:val="20"/>
          <w:szCs w:val="20"/>
          <w:shd w:val="clear" w:color="auto" w:fill="FFFFFF"/>
        </w:rPr>
      </w:pPr>
      <w:r>
        <w:rPr>
          <w:rFonts w:ascii="Arial" w:hAnsi="Arial" w:cs="Arial"/>
          <w:sz w:val="20"/>
          <w:szCs w:val="20"/>
          <w:shd w:val="clear" w:color="auto" w:fill="FFFFFF"/>
        </w:rPr>
        <w:lastRenderedPageBreak/>
        <w:t>21</w:t>
      </w:r>
      <w:r w:rsidR="00C95EE9" w:rsidRPr="00C95EE9">
        <w:rPr>
          <w:rFonts w:ascii="Arial" w:hAnsi="Arial" w:cs="Arial"/>
          <w:sz w:val="20"/>
          <w:szCs w:val="20"/>
          <w:shd w:val="clear" w:color="auto" w:fill="FFFFFF"/>
        </w:rPr>
        <w:t xml:space="preserve">. Mitchell M, Pritchard J, Okada S, Zhang J, Venables I, </w:t>
      </w:r>
      <w:proofErr w:type="spellStart"/>
      <w:r w:rsidR="00C95EE9" w:rsidRPr="00C95EE9">
        <w:rPr>
          <w:rFonts w:ascii="Arial" w:hAnsi="Arial" w:cs="Arial"/>
          <w:sz w:val="20"/>
          <w:szCs w:val="20"/>
          <w:shd w:val="clear" w:color="auto" w:fill="FFFFFF"/>
        </w:rPr>
        <w:t>Vanhercke</w:t>
      </w:r>
      <w:proofErr w:type="spellEnd"/>
      <w:r w:rsidR="00C95EE9" w:rsidRPr="00C95EE9">
        <w:rPr>
          <w:rFonts w:ascii="Arial" w:hAnsi="Arial" w:cs="Arial"/>
          <w:sz w:val="20"/>
          <w:szCs w:val="20"/>
          <w:shd w:val="clear" w:color="auto" w:fill="FFFFFF"/>
        </w:rPr>
        <w:t xml:space="preserve"> T, </w:t>
      </w:r>
      <w:proofErr w:type="spellStart"/>
      <w:r w:rsidR="00C95EE9" w:rsidRPr="00C95EE9">
        <w:rPr>
          <w:rFonts w:ascii="Arial" w:hAnsi="Arial" w:cs="Arial"/>
          <w:sz w:val="20"/>
          <w:szCs w:val="20"/>
          <w:shd w:val="clear" w:color="auto" w:fill="FFFFFF"/>
        </w:rPr>
        <w:t>Ral</w:t>
      </w:r>
      <w:proofErr w:type="spellEnd"/>
      <w:r w:rsidR="00C95EE9" w:rsidRPr="00C95EE9">
        <w:rPr>
          <w:rFonts w:ascii="Arial" w:hAnsi="Arial" w:cs="Arial"/>
          <w:sz w:val="20"/>
          <w:szCs w:val="20"/>
          <w:shd w:val="clear" w:color="auto" w:fill="FFFFFF"/>
        </w:rPr>
        <w:t xml:space="preserve"> J. Increasing growth and yield by altering carbon metabolism in a transgenic leaf oil crop. Plant Biotechnology Journal. </w:t>
      </w:r>
      <w:proofErr w:type="gramStart"/>
      <w:r w:rsidR="00C95EE9" w:rsidRPr="00C95EE9">
        <w:rPr>
          <w:rFonts w:ascii="Arial" w:hAnsi="Arial" w:cs="Arial"/>
          <w:sz w:val="20"/>
          <w:szCs w:val="20"/>
          <w:shd w:val="clear" w:color="auto" w:fill="FFFFFF"/>
        </w:rPr>
        <w:t>2020;18:2042</w:t>
      </w:r>
      <w:proofErr w:type="gramEnd"/>
      <w:r w:rsidR="00C95EE9" w:rsidRPr="00C95EE9">
        <w:rPr>
          <w:rFonts w:ascii="Arial" w:hAnsi="Arial" w:cs="Arial"/>
          <w:sz w:val="20"/>
          <w:szCs w:val="20"/>
          <w:shd w:val="clear" w:color="auto" w:fill="FFFFFF"/>
        </w:rPr>
        <w:t>–2052.</w:t>
      </w:r>
    </w:p>
    <w:p w14:paraId="44A5B06E" w14:textId="77777777" w:rsidR="00C95EE9" w:rsidRPr="00C95EE9" w:rsidRDefault="00C95EE9" w:rsidP="00C95EE9">
      <w:pPr>
        <w:rPr>
          <w:rFonts w:ascii="Arial" w:hAnsi="Arial" w:cs="Arial"/>
          <w:sz w:val="20"/>
          <w:szCs w:val="20"/>
          <w:shd w:val="clear" w:color="auto" w:fill="FFFFFF"/>
        </w:rPr>
      </w:pPr>
    </w:p>
    <w:p w14:paraId="236E438E" w14:textId="3727E085" w:rsidR="00C95EE9" w:rsidRPr="00C95EE9" w:rsidRDefault="00504A03" w:rsidP="00C95EE9">
      <w:pPr>
        <w:rPr>
          <w:rFonts w:ascii="Arial" w:hAnsi="Arial" w:cs="Arial"/>
          <w:sz w:val="20"/>
          <w:szCs w:val="20"/>
          <w:shd w:val="clear" w:color="auto" w:fill="FFFFFF"/>
        </w:rPr>
      </w:pPr>
      <w:r>
        <w:rPr>
          <w:rFonts w:ascii="Arial" w:hAnsi="Arial" w:cs="Arial"/>
          <w:sz w:val="20"/>
          <w:szCs w:val="20"/>
          <w:shd w:val="clear" w:color="auto" w:fill="FFFFFF"/>
        </w:rPr>
        <w:t>22</w:t>
      </w:r>
      <w:r w:rsidR="00C95EE9" w:rsidRPr="00C95EE9">
        <w:rPr>
          <w:rFonts w:ascii="Arial" w:hAnsi="Arial" w:cs="Arial"/>
          <w:sz w:val="20"/>
          <w:szCs w:val="20"/>
          <w:shd w:val="clear" w:color="auto" w:fill="FFFFFF"/>
        </w:rPr>
        <w:t xml:space="preserve">. Batool T, Ali S, </w:t>
      </w:r>
      <w:proofErr w:type="spellStart"/>
      <w:r w:rsidR="00C95EE9" w:rsidRPr="00C95EE9">
        <w:rPr>
          <w:rFonts w:ascii="Arial" w:hAnsi="Arial" w:cs="Arial"/>
          <w:sz w:val="20"/>
          <w:szCs w:val="20"/>
          <w:shd w:val="clear" w:color="auto" w:fill="FFFFFF"/>
        </w:rPr>
        <w:t>Seleiman</w:t>
      </w:r>
      <w:proofErr w:type="spellEnd"/>
      <w:r w:rsidR="00C95EE9" w:rsidRPr="00C95EE9">
        <w:rPr>
          <w:rFonts w:ascii="Arial" w:hAnsi="Arial" w:cs="Arial"/>
          <w:sz w:val="20"/>
          <w:szCs w:val="20"/>
          <w:shd w:val="clear" w:color="auto" w:fill="FFFFFF"/>
        </w:rPr>
        <w:t xml:space="preserve"> MF, Naveed NH, Ali A, Ahmed K, Abid M, Rizwan M, Shahid MR, Alotaibi M, Al-</w:t>
      </w:r>
      <w:proofErr w:type="spellStart"/>
      <w:r w:rsidR="00C95EE9" w:rsidRPr="00C95EE9">
        <w:rPr>
          <w:rFonts w:ascii="Arial" w:hAnsi="Arial" w:cs="Arial"/>
          <w:sz w:val="20"/>
          <w:szCs w:val="20"/>
          <w:shd w:val="clear" w:color="auto" w:fill="FFFFFF"/>
        </w:rPr>
        <w:t>Ashkar</w:t>
      </w:r>
      <w:proofErr w:type="spellEnd"/>
      <w:r w:rsidR="00C95EE9" w:rsidRPr="00C95EE9">
        <w:rPr>
          <w:rFonts w:ascii="Arial" w:hAnsi="Arial" w:cs="Arial"/>
          <w:sz w:val="20"/>
          <w:szCs w:val="20"/>
          <w:shd w:val="clear" w:color="auto" w:fill="FFFFFF"/>
        </w:rPr>
        <w:t xml:space="preserve"> I, </w:t>
      </w:r>
      <w:proofErr w:type="spellStart"/>
      <w:r w:rsidR="00C95EE9" w:rsidRPr="00C95EE9">
        <w:rPr>
          <w:rFonts w:ascii="Arial" w:hAnsi="Arial" w:cs="Arial"/>
          <w:sz w:val="20"/>
          <w:szCs w:val="20"/>
          <w:shd w:val="clear" w:color="auto" w:fill="FFFFFF"/>
        </w:rPr>
        <w:t>Mubushar</w:t>
      </w:r>
      <w:proofErr w:type="spellEnd"/>
      <w:r w:rsidR="00C95EE9" w:rsidRPr="00C95EE9">
        <w:rPr>
          <w:rFonts w:ascii="Arial" w:hAnsi="Arial" w:cs="Arial"/>
          <w:sz w:val="20"/>
          <w:szCs w:val="20"/>
          <w:shd w:val="clear" w:color="auto" w:fill="FFFFFF"/>
        </w:rPr>
        <w:t xml:space="preserve"> M. Plant growth-promoting rhizobacteria alleviates drought stress in potato through suppressing oxidative stress and enhancing antioxidant enzymes activities. Scientific Reports. </w:t>
      </w:r>
      <w:proofErr w:type="gramStart"/>
      <w:r w:rsidR="00C95EE9" w:rsidRPr="00C95EE9">
        <w:rPr>
          <w:rFonts w:ascii="Arial" w:hAnsi="Arial" w:cs="Arial"/>
          <w:sz w:val="20"/>
          <w:szCs w:val="20"/>
          <w:shd w:val="clear" w:color="auto" w:fill="FFFFFF"/>
        </w:rPr>
        <w:t>2020;10:16975</w:t>
      </w:r>
      <w:proofErr w:type="gramEnd"/>
      <w:r w:rsidR="00C95EE9" w:rsidRPr="00C95EE9">
        <w:rPr>
          <w:rFonts w:ascii="Arial" w:hAnsi="Arial" w:cs="Arial"/>
          <w:sz w:val="20"/>
          <w:szCs w:val="20"/>
          <w:shd w:val="clear" w:color="auto" w:fill="FFFFFF"/>
        </w:rPr>
        <w:t>.</w:t>
      </w:r>
    </w:p>
    <w:p w14:paraId="58225F06" w14:textId="77777777" w:rsidR="00C95EE9" w:rsidRPr="00C95EE9" w:rsidRDefault="00C95EE9" w:rsidP="00C95EE9">
      <w:pPr>
        <w:rPr>
          <w:rFonts w:ascii="Arial" w:hAnsi="Arial" w:cs="Arial"/>
          <w:sz w:val="20"/>
          <w:szCs w:val="20"/>
          <w:shd w:val="clear" w:color="auto" w:fill="FFFFFF"/>
        </w:rPr>
      </w:pPr>
    </w:p>
    <w:p w14:paraId="39A44B1D" w14:textId="31ADDFF7" w:rsidR="00C95EE9" w:rsidRPr="00C95EE9" w:rsidRDefault="00A9023E" w:rsidP="00C95EE9">
      <w:pPr>
        <w:rPr>
          <w:rFonts w:ascii="Arial" w:hAnsi="Arial" w:cs="Arial"/>
          <w:sz w:val="20"/>
          <w:szCs w:val="20"/>
          <w:shd w:val="clear" w:color="auto" w:fill="FFFFFF"/>
        </w:rPr>
      </w:pPr>
      <w:r>
        <w:rPr>
          <w:rFonts w:ascii="Arial" w:hAnsi="Arial" w:cs="Arial"/>
          <w:sz w:val="20"/>
          <w:szCs w:val="20"/>
          <w:shd w:val="clear" w:color="auto" w:fill="FFFFFF"/>
        </w:rPr>
        <w:t>2</w:t>
      </w:r>
      <w:r w:rsidR="00504A03">
        <w:rPr>
          <w:rFonts w:ascii="Arial" w:hAnsi="Arial" w:cs="Arial"/>
          <w:sz w:val="20"/>
          <w:szCs w:val="20"/>
          <w:shd w:val="clear" w:color="auto" w:fill="FFFFFF"/>
        </w:rPr>
        <w:t>3</w:t>
      </w:r>
      <w:r w:rsidR="00C95EE9" w:rsidRPr="00C95EE9">
        <w:rPr>
          <w:rFonts w:ascii="Arial" w:hAnsi="Arial" w:cs="Arial"/>
          <w:sz w:val="20"/>
          <w:szCs w:val="20"/>
          <w:shd w:val="clear" w:color="auto" w:fill="FFFFFF"/>
        </w:rPr>
        <w:t xml:space="preserve">. Liu W, Tang J, Zhang D, Jiang X, Lu B, Yang W. Improvement of straw decomposition and rice growth through co-application of straw-decomposing inoculants and ammonium nitrogen fertilizer. BMC Plant Biology. </w:t>
      </w:r>
      <w:proofErr w:type="gramStart"/>
      <w:r w:rsidR="00C95EE9" w:rsidRPr="00C95EE9">
        <w:rPr>
          <w:rFonts w:ascii="Arial" w:hAnsi="Arial" w:cs="Arial"/>
          <w:sz w:val="20"/>
          <w:szCs w:val="20"/>
          <w:shd w:val="clear" w:color="auto" w:fill="FFFFFF"/>
        </w:rPr>
        <w:t>2023;23:300</w:t>
      </w:r>
      <w:proofErr w:type="gramEnd"/>
      <w:r w:rsidR="00C95EE9" w:rsidRPr="00C95EE9">
        <w:rPr>
          <w:rFonts w:ascii="Arial" w:hAnsi="Arial" w:cs="Arial"/>
          <w:sz w:val="20"/>
          <w:szCs w:val="20"/>
          <w:shd w:val="clear" w:color="auto" w:fill="FFFFFF"/>
        </w:rPr>
        <w:t>.</w:t>
      </w:r>
    </w:p>
    <w:p w14:paraId="6EE25A85" w14:textId="77777777" w:rsidR="00C95EE9" w:rsidRPr="00C95EE9" w:rsidRDefault="00C95EE9" w:rsidP="00C95EE9">
      <w:pPr>
        <w:rPr>
          <w:rFonts w:ascii="Arial" w:hAnsi="Arial" w:cs="Arial"/>
          <w:sz w:val="20"/>
          <w:szCs w:val="20"/>
          <w:shd w:val="clear" w:color="auto" w:fill="FFFFFF"/>
        </w:rPr>
      </w:pPr>
    </w:p>
    <w:p w14:paraId="7CB788FD" w14:textId="1FF37838"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2</w:t>
      </w:r>
      <w:r w:rsidR="00504A03">
        <w:rPr>
          <w:rFonts w:ascii="Arial" w:hAnsi="Arial" w:cs="Arial"/>
          <w:sz w:val="20"/>
          <w:szCs w:val="20"/>
          <w:shd w:val="clear" w:color="auto" w:fill="FFFFFF"/>
        </w:rPr>
        <w:t>4</w:t>
      </w:r>
      <w:r w:rsidRPr="00C95EE9">
        <w:rPr>
          <w:rFonts w:ascii="Arial" w:hAnsi="Arial" w:cs="Arial"/>
          <w:sz w:val="20"/>
          <w:szCs w:val="20"/>
          <w:shd w:val="clear" w:color="auto" w:fill="FFFFFF"/>
        </w:rPr>
        <w:t xml:space="preserve">. Xu N, Wei X, Zhang J, Sun M, Zhang J, Zhao Z, Yang X. Leaf nitrogen allocation trade-offs promote efficient utilization of nitrogen forms in plants. Biology. </w:t>
      </w:r>
      <w:proofErr w:type="gramStart"/>
      <w:r w:rsidRPr="00C95EE9">
        <w:rPr>
          <w:rFonts w:ascii="Arial" w:hAnsi="Arial" w:cs="Arial"/>
          <w:sz w:val="20"/>
          <w:szCs w:val="20"/>
          <w:shd w:val="clear" w:color="auto" w:fill="FFFFFF"/>
        </w:rPr>
        <w:t>2025;14:1260</w:t>
      </w:r>
      <w:proofErr w:type="gramEnd"/>
      <w:r w:rsidRPr="00C95EE9">
        <w:rPr>
          <w:rFonts w:ascii="Arial" w:hAnsi="Arial" w:cs="Arial"/>
          <w:sz w:val="20"/>
          <w:szCs w:val="20"/>
          <w:shd w:val="clear" w:color="auto" w:fill="FFFFFF"/>
        </w:rPr>
        <w:t>.</w:t>
      </w:r>
    </w:p>
    <w:p w14:paraId="280F48AC" w14:textId="77777777" w:rsidR="00C95EE9" w:rsidRPr="00C95EE9" w:rsidRDefault="00C95EE9" w:rsidP="00C95EE9">
      <w:pPr>
        <w:rPr>
          <w:rFonts w:ascii="Arial" w:hAnsi="Arial" w:cs="Arial"/>
          <w:sz w:val="20"/>
          <w:szCs w:val="20"/>
          <w:shd w:val="clear" w:color="auto" w:fill="FFFFFF"/>
        </w:rPr>
      </w:pPr>
    </w:p>
    <w:p w14:paraId="6D63C493" w14:textId="71CFD3A6"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2</w:t>
      </w:r>
      <w:r w:rsidR="00504A03">
        <w:rPr>
          <w:rFonts w:ascii="Arial" w:hAnsi="Arial" w:cs="Arial"/>
          <w:sz w:val="20"/>
          <w:szCs w:val="20"/>
          <w:shd w:val="clear" w:color="auto" w:fill="FFFFFF"/>
        </w:rPr>
        <w:t>5</w:t>
      </w:r>
      <w:r w:rsidRPr="00C95EE9">
        <w:rPr>
          <w:rFonts w:ascii="Arial" w:hAnsi="Arial" w:cs="Arial"/>
          <w:sz w:val="20"/>
          <w:szCs w:val="20"/>
          <w:shd w:val="clear" w:color="auto" w:fill="FFFFFF"/>
        </w:rPr>
        <w:t xml:space="preserve">. Yang Z, Yan H, Liu H, Yang L, Mi G, Wang P. Enhancing crop nitrogen efficiency through mixed nitrate and ammonium supply. Biology. </w:t>
      </w:r>
      <w:proofErr w:type="gramStart"/>
      <w:r w:rsidRPr="00C95EE9">
        <w:rPr>
          <w:rFonts w:ascii="Arial" w:hAnsi="Arial" w:cs="Arial"/>
          <w:sz w:val="20"/>
          <w:szCs w:val="20"/>
          <w:shd w:val="clear" w:color="auto" w:fill="FFFFFF"/>
        </w:rPr>
        <w:t>2025;14:546</w:t>
      </w:r>
      <w:proofErr w:type="gramEnd"/>
      <w:r w:rsidRPr="00C95EE9">
        <w:rPr>
          <w:rFonts w:ascii="Arial" w:hAnsi="Arial" w:cs="Arial"/>
          <w:sz w:val="20"/>
          <w:szCs w:val="20"/>
          <w:shd w:val="clear" w:color="auto" w:fill="FFFFFF"/>
        </w:rPr>
        <w:t>.</w:t>
      </w:r>
    </w:p>
    <w:p w14:paraId="2779304B" w14:textId="77777777" w:rsidR="00C95EE9" w:rsidRPr="00C95EE9" w:rsidRDefault="00C95EE9" w:rsidP="00C95EE9">
      <w:pPr>
        <w:rPr>
          <w:rFonts w:ascii="Arial" w:hAnsi="Arial" w:cs="Arial"/>
          <w:sz w:val="20"/>
          <w:szCs w:val="20"/>
          <w:shd w:val="clear" w:color="auto" w:fill="FFFFFF"/>
        </w:rPr>
      </w:pPr>
    </w:p>
    <w:p w14:paraId="6F3E6E82" w14:textId="0E15E7DF"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2</w:t>
      </w:r>
      <w:r w:rsidR="00504A03">
        <w:rPr>
          <w:rFonts w:ascii="Arial" w:hAnsi="Arial" w:cs="Arial"/>
          <w:sz w:val="20"/>
          <w:szCs w:val="20"/>
          <w:shd w:val="clear" w:color="auto" w:fill="FFFFFF"/>
        </w:rPr>
        <w:t>6</w:t>
      </w:r>
      <w:r w:rsidRPr="00C95EE9">
        <w:rPr>
          <w:rFonts w:ascii="Arial" w:hAnsi="Arial" w:cs="Arial"/>
          <w:sz w:val="20"/>
          <w:szCs w:val="20"/>
          <w:shd w:val="clear" w:color="auto" w:fill="FFFFFF"/>
        </w:rPr>
        <w:t xml:space="preserve">. </w:t>
      </w:r>
      <w:proofErr w:type="spellStart"/>
      <w:r w:rsidR="007D02B9" w:rsidRPr="007D02B9">
        <w:rPr>
          <w:rFonts w:ascii="Arial" w:hAnsi="Arial" w:cs="Arial"/>
          <w:sz w:val="20"/>
          <w:szCs w:val="20"/>
          <w:shd w:val="clear" w:color="auto" w:fill="FFFFFF"/>
        </w:rPr>
        <w:t>Roosta</w:t>
      </w:r>
      <w:proofErr w:type="spellEnd"/>
      <w:r w:rsidR="007D02B9" w:rsidRPr="007D02B9">
        <w:rPr>
          <w:rFonts w:ascii="Arial" w:hAnsi="Arial" w:cs="Arial"/>
          <w:sz w:val="20"/>
          <w:szCs w:val="20"/>
          <w:shd w:val="clear" w:color="auto" w:fill="FFFFFF"/>
        </w:rPr>
        <w:t xml:space="preserve"> HR, </w:t>
      </w:r>
      <w:proofErr w:type="spellStart"/>
      <w:r w:rsidR="007D02B9" w:rsidRPr="007D02B9">
        <w:rPr>
          <w:rFonts w:ascii="Arial" w:hAnsi="Arial" w:cs="Arial"/>
          <w:sz w:val="20"/>
          <w:szCs w:val="20"/>
          <w:shd w:val="clear" w:color="auto" w:fill="FFFFFF"/>
        </w:rPr>
        <w:t>Mohsenian</w:t>
      </w:r>
      <w:proofErr w:type="spellEnd"/>
      <w:r w:rsidR="007D02B9" w:rsidRPr="007D02B9">
        <w:rPr>
          <w:rFonts w:ascii="Arial" w:hAnsi="Arial" w:cs="Arial"/>
          <w:sz w:val="20"/>
          <w:szCs w:val="20"/>
          <w:shd w:val="clear" w:color="auto" w:fill="FFFFFF"/>
        </w:rPr>
        <w:t xml:space="preserve"> Y, </w:t>
      </w:r>
      <w:proofErr w:type="spellStart"/>
      <w:r w:rsidR="007D02B9" w:rsidRPr="007D02B9">
        <w:rPr>
          <w:rFonts w:ascii="Arial" w:hAnsi="Arial" w:cs="Arial"/>
          <w:sz w:val="20"/>
          <w:szCs w:val="20"/>
          <w:shd w:val="clear" w:color="auto" w:fill="FFFFFF"/>
        </w:rPr>
        <w:t>Khoshgoftarmanesh</w:t>
      </w:r>
      <w:proofErr w:type="spellEnd"/>
      <w:r w:rsidR="007D02B9" w:rsidRPr="007D02B9">
        <w:rPr>
          <w:rFonts w:ascii="Arial" w:hAnsi="Arial" w:cs="Arial"/>
          <w:sz w:val="20"/>
          <w:szCs w:val="20"/>
          <w:shd w:val="clear" w:color="auto" w:fill="FFFFFF"/>
        </w:rPr>
        <w:t xml:space="preserve"> AH. Plant physiological responses to micronutrient fertilization. Journal of Plant Nutrition. </w:t>
      </w:r>
      <w:proofErr w:type="gramStart"/>
      <w:r w:rsidR="007D02B9" w:rsidRPr="007D02B9">
        <w:rPr>
          <w:rFonts w:ascii="Arial" w:hAnsi="Arial" w:cs="Arial"/>
          <w:sz w:val="20"/>
          <w:szCs w:val="20"/>
          <w:shd w:val="clear" w:color="auto" w:fill="FFFFFF"/>
        </w:rPr>
        <w:t>2018;41:1183</w:t>
      </w:r>
      <w:proofErr w:type="gramEnd"/>
      <w:r w:rsidR="007D02B9" w:rsidRPr="007D02B9">
        <w:rPr>
          <w:rFonts w:ascii="Arial" w:hAnsi="Arial" w:cs="Arial"/>
          <w:sz w:val="20"/>
          <w:szCs w:val="20"/>
          <w:shd w:val="clear" w:color="auto" w:fill="FFFFFF"/>
        </w:rPr>
        <w:t>–1199.</w:t>
      </w:r>
    </w:p>
    <w:p w14:paraId="49225315" w14:textId="77777777" w:rsidR="00C95EE9" w:rsidRPr="00C95EE9" w:rsidRDefault="00C95EE9" w:rsidP="00C95EE9">
      <w:pPr>
        <w:rPr>
          <w:rFonts w:ascii="Arial" w:hAnsi="Arial" w:cs="Arial"/>
          <w:sz w:val="20"/>
          <w:szCs w:val="20"/>
          <w:shd w:val="clear" w:color="auto" w:fill="FFFFFF"/>
        </w:rPr>
      </w:pPr>
    </w:p>
    <w:p w14:paraId="44DA2F29" w14:textId="036D2D94"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2</w:t>
      </w:r>
      <w:r w:rsidR="00504A03">
        <w:rPr>
          <w:rFonts w:ascii="Arial" w:hAnsi="Arial" w:cs="Arial"/>
          <w:sz w:val="20"/>
          <w:szCs w:val="20"/>
          <w:shd w:val="clear" w:color="auto" w:fill="FFFFFF"/>
        </w:rPr>
        <w:t>7</w:t>
      </w:r>
      <w:r w:rsidRPr="00C95EE9">
        <w:rPr>
          <w:rFonts w:ascii="Arial" w:hAnsi="Arial" w:cs="Arial"/>
          <w:sz w:val="20"/>
          <w:szCs w:val="20"/>
          <w:shd w:val="clear" w:color="auto" w:fill="FFFFFF"/>
        </w:rPr>
        <w:t xml:space="preserve">. </w:t>
      </w:r>
      <w:proofErr w:type="spellStart"/>
      <w:r w:rsidRPr="00C95EE9">
        <w:rPr>
          <w:rFonts w:ascii="Arial" w:hAnsi="Arial" w:cs="Arial"/>
          <w:sz w:val="20"/>
          <w:szCs w:val="20"/>
          <w:shd w:val="clear" w:color="auto" w:fill="FFFFFF"/>
        </w:rPr>
        <w:t>Capó-Bauçà</w:t>
      </w:r>
      <w:proofErr w:type="spellEnd"/>
      <w:r w:rsidRPr="00C95EE9">
        <w:rPr>
          <w:rFonts w:ascii="Arial" w:hAnsi="Arial" w:cs="Arial"/>
          <w:sz w:val="20"/>
          <w:szCs w:val="20"/>
          <w:shd w:val="clear" w:color="auto" w:fill="FFFFFF"/>
        </w:rPr>
        <w:t xml:space="preserve"> S, Font-</w:t>
      </w:r>
      <w:proofErr w:type="spellStart"/>
      <w:r w:rsidRPr="00C95EE9">
        <w:rPr>
          <w:rFonts w:ascii="Arial" w:hAnsi="Arial" w:cs="Arial"/>
          <w:sz w:val="20"/>
          <w:szCs w:val="20"/>
          <w:shd w:val="clear" w:color="auto" w:fill="FFFFFF"/>
        </w:rPr>
        <w:t>Carrascosa</w:t>
      </w:r>
      <w:proofErr w:type="spellEnd"/>
      <w:r w:rsidRPr="00C95EE9">
        <w:rPr>
          <w:rFonts w:ascii="Arial" w:hAnsi="Arial" w:cs="Arial"/>
          <w:sz w:val="20"/>
          <w:szCs w:val="20"/>
          <w:shd w:val="clear" w:color="auto" w:fill="FFFFFF"/>
        </w:rPr>
        <w:t xml:space="preserve"> M, </w:t>
      </w:r>
      <w:proofErr w:type="spellStart"/>
      <w:r w:rsidRPr="00C95EE9">
        <w:rPr>
          <w:rFonts w:ascii="Arial" w:hAnsi="Arial" w:cs="Arial"/>
          <w:sz w:val="20"/>
          <w:szCs w:val="20"/>
          <w:shd w:val="clear" w:color="auto" w:fill="FFFFFF"/>
        </w:rPr>
        <w:t>Ribas-Carbó</w:t>
      </w:r>
      <w:proofErr w:type="spellEnd"/>
      <w:r w:rsidRPr="00C95EE9">
        <w:rPr>
          <w:rFonts w:ascii="Arial" w:hAnsi="Arial" w:cs="Arial"/>
          <w:sz w:val="20"/>
          <w:szCs w:val="20"/>
          <w:shd w:val="clear" w:color="auto" w:fill="FFFFFF"/>
        </w:rPr>
        <w:t xml:space="preserve"> M, </w:t>
      </w:r>
      <w:proofErr w:type="spellStart"/>
      <w:r w:rsidRPr="00C95EE9">
        <w:rPr>
          <w:rFonts w:ascii="Arial" w:hAnsi="Arial" w:cs="Arial"/>
          <w:sz w:val="20"/>
          <w:szCs w:val="20"/>
          <w:shd w:val="clear" w:color="auto" w:fill="FFFFFF"/>
        </w:rPr>
        <w:t>Pavlovič</w:t>
      </w:r>
      <w:proofErr w:type="spellEnd"/>
      <w:r w:rsidRPr="00C95EE9">
        <w:rPr>
          <w:rFonts w:ascii="Arial" w:hAnsi="Arial" w:cs="Arial"/>
          <w:sz w:val="20"/>
          <w:szCs w:val="20"/>
          <w:shd w:val="clear" w:color="auto" w:fill="FFFFFF"/>
        </w:rPr>
        <w:t xml:space="preserve"> A, </w:t>
      </w:r>
      <w:proofErr w:type="spellStart"/>
      <w:r w:rsidRPr="00C95EE9">
        <w:rPr>
          <w:rFonts w:ascii="Arial" w:hAnsi="Arial" w:cs="Arial"/>
          <w:sz w:val="20"/>
          <w:szCs w:val="20"/>
          <w:shd w:val="clear" w:color="auto" w:fill="FFFFFF"/>
        </w:rPr>
        <w:t>Galmés</w:t>
      </w:r>
      <w:proofErr w:type="spellEnd"/>
      <w:r w:rsidRPr="00C95EE9">
        <w:rPr>
          <w:rFonts w:ascii="Arial" w:hAnsi="Arial" w:cs="Arial"/>
          <w:sz w:val="20"/>
          <w:szCs w:val="20"/>
          <w:shd w:val="clear" w:color="auto" w:fill="FFFFFF"/>
        </w:rPr>
        <w:t xml:space="preserve"> J. Biochemical and mesophyll diffusion limitations to photosynthesis in plants. Annals of Botany. </w:t>
      </w:r>
      <w:proofErr w:type="gramStart"/>
      <w:r w:rsidRPr="00C95EE9">
        <w:rPr>
          <w:rFonts w:ascii="Arial" w:hAnsi="Arial" w:cs="Arial"/>
          <w:sz w:val="20"/>
          <w:szCs w:val="20"/>
          <w:shd w:val="clear" w:color="auto" w:fill="FFFFFF"/>
        </w:rPr>
        <w:t>2020;126:243</w:t>
      </w:r>
      <w:proofErr w:type="gramEnd"/>
      <w:r w:rsidRPr="00C95EE9">
        <w:rPr>
          <w:rFonts w:ascii="Arial" w:hAnsi="Arial" w:cs="Arial"/>
          <w:sz w:val="20"/>
          <w:szCs w:val="20"/>
          <w:shd w:val="clear" w:color="auto" w:fill="FFFFFF"/>
        </w:rPr>
        <w:t>–256.</w:t>
      </w:r>
    </w:p>
    <w:p w14:paraId="01500C45" w14:textId="77777777" w:rsidR="00C95EE9" w:rsidRPr="00C95EE9" w:rsidRDefault="00C95EE9" w:rsidP="00C95EE9">
      <w:pPr>
        <w:rPr>
          <w:rFonts w:ascii="Arial" w:hAnsi="Arial" w:cs="Arial"/>
          <w:sz w:val="20"/>
          <w:szCs w:val="20"/>
          <w:shd w:val="clear" w:color="auto" w:fill="FFFFFF"/>
        </w:rPr>
      </w:pPr>
    </w:p>
    <w:p w14:paraId="76F35468" w14:textId="006CE178"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2</w:t>
      </w:r>
      <w:r w:rsidR="00504A03">
        <w:rPr>
          <w:rFonts w:ascii="Arial" w:hAnsi="Arial" w:cs="Arial"/>
          <w:sz w:val="20"/>
          <w:szCs w:val="20"/>
          <w:shd w:val="clear" w:color="auto" w:fill="FFFFFF"/>
        </w:rPr>
        <w:t>8</w:t>
      </w:r>
      <w:r w:rsidRPr="00C95EE9">
        <w:rPr>
          <w:rFonts w:ascii="Arial" w:hAnsi="Arial" w:cs="Arial"/>
          <w:sz w:val="20"/>
          <w:szCs w:val="20"/>
          <w:shd w:val="clear" w:color="auto" w:fill="FFFFFF"/>
        </w:rPr>
        <w:t xml:space="preserve">. </w:t>
      </w:r>
      <w:proofErr w:type="spellStart"/>
      <w:r w:rsidRPr="00C95EE9">
        <w:rPr>
          <w:rFonts w:ascii="Arial" w:hAnsi="Arial" w:cs="Arial"/>
          <w:sz w:val="20"/>
          <w:szCs w:val="20"/>
          <w:shd w:val="clear" w:color="auto" w:fill="FFFFFF"/>
        </w:rPr>
        <w:t>Chivenge</w:t>
      </w:r>
      <w:proofErr w:type="spellEnd"/>
      <w:r w:rsidRPr="00C95EE9">
        <w:rPr>
          <w:rFonts w:ascii="Arial" w:hAnsi="Arial" w:cs="Arial"/>
          <w:sz w:val="20"/>
          <w:szCs w:val="20"/>
          <w:shd w:val="clear" w:color="auto" w:fill="FFFFFF"/>
        </w:rPr>
        <w:t xml:space="preserve"> P, Sharma S, </w:t>
      </w:r>
      <w:proofErr w:type="spellStart"/>
      <w:r w:rsidRPr="00C95EE9">
        <w:rPr>
          <w:rFonts w:ascii="Arial" w:hAnsi="Arial" w:cs="Arial"/>
          <w:sz w:val="20"/>
          <w:szCs w:val="20"/>
          <w:shd w:val="clear" w:color="auto" w:fill="FFFFFF"/>
        </w:rPr>
        <w:t>Bunquin</w:t>
      </w:r>
      <w:proofErr w:type="spellEnd"/>
      <w:r w:rsidRPr="00C95EE9">
        <w:rPr>
          <w:rFonts w:ascii="Arial" w:hAnsi="Arial" w:cs="Arial"/>
          <w:sz w:val="20"/>
          <w:szCs w:val="20"/>
          <w:shd w:val="clear" w:color="auto" w:fill="FFFFFF"/>
        </w:rPr>
        <w:t xml:space="preserve"> M, </w:t>
      </w:r>
      <w:proofErr w:type="spellStart"/>
      <w:r w:rsidRPr="00C95EE9">
        <w:rPr>
          <w:rFonts w:ascii="Arial" w:hAnsi="Arial" w:cs="Arial"/>
          <w:sz w:val="20"/>
          <w:szCs w:val="20"/>
          <w:shd w:val="clear" w:color="auto" w:fill="FFFFFF"/>
        </w:rPr>
        <w:t>Hellin</w:t>
      </w:r>
      <w:proofErr w:type="spellEnd"/>
      <w:r w:rsidRPr="00C95EE9">
        <w:rPr>
          <w:rFonts w:ascii="Arial" w:hAnsi="Arial" w:cs="Arial"/>
          <w:sz w:val="20"/>
          <w:szCs w:val="20"/>
          <w:shd w:val="clear" w:color="auto" w:fill="FFFFFF"/>
        </w:rPr>
        <w:t xml:space="preserve"> J. Improving nitrogen use efficiency – A key for sustainable rice production systems. Frontiers in Sustainable Food Systems. </w:t>
      </w:r>
      <w:proofErr w:type="gramStart"/>
      <w:r w:rsidRPr="00C95EE9">
        <w:rPr>
          <w:rFonts w:ascii="Arial" w:hAnsi="Arial" w:cs="Arial"/>
          <w:sz w:val="20"/>
          <w:szCs w:val="20"/>
          <w:shd w:val="clear" w:color="auto" w:fill="FFFFFF"/>
        </w:rPr>
        <w:t>2021;5:737412</w:t>
      </w:r>
      <w:proofErr w:type="gramEnd"/>
      <w:r w:rsidRPr="00C95EE9">
        <w:rPr>
          <w:rFonts w:ascii="Arial" w:hAnsi="Arial" w:cs="Arial"/>
          <w:sz w:val="20"/>
          <w:szCs w:val="20"/>
          <w:shd w:val="clear" w:color="auto" w:fill="FFFFFF"/>
        </w:rPr>
        <w:t>.</w:t>
      </w:r>
    </w:p>
    <w:p w14:paraId="6FFA1377" w14:textId="77777777" w:rsidR="00C95EE9" w:rsidRPr="00C95EE9" w:rsidRDefault="00C95EE9" w:rsidP="00C95EE9">
      <w:pPr>
        <w:rPr>
          <w:rFonts w:ascii="Arial" w:hAnsi="Arial" w:cs="Arial"/>
          <w:sz w:val="20"/>
          <w:szCs w:val="20"/>
          <w:shd w:val="clear" w:color="auto" w:fill="FFFFFF"/>
        </w:rPr>
      </w:pPr>
    </w:p>
    <w:p w14:paraId="67C9A102" w14:textId="19C0209A" w:rsidR="00C95EE9" w:rsidRPr="00C95EE9"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2</w:t>
      </w:r>
      <w:r w:rsidR="00504A03">
        <w:rPr>
          <w:rFonts w:ascii="Arial" w:hAnsi="Arial" w:cs="Arial"/>
          <w:sz w:val="20"/>
          <w:szCs w:val="20"/>
          <w:shd w:val="clear" w:color="auto" w:fill="FFFFFF"/>
        </w:rPr>
        <w:t>9</w:t>
      </w:r>
      <w:r w:rsidRPr="00C95EE9">
        <w:rPr>
          <w:rFonts w:ascii="Arial" w:hAnsi="Arial" w:cs="Arial"/>
          <w:sz w:val="20"/>
          <w:szCs w:val="20"/>
          <w:shd w:val="clear" w:color="auto" w:fill="FFFFFF"/>
        </w:rPr>
        <w:t xml:space="preserve">. Rodriguez D. An assessment of the site-specific nutrient management strategy for irrigated rice in Asia. Agriculture. </w:t>
      </w:r>
      <w:proofErr w:type="gramStart"/>
      <w:r w:rsidRPr="00C95EE9">
        <w:rPr>
          <w:rFonts w:ascii="Arial" w:hAnsi="Arial" w:cs="Arial"/>
          <w:sz w:val="20"/>
          <w:szCs w:val="20"/>
          <w:shd w:val="clear" w:color="auto" w:fill="FFFFFF"/>
        </w:rPr>
        <w:t>2020;10:559</w:t>
      </w:r>
      <w:proofErr w:type="gramEnd"/>
      <w:r w:rsidRPr="00C95EE9">
        <w:rPr>
          <w:rFonts w:ascii="Arial" w:hAnsi="Arial" w:cs="Arial"/>
          <w:sz w:val="20"/>
          <w:szCs w:val="20"/>
          <w:shd w:val="clear" w:color="auto" w:fill="FFFFFF"/>
        </w:rPr>
        <w:t>.</w:t>
      </w:r>
    </w:p>
    <w:p w14:paraId="3D32AF68" w14:textId="77777777" w:rsidR="00C95EE9" w:rsidRPr="00C95EE9" w:rsidRDefault="00C95EE9" w:rsidP="00C95EE9">
      <w:pPr>
        <w:rPr>
          <w:rFonts w:ascii="Arial" w:hAnsi="Arial" w:cs="Arial"/>
          <w:sz w:val="20"/>
          <w:szCs w:val="20"/>
          <w:shd w:val="clear" w:color="auto" w:fill="FFFFFF"/>
        </w:rPr>
      </w:pPr>
    </w:p>
    <w:p w14:paraId="5C7FEEEA" w14:textId="1E050061" w:rsidR="00C95EE9" w:rsidRPr="00C95EE9" w:rsidRDefault="00504A03" w:rsidP="00C95EE9">
      <w:pPr>
        <w:rPr>
          <w:rFonts w:ascii="Arial" w:hAnsi="Arial" w:cs="Arial"/>
          <w:sz w:val="20"/>
          <w:szCs w:val="20"/>
          <w:shd w:val="clear" w:color="auto" w:fill="FFFFFF"/>
        </w:rPr>
      </w:pPr>
      <w:r>
        <w:rPr>
          <w:rFonts w:ascii="Arial" w:hAnsi="Arial" w:cs="Arial"/>
          <w:sz w:val="20"/>
          <w:szCs w:val="20"/>
          <w:shd w:val="clear" w:color="auto" w:fill="FFFFFF"/>
        </w:rPr>
        <w:t>30</w:t>
      </w:r>
      <w:r w:rsidR="00C95EE9" w:rsidRPr="00C95EE9">
        <w:rPr>
          <w:rFonts w:ascii="Arial" w:hAnsi="Arial" w:cs="Arial"/>
          <w:sz w:val="20"/>
          <w:szCs w:val="20"/>
          <w:shd w:val="clear" w:color="auto" w:fill="FFFFFF"/>
        </w:rPr>
        <w:t xml:space="preserve">. Rani M, Goyal V, Dey P, Malik K, Yadav R. Soil test based balanced fertilization for improving soil nutrient status and nutrient use efficiency under pearl millet–wheat cropping system. International Journal of Plant Production. </w:t>
      </w:r>
      <w:proofErr w:type="gramStart"/>
      <w:r w:rsidR="00C95EE9" w:rsidRPr="00C95EE9">
        <w:rPr>
          <w:rFonts w:ascii="Arial" w:hAnsi="Arial" w:cs="Arial"/>
          <w:sz w:val="20"/>
          <w:szCs w:val="20"/>
          <w:shd w:val="clear" w:color="auto" w:fill="FFFFFF"/>
        </w:rPr>
        <w:t>2022;16:723</w:t>
      </w:r>
      <w:proofErr w:type="gramEnd"/>
      <w:r w:rsidR="00C95EE9" w:rsidRPr="00C95EE9">
        <w:rPr>
          <w:rFonts w:ascii="Arial" w:hAnsi="Arial" w:cs="Arial"/>
          <w:sz w:val="20"/>
          <w:szCs w:val="20"/>
          <w:shd w:val="clear" w:color="auto" w:fill="FFFFFF"/>
        </w:rPr>
        <w:t>–739.</w:t>
      </w:r>
    </w:p>
    <w:p w14:paraId="32FD6173" w14:textId="77777777" w:rsidR="00C95EE9" w:rsidRPr="00C95EE9" w:rsidRDefault="00C95EE9" w:rsidP="00C95EE9">
      <w:pPr>
        <w:rPr>
          <w:rFonts w:ascii="Arial" w:hAnsi="Arial" w:cs="Arial"/>
          <w:sz w:val="20"/>
          <w:szCs w:val="20"/>
          <w:shd w:val="clear" w:color="auto" w:fill="FFFFFF"/>
        </w:rPr>
      </w:pPr>
    </w:p>
    <w:p w14:paraId="3D903578" w14:textId="1E78171F" w:rsidR="00C95EE9" w:rsidRPr="00C95EE9" w:rsidRDefault="00504A03" w:rsidP="00C95EE9">
      <w:pPr>
        <w:rPr>
          <w:rFonts w:ascii="Arial" w:hAnsi="Arial" w:cs="Arial"/>
          <w:sz w:val="20"/>
          <w:szCs w:val="20"/>
          <w:shd w:val="clear" w:color="auto" w:fill="FFFFFF"/>
        </w:rPr>
      </w:pPr>
      <w:r>
        <w:rPr>
          <w:rFonts w:ascii="Arial" w:hAnsi="Arial" w:cs="Arial"/>
          <w:sz w:val="20"/>
          <w:szCs w:val="20"/>
          <w:shd w:val="clear" w:color="auto" w:fill="FFFFFF"/>
        </w:rPr>
        <w:t>31</w:t>
      </w:r>
      <w:r w:rsidR="00C95EE9" w:rsidRPr="00C95EE9">
        <w:rPr>
          <w:rFonts w:ascii="Arial" w:hAnsi="Arial" w:cs="Arial"/>
          <w:sz w:val="20"/>
          <w:szCs w:val="20"/>
          <w:shd w:val="clear" w:color="auto" w:fill="FFFFFF"/>
        </w:rPr>
        <w:t xml:space="preserve">. Dwivedi S, Srivastava A, </w:t>
      </w:r>
      <w:proofErr w:type="spellStart"/>
      <w:r w:rsidR="00C95EE9" w:rsidRPr="00C95EE9">
        <w:rPr>
          <w:rFonts w:ascii="Arial" w:hAnsi="Arial" w:cs="Arial"/>
          <w:sz w:val="20"/>
          <w:szCs w:val="20"/>
          <w:shd w:val="clear" w:color="auto" w:fill="FFFFFF"/>
        </w:rPr>
        <w:t>Gangwar</w:t>
      </w:r>
      <w:proofErr w:type="spellEnd"/>
      <w:r w:rsidR="00C95EE9" w:rsidRPr="00C95EE9">
        <w:rPr>
          <w:rFonts w:ascii="Arial" w:hAnsi="Arial" w:cs="Arial"/>
          <w:sz w:val="20"/>
          <w:szCs w:val="20"/>
          <w:shd w:val="clear" w:color="auto" w:fill="FFFFFF"/>
        </w:rPr>
        <w:t xml:space="preserve"> S, Dey P, Bhatt M, Sarkar S, Bhattacharya P, Mandal D, Alotaibi M, </w:t>
      </w:r>
      <w:proofErr w:type="spellStart"/>
      <w:r w:rsidR="00C95EE9" w:rsidRPr="00C95EE9">
        <w:rPr>
          <w:rFonts w:ascii="Arial" w:hAnsi="Arial" w:cs="Arial"/>
          <w:sz w:val="20"/>
          <w:szCs w:val="20"/>
          <w:shd w:val="clear" w:color="auto" w:fill="FFFFFF"/>
        </w:rPr>
        <w:t>Seleiman</w:t>
      </w:r>
      <w:proofErr w:type="spellEnd"/>
      <w:r w:rsidR="00C95EE9" w:rsidRPr="00C95EE9">
        <w:rPr>
          <w:rFonts w:ascii="Arial" w:hAnsi="Arial" w:cs="Arial"/>
          <w:sz w:val="20"/>
          <w:szCs w:val="20"/>
          <w:shd w:val="clear" w:color="auto" w:fill="FFFFFF"/>
        </w:rPr>
        <w:t xml:space="preserve"> M. Soil-test crop-response based nutrient scheduling improves soybean–wheat productivity and system sustainability. BMC Plant Biology. </w:t>
      </w:r>
      <w:proofErr w:type="gramStart"/>
      <w:r w:rsidR="00C95EE9" w:rsidRPr="00C95EE9">
        <w:rPr>
          <w:rFonts w:ascii="Arial" w:hAnsi="Arial" w:cs="Arial"/>
          <w:sz w:val="20"/>
          <w:szCs w:val="20"/>
          <w:shd w:val="clear" w:color="auto" w:fill="FFFFFF"/>
        </w:rPr>
        <w:t>2024;24:236</w:t>
      </w:r>
      <w:proofErr w:type="gramEnd"/>
      <w:r w:rsidR="00C95EE9" w:rsidRPr="00C95EE9">
        <w:rPr>
          <w:rFonts w:ascii="Arial" w:hAnsi="Arial" w:cs="Arial"/>
          <w:sz w:val="20"/>
          <w:szCs w:val="20"/>
          <w:shd w:val="clear" w:color="auto" w:fill="FFFFFF"/>
        </w:rPr>
        <w:t>.</w:t>
      </w:r>
    </w:p>
    <w:p w14:paraId="60601B60" w14:textId="77777777" w:rsidR="00C95EE9" w:rsidRPr="00C95EE9" w:rsidRDefault="00C95EE9" w:rsidP="00C95EE9">
      <w:pPr>
        <w:rPr>
          <w:rFonts w:ascii="Arial" w:hAnsi="Arial" w:cs="Arial"/>
          <w:sz w:val="20"/>
          <w:szCs w:val="20"/>
          <w:shd w:val="clear" w:color="auto" w:fill="FFFFFF"/>
        </w:rPr>
      </w:pPr>
    </w:p>
    <w:p w14:paraId="62072975" w14:textId="287FF660" w:rsidR="00C95EE9" w:rsidRPr="00C95EE9" w:rsidRDefault="00504A03" w:rsidP="00C95EE9">
      <w:pPr>
        <w:rPr>
          <w:rFonts w:ascii="Arial" w:hAnsi="Arial" w:cs="Arial"/>
          <w:sz w:val="20"/>
          <w:szCs w:val="20"/>
          <w:shd w:val="clear" w:color="auto" w:fill="FFFFFF"/>
        </w:rPr>
      </w:pPr>
      <w:r>
        <w:rPr>
          <w:rFonts w:ascii="Arial" w:hAnsi="Arial" w:cs="Arial"/>
          <w:sz w:val="20"/>
          <w:szCs w:val="20"/>
          <w:shd w:val="clear" w:color="auto" w:fill="FFFFFF"/>
        </w:rPr>
        <w:lastRenderedPageBreak/>
        <w:t>32</w:t>
      </w:r>
      <w:r w:rsidR="00C95EE9" w:rsidRPr="00C95EE9">
        <w:rPr>
          <w:rFonts w:ascii="Arial" w:hAnsi="Arial" w:cs="Arial"/>
          <w:sz w:val="20"/>
          <w:szCs w:val="20"/>
          <w:shd w:val="clear" w:color="auto" w:fill="FFFFFF"/>
        </w:rPr>
        <w:t>. El-Sobky E, Taha A, El-</w:t>
      </w:r>
      <w:proofErr w:type="spellStart"/>
      <w:r w:rsidR="00C95EE9" w:rsidRPr="00C95EE9">
        <w:rPr>
          <w:rFonts w:ascii="Arial" w:hAnsi="Arial" w:cs="Arial"/>
          <w:sz w:val="20"/>
          <w:szCs w:val="20"/>
          <w:shd w:val="clear" w:color="auto" w:fill="FFFFFF"/>
        </w:rPr>
        <w:t>Sharnouby</w:t>
      </w:r>
      <w:proofErr w:type="spellEnd"/>
      <w:r w:rsidR="00C95EE9" w:rsidRPr="00C95EE9">
        <w:rPr>
          <w:rFonts w:ascii="Arial" w:hAnsi="Arial" w:cs="Arial"/>
          <w:sz w:val="20"/>
          <w:szCs w:val="20"/>
          <w:shd w:val="clear" w:color="auto" w:fill="FFFFFF"/>
        </w:rPr>
        <w:t xml:space="preserve"> M, Sayed S, </w:t>
      </w:r>
      <w:proofErr w:type="spellStart"/>
      <w:r w:rsidR="00C95EE9" w:rsidRPr="00C95EE9">
        <w:rPr>
          <w:rFonts w:ascii="Arial" w:hAnsi="Arial" w:cs="Arial"/>
          <w:sz w:val="20"/>
          <w:szCs w:val="20"/>
          <w:shd w:val="clear" w:color="auto" w:fill="FFFFFF"/>
        </w:rPr>
        <w:t>Elrys</w:t>
      </w:r>
      <w:proofErr w:type="spellEnd"/>
      <w:r w:rsidR="00C95EE9" w:rsidRPr="00C95EE9">
        <w:rPr>
          <w:rFonts w:ascii="Arial" w:hAnsi="Arial" w:cs="Arial"/>
          <w:sz w:val="20"/>
          <w:szCs w:val="20"/>
          <w:shd w:val="clear" w:color="auto" w:fill="FFFFFF"/>
        </w:rPr>
        <w:t xml:space="preserve"> A. Zinc-biochemical co-fertilization improves rice performance and reduces nutrient surplus under semi-arid conditions. Saudi Journal of Biological Sciences. </w:t>
      </w:r>
      <w:proofErr w:type="gramStart"/>
      <w:r w:rsidR="00C95EE9" w:rsidRPr="00C95EE9">
        <w:rPr>
          <w:rFonts w:ascii="Arial" w:hAnsi="Arial" w:cs="Arial"/>
          <w:sz w:val="20"/>
          <w:szCs w:val="20"/>
          <w:shd w:val="clear" w:color="auto" w:fill="FFFFFF"/>
        </w:rPr>
        <w:t>2021;29:1653</w:t>
      </w:r>
      <w:proofErr w:type="gramEnd"/>
      <w:r w:rsidR="00C95EE9" w:rsidRPr="00C95EE9">
        <w:rPr>
          <w:rFonts w:ascii="Arial" w:hAnsi="Arial" w:cs="Arial"/>
          <w:sz w:val="20"/>
          <w:szCs w:val="20"/>
          <w:shd w:val="clear" w:color="auto" w:fill="FFFFFF"/>
        </w:rPr>
        <w:t>–1667.</w:t>
      </w:r>
    </w:p>
    <w:p w14:paraId="47CE69CF" w14:textId="77777777" w:rsidR="00C95EE9" w:rsidRPr="00C95EE9" w:rsidRDefault="00C95EE9" w:rsidP="00C95EE9">
      <w:pPr>
        <w:rPr>
          <w:rFonts w:ascii="Arial" w:hAnsi="Arial" w:cs="Arial"/>
          <w:sz w:val="20"/>
          <w:szCs w:val="20"/>
          <w:shd w:val="clear" w:color="auto" w:fill="FFFFFF"/>
        </w:rPr>
      </w:pPr>
    </w:p>
    <w:p w14:paraId="54BE1126" w14:textId="04A5A0D9" w:rsidR="00C95EE9" w:rsidRPr="00C95EE9" w:rsidRDefault="00504A03" w:rsidP="00C95EE9">
      <w:pPr>
        <w:rPr>
          <w:rFonts w:ascii="Arial" w:hAnsi="Arial" w:cs="Arial"/>
          <w:sz w:val="20"/>
          <w:szCs w:val="20"/>
          <w:shd w:val="clear" w:color="auto" w:fill="FFFFFF"/>
        </w:rPr>
      </w:pPr>
      <w:r>
        <w:rPr>
          <w:rFonts w:ascii="Arial" w:hAnsi="Arial" w:cs="Arial"/>
          <w:sz w:val="20"/>
          <w:szCs w:val="20"/>
          <w:shd w:val="clear" w:color="auto" w:fill="FFFFFF"/>
        </w:rPr>
        <w:t>33</w:t>
      </w:r>
      <w:r w:rsidR="00C95EE9" w:rsidRPr="00C95EE9">
        <w:rPr>
          <w:rFonts w:ascii="Arial" w:hAnsi="Arial" w:cs="Arial"/>
          <w:sz w:val="20"/>
          <w:szCs w:val="20"/>
          <w:shd w:val="clear" w:color="auto" w:fill="FFFFFF"/>
        </w:rPr>
        <w:t xml:space="preserve">. Nawaz A, Bashir M, Ahmed W, Ahmad I, </w:t>
      </w:r>
      <w:proofErr w:type="spellStart"/>
      <w:r w:rsidR="00C95EE9" w:rsidRPr="00C95EE9">
        <w:rPr>
          <w:rFonts w:ascii="Arial" w:hAnsi="Arial" w:cs="Arial"/>
          <w:sz w:val="20"/>
          <w:szCs w:val="20"/>
          <w:shd w:val="clear" w:color="auto" w:fill="FFFFFF"/>
        </w:rPr>
        <w:t>Rehim</w:t>
      </w:r>
      <w:proofErr w:type="spellEnd"/>
      <w:r w:rsidR="00C95EE9" w:rsidRPr="00C95EE9">
        <w:rPr>
          <w:rFonts w:ascii="Arial" w:hAnsi="Arial" w:cs="Arial"/>
          <w:sz w:val="20"/>
          <w:szCs w:val="20"/>
          <w:shd w:val="clear" w:color="auto" w:fill="FFFFFF"/>
        </w:rPr>
        <w:t xml:space="preserve"> A, Ikram R, Shah S, Khurshid M, </w:t>
      </w:r>
      <w:proofErr w:type="spellStart"/>
      <w:r w:rsidR="00C95EE9" w:rsidRPr="00C95EE9">
        <w:rPr>
          <w:rFonts w:ascii="Arial" w:hAnsi="Arial" w:cs="Arial"/>
          <w:sz w:val="20"/>
          <w:szCs w:val="20"/>
          <w:shd w:val="clear" w:color="auto" w:fill="FFFFFF"/>
        </w:rPr>
        <w:t>Rusan</w:t>
      </w:r>
      <w:proofErr w:type="spellEnd"/>
      <w:r w:rsidR="00C95EE9" w:rsidRPr="00C95EE9">
        <w:rPr>
          <w:rFonts w:ascii="Arial" w:hAnsi="Arial" w:cs="Arial"/>
          <w:sz w:val="20"/>
          <w:szCs w:val="20"/>
          <w:shd w:val="clear" w:color="auto" w:fill="FFFFFF"/>
        </w:rPr>
        <w:t xml:space="preserve"> M, </w:t>
      </w:r>
      <w:proofErr w:type="spellStart"/>
      <w:r w:rsidR="00C95EE9" w:rsidRPr="00C95EE9">
        <w:rPr>
          <w:rFonts w:ascii="Arial" w:hAnsi="Arial" w:cs="Arial"/>
          <w:sz w:val="20"/>
          <w:szCs w:val="20"/>
          <w:shd w:val="clear" w:color="auto" w:fill="FFFFFF"/>
        </w:rPr>
        <w:t>Lubani</w:t>
      </w:r>
      <w:proofErr w:type="spellEnd"/>
      <w:r w:rsidR="00C95EE9" w:rsidRPr="00C95EE9">
        <w:rPr>
          <w:rFonts w:ascii="Arial" w:hAnsi="Arial" w:cs="Arial"/>
          <w:sz w:val="20"/>
          <w:szCs w:val="20"/>
          <w:shd w:val="clear" w:color="auto" w:fill="FFFFFF"/>
        </w:rPr>
        <w:t xml:space="preserve"> R, Saleem S, Haq T, Ali M. Potassium and zinc improves physiological performance, nutrient use efficiency and productivity of wheat. Frontiers in Plant Science. </w:t>
      </w:r>
      <w:proofErr w:type="gramStart"/>
      <w:r w:rsidR="00C95EE9" w:rsidRPr="00C95EE9">
        <w:rPr>
          <w:rFonts w:ascii="Arial" w:hAnsi="Arial" w:cs="Arial"/>
          <w:sz w:val="20"/>
          <w:szCs w:val="20"/>
          <w:shd w:val="clear" w:color="auto" w:fill="FFFFFF"/>
        </w:rPr>
        <w:t>2024;15:1363248</w:t>
      </w:r>
      <w:proofErr w:type="gramEnd"/>
      <w:r w:rsidR="00C95EE9" w:rsidRPr="00C95EE9">
        <w:rPr>
          <w:rFonts w:ascii="Arial" w:hAnsi="Arial" w:cs="Arial"/>
          <w:sz w:val="20"/>
          <w:szCs w:val="20"/>
          <w:shd w:val="clear" w:color="auto" w:fill="FFFFFF"/>
        </w:rPr>
        <w:t>.</w:t>
      </w:r>
    </w:p>
    <w:p w14:paraId="1AA4CEAD" w14:textId="77777777" w:rsidR="00C95EE9" w:rsidRPr="00C95EE9" w:rsidRDefault="00C95EE9" w:rsidP="00C95EE9">
      <w:pPr>
        <w:rPr>
          <w:rFonts w:ascii="Arial" w:hAnsi="Arial" w:cs="Arial"/>
          <w:sz w:val="20"/>
          <w:szCs w:val="20"/>
          <w:shd w:val="clear" w:color="auto" w:fill="FFFFFF"/>
        </w:rPr>
      </w:pPr>
    </w:p>
    <w:p w14:paraId="3DC05FD4" w14:textId="7BFB37A5" w:rsidR="00333FA4" w:rsidRDefault="00C95EE9" w:rsidP="00C95EE9">
      <w:pPr>
        <w:rPr>
          <w:rFonts w:ascii="Arial" w:hAnsi="Arial" w:cs="Arial"/>
          <w:sz w:val="20"/>
          <w:szCs w:val="20"/>
          <w:shd w:val="clear" w:color="auto" w:fill="FFFFFF"/>
        </w:rPr>
      </w:pPr>
      <w:r w:rsidRPr="00C95EE9">
        <w:rPr>
          <w:rFonts w:ascii="Arial" w:hAnsi="Arial" w:cs="Arial"/>
          <w:sz w:val="20"/>
          <w:szCs w:val="20"/>
          <w:shd w:val="clear" w:color="auto" w:fill="FFFFFF"/>
        </w:rPr>
        <w:t>3</w:t>
      </w:r>
      <w:r w:rsidR="00504A03">
        <w:rPr>
          <w:rFonts w:ascii="Arial" w:hAnsi="Arial" w:cs="Arial"/>
          <w:sz w:val="20"/>
          <w:szCs w:val="20"/>
          <w:shd w:val="clear" w:color="auto" w:fill="FFFFFF"/>
        </w:rPr>
        <w:t>4</w:t>
      </w:r>
      <w:r w:rsidRPr="00C95EE9">
        <w:rPr>
          <w:rFonts w:ascii="Arial" w:hAnsi="Arial" w:cs="Arial"/>
          <w:sz w:val="20"/>
          <w:szCs w:val="20"/>
          <w:shd w:val="clear" w:color="auto" w:fill="FFFFFF"/>
        </w:rPr>
        <w:t xml:space="preserve">. Alamgeer M, Munir H, Hussain S, Adhikari S, Soufan W, Ahmed J, Aslam M, Rauf S. Exploring the synergistic role of zinc in NPK fertilization on the agronomic performance of safflower. </w:t>
      </w:r>
      <w:proofErr w:type="spellStart"/>
      <w:r w:rsidRPr="00C95EE9">
        <w:rPr>
          <w:rFonts w:ascii="Arial" w:hAnsi="Arial" w:cs="Arial"/>
          <w:sz w:val="20"/>
          <w:szCs w:val="20"/>
          <w:shd w:val="clear" w:color="auto" w:fill="FFFFFF"/>
        </w:rPr>
        <w:t>Horticulturae</w:t>
      </w:r>
      <w:proofErr w:type="spellEnd"/>
      <w:r w:rsidRPr="00C95EE9">
        <w:rPr>
          <w:rFonts w:ascii="Arial" w:hAnsi="Arial" w:cs="Arial"/>
          <w:sz w:val="20"/>
          <w:szCs w:val="20"/>
          <w:shd w:val="clear" w:color="auto" w:fill="FFFFFF"/>
        </w:rPr>
        <w:t xml:space="preserve">. </w:t>
      </w:r>
      <w:proofErr w:type="gramStart"/>
      <w:r w:rsidRPr="00C95EE9">
        <w:rPr>
          <w:rFonts w:ascii="Arial" w:hAnsi="Arial" w:cs="Arial"/>
          <w:sz w:val="20"/>
          <w:szCs w:val="20"/>
          <w:shd w:val="clear" w:color="auto" w:fill="FFFFFF"/>
        </w:rPr>
        <w:t>2024;10:1243</w:t>
      </w:r>
      <w:proofErr w:type="gramEnd"/>
      <w:r w:rsidRPr="00C95EE9">
        <w:rPr>
          <w:rFonts w:ascii="Arial" w:hAnsi="Arial" w:cs="Arial"/>
          <w:sz w:val="20"/>
          <w:szCs w:val="20"/>
          <w:shd w:val="clear" w:color="auto" w:fill="FFFFFF"/>
        </w:rPr>
        <w:t>.</w:t>
      </w:r>
    </w:p>
    <w:p w14:paraId="2B71B291" w14:textId="77777777" w:rsidR="001253FA" w:rsidRDefault="001253FA" w:rsidP="00835C1D">
      <w:pPr>
        <w:rPr>
          <w:rFonts w:ascii="Arial" w:hAnsi="Arial" w:cs="Arial"/>
          <w:sz w:val="20"/>
          <w:szCs w:val="20"/>
        </w:rPr>
      </w:pPr>
    </w:p>
    <w:p w14:paraId="6F970AD1" w14:textId="77777777" w:rsidR="001253FA" w:rsidRDefault="001253FA" w:rsidP="00835C1D">
      <w:pPr>
        <w:rPr>
          <w:rFonts w:ascii="Arial" w:hAnsi="Arial" w:cs="Arial"/>
          <w:sz w:val="20"/>
          <w:szCs w:val="20"/>
        </w:rPr>
      </w:pPr>
    </w:p>
    <w:p w14:paraId="238CF088" w14:textId="77777777" w:rsidR="001253FA" w:rsidRDefault="001253FA" w:rsidP="00835C1D">
      <w:pPr>
        <w:rPr>
          <w:rFonts w:ascii="Arial" w:hAnsi="Arial" w:cs="Arial"/>
          <w:sz w:val="20"/>
          <w:szCs w:val="20"/>
        </w:rPr>
      </w:pPr>
    </w:p>
    <w:p w14:paraId="68BDE458" w14:textId="77777777" w:rsidR="001253FA" w:rsidRDefault="001253FA" w:rsidP="00835C1D">
      <w:pPr>
        <w:rPr>
          <w:rFonts w:ascii="Arial" w:hAnsi="Arial" w:cs="Arial"/>
          <w:sz w:val="20"/>
          <w:szCs w:val="20"/>
        </w:rPr>
      </w:pPr>
    </w:p>
    <w:p w14:paraId="607C2528" w14:textId="77777777" w:rsidR="001253FA" w:rsidRDefault="001253FA" w:rsidP="00835C1D">
      <w:pPr>
        <w:rPr>
          <w:rFonts w:ascii="Arial" w:hAnsi="Arial" w:cs="Arial"/>
          <w:sz w:val="20"/>
          <w:szCs w:val="20"/>
        </w:rPr>
      </w:pPr>
    </w:p>
    <w:p w14:paraId="420F84B3" w14:textId="77777777" w:rsidR="001253FA" w:rsidRDefault="001253FA" w:rsidP="00835C1D">
      <w:pPr>
        <w:rPr>
          <w:rFonts w:ascii="Arial" w:hAnsi="Arial" w:cs="Arial"/>
          <w:sz w:val="20"/>
          <w:szCs w:val="20"/>
        </w:rPr>
      </w:pPr>
    </w:p>
    <w:p w14:paraId="2A82F92B" w14:textId="77777777" w:rsidR="001253FA" w:rsidRDefault="001253FA" w:rsidP="00835C1D">
      <w:pPr>
        <w:rPr>
          <w:rFonts w:ascii="Arial" w:hAnsi="Arial" w:cs="Arial"/>
          <w:sz w:val="20"/>
          <w:szCs w:val="20"/>
        </w:rPr>
      </w:pPr>
    </w:p>
    <w:p w14:paraId="2432EB7A" w14:textId="77777777" w:rsidR="001253FA" w:rsidRDefault="001253FA" w:rsidP="00835C1D">
      <w:pPr>
        <w:rPr>
          <w:rFonts w:ascii="Arial" w:hAnsi="Arial" w:cs="Arial"/>
          <w:sz w:val="20"/>
          <w:szCs w:val="20"/>
        </w:rPr>
      </w:pPr>
    </w:p>
    <w:p w14:paraId="6AEDEA53" w14:textId="77777777" w:rsidR="001253FA" w:rsidRDefault="001253FA" w:rsidP="00835C1D">
      <w:pPr>
        <w:rPr>
          <w:rFonts w:ascii="Arial" w:hAnsi="Arial" w:cs="Arial"/>
          <w:sz w:val="20"/>
          <w:szCs w:val="20"/>
        </w:rPr>
      </w:pPr>
    </w:p>
    <w:p w14:paraId="69EBA5C9" w14:textId="77777777" w:rsidR="001253FA" w:rsidRDefault="001253FA" w:rsidP="00835C1D">
      <w:pPr>
        <w:rPr>
          <w:rFonts w:ascii="Arial" w:hAnsi="Arial" w:cs="Arial"/>
          <w:sz w:val="20"/>
          <w:szCs w:val="20"/>
        </w:rPr>
      </w:pPr>
    </w:p>
    <w:p w14:paraId="1E040E52" w14:textId="77777777" w:rsidR="001253FA" w:rsidRDefault="001253FA" w:rsidP="00835C1D">
      <w:pPr>
        <w:rPr>
          <w:rFonts w:ascii="Arial" w:hAnsi="Arial" w:cs="Arial"/>
          <w:sz w:val="20"/>
          <w:szCs w:val="20"/>
        </w:rPr>
      </w:pPr>
    </w:p>
    <w:p w14:paraId="2DB061AC" w14:textId="77777777" w:rsidR="001253FA" w:rsidRDefault="001253FA" w:rsidP="00835C1D">
      <w:pPr>
        <w:rPr>
          <w:rFonts w:ascii="Arial" w:hAnsi="Arial" w:cs="Arial"/>
          <w:sz w:val="20"/>
          <w:szCs w:val="20"/>
        </w:rPr>
      </w:pPr>
    </w:p>
    <w:p w14:paraId="2A08EA2E" w14:textId="77777777" w:rsidR="001253FA" w:rsidRDefault="001253FA" w:rsidP="00835C1D">
      <w:pPr>
        <w:rPr>
          <w:rFonts w:ascii="Arial" w:hAnsi="Arial" w:cs="Arial"/>
          <w:sz w:val="20"/>
          <w:szCs w:val="20"/>
        </w:rPr>
      </w:pPr>
    </w:p>
    <w:p w14:paraId="081BF73D" w14:textId="77777777" w:rsidR="001253FA" w:rsidRDefault="001253FA" w:rsidP="00835C1D">
      <w:pPr>
        <w:rPr>
          <w:rFonts w:ascii="Arial" w:hAnsi="Arial" w:cs="Arial"/>
          <w:sz w:val="20"/>
          <w:szCs w:val="20"/>
        </w:rPr>
      </w:pPr>
    </w:p>
    <w:p w14:paraId="7D4E1D60" w14:textId="77777777" w:rsidR="001253FA" w:rsidRDefault="001253FA" w:rsidP="00835C1D">
      <w:pPr>
        <w:rPr>
          <w:rFonts w:ascii="Arial" w:hAnsi="Arial" w:cs="Arial"/>
          <w:sz w:val="20"/>
          <w:szCs w:val="20"/>
        </w:rPr>
      </w:pPr>
    </w:p>
    <w:p w14:paraId="5FB27E8D" w14:textId="77777777" w:rsidR="001253FA" w:rsidRDefault="001253FA" w:rsidP="00835C1D">
      <w:pPr>
        <w:rPr>
          <w:rFonts w:ascii="Arial" w:hAnsi="Arial" w:cs="Arial"/>
          <w:sz w:val="20"/>
          <w:szCs w:val="20"/>
        </w:rPr>
        <w:sectPr w:rsidR="001253F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72B3DC5B" w14:textId="0D5A32DA" w:rsidR="001253FA" w:rsidRPr="001253FA" w:rsidRDefault="001253FA" w:rsidP="001253FA">
      <w:pPr>
        <w:spacing w:after="0" w:line="240" w:lineRule="auto"/>
        <w:rPr>
          <w:rFonts w:ascii="Times New Roman" w:eastAsia="Times New Roman" w:hAnsi="Times New Roman" w:cs="Times New Roman"/>
          <w:color w:val="000000"/>
          <w:kern w:val="0"/>
          <w:sz w:val="23"/>
          <w:szCs w:val="23"/>
          <w:lang w:eastAsia="en-IN"/>
          <w14:ligatures w14:val="none"/>
        </w:rPr>
      </w:pPr>
      <w:r w:rsidRPr="007D2142">
        <w:rPr>
          <w:rFonts w:ascii="Times New Roman" w:eastAsia="Times New Roman" w:hAnsi="Times New Roman" w:cs="Times New Roman"/>
          <w:b/>
          <w:bCs/>
          <w:color w:val="000000"/>
          <w:kern w:val="0"/>
          <w:sz w:val="23"/>
          <w:szCs w:val="23"/>
          <w:lang w:eastAsia="en-IN"/>
          <w14:ligatures w14:val="none"/>
        </w:rPr>
        <w:lastRenderedPageBreak/>
        <w:t>Table.1</w:t>
      </w:r>
      <w:r w:rsidRPr="007D2142">
        <w:rPr>
          <w:rFonts w:ascii="Times New Roman" w:eastAsia="Times New Roman" w:hAnsi="Times New Roman" w:cs="Times New Roman"/>
          <w:color w:val="000000"/>
          <w:kern w:val="0"/>
          <w:sz w:val="23"/>
          <w:szCs w:val="23"/>
          <w:lang w:eastAsia="en-IN"/>
          <w14:ligatures w14:val="none"/>
        </w:rPr>
        <w:t xml:space="preserve"> Effect of SSNM on Physiological Growth Analysis Parameters of </w:t>
      </w:r>
      <w:r w:rsidRPr="007D2142">
        <w:rPr>
          <w:rFonts w:ascii="Times New Roman" w:eastAsia="Times New Roman" w:hAnsi="Times New Roman" w:cs="Times New Roman"/>
          <w:i/>
          <w:iCs/>
          <w:color w:val="000000"/>
          <w:kern w:val="0"/>
          <w:sz w:val="23"/>
          <w:szCs w:val="23"/>
          <w:lang w:eastAsia="en-IN"/>
          <w14:ligatures w14:val="none"/>
        </w:rPr>
        <w:t>Bhavani</w:t>
      </w:r>
      <w:r w:rsidRPr="007D2142">
        <w:rPr>
          <w:rFonts w:ascii="Times New Roman" w:eastAsia="Times New Roman" w:hAnsi="Times New Roman" w:cs="Times New Roman"/>
          <w:color w:val="000000"/>
          <w:kern w:val="0"/>
          <w:sz w:val="23"/>
          <w:szCs w:val="23"/>
          <w:lang w:eastAsia="en-IN"/>
          <w14:ligatures w14:val="none"/>
        </w:rPr>
        <w:t xml:space="preserve"> Rice</w:t>
      </w:r>
    </w:p>
    <w:tbl>
      <w:tblPr>
        <w:tblW w:w="11619" w:type="dxa"/>
        <w:tblLook w:val="04A0" w:firstRow="1" w:lastRow="0" w:firstColumn="1" w:lastColumn="0" w:noHBand="0" w:noVBand="1"/>
      </w:tblPr>
      <w:tblGrid>
        <w:gridCol w:w="2977"/>
        <w:gridCol w:w="903"/>
        <w:gridCol w:w="989"/>
        <w:gridCol w:w="989"/>
        <w:gridCol w:w="960"/>
        <w:gridCol w:w="960"/>
        <w:gridCol w:w="960"/>
        <w:gridCol w:w="988"/>
        <w:gridCol w:w="988"/>
        <w:gridCol w:w="905"/>
      </w:tblGrid>
      <w:tr w:rsidR="001253FA" w:rsidRPr="007A16BF" w14:paraId="0A4543EC" w14:textId="77777777" w:rsidTr="00A04D54">
        <w:trPr>
          <w:trHeight w:val="288"/>
        </w:trPr>
        <w:tc>
          <w:tcPr>
            <w:tcW w:w="2977" w:type="dxa"/>
            <w:vMerge w:val="restart"/>
            <w:tcBorders>
              <w:top w:val="single" w:sz="4" w:space="0" w:color="auto"/>
              <w:left w:val="nil"/>
              <w:right w:val="nil"/>
            </w:tcBorders>
            <w:shd w:val="clear" w:color="000000" w:fill="FFFFFF"/>
            <w:noWrap/>
            <w:vAlign w:val="bottom"/>
            <w:hideMark/>
          </w:tcPr>
          <w:p w14:paraId="791976FB"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 </w:t>
            </w:r>
          </w:p>
          <w:p w14:paraId="60F678FD" w14:textId="77777777" w:rsidR="001253FA" w:rsidRPr="007A16BF" w:rsidRDefault="001253FA" w:rsidP="00A04D54">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b/>
                <w:bCs/>
                <w:color w:val="000000"/>
                <w:kern w:val="0"/>
                <w:lang w:eastAsia="en-IN"/>
                <w14:ligatures w14:val="none"/>
              </w:rPr>
              <w:t>Treatments</w:t>
            </w:r>
          </w:p>
        </w:tc>
        <w:tc>
          <w:tcPr>
            <w:tcW w:w="2881" w:type="dxa"/>
            <w:gridSpan w:val="3"/>
            <w:tcBorders>
              <w:top w:val="single" w:sz="4" w:space="0" w:color="auto"/>
              <w:left w:val="nil"/>
              <w:right w:val="nil"/>
            </w:tcBorders>
            <w:shd w:val="clear" w:color="000000" w:fill="FFFFFF"/>
            <w:noWrap/>
            <w:vAlign w:val="bottom"/>
            <w:hideMark/>
          </w:tcPr>
          <w:p w14:paraId="6A8C5AD9" w14:textId="77777777" w:rsidR="001253FA" w:rsidRPr="007A16BF" w:rsidRDefault="001253FA" w:rsidP="00A04D54">
            <w:pPr>
              <w:spacing w:after="0" w:line="240" w:lineRule="auto"/>
              <w:jc w:val="center"/>
              <w:rPr>
                <w:rFonts w:ascii="Times New Roman" w:eastAsia="Times New Roman" w:hAnsi="Times New Roman" w:cs="Times New Roman"/>
                <w:b/>
                <w:bCs/>
                <w:color w:val="000000"/>
                <w:kern w:val="0"/>
                <w:lang w:eastAsia="en-IN"/>
                <w14:ligatures w14:val="none"/>
              </w:rPr>
            </w:pPr>
            <w:r w:rsidRPr="007A16BF">
              <w:rPr>
                <w:rFonts w:ascii="Times New Roman" w:eastAsia="Times New Roman" w:hAnsi="Times New Roman" w:cs="Times New Roman"/>
                <w:b/>
                <w:bCs/>
                <w:color w:val="000000"/>
                <w:kern w:val="0"/>
                <w:lang w:eastAsia="en-IN"/>
                <w14:ligatures w14:val="none"/>
              </w:rPr>
              <w:t>CGR (kg ha⁻¹ day⁻¹)</w:t>
            </w:r>
          </w:p>
        </w:tc>
        <w:tc>
          <w:tcPr>
            <w:tcW w:w="2880" w:type="dxa"/>
            <w:gridSpan w:val="3"/>
            <w:tcBorders>
              <w:top w:val="single" w:sz="4" w:space="0" w:color="auto"/>
              <w:left w:val="nil"/>
              <w:right w:val="nil"/>
            </w:tcBorders>
            <w:shd w:val="clear" w:color="000000" w:fill="FFFFFF"/>
            <w:noWrap/>
            <w:vAlign w:val="bottom"/>
            <w:hideMark/>
          </w:tcPr>
          <w:p w14:paraId="258627FA" w14:textId="77777777" w:rsidR="001253FA" w:rsidRPr="007A16BF" w:rsidRDefault="001253FA" w:rsidP="00A04D54">
            <w:pPr>
              <w:spacing w:after="0" w:line="240" w:lineRule="auto"/>
              <w:jc w:val="center"/>
              <w:rPr>
                <w:rFonts w:ascii="Times New Roman" w:eastAsia="Times New Roman" w:hAnsi="Times New Roman" w:cs="Times New Roman"/>
                <w:b/>
                <w:bCs/>
                <w:color w:val="000000"/>
                <w:kern w:val="0"/>
                <w:lang w:eastAsia="en-IN"/>
                <w14:ligatures w14:val="none"/>
              </w:rPr>
            </w:pPr>
            <w:r w:rsidRPr="007A16BF">
              <w:rPr>
                <w:rFonts w:ascii="Times New Roman" w:eastAsia="Times New Roman" w:hAnsi="Times New Roman" w:cs="Times New Roman"/>
                <w:b/>
                <w:bCs/>
                <w:color w:val="000000"/>
                <w:kern w:val="0"/>
                <w:lang w:eastAsia="en-IN"/>
                <w14:ligatures w14:val="none"/>
              </w:rPr>
              <w:t>RGR (g g⁻¹ day⁻¹)</w:t>
            </w:r>
          </w:p>
        </w:tc>
        <w:tc>
          <w:tcPr>
            <w:tcW w:w="2881" w:type="dxa"/>
            <w:gridSpan w:val="3"/>
            <w:tcBorders>
              <w:top w:val="single" w:sz="4" w:space="0" w:color="auto"/>
              <w:left w:val="nil"/>
              <w:right w:val="nil"/>
            </w:tcBorders>
            <w:shd w:val="clear" w:color="000000" w:fill="FFFFFF"/>
            <w:noWrap/>
            <w:vAlign w:val="bottom"/>
            <w:hideMark/>
          </w:tcPr>
          <w:p w14:paraId="26B85FF0" w14:textId="77777777" w:rsidR="001253FA" w:rsidRPr="007A16BF" w:rsidRDefault="001253FA" w:rsidP="00A04D54">
            <w:pPr>
              <w:spacing w:after="0" w:line="240" w:lineRule="auto"/>
              <w:jc w:val="center"/>
              <w:rPr>
                <w:rFonts w:ascii="Times New Roman" w:eastAsia="Times New Roman" w:hAnsi="Times New Roman" w:cs="Times New Roman"/>
                <w:b/>
                <w:bCs/>
                <w:color w:val="000000"/>
                <w:kern w:val="0"/>
                <w:lang w:eastAsia="en-IN"/>
                <w14:ligatures w14:val="none"/>
              </w:rPr>
            </w:pPr>
            <w:r w:rsidRPr="007A16BF">
              <w:rPr>
                <w:rFonts w:ascii="Times New Roman" w:eastAsia="Times New Roman" w:hAnsi="Times New Roman" w:cs="Times New Roman"/>
                <w:b/>
                <w:bCs/>
                <w:color w:val="000000"/>
                <w:kern w:val="0"/>
                <w:lang w:eastAsia="en-IN"/>
                <w14:ligatures w14:val="none"/>
              </w:rPr>
              <w:t>NAR (g m⁻² day⁻¹)</w:t>
            </w:r>
          </w:p>
        </w:tc>
      </w:tr>
      <w:tr w:rsidR="001253FA" w:rsidRPr="007A16BF" w14:paraId="772D082B" w14:textId="77777777" w:rsidTr="00A04D54">
        <w:trPr>
          <w:trHeight w:val="312"/>
        </w:trPr>
        <w:tc>
          <w:tcPr>
            <w:tcW w:w="2977" w:type="dxa"/>
            <w:vMerge/>
            <w:tcBorders>
              <w:left w:val="nil"/>
              <w:bottom w:val="single" w:sz="4" w:space="0" w:color="auto"/>
              <w:right w:val="nil"/>
            </w:tcBorders>
            <w:shd w:val="clear" w:color="000000" w:fill="FFFFFF"/>
            <w:noWrap/>
            <w:vAlign w:val="center"/>
            <w:hideMark/>
          </w:tcPr>
          <w:p w14:paraId="1E4B5E06" w14:textId="77777777" w:rsidR="001253FA" w:rsidRPr="007A16BF" w:rsidRDefault="001253FA" w:rsidP="00A04D54">
            <w:pPr>
              <w:spacing w:after="0" w:line="240" w:lineRule="auto"/>
              <w:jc w:val="center"/>
              <w:rPr>
                <w:rFonts w:ascii="Times New Roman" w:eastAsia="Times New Roman" w:hAnsi="Times New Roman" w:cs="Times New Roman"/>
                <w:b/>
                <w:bCs/>
                <w:color w:val="000000"/>
                <w:kern w:val="0"/>
                <w:lang w:eastAsia="en-IN"/>
                <w14:ligatures w14:val="none"/>
              </w:rPr>
            </w:pPr>
          </w:p>
        </w:tc>
        <w:tc>
          <w:tcPr>
            <w:tcW w:w="903" w:type="dxa"/>
            <w:tcBorders>
              <w:top w:val="nil"/>
              <w:left w:val="nil"/>
              <w:bottom w:val="single" w:sz="4" w:space="0" w:color="auto"/>
              <w:right w:val="nil"/>
            </w:tcBorders>
            <w:shd w:val="clear" w:color="000000" w:fill="FFFFFF"/>
            <w:noWrap/>
            <w:vAlign w:val="center"/>
            <w:hideMark/>
          </w:tcPr>
          <w:p w14:paraId="4C62C2E0"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30–60</w:t>
            </w:r>
          </w:p>
        </w:tc>
        <w:tc>
          <w:tcPr>
            <w:tcW w:w="989" w:type="dxa"/>
            <w:tcBorders>
              <w:top w:val="nil"/>
              <w:left w:val="nil"/>
              <w:bottom w:val="single" w:sz="4" w:space="0" w:color="auto"/>
              <w:right w:val="nil"/>
            </w:tcBorders>
            <w:shd w:val="clear" w:color="000000" w:fill="FFFFFF"/>
            <w:noWrap/>
            <w:vAlign w:val="center"/>
            <w:hideMark/>
          </w:tcPr>
          <w:p w14:paraId="03DAFC25"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60–90</w:t>
            </w:r>
          </w:p>
        </w:tc>
        <w:tc>
          <w:tcPr>
            <w:tcW w:w="989" w:type="dxa"/>
            <w:tcBorders>
              <w:top w:val="nil"/>
              <w:left w:val="nil"/>
              <w:bottom w:val="single" w:sz="4" w:space="0" w:color="auto"/>
              <w:right w:val="nil"/>
            </w:tcBorders>
            <w:shd w:val="clear" w:color="000000" w:fill="FFFFFF"/>
            <w:noWrap/>
            <w:vAlign w:val="center"/>
            <w:hideMark/>
          </w:tcPr>
          <w:p w14:paraId="0307D915"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90–H</w:t>
            </w:r>
          </w:p>
        </w:tc>
        <w:tc>
          <w:tcPr>
            <w:tcW w:w="960" w:type="dxa"/>
            <w:tcBorders>
              <w:top w:val="nil"/>
              <w:left w:val="nil"/>
              <w:bottom w:val="single" w:sz="4" w:space="0" w:color="auto"/>
              <w:right w:val="nil"/>
            </w:tcBorders>
            <w:shd w:val="clear" w:color="000000" w:fill="FFFFFF"/>
            <w:noWrap/>
            <w:vAlign w:val="center"/>
            <w:hideMark/>
          </w:tcPr>
          <w:p w14:paraId="5F1FB299"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30–60</w:t>
            </w:r>
          </w:p>
        </w:tc>
        <w:tc>
          <w:tcPr>
            <w:tcW w:w="960" w:type="dxa"/>
            <w:tcBorders>
              <w:top w:val="nil"/>
              <w:left w:val="nil"/>
              <w:bottom w:val="single" w:sz="4" w:space="0" w:color="auto"/>
              <w:right w:val="nil"/>
            </w:tcBorders>
            <w:shd w:val="clear" w:color="000000" w:fill="FFFFFF"/>
            <w:noWrap/>
            <w:vAlign w:val="center"/>
            <w:hideMark/>
          </w:tcPr>
          <w:p w14:paraId="5E138BB9"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60–90</w:t>
            </w:r>
          </w:p>
        </w:tc>
        <w:tc>
          <w:tcPr>
            <w:tcW w:w="960" w:type="dxa"/>
            <w:tcBorders>
              <w:top w:val="nil"/>
              <w:left w:val="nil"/>
              <w:bottom w:val="single" w:sz="4" w:space="0" w:color="auto"/>
              <w:right w:val="nil"/>
            </w:tcBorders>
            <w:shd w:val="clear" w:color="000000" w:fill="FFFFFF"/>
            <w:noWrap/>
            <w:vAlign w:val="center"/>
            <w:hideMark/>
          </w:tcPr>
          <w:p w14:paraId="2EE41784"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90–H</w:t>
            </w:r>
          </w:p>
        </w:tc>
        <w:tc>
          <w:tcPr>
            <w:tcW w:w="988" w:type="dxa"/>
            <w:tcBorders>
              <w:top w:val="nil"/>
              <w:left w:val="nil"/>
              <w:bottom w:val="single" w:sz="4" w:space="0" w:color="auto"/>
              <w:right w:val="nil"/>
            </w:tcBorders>
            <w:shd w:val="clear" w:color="000000" w:fill="FFFFFF"/>
            <w:noWrap/>
            <w:vAlign w:val="center"/>
            <w:hideMark/>
          </w:tcPr>
          <w:p w14:paraId="7F66FE96"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30–60</w:t>
            </w:r>
          </w:p>
        </w:tc>
        <w:tc>
          <w:tcPr>
            <w:tcW w:w="988" w:type="dxa"/>
            <w:tcBorders>
              <w:top w:val="nil"/>
              <w:left w:val="nil"/>
              <w:bottom w:val="single" w:sz="4" w:space="0" w:color="auto"/>
              <w:right w:val="nil"/>
            </w:tcBorders>
            <w:shd w:val="clear" w:color="000000" w:fill="FFFFFF"/>
            <w:noWrap/>
            <w:vAlign w:val="center"/>
            <w:hideMark/>
          </w:tcPr>
          <w:p w14:paraId="2D41C651"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60–90</w:t>
            </w:r>
          </w:p>
        </w:tc>
        <w:tc>
          <w:tcPr>
            <w:tcW w:w="905" w:type="dxa"/>
            <w:tcBorders>
              <w:top w:val="nil"/>
              <w:left w:val="nil"/>
              <w:bottom w:val="single" w:sz="4" w:space="0" w:color="auto"/>
              <w:right w:val="nil"/>
            </w:tcBorders>
            <w:shd w:val="clear" w:color="000000" w:fill="FFFFFF"/>
            <w:noWrap/>
            <w:vAlign w:val="center"/>
            <w:hideMark/>
          </w:tcPr>
          <w:p w14:paraId="4F61D4C9" w14:textId="77777777" w:rsidR="001253FA" w:rsidRPr="007A16BF" w:rsidRDefault="001253FA" w:rsidP="00A04D54">
            <w:pPr>
              <w:spacing w:after="0" w:line="240" w:lineRule="auto"/>
              <w:jc w:val="right"/>
              <w:rPr>
                <w:rFonts w:ascii="Times New Roman" w:eastAsia="Times New Roman" w:hAnsi="Times New Roman" w:cs="Times New Roman"/>
                <w:b/>
                <w:bCs/>
                <w:color w:val="000000"/>
                <w:kern w:val="0"/>
                <w:sz w:val="23"/>
                <w:szCs w:val="23"/>
                <w:lang w:eastAsia="en-IN"/>
                <w14:ligatures w14:val="none"/>
              </w:rPr>
            </w:pPr>
            <w:r w:rsidRPr="007A16BF">
              <w:rPr>
                <w:rFonts w:ascii="Times New Roman" w:eastAsia="Times New Roman" w:hAnsi="Times New Roman" w:cs="Times New Roman"/>
                <w:b/>
                <w:bCs/>
                <w:color w:val="000000"/>
                <w:kern w:val="0"/>
                <w:sz w:val="23"/>
                <w:szCs w:val="23"/>
                <w:lang w:eastAsia="en-IN"/>
                <w14:ligatures w14:val="none"/>
              </w:rPr>
              <w:t>90–H</w:t>
            </w:r>
          </w:p>
        </w:tc>
      </w:tr>
      <w:tr w:rsidR="001253FA" w:rsidRPr="007A16BF" w14:paraId="1E8B36B0" w14:textId="77777777" w:rsidTr="00A04D54">
        <w:trPr>
          <w:trHeight w:val="288"/>
        </w:trPr>
        <w:tc>
          <w:tcPr>
            <w:tcW w:w="2977" w:type="dxa"/>
            <w:tcBorders>
              <w:top w:val="nil"/>
              <w:left w:val="nil"/>
              <w:bottom w:val="nil"/>
              <w:right w:val="nil"/>
            </w:tcBorders>
            <w:shd w:val="clear" w:color="000000" w:fill="FFFFFF"/>
            <w:noWrap/>
            <w:vAlign w:val="bottom"/>
            <w:hideMark/>
          </w:tcPr>
          <w:p w14:paraId="159F6212"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T1 (NPK)soil test based</w:t>
            </w:r>
          </w:p>
        </w:tc>
        <w:tc>
          <w:tcPr>
            <w:tcW w:w="903" w:type="dxa"/>
            <w:tcBorders>
              <w:top w:val="nil"/>
              <w:left w:val="nil"/>
              <w:bottom w:val="nil"/>
              <w:right w:val="nil"/>
            </w:tcBorders>
            <w:shd w:val="clear" w:color="000000" w:fill="FFFFFF"/>
            <w:noWrap/>
            <w:vAlign w:val="center"/>
            <w:hideMark/>
          </w:tcPr>
          <w:p w14:paraId="1E81F72D"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85.0</w:t>
            </w:r>
          </w:p>
        </w:tc>
        <w:tc>
          <w:tcPr>
            <w:tcW w:w="989" w:type="dxa"/>
            <w:tcBorders>
              <w:top w:val="nil"/>
              <w:left w:val="nil"/>
              <w:bottom w:val="nil"/>
              <w:right w:val="nil"/>
            </w:tcBorders>
            <w:shd w:val="clear" w:color="000000" w:fill="FFFFFF"/>
            <w:noWrap/>
            <w:vAlign w:val="center"/>
            <w:hideMark/>
          </w:tcPr>
          <w:p w14:paraId="7AF43A6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152.7</w:t>
            </w:r>
          </w:p>
        </w:tc>
        <w:tc>
          <w:tcPr>
            <w:tcW w:w="989" w:type="dxa"/>
            <w:tcBorders>
              <w:top w:val="nil"/>
              <w:left w:val="nil"/>
              <w:bottom w:val="nil"/>
              <w:right w:val="nil"/>
            </w:tcBorders>
            <w:shd w:val="clear" w:color="000000" w:fill="FFFFFF"/>
            <w:noWrap/>
            <w:vAlign w:val="center"/>
            <w:hideMark/>
          </w:tcPr>
          <w:p w14:paraId="0670B4EC"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201.2</w:t>
            </w:r>
          </w:p>
        </w:tc>
        <w:tc>
          <w:tcPr>
            <w:tcW w:w="960" w:type="dxa"/>
            <w:tcBorders>
              <w:top w:val="nil"/>
              <w:left w:val="nil"/>
              <w:bottom w:val="nil"/>
              <w:right w:val="nil"/>
            </w:tcBorders>
            <w:shd w:val="clear" w:color="000000" w:fill="FFFFFF"/>
            <w:noWrap/>
            <w:vAlign w:val="bottom"/>
            <w:hideMark/>
          </w:tcPr>
          <w:p w14:paraId="2CD963D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0.021</w:t>
            </w:r>
          </w:p>
        </w:tc>
        <w:tc>
          <w:tcPr>
            <w:tcW w:w="960" w:type="dxa"/>
            <w:tcBorders>
              <w:top w:val="nil"/>
              <w:left w:val="nil"/>
              <w:bottom w:val="nil"/>
              <w:right w:val="nil"/>
            </w:tcBorders>
            <w:shd w:val="clear" w:color="000000" w:fill="FFFFFF"/>
            <w:noWrap/>
            <w:vAlign w:val="bottom"/>
            <w:hideMark/>
          </w:tcPr>
          <w:p w14:paraId="2AD7884B"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w:t>
            </w:r>
          </w:p>
        </w:tc>
        <w:tc>
          <w:tcPr>
            <w:tcW w:w="960" w:type="dxa"/>
            <w:tcBorders>
              <w:top w:val="nil"/>
              <w:left w:val="nil"/>
              <w:bottom w:val="nil"/>
              <w:right w:val="nil"/>
            </w:tcBorders>
            <w:shd w:val="clear" w:color="000000" w:fill="FFFFFF"/>
            <w:noWrap/>
            <w:vAlign w:val="bottom"/>
            <w:hideMark/>
          </w:tcPr>
          <w:p w14:paraId="29947BA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0.016</w:t>
            </w:r>
          </w:p>
        </w:tc>
        <w:tc>
          <w:tcPr>
            <w:tcW w:w="988" w:type="dxa"/>
            <w:tcBorders>
              <w:top w:val="nil"/>
              <w:left w:val="nil"/>
              <w:bottom w:val="nil"/>
              <w:right w:val="nil"/>
            </w:tcBorders>
            <w:shd w:val="clear" w:color="000000" w:fill="FFFFFF"/>
            <w:noWrap/>
            <w:vAlign w:val="center"/>
            <w:hideMark/>
          </w:tcPr>
          <w:p w14:paraId="4058069D"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56.9</w:t>
            </w:r>
          </w:p>
        </w:tc>
        <w:tc>
          <w:tcPr>
            <w:tcW w:w="988" w:type="dxa"/>
            <w:tcBorders>
              <w:top w:val="nil"/>
              <w:left w:val="nil"/>
              <w:bottom w:val="nil"/>
              <w:right w:val="nil"/>
            </w:tcBorders>
            <w:shd w:val="clear" w:color="000000" w:fill="FFFFFF"/>
            <w:noWrap/>
            <w:vAlign w:val="center"/>
            <w:hideMark/>
          </w:tcPr>
          <w:p w14:paraId="0C028C2E"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43.7</w:t>
            </w:r>
          </w:p>
        </w:tc>
        <w:tc>
          <w:tcPr>
            <w:tcW w:w="905" w:type="dxa"/>
            <w:tcBorders>
              <w:top w:val="nil"/>
              <w:left w:val="nil"/>
              <w:bottom w:val="nil"/>
              <w:right w:val="nil"/>
            </w:tcBorders>
            <w:shd w:val="clear" w:color="000000" w:fill="FFFFFF"/>
            <w:noWrap/>
            <w:vAlign w:val="center"/>
            <w:hideMark/>
          </w:tcPr>
          <w:p w14:paraId="58C87DB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23.0</w:t>
            </w:r>
          </w:p>
        </w:tc>
      </w:tr>
      <w:tr w:rsidR="001253FA" w:rsidRPr="007A16BF" w14:paraId="54BA33D5" w14:textId="77777777" w:rsidTr="00A04D54">
        <w:trPr>
          <w:trHeight w:val="288"/>
        </w:trPr>
        <w:tc>
          <w:tcPr>
            <w:tcW w:w="2977" w:type="dxa"/>
            <w:tcBorders>
              <w:top w:val="nil"/>
              <w:left w:val="nil"/>
              <w:bottom w:val="nil"/>
              <w:right w:val="nil"/>
            </w:tcBorders>
            <w:shd w:val="clear" w:color="000000" w:fill="FFFFFF"/>
            <w:noWrap/>
            <w:vAlign w:val="bottom"/>
            <w:hideMark/>
          </w:tcPr>
          <w:p w14:paraId="5DBDBEAD"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T2 (NPKZ)soil test based</w:t>
            </w:r>
          </w:p>
        </w:tc>
        <w:tc>
          <w:tcPr>
            <w:tcW w:w="903" w:type="dxa"/>
            <w:tcBorders>
              <w:top w:val="nil"/>
              <w:left w:val="nil"/>
              <w:bottom w:val="nil"/>
              <w:right w:val="nil"/>
            </w:tcBorders>
            <w:shd w:val="clear" w:color="000000" w:fill="FFFFFF"/>
            <w:noWrap/>
            <w:vAlign w:val="bottom"/>
            <w:hideMark/>
          </w:tcPr>
          <w:p w14:paraId="5348CA4A"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92.3</w:t>
            </w:r>
          </w:p>
        </w:tc>
        <w:tc>
          <w:tcPr>
            <w:tcW w:w="989" w:type="dxa"/>
            <w:tcBorders>
              <w:top w:val="nil"/>
              <w:left w:val="nil"/>
              <w:bottom w:val="nil"/>
              <w:right w:val="nil"/>
            </w:tcBorders>
            <w:shd w:val="clear" w:color="000000" w:fill="FFFFFF"/>
            <w:noWrap/>
            <w:vAlign w:val="center"/>
            <w:hideMark/>
          </w:tcPr>
          <w:p w14:paraId="2A8551C0"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167.3</w:t>
            </w:r>
          </w:p>
        </w:tc>
        <w:tc>
          <w:tcPr>
            <w:tcW w:w="989" w:type="dxa"/>
            <w:tcBorders>
              <w:top w:val="nil"/>
              <w:left w:val="nil"/>
              <w:bottom w:val="nil"/>
              <w:right w:val="nil"/>
            </w:tcBorders>
            <w:shd w:val="clear" w:color="000000" w:fill="FFFFFF"/>
            <w:noWrap/>
            <w:vAlign w:val="center"/>
            <w:hideMark/>
          </w:tcPr>
          <w:p w14:paraId="579DF68F"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205.2</w:t>
            </w:r>
          </w:p>
        </w:tc>
        <w:tc>
          <w:tcPr>
            <w:tcW w:w="960" w:type="dxa"/>
            <w:tcBorders>
              <w:top w:val="nil"/>
              <w:left w:val="nil"/>
              <w:bottom w:val="nil"/>
              <w:right w:val="nil"/>
            </w:tcBorders>
            <w:shd w:val="clear" w:color="000000" w:fill="FFFFFF"/>
            <w:noWrap/>
            <w:vAlign w:val="bottom"/>
            <w:hideMark/>
          </w:tcPr>
          <w:p w14:paraId="6208B48C"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0.021</w:t>
            </w:r>
          </w:p>
        </w:tc>
        <w:tc>
          <w:tcPr>
            <w:tcW w:w="960" w:type="dxa"/>
            <w:tcBorders>
              <w:top w:val="nil"/>
              <w:left w:val="nil"/>
              <w:bottom w:val="nil"/>
              <w:right w:val="nil"/>
            </w:tcBorders>
            <w:shd w:val="clear" w:color="000000" w:fill="FFFFFF"/>
            <w:noWrap/>
            <w:vAlign w:val="bottom"/>
            <w:hideMark/>
          </w:tcPr>
          <w:p w14:paraId="03034E95"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0.021</w:t>
            </w:r>
          </w:p>
        </w:tc>
        <w:tc>
          <w:tcPr>
            <w:tcW w:w="960" w:type="dxa"/>
            <w:tcBorders>
              <w:top w:val="nil"/>
              <w:left w:val="nil"/>
              <w:bottom w:val="nil"/>
              <w:right w:val="nil"/>
            </w:tcBorders>
            <w:shd w:val="clear" w:color="000000" w:fill="FFFFFF"/>
            <w:noWrap/>
            <w:vAlign w:val="bottom"/>
            <w:hideMark/>
          </w:tcPr>
          <w:p w14:paraId="30EA56F0"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0.015</w:t>
            </w:r>
          </w:p>
        </w:tc>
        <w:tc>
          <w:tcPr>
            <w:tcW w:w="988" w:type="dxa"/>
            <w:tcBorders>
              <w:top w:val="nil"/>
              <w:left w:val="nil"/>
              <w:bottom w:val="nil"/>
              <w:right w:val="nil"/>
            </w:tcBorders>
            <w:shd w:val="clear" w:color="000000" w:fill="FFFFFF"/>
            <w:noWrap/>
            <w:vAlign w:val="center"/>
            <w:hideMark/>
          </w:tcPr>
          <w:p w14:paraId="2916007F"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58.2</w:t>
            </w:r>
          </w:p>
        </w:tc>
        <w:tc>
          <w:tcPr>
            <w:tcW w:w="988" w:type="dxa"/>
            <w:tcBorders>
              <w:top w:val="nil"/>
              <w:left w:val="nil"/>
              <w:bottom w:val="nil"/>
              <w:right w:val="nil"/>
            </w:tcBorders>
            <w:shd w:val="clear" w:color="000000" w:fill="FFFFFF"/>
            <w:noWrap/>
            <w:vAlign w:val="center"/>
            <w:hideMark/>
          </w:tcPr>
          <w:p w14:paraId="4C1DC14E"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44.1</w:t>
            </w:r>
          </w:p>
        </w:tc>
        <w:tc>
          <w:tcPr>
            <w:tcW w:w="905" w:type="dxa"/>
            <w:tcBorders>
              <w:top w:val="nil"/>
              <w:left w:val="nil"/>
              <w:bottom w:val="nil"/>
              <w:right w:val="nil"/>
            </w:tcBorders>
            <w:shd w:val="clear" w:color="000000" w:fill="FFFFFF"/>
            <w:noWrap/>
            <w:vAlign w:val="center"/>
            <w:hideMark/>
          </w:tcPr>
          <w:p w14:paraId="2C8DBDE1"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21.8</w:t>
            </w:r>
          </w:p>
        </w:tc>
      </w:tr>
      <w:tr w:rsidR="001253FA" w:rsidRPr="007A16BF" w14:paraId="72B3DF35" w14:textId="77777777" w:rsidTr="00A04D54">
        <w:trPr>
          <w:trHeight w:val="288"/>
        </w:trPr>
        <w:tc>
          <w:tcPr>
            <w:tcW w:w="2977" w:type="dxa"/>
            <w:tcBorders>
              <w:top w:val="nil"/>
              <w:left w:val="nil"/>
              <w:bottom w:val="nil"/>
              <w:right w:val="nil"/>
            </w:tcBorders>
            <w:shd w:val="clear" w:color="000000" w:fill="FFFFFF"/>
            <w:noWrap/>
            <w:vAlign w:val="bottom"/>
            <w:hideMark/>
          </w:tcPr>
          <w:p w14:paraId="06635D15"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T3 (NPK)recommended dose</w:t>
            </w:r>
          </w:p>
        </w:tc>
        <w:tc>
          <w:tcPr>
            <w:tcW w:w="903" w:type="dxa"/>
            <w:tcBorders>
              <w:top w:val="nil"/>
              <w:left w:val="nil"/>
              <w:bottom w:val="nil"/>
              <w:right w:val="nil"/>
            </w:tcBorders>
            <w:shd w:val="clear" w:color="000000" w:fill="FFFFFF"/>
            <w:noWrap/>
            <w:vAlign w:val="bottom"/>
            <w:hideMark/>
          </w:tcPr>
          <w:p w14:paraId="2CF694EB"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81.2</w:t>
            </w:r>
          </w:p>
        </w:tc>
        <w:tc>
          <w:tcPr>
            <w:tcW w:w="989" w:type="dxa"/>
            <w:tcBorders>
              <w:top w:val="nil"/>
              <w:left w:val="nil"/>
              <w:bottom w:val="nil"/>
              <w:right w:val="nil"/>
            </w:tcBorders>
            <w:shd w:val="clear" w:color="000000" w:fill="FFFFFF"/>
            <w:noWrap/>
            <w:vAlign w:val="center"/>
            <w:hideMark/>
          </w:tcPr>
          <w:p w14:paraId="0ABBCE3F"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143.3</w:t>
            </w:r>
          </w:p>
        </w:tc>
        <w:tc>
          <w:tcPr>
            <w:tcW w:w="989" w:type="dxa"/>
            <w:tcBorders>
              <w:top w:val="nil"/>
              <w:left w:val="nil"/>
              <w:bottom w:val="nil"/>
              <w:right w:val="nil"/>
            </w:tcBorders>
            <w:shd w:val="clear" w:color="000000" w:fill="FFFFFF"/>
            <w:noWrap/>
            <w:vAlign w:val="center"/>
            <w:hideMark/>
          </w:tcPr>
          <w:p w14:paraId="61E3F651"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189.9</w:t>
            </w:r>
          </w:p>
        </w:tc>
        <w:tc>
          <w:tcPr>
            <w:tcW w:w="960" w:type="dxa"/>
            <w:tcBorders>
              <w:top w:val="nil"/>
              <w:left w:val="nil"/>
              <w:bottom w:val="nil"/>
              <w:right w:val="nil"/>
            </w:tcBorders>
            <w:shd w:val="clear" w:color="000000" w:fill="FFFFFF"/>
            <w:noWrap/>
            <w:vAlign w:val="bottom"/>
            <w:hideMark/>
          </w:tcPr>
          <w:p w14:paraId="016D5A7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0.022</w:t>
            </w:r>
          </w:p>
        </w:tc>
        <w:tc>
          <w:tcPr>
            <w:tcW w:w="960" w:type="dxa"/>
            <w:tcBorders>
              <w:top w:val="nil"/>
              <w:left w:val="nil"/>
              <w:bottom w:val="nil"/>
              <w:right w:val="nil"/>
            </w:tcBorders>
            <w:shd w:val="clear" w:color="000000" w:fill="FFFFFF"/>
            <w:noWrap/>
            <w:vAlign w:val="bottom"/>
            <w:hideMark/>
          </w:tcPr>
          <w:p w14:paraId="5B3372CC"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w:t>
            </w:r>
          </w:p>
        </w:tc>
        <w:tc>
          <w:tcPr>
            <w:tcW w:w="960" w:type="dxa"/>
            <w:tcBorders>
              <w:top w:val="nil"/>
              <w:left w:val="nil"/>
              <w:bottom w:val="nil"/>
              <w:right w:val="nil"/>
            </w:tcBorders>
            <w:shd w:val="clear" w:color="000000" w:fill="FFFFFF"/>
            <w:noWrap/>
            <w:vAlign w:val="bottom"/>
            <w:hideMark/>
          </w:tcPr>
          <w:p w14:paraId="5FC7DC77"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0.016</w:t>
            </w:r>
          </w:p>
        </w:tc>
        <w:tc>
          <w:tcPr>
            <w:tcW w:w="988" w:type="dxa"/>
            <w:tcBorders>
              <w:top w:val="nil"/>
              <w:left w:val="nil"/>
              <w:bottom w:val="nil"/>
              <w:right w:val="nil"/>
            </w:tcBorders>
            <w:shd w:val="clear" w:color="000000" w:fill="FFFFFF"/>
            <w:noWrap/>
            <w:vAlign w:val="center"/>
            <w:hideMark/>
          </w:tcPr>
          <w:p w14:paraId="1161BD2A"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55.3</w:t>
            </w:r>
          </w:p>
        </w:tc>
        <w:tc>
          <w:tcPr>
            <w:tcW w:w="988" w:type="dxa"/>
            <w:tcBorders>
              <w:top w:val="nil"/>
              <w:left w:val="nil"/>
              <w:bottom w:val="nil"/>
              <w:right w:val="nil"/>
            </w:tcBorders>
            <w:shd w:val="clear" w:color="000000" w:fill="FFFFFF"/>
            <w:noWrap/>
            <w:vAlign w:val="center"/>
            <w:hideMark/>
          </w:tcPr>
          <w:p w14:paraId="6DA2B85D"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42.5</w:t>
            </w:r>
          </w:p>
        </w:tc>
        <w:tc>
          <w:tcPr>
            <w:tcW w:w="905" w:type="dxa"/>
            <w:tcBorders>
              <w:top w:val="nil"/>
              <w:left w:val="nil"/>
              <w:bottom w:val="nil"/>
              <w:right w:val="nil"/>
            </w:tcBorders>
            <w:shd w:val="clear" w:color="000000" w:fill="FFFFFF"/>
            <w:noWrap/>
            <w:vAlign w:val="center"/>
            <w:hideMark/>
          </w:tcPr>
          <w:p w14:paraId="1687CC43"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22.7</w:t>
            </w:r>
          </w:p>
        </w:tc>
      </w:tr>
      <w:tr w:rsidR="001253FA" w:rsidRPr="007A16BF" w14:paraId="66C0FF05" w14:textId="77777777" w:rsidTr="00A04D54">
        <w:trPr>
          <w:trHeight w:val="288"/>
        </w:trPr>
        <w:tc>
          <w:tcPr>
            <w:tcW w:w="2977" w:type="dxa"/>
            <w:tcBorders>
              <w:top w:val="nil"/>
              <w:left w:val="nil"/>
              <w:bottom w:val="nil"/>
              <w:right w:val="nil"/>
            </w:tcBorders>
            <w:shd w:val="clear" w:color="000000" w:fill="FFFFFF"/>
            <w:noWrap/>
            <w:vAlign w:val="bottom"/>
            <w:hideMark/>
          </w:tcPr>
          <w:p w14:paraId="7986EF48"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T4 (NPKZ)recommended dose</w:t>
            </w:r>
          </w:p>
        </w:tc>
        <w:tc>
          <w:tcPr>
            <w:tcW w:w="903" w:type="dxa"/>
            <w:tcBorders>
              <w:top w:val="nil"/>
              <w:left w:val="nil"/>
              <w:bottom w:val="nil"/>
              <w:right w:val="nil"/>
            </w:tcBorders>
            <w:shd w:val="clear" w:color="000000" w:fill="FFFFFF"/>
            <w:noWrap/>
            <w:vAlign w:val="bottom"/>
            <w:hideMark/>
          </w:tcPr>
          <w:p w14:paraId="4896A740"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83.7</w:t>
            </w:r>
          </w:p>
        </w:tc>
        <w:tc>
          <w:tcPr>
            <w:tcW w:w="989" w:type="dxa"/>
            <w:tcBorders>
              <w:top w:val="nil"/>
              <w:left w:val="nil"/>
              <w:bottom w:val="nil"/>
              <w:right w:val="nil"/>
            </w:tcBorders>
            <w:shd w:val="clear" w:color="000000" w:fill="FFFFFF"/>
            <w:noWrap/>
            <w:vAlign w:val="center"/>
            <w:hideMark/>
          </w:tcPr>
          <w:p w14:paraId="569B1319"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148.0</w:t>
            </w:r>
          </w:p>
        </w:tc>
        <w:tc>
          <w:tcPr>
            <w:tcW w:w="989" w:type="dxa"/>
            <w:tcBorders>
              <w:top w:val="nil"/>
              <w:left w:val="nil"/>
              <w:bottom w:val="nil"/>
              <w:right w:val="nil"/>
            </w:tcBorders>
            <w:shd w:val="clear" w:color="000000" w:fill="FFFFFF"/>
            <w:noWrap/>
            <w:vAlign w:val="center"/>
            <w:hideMark/>
          </w:tcPr>
          <w:p w14:paraId="16387F8D"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190.5</w:t>
            </w:r>
          </w:p>
        </w:tc>
        <w:tc>
          <w:tcPr>
            <w:tcW w:w="960" w:type="dxa"/>
            <w:tcBorders>
              <w:top w:val="nil"/>
              <w:left w:val="nil"/>
              <w:bottom w:val="nil"/>
              <w:right w:val="nil"/>
            </w:tcBorders>
            <w:shd w:val="clear" w:color="000000" w:fill="FFFFFF"/>
            <w:noWrap/>
            <w:vAlign w:val="bottom"/>
            <w:hideMark/>
          </w:tcPr>
          <w:p w14:paraId="1081F30E"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0.022</w:t>
            </w:r>
          </w:p>
        </w:tc>
        <w:tc>
          <w:tcPr>
            <w:tcW w:w="960" w:type="dxa"/>
            <w:tcBorders>
              <w:top w:val="nil"/>
              <w:left w:val="nil"/>
              <w:bottom w:val="nil"/>
              <w:right w:val="nil"/>
            </w:tcBorders>
            <w:shd w:val="clear" w:color="000000" w:fill="FFFFFF"/>
            <w:noWrap/>
            <w:vAlign w:val="bottom"/>
            <w:hideMark/>
          </w:tcPr>
          <w:p w14:paraId="645627B7"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w:t>
            </w:r>
          </w:p>
        </w:tc>
        <w:tc>
          <w:tcPr>
            <w:tcW w:w="960" w:type="dxa"/>
            <w:tcBorders>
              <w:top w:val="nil"/>
              <w:left w:val="nil"/>
              <w:bottom w:val="nil"/>
              <w:right w:val="nil"/>
            </w:tcBorders>
            <w:shd w:val="clear" w:color="000000" w:fill="FFFFFF"/>
            <w:noWrap/>
            <w:vAlign w:val="bottom"/>
            <w:hideMark/>
          </w:tcPr>
          <w:p w14:paraId="583E8A3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0.015</w:t>
            </w:r>
          </w:p>
        </w:tc>
        <w:tc>
          <w:tcPr>
            <w:tcW w:w="988" w:type="dxa"/>
            <w:tcBorders>
              <w:top w:val="nil"/>
              <w:left w:val="nil"/>
              <w:bottom w:val="nil"/>
              <w:right w:val="nil"/>
            </w:tcBorders>
            <w:shd w:val="clear" w:color="000000" w:fill="FFFFFF"/>
            <w:noWrap/>
            <w:vAlign w:val="center"/>
            <w:hideMark/>
          </w:tcPr>
          <w:p w14:paraId="72487D86"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55.8</w:t>
            </w:r>
          </w:p>
        </w:tc>
        <w:tc>
          <w:tcPr>
            <w:tcW w:w="988" w:type="dxa"/>
            <w:tcBorders>
              <w:top w:val="nil"/>
              <w:left w:val="nil"/>
              <w:bottom w:val="nil"/>
              <w:right w:val="nil"/>
            </w:tcBorders>
            <w:shd w:val="clear" w:color="000000" w:fill="FFFFFF"/>
            <w:noWrap/>
            <w:vAlign w:val="center"/>
            <w:hideMark/>
          </w:tcPr>
          <w:p w14:paraId="620463F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42.8</w:t>
            </w:r>
          </w:p>
        </w:tc>
        <w:tc>
          <w:tcPr>
            <w:tcW w:w="905" w:type="dxa"/>
            <w:tcBorders>
              <w:top w:val="nil"/>
              <w:left w:val="nil"/>
              <w:bottom w:val="nil"/>
              <w:right w:val="nil"/>
            </w:tcBorders>
            <w:shd w:val="clear" w:color="000000" w:fill="FFFFFF"/>
            <w:noWrap/>
            <w:vAlign w:val="center"/>
            <w:hideMark/>
          </w:tcPr>
          <w:p w14:paraId="5D7B8598"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22.3</w:t>
            </w:r>
          </w:p>
        </w:tc>
      </w:tr>
      <w:tr w:rsidR="001253FA" w:rsidRPr="007A16BF" w14:paraId="102BB2EE" w14:textId="77777777" w:rsidTr="00A04D54">
        <w:trPr>
          <w:trHeight w:val="288"/>
        </w:trPr>
        <w:tc>
          <w:tcPr>
            <w:tcW w:w="2977" w:type="dxa"/>
            <w:tcBorders>
              <w:top w:val="nil"/>
              <w:left w:val="nil"/>
              <w:bottom w:val="nil"/>
              <w:right w:val="nil"/>
            </w:tcBorders>
            <w:shd w:val="clear" w:color="000000" w:fill="FFFFFF"/>
            <w:noWrap/>
            <w:vAlign w:val="bottom"/>
            <w:hideMark/>
          </w:tcPr>
          <w:p w14:paraId="150444C0"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 xml:space="preserve">T5 -N(PKZ) </w:t>
            </w:r>
            <w:proofErr w:type="spellStart"/>
            <w:r w:rsidRPr="007A16BF">
              <w:rPr>
                <w:rFonts w:ascii="Times New Roman" w:eastAsia="Times New Roman" w:hAnsi="Times New Roman" w:cs="Times New Roman"/>
                <w:color w:val="000000"/>
                <w:kern w:val="0"/>
                <w:sz w:val="22"/>
                <w:szCs w:val="22"/>
                <w:lang w:eastAsia="en-IN"/>
                <w14:ligatures w14:val="none"/>
              </w:rPr>
              <w:t>stb</w:t>
            </w:r>
            <w:proofErr w:type="spellEnd"/>
          </w:p>
        </w:tc>
        <w:tc>
          <w:tcPr>
            <w:tcW w:w="903" w:type="dxa"/>
            <w:tcBorders>
              <w:top w:val="nil"/>
              <w:left w:val="nil"/>
              <w:bottom w:val="nil"/>
              <w:right w:val="nil"/>
            </w:tcBorders>
            <w:shd w:val="clear" w:color="000000" w:fill="FFFFFF"/>
            <w:noWrap/>
            <w:vAlign w:val="bottom"/>
            <w:hideMark/>
          </w:tcPr>
          <w:p w14:paraId="5FCE3CBC"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68.0</w:t>
            </w:r>
          </w:p>
        </w:tc>
        <w:tc>
          <w:tcPr>
            <w:tcW w:w="989" w:type="dxa"/>
            <w:tcBorders>
              <w:top w:val="nil"/>
              <w:left w:val="nil"/>
              <w:bottom w:val="nil"/>
              <w:right w:val="nil"/>
            </w:tcBorders>
            <w:shd w:val="clear" w:color="000000" w:fill="FFFFFF"/>
            <w:noWrap/>
            <w:vAlign w:val="center"/>
            <w:hideMark/>
          </w:tcPr>
          <w:p w14:paraId="05FCE0FA"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119.7</w:t>
            </w:r>
          </w:p>
        </w:tc>
        <w:tc>
          <w:tcPr>
            <w:tcW w:w="989" w:type="dxa"/>
            <w:tcBorders>
              <w:top w:val="nil"/>
              <w:left w:val="nil"/>
              <w:bottom w:val="nil"/>
              <w:right w:val="nil"/>
            </w:tcBorders>
            <w:shd w:val="clear" w:color="000000" w:fill="FFFFFF"/>
            <w:noWrap/>
            <w:vAlign w:val="center"/>
            <w:hideMark/>
          </w:tcPr>
          <w:p w14:paraId="514F80C8"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153.3</w:t>
            </w:r>
          </w:p>
        </w:tc>
        <w:tc>
          <w:tcPr>
            <w:tcW w:w="960" w:type="dxa"/>
            <w:tcBorders>
              <w:top w:val="nil"/>
              <w:left w:val="nil"/>
              <w:bottom w:val="nil"/>
              <w:right w:val="nil"/>
            </w:tcBorders>
            <w:shd w:val="clear" w:color="000000" w:fill="FFFFFF"/>
            <w:noWrap/>
            <w:vAlign w:val="bottom"/>
            <w:hideMark/>
          </w:tcPr>
          <w:p w14:paraId="720C47B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0.022</w:t>
            </w:r>
          </w:p>
        </w:tc>
        <w:tc>
          <w:tcPr>
            <w:tcW w:w="960" w:type="dxa"/>
            <w:tcBorders>
              <w:top w:val="nil"/>
              <w:left w:val="nil"/>
              <w:bottom w:val="nil"/>
              <w:right w:val="nil"/>
            </w:tcBorders>
            <w:shd w:val="clear" w:color="000000" w:fill="FFFFFF"/>
            <w:noWrap/>
            <w:vAlign w:val="bottom"/>
            <w:hideMark/>
          </w:tcPr>
          <w:p w14:paraId="5C27B66E"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w:t>
            </w:r>
          </w:p>
        </w:tc>
        <w:tc>
          <w:tcPr>
            <w:tcW w:w="960" w:type="dxa"/>
            <w:tcBorders>
              <w:top w:val="nil"/>
              <w:left w:val="nil"/>
              <w:bottom w:val="nil"/>
              <w:right w:val="nil"/>
            </w:tcBorders>
            <w:shd w:val="clear" w:color="000000" w:fill="FFFFFF"/>
            <w:noWrap/>
            <w:vAlign w:val="bottom"/>
            <w:hideMark/>
          </w:tcPr>
          <w:p w14:paraId="7A8E857B"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0.015</w:t>
            </w:r>
          </w:p>
        </w:tc>
        <w:tc>
          <w:tcPr>
            <w:tcW w:w="988" w:type="dxa"/>
            <w:tcBorders>
              <w:top w:val="nil"/>
              <w:left w:val="nil"/>
              <w:bottom w:val="nil"/>
              <w:right w:val="nil"/>
            </w:tcBorders>
            <w:shd w:val="clear" w:color="000000" w:fill="FFFFFF"/>
            <w:noWrap/>
            <w:vAlign w:val="center"/>
            <w:hideMark/>
          </w:tcPr>
          <w:p w14:paraId="48A3B2A0"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50.7</w:t>
            </w:r>
          </w:p>
        </w:tc>
        <w:tc>
          <w:tcPr>
            <w:tcW w:w="988" w:type="dxa"/>
            <w:tcBorders>
              <w:top w:val="nil"/>
              <w:left w:val="nil"/>
              <w:bottom w:val="nil"/>
              <w:right w:val="nil"/>
            </w:tcBorders>
            <w:shd w:val="clear" w:color="000000" w:fill="FFFFFF"/>
            <w:noWrap/>
            <w:vAlign w:val="center"/>
            <w:hideMark/>
          </w:tcPr>
          <w:p w14:paraId="4B08702D"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38.9</w:t>
            </w:r>
          </w:p>
        </w:tc>
        <w:tc>
          <w:tcPr>
            <w:tcW w:w="905" w:type="dxa"/>
            <w:tcBorders>
              <w:top w:val="nil"/>
              <w:left w:val="nil"/>
              <w:bottom w:val="nil"/>
              <w:right w:val="nil"/>
            </w:tcBorders>
            <w:shd w:val="clear" w:color="000000" w:fill="FFFFFF"/>
            <w:noWrap/>
            <w:vAlign w:val="center"/>
            <w:hideMark/>
          </w:tcPr>
          <w:p w14:paraId="1DC45633"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21.4</w:t>
            </w:r>
          </w:p>
        </w:tc>
      </w:tr>
      <w:tr w:rsidR="001253FA" w:rsidRPr="007A16BF" w14:paraId="782FABFA" w14:textId="77777777" w:rsidTr="00A04D54">
        <w:trPr>
          <w:trHeight w:val="288"/>
        </w:trPr>
        <w:tc>
          <w:tcPr>
            <w:tcW w:w="2977" w:type="dxa"/>
            <w:tcBorders>
              <w:top w:val="nil"/>
              <w:left w:val="nil"/>
              <w:bottom w:val="nil"/>
              <w:right w:val="nil"/>
            </w:tcBorders>
            <w:shd w:val="clear" w:color="000000" w:fill="FFFFFF"/>
            <w:noWrap/>
            <w:vAlign w:val="bottom"/>
            <w:hideMark/>
          </w:tcPr>
          <w:p w14:paraId="777C041D"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 xml:space="preserve">T6 -P (NKZ) </w:t>
            </w:r>
            <w:proofErr w:type="spellStart"/>
            <w:r w:rsidRPr="007A16BF">
              <w:rPr>
                <w:rFonts w:ascii="Times New Roman" w:eastAsia="Times New Roman" w:hAnsi="Times New Roman" w:cs="Times New Roman"/>
                <w:color w:val="000000"/>
                <w:kern w:val="0"/>
                <w:sz w:val="22"/>
                <w:szCs w:val="22"/>
                <w:lang w:eastAsia="en-IN"/>
                <w14:ligatures w14:val="none"/>
              </w:rPr>
              <w:t>stb</w:t>
            </w:r>
            <w:proofErr w:type="spellEnd"/>
          </w:p>
        </w:tc>
        <w:tc>
          <w:tcPr>
            <w:tcW w:w="903" w:type="dxa"/>
            <w:tcBorders>
              <w:top w:val="nil"/>
              <w:left w:val="nil"/>
              <w:bottom w:val="nil"/>
              <w:right w:val="nil"/>
            </w:tcBorders>
            <w:shd w:val="clear" w:color="000000" w:fill="FFFFFF"/>
            <w:noWrap/>
            <w:vAlign w:val="bottom"/>
            <w:hideMark/>
          </w:tcPr>
          <w:p w14:paraId="6BB6BA7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72.0</w:t>
            </w:r>
          </w:p>
        </w:tc>
        <w:tc>
          <w:tcPr>
            <w:tcW w:w="989" w:type="dxa"/>
            <w:tcBorders>
              <w:top w:val="nil"/>
              <w:left w:val="nil"/>
              <w:bottom w:val="nil"/>
              <w:right w:val="nil"/>
            </w:tcBorders>
            <w:shd w:val="clear" w:color="000000" w:fill="FFFFFF"/>
            <w:noWrap/>
            <w:vAlign w:val="center"/>
            <w:hideMark/>
          </w:tcPr>
          <w:p w14:paraId="5C1BDFF6"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128.3</w:t>
            </w:r>
          </w:p>
        </w:tc>
        <w:tc>
          <w:tcPr>
            <w:tcW w:w="989" w:type="dxa"/>
            <w:tcBorders>
              <w:top w:val="nil"/>
              <w:left w:val="nil"/>
              <w:bottom w:val="nil"/>
              <w:right w:val="nil"/>
            </w:tcBorders>
            <w:shd w:val="clear" w:color="000000" w:fill="FFFFFF"/>
            <w:noWrap/>
            <w:vAlign w:val="center"/>
            <w:hideMark/>
          </w:tcPr>
          <w:p w14:paraId="346BC8E5"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154.1</w:t>
            </w:r>
          </w:p>
        </w:tc>
        <w:tc>
          <w:tcPr>
            <w:tcW w:w="960" w:type="dxa"/>
            <w:tcBorders>
              <w:top w:val="nil"/>
              <w:left w:val="nil"/>
              <w:bottom w:val="nil"/>
              <w:right w:val="nil"/>
            </w:tcBorders>
            <w:shd w:val="clear" w:color="000000" w:fill="FFFFFF"/>
            <w:noWrap/>
            <w:vAlign w:val="bottom"/>
            <w:hideMark/>
          </w:tcPr>
          <w:p w14:paraId="2606BB9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0.021</w:t>
            </w:r>
          </w:p>
        </w:tc>
        <w:tc>
          <w:tcPr>
            <w:tcW w:w="960" w:type="dxa"/>
            <w:tcBorders>
              <w:top w:val="nil"/>
              <w:left w:val="nil"/>
              <w:bottom w:val="nil"/>
              <w:right w:val="nil"/>
            </w:tcBorders>
            <w:shd w:val="clear" w:color="000000" w:fill="FFFFFF"/>
            <w:noWrap/>
            <w:vAlign w:val="bottom"/>
            <w:hideMark/>
          </w:tcPr>
          <w:p w14:paraId="6B56F40E"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w:t>
            </w:r>
          </w:p>
        </w:tc>
        <w:tc>
          <w:tcPr>
            <w:tcW w:w="960" w:type="dxa"/>
            <w:tcBorders>
              <w:top w:val="nil"/>
              <w:left w:val="nil"/>
              <w:bottom w:val="nil"/>
              <w:right w:val="nil"/>
            </w:tcBorders>
            <w:shd w:val="clear" w:color="000000" w:fill="FFFFFF"/>
            <w:noWrap/>
            <w:vAlign w:val="bottom"/>
            <w:hideMark/>
          </w:tcPr>
          <w:p w14:paraId="01DDAE6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0.015</w:t>
            </w:r>
          </w:p>
        </w:tc>
        <w:tc>
          <w:tcPr>
            <w:tcW w:w="988" w:type="dxa"/>
            <w:tcBorders>
              <w:top w:val="nil"/>
              <w:left w:val="nil"/>
              <w:bottom w:val="nil"/>
              <w:right w:val="nil"/>
            </w:tcBorders>
            <w:shd w:val="clear" w:color="000000" w:fill="FFFFFF"/>
            <w:noWrap/>
            <w:vAlign w:val="center"/>
            <w:hideMark/>
          </w:tcPr>
          <w:p w14:paraId="30778B4B"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51.8</w:t>
            </w:r>
          </w:p>
        </w:tc>
        <w:tc>
          <w:tcPr>
            <w:tcW w:w="988" w:type="dxa"/>
            <w:tcBorders>
              <w:top w:val="nil"/>
              <w:left w:val="nil"/>
              <w:bottom w:val="nil"/>
              <w:right w:val="nil"/>
            </w:tcBorders>
            <w:shd w:val="clear" w:color="000000" w:fill="FFFFFF"/>
            <w:noWrap/>
            <w:vAlign w:val="center"/>
            <w:hideMark/>
          </w:tcPr>
          <w:p w14:paraId="75277DBC"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39.7</w:t>
            </w:r>
          </w:p>
        </w:tc>
        <w:tc>
          <w:tcPr>
            <w:tcW w:w="905" w:type="dxa"/>
            <w:tcBorders>
              <w:top w:val="nil"/>
              <w:left w:val="nil"/>
              <w:bottom w:val="nil"/>
              <w:right w:val="nil"/>
            </w:tcBorders>
            <w:shd w:val="clear" w:color="000000" w:fill="FFFFFF"/>
            <w:noWrap/>
            <w:vAlign w:val="center"/>
            <w:hideMark/>
          </w:tcPr>
          <w:p w14:paraId="070F7CB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21.8</w:t>
            </w:r>
          </w:p>
        </w:tc>
      </w:tr>
      <w:tr w:rsidR="001253FA" w:rsidRPr="007A16BF" w14:paraId="5559BC39" w14:textId="77777777" w:rsidTr="00A04D54">
        <w:trPr>
          <w:trHeight w:val="288"/>
        </w:trPr>
        <w:tc>
          <w:tcPr>
            <w:tcW w:w="2977" w:type="dxa"/>
            <w:tcBorders>
              <w:top w:val="nil"/>
              <w:left w:val="nil"/>
              <w:bottom w:val="nil"/>
              <w:right w:val="nil"/>
            </w:tcBorders>
            <w:shd w:val="clear" w:color="000000" w:fill="FFFFFF"/>
            <w:noWrap/>
            <w:vAlign w:val="bottom"/>
            <w:hideMark/>
          </w:tcPr>
          <w:p w14:paraId="57E58490"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 xml:space="preserve">T7 -K (NPZ) </w:t>
            </w:r>
            <w:proofErr w:type="spellStart"/>
            <w:r w:rsidRPr="007A16BF">
              <w:rPr>
                <w:rFonts w:ascii="Times New Roman" w:eastAsia="Times New Roman" w:hAnsi="Times New Roman" w:cs="Times New Roman"/>
                <w:color w:val="000000"/>
                <w:kern w:val="0"/>
                <w:sz w:val="22"/>
                <w:szCs w:val="22"/>
                <w:lang w:eastAsia="en-IN"/>
                <w14:ligatures w14:val="none"/>
              </w:rPr>
              <w:t>stb</w:t>
            </w:r>
            <w:proofErr w:type="spellEnd"/>
          </w:p>
        </w:tc>
        <w:tc>
          <w:tcPr>
            <w:tcW w:w="903" w:type="dxa"/>
            <w:tcBorders>
              <w:top w:val="nil"/>
              <w:left w:val="nil"/>
              <w:bottom w:val="nil"/>
              <w:right w:val="nil"/>
            </w:tcBorders>
            <w:shd w:val="clear" w:color="000000" w:fill="FFFFFF"/>
            <w:noWrap/>
            <w:vAlign w:val="bottom"/>
            <w:hideMark/>
          </w:tcPr>
          <w:p w14:paraId="1B1B7423"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78.7</w:t>
            </w:r>
          </w:p>
        </w:tc>
        <w:tc>
          <w:tcPr>
            <w:tcW w:w="989" w:type="dxa"/>
            <w:tcBorders>
              <w:top w:val="nil"/>
              <w:left w:val="nil"/>
              <w:bottom w:val="nil"/>
              <w:right w:val="nil"/>
            </w:tcBorders>
            <w:shd w:val="clear" w:color="000000" w:fill="FFFFFF"/>
            <w:noWrap/>
            <w:vAlign w:val="center"/>
            <w:hideMark/>
          </w:tcPr>
          <w:p w14:paraId="074324CE"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140.0</w:t>
            </w:r>
          </w:p>
        </w:tc>
        <w:tc>
          <w:tcPr>
            <w:tcW w:w="989" w:type="dxa"/>
            <w:tcBorders>
              <w:top w:val="nil"/>
              <w:left w:val="nil"/>
              <w:bottom w:val="nil"/>
              <w:right w:val="nil"/>
            </w:tcBorders>
            <w:shd w:val="clear" w:color="000000" w:fill="FFFFFF"/>
            <w:noWrap/>
            <w:vAlign w:val="center"/>
            <w:hideMark/>
          </w:tcPr>
          <w:p w14:paraId="35E7AE41"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164.9</w:t>
            </w:r>
          </w:p>
        </w:tc>
        <w:tc>
          <w:tcPr>
            <w:tcW w:w="960" w:type="dxa"/>
            <w:tcBorders>
              <w:top w:val="nil"/>
              <w:left w:val="nil"/>
              <w:bottom w:val="nil"/>
              <w:right w:val="nil"/>
            </w:tcBorders>
            <w:shd w:val="clear" w:color="000000" w:fill="FFFFFF"/>
            <w:noWrap/>
            <w:vAlign w:val="bottom"/>
            <w:hideMark/>
          </w:tcPr>
          <w:p w14:paraId="1414CF07"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0.021</w:t>
            </w:r>
          </w:p>
        </w:tc>
        <w:tc>
          <w:tcPr>
            <w:tcW w:w="960" w:type="dxa"/>
            <w:tcBorders>
              <w:top w:val="nil"/>
              <w:left w:val="nil"/>
              <w:bottom w:val="nil"/>
              <w:right w:val="nil"/>
            </w:tcBorders>
            <w:shd w:val="clear" w:color="000000" w:fill="FFFFFF"/>
            <w:noWrap/>
            <w:vAlign w:val="bottom"/>
            <w:hideMark/>
          </w:tcPr>
          <w:p w14:paraId="7D570A18"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w:t>
            </w:r>
          </w:p>
        </w:tc>
        <w:tc>
          <w:tcPr>
            <w:tcW w:w="960" w:type="dxa"/>
            <w:tcBorders>
              <w:top w:val="nil"/>
              <w:left w:val="nil"/>
              <w:bottom w:val="nil"/>
              <w:right w:val="nil"/>
            </w:tcBorders>
            <w:shd w:val="clear" w:color="000000" w:fill="FFFFFF"/>
            <w:noWrap/>
            <w:vAlign w:val="bottom"/>
            <w:hideMark/>
          </w:tcPr>
          <w:p w14:paraId="0F2B30A9"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0.014</w:t>
            </w:r>
          </w:p>
        </w:tc>
        <w:tc>
          <w:tcPr>
            <w:tcW w:w="988" w:type="dxa"/>
            <w:tcBorders>
              <w:top w:val="nil"/>
              <w:left w:val="nil"/>
              <w:bottom w:val="nil"/>
              <w:right w:val="nil"/>
            </w:tcBorders>
            <w:shd w:val="clear" w:color="000000" w:fill="FFFFFF"/>
            <w:noWrap/>
            <w:vAlign w:val="center"/>
            <w:hideMark/>
          </w:tcPr>
          <w:p w14:paraId="06F67347"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53.5</w:t>
            </w:r>
          </w:p>
        </w:tc>
        <w:tc>
          <w:tcPr>
            <w:tcW w:w="988" w:type="dxa"/>
            <w:tcBorders>
              <w:top w:val="nil"/>
              <w:left w:val="nil"/>
              <w:bottom w:val="nil"/>
              <w:right w:val="nil"/>
            </w:tcBorders>
            <w:shd w:val="clear" w:color="000000" w:fill="FFFFFF"/>
            <w:noWrap/>
            <w:vAlign w:val="center"/>
            <w:hideMark/>
          </w:tcPr>
          <w:p w14:paraId="37B120E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41.1</w:t>
            </w:r>
          </w:p>
        </w:tc>
        <w:tc>
          <w:tcPr>
            <w:tcW w:w="905" w:type="dxa"/>
            <w:tcBorders>
              <w:top w:val="nil"/>
              <w:left w:val="nil"/>
              <w:bottom w:val="nil"/>
              <w:right w:val="nil"/>
            </w:tcBorders>
            <w:shd w:val="clear" w:color="000000" w:fill="FFFFFF"/>
            <w:noWrap/>
            <w:vAlign w:val="center"/>
            <w:hideMark/>
          </w:tcPr>
          <w:p w14:paraId="2147AA37"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22.1</w:t>
            </w:r>
          </w:p>
        </w:tc>
      </w:tr>
      <w:tr w:rsidR="001253FA" w:rsidRPr="007A16BF" w14:paraId="600CD849" w14:textId="77777777" w:rsidTr="00A04D54">
        <w:trPr>
          <w:trHeight w:val="288"/>
        </w:trPr>
        <w:tc>
          <w:tcPr>
            <w:tcW w:w="2977" w:type="dxa"/>
            <w:tcBorders>
              <w:top w:val="nil"/>
              <w:left w:val="nil"/>
              <w:bottom w:val="nil"/>
              <w:right w:val="nil"/>
            </w:tcBorders>
            <w:shd w:val="clear" w:color="000000" w:fill="FFFFFF"/>
            <w:noWrap/>
            <w:vAlign w:val="bottom"/>
            <w:hideMark/>
          </w:tcPr>
          <w:p w14:paraId="6E96B20B"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 xml:space="preserve">T8 -NZ (PK) </w:t>
            </w:r>
            <w:proofErr w:type="spellStart"/>
            <w:r w:rsidRPr="007A16BF">
              <w:rPr>
                <w:rFonts w:ascii="Times New Roman" w:eastAsia="Times New Roman" w:hAnsi="Times New Roman" w:cs="Times New Roman"/>
                <w:color w:val="000000"/>
                <w:kern w:val="0"/>
                <w:sz w:val="22"/>
                <w:szCs w:val="22"/>
                <w:lang w:eastAsia="en-IN"/>
                <w14:ligatures w14:val="none"/>
              </w:rPr>
              <w:t>stb</w:t>
            </w:r>
            <w:proofErr w:type="spellEnd"/>
          </w:p>
        </w:tc>
        <w:tc>
          <w:tcPr>
            <w:tcW w:w="903" w:type="dxa"/>
            <w:tcBorders>
              <w:top w:val="nil"/>
              <w:left w:val="nil"/>
              <w:bottom w:val="nil"/>
              <w:right w:val="nil"/>
            </w:tcBorders>
            <w:shd w:val="clear" w:color="000000" w:fill="FFFFFF"/>
            <w:noWrap/>
            <w:vAlign w:val="bottom"/>
            <w:hideMark/>
          </w:tcPr>
          <w:p w14:paraId="263939F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65.7</w:t>
            </w:r>
          </w:p>
        </w:tc>
        <w:tc>
          <w:tcPr>
            <w:tcW w:w="989" w:type="dxa"/>
            <w:tcBorders>
              <w:top w:val="nil"/>
              <w:left w:val="nil"/>
              <w:bottom w:val="nil"/>
              <w:right w:val="nil"/>
            </w:tcBorders>
            <w:shd w:val="clear" w:color="000000" w:fill="FFFFFF"/>
            <w:noWrap/>
            <w:vAlign w:val="center"/>
            <w:hideMark/>
          </w:tcPr>
          <w:p w14:paraId="7C70CCC1"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116.0</w:t>
            </w:r>
          </w:p>
        </w:tc>
        <w:tc>
          <w:tcPr>
            <w:tcW w:w="989" w:type="dxa"/>
            <w:tcBorders>
              <w:top w:val="nil"/>
              <w:left w:val="nil"/>
              <w:bottom w:val="nil"/>
              <w:right w:val="nil"/>
            </w:tcBorders>
            <w:shd w:val="clear" w:color="000000" w:fill="FFFFFF"/>
            <w:noWrap/>
            <w:vAlign w:val="center"/>
            <w:hideMark/>
          </w:tcPr>
          <w:p w14:paraId="0E6C122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154.3</w:t>
            </w:r>
          </w:p>
        </w:tc>
        <w:tc>
          <w:tcPr>
            <w:tcW w:w="960" w:type="dxa"/>
            <w:tcBorders>
              <w:top w:val="nil"/>
              <w:left w:val="nil"/>
              <w:bottom w:val="nil"/>
              <w:right w:val="nil"/>
            </w:tcBorders>
            <w:shd w:val="clear" w:color="000000" w:fill="FFFFFF"/>
            <w:noWrap/>
            <w:vAlign w:val="bottom"/>
            <w:hideMark/>
          </w:tcPr>
          <w:p w14:paraId="63006C4E"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0.022</w:t>
            </w:r>
          </w:p>
        </w:tc>
        <w:tc>
          <w:tcPr>
            <w:tcW w:w="960" w:type="dxa"/>
            <w:tcBorders>
              <w:top w:val="nil"/>
              <w:left w:val="nil"/>
              <w:bottom w:val="nil"/>
              <w:right w:val="nil"/>
            </w:tcBorders>
            <w:shd w:val="clear" w:color="000000" w:fill="FFFFFF"/>
            <w:noWrap/>
            <w:vAlign w:val="bottom"/>
            <w:hideMark/>
          </w:tcPr>
          <w:p w14:paraId="2247D0E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w:t>
            </w:r>
          </w:p>
        </w:tc>
        <w:tc>
          <w:tcPr>
            <w:tcW w:w="960" w:type="dxa"/>
            <w:tcBorders>
              <w:top w:val="nil"/>
              <w:left w:val="nil"/>
              <w:bottom w:val="nil"/>
              <w:right w:val="nil"/>
            </w:tcBorders>
            <w:shd w:val="clear" w:color="000000" w:fill="FFFFFF"/>
            <w:noWrap/>
            <w:vAlign w:val="bottom"/>
            <w:hideMark/>
          </w:tcPr>
          <w:p w14:paraId="38258B87"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0.016</w:t>
            </w:r>
          </w:p>
        </w:tc>
        <w:tc>
          <w:tcPr>
            <w:tcW w:w="988" w:type="dxa"/>
            <w:tcBorders>
              <w:top w:val="nil"/>
              <w:left w:val="nil"/>
              <w:bottom w:val="nil"/>
              <w:right w:val="nil"/>
            </w:tcBorders>
            <w:shd w:val="clear" w:color="000000" w:fill="FFFFFF"/>
            <w:noWrap/>
            <w:vAlign w:val="center"/>
            <w:hideMark/>
          </w:tcPr>
          <w:p w14:paraId="13668593"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50.1</w:t>
            </w:r>
          </w:p>
        </w:tc>
        <w:tc>
          <w:tcPr>
            <w:tcW w:w="988" w:type="dxa"/>
            <w:tcBorders>
              <w:top w:val="nil"/>
              <w:left w:val="nil"/>
              <w:bottom w:val="nil"/>
              <w:right w:val="nil"/>
            </w:tcBorders>
            <w:shd w:val="clear" w:color="000000" w:fill="FFFFFF"/>
            <w:noWrap/>
            <w:vAlign w:val="center"/>
            <w:hideMark/>
          </w:tcPr>
          <w:p w14:paraId="5F1F0F79"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38.5</w:t>
            </w:r>
          </w:p>
        </w:tc>
        <w:tc>
          <w:tcPr>
            <w:tcW w:w="905" w:type="dxa"/>
            <w:tcBorders>
              <w:top w:val="nil"/>
              <w:left w:val="nil"/>
              <w:bottom w:val="nil"/>
              <w:right w:val="nil"/>
            </w:tcBorders>
            <w:shd w:val="clear" w:color="000000" w:fill="FFFFFF"/>
            <w:noWrap/>
            <w:vAlign w:val="center"/>
            <w:hideMark/>
          </w:tcPr>
          <w:p w14:paraId="45A1823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21.6</w:t>
            </w:r>
          </w:p>
        </w:tc>
      </w:tr>
      <w:tr w:rsidR="001253FA" w:rsidRPr="007A16BF" w14:paraId="7AAB40A5" w14:textId="77777777" w:rsidTr="00A04D54">
        <w:trPr>
          <w:trHeight w:val="288"/>
        </w:trPr>
        <w:tc>
          <w:tcPr>
            <w:tcW w:w="2977" w:type="dxa"/>
            <w:tcBorders>
              <w:top w:val="nil"/>
              <w:left w:val="nil"/>
              <w:bottom w:val="nil"/>
              <w:right w:val="nil"/>
            </w:tcBorders>
            <w:shd w:val="clear" w:color="000000" w:fill="FFFFFF"/>
            <w:noWrap/>
            <w:vAlign w:val="bottom"/>
            <w:hideMark/>
          </w:tcPr>
          <w:p w14:paraId="67D248BA"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 xml:space="preserve">T9 -PZ (NK) </w:t>
            </w:r>
            <w:proofErr w:type="spellStart"/>
            <w:r w:rsidRPr="007A16BF">
              <w:rPr>
                <w:rFonts w:ascii="Times New Roman" w:eastAsia="Times New Roman" w:hAnsi="Times New Roman" w:cs="Times New Roman"/>
                <w:color w:val="000000"/>
                <w:kern w:val="0"/>
                <w:sz w:val="22"/>
                <w:szCs w:val="22"/>
                <w:lang w:eastAsia="en-IN"/>
                <w14:ligatures w14:val="none"/>
              </w:rPr>
              <w:t>stb</w:t>
            </w:r>
            <w:proofErr w:type="spellEnd"/>
          </w:p>
        </w:tc>
        <w:tc>
          <w:tcPr>
            <w:tcW w:w="903" w:type="dxa"/>
            <w:tcBorders>
              <w:top w:val="nil"/>
              <w:left w:val="nil"/>
              <w:bottom w:val="nil"/>
              <w:right w:val="nil"/>
            </w:tcBorders>
            <w:shd w:val="clear" w:color="000000" w:fill="FFFFFF"/>
            <w:noWrap/>
            <w:vAlign w:val="bottom"/>
            <w:hideMark/>
          </w:tcPr>
          <w:p w14:paraId="093CEA1B"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71.3</w:t>
            </w:r>
          </w:p>
        </w:tc>
        <w:tc>
          <w:tcPr>
            <w:tcW w:w="989" w:type="dxa"/>
            <w:tcBorders>
              <w:top w:val="nil"/>
              <w:left w:val="nil"/>
              <w:bottom w:val="nil"/>
              <w:right w:val="nil"/>
            </w:tcBorders>
            <w:shd w:val="clear" w:color="000000" w:fill="FFFFFF"/>
            <w:noWrap/>
            <w:vAlign w:val="center"/>
            <w:hideMark/>
          </w:tcPr>
          <w:p w14:paraId="00EDBBD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127.7</w:t>
            </w:r>
          </w:p>
        </w:tc>
        <w:tc>
          <w:tcPr>
            <w:tcW w:w="989" w:type="dxa"/>
            <w:tcBorders>
              <w:top w:val="nil"/>
              <w:left w:val="nil"/>
              <w:bottom w:val="nil"/>
              <w:right w:val="nil"/>
            </w:tcBorders>
            <w:shd w:val="clear" w:color="000000" w:fill="FFFFFF"/>
            <w:noWrap/>
            <w:vAlign w:val="center"/>
            <w:hideMark/>
          </w:tcPr>
          <w:p w14:paraId="3B4B08A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152.2</w:t>
            </w:r>
          </w:p>
        </w:tc>
        <w:tc>
          <w:tcPr>
            <w:tcW w:w="960" w:type="dxa"/>
            <w:tcBorders>
              <w:top w:val="nil"/>
              <w:left w:val="nil"/>
              <w:bottom w:val="nil"/>
              <w:right w:val="nil"/>
            </w:tcBorders>
            <w:shd w:val="clear" w:color="000000" w:fill="FFFFFF"/>
            <w:noWrap/>
            <w:vAlign w:val="bottom"/>
            <w:hideMark/>
          </w:tcPr>
          <w:p w14:paraId="4897022C"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0.021</w:t>
            </w:r>
          </w:p>
        </w:tc>
        <w:tc>
          <w:tcPr>
            <w:tcW w:w="960" w:type="dxa"/>
            <w:tcBorders>
              <w:top w:val="nil"/>
              <w:left w:val="nil"/>
              <w:bottom w:val="nil"/>
              <w:right w:val="nil"/>
            </w:tcBorders>
            <w:shd w:val="clear" w:color="000000" w:fill="FFFFFF"/>
            <w:noWrap/>
            <w:vAlign w:val="bottom"/>
            <w:hideMark/>
          </w:tcPr>
          <w:p w14:paraId="643B36B0"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w:t>
            </w:r>
          </w:p>
        </w:tc>
        <w:tc>
          <w:tcPr>
            <w:tcW w:w="960" w:type="dxa"/>
            <w:tcBorders>
              <w:top w:val="nil"/>
              <w:left w:val="nil"/>
              <w:bottom w:val="nil"/>
              <w:right w:val="nil"/>
            </w:tcBorders>
            <w:shd w:val="clear" w:color="000000" w:fill="FFFFFF"/>
            <w:noWrap/>
            <w:vAlign w:val="bottom"/>
            <w:hideMark/>
          </w:tcPr>
          <w:p w14:paraId="4EADDC9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0.015</w:t>
            </w:r>
          </w:p>
        </w:tc>
        <w:tc>
          <w:tcPr>
            <w:tcW w:w="988" w:type="dxa"/>
            <w:tcBorders>
              <w:top w:val="nil"/>
              <w:left w:val="nil"/>
              <w:bottom w:val="nil"/>
              <w:right w:val="nil"/>
            </w:tcBorders>
            <w:shd w:val="clear" w:color="000000" w:fill="FFFFFF"/>
            <w:noWrap/>
            <w:vAlign w:val="center"/>
            <w:hideMark/>
          </w:tcPr>
          <w:p w14:paraId="7EF3B6AF"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51.6</w:t>
            </w:r>
          </w:p>
        </w:tc>
        <w:tc>
          <w:tcPr>
            <w:tcW w:w="988" w:type="dxa"/>
            <w:tcBorders>
              <w:top w:val="nil"/>
              <w:left w:val="nil"/>
              <w:bottom w:val="nil"/>
              <w:right w:val="nil"/>
            </w:tcBorders>
            <w:shd w:val="clear" w:color="000000" w:fill="FFFFFF"/>
            <w:noWrap/>
            <w:vAlign w:val="center"/>
            <w:hideMark/>
          </w:tcPr>
          <w:p w14:paraId="66B45C1F"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39.6</w:t>
            </w:r>
          </w:p>
        </w:tc>
        <w:tc>
          <w:tcPr>
            <w:tcW w:w="905" w:type="dxa"/>
            <w:tcBorders>
              <w:top w:val="nil"/>
              <w:left w:val="nil"/>
              <w:bottom w:val="nil"/>
              <w:right w:val="nil"/>
            </w:tcBorders>
            <w:shd w:val="clear" w:color="000000" w:fill="FFFFFF"/>
            <w:noWrap/>
            <w:vAlign w:val="center"/>
            <w:hideMark/>
          </w:tcPr>
          <w:p w14:paraId="303EF78A"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21.7</w:t>
            </w:r>
          </w:p>
        </w:tc>
      </w:tr>
      <w:tr w:rsidR="001253FA" w:rsidRPr="007A16BF" w14:paraId="277942E4" w14:textId="77777777" w:rsidTr="00A04D54">
        <w:trPr>
          <w:trHeight w:val="288"/>
        </w:trPr>
        <w:tc>
          <w:tcPr>
            <w:tcW w:w="2977" w:type="dxa"/>
            <w:tcBorders>
              <w:top w:val="nil"/>
              <w:left w:val="nil"/>
              <w:bottom w:val="nil"/>
              <w:right w:val="nil"/>
            </w:tcBorders>
            <w:shd w:val="clear" w:color="000000" w:fill="FFFFFF"/>
            <w:noWrap/>
            <w:vAlign w:val="bottom"/>
            <w:hideMark/>
          </w:tcPr>
          <w:p w14:paraId="16DC0024"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 xml:space="preserve">T10 -KZ (NP) </w:t>
            </w:r>
            <w:proofErr w:type="spellStart"/>
            <w:r w:rsidRPr="007A16BF">
              <w:rPr>
                <w:rFonts w:ascii="Times New Roman" w:eastAsia="Times New Roman" w:hAnsi="Times New Roman" w:cs="Times New Roman"/>
                <w:color w:val="000000"/>
                <w:kern w:val="0"/>
                <w:sz w:val="22"/>
                <w:szCs w:val="22"/>
                <w:lang w:eastAsia="en-IN"/>
                <w14:ligatures w14:val="none"/>
              </w:rPr>
              <w:t>stb</w:t>
            </w:r>
            <w:proofErr w:type="spellEnd"/>
          </w:p>
        </w:tc>
        <w:tc>
          <w:tcPr>
            <w:tcW w:w="903" w:type="dxa"/>
            <w:tcBorders>
              <w:top w:val="nil"/>
              <w:left w:val="nil"/>
              <w:bottom w:val="nil"/>
              <w:right w:val="nil"/>
            </w:tcBorders>
            <w:shd w:val="clear" w:color="000000" w:fill="FFFFFF"/>
            <w:noWrap/>
            <w:vAlign w:val="bottom"/>
            <w:hideMark/>
          </w:tcPr>
          <w:p w14:paraId="10FE24D8"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76.7</w:t>
            </w:r>
          </w:p>
        </w:tc>
        <w:tc>
          <w:tcPr>
            <w:tcW w:w="989" w:type="dxa"/>
            <w:tcBorders>
              <w:top w:val="nil"/>
              <w:left w:val="nil"/>
              <w:bottom w:val="nil"/>
              <w:right w:val="nil"/>
            </w:tcBorders>
            <w:shd w:val="clear" w:color="000000" w:fill="FFFFFF"/>
            <w:noWrap/>
            <w:vAlign w:val="center"/>
            <w:hideMark/>
          </w:tcPr>
          <w:p w14:paraId="00D83C0D"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137.0</w:t>
            </w:r>
          </w:p>
        </w:tc>
        <w:tc>
          <w:tcPr>
            <w:tcW w:w="989" w:type="dxa"/>
            <w:tcBorders>
              <w:top w:val="nil"/>
              <w:left w:val="nil"/>
              <w:bottom w:val="nil"/>
              <w:right w:val="nil"/>
            </w:tcBorders>
            <w:shd w:val="clear" w:color="000000" w:fill="FFFFFF"/>
            <w:noWrap/>
            <w:vAlign w:val="center"/>
            <w:hideMark/>
          </w:tcPr>
          <w:p w14:paraId="02848070"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162.8</w:t>
            </w:r>
          </w:p>
        </w:tc>
        <w:tc>
          <w:tcPr>
            <w:tcW w:w="960" w:type="dxa"/>
            <w:tcBorders>
              <w:top w:val="nil"/>
              <w:left w:val="nil"/>
              <w:bottom w:val="nil"/>
              <w:right w:val="nil"/>
            </w:tcBorders>
            <w:shd w:val="clear" w:color="000000" w:fill="FFFFFF"/>
            <w:noWrap/>
            <w:vAlign w:val="bottom"/>
            <w:hideMark/>
          </w:tcPr>
          <w:p w14:paraId="304007A1"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0.021</w:t>
            </w:r>
          </w:p>
        </w:tc>
        <w:tc>
          <w:tcPr>
            <w:tcW w:w="960" w:type="dxa"/>
            <w:tcBorders>
              <w:top w:val="nil"/>
              <w:left w:val="nil"/>
              <w:bottom w:val="nil"/>
              <w:right w:val="nil"/>
            </w:tcBorders>
            <w:shd w:val="clear" w:color="000000" w:fill="FFFFFF"/>
            <w:noWrap/>
            <w:vAlign w:val="bottom"/>
            <w:hideMark/>
          </w:tcPr>
          <w:p w14:paraId="237180A5"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w:t>
            </w:r>
          </w:p>
        </w:tc>
        <w:tc>
          <w:tcPr>
            <w:tcW w:w="960" w:type="dxa"/>
            <w:tcBorders>
              <w:top w:val="nil"/>
              <w:left w:val="nil"/>
              <w:bottom w:val="nil"/>
              <w:right w:val="nil"/>
            </w:tcBorders>
            <w:shd w:val="clear" w:color="000000" w:fill="FFFFFF"/>
            <w:noWrap/>
            <w:vAlign w:val="bottom"/>
            <w:hideMark/>
          </w:tcPr>
          <w:p w14:paraId="5460FA4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0.014</w:t>
            </w:r>
          </w:p>
        </w:tc>
        <w:tc>
          <w:tcPr>
            <w:tcW w:w="988" w:type="dxa"/>
            <w:tcBorders>
              <w:top w:val="nil"/>
              <w:left w:val="nil"/>
              <w:bottom w:val="nil"/>
              <w:right w:val="nil"/>
            </w:tcBorders>
            <w:shd w:val="clear" w:color="000000" w:fill="FFFFFF"/>
            <w:noWrap/>
            <w:vAlign w:val="center"/>
            <w:hideMark/>
          </w:tcPr>
          <w:p w14:paraId="276DED5E"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52.9</w:t>
            </w:r>
          </w:p>
        </w:tc>
        <w:tc>
          <w:tcPr>
            <w:tcW w:w="988" w:type="dxa"/>
            <w:tcBorders>
              <w:top w:val="nil"/>
              <w:left w:val="nil"/>
              <w:bottom w:val="nil"/>
              <w:right w:val="nil"/>
            </w:tcBorders>
            <w:shd w:val="clear" w:color="000000" w:fill="FFFFFF"/>
            <w:noWrap/>
            <w:vAlign w:val="center"/>
            <w:hideMark/>
          </w:tcPr>
          <w:p w14:paraId="3F37E519"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40.7</w:t>
            </w:r>
          </w:p>
        </w:tc>
        <w:tc>
          <w:tcPr>
            <w:tcW w:w="905" w:type="dxa"/>
            <w:tcBorders>
              <w:top w:val="nil"/>
              <w:left w:val="nil"/>
              <w:bottom w:val="nil"/>
              <w:right w:val="nil"/>
            </w:tcBorders>
            <w:shd w:val="clear" w:color="000000" w:fill="FFFFFF"/>
            <w:noWrap/>
            <w:vAlign w:val="center"/>
            <w:hideMark/>
          </w:tcPr>
          <w:p w14:paraId="5E5CC187"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22.0</w:t>
            </w:r>
          </w:p>
        </w:tc>
      </w:tr>
      <w:tr w:rsidR="001253FA" w:rsidRPr="007A16BF" w14:paraId="295A0A58" w14:textId="77777777" w:rsidTr="00A04D54">
        <w:trPr>
          <w:trHeight w:val="288"/>
        </w:trPr>
        <w:tc>
          <w:tcPr>
            <w:tcW w:w="2977" w:type="dxa"/>
            <w:tcBorders>
              <w:top w:val="nil"/>
              <w:left w:val="nil"/>
              <w:bottom w:val="nil"/>
              <w:right w:val="nil"/>
            </w:tcBorders>
            <w:shd w:val="clear" w:color="000000" w:fill="FFFFFF"/>
            <w:noWrap/>
            <w:vAlign w:val="bottom"/>
            <w:hideMark/>
          </w:tcPr>
          <w:p w14:paraId="7207FF6A"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T11 FP</w:t>
            </w:r>
          </w:p>
        </w:tc>
        <w:tc>
          <w:tcPr>
            <w:tcW w:w="903" w:type="dxa"/>
            <w:tcBorders>
              <w:top w:val="nil"/>
              <w:left w:val="nil"/>
              <w:bottom w:val="nil"/>
              <w:right w:val="nil"/>
            </w:tcBorders>
            <w:shd w:val="clear" w:color="000000" w:fill="FFFFFF"/>
            <w:noWrap/>
            <w:vAlign w:val="bottom"/>
            <w:hideMark/>
          </w:tcPr>
          <w:p w14:paraId="37DE7680"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64.3</w:t>
            </w:r>
          </w:p>
        </w:tc>
        <w:tc>
          <w:tcPr>
            <w:tcW w:w="989" w:type="dxa"/>
            <w:tcBorders>
              <w:top w:val="nil"/>
              <w:left w:val="nil"/>
              <w:bottom w:val="nil"/>
              <w:right w:val="nil"/>
            </w:tcBorders>
            <w:shd w:val="clear" w:color="000000" w:fill="FFFFFF"/>
            <w:noWrap/>
            <w:vAlign w:val="center"/>
            <w:hideMark/>
          </w:tcPr>
          <w:p w14:paraId="6C74E30A"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113.3</w:t>
            </w:r>
          </w:p>
        </w:tc>
        <w:tc>
          <w:tcPr>
            <w:tcW w:w="989" w:type="dxa"/>
            <w:tcBorders>
              <w:top w:val="nil"/>
              <w:left w:val="nil"/>
              <w:bottom w:val="nil"/>
              <w:right w:val="nil"/>
            </w:tcBorders>
            <w:shd w:val="clear" w:color="000000" w:fill="FFFFFF"/>
            <w:noWrap/>
            <w:vAlign w:val="center"/>
            <w:hideMark/>
          </w:tcPr>
          <w:p w14:paraId="5B36EEF7"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150.4</w:t>
            </w:r>
          </w:p>
        </w:tc>
        <w:tc>
          <w:tcPr>
            <w:tcW w:w="960" w:type="dxa"/>
            <w:tcBorders>
              <w:top w:val="nil"/>
              <w:left w:val="nil"/>
              <w:bottom w:val="nil"/>
              <w:right w:val="nil"/>
            </w:tcBorders>
            <w:shd w:val="clear" w:color="000000" w:fill="FFFFFF"/>
            <w:noWrap/>
            <w:vAlign w:val="bottom"/>
            <w:hideMark/>
          </w:tcPr>
          <w:p w14:paraId="657A6F2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0.022</w:t>
            </w:r>
          </w:p>
        </w:tc>
        <w:tc>
          <w:tcPr>
            <w:tcW w:w="960" w:type="dxa"/>
            <w:tcBorders>
              <w:top w:val="nil"/>
              <w:left w:val="nil"/>
              <w:bottom w:val="nil"/>
              <w:right w:val="nil"/>
            </w:tcBorders>
            <w:shd w:val="clear" w:color="000000" w:fill="FFFFFF"/>
            <w:noWrap/>
            <w:vAlign w:val="bottom"/>
            <w:hideMark/>
          </w:tcPr>
          <w:p w14:paraId="2506AA1F"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w:t>
            </w:r>
          </w:p>
        </w:tc>
        <w:tc>
          <w:tcPr>
            <w:tcW w:w="960" w:type="dxa"/>
            <w:tcBorders>
              <w:top w:val="nil"/>
              <w:left w:val="nil"/>
              <w:bottom w:val="nil"/>
              <w:right w:val="nil"/>
            </w:tcBorders>
            <w:shd w:val="clear" w:color="000000" w:fill="FFFFFF"/>
            <w:noWrap/>
            <w:vAlign w:val="bottom"/>
            <w:hideMark/>
          </w:tcPr>
          <w:p w14:paraId="0BB92C46"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0.016</w:t>
            </w:r>
          </w:p>
        </w:tc>
        <w:tc>
          <w:tcPr>
            <w:tcW w:w="988" w:type="dxa"/>
            <w:tcBorders>
              <w:top w:val="nil"/>
              <w:left w:val="nil"/>
              <w:bottom w:val="nil"/>
              <w:right w:val="nil"/>
            </w:tcBorders>
            <w:shd w:val="clear" w:color="000000" w:fill="FFFFFF"/>
            <w:noWrap/>
            <w:vAlign w:val="center"/>
            <w:hideMark/>
          </w:tcPr>
          <w:p w14:paraId="59E4381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49.5</w:t>
            </w:r>
          </w:p>
        </w:tc>
        <w:tc>
          <w:tcPr>
            <w:tcW w:w="988" w:type="dxa"/>
            <w:tcBorders>
              <w:top w:val="nil"/>
              <w:left w:val="nil"/>
              <w:bottom w:val="nil"/>
              <w:right w:val="nil"/>
            </w:tcBorders>
            <w:shd w:val="clear" w:color="000000" w:fill="FFFFFF"/>
            <w:noWrap/>
            <w:vAlign w:val="center"/>
            <w:hideMark/>
          </w:tcPr>
          <w:p w14:paraId="2347DEB0"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37.9</w:t>
            </w:r>
          </w:p>
        </w:tc>
        <w:tc>
          <w:tcPr>
            <w:tcW w:w="905" w:type="dxa"/>
            <w:tcBorders>
              <w:top w:val="nil"/>
              <w:left w:val="nil"/>
              <w:bottom w:val="nil"/>
              <w:right w:val="nil"/>
            </w:tcBorders>
            <w:shd w:val="clear" w:color="000000" w:fill="FFFFFF"/>
            <w:noWrap/>
            <w:vAlign w:val="center"/>
            <w:hideMark/>
          </w:tcPr>
          <w:p w14:paraId="1736B8BE"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21.5</w:t>
            </w:r>
          </w:p>
        </w:tc>
      </w:tr>
      <w:tr w:rsidR="001253FA" w:rsidRPr="007A16BF" w14:paraId="54D0694D" w14:textId="77777777" w:rsidTr="00A04D54">
        <w:trPr>
          <w:trHeight w:val="288"/>
        </w:trPr>
        <w:tc>
          <w:tcPr>
            <w:tcW w:w="2977" w:type="dxa"/>
            <w:tcBorders>
              <w:top w:val="nil"/>
              <w:left w:val="nil"/>
              <w:bottom w:val="nil"/>
              <w:right w:val="nil"/>
            </w:tcBorders>
            <w:shd w:val="clear" w:color="000000" w:fill="FFFFFF"/>
            <w:noWrap/>
            <w:vAlign w:val="bottom"/>
            <w:hideMark/>
          </w:tcPr>
          <w:p w14:paraId="7E4BAA15"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T12 control</w:t>
            </w:r>
          </w:p>
        </w:tc>
        <w:tc>
          <w:tcPr>
            <w:tcW w:w="903" w:type="dxa"/>
            <w:tcBorders>
              <w:top w:val="nil"/>
              <w:left w:val="nil"/>
              <w:bottom w:val="nil"/>
              <w:right w:val="nil"/>
            </w:tcBorders>
            <w:shd w:val="clear" w:color="000000" w:fill="FFFFFF"/>
            <w:noWrap/>
            <w:vAlign w:val="bottom"/>
            <w:hideMark/>
          </w:tcPr>
          <w:p w14:paraId="37C8D8D9"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55.3</w:t>
            </w:r>
          </w:p>
        </w:tc>
        <w:tc>
          <w:tcPr>
            <w:tcW w:w="989" w:type="dxa"/>
            <w:tcBorders>
              <w:top w:val="nil"/>
              <w:left w:val="nil"/>
              <w:bottom w:val="nil"/>
              <w:right w:val="nil"/>
            </w:tcBorders>
            <w:shd w:val="clear" w:color="000000" w:fill="FFFFFF"/>
            <w:noWrap/>
            <w:vAlign w:val="center"/>
            <w:hideMark/>
          </w:tcPr>
          <w:p w14:paraId="2F33C1FE"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96.3</w:t>
            </w:r>
          </w:p>
        </w:tc>
        <w:tc>
          <w:tcPr>
            <w:tcW w:w="989" w:type="dxa"/>
            <w:tcBorders>
              <w:top w:val="nil"/>
              <w:left w:val="nil"/>
              <w:bottom w:val="nil"/>
              <w:right w:val="nil"/>
            </w:tcBorders>
            <w:shd w:val="clear" w:color="000000" w:fill="FFFFFF"/>
            <w:noWrap/>
            <w:vAlign w:val="center"/>
            <w:hideMark/>
          </w:tcPr>
          <w:p w14:paraId="6FA5F9D9"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149.4</w:t>
            </w:r>
          </w:p>
        </w:tc>
        <w:tc>
          <w:tcPr>
            <w:tcW w:w="960" w:type="dxa"/>
            <w:tcBorders>
              <w:top w:val="nil"/>
              <w:left w:val="nil"/>
              <w:bottom w:val="nil"/>
              <w:right w:val="nil"/>
            </w:tcBorders>
            <w:shd w:val="clear" w:color="000000" w:fill="FFFFFF"/>
            <w:noWrap/>
            <w:vAlign w:val="bottom"/>
            <w:hideMark/>
          </w:tcPr>
          <w:p w14:paraId="4D6EEC19"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0.022</w:t>
            </w:r>
          </w:p>
        </w:tc>
        <w:tc>
          <w:tcPr>
            <w:tcW w:w="960" w:type="dxa"/>
            <w:tcBorders>
              <w:top w:val="nil"/>
              <w:left w:val="nil"/>
              <w:bottom w:val="nil"/>
              <w:right w:val="nil"/>
            </w:tcBorders>
            <w:shd w:val="clear" w:color="000000" w:fill="FFFFFF"/>
            <w:noWrap/>
            <w:vAlign w:val="bottom"/>
            <w:hideMark/>
          </w:tcPr>
          <w:p w14:paraId="3364551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w:t>
            </w:r>
          </w:p>
        </w:tc>
        <w:tc>
          <w:tcPr>
            <w:tcW w:w="960" w:type="dxa"/>
            <w:tcBorders>
              <w:top w:val="nil"/>
              <w:left w:val="nil"/>
              <w:bottom w:val="nil"/>
              <w:right w:val="nil"/>
            </w:tcBorders>
            <w:shd w:val="clear" w:color="000000" w:fill="FFFFFF"/>
            <w:noWrap/>
            <w:vAlign w:val="bottom"/>
            <w:hideMark/>
          </w:tcPr>
          <w:p w14:paraId="2B207326"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0.018</w:t>
            </w:r>
          </w:p>
        </w:tc>
        <w:tc>
          <w:tcPr>
            <w:tcW w:w="988" w:type="dxa"/>
            <w:tcBorders>
              <w:top w:val="nil"/>
              <w:left w:val="nil"/>
              <w:bottom w:val="nil"/>
              <w:right w:val="nil"/>
            </w:tcBorders>
            <w:shd w:val="clear" w:color="000000" w:fill="FFFFFF"/>
            <w:noWrap/>
            <w:vAlign w:val="center"/>
            <w:hideMark/>
          </w:tcPr>
          <w:p w14:paraId="16EE49F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47.8</w:t>
            </w:r>
          </w:p>
        </w:tc>
        <w:tc>
          <w:tcPr>
            <w:tcW w:w="988" w:type="dxa"/>
            <w:tcBorders>
              <w:top w:val="nil"/>
              <w:left w:val="nil"/>
              <w:bottom w:val="nil"/>
              <w:right w:val="nil"/>
            </w:tcBorders>
            <w:shd w:val="clear" w:color="000000" w:fill="FFFFFF"/>
            <w:noWrap/>
            <w:vAlign w:val="center"/>
            <w:hideMark/>
          </w:tcPr>
          <w:p w14:paraId="4E97E49D"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36.4</w:t>
            </w:r>
          </w:p>
        </w:tc>
        <w:tc>
          <w:tcPr>
            <w:tcW w:w="905" w:type="dxa"/>
            <w:tcBorders>
              <w:top w:val="nil"/>
              <w:left w:val="nil"/>
              <w:bottom w:val="nil"/>
              <w:right w:val="nil"/>
            </w:tcBorders>
            <w:shd w:val="clear" w:color="000000" w:fill="FFFFFF"/>
            <w:noWrap/>
            <w:vAlign w:val="center"/>
            <w:hideMark/>
          </w:tcPr>
          <w:p w14:paraId="342A461C"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21.2</w:t>
            </w:r>
          </w:p>
        </w:tc>
      </w:tr>
      <w:tr w:rsidR="001253FA" w:rsidRPr="007A16BF" w14:paraId="561EE908" w14:textId="77777777" w:rsidTr="00A04D54">
        <w:trPr>
          <w:trHeight w:val="312"/>
        </w:trPr>
        <w:tc>
          <w:tcPr>
            <w:tcW w:w="2977" w:type="dxa"/>
            <w:tcBorders>
              <w:top w:val="single" w:sz="4" w:space="0" w:color="auto"/>
              <w:left w:val="nil"/>
              <w:bottom w:val="nil"/>
              <w:right w:val="nil"/>
            </w:tcBorders>
            <w:shd w:val="clear" w:color="000000" w:fill="FFFFFF"/>
            <w:noWrap/>
            <w:vAlign w:val="bottom"/>
            <w:hideMark/>
          </w:tcPr>
          <w:p w14:paraId="5A64939A"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Mean</w:t>
            </w:r>
          </w:p>
        </w:tc>
        <w:tc>
          <w:tcPr>
            <w:tcW w:w="903" w:type="dxa"/>
            <w:tcBorders>
              <w:top w:val="single" w:sz="4" w:space="0" w:color="auto"/>
              <w:left w:val="nil"/>
              <w:bottom w:val="nil"/>
              <w:right w:val="nil"/>
            </w:tcBorders>
            <w:shd w:val="clear" w:color="000000" w:fill="FFFFFF"/>
            <w:noWrap/>
            <w:vAlign w:val="bottom"/>
            <w:hideMark/>
          </w:tcPr>
          <w:p w14:paraId="5F7F529C"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74.52</w:t>
            </w:r>
          </w:p>
        </w:tc>
        <w:tc>
          <w:tcPr>
            <w:tcW w:w="989" w:type="dxa"/>
            <w:tcBorders>
              <w:top w:val="single" w:sz="4" w:space="0" w:color="auto"/>
              <w:left w:val="nil"/>
              <w:bottom w:val="nil"/>
              <w:right w:val="nil"/>
            </w:tcBorders>
            <w:shd w:val="clear" w:color="000000" w:fill="FFFFFF"/>
            <w:noWrap/>
            <w:vAlign w:val="bottom"/>
            <w:hideMark/>
          </w:tcPr>
          <w:p w14:paraId="32911871"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132.47</w:t>
            </w:r>
          </w:p>
        </w:tc>
        <w:tc>
          <w:tcPr>
            <w:tcW w:w="989" w:type="dxa"/>
            <w:tcBorders>
              <w:top w:val="single" w:sz="4" w:space="0" w:color="auto"/>
              <w:left w:val="nil"/>
              <w:bottom w:val="nil"/>
              <w:right w:val="nil"/>
            </w:tcBorders>
            <w:shd w:val="clear" w:color="000000" w:fill="FFFFFF"/>
            <w:noWrap/>
            <w:vAlign w:val="bottom"/>
            <w:hideMark/>
          </w:tcPr>
          <w:p w14:paraId="036384DD"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169.02</w:t>
            </w:r>
          </w:p>
        </w:tc>
        <w:tc>
          <w:tcPr>
            <w:tcW w:w="960" w:type="dxa"/>
            <w:tcBorders>
              <w:top w:val="single" w:sz="4" w:space="0" w:color="auto"/>
              <w:left w:val="nil"/>
              <w:bottom w:val="nil"/>
              <w:right w:val="nil"/>
            </w:tcBorders>
            <w:shd w:val="clear" w:color="000000" w:fill="FFFFFF"/>
            <w:noWrap/>
            <w:vAlign w:val="bottom"/>
            <w:hideMark/>
          </w:tcPr>
          <w:p w14:paraId="1BECD5A6"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0.0215</w:t>
            </w:r>
          </w:p>
        </w:tc>
        <w:tc>
          <w:tcPr>
            <w:tcW w:w="960" w:type="dxa"/>
            <w:tcBorders>
              <w:top w:val="single" w:sz="4" w:space="0" w:color="auto"/>
              <w:left w:val="nil"/>
              <w:bottom w:val="nil"/>
              <w:right w:val="nil"/>
            </w:tcBorders>
            <w:shd w:val="clear" w:color="000000" w:fill="FFFFFF"/>
            <w:noWrap/>
            <w:vAlign w:val="bottom"/>
            <w:hideMark/>
          </w:tcPr>
          <w:p w14:paraId="67CD0018"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0.0201</w:t>
            </w:r>
          </w:p>
        </w:tc>
        <w:tc>
          <w:tcPr>
            <w:tcW w:w="960" w:type="dxa"/>
            <w:tcBorders>
              <w:top w:val="single" w:sz="4" w:space="0" w:color="auto"/>
              <w:left w:val="nil"/>
              <w:bottom w:val="nil"/>
              <w:right w:val="nil"/>
            </w:tcBorders>
            <w:shd w:val="clear" w:color="000000" w:fill="FFFFFF"/>
            <w:noWrap/>
            <w:vAlign w:val="bottom"/>
            <w:hideMark/>
          </w:tcPr>
          <w:p w14:paraId="3E897ACD"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0.0154</w:t>
            </w:r>
          </w:p>
        </w:tc>
        <w:tc>
          <w:tcPr>
            <w:tcW w:w="988" w:type="dxa"/>
            <w:tcBorders>
              <w:top w:val="single" w:sz="4" w:space="0" w:color="auto"/>
              <w:left w:val="nil"/>
              <w:bottom w:val="nil"/>
              <w:right w:val="nil"/>
            </w:tcBorders>
            <w:shd w:val="clear" w:color="000000" w:fill="FFFFFF"/>
            <w:noWrap/>
            <w:vAlign w:val="bottom"/>
            <w:hideMark/>
          </w:tcPr>
          <w:p w14:paraId="3B38DB65"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52.84</w:t>
            </w:r>
          </w:p>
        </w:tc>
        <w:tc>
          <w:tcPr>
            <w:tcW w:w="988" w:type="dxa"/>
            <w:tcBorders>
              <w:top w:val="single" w:sz="4" w:space="0" w:color="auto"/>
              <w:left w:val="nil"/>
              <w:bottom w:val="nil"/>
              <w:right w:val="nil"/>
            </w:tcBorders>
            <w:shd w:val="clear" w:color="000000" w:fill="FFFFFF"/>
            <w:noWrap/>
            <w:vAlign w:val="bottom"/>
            <w:hideMark/>
          </w:tcPr>
          <w:p w14:paraId="0F459221"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40.49</w:t>
            </w:r>
          </w:p>
        </w:tc>
        <w:tc>
          <w:tcPr>
            <w:tcW w:w="905" w:type="dxa"/>
            <w:tcBorders>
              <w:top w:val="single" w:sz="4" w:space="0" w:color="auto"/>
              <w:left w:val="nil"/>
              <w:bottom w:val="nil"/>
              <w:right w:val="nil"/>
            </w:tcBorders>
            <w:shd w:val="clear" w:color="000000" w:fill="FFFFFF"/>
            <w:noWrap/>
            <w:vAlign w:val="bottom"/>
            <w:hideMark/>
          </w:tcPr>
          <w:p w14:paraId="7B03A6B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21.93</w:t>
            </w:r>
          </w:p>
        </w:tc>
      </w:tr>
      <w:tr w:rsidR="001253FA" w:rsidRPr="007A16BF" w14:paraId="027ACECF" w14:textId="77777777" w:rsidTr="00A04D54">
        <w:trPr>
          <w:trHeight w:val="312"/>
        </w:trPr>
        <w:tc>
          <w:tcPr>
            <w:tcW w:w="2977" w:type="dxa"/>
            <w:tcBorders>
              <w:top w:val="nil"/>
              <w:left w:val="nil"/>
              <w:bottom w:val="nil"/>
              <w:right w:val="nil"/>
            </w:tcBorders>
            <w:shd w:val="clear" w:color="000000" w:fill="FFFFFF"/>
            <w:noWrap/>
            <w:vAlign w:val="bottom"/>
            <w:hideMark/>
          </w:tcPr>
          <w:p w14:paraId="7ADEC72C"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SE(d)</w:t>
            </w:r>
          </w:p>
        </w:tc>
        <w:tc>
          <w:tcPr>
            <w:tcW w:w="903" w:type="dxa"/>
            <w:tcBorders>
              <w:top w:val="nil"/>
              <w:left w:val="nil"/>
              <w:bottom w:val="nil"/>
              <w:right w:val="nil"/>
            </w:tcBorders>
            <w:shd w:val="clear" w:color="000000" w:fill="FFFFFF"/>
            <w:noWrap/>
            <w:vAlign w:val="bottom"/>
            <w:hideMark/>
          </w:tcPr>
          <w:p w14:paraId="4F8BD91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1.28</w:t>
            </w:r>
          </w:p>
        </w:tc>
        <w:tc>
          <w:tcPr>
            <w:tcW w:w="989" w:type="dxa"/>
            <w:tcBorders>
              <w:top w:val="nil"/>
              <w:left w:val="nil"/>
              <w:bottom w:val="nil"/>
              <w:right w:val="nil"/>
            </w:tcBorders>
            <w:shd w:val="clear" w:color="000000" w:fill="FFFFFF"/>
            <w:noWrap/>
            <w:vAlign w:val="bottom"/>
            <w:hideMark/>
          </w:tcPr>
          <w:p w14:paraId="43136B9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2.56</w:t>
            </w:r>
          </w:p>
        </w:tc>
        <w:tc>
          <w:tcPr>
            <w:tcW w:w="989" w:type="dxa"/>
            <w:tcBorders>
              <w:top w:val="nil"/>
              <w:left w:val="nil"/>
              <w:bottom w:val="nil"/>
              <w:right w:val="nil"/>
            </w:tcBorders>
            <w:shd w:val="clear" w:color="000000" w:fill="FFFFFF"/>
            <w:noWrap/>
            <w:vAlign w:val="bottom"/>
            <w:hideMark/>
          </w:tcPr>
          <w:p w14:paraId="5B12865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3.75</w:t>
            </w:r>
          </w:p>
        </w:tc>
        <w:tc>
          <w:tcPr>
            <w:tcW w:w="960" w:type="dxa"/>
            <w:tcBorders>
              <w:top w:val="nil"/>
              <w:left w:val="nil"/>
              <w:bottom w:val="nil"/>
              <w:right w:val="nil"/>
            </w:tcBorders>
            <w:shd w:val="clear" w:color="000000" w:fill="FFFFFF"/>
            <w:noWrap/>
            <w:vAlign w:val="bottom"/>
            <w:hideMark/>
          </w:tcPr>
          <w:p w14:paraId="70B7E029"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0.0003</w:t>
            </w:r>
          </w:p>
        </w:tc>
        <w:tc>
          <w:tcPr>
            <w:tcW w:w="960" w:type="dxa"/>
            <w:tcBorders>
              <w:top w:val="nil"/>
              <w:left w:val="nil"/>
              <w:bottom w:val="nil"/>
              <w:right w:val="nil"/>
            </w:tcBorders>
            <w:shd w:val="clear" w:color="000000" w:fill="FFFFFF"/>
            <w:noWrap/>
            <w:vAlign w:val="bottom"/>
            <w:hideMark/>
          </w:tcPr>
          <w:p w14:paraId="591F8612"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0.0003</w:t>
            </w:r>
          </w:p>
        </w:tc>
        <w:tc>
          <w:tcPr>
            <w:tcW w:w="960" w:type="dxa"/>
            <w:tcBorders>
              <w:top w:val="nil"/>
              <w:left w:val="nil"/>
              <w:bottom w:val="nil"/>
              <w:right w:val="nil"/>
            </w:tcBorders>
            <w:shd w:val="clear" w:color="000000" w:fill="FFFFFF"/>
            <w:noWrap/>
            <w:vAlign w:val="bottom"/>
            <w:hideMark/>
          </w:tcPr>
          <w:p w14:paraId="29674013"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0.0004</w:t>
            </w:r>
          </w:p>
        </w:tc>
        <w:tc>
          <w:tcPr>
            <w:tcW w:w="988" w:type="dxa"/>
            <w:tcBorders>
              <w:top w:val="nil"/>
              <w:left w:val="nil"/>
              <w:bottom w:val="nil"/>
              <w:right w:val="nil"/>
            </w:tcBorders>
            <w:shd w:val="clear" w:color="000000" w:fill="FFFFFF"/>
            <w:noWrap/>
            <w:vAlign w:val="bottom"/>
            <w:hideMark/>
          </w:tcPr>
          <w:p w14:paraId="7911E31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0.77</w:t>
            </w:r>
          </w:p>
        </w:tc>
        <w:tc>
          <w:tcPr>
            <w:tcW w:w="988" w:type="dxa"/>
            <w:tcBorders>
              <w:top w:val="nil"/>
              <w:left w:val="nil"/>
              <w:bottom w:val="nil"/>
              <w:right w:val="nil"/>
            </w:tcBorders>
            <w:shd w:val="clear" w:color="000000" w:fill="FFFFFF"/>
            <w:noWrap/>
            <w:vAlign w:val="bottom"/>
            <w:hideMark/>
          </w:tcPr>
          <w:p w14:paraId="3E416FBA"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0.60</w:t>
            </w:r>
          </w:p>
        </w:tc>
        <w:tc>
          <w:tcPr>
            <w:tcW w:w="905" w:type="dxa"/>
            <w:tcBorders>
              <w:top w:val="nil"/>
              <w:left w:val="nil"/>
              <w:bottom w:val="nil"/>
              <w:right w:val="nil"/>
            </w:tcBorders>
            <w:shd w:val="clear" w:color="000000" w:fill="FFFFFF"/>
            <w:noWrap/>
            <w:vAlign w:val="bottom"/>
            <w:hideMark/>
          </w:tcPr>
          <w:p w14:paraId="6F67F6FA"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0.43</w:t>
            </w:r>
          </w:p>
        </w:tc>
      </w:tr>
      <w:tr w:rsidR="001253FA" w:rsidRPr="007A16BF" w14:paraId="7018FD56" w14:textId="77777777" w:rsidTr="00A04D54">
        <w:trPr>
          <w:trHeight w:val="312"/>
        </w:trPr>
        <w:tc>
          <w:tcPr>
            <w:tcW w:w="2977" w:type="dxa"/>
            <w:tcBorders>
              <w:top w:val="nil"/>
              <w:left w:val="nil"/>
              <w:bottom w:val="single" w:sz="4" w:space="0" w:color="auto"/>
              <w:right w:val="nil"/>
            </w:tcBorders>
            <w:shd w:val="clear" w:color="000000" w:fill="FFFFFF"/>
            <w:noWrap/>
            <w:vAlign w:val="bottom"/>
            <w:hideMark/>
          </w:tcPr>
          <w:p w14:paraId="3C5C8396" w14:textId="77777777" w:rsidR="001253FA" w:rsidRPr="007A16BF" w:rsidRDefault="001253FA" w:rsidP="00A04D54">
            <w:pPr>
              <w:spacing w:after="0" w:line="240" w:lineRule="auto"/>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CD (5%)</w:t>
            </w:r>
          </w:p>
        </w:tc>
        <w:tc>
          <w:tcPr>
            <w:tcW w:w="903" w:type="dxa"/>
            <w:tcBorders>
              <w:top w:val="nil"/>
              <w:left w:val="nil"/>
              <w:bottom w:val="single" w:sz="4" w:space="0" w:color="auto"/>
              <w:right w:val="nil"/>
            </w:tcBorders>
            <w:shd w:val="clear" w:color="000000" w:fill="FFFFFF"/>
            <w:noWrap/>
            <w:vAlign w:val="bottom"/>
            <w:hideMark/>
          </w:tcPr>
          <w:p w14:paraId="4430E7AA"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2.65</w:t>
            </w:r>
          </w:p>
        </w:tc>
        <w:tc>
          <w:tcPr>
            <w:tcW w:w="989" w:type="dxa"/>
            <w:tcBorders>
              <w:top w:val="nil"/>
              <w:left w:val="nil"/>
              <w:bottom w:val="single" w:sz="4" w:space="0" w:color="auto"/>
              <w:right w:val="nil"/>
            </w:tcBorders>
            <w:shd w:val="clear" w:color="000000" w:fill="FFFFFF"/>
            <w:noWrap/>
            <w:vAlign w:val="bottom"/>
            <w:hideMark/>
          </w:tcPr>
          <w:p w14:paraId="23342AE5"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5.31</w:t>
            </w:r>
          </w:p>
        </w:tc>
        <w:tc>
          <w:tcPr>
            <w:tcW w:w="989" w:type="dxa"/>
            <w:tcBorders>
              <w:top w:val="nil"/>
              <w:left w:val="nil"/>
              <w:bottom w:val="single" w:sz="4" w:space="0" w:color="auto"/>
              <w:right w:val="nil"/>
            </w:tcBorders>
            <w:shd w:val="clear" w:color="000000" w:fill="FFFFFF"/>
            <w:noWrap/>
            <w:vAlign w:val="bottom"/>
            <w:hideMark/>
          </w:tcPr>
          <w:p w14:paraId="235E4745"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7.78</w:t>
            </w:r>
          </w:p>
        </w:tc>
        <w:tc>
          <w:tcPr>
            <w:tcW w:w="960" w:type="dxa"/>
            <w:tcBorders>
              <w:top w:val="nil"/>
              <w:left w:val="nil"/>
              <w:bottom w:val="single" w:sz="4" w:space="0" w:color="auto"/>
              <w:right w:val="nil"/>
            </w:tcBorders>
            <w:shd w:val="clear" w:color="000000" w:fill="FFFFFF"/>
            <w:noWrap/>
            <w:vAlign w:val="bottom"/>
            <w:hideMark/>
          </w:tcPr>
          <w:p w14:paraId="72E0DEC1"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0.0007</w:t>
            </w:r>
          </w:p>
        </w:tc>
        <w:tc>
          <w:tcPr>
            <w:tcW w:w="960" w:type="dxa"/>
            <w:tcBorders>
              <w:top w:val="nil"/>
              <w:left w:val="nil"/>
              <w:bottom w:val="single" w:sz="4" w:space="0" w:color="auto"/>
              <w:right w:val="nil"/>
            </w:tcBorders>
            <w:shd w:val="clear" w:color="000000" w:fill="FFFFFF"/>
            <w:noWrap/>
            <w:vAlign w:val="bottom"/>
            <w:hideMark/>
          </w:tcPr>
          <w:p w14:paraId="37CE9743"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0.0005</w:t>
            </w:r>
          </w:p>
        </w:tc>
        <w:tc>
          <w:tcPr>
            <w:tcW w:w="960" w:type="dxa"/>
            <w:tcBorders>
              <w:top w:val="nil"/>
              <w:left w:val="nil"/>
              <w:bottom w:val="single" w:sz="4" w:space="0" w:color="auto"/>
              <w:right w:val="nil"/>
            </w:tcBorders>
            <w:shd w:val="clear" w:color="000000" w:fill="FFFFFF"/>
            <w:noWrap/>
            <w:vAlign w:val="bottom"/>
            <w:hideMark/>
          </w:tcPr>
          <w:p w14:paraId="0B8DB6A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0.0009</w:t>
            </w:r>
          </w:p>
        </w:tc>
        <w:tc>
          <w:tcPr>
            <w:tcW w:w="988" w:type="dxa"/>
            <w:tcBorders>
              <w:top w:val="nil"/>
              <w:left w:val="nil"/>
              <w:bottom w:val="single" w:sz="4" w:space="0" w:color="auto"/>
              <w:right w:val="nil"/>
            </w:tcBorders>
            <w:shd w:val="clear" w:color="000000" w:fill="FFFFFF"/>
            <w:noWrap/>
            <w:vAlign w:val="bottom"/>
            <w:hideMark/>
          </w:tcPr>
          <w:p w14:paraId="56A46820"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1.59</w:t>
            </w:r>
          </w:p>
        </w:tc>
        <w:tc>
          <w:tcPr>
            <w:tcW w:w="988" w:type="dxa"/>
            <w:tcBorders>
              <w:top w:val="nil"/>
              <w:left w:val="nil"/>
              <w:bottom w:val="single" w:sz="4" w:space="0" w:color="auto"/>
              <w:right w:val="nil"/>
            </w:tcBorders>
            <w:shd w:val="clear" w:color="000000" w:fill="FFFFFF"/>
            <w:noWrap/>
            <w:vAlign w:val="bottom"/>
            <w:hideMark/>
          </w:tcPr>
          <w:p w14:paraId="7C3B7674"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1.24</w:t>
            </w:r>
          </w:p>
        </w:tc>
        <w:tc>
          <w:tcPr>
            <w:tcW w:w="905" w:type="dxa"/>
            <w:tcBorders>
              <w:top w:val="nil"/>
              <w:left w:val="nil"/>
              <w:bottom w:val="single" w:sz="4" w:space="0" w:color="auto"/>
              <w:right w:val="nil"/>
            </w:tcBorders>
            <w:shd w:val="clear" w:color="000000" w:fill="FFFFFF"/>
            <w:noWrap/>
            <w:vAlign w:val="bottom"/>
            <w:hideMark/>
          </w:tcPr>
          <w:p w14:paraId="103C3063" w14:textId="77777777" w:rsidR="001253FA" w:rsidRPr="007A16BF" w:rsidRDefault="001253FA" w:rsidP="00A04D54">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7A16BF">
              <w:rPr>
                <w:rFonts w:ascii="Times New Roman" w:eastAsia="Times New Roman" w:hAnsi="Times New Roman" w:cs="Times New Roman"/>
                <w:color w:val="000000"/>
                <w:kern w:val="0"/>
                <w:sz w:val="22"/>
                <w:szCs w:val="22"/>
                <w:lang w:eastAsia="en-IN"/>
                <w14:ligatures w14:val="none"/>
              </w:rPr>
              <w:t>0.88</w:t>
            </w:r>
          </w:p>
        </w:tc>
      </w:tr>
    </w:tbl>
    <w:p w14:paraId="09BBAF00" w14:textId="5D2B06F0" w:rsidR="001253FA" w:rsidRDefault="001253FA" w:rsidP="001253FA">
      <w:pPr>
        <w:rPr>
          <w:rFonts w:ascii="Times New Roman" w:hAnsi="Times New Roman" w:cs="Times New Roman"/>
          <w:sz w:val="23"/>
          <w:szCs w:val="23"/>
        </w:rPr>
      </w:pPr>
      <w:r>
        <w:rPr>
          <w:rFonts w:ascii="Times New Roman" w:hAnsi="Times New Roman" w:cs="Times New Roman"/>
        </w:rPr>
        <w:t>*</w:t>
      </w:r>
      <w:r w:rsidRPr="004C3920">
        <w:rPr>
          <w:rFonts w:ascii="Times New Roman" w:hAnsi="Times New Roman" w:cs="Times New Roman"/>
          <w:sz w:val="23"/>
          <w:szCs w:val="23"/>
        </w:rPr>
        <w:t>CGR-Crop growth rate; RGR-Relative growth rate; NAR-Net assimilation rate</w:t>
      </w:r>
    </w:p>
    <w:p w14:paraId="00355611" w14:textId="77777777" w:rsidR="001253FA" w:rsidRDefault="001253FA" w:rsidP="001253FA">
      <w:pPr>
        <w:rPr>
          <w:rFonts w:ascii="Times New Roman" w:hAnsi="Times New Roman" w:cs="Times New Roman"/>
          <w:sz w:val="23"/>
          <w:szCs w:val="23"/>
        </w:rPr>
      </w:pPr>
    </w:p>
    <w:p w14:paraId="19336D18" w14:textId="77777777" w:rsidR="001253FA" w:rsidRDefault="001253FA" w:rsidP="001253FA">
      <w:pPr>
        <w:rPr>
          <w:rFonts w:ascii="Times New Roman" w:hAnsi="Times New Roman" w:cs="Times New Roman"/>
          <w:sz w:val="23"/>
          <w:szCs w:val="23"/>
        </w:rPr>
      </w:pPr>
    </w:p>
    <w:p w14:paraId="64ECFDEC" w14:textId="77777777" w:rsidR="001253FA" w:rsidRDefault="001253FA" w:rsidP="001253FA">
      <w:pPr>
        <w:rPr>
          <w:rFonts w:ascii="Times New Roman" w:hAnsi="Times New Roman" w:cs="Times New Roman"/>
          <w:sz w:val="23"/>
          <w:szCs w:val="23"/>
        </w:rPr>
      </w:pPr>
    </w:p>
    <w:p w14:paraId="72D62486" w14:textId="77777777" w:rsidR="001253FA" w:rsidRDefault="001253FA" w:rsidP="001253FA">
      <w:pPr>
        <w:rPr>
          <w:rFonts w:ascii="Times New Roman" w:hAnsi="Times New Roman" w:cs="Times New Roman"/>
          <w:sz w:val="23"/>
          <w:szCs w:val="23"/>
        </w:rPr>
      </w:pPr>
    </w:p>
    <w:p w14:paraId="1C441A46" w14:textId="77777777" w:rsidR="001253FA" w:rsidRDefault="001253FA" w:rsidP="001253FA">
      <w:pPr>
        <w:rPr>
          <w:rFonts w:ascii="Times New Roman" w:hAnsi="Times New Roman" w:cs="Times New Roman"/>
          <w:sz w:val="23"/>
          <w:szCs w:val="23"/>
        </w:rPr>
      </w:pPr>
    </w:p>
    <w:p w14:paraId="7BB0B0FD" w14:textId="77777777" w:rsidR="001253FA" w:rsidRDefault="001253FA" w:rsidP="001253FA">
      <w:pPr>
        <w:rPr>
          <w:rFonts w:ascii="Times New Roman" w:hAnsi="Times New Roman" w:cs="Times New Roman"/>
          <w:sz w:val="23"/>
          <w:szCs w:val="23"/>
        </w:rPr>
      </w:pPr>
    </w:p>
    <w:p w14:paraId="178D5D71" w14:textId="77777777" w:rsidR="001253FA" w:rsidRDefault="001253FA" w:rsidP="001253FA">
      <w:pPr>
        <w:spacing w:after="0" w:line="240" w:lineRule="auto"/>
        <w:jc w:val="center"/>
        <w:rPr>
          <w:rFonts w:ascii="Times New Roman" w:eastAsia="Times New Roman" w:hAnsi="Times New Roman" w:cs="Times New Roman"/>
          <w:b/>
          <w:bCs/>
          <w:color w:val="000000"/>
          <w:kern w:val="0"/>
          <w:sz w:val="23"/>
          <w:szCs w:val="23"/>
          <w:lang w:eastAsia="en-IN"/>
          <w14:ligatures w14:val="none"/>
        </w:rPr>
      </w:pPr>
    </w:p>
    <w:p w14:paraId="4482D7A4" w14:textId="7628BB01" w:rsidR="001253FA" w:rsidRPr="00AD6808" w:rsidRDefault="001253FA" w:rsidP="001253FA">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7D2142">
        <w:rPr>
          <w:rFonts w:ascii="Times New Roman" w:eastAsia="Times New Roman" w:hAnsi="Times New Roman" w:cs="Times New Roman"/>
          <w:b/>
          <w:bCs/>
          <w:color w:val="000000"/>
          <w:kern w:val="0"/>
          <w:sz w:val="23"/>
          <w:szCs w:val="23"/>
          <w:lang w:eastAsia="en-IN"/>
          <w14:ligatures w14:val="none"/>
        </w:rPr>
        <w:lastRenderedPageBreak/>
        <w:t>Table.</w:t>
      </w:r>
      <w:r>
        <w:rPr>
          <w:rFonts w:ascii="Times New Roman" w:eastAsia="Times New Roman" w:hAnsi="Times New Roman" w:cs="Times New Roman"/>
          <w:b/>
          <w:bCs/>
          <w:color w:val="000000"/>
          <w:kern w:val="0"/>
          <w:sz w:val="23"/>
          <w:szCs w:val="23"/>
          <w:lang w:eastAsia="en-IN"/>
          <w14:ligatures w14:val="none"/>
        </w:rPr>
        <w:t>2</w:t>
      </w:r>
      <w:r w:rsidRPr="007D2142">
        <w:rPr>
          <w:rFonts w:ascii="Times New Roman" w:eastAsia="Times New Roman" w:hAnsi="Times New Roman" w:cs="Times New Roman"/>
          <w:color w:val="000000"/>
          <w:kern w:val="0"/>
          <w:sz w:val="23"/>
          <w:szCs w:val="23"/>
          <w:lang w:eastAsia="en-IN"/>
          <w14:ligatures w14:val="none"/>
        </w:rPr>
        <w:t xml:space="preserve"> Effect of SSNM on </w:t>
      </w:r>
      <w:r w:rsidRPr="00AD6808">
        <w:rPr>
          <w:rFonts w:ascii="Times New Roman" w:eastAsia="Times New Roman" w:hAnsi="Times New Roman" w:cs="Times New Roman"/>
          <w:color w:val="000000"/>
          <w:kern w:val="0"/>
          <w:sz w:val="23"/>
          <w:szCs w:val="23"/>
          <w:lang w:eastAsia="en-IN"/>
          <w14:ligatures w14:val="none"/>
        </w:rPr>
        <w:t>Recovery Efficiency (</w:t>
      </w:r>
      <w:r w:rsidR="00D16533">
        <w:rPr>
          <w:rFonts w:ascii="Times New Roman" w:eastAsia="Times New Roman" w:hAnsi="Times New Roman" w:cs="Times New Roman"/>
          <w:color w:val="000000"/>
          <w:kern w:val="0"/>
          <w:sz w:val="23"/>
          <w:szCs w:val="23"/>
          <w:lang w:eastAsia="en-IN"/>
          <w14:ligatures w14:val="none"/>
        </w:rPr>
        <w:t>%</w:t>
      </w:r>
      <w:r w:rsidRPr="00AD6808">
        <w:rPr>
          <w:rFonts w:ascii="Times New Roman" w:eastAsia="Times New Roman" w:hAnsi="Times New Roman" w:cs="Times New Roman"/>
          <w:color w:val="000000"/>
          <w:kern w:val="0"/>
          <w:sz w:val="23"/>
          <w:szCs w:val="23"/>
          <w:lang w:eastAsia="en-IN"/>
          <w14:ligatures w14:val="none"/>
        </w:rPr>
        <w:t xml:space="preserve">) of </w:t>
      </w:r>
      <w:r w:rsidRPr="00AD6808">
        <w:rPr>
          <w:rFonts w:ascii="Times New Roman" w:eastAsia="Times New Roman" w:hAnsi="Times New Roman" w:cs="Times New Roman"/>
          <w:i/>
          <w:iCs/>
          <w:color w:val="000000"/>
          <w:kern w:val="0"/>
          <w:sz w:val="23"/>
          <w:szCs w:val="23"/>
          <w:lang w:eastAsia="en-IN"/>
          <w14:ligatures w14:val="none"/>
        </w:rPr>
        <w:t>Bhavani</w:t>
      </w:r>
      <w:r w:rsidRPr="00AD6808">
        <w:rPr>
          <w:rFonts w:ascii="Times New Roman" w:eastAsia="Times New Roman" w:hAnsi="Times New Roman" w:cs="Times New Roman"/>
          <w:color w:val="000000"/>
          <w:kern w:val="0"/>
          <w:sz w:val="23"/>
          <w:szCs w:val="23"/>
          <w:lang w:eastAsia="en-IN"/>
          <w14:ligatures w14:val="none"/>
        </w:rPr>
        <w:t xml:space="preserve"> Rice</w:t>
      </w:r>
    </w:p>
    <w:tbl>
      <w:tblPr>
        <w:tblpPr w:leftFromText="180" w:rightFromText="180" w:vertAnchor="page" w:horzAnchor="margin" w:tblpXSpec="center" w:tblpY="2029"/>
        <w:tblW w:w="7040" w:type="dxa"/>
        <w:tblLook w:val="04A0" w:firstRow="1" w:lastRow="0" w:firstColumn="1" w:lastColumn="0" w:noHBand="0" w:noVBand="1"/>
      </w:tblPr>
      <w:tblGrid>
        <w:gridCol w:w="3000"/>
        <w:gridCol w:w="1010"/>
        <w:gridCol w:w="1010"/>
        <w:gridCol w:w="1010"/>
        <w:gridCol w:w="1010"/>
      </w:tblGrid>
      <w:tr w:rsidR="001253FA" w:rsidRPr="00AD6808" w14:paraId="4E02A5DE" w14:textId="77777777" w:rsidTr="00A04D54">
        <w:trPr>
          <w:trHeight w:val="312"/>
        </w:trPr>
        <w:tc>
          <w:tcPr>
            <w:tcW w:w="3000" w:type="dxa"/>
            <w:tcBorders>
              <w:top w:val="single" w:sz="4" w:space="0" w:color="auto"/>
              <w:left w:val="nil"/>
              <w:bottom w:val="nil"/>
              <w:right w:val="nil"/>
            </w:tcBorders>
            <w:vAlign w:val="center"/>
            <w:hideMark/>
          </w:tcPr>
          <w:p w14:paraId="6A97809F" w14:textId="77777777" w:rsidR="001253FA" w:rsidRPr="00AD6808" w:rsidRDefault="001253FA" w:rsidP="00A04D54">
            <w:pPr>
              <w:spacing w:after="0" w:line="240" w:lineRule="auto"/>
              <w:jc w:val="center"/>
              <w:rPr>
                <w:rFonts w:ascii="Times New Roman" w:eastAsia="Times New Roman" w:hAnsi="Times New Roman" w:cs="Times New Roman"/>
                <w:color w:val="000000"/>
                <w:kern w:val="0"/>
                <w:lang w:eastAsia="en-IN"/>
                <w14:ligatures w14:val="none"/>
              </w:rPr>
            </w:pPr>
            <w:r w:rsidRPr="00AD6808">
              <w:rPr>
                <w:rFonts w:ascii="Times New Roman" w:eastAsia="Times New Roman" w:hAnsi="Times New Roman" w:cs="Times New Roman"/>
                <w:color w:val="000000"/>
                <w:kern w:val="0"/>
                <w:lang w:eastAsia="en-IN"/>
                <w14:ligatures w14:val="none"/>
              </w:rPr>
              <w:t>Treatments</w:t>
            </w:r>
          </w:p>
        </w:tc>
        <w:tc>
          <w:tcPr>
            <w:tcW w:w="1010" w:type="dxa"/>
            <w:tcBorders>
              <w:top w:val="single" w:sz="4" w:space="0" w:color="auto"/>
              <w:left w:val="nil"/>
              <w:bottom w:val="single" w:sz="4" w:space="0" w:color="auto"/>
              <w:right w:val="nil"/>
            </w:tcBorders>
            <w:shd w:val="clear" w:color="000000" w:fill="FFFFFF"/>
            <w:noWrap/>
            <w:vAlign w:val="center"/>
            <w:hideMark/>
          </w:tcPr>
          <w:p w14:paraId="512E4FFE" w14:textId="77777777" w:rsidR="001253FA" w:rsidRPr="00AD6808" w:rsidRDefault="001253FA" w:rsidP="00A04D54">
            <w:pPr>
              <w:spacing w:after="0" w:line="240" w:lineRule="auto"/>
              <w:jc w:val="center"/>
              <w:rPr>
                <w:rFonts w:ascii="Times New Roman" w:eastAsia="Times New Roman" w:hAnsi="Times New Roman" w:cs="Times New Roman"/>
                <w:color w:val="000000"/>
                <w:kern w:val="0"/>
                <w:lang w:eastAsia="en-IN"/>
                <w14:ligatures w14:val="none"/>
              </w:rPr>
            </w:pPr>
            <w:r w:rsidRPr="00AD6808">
              <w:rPr>
                <w:rFonts w:ascii="Times New Roman" w:eastAsia="Times New Roman" w:hAnsi="Times New Roman" w:cs="Times New Roman"/>
                <w:color w:val="000000"/>
                <w:kern w:val="0"/>
                <w:lang w:eastAsia="en-IN"/>
                <w14:ligatures w14:val="none"/>
              </w:rPr>
              <w:t>N</w:t>
            </w:r>
          </w:p>
        </w:tc>
        <w:tc>
          <w:tcPr>
            <w:tcW w:w="1010" w:type="dxa"/>
            <w:tcBorders>
              <w:top w:val="single" w:sz="4" w:space="0" w:color="auto"/>
              <w:left w:val="nil"/>
              <w:bottom w:val="single" w:sz="4" w:space="0" w:color="auto"/>
              <w:right w:val="nil"/>
            </w:tcBorders>
            <w:shd w:val="clear" w:color="000000" w:fill="FFFFFF"/>
            <w:noWrap/>
            <w:vAlign w:val="center"/>
            <w:hideMark/>
          </w:tcPr>
          <w:p w14:paraId="78BFA341" w14:textId="77777777" w:rsidR="001253FA" w:rsidRPr="00AD6808" w:rsidRDefault="001253FA" w:rsidP="00A04D54">
            <w:pPr>
              <w:spacing w:after="0" w:line="240" w:lineRule="auto"/>
              <w:jc w:val="center"/>
              <w:rPr>
                <w:rFonts w:ascii="Times New Roman" w:eastAsia="Times New Roman" w:hAnsi="Times New Roman" w:cs="Times New Roman"/>
                <w:color w:val="000000"/>
                <w:kern w:val="0"/>
                <w:lang w:eastAsia="en-IN"/>
                <w14:ligatures w14:val="none"/>
              </w:rPr>
            </w:pPr>
            <w:r w:rsidRPr="00AD6808">
              <w:rPr>
                <w:rFonts w:ascii="Times New Roman" w:eastAsia="Times New Roman" w:hAnsi="Times New Roman" w:cs="Times New Roman"/>
                <w:color w:val="000000"/>
                <w:kern w:val="0"/>
                <w:lang w:eastAsia="en-IN"/>
                <w14:ligatures w14:val="none"/>
              </w:rPr>
              <w:t>P</w:t>
            </w:r>
          </w:p>
        </w:tc>
        <w:tc>
          <w:tcPr>
            <w:tcW w:w="1010" w:type="dxa"/>
            <w:tcBorders>
              <w:top w:val="single" w:sz="4" w:space="0" w:color="auto"/>
              <w:left w:val="nil"/>
              <w:bottom w:val="single" w:sz="4" w:space="0" w:color="auto"/>
              <w:right w:val="nil"/>
            </w:tcBorders>
            <w:shd w:val="clear" w:color="000000" w:fill="FFFFFF"/>
            <w:noWrap/>
            <w:vAlign w:val="center"/>
            <w:hideMark/>
          </w:tcPr>
          <w:p w14:paraId="6AE6E89A" w14:textId="77777777" w:rsidR="001253FA" w:rsidRPr="00AD6808" w:rsidRDefault="001253FA" w:rsidP="00A04D54">
            <w:pPr>
              <w:spacing w:after="0" w:line="240" w:lineRule="auto"/>
              <w:jc w:val="center"/>
              <w:rPr>
                <w:rFonts w:ascii="Times New Roman" w:eastAsia="Times New Roman" w:hAnsi="Times New Roman" w:cs="Times New Roman"/>
                <w:color w:val="000000"/>
                <w:kern w:val="0"/>
                <w:lang w:eastAsia="en-IN"/>
                <w14:ligatures w14:val="none"/>
              </w:rPr>
            </w:pPr>
            <w:r w:rsidRPr="00AD6808">
              <w:rPr>
                <w:rFonts w:ascii="Times New Roman" w:eastAsia="Times New Roman" w:hAnsi="Times New Roman" w:cs="Times New Roman"/>
                <w:color w:val="000000"/>
                <w:kern w:val="0"/>
                <w:lang w:eastAsia="en-IN"/>
                <w14:ligatures w14:val="none"/>
              </w:rPr>
              <w:t>K</w:t>
            </w:r>
          </w:p>
        </w:tc>
        <w:tc>
          <w:tcPr>
            <w:tcW w:w="1010" w:type="dxa"/>
            <w:tcBorders>
              <w:top w:val="single" w:sz="4" w:space="0" w:color="auto"/>
              <w:left w:val="nil"/>
              <w:bottom w:val="single" w:sz="4" w:space="0" w:color="auto"/>
              <w:right w:val="nil"/>
            </w:tcBorders>
            <w:shd w:val="clear" w:color="000000" w:fill="FFFFFF"/>
            <w:noWrap/>
            <w:vAlign w:val="center"/>
            <w:hideMark/>
          </w:tcPr>
          <w:p w14:paraId="37763CAE" w14:textId="77777777" w:rsidR="001253FA" w:rsidRPr="00AD6808" w:rsidRDefault="001253FA" w:rsidP="00A04D54">
            <w:pPr>
              <w:spacing w:after="0" w:line="240" w:lineRule="auto"/>
              <w:jc w:val="center"/>
              <w:rPr>
                <w:rFonts w:ascii="Times New Roman" w:eastAsia="Times New Roman" w:hAnsi="Times New Roman" w:cs="Times New Roman"/>
                <w:color w:val="000000"/>
                <w:kern w:val="0"/>
                <w:lang w:eastAsia="en-IN"/>
                <w14:ligatures w14:val="none"/>
              </w:rPr>
            </w:pPr>
            <w:r w:rsidRPr="00AD6808">
              <w:rPr>
                <w:rFonts w:ascii="Times New Roman" w:eastAsia="Times New Roman" w:hAnsi="Times New Roman" w:cs="Times New Roman"/>
                <w:color w:val="000000"/>
                <w:kern w:val="0"/>
                <w:lang w:eastAsia="en-IN"/>
                <w14:ligatures w14:val="none"/>
              </w:rPr>
              <w:t>Zn</w:t>
            </w:r>
          </w:p>
        </w:tc>
      </w:tr>
      <w:tr w:rsidR="00D16533" w:rsidRPr="00AD6808" w14:paraId="6B7282F9" w14:textId="77777777" w:rsidTr="00A04D54">
        <w:trPr>
          <w:trHeight w:val="276"/>
        </w:trPr>
        <w:tc>
          <w:tcPr>
            <w:tcW w:w="3000" w:type="dxa"/>
            <w:tcBorders>
              <w:top w:val="single" w:sz="4" w:space="0" w:color="auto"/>
              <w:left w:val="nil"/>
              <w:bottom w:val="nil"/>
              <w:right w:val="nil"/>
            </w:tcBorders>
            <w:shd w:val="clear" w:color="000000" w:fill="FFFFFF"/>
            <w:noWrap/>
            <w:vAlign w:val="bottom"/>
            <w:hideMark/>
          </w:tcPr>
          <w:p w14:paraId="56A21A80"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T1 (NPK)soil test based</w:t>
            </w:r>
          </w:p>
        </w:tc>
        <w:tc>
          <w:tcPr>
            <w:tcW w:w="1010" w:type="dxa"/>
            <w:tcBorders>
              <w:top w:val="nil"/>
              <w:left w:val="nil"/>
              <w:bottom w:val="nil"/>
              <w:right w:val="nil"/>
            </w:tcBorders>
            <w:shd w:val="clear" w:color="000000" w:fill="FFFFFF"/>
            <w:noWrap/>
            <w:vAlign w:val="bottom"/>
            <w:hideMark/>
          </w:tcPr>
          <w:p w14:paraId="23DF8D13" w14:textId="1C677CF3"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34.16</w:t>
            </w:r>
          </w:p>
        </w:tc>
        <w:tc>
          <w:tcPr>
            <w:tcW w:w="1010" w:type="dxa"/>
            <w:tcBorders>
              <w:top w:val="nil"/>
              <w:left w:val="nil"/>
              <w:bottom w:val="nil"/>
              <w:right w:val="nil"/>
            </w:tcBorders>
            <w:shd w:val="clear" w:color="000000" w:fill="FFFFFF"/>
            <w:noWrap/>
            <w:vAlign w:val="bottom"/>
            <w:hideMark/>
          </w:tcPr>
          <w:p w14:paraId="5233CCF2" w14:textId="01D317FB"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20.2</w:t>
            </w:r>
          </w:p>
        </w:tc>
        <w:tc>
          <w:tcPr>
            <w:tcW w:w="1010" w:type="dxa"/>
            <w:tcBorders>
              <w:top w:val="nil"/>
              <w:left w:val="nil"/>
              <w:bottom w:val="nil"/>
              <w:right w:val="nil"/>
            </w:tcBorders>
            <w:shd w:val="clear" w:color="000000" w:fill="FFFFFF"/>
            <w:noWrap/>
            <w:vAlign w:val="bottom"/>
            <w:hideMark/>
          </w:tcPr>
          <w:p w14:paraId="284A3EDA" w14:textId="6680877C"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229.2</w:t>
            </w:r>
          </w:p>
        </w:tc>
        <w:tc>
          <w:tcPr>
            <w:tcW w:w="1010" w:type="dxa"/>
            <w:tcBorders>
              <w:top w:val="nil"/>
              <w:left w:val="nil"/>
              <w:bottom w:val="nil"/>
              <w:right w:val="nil"/>
            </w:tcBorders>
            <w:shd w:val="clear" w:color="000000" w:fill="FFFFFF"/>
            <w:noWrap/>
            <w:vAlign w:val="bottom"/>
            <w:hideMark/>
          </w:tcPr>
          <w:p w14:paraId="4359E9FE" w14:textId="3C625303"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716.67</w:t>
            </w:r>
          </w:p>
        </w:tc>
      </w:tr>
      <w:tr w:rsidR="00D16533" w:rsidRPr="00AD6808" w14:paraId="5139F90E" w14:textId="77777777" w:rsidTr="00A04D54">
        <w:trPr>
          <w:trHeight w:val="276"/>
        </w:trPr>
        <w:tc>
          <w:tcPr>
            <w:tcW w:w="3000" w:type="dxa"/>
            <w:tcBorders>
              <w:top w:val="nil"/>
              <w:left w:val="nil"/>
              <w:bottom w:val="nil"/>
              <w:right w:val="nil"/>
            </w:tcBorders>
            <w:shd w:val="clear" w:color="000000" w:fill="FFFFFF"/>
            <w:noWrap/>
            <w:vAlign w:val="bottom"/>
            <w:hideMark/>
          </w:tcPr>
          <w:p w14:paraId="23177229"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T2 (NPKZ)soil test based</w:t>
            </w:r>
          </w:p>
        </w:tc>
        <w:tc>
          <w:tcPr>
            <w:tcW w:w="1010" w:type="dxa"/>
            <w:tcBorders>
              <w:top w:val="nil"/>
              <w:left w:val="nil"/>
              <w:bottom w:val="nil"/>
              <w:right w:val="nil"/>
            </w:tcBorders>
            <w:shd w:val="clear" w:color="000000" w:fill="FFFFFF"/>
            <w:noWrap/>
            <w:vAlign w:val="bottom"/>
            <w:hideMark/>
          </w:tcPr>
          <w:p w14:paraId="5583515B" w14:textId="5223ED09"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40.88</w:t>
            </w:r>
          </w:p>
        </w:tc>
        <w:tc>
          <w:tcPr>
            <w:tcW w:w="1010" w:type="dxa"/>
            <w:tcBorders>
              <w:top w:val="nil"/>
              <w:left w:val="nil"/>
              <w:bottom w:val="nil"/>
              <w:right w:val="nil"/>
            </w:tcBorders>
            <w:shd w:val="clear" w:color="000000" w:fill="FFFFFF"/>
            <w:noWrap/>
            <w:vAlign w:val="bottom"/>
            <w:hideMark/>
          </w:tcPr>
          <w:p w14:paraId="29D4EE52" w14:textId="60C8ED8D"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24</w:t>
            </w:r>
          </w:p>
        </w:tc>
        <w:tc>
          <w:tcPr>
            <w:tcW w:w="1010" w:type="dxa"/>
            <w:tcBorders>
              <w:top w:val="nil"/>
              <w:left w:val="nil"/>
              <w:bottom w:val="nil"/>
              <w:right w:val="nil"/>
            </w:tcBorders>
            <w:shd w:val="clear" w:color="000000" w:fill="FFFFFF"/>
            <w:noWrap/>
            <w:vAlign w:val="bottom"/>
            <w:hideMark/>
          </w:tcPr>
          <w:p w14:paraId="68C78698" w14:textId="2B8C62A8"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268.4</w:t>
            </w:r>
          </w:p>
        </w:tc>
        <w:tc>
          <w:tcPr>
            <w:tcW w:w="1010" w:type="dxa"/>
            <w:tcBorders>
              <w:top w:val="nil"/>
              <w:left w:val="nil"/>
              <w:bottom w:val="nil"/>
              <w:right w:val="nil"/>
            </w:tcBorders>
            <w:shd w:val="clear" w:color="000000" w:fill="FFFFFF"/>
            <w:noWrap/>
            <w:vAlign w:val="bottom"/>
            <w:hideMark/>
          </w:tcPr>
          <w:p w14:paraId="49836802" w14:textId="0CCC46D9"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850</w:t>
            </w:r>
          </w:p>
        </w:tc>
      </w:tr>
      <w:tr w:rsidR="00D16533" w:rsidRPr="00AD6808" w14:paraId="7C71B253" w14:textId="77777777" w:rsidTr="00A04D54">
        <w:trPr>
          <w:trHeight w:val="276"/>
        </w:trPr>
        <w:tc>
          <w:tcPr>
            <w:tcW w:w="3000" w:type="dxa"/>
            <w:tcBorders>
              <w:top w:val="nil"/>
              <w:left w:val="nil"/>
              <w:bottom w:val="nil"/>
              <w:right w:val="nil"/>
            </w:tcBorders>
            <w:shd w:val="clear" w:color="000000" w:fill="FFFFFF"/>
            <w:noWrap/>
            <w:vAlign w:val="bottom"/>
            <w:hideMark/>
          </w:tcPr>
          <w:p w14:paraId="3814703E"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T3 (NPK)recommended dose</w:t>
            </w:r>
          </w:p>
        </w:tc>
        <w:tc>
          <w:tcPr>
            <w:tcW w:w="1010" w:type="dxa"/>
            <w:tcBorders>
              <w:top w:val="nil"/>
              <w:left w:val="nil"/>
              <w:bottom w:val="nil"/>
              <w:right w:val="nil"/>
            </w:tcBorders>
            <w:shd w:val="clear" w:color="000000" w:fill="FFFFFF"/>
            <w:noWrap/>
            <w:vAlign w:val="bottom"/>
            <w:hideMark/>
          </w:tcPr>
          <w:p w14:paraId="0322D26B" w14:textId="46F275DB"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24.13</w:t>
            </w:r>
          </w:p>
        </w:tc>
        <w:tc>
          <w:tcPr>
            <w:tcW w:w="1010" w:type="dxa"/>
            <w:tcBorders>
              <w:top w:val="nil"/>
              <w:left w:val="nil"/>
              <w:bottom w:val="nil"/>
              <w:right w:val="nil"/>
            </w:tcBorders>
            <w:shd w:val="clear" w:color="000000" w:fill="FFFFFF"/>
            <w:noWrap/>
            <w:vAlign w:val="bottom"/>
            <w:hideMark/>
          </w:tcPr>
          <w:p w14:paraId="69EF08D1" w14:textId="3F4A73F4"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17.2</w:t>
            </w:r>
          </w:p>
        </w:tc>
        <w:tc>
          <w:tcPr>
            <w:tcW w:w="1010" w:type="dxa"/>
            <w:tcBorders>
              <w:top w:val="nil"/>
              <w:left w:val="nil"/>
              <w:bottom w:val="nil"/>
              <w:right w:val="nil"/>
            </w:tcBorders>
            <w:shd w:val="clear" w:color="000000" w:fill="FFFFFF"/>
            <w:noWrap/>
            <w:vAlign w:val="bottom"/>
            <w:hideMark/>
          </w:tcPr>
          <w:p w14:paraId="123231BE" w14:textId="48B0FBC4"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91.6</w:t>
            </w:r>
          </w:p>
        </w:tc>
        <w:tc>
          <w:tcPr>
            <w:tcW w:w="1010" w:type="dxa"/>
            <w:tcBorders>
              <w:top w:val="nil"/>
              <w:left w:val="nil"/>
              <w:bottom w:val="nil"/>
              <w:right w:val="nil"/>
            </w:tcBorders>
            <w:shd w:val="clear" w:color="000000" w:fill="FFFFFF"/>
            <w:noWrap/>
            <w:vAlign w:val="bottom"/>
            <w:hideMark/>
          </w:tcPr>
          <w:p w14:paraId="2AAAFB26" w14:textId="414CE694"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424</w:t>
            </w:r>
          </w:p>
        </w:tc>
      </w:tr>
      <w:tr w:rsidR="00D16533" w:rsidRPr="00AD6808" w14:paraId="56EED895" w14:textId="77777777" w:rsidTr="00A04D54">
        <w:trPr>
          <w:trHeight w:val="276"/>
        </w:trPr>
        <w:tc>
          <w:tcPr>
            <w:tcW w:w="3000" w:type="dxa"/>
            <w:tcBorders>
              <w:top w:val="nil"/>
              <w:left w:val="nil"/>
              <w:bottom w:val="nil"/>
              <w:right w:val="nil"/>
            </w:tcBorders>
            <w:shd w:val="clear" w:color="000000" w:fill="FFFFFF"/>
            <w:noWrap/>
            <w:vAlign w:val="bottom"/>
            <w:hideMark/>
          </w:tcPr>
          <w:p w14:paraId="30D30BF8"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T4 (NPKZ)recommended dose</w:t>
            </w:r>
          </w:p>
        </w:tc>
        <w:tc>
          <w:tcPr>
            <w:tcW w:w="1010" w:type="dxa"/>
            <w:tcBorders>
              <w:top w:val="nil"/>
              <w:left w:val="nil"/>
              <w:bottom w:val="nil"/>
              <w:right w:val="nil"/>
            </w:tcBorders>
            <w:shd w:val="clear" w:color="000000" w:fill="FFFFFF"/>
            <w:noWrap/>
            <w:vAlign w:val="bottom"/>
            <w:hideMark/>
          </w:tcPr>
          <w:p w14:paraId="2B7EFFA3" w14:textId="4FF0A327"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25.73</w:t>
            </w:r>
          </w:p>
        </w:tc>
        <w:tc>
          <w:tcPr>
            <w:tcW w:w="1010" w:type="dxa"/>
            <w:tcBorders>
              <w:top w:val="nil"/>
              <w:left w:val="nil"/>
              <w:bottom w:val="nil"/>
              <w:right w:val="nil"/>
            </w:tcBorders>
            <w:shd w:val="clear" w:color="000000" w:fill="FFFFFF"/>
            <w:noWrap/>
            <w:vAlign w:val="bottom"/>
            <w:hideMark/>
          </w:tcPr>
          <w:p w14:paraId="4221E230" w14:textId="3F880F0A"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18.2</w:t>
            </w:r>
          </w:p>
        </w:tc>
        <w:tc>
          <w:tcPr>
            <w:tcW w:w="1010" w:type="dxa"/>
            <w:tcBorders>
              <w:top w:val="nil"/>
              <w:left w:val="nil"/>
              <w:bottom w:val="nil"/>
              <w:right w:val="nil"/>
            </w:tcBorders>
            <w:shd w:val="clear" w:color="000000" w:fill="FFFFFF"/>
            <w:noWrap/>
            <w:vAlign w:val="bottom"/>
            <w:hideMark/>
          </w:tcPr>
          <w:p w14:paraId="28EF1A57" w14:textId="14782665"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98.6</w:t>
            </w:r>
          </w:p>
        </w:tc>
        <w:tc>
          <w:tcPr>
            <w:tcW w:w="1010" w:type="dxa"/>
            <w:tcBorders>
              <w:top w:val="nil"/>
              <w:left w:val="nil"/>
              <w:bottom w:val="nil"/>
              <w:right w:val="nil"/>
            </w:tcBorders>
            <w:shd w:val="clear" w:color="000000" w:fill="FFFFFF"/>
            <w:noWrap/>
            <w:vAlign w:val="bottom"/>
            <w:hideMark/>
          </w:tcPr>
          <w:p w14:paraId="77D23958" w14:textId="35BC9E47"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448</w:t>
            </w:r>
          </w:p>
        </w:tc>
      </w:tr>
      <w:tr w:rsidR="00D16533" w:rsidRPr="00AD6808" w14:paraId="5445BC64" w14:textId="77777777" w:rsidTr="00A04D54">
        <w:trPr>
          <w:trHeight w:val="276"/>
        </w:trPr>
        <w:tc>
          <w:tcPr>
            <w:tcW w:w="3000" w:type="dxa"/>
            <w:tcBorders>
              <w:top w:val="nil"/>
              <w:left w:val="nil"/>
              <w:bottom w:val="nil"/>
              <w:right w:val="nil"/>
            </w:tcBorders>
            <w:shd w:val="clear" w:color="000000" w:fill="FFFFFF"/>
            <w:noWrap/>
            <w:vAlign w:val="bottom"/>
            <w:hideMark/>
          </w:tcPr>
          <w:p w14:paraId="23F7B076"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 xml:space="preserve">T5 -N(PKZ) </w:t>
            </w:r>
            <w:proofErr w:type="spellStart"/>
            <w:r w:rsidRPr="00AD6808">
              <w:rPr>
                <w:rFonts w:ascii="Times New Roman" w:eastAsia="Times New Roman" w:hAnsi="Times New Roman" w:cs="Times New Roman"/>
                <w:color w:val="000000"/>
                <w:kern w:val="0"/>
                <w:sz w:val="22"/>
                <w:szCs w:val="22"/>
                <w:lang w:eastAsia="en-IN"/>
                <w14:ligatures w14:val="none"/>
              </w:rPr>
              <w:t>stb</w:t>
            </w:r>
            <w:proofErr w:type="spellEnd"/>
          </w:p>
        </w:tc>
        <w:tc>
          <w:tcPr>
            <w:tcW w:w="1010" w:type="dxa"/>
            <w:tcBorders>
              <w:top w:val="nil"/>
              <w:left w:val="nil"/>
              <w:bottom w:val="nil"/>
              <w:right w:val="nil"/>
            </w:tcBorders>
            <w:shd w:val="clear" w:color="000000" w:fill="FFFFFF"/>
            <w:noWrap/>
            <w:vAlign w:val="bottom"/>
            <w:hideMark/>
          </w:tcPr>
          <w:p w14:paraId="70395AA8" w14:textId="41C31D7E"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nil"/>
              <w:right w:val="nil"/>
            </w:tcBorders>
            <w:shd w:val="clear" w:color="000000" w:fill="FFFFFF"/>
            <w:noWrap/>
            <w:vAlign w:val="bottom"/>
            <w:hideMark/>
          </w:tcPr>
          <w:p w14:paraId="6357DD49" w14:textId="7AAC67DD"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7.2</w:t>
            </w:r>
          </w:p>
        </w:tc>
        <w:tc>
          <w:tcPr>
            <w:tcW w:w="1010" w:type="dxa"/>
            <w:tcBorders>
              <w:top w:val="nil"/>
              <w:left w:val="nil"/>
              <w:bottom w:val="nil"/>
              <w:right w:val="nil"/>
            </w:tcBorders>
            <w:shd w:val="clear" w:color="000000" w:fill="FFFFFF"/>
            <w:noWrap/>
            <w:vAlign w:val="bottom"/>
            <w:hideMark/>
          </w:tcPr>
          <w:p w14:paraId="3CD115E8" w14:textId="43217029"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77.6</w:t>
            </w:r>
          </w:p>
        </w:tc>
        <w:tc>
          <w:tcPr>
            <w:tcW w:w="1010" w:type="dxa"/>
            <w:tcBorders>
              <w:top w:val="nil"/>
              <w:left w:val="nil"/>
              <w:bottom w:val="nil"/>
              <w:right w:val="nil"/>
            </w:tcBorders>
            <w:shd w:val="clear" w:color="000000" w:fill="FFFFFF"/>
            <w:noWrap/>
            <w:vAlign w:val="bottom"/>
            <w:hideMark/>
          </w:tcPr>
          <w:p w14:paraId="3C423DB2" w14:textId="383B4DE4"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255.56</w:t>
            </w:r>
          </w:p>
        </w:tc>
      </w:tr>
      <w:tr w:rsidR="00D16533" w:rsidRPr="00AD6808" w14:paraId="32E7E2A0" w14:textId="77777777" w:rsidTr="00A04D54">
        <w:trPr>
          <w:trHeight w:val="276"/>
        </w:trPr>
        <w:tc>
          <w:tcPr>
            <w:tcW w:w="3000" w:type="dxa"/>
            <w:tcBorders>
              <w:top w:val="nil"/>
              <w:left w:val="nil"/>
              <w:bottom w:val="nil"/>
              <w:right w:val="nil"/>
            </w:tcBorders>
            <w:shd w:val="clear" w:color="000000" w:fill="FFFFFF"/>
            <w:noWrap/>
            <w:vAlign w:val="bottom"/>
            <w:hideMark/>
          </w:tcPr>
          <w:p w14:paraId="1259234B"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 xml:space="preserve">T6 -P (NKZ) </w:t>
            </w:r>
            <w:proofErr w:type="spellStart"/>
            <w:r w:rsidRPr="00AD6808">
              <w:rPr>
                <w:rFonts w:ascii="Times New Roman" w:eastAsia="Times New Roman" w:hAnsi="Times New Roman" w:cs="Times New Roman"/>
                <w:color w:val="000000"/>
                <w:kern w:val="0"/>
                <w:sz w:val="22"/>
                <w:szCs w:val="22"/>
                <w:lang w:eastAsia="en-IN"/>
                <w14:ligatures w14:val="none"/>
              </w:rPr>
              <w:t>stb</w:t>
            </w:r>
            <w:proofErr w:type="spellEnd"/>
          </w:p>
        </w:tc>
        <w:tc>
          <w:tcPr>
            <w:tcW w:w="1010" w:type="dxa"/>
            <w:tcBorders>
              <w:top w:val="nil"/>
              <w:left w:val="nil"/>
              <w:bottom w:val="nil"/>
              <w:right w:val="nil"/>
            </w:tcBorders>
            <w:shd w:val="clear" w:color="000000" w:fill="FFFFFF"/>
            <w:noWrap/>
            <w:vAlign w:val="bottom"/>
            <w:hideMark/>
          </w:tcPr>
          <w:p w14:paraId="00ABBB5B" w14:textId="56E51EAC"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16.48</w:t>
            </w:r>
          </w:p>
        </w:tc>
        <w:tc>
          <w:tcPr>
            <w:tcW w:w="1010" w:type="dxa"/>
            <w:tcBorders>
              <w:top w:val="nil"/>
              <w:left w:val="nil"/>
              <w:bottom w:val="nil"/>
              <w:right w:val="nil"/>
            </w:tcBorders>
            <w:shd w:val="clear" w:color="000000" w:fill="FFFFFF"/>
            <w:noWrap/>
            <w:vAlign w:val="bottom"/>
            <w:hideMark/>
          </w:tcPr>
          <w:p w14:paraId="573F53FF" w14:textId="782261DB"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nil"/>
              <w:right w:val="nil"/>
            </w:tcBorders>
            <w:shd w:val="clear" w:color="000000" w:fill="FFFFFF"/>
            <w:noWrap/>
            <w:vAlign w:val="bottom"/>
            <w:hideMark/>
          </w:tcPr>
          <w:p w14:paraId="3386317C" w14:textId="57E98932"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103.6</w:t>
            </w:r>
          </w:p>
        </w:tc>
        <w:tc>
          <w:tcPr>
            <w:tcW w:w="1010" w:type="dxa"/>
            <w:tcBorders>
              <w:top w:val="nil"/>
              <w:left w:val="nil"/>
              <w:bottom w:val="nil"/>
              <w:right w:val="nil"/>
            </w:tcBorders>
            <w:shd w:val="clear" w:color="000000" w:fill="FFFFFF"/>
            <w:noWrap/>
            <w:vAlign w:val="bottom"/>
            <w:hideMark/>
          </w:tcPr>
          <w:p w14:paraId="3E252ACD" w14:textId="1D6FE7A2"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338.89</w:t>
            </w:r>
          </w:p>
        </w:tc>
      </w:tr>
      <w:tr w:rsidR="00D16533" w:rsidRPr="00AD6808" w14:paraId="6303218F" w14:textId="77777777" w:rsidTr="00A04D54">
        <w:trPr>
          <w:trHeight w:val="276"/>
        </w:trPr>
        <w:tc>
          <w:tcPr>
            <w:tcW w:w="3000" w:type="dxa"/>
            <w:tcBorders>
              <w:top w:val="nil"/>
              <w:left w:val="nil"/>
              <w:bottom w:val="nil"/>
              <w:right w:val="nil"/>
            </w:tcBorders>
            <w:shd w:val="clear" w:color="000000" w:fill="FFFFFF"/>
            <w:noWrap/>
            <w:vAlign w:val="bottom"/>
            <w:hideMark/>
          </w:tcPr>
          <w:p w14:paraId="04EDDA09"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 xml:space="preserve">T7 -K (NPZ) </w:t>
            </w:r>
            <w:proofErr w:type="spellStart"/>
            <w:r w:rsidRPr="00AD6808">
              <w:rPr>
                <w:rFonts w:ascii="Times New Roman" w:eastAsia="Times New Roman" w:hAnsi="Times New Roman" w:cs="Times New Roman"/>
                <w:color w:val="000000"/>
                <w:kern w:val="0"/>
                <w:sz w:val="22"/>
                <w:szCs w:val="22"/>
                <w:lang w:eastAsia="en-IN"/>
                <w14:ligatures w14:val="none"/>
              </w:rPr>
              <w:t>stb</w:t>
            </w:r>
            <w:proofErr w:type="spellEnd"/>
          </w:p>
        </w:tc>
        <w:tc>
          <w:tcPr>
            <w:tcW w:w="1010" w:type="dxa"/>
            <w:tcBorders>
              <w:top w:val="nil"/>
              <w:left w:val="nil"/>
              <w:bottom w:val="nil"/>
              <w:right w:val="nil"/>
            </w:tcBorders>
            <w:shd w:val="clear" w:color="000000" w:fill="FFFFFF"/>
            <w:noWrap/>
            <w:vAlign w:val="bottom"/>
            <w:hideMark/>
          </w:tcPr>
          <w:p w14:paraId="33D250CE" w14:textId="0ABA9A48"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24.48</w:t>
            </w:r>
          </w:p>
        </w:tc>
        <w:tc>
          <w:tcPr>
            <w:tcW w:w="1010" w:type="dxa"/>
            <w:tcBorders>
              <w:top w:val="nil"/>
              <w:left w:val="nil"/>
              <w:bottom w:val="nil"/>
              <w:right w:val="nil"/>
            </w:tcBorders>
            <w:shd w:val="clear" w:color="000000" w:fill="FFFFFF"/>
            <w:noWrap/>
            <w:vAlign w:val="bottom"/>
            <w:hideMark/>
          </w:tcPr>
          <w:p w14:paraId="2672B7E5" w14:textId="073F36B5"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14.2</w:t>
            </w:r>
          </w:p>
        </w:tc>
        <w:tc>
          <w:tcPr>
            <w:tcW w:w="1010" w:type="dxa"/>
            <w:tcBorders>
              <w:top w:val="nil"/>
              <w:left w:val="nil"/>
              <w:bottom w:val="nil"/>
              <w:right w:val="nil"/>
            </w:tcBorders>
            <w:shd w:val="clear" w:color="000000" w:fill="FFFFFF"/>
            <w:noWrap/>
            <w:vAlign w:val="bottom"/>
            <w:hideMark/>
          </w:tcPr>
          <w:p w14:paraId="1A05837E" w14:textId="059B6A6A"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nil"/>
              <w:right w:val="nil"/>
            </w:tcBorders>
            <w:shd w:val="clear" w:color="000000" w:fill="FFFFFF"/>
            <w:noWrap/>
            <w:vAlign w:val="bottom"/>
            <w:hideMark/>
          </w:tcPr>
          <w:p w14:paraId="60922E32" w14:textId="6C2359EA"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466.67</w:t>
            </w:r>
          </w:p>
        </w:tc>
      </w:tr>
      <w:tr w:rsidR="00D16533" w:rsidRPr="00AD6808" w14:paraId="612D1EA8" w14:textId="77777777" w:rsidTr="00A04D54">
        <w:trPr>
          <w:trHeight w:val="276"/>
        </w:trPr>
        <w:tc>
          <w:tcPr>
            <w:tcW w:w="3000" w:type="dxa"/>
            <w:tcBorders>
              <w:top w:val="nil"/>
              <w:left w:val="nil"/>
              <w:bottom w:val="nil"/>
              <w:right w:val="nil"/>
            </w:tcBorders>
            <w:shd w:val="clear" w:color="000000" w:fill="FFFFFF"/>
            <w:noWrap/>
            <w:vAlign w:val="bottom"/>
            <w:hideMark/>
          </w:tcPr>
          <w:p w14:paraId="0A2B4C49"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 xml:space="preserve">T8 -NZ (PK) </w:t>
            </w:r>
            <w:proofErr w:type="spellStart"/>
            <w:r w:rsidRPr="00AD6808">
              <w:rPr>
                <w:rFonts w:ascii="Times New Roman" w:eastAsia="Times New Roman" w:hAnsi="Times New Roman" w:cs="Times New Roman"/>
                <w:color w:val="000000"/>
                <w:kern w:val="0"/>
                <w:sz w:val="22"/>
                <w:szCs w:val="22"/>
                <w:lang w:eastAsia="en-IN"/>
                <w14:ligatures w14:val="none"/>
              </w:rPr>
              <w:t>stb</w:t>
            </w:r>
            <w:proofErr w:type="spellEnd"/>
          </w:p>
        </w:tc>
        <w:tc>
          <w:tcPr>
            <w:tcW w:w="1010" w:type="dxa"/>
            <w:tcBorders>
              <w:top w:val="nil"/>
              <w:left w:val="nil"/>
              <w:bottom w:val="nil"/>
              <w:right w:val="nil"/>
            </w:tcBorders>
            <w:shd w:val="clear" w:color="000000" w:fill="FFFFFF"/>
            <w:noWrap/>
            <w:vAlign w:val="bottom"/>
            <w:hideMark/>
          </w:tcPr>
          <w:p w14:paraId="3A1A3E1F" w14:textId="05C91478"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nil"/>
              <w:right w:val="nil"/>
            </w:tcBorders>
            <w:shd w:val="clear" w:color="000000" w:fill="FFFFFF"/>
            <w:noWrap/>
            <w:vAlign w:val="bottom"/>
            <w:hideMark/>
          </w:tcPr>
          <w:p w14:paraId="1BCE0E8B" w14:textId="6D247319"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6.2</w:t>
            </w:r>
          </w:p>
        </w:tc>
        <w:tc>
          <w:tcPr>
            <w:tcW w:w="1010" w:type="dxa"/>
            <w:tcBorders>
              <w:top w:val="nil"/>
              <w:left w:val="nil"/>
              <w:bottom w:val="nil"/>
              <w:right w:val="nil"/>
            </w:tcBorders>
            <w:shd w:val="clear" w:color="000000" w:fill="FFFFFF"/>
            <w:noWrap/>
            <w:vAlign w:val="bottom"/>
            <w:hideMark/>
          </w:tcPr>
          <w:p w14:paraId="4B10B7D2" w14:textId="5168EE95"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66</w:t>
            </w:r>
          </w:p>
        </w:tc>
        <w:tc>
          <w:tcPr>
            <w:tcW w:w="1010" w:type="dxa"/>
            <w:tcBorders>
              <w:top w:val="nil"/>
              <w:left w:val="nil"/>
              <w:bottom w:val="nil"/>
              <w:right w:val="nil"/>
            </w:tcBorders>
            <w:shd w:val="clear" w:color="000000" w:fill="FFFFFF"/>
            <w:noWrap/>
            <w:vAlign w:val="bottom"/>
            <w:hideMark/>
          </w:tcPr>
          <w:p w14:paraId="5B68DE83" w14:textId="26164361"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r>
      <w:tr w:rsidR="00D16533" w:rsidRPr="00AD6808" w14:paraId="108AE647" w14:textId="77777777" w:rsidTr="00A04D54">
        <w:trPr>
          <w:trHeight w:val="276"/>
        </w:trPr>
        <w:tc>
          <w:tcPr>
            <w:tcW w:w="3000" w:type="dxa"/>
            <w:tcBorders>
              <w:top w:val="nil"/>
              <w:left w:val="nil"/>
              <w:bottom w:val="nil"/>
              <w:right w:val="nil"/>
            </w:tcBorders>
            <w:shd w:val="clear" w:color="000000" w:fill="FFFFFF"/>
            <w:noWrap/>
            <w:vAlign w:val="bottom"/>
            <w:hideMark/>
          </w:tcPr>
          <w:p w14:paraId="1AFDEF6C"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 xml:space="preserve">T9 -PZ (NK) </w:t>
            </w:r>
            <w:proofErr w:type="spellStart"/>
            <w:r w:rsidRPr="00AD6808">
              <w:rPr>
                <w:rFonts w:ascii="Times New Roman" w:eastAsia="Times New Roman" w:hAnsi="Times New Roman" w:cs="Times New Roman"/>
                <w:color w:val="000000"/>
                <w:kern w:val="0"/>
                <w:sz w:val="22"/>
                <w:szCs w:val="22"/>
                <w:lang w:eastAsia="en-IN"/>
                <w14:ligatures w14:val="none"/>
              </w:rPr>
              <w:t>stb</w:t>
            </w:r>
            <w:proofErr w:type="spellEnd"/>
          </w:p>
        </w:tc>
        <w:tc>
          <w:tcPr>
            <w:tcW w:w="1010" w:type="dxa"/>
            <w:tcBorders>
              <w:top w:val="nil"/>
              <w:left w:val="nil"/>
              <w:bottom w:val="nil"/>
              <w:right w:val="nil"/>
            </w:tcBorders>
            <w:shd w:val="clear" w:color="000000" w:fill="FFFFFF"/>
            <w:noWrap/>
            <w:vAlign w:val="bottom"/>
            <w:hideMark/>
          </w:tcPr>
          <w:p w14:paraId="1AD6B44A" w14:textId="54147792"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15.84</w:t>
            </w:r>
          </w:p>
        </w:tc>
        <w:tc>
          <w:tcPr>
            <w:tcW w:w="1010" w:type="dxa"/>
            <w:tcBorders>
              <w:top w:val="nil"/>
              <w:left w:val="nil"/>
              <w:bottom w:val="nil"/>
              <w:right w:val="nil"/>
            </w:tcBorders>
            <w:shd w:val="clear" w:color="000000" w:fill="FFFFFF"/>
            <w:noWrap/>
            <w:vAlign w:val="bottom"/>
            <w:hideMark/>
          </w:tcPr>
          <w:p w14:paraId="39CF3B3F" w14:textId="0B67FB78"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nil"/>
              <w:right w:val="nil"/>
            </w:tcBorders>
            <w:shd w:val="clear" w:color="000000" w:fill="FFFFFF"/>
            <w:noWrap/>
            <w:vAlign w:val="bottom"/>
            <w:hideMark/>
          </w:tcPr>
          <w:p w14:paraId="5E20BAD9" w14:textId="01198A9A"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102.4</w:t>
            </w:r>
          </w:p>
        </w:tc>
        <w:tc>
          <w:tcPr>
            <w:tcW w:w="1010" w:type="dxa"/>
            <w:tcBorders>
              <w:top w:val="nil"/>
              <w:left w:val="nil"/>
              <w:bottom w:val="nil"/>
              <w:right w:val="nil"/>
            </w:tcBorders>
            <w:shd w:val="clear" w:color="000000" w:fill="FFFFFF"/>
            <w:noWrap/>
            <w:vAlign w:val="bottom"/>
            <w:hideMark/>
          </w:tcPr>
          <w:p w14:paraId="28AD044E" w14:textId="765EB157"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r>
      <w:tr w:rsidR="00D16533" w:rsidRPr="00AD6808" w14:paraId="426FF95E" w14:textId="77777777" w:rsidTr="00A04D54">
        <w:trPr>
          <w:trHeight w:val="276"/>
        </w:trPr>
        <w:tc>
          <w:tcPr>
            <w:tcW w:w="3000" w:type="dxa"/>
            <w:tcBorders>
              <w:top w:val="nil"/>
              <w:left w:val="nil"/>
              <w:bottom w:val="nil"/>
              <w:right w:val="nil"/>
            </w:tcBorders>
            <w:shd w:val="clear" w:color="000000" w:fill="FFFFFF"/>
            <w:noWrap/>
            <w:vAlign w:val="bottom"/>
            <w:hideMark/>
          </w:tcPr>
          <w:p w14:paraId="3BB0DF46"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 xml:space="preserve">T10 -KZ (NP) </w:t>
            </w:r>
            <w:proofErr w:type="spellStart"/>
            <w:r w:rsidRPr="00AD6808">
              <w:rPr>
                <w:rFonts w:ascii="Times New Roman" w:eastAsia="Times New Roman" w:hAnsi="Times New Roman" w:cs="Times New Roman"/>
                <w:color w:val="000000"/>
                <w:kern w:val="0"/>
                <w:sz w:val="22"/>
                <w:szCs w:val="22"/>
                <w:lang w:eastAsia="en-IN"/>
                <w14:ligatures w14:val="none"/>
              </w:rPr>
              <w:t>stb</w:t>
            </w:r>
            <w:proofErr w:type="spellEnd"/>
          </w:p>
        </w:tc>
        <w:tc>
          <w:tcPr>
            <w:tcW w:w="1010" w:type="dxa"/>
            <w:tcBorders>
              <w:top w:val="nil"/>
              <w:left w:val="nil"/>
              <w:bottom w:val="nil"/>
              <w:right w:val="nil"/>
            </w:tcBorders>
            <w:shd w:val="clear" w:color="000000" w:fill="FFFFFF"/>
            <w:noWrap/>
            <w:vAlign w:val="bottom"/>
            <w:hideMark/>
          </w:tcPr>
          <w:p w14:paraId="0B726416" w14:textId="3A2DC73D"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23.04</w:t>
            </w:r>
          </w:p>
        </w:tc>
        <w:tc>
          <w:tcPr>
            <w:tcW w:w="1010" w:type="dxa"/>
            <w:tcBorders>
              <w:top w:val="nil"/>
              <w:left w:val="nil"/>
              <w:bottom w:val="nil"/>
              <w:right w:val="nil"/>
            </w:tcBorders>
            <w:shd w:val="clear" w:color="000000" w:fill="FFFFFF"/>
            <w:noWrap/>
            <w:vAlign w:val="bottom"/>
            <w:hideMark/>
          </w:tcPr>
          <w:p w14:paraId="3E7669CC" w14:textId="275B4507"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13.4</w:t>
            </w:r>
          </w:p>
        </w:tc>
        <w:tc>
          <w:tcPr>
            <w:tcW w:w="1010" w:type="dxa"/>
            <w:tcBorders>
              <w:top w:val="nil"/>
              <w:left w:val="nil"/>
              <w:bottom w:val="nil"/>
              <w:right w:val="nil"/>
            </w:tcBorders>
            <w:shd w:val="clear" w:color="000000" w:fill="FFFFFF"/>
            <w:noWrap/>
            <w:vAlign w:val="bottom"/>
            <w:hideMark/>
          </w:tcPr>
          <w:p w14:paraId="5FC58DBA" w14:textId="4264E218"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nil"/>
              <w:right w:val="nil"/>
            </w:tcBorders>
            <w:shd w:val="clear" w:color="000000" w:fill="FFFFFF"/>
            <w:noWrap/>
            <w:vAlign w:val="bottom"/>
            <w:hideMark/>
          </w:tcPr>
          <w:p w14:paraId="38DAF183" w14:textId="1A146743"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r>
      <w:tr w:rsidR="00D16533" w:rsidRPr="00AD6808" w14:paraId="15785BF2" w14:textId="77777777" w:rsidTr="00A04D54">
        <w:trPr>
          <w:trHeight w:val="276"/>
        </w:trPr>
        <w:tc>
          <w:tcPr>
            <w:tcW w:w="3000" w:type="dxa"/>
            <w:tcBorders>
              <w:top w:val="nil"/>
              <w:left w:val="nil"/>
              <w:bottom w:val="nil"/>
              <w:right w:val="nil"/>
            </w:tcBorders>
            <w:shd w:val="clear" w:color="000000" w:fill="FFFFFF"/>
            <w:noWrap/>
            <w:vAlign w:val="bottom"/>
            <w:hideMark/>
          </w:tcPr>
          <w:p w14:paraId="5CBE6FA0"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T11 FP</w:t>
            </w:r>
          </w:p>
        </w:tc>
        <w:tc>
          <w:tcPr>
            <w:tcW w:w="1010" w:type="dxa"/>
            <w:tcBorders>
              <w:top w:val="nil"/>
              <w:left w:val="nil"/>
              <w:bottom w:val="nil"/>
              <w:right w:val="nil"/>
            </w:tcBorders>
            <w:shd w:val="clear" w:color="000000" w:fill="FFFFFF"/>
            <w:noWrap/>
            <w:vAlign w:val="bottom"/>
            <w:hideMark/>
          </w:tcPr>
          <w:p w14:paraId="10CD3D39" w14:textId="39528025"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22.89</w:t>
            </w:r>
          </w:p>
        </w:tc>
        <w:tc>
          <w:tcPr>
            <w:tcW w:w="1010" w:type="dxa"/>
            <w:tcBorders>
              <w:top w:val="nil"/>
              <w:left w:val="nil"/>
              <w:bottom w:val="nil"/>
              <w:right w:val="nil"/>
            </w:tcBorders>
            <w:shd w:val="clear" w:color="000000" w:fill="FFFFFF"/>
            <w:noWrap/>
            <w:vAlign w:val="bottom"/>
            <w:hideMark/>
          </w:tcPr>
          <w:p w14:paraId="2CB25CFE" w14:textId="156F93D1"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1</w:t>
            </w:r>
          </w:p>
        </w:tc>
        <w:tc>
          <w:tcPr>
            <w:tcW w:w="1010" w:type="dxa"/>
            <w:tcBorders>
              <w:top w:val="nil"/>
              <w:left w:val="nil"/>
              <w:bottom w:val="nil"/>
              <w:right w:val="nil"/>
            </w:tcBorders>
            <w:shd w:val="clear" w:color="000000" w:fill="FFFFFF"/>
            <w:noWrap/>
            <w:vAlign w:val="bottom"/>
            <w:hideMark/>
          </w:tcPr>
          <w:p w14:paraId="51A65955" w14:textId="62C30B0E"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nil"/>
              <w:right w:val="nil"/>
            </w:tcBorders>
            <w:shd w:val="clear" w:color="000000" w:fill="FFFFFF"/>
            <w:noWrap/>
            <w:vAlign w:val="bottom"/>
            <w:hideMark/>
          </w:tcPr>
          <w:p w14:paraId="75BE02A5" w14:textId="6A36BB74"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r>
      <w:tr w:rsidR="00D16533" w:rsidRPr="00AD6808" w14:paraId="2AFEFDF9" w14:textId="77777777" w:rsidTr="00A04D54">
        <w:trPr>
          <w:trHeight w:val="276"/>
        </w:trPr>
        <w:tc>
          <w:tcPr>
            <w:tcW w:w="3000" w:type="dxa"/>
            <w:tcBorders>
              <w:top w:val="nil"/>
              <w:left w:val="nil"/>
              <w:bottom w:val="single" w:sz="4" w:space="0" w:color="auto"/>
              <w:right w:val="nil"/>
            </w:tcBorders>
            <w:shd w:val="clear" w:color="000000" w:fill="FFFFFF"/>
            <w:noWrap/>
            <w:vAlign w:val="bottom"/>
            <w:hideMark/>
          </w:tcPr>
          <w:p w14:paraId="456C0AE3" w14:textId="77777777" w:rsidR="00D16533" w:rsidRPr="00AD6808" w:rsidRDefault="00D16533" w:rsidP="00D16533">
            <w:pPr>
              <w:spacing w:after="0" w:line="240" w:lineRule="auto"/>
              <w:rPr>
                <w:rFonts w:ascii="Times New Roman" w:eastAsia="Times New Roman" w:hAnsi="Times New Roman" w:cs="Times New Roman"/>
                <w:color w:val="000000"/>
                <w:kern w:val="0"/>
                <w:sz w:val="22"/>
                <w:szCs w:val="22"/>
                <w:lang w:eastAsia="en-IN"/>
                <w14:ligatures w14:val="none"/>
              </w:rPr>
            </w:pPr>
            <w:r w:rsidRPr="00AD6808">
              <w:rPr>
                <w:rFonts w:ascii="Times New Roman" w:eastAsia="Times New Roman" w:hAnsi="Times New Roman" w:cs="Times New Roman"/>
                <w:color w:val="000000"/>
                <w:kern w:val="0"/>
                <w:sz w:val="22"/>
                <w:szCs w:val="22"/>
                <w:lang w:eastAsia="en-IN"/>
                <w14:ligatures w14:val="none"/>
              </w:rPr>
              <w:t>T12 control</w:t>
            </w:r>
          </w:p>
        </w:tc>
        <w:tc>
          <w:tcPr>
            <w:tcW w:w="1010" w:type="dxa"/>
            <w:tcBorders>
              <w:top w:val="nil"/>
              <w:left w:val="nil"/>
              <w:bottom w:val="single" w:sz="4" w:space="0" w:color="auto"/>
              <w:right w:val="nil"/>
            </w:tcBorders>
            <w:shd w:val="clear" w:color="000000" w:fill="FFFFFF"/>
            <w:noWrap/>
            <w:vAlign w:val="bottom"/>
            <w:hideMark/>
          </w:tcPr>
          <w:p w14:paraId="5CEA743D" w14:textId="45E61A9D"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single" w:sz="4" w:space="0" w:color="auto"/>
              <w:right w:val="nil"/>
            </w:tcBorders>
            <w:shd w:val="clear" w:color="000000" w:fill="FFFFFF"/>
            <w:noWrap/>
            <w:vAlign w:val="bottom"/>
            <w:hideMark/>
          </w:tcPr>
          <w:p w14:paraId="297A36D5" w14:textId="03B30D62"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single" w:sz="4" w:space="0" w:color="auto"/>
              <w:right w:val="nil"/>
            </w:tcBorders>
            <w:shd w:val="clear" w:color="000000" w:fill="FFFFFF"/>
            <w:noWrap/>
            <w:vAlign w:val="bottom"/>
            <w:hideMark/>
          </w:tcPr>
          <w:p w14:paraId="509647B8" w14:textId="4EFD0748"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c>
          <w:tcPr>
            <w:tcW w:w="1010" w:type="dxa"/>
            <w:tcBorders>
              <w:top w:val="nil"/>
              <w:left w:val="nil"/>
              <w:bottom w:val="single" w:sz="4" w:space="0" w:color="auto"/>
              <w:right w:val="nil"/>
            </w:tcBorders>
            <w:shd w:val="clear" w:color="000000" w:fill="FFFFFF"/>
            <w:noWrap/>
            <w:vAlign w:val="bottom"/>
            <w:hideMark/>
          </w:tcPr>
          <w:p w14:paraId="304A3C7B" w14:textId="042957C6" w:rsidR="00D16533" w:rsidRPr="00AD6808" w:rsidRDefault="00D16533" w:rsidP="00D16533">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100571">
              <w:rPr>
                <w:rFonts w:ascii="Times New Roman" w:eastAsia="Times New Roman" w:hAnsi="Times New Roman" w:cs="Times New Roman"/>
                <w:color w:val="000000"/>
                <w:kern w:val="0"/>
                <w:sz w:val="22"/>
                <w:szCs w:val="22"/>
                <w:lang w:eastAsia="en-IN"/>
                <w14:ligatures w14:val="none"/>
              </w:rPr>
              <w:t>0</w:t>
            </w:r>
          </w:p>
        </w:tc>
      </w:tr>
    </w:tbl>
    <w:p w14:paraId="1361F148" w14:textId="77777777" w:rsidR="001253FA" w:rsidRDefault="001253FA" w:rsidP="001253FA">
      <w:pPr>
        <w:rPr>
          <w:rFonts w:ascii="Times New Roman" w:hAnsi="Times New Roman" w:cs="Times New Roman"/>
        </w:rPr>
      </w:pPr>
    </w:p>
    <w:p w14:paraId="2F7216FF" w14:textId="77777777" w:rsidR="001253FA" w:rsidRDefault="001253FA" w:rsidP="001253FA">
      <w:pPr>
        <w:rPr>
          <w:rFonts w:ascii="Times New Roman" w:hAnsi="Times New Roman" w:cs="Times New Roman"/>
        </w:rPr>
      </w:pPr>
    </w:p>
    <w:p w14:paraId="46E9052F" w14:textId="77777777" w:rsidR="001253FA" w:rsidRDefault="001253FA" w:rsidP="001253FA">
      <w:pPr>
        <w:rPr>
          <w:rFonts w:ascii="Times New Roman" w:hAnsi="Times New Roman" w:cs="Times New Roman"/>
        </w:rPr>
      </w:pPr>
    </w:p>
    <w:p w14:paraId="7478C007" w14:textId="77777777" w:rsidR="001253FA" w:rsidRDefault="001253FA" w:rsidP="001253FA">
      <w:pPr>
        <w:rPr>
          <w:rFonts w:ascii="Times New Roman" w:hAnsi="Times New Roman" w:cs="Times New Roman"/>
        </w:rPr>
      </w:pPr>
    </w:p>
    <w:p w14:paraId="576BB238" w14:textId="77777777" w:rsidR="001253FA" w:rsidRDefault="001253FA" w:rsidP="001253FA">
      <w:pPr>
        <w:rPr>
          <w:rFonts w:ascii="Times New Roman" w:hAnsi="Times New Roman" w:cs="Times New Roman"/>
        </w:rPr>
      </w:pPr>
    </w:p>
    <w:p w14:paraId="59A0FAEA" w14:textId="77777777" w:rsidR="001253FA" w:rsidRDefault="001253FA" w:rsidP="001253FA">
      <w:pPr>
        <w:rPr>
          <w:rFonts w:ascii="Times New Roman" w:hAnsi="Times New Roman" w:cs="Times New Roman"/>
        </w:rPr>
      </w:pPr>
    </w:p>
    <w:p w14:paraId="0FC6C46B" w14:textId="77777777" w:rsidR="001253FA" w:rsidRDefault="001253FA" w:rsidP="001253FA">
      <w:pPr>
        <w:rPr>
          <w:rFonts w:ascii="Times New Roman" w:hAnsi="Times New Roman" w:cs="Times New Roman"/>
        </w:rPr>
      </w:pPr>
    </w:p>
    <w:p w14:paraId="5769F571" w14:textId="77777777" w:rsidR="001253FA" w:rsidRDefault="001253FA" w:rsidP="001253FA">
      <w:pPr>
        <w:rPr>
          <w:rFonts w:ascii="Times New Roman" w:hAnsi="Times New Roman" w:cs="Times New Roman"/>
        </w:rPr>
      </w:pPr>
    </w:p>
    <w:p w14:paraId="16F9CF36" w14:textId="77777777" w:rsidR="001253FA" w:rsidRPr="00C52DF2" w:rsidRDefault="001253FA" w:rsidP="001253FA">
      <w:pPr>
        <w:spacing w:after="0" w:line="21" w:lineRule="atLeast"/>
        <w:rPr>
          <w:rFonts w:ascii="Times New Roman" w:hAnsi="Times New Roman" w:cs="Times New Roman"/>
          <w:sz w:val="23"/>
          <w:szCs w:val="23"/>
        </w:rPr>
      </w:pP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t xml:space="preserve">                                                      *</w:t>
      </w:r>
      <w:r w:rsidRPr="00AD6808">
        <w:rPr>
          <w:rFonts w:ascii="Times New Roman" w:hAnsi="Times New Roman" w:cs="Times New Roman"/>
          <w:sz w:val="23"/>
          <w:szCs w:val="23"/>
        </w:rPr>
        <w:t xml:space="preserve"> </w:t>
      </w:r>
      <w:proofErr w:type="spellStart"/>
      <w:r w:rsidRPr="00C52DF2">
        <w:rPr>
          <w:rFonts w:ascii="Times New Roman" w:hAnsi="Times New Roman" w:cs="Times New Roman"/>
          <w:sz w:val="23"/>
          <w:szCs w:val="23"/>
        </w:rPr>
        <w:t>Stb</w:t>
      </w:r>
      <w:proofErr w:type="spellEnd"/>
      <w:r w:rsidRPr="00C52DF2">
        <w:rPr>
          <w:rFonts w:ascii="Times New Roman" w:hAnsi="Times New Roman" w:cs="Times New Roman"/>
          <w:sz w:val="23"/>
          <w:szCs w:val="23"/>
        </w:rPr>
        <w:t>- Soil test based; N-nitrogen; P-Phosphorus; K-Potassium; Zn-Zinc; FP-Farmers Practice</w:t>
      </w:r>
    </w:p>
    <w:p w14:paraId="088F1852" w14:textId="77777777" w:rsidR="001253FA" w:rsidRPr="00AD6808" w:rsidRDefault="001253FA" w:rsidP="001253FA">
      <w:pPr>
        <w:rPr>
          <w:rFonts w:ascii="Times New Roman" w:hAnsi="Times New Roman" w:cs="Times New Roman"/>
        </w:rPr>
      </w:pPr>
    </w:p>
    <w:p w14:paraId="0DA3CB14" w14:textId="77777777" w:rsidR="001253FA" w:rsidRPr="000F0EBD" w:rsidRDefault="001253FA" w:rsidP="00835C1D">
      <w:pPr>
        <w:rPr>
          <w:rFonts w:ascii="Arial" w:hAnsi="Arial" w:cs="Arial"/>
          <w:sz w:val="20"/>
          <w:szCs w:val="20"/>
        </w:rPr>
      </w:pPr>
    </w:p>
    <w:sectPr w:rsidR="001253FA" w:rsidRPr="000F0EBD" w:rsidSect="001253F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B7E53" w14:textId="77777777" w:rsidR="004636EE" w:rsidRDefault="004636EE" w:rsidP="00EE4082">
      <w:pPr>
        <w:spacing w:after="0" w:line="240" w:lineRule="auto"/>
      </w:pPr>
      <w:r>
        <w:separator/>
      </w:r>
    </w:p>
  </w:endnote>
  <w:endnote w:type="continuationSeparator" w:id="0">
    <w:p w14:paraId="13C6EA1A" w14:textId="77777777" w:rsidR="004636EE" w:rsidRDefault="004636EE" w:rsidP="00EE4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BDFDE" w14:textId="77777777" w:rsidR="00EE4082" w:rsidRDefault="00EE4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4B28B" w14:textId="77777777" w:rsidR="00EE4082" w:rsidRDefault="00EE4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BC97" w14:textId="77777777" w:rsidR="00EE4082" w:rsidRDefault="00EE4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555D9" w14:textId="77777777" w:rsidR="004636EE" w:rsidRDefault="004636EE" w:rsidP="00EE4082">
      <w:pPr>
        <w:spacing w:after="0" w:line="240" w:lineRule="auto"/>
      </w:pPr>
      <w:r>
        <w:separator/>
      </w:r>
    </w:p>
  </w:footnote>
  <w:footnote w:type="continuationSeparator" w:id="0">
    <w:p w14:paraId="14CEAD1F" w14:textId="77777777" w:rsidR="004636EE" w:rsidRDefault="004636EE" w:rsidP="00EE4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C44ED" w14:textId="042B2950" w:rsidR="00EE4082" w:rsidRDefault="004636EE">
    <w:pPr>
      <w:pStyle w:val="Header"/>
    </w:pPr>
    <w:r>
      <w:rPr>
        <w:noProof/>
      </w:rPr>
      <w:pict w14:anchorId="4F798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6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9AB3" w14:textId="57FF1A30" w:rsidR="00EE4082" w:rsidRDefault="004636EE">
    <w:pPr>
      <w:pStyle w:val="Header"/>
    </w:pPr>
    <w:r>
      <w:rPr>
        <w:noProof/>
      </w:rPr>
      <w:pict w14:anchorId="574A4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6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79006" w14:textId="56979C5F" w:rsidR="00EE4082" w:rsidRDefault="004636EE">
    <w:pPr>
      <w:pStyle w:val="Header"/>
    </w:pPr>
    <w:r>
      <w:rPr>
        <w:noProof/>
      </w:rPr>
      <w:pict w14:anchorId="0C3B3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6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NDKzNDUzMbcwMTNT0lEKTi0uzszPAykwrgUAS1EDxywAAAA="/>
  </w:docVars>
  <w:rsids>
    <w:rsidRoot w:val="002E4FB3"/>
    <w:rsid w:val="00023223"/>
    <w:rsid w:val="0005144A"/>
    <w:rsid w:val="000F0EBD"/>
    <w:rsid w:val="000F615E"/>
    <w:rsid w:val="001253FA"/>
    <w:rsid w:val="001475C7"/>
    <w:rsid w:val="0017708D"/>
    <w:rsid w:val="001C0CA7"/>
    <w:rsid w:val="001E4341"/>
    <w:rsid w:val="00203F64"/>
    <w:rsid w:val="002A4D7F"/>
    <w:rsid w:val="002D5D0A"/>
    <w:rsid w:val="002E4FB3"/>
    <w:rsid w:val="002F0F3A"/>
    <w:rsid w:val="00333FA4"/>
    <w:rsid w:val="003609EC"/>
    <w:rsid w:val="00362362"/>
    <w:rsid w:val="003B513C"/>
    <w:rsid w:val="00456D81"/>
    <w:rsid w:val="004636EE"/>
    <w:rsid w:val="004D5337"/>
    <w:rsid w:val="004F7635"/>
    <w:rsid w:val="00504A03"/>
    <w:rsid w:val="00543CA4"/>
    <w:rsid w:val="0056318C"/>
    <w:rsid w:val="00576F01"/>
    <w:rsid w:val="00587DCB"/>
    <w:rsid w:val="0059349A"/>
    <w:rsid w:val="005C38AA"/>
    <w:rsid w:val="005D4736"/>
    <w:rsid w:val="006719AC"/>
    <w:rsid w:val="00734D37"/>
    <w:rsid w:val="00777384"/>
    <w:rsid w:val="007D02B9"/>
    <w:rsid w:val="007D38FB"/>
    <w:rsid w:val="008357D7"/>
    <w:rsid w:val="00835C1D"/>
    <w:rsid w:val="00874113"/>
    <w:rsid w:val="00885241"/>
    <w:rsid w:val="008C5D26"/>
    <w:rsid w:val="008E749E"/>
    <w:rsid w:val="008E77D7"/>
    <w:rsid w:val="0097603F"/>
    <w:rsid w:val="00995F41"/>
    <w:rsid w:val="009D78CB"/>
    <w:rsid w:val="00A23041"/>
    <w:rsid w:val="00A54D2F"/>
    <w:rsid w:val="00A56C12"/>
    <w:rsid w:val="00A822DB"/>
    <w:rsid w:val="00A9023E"/>
    <w:rsid w:val="00A91439"/>
    <w:rsid w:val="00A96FD3"/>
    <w:rsid w:val="00AD16A1"/>
    <w:rsid w:val="00AD7C17"/>
    <w:rsid w:val="00B21BFB"/>
    <w:rsid w:val="00B37F4E"/>
    <w:rsid w:val="00B5725D"/>
    <w:rsid w:val="00B712EF"/>
    <w:rsid w:val="00B733B8"/>
    <w:rsid w:val="00BC3E86"/>
    <w:rsid w:val="00C555B7"/>
    <w:rsid w:val="00C81A35"/>
    <w:rsid w:val="00C95EE9"/>
    <w:rsid w:val="00D0447B"/>
    <w:rsid w:val="00D06D8D"/>
    <w:rsid w:val="00D162BB"/>
    <w:rsid w:val="00D16533"/>
    <w:rsid w:val="00D23D6A"/>
    <w:rsid w:val="00D70F60"/>
    <w:rsid w:val="00DB3CD3"/>
    <w:rsid w:val="00DD6AC3"/>
    <w:rsid w:val="00DD77BD"/>
    <w:rsid w:val="00DE2602"/>
    <w:rsid w:val="00E10A0C"/>
    <w:rsid w:val="00E17CE4"/>
    <w:rsid w:val="00E32292"/>
    <w:rsid w:val="00EB441A"/>
    <w:rsid w:val="00EC7798"/>
    <w:rsid w:val="00EE0EC4"/>
    <w:rsid w:val="00EE4082"/>
    <w:rsid w:val="00F050A7"/>
    <w:rsid w:val="00F67021"/>
    <w:rsid w:val="00FC7E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685E4A"/>
  <w15:chartTrackingRefBased/>
  <w15:docId w15:val="{D76A7544-3169-46D0-9BB8-3D1ECEC3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F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4F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4F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4F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4F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4F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F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F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F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F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4F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4F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4F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4F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4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FB3"/>
    <w:rPr>
      <w:rFonts w:eastAsiaTheme="majorEastAsia" w:cstheme="majorBidi"/>
      <w:color w:val="272727" w:themeColor="text1" w:themeTint="D8"/>
    </w:rPr>
  </w:style>
  <w:style w:type="paragraph" w:styleId="Title">
    <w:name w:val="Title"/>
    <w:basedOn w:val="Normal"/>
    <w:next w:val="Normal"/>
    <w:link w:val="TitleChar"/>
    <w:uiPriority w:val="10"/>
    <w:qFormat/>
    <w:rsid w:val="002E4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FB3"/>
    <w:pPr>
      <w:spacing w:before="160"/>
      <w:jc w:val="center"/>
    </w:pPr>
    <w:rPr>
      <w:i/>
      <w:iCs/>
      <w:color w:val="404040" w:themeColor="text1" w:themeTint="BF"/>
    </w:rPr>
  </w:style>
  <w:style w:type="character" w:customStyle="1" w:styleId="QuoteChar">
    <w:name w:val="Quote Char"/>
    <w:basedOn w:val="DefaultParagraphFont"/>
    <w:link w:val="Quote"/>
    <w:uiPriority w:val="29"/>
    <w:rsid w:val="002E4FB3"/>
    <w:rPr>
      <w:i/>
      <w:iCs/>
      <w:color w:val="404040" w:themeColor="text1" w:themeTint="BF"/>
    </w:rPr>
  </w:style>
  <w:style w:type="paragraph" w:styleId="ListParagraph">
    <w:name w:val="List Paragraph"/>
    <w:basedOn w:val="Normal"/>
    <w:uiPriority w:val="34"/>
    <w:qFormat/>
    <w:rsid w:val="002E4FB3"/>
    <w:pPr>
      <w:ind w:left="720"/>
      <w:contextualSpacing/>
    </w:pPr>
  </w:style>
  <w:style w:type="character" w:styleId="IntenseEmphasis">
    <w:name w:val="Intense Emphasis"/>
    <w:basedOn w:val="DefaultParagraphFont"/>
    <w:uiPriority w:val="21"/>
    <w:qFormat/>
    <w:rsid w:val="002E4FB3"/>
    <w:rPr>
      <w:i/>
      <w:iCs/>
      <w:color w:val="2F5496" w:themeColor="accent1" w:themeShade="BF"/>
    </w:rPr>
  </w:style>
  <w:style w:type="paragraph" w:styleId="IntenseQuote">
    <w:name w:val="Intense Quote"/>
    <w:basedOn w:val="Normal"/>
    <w:next w:val="Normal"/>
    <w:link w:val="IntenseQuoteChar"/>
    <w:uiPriority w:val="30"/>
    <w:qFormat/>
    <w:rsid w:val="002E4F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FB3"/>
    <w:rPr>
      <w:i/>
      <w:iCs/>
      <w:color w:val="2F5496" w:themeColor="accent1" w:themeShade="BF"/>
    </w:rPr>
  </w:style>
  <w:style w:type="character" w:styleId="IntenseReference">
    <w:name w:val="Intense Reference"/>
    <w:basedOn w:val="DefaultParagraphFont"/>
    <w:uiPriority w:val="32"/>
    <w:qFormat/>
    <w:rsid w:val="002E4FB3"/>
    <w:rPr>
      <w:b/>
      <w:bCs/>
      <w:smallCaps/>
      <w:color w:val="2F5496" w:themeColor="accent1" w:themeShade="BF"/>
      <w:spacing w:val="5"/>
    </w:rPr>
  </w:style>
  <w:style w:type="character" w:styleId="PlaceholderText">
    <w:name w:val="Placeholder Text"/>
    <w:basedOn w:val="DefaultParagraphFont"/>
    <w:uiPriority w:val="99"/>
    <w:semiHidden/>
    <w:rsid w:val="00EE0EC4"/>
    <w:rPr>
      <w:color w:val="666666"/>
    </w:rPr>
  </w:style>
  <w:style w:type="paragraph" w:customStyle="1" w:styleId="Author">
    <w:name w:val="Author"/>
    <w:basedOn w:val="Normal"/>
    <w:rsid w:val="00DE2602"/>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DE2602"/>
    <w:pPr>
      <w:spacing w:after="240" w:line="240" w:lineRule="exact"/>
      <w:jc w:val="right"/>
    </w:pPr>
    <w:rPr>
      <w:rFonts w:ascii="Helvetica" w:eastAsia="Times New Roman" w:hAnsi="Helvetica" w:cs="Times New Roman"/>
      <w:kern w:val="0"/>
      <w:sz w:val="20"/>
      <w:szCs w:val="20"/>
      <w:lang w:val="en-US"/>
      <w14:ligatures w14:val="none"/>
    </w:rPr>
  </w:style>
  <w:style w:type="character" w:styleId="Hyperlink">
    <w:name w:val="Hyperlink"/>
    <w:uiPriority w:val="99"/>
    <w:unhideWhenUsed/>
    <w:rsid w:val="00DE2602"/>
    <w:rPr>
      <w:color w:val="0000FF"/>
      <w:u w:val="single"/>
    </w:rPr>
  </w:style>
  <w:style w:type="character" w:styleId="UnresolvedMention">
    <w:name w:val="Unresolved Mention"/>
    <w:basedOn w:val="DefaultParagraphFont"/>
    <w:uiPriority w:val="99"/>
    <w:semiHidden/>
    <w:unhideWhenUsed/>
    <w:rsid w:val="00333FA4"/>
    <w:rPr>
      <w:color w:val="605E5C"/>
      <w:shd w:val="clear" w:color="auto" w:fill="E1DFDD"/>
    </w:rPr>
  </w:style>
  <w:style w:type="paragraph" w:customStyle="1" w:styleId="Body">
    <w:name w:val="Body"/>
    <w:basedOn w:val="Normal"/>
    <w:rsid w:val="003609EC"/>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EE4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082"/>
  </w:style>
  <w:style w:type="paragraph" w:styleId="Footer">
    <w:name w:val="footer"/>
    <w:basedOn w:val="Normal"/>
    <w:link w:val="FooterChar"/>
    <w:uiPriority w:val="99"/>
    <w:unhideWhenUsed/>
    <w:rsid w:val="00EE4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10</Pages>
  <Words>3713</Words>
  <Characters>21167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Shek</dc:creator>
  <cp:keywords/>
  <dc:description/>
  <cp:lastModifiedBy>SDI 1166</cp:lastModifiedBy>
  <cp:revision>70</cp:revision>
  <dcterms:created xsi:type="dcterms:W3CDTF">2026-03-14T05:38:00Z</dcterms:created>
  <dcterms:modified xsi:type="dcterms:W3CDTF">2026-03-17T09:24:00Z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45679b2a-a851-4f8e-b4ea-8207b6f07a03</vt:lpwstr>
  </property>
</Properties>
</file>