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54044" w14:textId="77777777" w:rsidR="003D7008" w:rsidRDefault="003D7008" w:rsidP="00CA1A88">
      <w:pPr>
        <w:pStyle w:val="Author"/>
        <w:spacing w:line="240" w:lineRule="auto"/>
        <w:rPr>
          <w:rFonts w:ascii="Arial" w:hAnsi="Arial" w:cs="Arial"/>
          <w:bCs/>
          <w:iCs/>
          <w:kern w:val="28"/>
          <w:sz w:val="36"/>
          <w:lang w:val="pt-PT"/>
        </w:rPr>
      </w:pPr>
      <w:r w:rsidRPr="003D7008">
        <w:rPr>
          <w:rFonts w:ascii="Arial" w:hAnsi="Arial" w:cs="Arial"/>
          <w:bCs/>
          <w:iCs/>
          <w:kern w:val="28"/>
          <w:sz w:val="36"/>
          <w:lang w:val="pt-PT"/>
        </w:rPr>
        <w:t xml:space="preserve">Original Research Article </w:t>
      </w:r>
    </w:p>
    <w:p w14:paraId="79BCC008" w14:textId="77777777" w:rsidR="003D7008" w:rsidRDefault="003D7008" w:rsidP="00CA1A88">
      <w:pPr>
        <w:pStyle w:val="Author"/>
        <w:spacing w:line="240" w:lineRule="auto"/>
        <w:rPr>
          <w:rFonts w:ascii="Arial" w:hAnsi="Arial" w:cs="Arial"/>
          <w:bCs/>
          <w:iCs/>
          <w:kern w:val="28"/>
          <w:sz w:val="36"/>
          <w:lang w:val="pt-PT"/>
        </w:rPr>
      </w:pPr>
    </w:p>
    <w:p w14:paraId="63027C38" w14:textId="4BC25827" w:rsidR="00A258C3" w:rsidRDefault="00417E10" w:rsidP="00CA1A88">
      <w:pPr>
        <w:pStyle w:val="Author"/>
        <w:spacing w:line="240" w:lineRule="auto"/>
        <w:rPr>
          <w:rFonts w:ascii="Arial" w:hAnsi="Arial" w:cs="Arial"/>
          <w:bCs/>
          <w:iCs/>
          <w:kern w:val="28"/>
          <w:sz w:val="36"/>
          <w:lang w:val="pt-PT"/>
        </w:rPr>
      </w:pPr>
      <w:r w:rsidRPr="00417E10">
        <w:rPr>
          <w:rFonts w:ascii="Arial" w:hAnsi="Arial" w:cs="Arial"/>
          <w:bCs/>
          <w:iCs/>
          <w:kern w:val="28"/>
          <w:sz w:val="36"/>
          <w:lang w:val="pt-PT"/>
        </w:rPr>
        <w:t xml:space="preserve">EPIDEMIOLOGICAL PROFILE OF TUBERCULOSIS CASES REPORTED IN THE MUNICIPALITY OF SANTA QUITÉRIA, </w:t>
      </w:r>
      <w:r w:rsidR="00205CB2">
        <w:rPr>
          <w:rFonts w:ascii="Arial" w:hAnsi="Arial" w:cs="Arial"/>
          <w:bCs/>
          <w:iCs/>
          <w:kern w:val="28"/>
          <w:sz w:val="36"/>
          <w:lang w:val="pt-PT"/>
        </w:rPr>
        <w:t xml:space="preserve">STATE OF </w:t>
      </w:r>
      <w:r w:rsidRPr="00417E10">
        <w:rPr>
          <w:rFonts w:ascii="Arial" w:hAnsi="Arial" w:cs="Arial"/>
          <w:bCs/>
          <w:iCs/>
          <w:kern w:val="28"/>
          <w:sz w:val="36"/>
          <w:lang w:val="pt-PT"/>
        </w:rPr>
        <w:t>CEARÁ</w:t>
      </w:r>
      <w:r w:rsidR="00205CB2">
        <w:rPr>
          <w:rFonts w:ascii="Arial" w:hAnsi="Arial" w:cs="Arial"/>
          <w:bCs/>
          <w:iCs/>
          <w:kern w:val="28"/>
          <w:sz w:val="36"/>
          <w:lang w:val="pt-PT"/>
        </w:rPr>
        <w:t>, BRAZIL</w:t>
      </w:r>
    </w:p>
    <w:p w14:paraId="30AA4C8A" w14:textId="77777777" w:rsidR="00417E10" w:rsidRDefault="00417E10" w:rsidP="00417E10">
      <w:pPr>
        <w:pStyle w:val="Author"/>
        <w:spacing w:line="240" w:lineRule="auto"/>
        <w:rPr>
          <w:rFonts w:ascii="Arial" w:hAnsi="Arial" w:cs="Arial"/>
          <w:sz w:val="36"/>
        </w:rPr>
      </w:pPr>
    </w:p>
    <w:p w14:paraId="6BC0DEAA" w14:textId="77777777" w:rsidR="00133761" w:rsidRDefault="00133761" w:rsidP="00E8710E">
      <w:pPr>
        <w:pStyle w:val="Affiliation"/>
        <w:spacing w:after="0" w:line="240" w:lineRule="auto"/>
        <w:jc w:val="left"/>
        <w:rPr>
          <w:rFonts w:ascii="Arial" w:hAnsi="Arial" w:cs="Arial"/>
          <w:i/>
        </w:rPr>
      </w:pPr>
      <w:bookmarkStart w:id="0" w:name="_GoBack"/>
      <w:bookmarkEnd w:id="0"/>
    </w:p>
    <w:p w14:paraId="7C3BD142" w14:textId="77777777" w:rsidR="00133761" w:rsidRDefault="00133761" w:rsidP="00441B6F">
      <w:pPr>
        <w:pStyle w:val="Affiliation"/>
        <w:spacing w:after="0" w:line="240" w:lineRule="auto"/>
        <w:rPr>
          <w:rFonts w:ascii="Arial" w:hAnsi="Arial" w:cs="Arial"/>
          <w:i/>
        </w:rPr>
      </w:pPr>
    </w:p>
    <w:p w14:paraId="282B8492" w14:textId="77777777" w:rsidR="00790ADA" w:rsidRDefault="00790ADA" w:rsidP="00441B6F">
      <w:pPr>
        <w:pStyle w:val="Affiliation"/>
        <w:spacing w:after="0" w:line="240" w:lineRule="auto"/>
        <w:jc w:val="both"/>
        <w:rPr>
          <w:rFonts w:ascii="Arial" w:hAnsi="Arial" w:cs="Arial"/>
        </w:rPr>
      </w:pPr>
    </w:p>
    <w:p w14:paraId="28899B06" w14:textId="77777777" w:rsidR="002C57D2" w:rsidRPr="00FB3A86" w:rsidRDefault="002C57D2" w:rsidP="00441B6F">
      <w:pPr>
        <w:pStyle w:val="Affiliation"/>
        <w:spacing w:after="0" w:line="240" w:lineRule="auto"/>
        <w:jc w:val="both"/>
        <w:rPr>
          <w:rFonts w:ascii="Arial" w:hAnsi="Arial" w:cs="Arial"/>
        </w:rPr>
      </w:pPr>
    </w:p>
    <w:p w14:paraId="420D01AF" w14:textId="5AE6C54F" w:rsidR="00B01FCD" w:rsidRPr="00FB3A86" w:rsidRDefault="00740040" w:rsidP="00441B6F">
      <w:pPr>
        <w:pStyle w:val="Copyright"/>
        <w:spacing w:after="0" w:line="240" w:lineRule="auto"/>
        <w:jc w:val="both"/>
        <w:rPr>
          <w:rFonts w:ascii="Arial" w:hAnsi="Arial" w:cs="Arial"/>
        </w:rPr>
        <w:sectPr w:rsidR="00B01FCD" w:rsidRPr="00FB3A86" w:rsidSect="006F564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113A8F5" wp14:editId="316DC336">
                <wp:extent cx="5303520" cy="635"/>
                <wp:effectExtent l="15240" t="13335" r="15240" b="15240"/>
                <wp:docPr id="119202099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36C4AF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8065B83" w14:textId="64FD6DCB" w:rsidR="00B01FCD" w:rsidRDefault="00B01FCD" w:rsidP="00441B6F">
      <w:pPr>
        <w:pStyle w:val="AbstHead"/>
        <w:spacing w:after="0"/>
        <w:jc w:val="both"/>
        <w:rPr>
          <w:rFonts w:ascii="Arial" w:hAnsi="Arial" w:cs="Arial"/>
        </w:rPr>
      </w:pPr>
      <w:r w:rsidRPr="00FB3A86">
        <w:rPr>
          <w:rFonts w:ascii="Arial" w:hAnsi="Arial" w:cs="Arial"/>
        </w:rPr>
        <w:t>ABSTRACT</w:t>
      </w:r>
    </w:p>
    <w:p w14:paraId="76F1684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87A6C19" w14:textId="77777777" w:rsidTr="001E44FE">
        <w:tc>
          <w:tcPr>
            <w:tcW w:w="9576" w:type="dxa"/>
            <w:shd w:val="clear" w:color="auto" w:fill="F2F2F2"/>
          </w:tcPr>
          <w:p w14:paraId="6D54554A" w14:textId="3870E0F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Aims:</w:t>
            </w:r>
            <w:r w:rsidR="009E0434">
              <w:rPr>
                <w:rFonts w:ascii="Arial" w:eastAsia="Calibri" w:hAnsi="Arial" w:cs="Arial"/>
                <w:b/>
                <w:szCs w:val="22"/>
              </w:rPr>
              <w:t xml:space="preserve"> </w:t>
            </w:r>
            <w:r w:rsidR="009E0434" w:rsidRPr="009E0434">
              <w:rPr>
                <w:rFonts w:ascii="Arial" w:eastAsia="Calibri" w:hAnsi="Arial" w:cs="Arial"/>
                <w:szCs w:val="22"/>
              </w:rPr>
              <w:t xml:space="preserve">To analyze the epidemiological profile of reported tuberculosis cases in the municipality of Santa Quitéria, </w:t>
            </w:r>
            <w:r w:rsidR="00205CB2">
              <w:rPr>
                <w:rFonts w:ascii="Arial" w:eastAsia="Calibri" w:hAnsi="Arial" w:cs="Arial"/>
                <w:szCs w:val="22"/>
              </w:rPr>
              <w:t xml:space="preserve">state of </w:t>
            </w:r>
            <w:r w:rsidR="009E0434" w:rsidRPr="009E0434">
              <w:rPr>
                <w:rFonts w:ascii="Arial" w:eastAsia="Calibri" w:hAnsi="Arial" w:cs="Arial"/>
                <w:szCs w:val="22"/>
              </w:rPr>
              <w:t>Ceará, Brazil, considering sociodemographic, clinical, laboratory, and temporal characteristics between 2019 and 2023.</w:t>
            </w:r>
          </w:p>
          <w:p w14:paraId="5758FB62" w14:textId="485FD05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9E0434" w:rsidRPr="009E0434">
              <w:rPr>
                <w:rFonts w:ascii="Arial" w:eastAsia="Calibri" w:hAnsi="Arial" w:cs="Arial"/>
                <w:szCs w:val="22"/>
              </w:rPr>
              <w:t>Observational, descriptive, cross-sectional study with a quantitative and retrospective approach.</w:t>
            </w:r>
          </w:p>
          <w:p w14:paraId="0BB0B00D" w14:textId="44A856F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F17C1D">
              <w:rPr>
                <w:rFonts w:ascii="Arial" w:eastAsia="Calibri" w:hAnsi="Arial" w:cs="Arial"/>
                <w:b/>
                <w:szCs w:val="22"/>
              </w:rPr>
              <w:t xml:space="preserve"> </w:t>
            </w:r>
            <w:r w:rsidR="00F17C1D" w:rsidRPr="00F17C1D">
              <w:rPr>
                <w:rFonts w:ascii="Arial" w:eastAsia="Calibri" w:hAnsi="Arial" w:cs="Arial"/>
                <w:szCs w:val="22"/>
              </w:rPr>
              <w:t>Municipality of Santa Quitéria, Ceará, Brazil, using data from the Notifiable Diseases Information System (SINAN), from 2019 to 2023.</w:t>
            </w:r>
          </w:p>
          <w:p w14:paraId="145EA736" w14:textId="09B3EAF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F17C1D" w:rsidRPr="00F17C1D">
              <w:rPr>
                <w:rFonts w:ascii="Arial" w:eastAsia="Calibri" w:hAnsi="Arial" w:cs="Arial"/>
                <w:szCs w:val="22"/>
              </w:rPr>
              <w:t>Secondary data of all reported tuberculosis cases registered in SINAN during the study period were analyzed. Variables included sex, age, race/color, education level, comorbidities (mental illness, diabetes, HIV, alcoholism, and drug use), clinical form, type of entry, case closure status, and laboratory tests (sputum smear microscopy, culture, rapid molecular test, and drug sensitivity testing). Descriptive statistical analysis was performed, and results were presented in tables and graphs.</w:t>
            </w:r>
          </w:p>
          <w:p w14:paraId="0E4176D8" w14:textId="59B15989"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CF637D" w:rsidRPr="00CF637D">
              <w:rPr>
                <w:rFonts w:ascii="Arial" w:eastAsia="Calibri" w:hAnsi="Arial" w:cs="Arial"/>
                <w:szCs w:val="22"/>
              </w:rPr>
              <w:t>A total of 56 tuberculosis cases were reported. The highest proportions occurred in 2021 (25%) and 2022 (23%), with an annual average of approximately 11 cases. Most cases occurred in males (77%), individuals aged 40–59 years (46%), and those self-identified as mixed-race (73%). Low educational level was frequent, with 45% having incomplete primary education. The pulmonary form accounted for 87.1% of cases. New cases represented 86%, relapses 9%, and readmissions after abandonment 5%. Cure rate was 75%. Laboratory confirmation was observed in 82% of cases. Regarding comorbidities, tuberculosis was more frequent among individuals with alcoholism (18%) and HIV infection (9%). Sputum culture was underutilized, with 45% not performed, and the rapid molecular test was conducted in only 4% of cases.</w:t>
            </w:r>
          </w:p>
          <w:p w14:paraId="3E1220A0" w14:textId="4585A2FF"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CF637D" w:rsidRPr="00CF637D">
              <w:rPr>
                <w:rFonts w:ascii="Arial" w:eastAsia="Calibri" w:hAnsi="Arial" w:cs="Arial"/>
                <w:szCs w:val="22"/>
              </w:rPr>
              <w:t>Tuberculosis in Santa Quitéria affects vulnerable groups, especially adult men with low educational level. Although cure rates were satisfactory, gaps remain in diagnostic practices and management of comorbidities. Strengthening primary health care and expanding access to laboratory tests are essential to improve control strategies.</w:t>
            </w:r>
          </w:p>
        </w:tc>
      </w:tr>
    </w:tbl>
    <w:p w14:paraId="6B91D571" w14:textId="77777777" w:rsidR="00636EB2" w:rsidRDefault="00636EB2" w:rsidP="00441B6F">
      <w:pPr>
        <w:pStyle w:val="Body"/>
        <w:spacing w:after="0"/>
        <w:rPr>
          <w:rFonts w:ascii="Arial" w:hAnsi="Arial" w:cs="Arial"/>
          <w:i/>
        </w:rPr>
      </w:pPr>
    </w:p>
    <w:p w14:paraId="54B65280" w14:textId="22335D88" w:rsidR="00A24E7E" w:rsidRDefault="00A24E7E" w:rsidP="00441B6F">
      <w:pPr>
        <w:pStyle w:val="Body"/>
        <w:spacing w:after="0"/>
        <w:rPr>
          <w:rFonts w:ascii="Arial" w:hAnsi="Arial" w:cs="Arial"/>
          <w:i/>
        </w:rPr>
      </w:pPr>
      <w:r>
        <w:rPr>
          <w:rFonts w:ascii="Arial" w:hAnsi="Arial" w:cs="Arial"/>
          <w:i/>
        </w:rPr>
        <w:t>Keywords:</w:t>
      </w:r>
      <w:r w:rsidR="00CA1A88">
        <w:rPr>
          <w:rFonts w:ascii="Arial" w:hAnsi="Arial" w:cs="Arial"/>
          <w:i/>
        </w:rPr>
        <w:t xml:space="preserve"> Tuberculosis; Epidemiology; </w:t>
      </w:r>
      <w:r w:rsidR="00CA1A88" w:rsidRPr="00CA1A88">
        <w:rPr>
          <w:rFonts w:ascii="Arial" w:hAnsi="Arial" w:cs="Arial"/>
          <w:i/>
        </w:rPr>
        <w:t>Public Health Surveillance</w:t>
      </w:r>
    </w:p>
    <w:p w14:paraId="457535E0" w14:textId="77777777" w:rsidR="00505F06" w:rsidRPr="00A24E7E" w:rsidRDefault="00505F06" w:rsidP="00441B6F">
      <w:pPr>
        <w:pStyle w:val="Body"/>
        <w:spacing w:after="0"/>
        <w:rPr>
          <w:rFonts w:ascii="Arial" w:hAnsi="Arial" w:cs="Arial"/>
          <w:i/>
        </w:rPr>
      </w:pPr>
    </w:p>
    <w:p w14:paraId="3CA0A95E" w14:textId="42EB2905" w:rsidR="007F7B32" w:rsidRPr="0097725D" w:rsidRDefault="00902823" w:rsidP="00441B6F">
      <w:pPr>
        <w:pStyle w:val="AbstHead"/>
        <w:spacing w:after="0"/>
        <w:jc w:val="both"/>
        <w:rPr>
          <w:rFonts w:ascii="Arial" w:hAnsi="Arial" w:cs="Arial"/>
        </w:rPr>
      </w:pPr>
      <w:r w:rsidRPr="0097725D">
        <w:rPr>
          <w:rFonts w:ascii="Arial" w:hAnsi="Arial" w:cs="Arial"/>
        </w:rPr>
        <w:lastRenderedPageBreak/>
        <w:t xml:space="preserve">1. </w:t>
      </w:r>
      <w:r w:rsidR="00B01FCD" w:rsidRPr="0097725D">
        <w:rPr>
          <w:rFonts w:ascii="Arial" w:hAnsi="Arial" w:cs="Arial"/>
        </w:rPr>
        <w:t>INTRODUCTION</w:t>
      </w:r>
      <w:r w:rsidR="007F7B32" w:rsidRPr="0097725D">
        <w:rPr>
          <w:rFonts w:ascii="Arial" w:hAnsi="Arial" w:cs="Arial"/>
        </w:rPr>
        <w:t xml:space="preserve"> </w:t>
      </w:r>
    </w:p>
    <w:p w14:paraId="7A8E5090" w14:textId="77777777" w:rsidR="00790ADA" w:rsidRPr="0097725D" w:rsidRDefault="00790ADA" w:rsidP="00994AB3">
      <w:pPr>
        <w:pStyle w:val="AbstHead"/>
        <w:spacing w:after="0"/>
        <w:ind w:firstLine="709"/>
        <w:jc w:val="both"/>
        <w:rPr>
          <w:rFonts w:ascii="Arial" w:hAnsi="Arial" w:cs="Arial"/>
        </w:rPr>
      </w:pPr>
    </w:p>
    <w:p w14:paraId="3A4F3C72" w14:textId="77777777" w:rsidR="00026471" w:rsidRPr="0097725D" w:rsidRDefault="00026471" w:rsidP="00861803">
      <w:pPr>
        <w:pStyle w:val="Body"/>
        <w:spacing w:after="0"/>
        <w:rPr>
          <w:rFonts w:ascii="Arial" w:hAnsi="Arial" w:cs="Arial"/>
        </w:rPr>
      </w:pPr>
      <w:r w:rsidRPr="0097725D">
        <w:rPr>
          <w:rFonts w:ascii="Arial" w:hAnsi="Arial" w:cs="Arial"/>
        </w:rPr>
        <w:t>Tuberculosis (TB) is an infectious disease caused by Mycobacterium tuberculosis, transmitted through the air and primarily affecting the lungs, although it can affect other organs. The pulmonary form is more prevalent, as it is directly related to maintaining the chain of transmission of the disease (</w:t>
      </w:r>
      <w:proofErr w:type="spellStart"/>
      <w:r w:rsidRPr="0097725D">
        <w:rPr>
          <w:rFonts w:ascii="Arial" w:hAnsi="Arial" w:cs="Arial"/>
        </w:rPr>
        <w:t>Vaz</w:t>
      </w:r>
      <w:proofErr w:type="spellEnd"/>
      <w:r w:rsidRPr="0097725D">
        <w:rPr>
          <w:rFonts w:ascii="Arial" w:hAnsi="Arial" w:cs="Arial"/>
        </w:rPr>
        <w:t xml:space="preserve">; Lopes; </w:t>
      </w:r>
      <w:proofErr w:type="spellStart"/>
      <w:r w:rsidRPr="0097725D">
        <w:rPr>
          <w:rFonts w:ascii="Arial" w:hAnsi="Arial" w:cs="Arial"/>
        </w:rPr>
        <w:t>Lubi</w:t>
      </w:r>
      <w:proofErr w:type="spellEnd"/>
      <w:r w:rsidRPr="0097725D">
        <w:rPr>
          <w:rFonts w:ascii="Arial" w:hAnsi="Arial" w:cs="Arial"/>
        </w:rPr>
        <w:t>, 2024; Lima et al., 2024; Brazil, Ministry of Health, 2024).</w:t>
      </w:r>
    </w:p>
    <w:p w14:paraId="0CCEC2AD" w14:textId="77777777" w:rsidR="00026471" w:rsidRPr="0097725D" w:rsidRDefault="00026471" w:rsidP="00861803">
      <w:pPr>
        <w:pStyle w:val="Body"/>
        <w:spacing w:after="0"/>
        <w:rPr>
          <w:rFonts w:ascii="Arial" w:hAnsi="Arial" w:cs="Arial"/>
        </w:rPr>
      </w:pPr>
      <w:r w:rsidRPr="0097725D">
        <w:rPr>
          <w:rFonts w:ascii="Arial" w:hAnsi="Arial" w:cs="Arial"/>
        </w:rPr>
        <w:t xml:space="preserve">In this context, Brazil remains among the countries with the highest number of cases of the disease, occupying the 20th position worldwide, with approximately 80,000 annual notifications. In 2022, 96,843 cases were confirmed, and in 2020, 4,569 deaths were recorded, highlighting tuberculosis as an important public health problem, especially associated with contexts of social vulnerability (Brazil, 2019; Brazil, 2023; </w:t>
      </w:r>
      <w:proofErr w:type="spellStart"/>
      <w:r w:rsidRPr="0097725D">
        <w:rPr>
          <w:rFonts w:ascii="Arial" w:hAnsi="Arial" w:cs="Arial"/>
        </w:rPr>
        <w:t>Guidoni</w:t>
      </w:r>
      <w:proofErr w:type="spellEnd"/>
      <w:r w:rsidRPr="0097725D">
        <w:rPr>
          <w:rFonts w:ascii="Arial" w:hAnsi="Arial" w:cs="Arial"/>
        </w:rPr>
        <w:t xml:space="preserve"> et al., 2021).</w:t>
      </w:r>
    </w:p>
    <w:p w14:paraId="730F117B" w14:textId="3BCBF5B0" w:rsidR="00026471" w:rsidRPr="000803A8" w:rsidRDefault="00026471" w:rsidP="00861803">
      <w:pPr>
        <w:pStyle w:val="Body"/>
        <w:spacing w:after="0"/>
        <w:rPr>
          <w:rFonts w:ascii="Arial" w:hAnsi="Arial" w:cs="Arial"/>
          <w:lang w:val="pt-BR"/>
        </w:rPr>
      </w:pPr>
      <w:r w:rsidRPr="00026471">
        <w:rPr>
          <w:rFonts w:ascii="Arial" w:hAnsi="Arial" w:cs="Arial"/>
          <w:lang w:val="pt-BR"/>
        </w:rPr>
        <w:t xml:space="preserve">Tuberculosis control actions in Brazil are coordinated by the National Tuberculosis Control Program (PNCT), with decentralization to Primary Health Care (PHC). </w:t>
      </w:r>
      <w:r w:rsidRPr="000803A8">
        <w:rPr>
          <w:rFonts w:ascii="Arial" w:hAnsi="Arial" w:cs="Arial"/>
          <w:lang w:val="pt-BR"/>
        </w:rPr>
        <w:t xml:space="preserve">Treatment is offered free of charge by the </w:t>
      </w:r>
      <w:r w:rsidR="00205CB2" w:rsidRPr="000803A8">
        <w:rPr>
          <w:rFonts w:ascii="Arial" w:hAnsi="Arial" w:cs="Arial"/>
          <w:lang w:val="pt-BR"/>
        </w:rPr>
        <w:t>Sistema Único de Saúde</w:t>
      </w:r>
      <w:r w:rsidRPr="000803A8">
        <w:rPr>
          <w:rFonts w:ascii="Arial" w:hAnsi="Arial" w:cs="Arial"/>
          <w:lang w:val="pt-BR"/>
        </w:rPr>
        <w:t xml:space="preserve"> (SUS) and lasts a minimum of six months. The World Health Organization (WHO) sets targets of a minimum cure rate of 85% and an abandonment rate of less than 5%, the latter being one of the main challenges for controlling the disease and preventing antimicrobial resistance (Poersch; Costa, 2021; Sousa et al., 2021).</w:t>
      </w:r>
    </w:p>
    <w:p w14:paraId="1BF20276" w14:textId="241E8316" w:rsidR="00C777C4" w:rsidRDefault="00026471" w:rsidP="00861803">
      <w:pPr>
        <w:pStyle w:val="Body"/>
        <w:spacing w:after="0"/>
        <w:rPr>
          <w:rFonts w:ascii="Arial" w:hAnsi="Arial" w:cs="Arial"/>
          <w:lang w:val="pt-BR"/>
        </w:rPr>
      </w:pPr>
      <w:r w:rsidRPr="000803A8">
        <w:rPr>
          <w:rFonts w:ascii="Arial" w:hAnsi="Arial" w:cs="Arial"/>
          <w:lang w:val="pt-BR"/>
        </w:rPr>
        <w:t xml:space="preserve">Given this scenario, tuberculosis continues to represent a challenge for public health, especially in small municipalities, where socioeconomic factors and structural limitations can impact the diagnosis and follow-up of cases (World Health Organization, 2023). In this context, it becomes essential to analyze the local epidemiological profile to support more effective prevention, diagnosis, and treatment strategies. </w:t>
      </w:r>
      <w:r w:rsidRPr="00026471">
        <w:rPr>
          <w:rFonts w:ascii="Arial" w:hAnsi="Arial" w:cs="Arial"/>
          <w:lang w:val="pt-BR"/>
        </w:rPr>
        <w:t>Thus, the present study aims to analyze the profile of reported tuberculosis cases in the municipality of Santa Quitéria, Ceará, considering sociodemographic, clinical, and temporal characteristics.</w:t>
      </w:r>
    </w:p>
    <w:p w14:paraId="03729116" w14:textId="77777777" w:rsidR="00026471" w:rsidRPr="00994AB3" w:rsidRDefault="00026471" w:rsidP="00861803">
      <w:pPr>
        <w:pStyle w:val="Body"/>
        <w:spacing w:after="0"/>
        <w:rPr>
          <w:rFonts w:ascii="Arial" w:hAnsi="Arial" w:cs="Arial"/>
          <w:lang w:val="pt-BR"/>
        </w:rPr>
      </w:pPr>
    </w:p>
    <w:p w14:paraId="2E3B53F4" w14:textId="61176DE8" w:rsidR="007F7B32" w:rsidRPr="0097725D" w:rsidRDefault="00902823" w:rsidP="00441B6F">
      <w:pPr>
        <w:pStyle w:val="AbstHead"/>
        <w:spacing w:after="0"/>
        <w:jc w:val="both"/>
        <w:rPr>
          <w:rFonts w:ascii="Arial" w:hAnsi="Arial" w:cs="Arial"/>
          <w:lang w:val="pt-BR"/>
        </w:rPr>
      </w:pPr>
      <w:r w:rsidRPr="0097725D">
        <w:rPr>
          <w:rFonts w:ascii="Arial" w:hAnsi="Arial" w:cs="Arial"/>
          <w:lang w:val="pt-BR"/>
        </w:rPr>
        <w:t xml:space="preserve">2. </w:t>
      </w:r>
      <w:r w:rsidR="006B57D0" w:rsidRPr="0097725D">
        <w:rPr>
          <w:rFonts w:ascii="Arial" w:hAnsi="Arial" w:cs="Arial"/>
          <w:lang w:val="pt-BR"/>
        </w:rPr>
        <w:t>methodology</w:t>
      </w:r>
      <w:r w:rsidR="007F7B32" w:rsidRPr="0097725D">
        <w:rPr>
          <w:rFonts w:ascii="Arial" w:hAnsi="Arial" w:cs="Arial"/>
          <w:lang w:val="pt-BR"/>
        </w:rPr>
        <w:t xml:space="preserve"> </w:t>
      </w:r>
    </w:p>
    <w:p w14:paraId="4FDF024B" w14:textId="77777777" w:rsidR="00A03B96" w:rsidRPr="0097725D" w:rsidRDefault="00A03B96" w:rsidP="00861803">
      <w:pPr>
        <w:pStyle w:val="Body"/>
        <w:spacing w:after="0"/>
        <w:rPr>
          <w:rFonts w:ascii="Arial" w:hAnsi="Arial" w:cs="Arial"/>
          <w:lang w:val="pt-BR"/>
        </w:rPr>
      </w:pPr>
    </w:p>
    <w:p w14:paraId="2266E4E7" w14:textId="58D7498E" w:rsidR="00026471" w:rsidRPr="00026471" w:rsidRDefault="00026471" w:rsidP="00861803">
      <w:pPr>
        <w:pStyle w:val="Body"/>
        <w:spacing w:after="0"/>
        <w:rPr>
          <w:rFonts w:ascii="Arial" w:hAnsi="Arial" w:cs="Arial"/>
          <w:lang w:val="pt-BR"/>
        </w:rPr>
      </w:pPr>
      <w:r w:rsidRPr="00026471">
        <w:rPr>
          <w:rFonts w:ascii="Arial" w:hAnsi="Arial" w:cs="Arial"/>
          <w:lang w:val="pt-BR"/>
        </w:rPr>
        <w:t>This is an observational, descriptive, cross-sectional study with a quantitative approach and retrospective character, conducted using secondary data from the Notifiable Diseases Information System (SINAN). Notified cases of tuberculosis in the municipality of Santa Quitéria, Ceará, from 2019 to 2023 were analyzed.</w:t>
      </w:r>
    </w:p>
    <w:p w14:paraId="7991ED4D" w14:textId="708E1486" w:rsidR="00861803" w:rsidRPr="00026471" w:rsidRDefault="00026471" w:rsidP="00861803">
      <w:pPr>
        <w:pStyle w:val="Body"/>
        <w:spacing w:after="0"/>
        <w:rPr>
          <w:rFonts w:ascii="Arial" w:hAnsi="Arial" w:cs="Arial"/>
          <w:lang w:val="pt-BR"/>
        </w:rPr>
      </w:pPr>
      <w:r w:rsidRPr="00026471">
        <w:rPr>
          <w:rFonts w:ascii="Arial" w:hAnsi="Arial" w:cs="Arial"/>
          <w:lang w:val="pt-BR"/>
        </w:rPr>
        <w:t>The sample for this study consisted of all notified cases of tuberculosis in the municipality of Santa Quitéria-CE, registered in the Notifiable Diseases Information System (SINAN), from 2019 to 2023. Only records with all essential variables duly completed were considered, ensuring data completeness and consistency of the proposed analyses. The following variables were included: sex, age, race/color, year and month of notification, presence of comorbidities (mental illness, diabetes, HIV, alcoholism, and drug use), clinical form of tuberculosis, history of refractoriness, case closure status, and laboratory variables (bacilloscopy, sputum culture, rapid molecular test, and sensitivity test).</w:t>
      </w:r>
    </w:p>
    <w:p w14:paraId="01601E23" w14:textId="708DD121" w:rsidR="004A4B50" w:rsidRPr="0097725D" w:rsidRDefault="00026471" w:rsidP="00861803">
      <w:pPr>
        <w:pStyle w:val="Body"/>
        <w:spacing w:after="0"/>
        <w:rPr>
          <w:rFonts w:ascii="Arial" w:hAnsi="Arial" w:cs="Arial"/>
          <w:bCs/>
          <w:caps/>
          <w:lang w:val="nb-NO"/>
        </w:rPr>
      </w:pPr>
      <w:r w:rsidRPr="00026471">
        <w:rPr>
          <w:rFonts w:ascii="Arial" w:hAnsi="Arial" w:cs="Arial"/>
          <w:lang w:val="pt-BR"/>
        </w:rPr>
        <w:t xml:space="preserve">Because this is an analysis of publicly available data, there is a possibility of risks such as data being misinterpreted, resulting in inaccurate conclusions; however, precautionary measures and attention will be adopted during data collection to avoid generating unreliable results. The research has the potential to contribute to a better understanding of the distribution, trends, and characteristics of reported tuberculosis cases in the municipality of Santa Quitéria. </w:t>
      </w:r>
      <w:r w:rsidRPr="0097725D">
        <w:rPr>
          <w:rFonts w:ascii="Arial" w:hAnsi="Arial" w:cs="Arial"/>
          <w:lang w:val="nb-NO"/>
        </w:rPr>
        <w:t>This can lead to improvements in public health strategies and prevention, diagnosis, and treatment, directly benefiting local health. By investigating the epidemiology of tuberculosis in a local context, the research can generate valuable insights that broaden scientific knowledge. These results may be relevant to the academic community, healthcare professionals, managers, and policymakers.</w:t>
      </w:r>
      <w:r w:rsidR="00460651" w:rsidRPr="0097725D">
        <w:rPr>
          <w:rFonts w:ascii="Arial" w:hAnsi="Arial" w:cs="Arial"/>
          <w:lang w:val="nb-NO"/>
        </w:rPr>
        <w:t xml:space="preserve">                               </w:t>
      </w:r>
    </w:p>
    <w:p w14:paraId="2F0EDE1F" w14:textId="2B8A55DA" w:rsidR="00460651" w:rsidRPr="00994AB3" w:rsidRDefault="00026471" w:rsidP="00861803">
      <w:pPr>
        <w:pStyle w:val="Body"/>
        <w:spacing w:after="0"/>
        <w:rPr>
          <w:rFonts w:ascii="Arial" w:hAnsi="Arial" w:cs="Arial"/>
          <w:lang w:val="pt-BR"/>
        </w:rPr>
      </w:pPr>
      <w:r w:rsidRPr="00026471">
        <w:rPr>
          <w:rFonts w:ascii="Arial" w:hAnsi="Arial" w:cs="Arial"/>
          <w:lang w:val="pt-BR"/>
        </w:rPr>
        <w:t xml:space="preserve">Data collection was carried out using publicly available data from SINAN, referring to reported cases of Tuberculosis in the municipality of Santa Quitéria from 2019 to 2023. With the data </w:t>
      </w:r>
      <w:r w:rsidRPr="00026471">
        <w:rPr>
          <w:rFonts w:ascii="Arial" w:hAnsi="Arial" w:cs="Arial"/>
          <w:lang w:val="pt-BR"/>
        </w:rPr>
        <w:lastRenderedPageBreak/>
        <w:t>obtained, tables were produced and converted into graphs created in Microsoft Excel 2016® to present the results in chronological order.</w:t>
      </w:r>
      <w:r>
        <w:rPr>
          <w:rFonts w:ascii="Arial" w:hAnsi="Arial" w:cs="Arial"/>
          <w:lang w:val="pt-BR"/>
        </w:rPr>
        <w:t xml:space="preserve"> </w:t>
      </w:r>
      <w:r w:rsidRPr="00026471">
        <w:rPr>
          <w:rFonts w:ascii="Arial" w:hAnsi="Arial" w:cs="Arial"/>
          <w:lang w:val="pt-BR"/>
        </w:rPr>
        <w:t>Because this research is conducted using secondary data, i.e., publicly available data collected through SINAN, it will not be necessary to submit the work to the CEP (ethics and research committee), in accordance with Resolution 510/2016 of the National Health Council, since the work does not use data directly or indirectly involving human beings or identifiable information or information that may entail greater risks than those existing in everyday life, as defined in this Resolution.</w:t>
      </w:r>
    </w:p>
    <w:p w14:paraId="1A80BAB3" w14:textId="77777777" w:rsidR="00C91FED" w:rsidRDefault="00C91FED" w:rsidP="00441B6F">
      <w:pPr>
        <w:pStyle w:val="Head1"/>
        <w:spacing w:after="0"/>
        <w:jc w:val="both"/>
        <w:rPr>
          <w:rFonts w:ascii="Arial" w:hAnsi="Arial" w:cs="Arial"/>
          <w:lang w:val="pt-BR"/>
        </w:rPr>
      </w:pPr>
    </w:p>
    <w:p w14:paraId="79070FAD" w14:textId="71C7D69A" w:rsidR="00902823" w:rsidRPr="00994AB3" w:rsidRDefault="00000F8F" w:rsidP="00441B6F">
      <w:pPr>
        <w:pStyle w:val="Head1"/>
        <w:spacing w:after="0"/>
        <w:jc w:val="both"/>
        <w:rPr>
          <w:rFonts w:ascii="Arial" w:hAnsi="Arial" w:cs="Arial"/>
          <w:lang w:val="pt-BR"/>
        </w:rPr>
      </w:pPr>
      <w:r w:rsidRPr="00994AB3">
        <w:rPr>
          <w:rFonts w:ascii="Arial" w:hAnsi="Arial" w:cs="Arial"/>
          <w:lang w:val="pt-BR"/>
        </w:rPr>
        <w:t>3</w:t>
      </w:r>
      <w:r w:rsidR="00902823" w:rsidRPr="00994AB3">
        <w:rPr>
          <w:rFonts w:ascii="Arial" w:hAnsi="Arial" w:cs="Arial"/>
          <w:lang w:val="pt-BR"/>
        </w:rPr>
        <w:t xml:space="preserve">. </w:t>
      </w:r>
      <w:r w:rsidRPr="00994AB3">
        <w:rPr>
          <w:rFonts w:ascii="Arial" w:hAnsi="Arial" w:cs="Arial"/>
          <w:lang w:val="pt-BR"/>
        </w:rPr>
        <w:t>results and discussion</w:t>
      </w:r>
    </w:p>
    <w:p w14:paraId="0F109ED7" w14:textId="77777777" w:rsidR="00DC2E62" w:rsidRDefault="00DC2E62" w:rsidP="00DC2E62">
      <w:pPr>
        <w:pStyle w:val="Body"/>
        <w:spacing w:after="0"/>
        <w:rPr>
          <w:rFonts w:ascii="Arial" w:hAnsi="Arial" w:cs="Arial"/>
          <w:b/>
          <w:bCs/>
          <w:highlight w:val="yellow"/>
          <w:lang w:val="pt-BR"/>
        </w:rPr>
      </w:pPr>
    </w:p>
    <w:p w14:paraId="1EF167EB" w14:textId="6B8D692C" w:rsidR="00790ADA" w:rsidRDefault="00C11E4F" w:rsidP="00DC2E62">
      <w:pPr>
        <w:pStyle w:val="Body"/>
        <w:spacing w:after="0"/>
        <w:rPr>
          <w:rFonts w:ascii="Arial" w:hAnsi="Arial" w:cs="Arial"/>
          <w:b/>
          <w:bCs/>
          <w:lang w:val="pt-BR"/>
        </w:rPr>
      </w:pPr>
      <w:r>
        <w:rPr>
          <w:rFonts w:ascii="Arial" w:hAnsi="Arial" w:cs="Arial"/>
          <w:b/>
          <w:bCs/>
          <w:lang w:val="pt-BR"/>
        </w:rPr>
        <w:t xml:space="preserve">3.1 </w:t>
      </w:r>
      <w:r w:rsidR="00026471" w:rsidRPr="00026471">
        <w:rPr>
          <w:rFonts w:ascii="Arial" w:hAnsi="Arial" w:cs="Arial"/>
          <w:b/>
          <w:bCs/>
          <w:lang w:val="pt-BR"/>
        </w:rPr>
        <w:t>Temporal Distribution</w:t>
      </w:r>
    </w:p>
    <w:p w14:paraId="4E422745" w14:textId="77777777" w:rsidR="00C11E4F" w:rsidRPr="00DC2E62" w:rsidRDefault="00C11E4F" w:rsidP="00DC2E62">
      <w:pPr>
        <w:pStyle w:val="Body"/>
        <w:spacing w:after="0"/>
        <w:rPr>
          <w:rFonts w:ascii="Arial" w:hAnsi="Arial" w:cs="Arial"/>
          <w:b/>
          <w:bCs/>
          <w:lang w:val="pt-BR"/>
        </w:rPr>
      </w:pPr>
    </w:p>
    <w:p w14:paraId="3A858ACE" w14:textId="1639AE2C" w:rsidR="00874268" w:rsidRDefault="00026471" w:rsidP="0048478A">
      <w:pPr>
        <w:pStyle w:val="Body"/>
        <w:spacing w:after="0"/>
        <w:ind w:firstLine="709"/>
        <w:rPr>
          <w:rFonts w:ascii="Arial" w:hAnsi="Arial" w:cs="Arial"/>
        </w:rPr>
      </w:pPr>
      <w:r w:rsidRPr="00026471">
        <w:rPr>
          <w:rFonts w:ascii="Arial" w:hAnsi="Arial" w:cs="Arial"/>
        </w:rPr>
        <w:t>After analyzing tuberculosis notifications in the studied municipality, 56 cases of the disease were registered between 2019 and 2023. As shown in Table 1, the years 2021 and 2022 presented the highest percentages of notifications, with 25% and 23% of cases, respectively. A growth trend was observed between 2019 and 2021, followed by a reduction in the two subsequent years, resulting in an annual average of approximately 11 cases in the analyzed period.</w:t>
      </w:r>
    </w:p>
    <w:p w14:paraId="2ADF6246" w14:textId="77777777" w:rsidR="00026471" w:rsidRPr="0097725D" w:rsidRDefault="00026471" w:rsidP="0048478A">
      <w:pPr>
        <w:pStyle w:val="Body"/>
        <w:spacing w:after="0"/>
        <w:ind w:firstLine="709"/>
        <w:rPr>
          <w:rFonts w:ascii="Arial" w:hAnsi="Arial" w:cs="Arial"/>
        </w:rPr>
      </w:pPr>
    </w:p>
    <w:p w14:paraId="421D887F" w14:textId="00531BA6" w:rsidR="00C11E4F" w:rsidRDefault="00026471" w:rsidP="00C11E4F">
      <w:pPr>
        <w:pStyle w:val="Body"/>
        <w:spacing w:after="0"/>
        <w:jc w:val="center"/>
        <w:rPr>
          <w:rFonts w:ascii="Arial" w:hAnsi="Arial" w:cs="Arial"/>
        </w:rPr>
      </w:pPr>
      <w:r w:rsidRPr="00026471">
        <w:rPr>
          <w:rFonts w:ascii="Arial" w:hAnsi="Arial" w:cs="Arial"/>
          <w:b/>
          <w:bCs/>
        </w:rPr>
        <w:t>Table 01. Number of cases according to two-month periods and total percentage of tuberculosis notifications, according to the year of occurrence, Santa Quitéria, Ceará, 2019–2023.</w:t>
      </w:r>
    </w:p>
    <w:tbl>
      <w:tblPr>
        <w:tblW w:w="8844" w:type="dxa"/>
        <w:tblCellMar>
          <w:left w:w="0" w:type="dxa"/>
          <w:right w:w="0" w:type="dxa"/>
        </w:tblCellMar>
        <w:tblLook w:val="04A0" w:firstRow="1" w:lastRow="0" w:firstColumn="1" w:lastColumn="0" w:noHBand="0" w:noVBand="1"/>
      </w:tblPr>
      <w:tblGrid>
        <w:gridCol w:w="942"/>
        <w:gridCol w:w="1134"/>
        <w:gridCol w:w="1273"/>
        <w:gridCol w:w="960"/>
        <w:gridCol w:w="1134"/>
        <w:gridCol w:w="1134"/>
        <w:gridCol w:w="960"/>
        <w:gridCol w:w="1307"/>
      </w:tblGrid>
      <w:tr w:rsidR="008D729C" w:rsidRPr="008D729C" w14:paraId="26A028EC" w14:textId="77777777" w:rsidTr="008D729C">
        <w:trPr>
          <w:trHeight w:val="307"/>
        </w:trPr>
        <w:tc>
          <w:tcPr>
            <w:tcW w:w="0" w:type="auto"/>
            <w:vMerge w:val="restart"/>
            <w:tcBorders>
              <w:top w:val="single" w:sz="4" w:space="0" w:color="auto"/>
            </w:tcBorders>
            <w:tcMar>
              <w:top w:w="0" w:type="dxa"/>
              <w:left w:w="45" w:type="dxa"/>
              <w:bottom w:w="0" w:type="dxa"/>
              <w:right w:w="45" w:type="dxa"/>
            </w:tcMar>
            <w:hideMark/>
          </w:tcPr>
          <w:p w14:paraId="4710ACCC" w14:textId="77777777" w:rsidR="008D729C" w:rsidRPr="008D729C" w:rsidRDefault="008D729C" w:rsidP="008D729C">
            <w:pPr>
              <w:pStyle w:val="Body"/>
              <w:spacing w:after="0"/>
              <w:rPr>
                <w:rFonts w:ascii="Arial" w:hAnsi="Arial" w:cs="Arial"/>
                <w:b/>
                <w:bCs/>
                <w:lang w:val="pt-BR"/>
              </w:rPr>
            </w:pPr>
            <w:r w:rsidRPr="008D729C">
              <w:rPr>
                <w:rFonts w:ascii="Arial" w:hAnsi="Arial" w:cs="Arial"/>
                <w:b/>
                <w:bCs/>
                <w:lang w:val="pt-BR"/>
              </w:rPr>
              <w:t>Year</w:t>
            </w:r>
          </w:p>
        </w:tc>
        <w:tc>
          <w:tcPr>
            <w:tcW w:w="0" w:type="auto"/>
            <w:gridSpan w:val="6"/>
            <w:tcBorders>
              <w:top w:val="single" w:sz="4" w:space="0" w:color="auto"/>
              <w:bottom w:val="single" w:sz="4" w:space="0" w:color="auto"/>
            </w:tcBorders>
            <w:tcMar>
              <w:top w:w="0" w:type="dxa"/>
              <w:left w:w="45" w:type="dxa"/>
              <w:bottom w:w="0" w:type="dxa"/>
              <w:right w:w="45" w:type="dxa"/>
            </w:tcMar>
            <w:vAlign w:val="bottom"/>
            <w:hideMark/>
          </w:tcPr>
          <w:p w14:paraId="65C1EDF1" w14:textId="77777777" w:rsidR="008D729C" w:rsidRPr="008D729C" w:rsidRDefault="008D729C" w:rsidP="008D729C">
            <w:pPr>
              <w:pStyle w:val="Body"/>
              <w:spacing w:after="0"/>
              <w:rPr>
                <w:rFonts w:ascii="Arial" w:hAnsi="Arial" w:cs="Arial"/>
                <w:b/>
                <w:bCs/>
                <w:lang w:val="pt-BR"/>
              </w:rPr>
            </w:pPr>
            <w:r w:rsidRPr="008D729C">
              <w:rPr>
                <w:rFonts w:ascii="Arial" w:hAnsi="Arial" w:cs="Arial"/>
                <w:b/>
                <w:bCs/>
                <w:lang w:val="pt-BR"/>
              </w:rPr>
              <w:t>Two months</w:t>
            </w:r>
          </w:p>
        </w:tc>
        <w:tc>
          <w:tcPr>
            <w:tcW w:w="0" w:type="auto"/>
            <w:tcBorders>
              <w:top w:val="single" w:sz="4" w:space="0" w:color="auto"/>
            </w:tcBorders>
            <w:tcMar>
              <w:top w:w="0" w:type="dxa"/>
              <w:left w:w="45" w:type="dxa"/>
              <w:bottom w:w="0" w:type="dxa"/>
              <w:right w:w="45" w:type="dxa"/>
            </w:tcMar>
            <w:vAlign w:val="bottom"/>
            <w:hideMark/>
          </w:tcPr>
          <w:p w14:paraId="5BD21C9A" w14:textId="77777777" w:rsidR="008D729C" w:rsidRPr="008D729C" w:rsidRDefault="008D729C" w:rsidP="008D729C">
            <w:pPr>
              <w:pStyle w:val="Body"/>
              <w:spacing w:after="0"/>
              <w:jc w:val="left"/>
              <w:rPr>
                <w:rFonts w:ascii="Arial" w:hAnsi="Arial" w:cs="Arial"/>
                <w:b/>
                <w:bCs/>
                <w:lang w:val="pt-BR"/>
              </w:rPr>
            </w:pPr>
            <w:r w:rsidRPr="008D729C">
              <w:rPr>
                <w:rFonts w:ascii="Arial" w:hAnsi="Arial" w:cs="Arial"/>
                <w:b/>
                <w:bCs/>
                <w:lang w:val="pt-BR"/>
              </w:rPr>
              <w:t>Total</w:t>
            </w:r>
          </w:p>
        </w:tc>
      </w:tr>
      <w:tr w:rsidR="008D729C" w:rsidRPr="008D729C" w14:paraId="1F0D7339" w14:textId="77777777" w:rsidTr="008D729C">
        <w:trPr>
          <w:trHeight w:val="307"/>
        </w:trPr>
        <w:tc>
          <w:tcPr>
            <w:tcW w:w="0" w:type="auto"/>
            <w:vMerge/>
            <w:tcBorders>
              <w:bottom w:val="single" w:sz="4" w:space="0" w:color="auto"/>
            </w:tcBorders>
            <w:vAlign w:val="center"/>
            <w:hideMark/>
          </w:tcPr>
          <w:p w14:paraId="694EAB91" w14:textId="77777777" w:rsidR="008D729C" w:rsidRPr="008D729C" w:rsidRDefault="008D729C" w:rsidP="008D729C">
            <w:pPr>
              <w:pStyle w:val="Body"/>
              <w:spacing w:after="0"/>
              <w:rPr>
                <w:rFonts w:ascii="Arial" w:hAnsi="Arial" w:cs="Arial"/>
                <w:b/>
                <w:bCs/>
                <w:lang w:val="pt-BR"/>
              </w:rPr>
            </w:pPr>
          </w:p>
        </w:tc>
        <w:tc>
          <w:tcPr>
            <w:tcW w:w="0" w:type="auto"/>
            <w:tcBorders>
              <w:top w:val="single" w:sz="4" w:space="0" w:color="auto"/>
              <w:bottom w:val="single" w:sz="4" w:space="0" w:color="auto"/>
            </w:tcBorders>
            <w:tcMar>
              <w:top w:w="0" w:type="dxa"/>
              <w:left w:w="45" w:type="dxa"/>
              <w:bottom w:w="0" w:type="dxa"/>
              <w:right w:w="45" w:type="dxa"/>
            </w:tcMar>
            <w:vAlign w:val="bottom"/>
            <w:hideMark/>
          </w:tcPr>
          <w:p w14:paraId="0A18BE9C" w14:textId="77777777" w:rsidR="008D729C" w:rsidRPr="008D729C" w:rsidRDefault="008D729C" w:rsidP="008D729C">
            <w:pPr>
              <w:pStyle w:val="Body"/>
              <w:spacing w:after="0"/>
              <w:rPr>
                <w:rFonts w:ascii="Arial" w:hAnsi="Arial" w:cs="Arial"/>
                <w:b/>
                <w:bCs/>
                <w:lang w:val="pt-BR"/>
              </w:rPr>
            </w:pPr>
            <w:r w:rsidRPr="008D729C">
              <w:rPr>
                <w:rFonts w:ascii="Arial" w:hAnsi="Arial" w:cs="Arial"/>
                <w:b/>
                <w:bCs/>
                <w:lang w:val="pt-BR"/>
              </w:rPr>
              <w:t>First</w:t>
            </w:r>
          </w:p>
        </w:tc>
        <w:tc>
          <w:tcPr>
            <w:tcW w:w="0" w:type="auto"/>
            <w:tcBorders>
              <w:top w:val="single" w:sz="4" w:space="0" w:color="auto"/>
              <w:bottom w:val="single" w:sz="4" w:space="0" w:color="auto"/>
            </w:tcBorders>
            <w:tcMar>
              <w:top w:w="0" w:type="dxa"/>
              <w:left w:w="45" w:type="dxa"/>
              <w:bottom w:w="0" w:type="dxa"/>
              <w:right w:w="45" w:type="dxa"/>
            </w:tcMar>
            <w:vAlign w:val="bottom"/>
            <w:hideMark/>
          </w:tcPr>
          <w:p w14:paraId="72550D7B" w14:textId="77777777" w:rsidR="008D729C" w:rsidRPr="008D729C" w:rsidRDefault="008D729C" w:rsidP="008D729C">
            <w:pPr>
              <w:pStyle w:val="Body"/>
              <w:spacing w:after="0"/>
              <w:rPr>
                <w:rFonts w:ascii="Arial" w:hAnsi="Arial" w:cs="Arial"/>
                <w:b/>
                <w:bCs/>
                <w:lang w:val="pt-BR"/>
              </w:rPr>
            </w:pPr>
            <w:r w:rsidRPr="008D729C">
              <w:rPr>
                <w:rFonts w:ascii="Arial" w:hAnsi="Arial" w:cs="Arial"/>
                <w:b/>
                <w:bCs/>
                <w:lang w:val="pt-BR"/>
              </w:rPr>
              <w:t>Second</w:t>
            </w:r>
          </w:p>
        </w:tc>
        <w:tc>
          <w:tcPr>
            <w:tcW w:w="0" w:type="auto"/>
            <w:tcBorders>
              <w:top w:val="single" w:sz="4" w:space="0" w:color="auto"/>
              <w:bottom w:val="single" w:sz="4" w:space="0" w:color="auto"/>
            </w:tcBorders>
            <w:tcMar>
              <w:top w:w="0" w:type="dxa"/>
              <w:left w:w="45" w:type="dxa"/>
              <w:bottom w:w="0" w:type="dxa"/>
              <w:right w:w="45" w:type="dxa"/>
            </w:tcMar>
            <w:vAlign w:val="bottom"/>
            <w:hideMark/>
          </w:tcPr>
          <w:p w14:paraId="43F32B55" w14:textId="77777777" w:rsidR="008D729C" w:rsidRPr="008D729C" w:rsidRDefault="008D729C" w:rsidP="008D729C">
            <w:pPr>
              <w:pStyle w:val="Body"/>
              <w:spacing w:after="0"/>
              <w:rPr>
                <w:rFonts w:ascii="Arial" w:hAnsi="Arial" w:cs="Arial"/>
                <w:b/>
                <w:bCs/>
                <w:lang w:val="pt-BR"/>
              </w:rPr>
            </w:pPr>
            <w:r w:rsidRPr="008D729C">
              <w:rPr>
                <w:rFonts w:ascii="Arial" w:hAnsi="Arial" w:cs="Arial"/>
                <w:b/>
                <w:bCs/>
                <w:lang w:val="pt-BR"/>
              </w:rPr>
              <w:t>Third</w:t>
            </w:r>
          </w:p>
        </w:tc>
        <w:tc>
          <w:tcPr>
            <w:tcW w:w="0" w:type="auto"/>
            <w:tcBorders>
              <w:top w:val="single" w:sz="4" w:space="0" w:color="auto"/>
              <w:bottom w:val="single" w:sz="4" w:space="0" w:color="auto"/>
            </w:tcBorders>
            <w:tcMar>
              <w:top w:w="0" w:type="dxa"/>
              <w:left w:w="45" w:type="dxa"/>
              <w:bottom w:w="0" w:type="dxa"/>
              <w:right w:w="45" w:type="dxa"/>
            </w:tcMar>
            <w:vAlign w:val="bottom"/>
            <w:hideMark/>
          </w:tcPr>
          <w:p w14:paraId="62D23B43" w14:textId="77777777" w:rsidR="008D729C" w:rsidRPr="008D729C" w:rsidRDefault="008D729C" w:rsidP="008D729C">
            <w:pPr>
              <w:pStyle w:val="Body"/>
              <w:spacing w:after="0"/>
              <w:rPr>
                <w:rFonts w:ascii="Arial" w:hAnsi="Arial" w:cs="Arial"/>
                <w:b/>
                <w:bCs/>
                <w:lang w:val="pt-BR"/>
              </w:rPr>
            </w:pPr>
            <w:r w:rsidRPr="008D729C">
              <w:rPr>
                <w:rFonts w:ascii="Arial" w:hAnsi="Arial" w:cs="Arial"/>
                <w:b/>
                <w:bCs/>
                <w:lang w:val="pt-BR"/>
              </w:rPr>
              <w:t>Fourth</w:t>
            </w:r>
          </w:p>
        </w:tc>
        <w:tc>
          <w:tcPr>
            <w:tcW w:w="0" w:type="auto"/>
            <w:tcBorders>
              <w:top w:val="single" w:sz="4" w:space="0" w:color="auto"/>
              <w:bottom w:val="single" w:sz="4" w:space="0" w:color="auto"/>
            </w:tcBorders>
            <w:tcMar>
              <w:top w:w="0" w:type="dxa"/>
              <w:left w:w="45" w:type="dxa"/>
              <w:bottom w:w="0" w:type="dxa"/>
              <w:right w:w="45" w:type="dxa"/>
            </w:tcMar>
            <w:vAlign w:val="bottom"/>
            <w:hideMark/>
          </w:tcPr>
          <w:p w14:paraId="36385BF2" w14:textId="77777777" w:rsidR="008D729C" w:rsidRPr="008D729C" w:rsidRDefault="008D729C" w:rsidP="008D729C">
            <w:pPr>
              <w:pStyle w:val="Body"/>
              <w:spacing w:after="0"/>
              <w:rPr>
                <w:rFonts w:ascii="Arial" w:hAnsi="Arial" w:cs="Arial"/>
                <w:b/>
                <w:bCs/>
                <w:lang w:val="pt-BR"/>
              </w:rPr>
            </w:pPr>
            <w:r w:rsidRPr="008D729C">
              <w:rPr>
                <w:rFonts w:ascii="Arial" w:hAnsi="Arial" w:cs="Arial"/>
                <w:b/>
                <w:bCs/>
                <w:lang w:val="pt-BR"/>
              </w:rPr>
              <w:t>Fifth</w:t>
            </w:r>
          </w:p>
        </w:tc>
        <w:tc>
          <w:tcPr>
            <w:tcW w:w="0" w:type="auto"/>
            <w:tcBorders>
              <w:top w:val="single" w:sz="4" w:space="0" w:color="auto"/>
              <w:bottom w:val="single" w:sz="4" w:space="0" w:color="auto"/>
            </w:tcBorders>
            <w:tcMar>
              <w:top w:w="0" w:type="dxa"/>
              <w:left w:w="45" w:type="dxa"/>
              <w:bottom w:w="0" w:type="dxa"/>
              <w:right w:w="45" w:type="dxa"/>
            </w:tcMar>
            <w:vAlign w:val="bottom"/>
            <w:hideMark/>
          </w:tcPr>
          <w:p w14:paraId="2B2C2E41" w14:textId="77777777" w:rsidR="008D729C" w:rsidRPr="008D729C" w:rsidRDefault="008D729C" w:rsidP="008D729C">
            <w:pPr>
              <w:pStyle w:val="Body"/>
              <w:spacing w:after="0"/>
              <w:rPr>
                <w:rFonts w:ascii="Arial" w:hAnsi="Arial" w:cs="Arial"/>
                <w:b/>
                <w:bCs/>
                <w:lang w:val="pt-BR"/>
              </w:rPr>
            </w:pPr>
            <w:r w:rsidRPr="008D729C">
              <w:rPr>
                <w:rFonts w:ascii="Arial" w:hAnsi="Arial" w:cs="Arial"/>
                <w:b/>
                <w:bCs/>
                <w:lang w:val="pt-BR"/>
              </w:rPr>
              <w:t>Sixth</w:t>
            </w:r>
          </w:p>
        </w:tc>
        <w:tc>
          <w:tcPr>
            <w:tcW w:w="0" w:type="auto"/>
            <w:tcBorders>
              <w:bottom w:val="single" w:sz="4" w:space="0" w:color="auto"/>
            </w:tcBorders>
            <w:tcMar>
              <w:top w:w="0" w:type="dxa"/>
              <w:left w:w="45" w:type="dxa"/>
              <w:bottom w:w="0" w:type="dxa"/>
              <w:right w:w="45" w:type="dxa"/>
            </w:tcMar>
            <w:hideMark/>
          </w:tcPr>
          <w:p w14:paraId="58F73733" w14:textId="77777777" w:rsidR="008D729C" w:rsidRPr="008D729C" w:rsidRDefault="008D729C" w:rsidP="008D729C">
            <w:pPr>
              <w:pStyle w:val="Body"/>
              <w:spacing w:after="0"/>
              <w:jc w:val="left"/>
              <w:rPr>
                <w:rFonts w:ascii="Arial" w:hAnsi="Arial" w:cs="Arial"/>
                <w:b/>
                <w:bCs/>
                <w:lang w:val="pt-BR"/>
              </w:rPr>
            </w:pPr>
            <w:r w:rsidRPr="008D729C">
              <w:rPr>
                <w:rFonts w:ascii="Arial" w:hAnsi="Arial" w:cs="Arial"/>
                <w:b/>
                <w:bCs/>
                <w:lang w:val="pt-BR"/>
              </w:rPr>
              <w:t>N (%)</w:t>
            </w:r>
          </w:p>
        </w:tc>
      </w:tr>
      <w:tr w:rsidR="008D729C" w:rsidRPr="008D729C" w14:paraId="06E4E898" w14:textId="77777777" w:rsidTr="008D729C">
        <w:trPr>
          <w:trHeight w:val="307"/>
        </w:trPr>
        <w:tc>
          <w:tcPr>
            <w:tcW w:w="0" w:type="auto"/>
            <w:tcBorders>
              <w:top w:val="single" w:sz="4" w:space="0" w:color="auto"/>
            </w:tcBorders>
            <w:tcMar>
              <w:top w:w="0" w:type="dxa"/>
              <w:left w:w="45" w:type="dxa"/>
              <w:bottom w:w="0" w:type="dxa"/>
              <w:right w:w="45" w:type="dxa"/>
            </w:tcMar>
            <w:vAlign w:val="bottom"/>
            <w:hideMark/>
          </w:tcPr>
          <w:p w14:paraId="620A276C"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2019</w:t>
            </w:r>
          </w:p>
        </w:tc>
        <w:tc>
          <w:tcPr>
            <w:tcW w:w="0" w:type="auto"/>
            <w:tcBorders>
              <w:top w:val="single" w:sz="4" w:space="0" w:color="auto"/>
            </w:tcBorders>
            <w:tcMar>
              <w:top w:w="0" w:type="dxa"/>
              <w:left w:w="45" w:type="dxa"/>
              <w:bottom w:w="0" w:type="dxa"/>
              <w:right w:w="45" w:type="dxa"/>
            </w:tcMar>
            <w:vAlign w:val="bottom"/>
            <w:hideMark/>
          </w:tcPr>
          <w:p w14:paraId="3A9752A5"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0</w:t>
            </w:r>
          </w:p>
        </w:tc>
        <w:tc>
          <w:tcPr>
            <w:tcW w:w="0" w:type="auto"/>
            <w:tcBorders>
              <w:top w:val="single" w:sz="4" w:space="0" w:color="auto"/>
            </w:tcBorders>
            <w:tcMar>
              <w:top w:w="0" w:type="dxa"/>
              <w:left w:w="45" w:type="dxa"/>
              <w:bottom w:w="0" w:type="dxa"/>
              <w:right w:w="45" w:type="dxa"/>
            </w:tcMar>
            <w:vAlign w:val="bottom"/>
            <w:hideMark/>
          </w:tcPr>
          <w:p w14:paraId="5A4A59CF"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2</w:t>
            </w:r>
          </w:p>
        </w:tc>
        <w:tc>
          <w:tcPr>
            <w:tcW w:w="0" w:type="auto"/>
            <w:tcBorders>
              <w:top w:val="single" w:sz="4" w:space="0" w:color="auto"/>
            </w:tcBorders>
            <w:tcMar>
              <w:top w:w="0" w:type="dxa"/>
              <w:left w:w="45" w:type="dxa"/>
              <w:bottom w:w="0" w:type="dxa"/>
              <w:right w:w="45" w:type="dxa"/>
            </w:tcMar>
            <w:vAlign w:val="bottom"/>
            <w:hideMark/>
          </w:tcPr>
          <w:p w14:paraId="71643A2E"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1</w:t>
            </w:r>
          </w:p>
        </w:tc>
        <w:tc>
          <w:tcPr>
            <w:tcW w:w="0" w:type="auto"/>
            <w:tcBorders>
              <w:top w:val="single" w:sz="4" w:space="0" w:color="auto"/>
            </w:tcBorders>
            <w:tcMar>
              <w:top w:w="0" w:type="dxa"/>
              <w:left w:w="45" w:type="dxa"/>
              <w:bottom w:w="0" w:type="dxa"/>
              <w:right w:w="45" w:type="dxa"/>
            </w:tcMar>
            <w:vAlign w:val="bottom"/>
            <w:hideMark/>
          </w:tcPr>
          <w:p w14:paraId="2D18EAB4"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0</w:t>
            </w:r>
          </w:p>
        </w:tc>
        <w:tc>
          <w:tcPr>
            <w:tcW w:w="0" w:type="auto"/>
            <w:tcBorders>
              <w:top w:val="single" w:sz="4" w:space="0" w:color="auto"/>
            </w:tcBorders>
            <w:tcMar>
              <w:top w:w="0" w:type="dxa"/>
              <w:left w:w="45" w:type="dxa"/>
              <w:bottom w:w="0" w:type="dxa"/>
              <w:right w:w="45" w:type="dxa"/>
            </w:tcMar>
            <w:vAlign w:val="bottom"/>
            <w:hideMark/>
          </w:tcPr>
          <w:p w14:paraId="2FF0B5C3"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1</w:t>
            </w:r>
          </w:p>
        </w:tc>
        <w:tc>
          <w:tcPr>
            <w:tcW w:w="0" w:type="auto"/>
            <w:tcBorders>
              <w:top w:val="single" w:sz="4" w:space="0" w:color="auto"/>
            </w:tcBorders>
            <w:tcMar>
              <w:top w:w="0" w:type="dxa"/>
              <w:left w:w="45" w:type="dxa"/>
              <w:bottom w:w="0" w:type="dxa"/>
              <w:right w:w="45" w:type="dxa"/>
            </w:tcMar>
            <w:vAlign w:val="bottom"/>
            <w:hideMark/>
          </w:tcPr>
          <w:p w14:paraId="4079C06C"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2</w:t>
            </w:r>
          </w:p>
        </w:tc>
        <w:tc>
          <w:tcPr>
            <w:tcW w:w="0" w:type="auto"/>
            <w:tcBorders>
              <w:top w:val="single" w:sz="4" w:space="0" w:color="auto"/>
            </w:tcBorders>
            <w:tcMar>
              <w:top w:w="0" w:type="dxa"/>
              <w:left w:w="45" w:type="dxa"/>
              <w:bottom w:w="0" w:type="dxa"/>
              <w:right w:w="45" w:type="dxa"/>
            </w:tcMar>
            <w:vAlign w:val="bottom"/>
            <w:hideMark/>
          </w:tcPr>
          <w:p w14:paraId="19D7CD1F"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6 (11)</w:t>
            </w:r>
          </w:p>
        </w:tc>
      </w:tr>
      <w:tr w:rsidR="008D729C" w:rsidRPr="008D729C" w14:paraId="072172D6" w14:textId="77777777" w:rsidTr="008D729C">
        <w:trPr>
          <w:trHeight w:val="307"/>
        </w:trPr>
        <w:tc>
          <w:tcPr>
            <w:tcW w:w="0" w:type="auto"/>
            <w:tcMar>
              <w:top w:w="0" w:type="dxa"/>
              <w:left w:w="45" w:type="dxa"/>
              <w:bottom w:w="0" w:type="dxa"/>
              <w:right w:w="45" w:type="dxa"/>
            </w:tcMar>
            <w:vAlign w:val="bottom"/>
            <w:hideMark/>
          </w:tcPr>
          <w:p w14:paraId="16BBC9E4"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2020</w:t>
            </w:r>
          </w:p>
        </w:tc>
        <w:tc>
          <w:tcPr>
            <w:tcW w:w="0" w:type="auto"/>
            <w:tcMar>
              <w:top w:w="0" w:type="dxa"/>
              <w:left w:w="45" w:type="dxa"/>
              <w:bottom w:w="0" w:type="dxa"/>
              <w:right w:w="45" w:type="dxa"/>
            </w:tcMar>
            <w:vAlign w:val="bottom"/>
            <w:hideMark/>
          </w:tcPr>
          <w:p w14:paraId="3D3CEBEC"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2</w:t>
            </w:r>
          </w:p>
        </w:tc>
        <w:tc>
          <w:tcPr>
            <w:tcW w:w="0" w:type="auto"/>
            <w:tcMar>
              <w:top w:w="0" w:type="dxa"/>
              <w:left w:w="45" w:type="dxa"/>
              <w:bottom w:w="0" w:type="dxa"/>
              <w:right w:w="45" w:type="dxa"/>
            </w:tcMar>
            <w:vAlign w:val="bottom"/>
            <w:hideMark/>
          </w:tcPr>
          <w:p w14:paraId="65338A22"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3</w:t>
            </w:r>
          </w:p>
        </w:tc>
        <w:tc>
          <w:tcPr>
            <w:tcW w:w="0" w:type="auto"/>
            <w:tcMar>
              <w:top w:w="0" w:type="dxa"/>
              <w:left w:w="45" w:type="dxa"/>
              <w:bottom w:w="0" w:type="dxa"/>
              <w:right w:w="45" w:type="dxa"/>
            </w:tcMar>
            <w:vAlign w:val="bottom"/>
            <w:hideMark/>
          </w:tcPr>
          <w:p w14:paraId="05472C8C"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1</w:t>
            </w:r>
          </w:p>
        </w:tc>
        <w:tc>
          <w:tcPr>
            <w:tcW w:w="0" w:type="auto"/>
            <w:tcMar>
              <w:top w:w="0" w:type="dxa"/>
              <w:left w:w="45" w:type="dxa"/>
              <w:bottom w:w="0" w:type="dxa"/>
              <w:right w:w="45" w:type="dxa"/>
            </w:tcMar>
            <w:vAlign w:val="bottom"/>
            <w:hideMark/>
          </w:tcPr>
          <w:p w14:paraId="1684A372"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4</w:t>
            </w:r>
          </w:p>
        </w:tc>
        <w:tc>
          <w:tcPr>
            <w:tcW w:w="0" w:type="auto"/>
            <w:tcMar>
              <w:top w:w="0" w:type="dxa"/>
              <w:left w:w="45" w:type="dxa"/>
              <w:bottom w:w="0" w:type="dxa"/>
              <w:right w:w="45" w:type="dxa"/>
            </w:tcMar>
            <w:vAlign w:val="bottom"/>
            <w:hideMark/>
          </w:tcPr>
          <w:p w14:paraId="797F02CF"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1</w:t>
            </w:r>
          </w:p>
        </w:tc>
        <w:tc>
          <w:tcPr>
            <w:tcW w:w="0" w:type="auto"/>
            <w:tcMar>
              <w:top w:w="0" w:type="dxa"/>
              <w:left w:w="45" w:type="dxa"/>
              <w:bottom w:w="0" w:type="dxa"/>
              <w:right w:w="45" w:type="dxa"/>
            </w:tcMar>
            <w:vAlign w:val="bottom"/>
            <w:hideMark/>
          </w:tcPr>
          <w:p w14:paraId="189BBA76"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1</w:t>
            </w:r>
          </w:p>
        </w:tc>
        <w:tc>
          <w:tcPr>
            <w:tcW w:w="0" w:type="auto"/>
            <w:tcMar>
              <w:top w:w="0" w:type="dxa"/>
              <w:left w:w="45" w:type="dxa"/>
              <w:bottom w:w="0" w:type="dxa"/>
              <w:right w:w="45" w:type="dxa"/>
            </w:tcMar>
            <w:vAlign w:val="bottom"/>
            <w:hideMark/>
          </w:tcPr>
          <w:p w14:paraId="294CECB4"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12 (22)</w:t>
            </w:r>
          </w:p>
        </w:tc>
      </w:tr>
      <w:tr w:rsidR="008D729C" w:rsidRPr="008D729C" w14:paraId="7F53D735" w14:textId="77777777" w:rsidTr="008D729C">
        <w:trPr>
          <w:trHeight w:val="307"/>
        </w:trPr>
        <w:tc>
          <w:tcPr>
            <w:tcW w:w="0" w:type="auto"/>
            <w:tcMar>
              <w:top w:w="0" w:type="dxa"/>
              <w:left w:w="45" w:type="dxa"/>
              <w:bottom w:w="0" w:type="dxa"/>
              <w:right w:w="45" w:type="dxa"/>
            </w:tcMar>
            <w:vAlign w:val="bottom"/>
            <w:hideMark/>
          </w:tcPr>
          <w:p w14:paraId="293F2D1F"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2021</w:t>
            </w:r>
          </w:p>
        </w:tc>
        <w:tc>
          <w:tcPr>
            <w:tcW w:w="0" w:type="auto"/>
            <w:tcMar>
              <w:top w:w="0" w:type="dxa"/>
              <w:left w:w="45" w:type="dxa"/>
              <w:bottom w:w="0" w:type="dxa"/>
              <w:right w:w="45" w:type="dxa"/>
            </w:tcMar>
            <w:vAlign w:val="bottom"/>
            <w:hideMark/>
          </w:tcPr>
          <w:p w14:paraId="77B2CCA2"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2</w:t>
            </w:r>
          </w:p>
        </w:tc>
        <w:tc>
          <w:tcPr>
            <w:tcW w:w="0" w:type="auto"/>
            <w:tcMar>
              <w:top w:w="0" w:type="dxa"/>
              <w:left w:w="45" w:type="dxa"/>
              <w:bottom w:w="0" w:type="dxa"/>
              <w:right w:w="45" w:type="dxa"/>
            </w:tcMar>
            <w:vAlign w:val="bottom"/>
            <w:hideMark/>
          </w:tcPr>
          <w:p w14:paraId="216162E8"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2</w:t>
            </w:r>
          </w:p>
        </w:tc>
        <w:tc>
          <w:tcPr>
            <w:tcW w:w="0" w:type="auto"/>
            <w:tcMar>
              <w:top w:w="0" w:type="dxa"/>
              <w:left w:w="45" w:type="dxa"/>
              <w:bottom w:w="0" w:type="dxa"/>
              <w:right w:w="45" w:type="dxa"/>
            </w:tcMar>
            <w:vAlign w:val="bottom"/>
            <w:hideMark/>
          </w:tcPr>
          <w:p w14:paraId="301C2218"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2</w:t>
            </w:r>
          </w:p>
        </w:tc>
        <w:tc>
          <w:tcPr>
            <w:tcW w:w="0" w:type="auto"/>
            <w:tcMar>
              <w:top w:w="0" w:type="dxa"/>
              <w:left w:w="45" w:type="dxa"/>
              <w:bottom w:w="0" w:type="dxa"/>
              <w:right w:w="45" w:type="dxa"/>
            </w:tcMar>
            <w:vAlign w:val="bottom"/>
            <w:hideMark/>
          </w:tcPr>
          <w:p w14:paraId="4254B4F5"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2</w:t>
            </w:r>
          </w:p>
        </w:tc>
        <w:tc>
          <w:tcPr>
            <w:tcW w:w="0" w:type="auto"/>
            <w:tcMar>
              <w:top w:w="0" w:type="dxa"/>
              <w:left w:w="45" w:type="dxa"/>
              <w:bottom w:w="0" w:type="dxa"/>
              <w:right w:w="45" w:type="dxa"/>
            </w:tcMar>
            <w:vAlign w:val="bottom"/>
            <w:hideMark/>
          </w:tcPr>
          <w:p w14:paraId="46AEE45C"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4</w:t>
            </w:r>
          </w:p>
        </w:tc>
        <w:tc>
          <w:tcPr>
            <w:tcW w:w="0" w:type="auto"/>
            <w:tcMar>
              <w:top w:w="0" w:type="dxa"/>
              <w:left w:w="45" w:type="dxa"/>
              <w:bottom w:w="0" w:type="dxa"/>
              <w:right w:w="45" w:type="dxa"/>
            </w:tcMar>
            <w:vAlign w:val="bottom"/>
            <w:hideMark/>
          </w:tcPr>
          <w:p w14:paraId="3E7B7098"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2</w:t>
            </w:r>
          </w:p>
        </w:tc>
        <w:tc>
          <w:tcPr>
            <w:tcW w:w="0" w:type="auto"/>
            <w:tcMar>
              <w:top w:w="0" w:type="dxa"/>
              <w:left w:w="45" w:type="dxa"/>
              <w:bottom w:w="0" w:type="dxa"/>
              <w:right w:w="45" w:type="dxa"/>
            </w:tcMar>
            <w:vAlign w:val="bottom"/>
            <w:hideMark/>
          </w:tcPr>
          <w:p w14:paraId="209B4286"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14 (25)</w:t>
            </w:r>
          </w:p>
        </w:tc>
      </w:tr>
      <w:tr w:rsidR="008D729C" w:rsidRPr="008D729C" w14:paraId="1A5700B9" w14:textId="77777777" w:rsidTr="008D729C">
        <w:trPr>
          <w:trHeight w:val="307"/>
        </w:trPr>
        <w:tc>
          <w:tcPr>
            <w:tcW w:w="0" w:type="auto"/>
            <w:tcMar>
              <w:top w:w="0" w:type="dxa"/>
              <w:left w:w="45" w:type="dxa"/>
              <w:bottom w:w="0" w:type="dxa"/>
              <w:right w:w="45" w:type="dxa"/>
            </w:tcMar>
            <w:vAlign w:val="bottom"/>
            <w:hideMark/>
          </w:tcPr>
          <w:p w14:paraId="4E7405DD"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2022</w:t>
            </w:r>
          </w:p>
        </w:tc>
        <w:tc>
          <w:tcPr>
            <w:tcW w:w="0" w:type="auto"/>
            <w:tcMar>
              <w:top w:w="0" w:type="dxa"/>
              <w:left w:w="45" w:type="dxa"/>
              <w:bottom w:w="0" w:type="dxa"/>
              <w:right w:w="45" w:type="dxa"/>
            </w:tcMar>
            <w:vAlign w:val="bottom"/>
            <w:hideMark/>
          </w:tcPr>
          <w:p w14:paraId="5411C1A1"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2</w:t>
            </w:r>
          </w:p>
        </w:tc>
        <w:tc>
          <w:tcPr>
            <w:tcW w:w="0" w:type="auto"/>
            <w:tcMar>
              <w:top w:w="0" w:type="dxa"/>
              <w:left w:w="45" w:type="dxa"/>
              <w:bottom w:w="0" w:type="dxa"/>
              <w:right w:w="45" w:type="dxa"/>
            </w:tcMar>
            <w:vAlign w:val="bottom"/>
            <w:hideMark/>
          </w:tcPr>
          <w:p w14:paraId="483E2F3B"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1</w:t>
            </w:r>
          </w:p>
        </w:tc>
        <w:tc>
          <w:tcPr>
            <w:tcW w:w="0" w:type="auto"/>
            <w:tcMar>
              <w:top w:w="0" w:type="dxa"/>
              <w:left w:w="45" w:type="dxa"/>
              <w:bottom w:w="0" w:type="dxa"/>
              <w:right w:w="45" w:type="dxa"/>
            </w:tcMar>
            <w:vAlign w:val="bottom"/>
            <w:hideMark/>
          </w:tcPr>
          <w:p w14:paraId="14A6B9EF"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1</w:t>
            </w:r>
          </w:p>
        </w:tc>
        <w:tc>
          <w:tcPr>
            <w:tcW w:w="0" w:type="auto"/>
            <w:tcMar>
              <w:top w:w="0" w:type="dxa"/>
              <w:left w:w="45" w:type="dxa"/>
              <w:bottom w:w="0" w:type="dxa"/>
              <w:right w:w="45" w:type="dxa"/>
            </w:tcMar>
            <w:vAlign w:val="bottom"/>
            <w:hideMark/>
          </w:tcPr>
          <w:p w14:paraId="5B37D4F2"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2</w:t>
            </w:r>
          </w:p>
        </w:tc>
        <w:tc>
          <w:tcPr>
            <w:tcW w:w="0" w:type="auto"/>
            <w:tcMar>
              <w:top w:w="0" w:type="dxa"/>
              <w:left w:w="45" w:type="dxa"/>
              <w:bottom w:w="0" w:type="dxa"/>
              <w:right w:w="45" w:type="dxa"/>
            </w:tcMar>
            <w:vAlign w:val="bottom"/>
            <w:hideMark/>
          </w:tcPr>
          <w:p w14:paraId="07F140ED"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5</w:t>
            </w:r>
          </w:p>
        </w:tc>
        <w:tc>
          <w:tcPr>
            <w:tcW w:w="0" w:type="auto"/>
            <w:tcMar>
              <w:top w:w="0" w:type="dxa"/>
              <w:left w:w="45" w:type="dxa"/>
              <w:bottom w:w="0" w:type="dxa"/>
              <w:right w:w="45" w:type="dxa"/>
            </w:tcMar>
            <w:vAlign w:val="bottom"/>
            <w:hideMark/>
          </w:tcPr>
          <w:p w14:paraId="4D5484FC"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1</w:t>
            </w:r>
          </w:p>
        </w:tc>
        <w:tc>
          <w:tcPr>
            <w:tcW w:w="0" w:type="auto"/>
            <w:tcMar>
              <w:top w:w="0" w:type="dxa"/>
              <w:left w:w="45" w:type="dxa"/>
              <w:bottom w:w="0" w:type="dxa"/>
              <w:right w:w="45" w:type="dxa"/>
            </w:tcMar>
            <w:vAlign w:val="bottom"/>
            <w:hideMark/>
          </w:tcPr>
          <w:p w14:paraId="3E7E9CED"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12 (22)</w:t>
            </w:r>
          </w:p>
        </w:tc>
      </w:tr>
      <w:tr w:rsidR="008D729C" w:rsidRPr="008D729C" w14:paraId="4F397063" w14:textId="77777777" w:rsidTr="00FC20A8">
        <w:trPr>
          <w:trHeight w:val="307"/>
        </w:trPr>
        <w:tc>
          <w:tcPr>
            <w:tcW w:w="0" w:type="auto"/>
            <w:tcBorders>
              <w:bottom w:val="single" w:sz="4" w:space="0" w:color="auto"/>
            </w:tcBorders>
            <w:tcMar>
              <w:top w:w="0" w:type="dxa"/>
              <w:left w:w="45" w:type="dxa"/>
              <w:bottom w:w="0" w:type="dxa"/>
              <w:right w:w="45" w:type="dxa"/>
            </w:tcMar>
            <w:vAlign w:val="bottom"/>
            <w:hideMark/>
          </w:tcPr>
          <w:p w14:paraId="16C37DC5"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2023</w:t>
            </w:r>
          </w:p>
        </w:tc>
        <w:tc>
          <w:tcPr>
            <w:tcW w:w="0" w:type="auto"/>
            <w:tcBorders>
              <w:bottom w:val="single" w:sz="4" w:space="0" w:color="auto"/>
            </w:tcBorders>
            <w:tcMar>
              <w:top w:w="0" w:type="dxa"/>
              <w:left w:w="45" w:type="dxa"/>
              <w:bottom w:w="0" w:type="dxa"/>
              <w:right w:w="45" w:type="dxa"/>
            </w:tcMar>
            <w:vAlign w:val="bottom"/>
            <w:hideMark/>
          </w:tcPr>
          <w:p w14:paraId="64BCA9C2"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5</w:t>
            </w:r>
          </w:p>
        </w:tc>
        <w:tc>
          <w:tcPr>
            <w:tcW w:w="0" w:type="auto"/>
            <w:tcBorders>
              <w:bottom w:val="single" w:sz="4" w:space="0" w:color="auto"/>
            </w:tcBorders>
            <w:tcMar>
              <w:top w:w="0" w:type="dxa"/>
              <w:left w:w="45" w:type="dxa"/>
              <w:bottom w:w="0" w:type="dxa"/>
              <w:right w:w="45" w:type="dxa"/>
            </w:tcMar>
            <w:vAlign w:val="bottom"/>
            <w:hideMark/>
          </w:tcPr>
          <w:p w14:paraId="34C96459"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3</w:t>
            </w:r>
          </w:p>
        </w:tc>
        <w:tc>
          <w:tcPr>
            <w:tcW w:w="0" w:type="auto"/>
            <w:tcBorders>
              <w:bottom w:val="single" w:sz="4" w:space="0" w:color="auto"/>
            </w:tcBorders>
            <w:tcMar>
              <w:top w:w="0" w:type="dxa"/>
              <w:left w:w="45" w:type="dxa"/>
              <w:bottom w:w="0" w:type="dxa"/>
              <w:right w:w="45" w:type="dxa"/>
            </w:tcMar>
            <w:vAlign w:val="bottom"/>
            <w:hideMark/>
          </w:tcPr>
          <w:p w14:paraId="2D1B8140"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1</w:t>
            </w:r>
          </w:p>
        </w:tc>
        <w:tc>
          <w:tcPr>
            <w:tcW w:w="0" w:type="auto"/>
            <w:tcBorders>
              <w:bottom w:val="single" w:sz="4" w:space="0" w:color="auto"/>
            </w:tcBorders>
            <w:tcMar>
              <w:top w:w="0" w:type="dxa"/>
              <w:left w:w="45" w:type="dxa"/>
              <w:bottom w:w="0" w:type="dxa"/>
              <w:right w:w="45" w:type="dxa"/>
            </w:tcMar>
            <w:vAlign w:val="bottom"/>
            <w:hideMark/>
          </w:tcPr>
          <w:p w14:paraId="133A42B4"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1</w:t>
            </w:r>
          </w:p>
        </w:tc>
        <w:tc>
          <w:tcPr>
            <w:tcW w:w="0" w:type="auto"/>
            <w:tcBorders>
              <w:bottom w:val="single" w:sz="4" w:space="0" w:color="auto"/>
            </w:tcBorders>
            <w:tcMar>
              <w:top w:w="0" w:type="dxa"/>
              <w:left w:w="45" w:type="dxa"/>
              <w:bottom w:w="0" w:type="dxa"/>
              <w:right w:w="45" w:type="dxa"/>
            </w:tcMar>
            <w:vAlign w:val="bottom"/>
            <w:hideMark/>
          </w:tcPr>
          <w:p w14:paraId="3D1DADAF"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0</w:t>
            </w:r>
          </w:p>
        </w:tc>
        <w:tc>
          <w:tcPr>
            <w:tcW w:w="0" w:type="auto"/>
            <w:tcBorders>
              <w:bottom w:val="single" w:sz="4" w:space="0" w:color="auto"/>
            </w:tcBorders>
            <w:tcMar>
              <w:top w:w="0" w:type="dxa"/>
              <w:left w:w="45" w:type="dxa"/>
              <w:bottom w:w="0" w:type="dxa"/>
              <w:right w:w="45" w:type="dxa"/>
            </w:tcMar>
            <w:vAlign w:val="bottom"/>
            <w:hideMark/>
          </w:tcPr>
          <w:p w14:paraId="369CF88D"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1</w:t>
            </w:r>
          </w:p>
        </w:tc>
        <w:tc>
          <w:tcPr>
            <w:tcW w:w="0" w:type="auto"/>
            <w:tcBorders>
              <w:bottom w:val="single" w:sz="4" w:space="0" w:color="auto"/>
            </w:tcBorders>
            <w:tcMar>
              <w:top w:w="0" w:type="dxa"/>
              <w:left w:w="45" w:type="dxa"/>
              <w:bottom w:w="0" w:type="dxa"/>
              <w:right w:w="45" w:type="dxa"/>
            </w:tcMar>
            <w:vAlign w:val="bottom"/>
            <w:hideMark/>
          </w:tcPr>
          <w:p w14:paraId="3EF81B3B" w14:textId="77777777" w:rsidR="008D729C" w:rsidRPr="008D729C" w:rsidRDefault="008D729C" w:rsidP="008D729C">
            <w:pPr>
              <w:pStyle w:val="Body"/>
              <w:spacing w:after="0"/>
              <w:rPr>
                <w:rFonts w:ascii="Arial" w:hAnsi="Arial" w:cs="Arial"/>
                <w:lang w:val="pt-BR"/>
              </w:rPr>
            </w:pPr>
            <w:r w:rsidRPr="008D729C">
              <w:rPr>
                <w:rFonts w:ascii="Arial" w:hAnsi="Arial" w:cs="Arial"/>
                <w:lang w:val="pt-BR"/>
              </w:rPr>
              <w:t>11 (20)</w:t>
            </w:r>
          </w:p>
        </w:tc>
      </w:tr>
      <w:tr w:rsidR="008D729C" w:rsidRPr="008D729C" w14:paraId="0B1E9BF6" w14:textId="77777777" w:rsidTr="00FC20A8">
        <w:trPr>
          <w:trHeight w:val="307"/>
        </w:trPr>
        <w:tc>
          <w:tcPr>
            <w:tcW w:w="0" w:type="auto"/>
            <w:tcBorders>
              <w:top w:val="single" w:sz="4" w:space="0" w:color="auto"/>
            </w:tcBorders>
            <w:tcMar>
              <w:top w:w="0" w:type="dxa"/>
              <w:left w:w="45" w:type="dxa"/>
              <w:bottom w:w="0" w:type="dxa"/>
              <w:right w:w="45" w:type="dxa"/>
            </w:tcMar>
            <w:vAlign w:val="bottom"/>
            <w:hideMark/>
          </w:tcPr>
          <w:p w14:paraId="69996A84" w14:textId="77777777" w:rsidR="008D729C" w:rsidRPr="008D729C" w:rsidRDefault="008D729C" w:rsidP="00FC20A8">
            <w:pPr>
              <w:pStyle w:val="Body"/>
              <w:spacing w:after="0"/>
              <w:jc w:val="left"/>
              <w:rPr>
                <w:rFonts w:ascii="Arial" w:hAnsi="Arial" w:cs="Arial"/>
                <w:b/>
                <w:bCs/>
                <w:lang w:val="pt-BR"/>
              </w:rPr>
            </w:pPr>
            <w:r w:rsidRPr="008D729C">
              <w:rPr>
                <w:rFonts w:ascii="Arial" w:hAnsi="Arial" w:cs="Arial"/>
                <w:b/>
                <w:bCs/>
                <w:lang w:val="pt-BR"/>
              </w:rPr>
              <w:t>Total</w:t>
            </w:r>
          </w:p>
        </w:tc>
        <w:tc>
          <w:tcPr>
            <w:tcW w:w="0" w:type="auto"/>
            <w:tcBorders>
              <w:top w:val="single" w:sz="4" w:space="0" w:color="auto"/>
            </w:tcBorders>
            <w:tcMar>
              <w:top w:w="0" w:type="dxa"/>
              <w:left w:w="45" w:type="dxa"/>
              <w:bottom w:w="0" w:type="dxa"/>
              <w:right w:w="45" w:type="dxa"/>
            </w:tcMar>
            <w:vAlign w:val="bottom"/>
            <w:hideMark/>
          </w:tcPr>
          <w:p w14:paraId="3D984104" w14:textId="77777777" w:rsidR="008D729C" w:rsidRPr="008D729C" w:rsidRDefault="008D729C" w:rsidP="00FC20A8">
            <w:pPr>
              <w:pStyle w:val="Body"/>
              <w:spacing w:after="0"/>
              <w:jc w:val="left"/>
              <w:rPr>
                <w:rFonts w:ascii="Arial" w:hAnsi="Arial" w:cs="Arial"/>
                <w:lang w:val="pt-BR"/>
              </w:rPr>
            </w:pPr>
            <w:r w:rsidRPr="008D729C">
              <w:rPr>
                <w:rFonts w:ascii="Arial" w:hAnsi="Arial" w:cs="Arial"/>
                <w:lang w:val="pt-BR"/>
              </w:rPr>
              <w:t>11 (20)</w:t>
            </w:r>
          </w:p>
        </w:tc>
        <w:tc>
          <w:tcPr>
            <w:tcW w:w="0" w:type="auto"/>
            <w:tcBorders>
              <w:top w:val="single" w:sz="4" w:space="0" w:color="auto"/>
            </w:tcBorders>
            <w:tcMar>
              <w:top w:w="0" w:type="dxa"/>
              <w:left w:w="45" w:type="dxa"/>
              <w:bottom w:w="0" w:type="dxa"/>
              <w:right w:w="45" w:type="dxa"/>
            </w:tcMar>
            <w:vAlign w:val="bottom"/>
            <w:hideMark/>
          </w:tcPr>
          <w:p w14:paraId="150301FC" w14:textId="77777777" w:rsidR="008D729C" w:rsidRPr="008D729C" w:rsidRDefault="008D729C" w:rsidP="00FC20A8">
            <w:pPr>
              <w:pStyle w:val="Body"/>
              <w:spacing w:after="0"/>
              <w:jc w:val="left"/>
              <w:rPr>
                <w:rFonts w:ascii="Arial" w:hAnsi="Arial" w:cs="Arial"/>
                <w:lang w:val="pt-BR"/>
              </w:rPr>
            </w:pPr>
            <w:r w:rsidRPr="008D729C">
              <w:rPr>
                <w:rFonts w:ascii="Arial" w:hAnsi="Arial" w:cs="Arial"/>
                <w:lang w:val="pt-BR"/>
              </w:rPr>
              <w:t>11 (20)</w:t>
            </w:r>
          </w:p>
        </w:tc>
        <w:tc>
          <w:tcPr>
            <w:tcW w:w="0" w:type="auto"/>
            <w:tcBorders>
              <w:top w:val="single" w:sz="4" w:space="0" w:color="auto"/>
            </w:tcBorders>
            <w:tcMar>
              <w:top w:w="0" w:type="dxa"/>
              <w:left w:w="45" w:type="dxa"/>
              <w:bottom w:w="0" w:type="dxa"/>
              <w:right w:w="45" w:type="dxa"/>
            </w:tcMar>
            <w:vAlign w:val="bottom"/>
            <w:hideMark/>
          </w:tcPr>
          <w:p w14:paraId="2F6FD79F" w14:textId="77777777" w:rsidR="008D729C" w:rsidRPr="008D729C" w:rsidRDefault="008D729C" w:rsidP="00FC20A8">
            <w:pPr>
              <w:pStyle w:val="Body"/>
              <w:spacing w:after="0"/>
              <w:jc w:val="left"/>
              <w:rPr>
                <w:rFonts w:ascii="Arial" w:hAnsi="Arial" w:cs="Arial"/>
                <w:lang w:val="pt-BR"/>
              </w:rPr>
            </w:pPr>
            <w:r w:rsidRPr="008D729C">
              <w:rPr>
                <w:rFonts w:ascii="Arial" w:hAnsi="Arial" w:cs="Arial"/>
                <w:lang w:val="pt-BR"/>
              </w:rPr>
              <w:t>6 (11)</w:t>
            </w:r>
          </w:p>
        </w:tc>
        <w:tc>
          <w:tcPr>
            <w:tcW w:w="0" w:type="auto"/>
            <w:tcBorders>
              <w:top w:val="single" w:sz="4" w:space="0" w:color="auto"/>
            </w:tcBorders>
            <w:tcMar>
              <w:top w:w="0" w:type="dxa"/>
              <w:left w:w="45" w:type="dxa"/>
              <w:bottom w:w="0" w:type="dxa"/>
              <w:right w:w="45" w:type="dxa"/>
            </w:tcMar>
            <w:vAlign w:val="bottom"/>
            <w:hideMark/>
          </w:tcPr>
          <w:p w14:paraId="70AFB5A4" w14:textId="77777777" w:rsidR="008D729C" w:rsidRPr="008D729C" w:rsidRDefault="008D729C" w:rsidP="00FC20A8">
            <w:pPr>
              <w:pStyle w:val="Body"/>
              <w:spacing w:after="0"/>
              <w:jc w:val="left"/>
              <w:rPr>
                <w:rFonts w:ascii="Arial" w:hAnsi="Arial" w:cs="Arial"/>
                <w:lang w:val="pt-BR"/>
              </w:rPr>
            </w:pPr>
            <w:r w:rsidRPr="008D729C">
              <w:rPr>
                <w:rFonts w:ascii="Arial" w:hAnsi="Arial" w:cs="Arial"/>
                <w:lang w:val="pt-BR"/>
              </w:rPr>
              <w:t>9 (16)</w:t>
            </w:r>
          </w:p>
        </w:tc>
        <w:tc>
          <w:tcPr>
            <w:tcW w:w="0" w:type="auto"/>
            <w:tcBorders>
              <w:top w:val="single" w:sz="4" w:space="0" w:color="auto"/>
            </w:tcBorders>
            <w:tcMar>
              <w:top w:w="0" w:type="dxa"/>
              <w:left w:w="45" w:type="dxa"/>
              <w:bottom w:w="0" w:type="dxa"/>
              <w:right w:w="45" w:type="dxa"/>
            </w:tcMar>
            <w:vAlign w:val="bottom"/>
            <w:hideMark/>
          </w:tcPr>
          <w:p w14:paraId="1FD84E57" w14:textId="77777777" w:rsidR="008D729C" w:rsidRPr="008D729C" w:rsidRDefault="008D729C" w:rsidP="00FC20A8">
            <w:pPr>
              <w:pStyle w:val="Body"/>
              <w:spacing w:after="0"/>
              <w:jc w:val="left"/>
              <w:rPr>
                <w:rFonts w:ascii="Arial" w:hAnsi="Arial" w:cs="Arial"/>
                <w:lang w:val="pt-BR"/>
              </w:rPr>
            </w:pPr>
            <w:r w:rsidRPr="008D729C">
              <w:rPr>
                <w:rFonts w:ascii="Arial" w:hAnsi="Arial" w:cs="Arial"/>
                <w:lang w:val="pt-BR"/>
              </w:rPr>
              <w:t>11 (20)</w:t>
            </w:r>
          </w:p>
        </w:tc>
        <w:tc>
          <w:tcPr>
            <w:tcW w:w="0" w:type="auto"/>
            <w:tcBorders>
              <w:top w:val="single" w:sz="4" w:space="0" w:color="auto"/>
            </w:tcBorders>
            <w:tcMar>
              <w:top w:w="0" w:type="dxa"/>
              <w:left w:w="45" w:type="dxa"/>
              <w:bottom w:w="0" w:type="dxa"/>
              <w:right w:w="45" w:type="dxa"/>
            </w:tcMar>
            <w:vAlign w:val="bottom"/>
            <w:hideMark/>
          </w:tcPr>
          <w:p w14:paraId="48421986" w14:textId="77777777" w:rsidR="008D729C" w:rsidRPr="008D729C" w:rsidRDefault="008D729C" w:rsidP="00FC20A8">
            <w:pPr>
              <w:pStyle w:val="Body"/>
              <w:spacing w:after="0"/>
              <w:jc w:val="left"/>
              <w:rPr>
                <w:rFonts w:ascii="Arial" w:hAnsi="Arial" w:cs="Arial"/>
                <w:lang w:val="pt-BR"/>
              </w:rPr>
            </w:pPr>
            <w:r w:rsidRPr="008D729C">
              <w:rPr>
                <w:rFonts w:ascii="Arial" w:hAnsi="Arial" w:cs="Arial"/>
                <w:lang w:val="pt-BR"/>
              </w:rPr>
              <w:t>7 (13)</w:t>
            </w:r>
          </w:p>
        </w:tc>
        <w:tc>
          <w:tcPr>
            <w:tcW w:w="0" w:type="auto"/>
            <w:tcBorders>
              <w:top w:val="single" w:sz="4" w:space="0" w:color="auto"/>
            </w:tcBorders>
            <w:tcMar>
              <w:top w:w="0" w:type="dxa"/>
              <w:left w:w="45" w:type="dxa"/>
              <w:bottom w:w="0" w:type="dxa"/>
              <w:right w:w="45" w:type="dxa"/>
            </w:tcMar>
            <w:vAlign w:val="bottom"/>
            <w:hideMark/>
          </w:tcPr>
          <w:p w14:paraId="2ADA132E" w14:textId="77777777" w:rsidR="008D729C" w:rsidRPr="008D729C" w:rsidRDefault="008D729C" w:rsidP="00FC20A8">
            <w:pPr>
              <w:pStyle w:val="Body"/>
              <w:spacing w:after="0"/>
              <w:jc w:val="left"/>
              <w:rPr>
                <w:rFonts w:ascii="Arial" w:hAnsi="Arial" w:cs="Arial"/>
                <w:lang w:val="pt-BR"/>
              </w:rPr>
            </w:pPr>
            <w:r w:rsidRPr="008D729C">
              <w:rPr>
                <w:rFonts w:ascii="Arial" w:hAnsi="Arial" w:cs="Arial"/>
                <w:lang w:val="pt-BR"/>
              </w:rPr>
              <w:t>55 (100)</w:t>
            </w:r>
          </w:p>
        </w:tc>
      </w:tr>
      <w:tr w:rsidR="008D729C" w:rsidRPr="008D729C" w14:paraId="0C49A5AD" w14:textId="77777777" w:rsidTr="00FC20A8">
        <w:trPr>
          <w:trHeight w:val="307"/>
        </w:trPr>
        <w:tc>
          <w:tcPr>
            <w:tcW w:w="0" w:type="auto"/>
            <w:tcBorders>
              <w:bottom w:val="single" w:sz="4" w:space="0" w:color="auto"/>
            </w:tcBorders>
            <w:tcMar>
              <w:top w:w="0" w:type="dxa"/>
              <w:left w:w="45" w:type="dxa"/>
              <w:bottom w:w="0" w:type="dxa"/>
              <w:right w:w="45" w:type="dxa"/>
            </w:tcMar>
            <w:hideMark/>
          </w:tcPr>
          <w:p w14:paraId="3051F473" w14:textId="77777777" w:rsidR="008D729C" w:rsidRPr="008D729C" w:rsidRDefault="008D729C" w:rsidP="00FC20A8">
            <w:pPr>
              <w:pStyle w:val="Body"/>
              <w:spacing w:after="0"/>
              <w:jc w:val="left"/>
              <w:rPr>
                <w:rFonts w:ascii="Arial" w:hAnsi="Arial" w:cs="Arial"/>
                <w:b/>
                <w:bCs/>
                <w:lang w:val="pt-BR"/>
              </w:rPr>
            </w:pPr>
            <w:r w:rsidRPr="008D729C">
              <w:rPr>
                <w:rFonts w:ascii="Arial" w:hAnsi="Arial" w:cs="Arial"/>
                <w:b/>
                <w:bCs/>
                <w:lang w:val="pt-BR"/>
              </w:rPr>
              <w:t>N (%)</w:t>
            </w:r>
          </w:p>
        </w:tc>
        <w:tc>
          <w:tcPr>
            <w:tcW w:w="0" w:type="auto"/>
            <w:tcBorders>
              <w:bottom w:val="single" w:sz="4" w:space="0" w:color="auto"/>
            </w:tcBorders>
            <w:tcMar>
              <w:top w:w="0" w:type="dxa"/>
              <w:left w:w="45" w:type="dxa"/>
              <w:bottom w:w="0" w:type="dxa"/>
              <w:right w:w="45" w:type="dxa"/>
            </w:tcMar>
            <w:vAlign w:val="bottom"/>
            <w:hideMark/>
          </w:tcPr>
          <w:p w14:paraId="531BAF93" w14:textId="77777777" w:rsidR="008D729C" w:rsidRPr="008D729C" w:rsidRDefault="008D729C" w:rsidP="008D729C">
            <w:pPr>
              <w:pStyle w:val="Body"/>
              <w:spacing w:after="0"/>
              <w:rPr>
                <w:rFonts w:ascii="Arial" w:hAnsi="Arial" w:cs="Arial"/>
                <w:lang w:val="pt-BR"/>
              </w:rPr>
            </w:pPr>
          </w:p>
        </w:tc>
        <w:tc>
          <w:tcPr>
            <w:tcW w:w="0" w:type="auto"/>
            <w:tcBorders>
              <w:bottom w:val="single" w:sz="4" w:space="0" w:color="auto"/>
            </w:tcBorders>
            <w:tcMar>
              <w:top w:w="0" w:type="dxa"/>
              <w:left w:w="45" w:type="dxa"/>
              <w:bottom w:w="0" w:type="dxa"/>
              <w:right w:w="45" w:type="dxa"/>
            </w:tcMar>
            <w:vAlign w:val="bottom"/>
            <w:hideMark/>
          </w:tcPr>
          <w:p w14:paraId="682B8566" w14:textId="77777777" w:rsidR="008D729C" w:rsidRPr="008D729C" w:rsidRDefault="008D729C" w:rsidP="008D729C">
            <w:pPr>
              <w:pStyle w:val="Body"/>
              <w:spacing w:after="0"/>
              <w:rPr>
                <w:rFonts w:ascii="Arial" w:hAnsi="Arial" w:cs="Arial"/>
                <w:lang w:val="pt-BR"/>
              </w:rPr>
            </w:pPr>
          </w:p>
        </w:tc>
        <w:tc>
          <w:tcPr>
            <w:tcW w:w="0" w:type="auto"/>
            <w:tcBorders>
              <w:bottom w:val="single" w:sz="4" w:space="0" w:color="auto"/>
            </w:tcBorders>
            <w:tcMar>
              <w:top w:w="0" w:type="dxa"/>
              <w:left w:w="45" w:type="dxa"/>
              <w:bottom w:w="0" w:type="dxa"/>
              <w:right w:w="45" w:type="dxa"/>
            </w:tcMar>
            <w:vAlign w:val="bottom"/>
            <w:hideMark/>
          </w:tcPr>
          <w:p w14:paraId="68A98294" w14:textId="77777777" w:rsidR="008D729C" w:rsidRPr="008D729C" w:rsidRDefault="008D729C" w:rsidP="008D729C">
            <w:pPr>
              <w:pStyle w:val="Body"/>
              <w:spacing w:after="0"/>
              <w:rPr>
                <w:rFonts w:ascii="Arial" w:hAnsi="Arial" w:cs="Arial"/>
                <w:lang w:val="pt-BR"/>
              </w:rPr>
            </w:pPr>
          </w:p>
        </w:tc>
        <w:tc>
          <w:tcPr>
            <w:tcW w:w="0" w:type="auto"/>
            <w:tcBorders>
              <w:bottom w:val="single" w:sz="4" w:space="0" w:color="auto"/>
            </w:tcBorders>
            <w:tcMar>
              <w:top w:w="0" w:type="dxa"/>
              <w:left w:w="45" w:type="dxa"/>
              <w:bottom w:w="0" w:type="dxa"/>
              <w:right w:w="45" w:type="dxa"/>
            </w:tcMar>
            <w:vAlign w:val="bottom"/>
            <w:hideMark/>
          </w:tcPr>
          <w:p w14:paraId="4A035084" w14:textId="77777777" w:rsidR="008D729C" w:rsidRPr="008D729C" w:rsidRDefault="008D729C" w:rsidP="008D729C">
            <w:pPr>
              <w:pStyle w:val="Body"/>
              <w:spacing w:after="0"/>
              <w:rPr>
                <w:rFonts w:ascii="Arial" w:hAnsi="Arial" w:cs="Arial"/>
                <w:lang w:val="pt-BR"/>
              </w:rPr>
            </w:pPr>
          </w:p>
        </w:tc>
        <w:tc>
          <w:tcPr>
            <w:tcW w:w="0" w:type="auto"/>
            <w:tcBorders>
              <w:bottom w:val="single" w:sz="4" w:space="0" w:color="auto"/>
            </w:tcBorders>
            <w:tcMar>
              <w:top w:w="0" w:type="dxa"/>
              <w:left w:w="45" w:type="dxa"/>
              <w:bottom w:w="0" w:type="dxa"/>
              <w:right w:w="45" w:type="dxa"/>
            </w:tcMar>
            <w:vAlign w:val="bottom"/>
            <w:hideMark/>
          </w:tcPr>
          <w:p w14:paraId="7C34AF3E" w14:textId="77777777" w:rsidR="008D729C" w:rsidRPr="008D729C" w:rsidRDefault="008D729C" w:rsidP="008D729C">
            <w:pPr>
              <w:pStyle w:val="Body"/>
              <w:spacing w:after="0"/>
              <w:rPr>
                <w:rFonts w:ascii="Arial" w:hAnsi="Arial" w:cs="Arial"/>
                <w:lang w:val="pt-BR"/>
              </w:rPr>
            </w:pPr>
          </w:p>
        </w:tc>
        <w:tc>
          <w:tcPr>
            <w:tcW w:w="0" w:type="auto"/>
            <w:tcBorders>
              <w:bottom w:val="single" w:sz="4" w:space="0" w:color="auto"/>
            </w:tcBorders>
            <w:tcMar>
              <w:top w:w="0" w:type="dxa"/>
              <w:left w:w="45" w:type="dxa"/>
              <w:bottom w:w="0" w:type="dxa"/>
              <w:right w:w="45" w:type="dxa"/>
            </w:tcMar>
            <w:vAlign w:val="bottom"/>
            <w:hideMark/>
          </w:tcPr>
          <w:p w14:paraId="0C33CED2" w14:textId="77777777" w:rsidR="008D729C" w:rsidRPr="008D729C" w:rsidRDefault="008D729C" w:rsidP="008D729C">
            <w:pPr>
              <w:pStyle w:val="Body"/>
              <w:spacing w:after="0"/>
              <w:rPr>
                <w:rFonts w:ascii="Arial" w:hAnsi="Arial" w:cs="Arial"/>
                <w:lang w:val="pt-BR"/>
              </w:rPr>
            </w:pPr>
          </w:p>
        </w:tc>
        <w:tc>
          <w:tcPr>
            <w:tcW w:w="0" w:type="auto"/>
            <w:tcBorders>
              <w:bottom w:val="single" w:sz="4" w:space="0" w:color="auto"/>
            </w:tcBorders>
            <w:tcMar>
              <w:top w:w="0" w:type="dxa"/>
              <w:left w:w="45" w:type="dxa"/>
              <w:bottom w:w="0" w:type="dxa"/>
              <w:right w:w="45" w:type="dxa"/>
            </w:tcMar>
            <w:vAlign w:val="bottom"/>
            <w:hideMark/>
          </w:tcPr>
          <w:p w14:paraId="3A91F3FB" w14:textId="77777777" w:rsidR="008D729C" w:rsidRPr="008D729C" w:rsidRDefault="008D729C" w:rsidP="008D729C">
            <w:pPr>
              <w:pStyle w:val="Body"/>
              <w:spacing w:after="0"/>
              <w:rPr>
                <w:rFonts w:ascii="Arial" w:hAnsi="Arial" w:cs="Arial"/>
                <w:lang w:val="pt-BR"/>
              </w:rPr>
            </w:pPr>
          </w:p>
        </w:tc>
      </w:tr>
    </w:tbl>
    <w:p w14:paraId="30D9560C" w14:textId="67F421EB" w:rsidR="00C11E4F" w:rsidRDefault="008D729C" w:rsidP="008D729C">
      <w:pPr>
        <w:pStyle w:val="Body"/>
        <w:spacing w:after="0"/>
        <w:rPr>
          <w:rFonts w:ascii="Arial" w:hAnsi="Arial" w:cs="Arial"/>
          <w:b/>
          <w:bCs/>
          <w:sz w:val="18"/>
          <w:szCs w:val="18"/>
        </w:rPr>
      </w:pPr>
      <w:r w:rsidRPr="008D729C">
        <w:rPr>
          <w:rFonts w:ascii="Arial" w:hAnsi="Arial" w:cs="Arial"/>
          <w:b/>
          <w:bCs/>
          <w:sz w:val="18"/>
          <w:szCs w:val="18"/>
        </w:rPr>
        <w:t xml:space="preserve">Source: Notifiable </w:t>
      </w:r>
      <w:r w:rsidR="0035269F">
        <w:rPr>
          <w:rFonts w:ascii="Arial" w:hAnsi="Arial" w:cs="Arial"/>
          <w:b/>
          <w:bCs/>
          <w:sz w:val="18"/>
          <w:szCs w:val="18"/>
        </w:rPr>
        <w:t>D</w:t>
      </w:r>
      <w:r w:rsidRPr="008D729C">
        <w:rPr>
          <w:rFonts w:ascii="Arial" w:hAnsi="Arial" w:cs="Arial"/>
          <w:b/>
          <w:bCs/>
          <w:sz w:val="18"/>
          <w:szCs w:val="18"/>
        </w:rPr>
        <w:t xml:space="preserve">iseases </w:t>
      </w:r>
      <w:r w:rsidR="0035269F">
        <w:rPr>
          <w:rFonts w:ascii="Arial" w:hAnsi="Arial" w:cs="Arial"/>
          <w:b/>
          <w:bCs/>
          <w:sz w:val="18"/>
          <w:szCs w:val="18"/>
        </w:rPr>
        <w:t>I</w:t>
      </w:r>
      <w:r w:rsidRPr="008D729C">
        <w:rPr>
          <w:rFonts w:ascii="Arial" w:hAnsi="Arial" w:cs="Arial"/>
          <w:b/>
          <w:bCs/>
          <w:sz w:val="18"/>
          <w:szCs w:val="18"/>
        </w:rPr>
        <w:t xml:space="preserve">nformation </w:t>
      </w:r>
      <w:r w:rsidR="0035269F">
        <w:rPr>
          <w:rFonts w:ascii="Arial" w:hAnsi="Arial" w:cs="Arial"/>
          <w:b/>
          <w:bCs/>
          <w:sz w:val="18"/>
          <w:szCs w:val="18"/>
        </w:rPr>
        <w:t>S</w:t>
      </w:r>
      <w:r w:rsidRPr="008D729C">
        <w:rPr>
          <w:rFonts w:ascii="Arial" w:hAnsi="Arial" w:cs="Arial"/>
          <w:b/>
          <w:bCs/>
          <w:sz w:val="18"/>
          <w:szCs w:val="18"/>
        </w:rPr>
        <w:t>ystem (S</w:t>
      </w:r>
      <w:r w:rsidR="0035269F">
        <w:rPr>
          <w:rFonts w:ascii="Arial" w:hAnsi="Arial" w:cs="Arial"/>
          <w:b/>
          <w:bCs/>
          <w:sz w:val="18"/>
          <w:szCs w:val="18"/>
        </w:rPr>
        <w:t>INAN</w:t>
      </w:r>
      <w:r w:rsidRPr="008D729C">
        <w:rPr>
          <w:rFonts w:ascii="Arial" w:hAnsi="Arial" w:cs="Arial"/>
          <w:b/>
          <w:bCs/>
          <w:sz w:val="18"/>
          <w:szCs w:val="18"/>
        </w:rPr>
        <w:t>)</w:t>
      </w:r>
    </w:p>
    <w:p w14:paraId="6D50DF1D" w14:textId="77777777" w:rsidR="008D729C" w:rsidRPr="00994AB3" w:rsidRDefault="008D729C" w:rsidP="008D729C">
      <w:pPr>
        <w:pStyle w:val="Body"/>
        <w:spacing w:after="0"/>
        <w:rPr>
          <w:rFonts w:ascii="Arial" w:hAnsi="Arial" w:cs="Arial"/>
          <w:lang w:val="pt-BR"/>
        </w:rPr>
      </w:pPr>
    </w:p>
    <w:p w14:paraId="7979F0E5" w14:textId="25E5F300" w:rsidR="00026471" w:rsidRPr="00026471" w:rsidRDefault="00026471" w:rsidP="00026471">
      <w:pPr>
        <w:pStyle w:val="Body"/>
        <w:spacing w:after="0"/>
        <w:ind w:firstLine="709"/>
        <w:rPr>
          <w:rFonts w:ascii="Arial" w:hAnsi="Arial" w:cs="Arial"/>
          <w:lang w:val="pt-BR"/>
        </w:rPr>
      </w:pPr>
      <w:r w:rsidRPr="00026471">
        <w:rPr>
          <w:rFonts w:ascii="Arial" w:hAnsi="Arial" w:cs="Arial"/>
          <w:lang w:val="pt-BR"/>
        </w:rPr>
        <w:t>The year 2021 stood out as the period with the highest number of tuberculosis notifications in the municipality of Santa Quitéria - CE, showing fluctuations in the occurrence of the disease throughout the years analyzed.</w:t>
      </w:r>
    </w:p>
    <w:p w14:paraId="77347D8A" w14:textId="15B01047" w:rsidR="00026471" w:rsidRPr="00026471" w:rsidRDefault="00026471" w:rsidP="00026471">
      <w:pPr>
        <w:pStyle w:val="Body"/>
        <w:spacing w:after="0"/>
        <w:ind w:firstLine="709"/>
        <w:rPr>
          <w:rFonts w:ascii="Arial" w:hAnsi="Arial" w:cs="Arial"/>
          <w:lang w:val="pt-BR"/>
        </w:rPr>
      </w:pPr>
      <w:r w:rsidRPr="00026471">
        <w:rPr>
          <w:rFonts w:ascii="Arial" w:hAnsi="Arial" w:cs="Arial"/>
          <w:lang w:val="pt-BR"/>
        </w:rPr>
        <w:t>As described by Santos et al. (2024), tuberculosis cases in the Northeast showed a significant reduction in 2020, attributed to the impacts of the COVID-19 pandemic on health services. Similarly, Alves et al. (2023) observed a drop in notifications in 2020 and 2021, followed by a gradual increase in subsequent years, concomitant with the resumption of surveillance and diagnostic activities.</w:t>
      </w:r>
    </w:p>
    <w:p w14:paraId="33C0FE16" w14:textId="77777777" w:rsidR="00026471" w:rsidRPr="00026471" w:rsidRDefault="00026471" w:rsidP="00026471">
      <w:pPr>
        <w:pStyle w:val="Body"/>
        <w:spacing w:after="0"/>
        <w:ind w:firstLine="709"/>
        <w:rPr>
          <w:rFonts w:ascii="Arial" w:hAnsi="Arial" w:cs="Arial"/>
          <w:lang w:val="pt-BR"/>
        </w:rPr>
      </w:pPr>
      <w:r w:rsidRPr="00026471">
        <w:rPr>
          <w:rFonts w:ascii="Arial" w:hAnsi="Arial" w:cs="Arial"/>
          <w:lang w:val="pt-BR"/>
        </w:rPr>
        <w:t>However, in Santa Quitéria, this trend was not fully confirmed. Unlike the regional scenario, 2021 recorded the highest number of notifications in the municipality, suggesting a possible faster reorganization of local services or intensification of active search strategies. Regarding the bimonthly distribution, the first, second, and fifth months each concentrated 20% of the cases, indicating a possible seasonal pattern in the occurrence of the disease.</w:t>
      </w:r>
    </w:p>
    <w:p w14:paraId="3DF3BD09" w14:textId="0DE05BA6" w:rsidR="001100EE" w:rsidRDefault="00026471" w:rsidP="00026471">
      <w:pPr>
        <w:pStyle w:val="Body"/>
        <w:spacing w:after="0"/>
        <w:ind w:firstLine="709"/>
        <w:rPr>
          <w:rFonts w:ascii="Arial" w:hAnsi="Arial" w:cs="Arial"/>
          <w:lang w:val="pt-BR"/>
        </w:rPr>
      </w:pPr>
      <w:r w:rsidRPr="00026471">
        <w:rPr>
          <w:rFonts w:ascii="Arial" w:hAnsi="Arial" w:cs="Arial"/>
          <w:lang w:val="pt-BR"/>
        </w:rPr>
        <w:t xml:space="preserve">Comparing the findings of the present study with Dantas (2023), a divergence is observed regarding the monthly distribution of cases. The author identified a greater concentration between December and April, with a reduction from May to November; although January and March are consistent with this pattern, October presented a significant peak, </w:t>
      </w:r>
      <w:r w:rsidRPr="00026471">
        <w:rPr>
          <w:rFonts w:ascii="Arial" w:hAnsi="Arial" w:cs="Arial"/>
          <w:lang w:val="pt-BR"/>
        </w:rPr>
        <w:lastRenderedPageBreak/>
        <w:t>deviating from the described trend (Dantas, 2019). This discrepancy may reflect regional variations, methodological differences, or local factors, such as intensified active case finding and changes in the demand for health services. Furthermore, Órfão (2021) highlights that aspects such as knowledge of symptoms, self-medication, and late seeking of care influence the annual distribution of cases, attributing the increase in March to the expansion of actions after the festive period—a behavior also observed in this study.</w:t>
      </w:r>
    </w:p>
    <w:p w14:paraId="577B5F9D" w14:textId="77777777" w:rsidR="00026471" w:rsidRDefault="00026471" w:rsidP="00026471">
      <w:pPr>
        <w:pStyle w:val="Body"/>
        <w:spacing w:after="0"/>
        <w:ind w:firstLine="709"/>
        <w:rPr>
          <w:rFonts w:ascii="Arial" w:hAnsi="Arial" w:cs="Arial"/>
          <w:lang w:val="pt-BR"/>
        </w:rPr>
      </w:pPr>
    </w:p>
    <w:p w14:paraId="17397737" w14:textId="1409B456" w:rsidR="00C11E4F" w:rsidRDefault="00C11E4F" w:rsidP="00DC2E62">
      <w:pPr>
        <w:pStyle w:val="Body"/>
        <w:spacing w:after="0"/>
        <w:rPr>
          <w:rFonts w:ascii="Arial" w:hAnsi="Arial" w:cs="Arial"/>
          <w:b/>
          <w:bCs/>
          <w:lang w:val="pt-BR"/>
        </w:rPr>
      </w:pPr>
      <w:r>
        <w:rPr>
          <w:rFonts w:ascii="Arial" w:hAnsi="Arial" w:cs="Arial"/>
          <w:b/>
          <w:bCs/>
          <w:lang w:val="pt-BR"/>
        </w:rPr>
        <w:t>3.2</w:t>
      </w:r>
      <w:r w:rsidR="00026471" w:rsidRPr="00026471">
        <w:rPr>
          <w:rFonts w:ascii="Arial" w:hAnsi="Arial" w:cs="Arial"/>
          <w:b/>
          <w:bCs/>
          <w:lang w:val="pt-BR"/>
        </w:rPr>
        <w:t xml:space="preserve"> Sociodemographic profile of the cases</w:t>
      </w:r>
    </w:p>
    <w:p w14:paraId="408DD7D0" w14:textId="77777777" w:rsidR="00C11E4F" w:rsidRPr="00DC2E62" w:rsidRDefault="00C11E4F" w:rsidP="00DC2E62">
      <w:pPr>
        <w:pStyle w:val="Body"/>
        <w:spacing w:after="0"/>
        <w:rPr>
          <w:rFonts w:ascii="Arial" w:hAnsi="Arial" w:cs="Arial"/>
          <w:b/>
          <w:bCs/>
          <w:lang w:val="pt-BR"/>
        </w:rPr>
      </w:pPr>
    </w:p>
    <w:p w14:paraId="0E1832C9" w14:textId="60BC507E" w:rsidR="00FD7B57" w:rsidRDefault="00026471" w:rsidP="00DC2E62">
      <w:pPr>
        <w:pStyle w:val="Body"/>
        <w:spacing w:after="0"/>
        <w:ind w:firstLine="709"/>
        <w:rPr>
          <w:rFonts w:ascii="Arial" w:hAnsi="Arial" w:cs="Arial"/>
          <w:lang w:val="pt-BR"/>
        </w:rPr>
      </w:pPr>
      <w:r w:rsidRPr="00026471">
        <w:rPr>
          <w:rFonts w:ascii="Arial" w:hAnsi="Arial" w:cs="Arial"/>
          <w:lang w:val="pt-BR"/>
        </w:rPr>
        <w:t>A predominance of tuberculosis cases was observed in the 40-59 age group, representing 46% of the total notifications. These findings are consistent with the results of Reis (2013), who showed that this same age group was the most affected by tuberculosis throughout the years analyzed. This is an economically active population that suffers from lost work or study days due to disabilities caused by the disease and its treatment, resulting in economic and social impacts for both families and the municipality (Graph 01).</w:t>
      </w:r>
    </w:p>
    <w:p w14:paraId="0894F1DC" w14:textId="77777777" w:rsidR="00026471" w:rsidRDefault="00026471" w:rsidP="00DC2E62">
      <w:pPr>
        <w:pStyle w:val="Body"/>
        <w:spacing w:after="0"/>
        <w:ind w:firstLine="709"/>
        <w:rPr>
          <w:rFonts w:ascii="Arial" w:hAnsi="Arial" w:cs="Arial"/>
          <w:lang w:val="pt-BR"/>
        </w:rPr>
      </w:pPr>
    </w:p>
    <w:p w14:paraId="694BE78F" w14:textId="77E212C6" w:rsidR="00FD7B57" w:rsidRDefault="00026471" w:rsidP="00DC2E62">
      <w:pPr>
        <w:pStyle w:val="Body"/>
        <w:spacing w:after="0"/>
        <w:ind w:firstLine="709"/>
        <w:rPr>
          <w:rFonts w:ascii="Arial" w:hAnsi="Arial" w:cs="Arial"/>
          <w:b/>
          <w:bCs/>
        </w:rPr>
      </w:pPr>
      <w:r w:rsidRPr="00026471">
        <w:rPr>
          <w:rFonts w:ascii="Arial" w:hAnsi="Arial" w:cs="Arial"/>
          <w:b/>
          <w:bCs/>
        </w:rPr>
        <w:t>Graph 01. Distribution of the number of tuberculosis cases by age group and percentage according to sex, Santa Quitéria, Ceará, 2019–2023.</w:t>
      </w:r>
    </w:p>
    <w:p w14:paraId="256E8DB5" w14:textId="77777777" w:rsidR="00026471" w:rsidRDefault="00026471" w:rsidP="00DC2E62">
      <w:pPr>
        <w:pStyle w:val="Body"/>
        <w:spacing w:after="0"/>
        <w:ind w:firstLine="709"/>
        <w:rPr>
          <w:rFonts w:ascii="Arial" w:hAnsi="Arial" w:cs="Arial"/>
          <w:lang w:val="pt-BR"/>
        </w:rPr>
      </w:pPr>
    </w:p>
    <w:p w14:paraId="7118793E" w14:textId="13A8FD62" w:rsidR="00900FC4" w:rsidRDefault="00365772" w:rsidP="00365772">
      <w:pPr>
        <w:pStyle w:val="Body"/>
        <w:spacing w:after="0"/>
        <w:jc w:val="center"/>
        <w:rPr>
          <w:rFonts w:ascii="Arial" w:hAnsi="Arial" w:cs="Arial"/>
          <w:b/>
          <w:bCs/>
          <w:sz w:val="18"/>
          <w:szCs w:val="18"/>
        </w:rPr>
      </w:pPr>
      <w:r w:rsidRPr="00365772">
        <w:rPr>
          <w:rFonts w:ascii="Arial" w:hAnsi="Arial" w:cs="Arial"/>
          <w:b/>
          <w:bCs/>
          <w:noProof/>
          <w:sz w:val="18"/>
          <w:szCs w:val="18"/>
        </w:rPr>
        <w:drawing>
          <wp:inline distT="0" distB="0" distL="0" distR="0" wp14:anchorId="3C2E5F98" wp14:editId="751E4C67">
            <wp:extent cx="3494278" cy="2356338"/>
            <wp:effectExtent l="0" t="0" r="0" b="6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38119" cy="2385902"/>
                    </a:xfrm>
                    <a:prstGeom prst="rect">
                      <a:avLst/>
                    </a:prstGeom>
                  </pic:spPr>
                </pic:pic>
              </a:graphicData>
            </a:graphic>
          </wp:inline>
        </w:drawing>
      </w:r>
    </w:p>
    <w:p w14:paraId="34CCE45E" w14:textId="49DD3346" w:rsidR="00900FC4" w:rsidRDefault="00900FC4" w:rsidP="00900FC4">
      <w:pPr>
        <w:pStyle w:val="Body"/>
        <w:spacing w:after="0"/>
        <w:rPr>
          <w:rFonts w:ascii="Arial" w:hAnsi="Arial" w:cs="Arial"/>
          <w:b/>
          <w:bCs/>
          <w:sz w:val="18"/>
          <w:szCs w:val="18"/>
        </w:rPr>
      </w:pPr>
      <w:r w:rsidRPr="008D729C">
        <w:rPr>
          <w:rFonts w:ascii="Arial" w:hAnsi="Arial" w:cs="Arial"/>
          <w:b/>
          <w:bCs/>
          <w:sz w:val="18"/>
          <w:szCs w:val="18"/>
        </w:rPr>
        <w:t xml:space="preserve">Source: Notifiable </w:t>
      </w:r>
      <w:r w:rsidR="0035269F">
        <w:rPr>
          <w:rFonts w:ascii="Arial" w:hAnsi="Arial" w:cs="Arial"/>
          <w:b/>
          <w:bCs/>
          <w:sz w:val="18"/>
          <w:szCs w:val="18"/>
        </w:rPr>
        <w:t>D</w:t>
      </w:r>
      <w:r w:rsidRPr="008D729C">
        <w:rPr>
          <w:rFonts w:ascii="Arial" w:hAnsi="Arial" w:cs="Arial"/>
          <w:b/>
          <w:bCs/>
          <w:sz w:val="18"/>
          <w:szCs w:val="18"/>
        </w:rPr>
        <w:t xml:space="preserve">iseases </w:t>
      </w:r>
      <w:r w:rsidR="0035269F">
        <w:rPr>
          <w:rFonts w:ascii="Arial" w:hAnsi="Arial" w:cs="Arial"/>
          <w:b/>
          <w:bCs/>
          <w:sz w:val="18"/>
          <w:szCs w:val="18"/>
        </w:rPr>
        <w:t>I</w:t>
      </w:r>
      <w:r w:rsidRPr="008D729C">
        <w:rPr>
          <w:rFonts w:ascii="Arial" w:hAnsi="Arial" w:cs="Arial"/>
          <w:b/>
          <w:bCs/>
          <w:sz w:val="18"/>
          <w:szCs w:val="18"/>
        </w:rPr>
        <w:t xml:space="preserve">nformation </w:t>
      </w:r>
      <w:r w:rsidR="0035269F">
        <w:rPr>
          <w:rFonts w:ascii="Arial" w:hAnsi="Arial" w:cs="Arial"/>
          <w:b/>
          <w:bCs/>
          <w:sz w:val="18"/>
          <w:szCs w:val="18"/>
        </w:rPr>
        <w:t>S</w:t>
      </w:r>
      <w:r w:rsidRPr="008D729C">
        <w:rPr>
          <w:rFonts w:ascii="Arial" w:hAnsi="Arial" w:cs="Arial"/>
          <w:b/>
          <w:bCs/>
          <w:sz w:val="18"/>
          <w:szCs w:val="18"/>
        </w:rPr>
        <w:t>ystem (S</w:t>
      </w:r>
      <w:r w:rsidR="0035269F">
        <w:rPr>
          <w:rFonts w:ascii="Arial" w:hAnsi="Arial" w:cs="Arial"/>
          <w:b/>
          <w:bCs/>
          <w:sz w:val="18"/>
          <w:szCs w:val="18"/>
        </w:rPr>
        <w:t>INAN</w:t>
      </w:r>
      <w:r w:rsidRPr="008D729C">
        <w:rPr>
          <w:rFonts w:ascii="Arial" w:hAnsi="Arial" w:cs="Arial"/>
          <w:b/>
          <w:bCs/>
          <w:sz w:val="18"/>
          <w:szCs w:val="18"/>
        </w:rPr>
        <w:t>)</w:t>
      </w:r>
    </w:p>
    <w:p w14:paraId="657402D9" w14:textId="3361B9F3" w:rsidR="00FD7B57" w:rsidRPr="00FD7B57" w:rsidRDefault="00FD7B57" w:rsidP="00FD7B57">
      <w:pPr>
        <w:pStyle w:val="Body"/>
        <w:spacing w:after="0"/>
        <w:rPr>
          <w:rFonts w:ascii="Arial" w:hAnsi="Arial" w:cs="Arial"/>
          <w:sz w:val="18"/>
          <w:szCs w:val="18"/>
        </w:rPr>
      </w:pPr>
    </w:p>
    <w:p w14:paraId="21E0E565" w14:textId="14A77248" w:rsidR="00026471" w:rsidRPr="000803A8" w:rsidRDefault="00026471" w:rsidP="00026471">
      <w:pPr>
        <w:pStyle w:val="Body"/>
        <w:spacing w:after="0"/>
        <w:ind w:firstLine="709"/>
        <w:rPr>
          <w:rFonts w:ascii="Arial" w:hAnsi="Arial" w:cs="Arial"/>
        </w:rPr>
      </w:pPr>
      <w:r w:rsidRPr="000803A8">
        <w:rPr>
          <w:rFonts w:ascii="Arial" w:hAnsi="Arial" w:cs="Arial"/>
        </w:rPr>
        <w:t>Although the highest concentration of cases is among adults, it is important to highlight that the elderly population also deserves attention. Due to the aging process and demographic transition, the elderly have become a relevant risk group, since they may present reactivation of latent infections, which has concerned public policies for tuberculosis control globally (Coelho, 2010).</w:t>
      </w:r>
    </w:p>
    <w:p w14:paraId="18C312CE" w14:textId="19E993F3" w:rsidR="00026471" w:rsidRPr="00026471" w:rsidRDefault="00026471" w:rsidP="00026471">
      <w:pPr>
        <w:pStyle w:val="Body"/>
        <w:spacing w:after="0"/>
        <w:ind w:firstLine="709"/>
        <w:rPr>
          <w:rFonts w:ascii="Arial" w:hAnsi="Arial" w:cs="Arial"/>
          <w:lang w:val="pt-BR"/>
        </w:rPr>
      </w:pPr>
      <w:r w:rsidRPr="00026471">
        <w:rPr>
          <w:rFonts w:ascii="Arial" w:hAnsi="Arial" w:cs="Arial"/>
          <w:lang w:val="pt-BR"/>
        </w:rPr>
        <w:t>Regarding race, a predominance of tuberculosis cases was observed among individuals who self-identified as mixed-race, totaling 73%. This result is particularly noteworthy when compared to data from Salva (2022), who analyzed 7,116 cases of drug-resistant tuberculosis (DR-TB) in Brazil. According to the author, in the Northeast region, 38% of cases affected mixed-race individuals. However, in the present study, the predominance was even more evident: mixed-race individuals represented 73% of cases.</w:t>
      </w:r>
    </w:p>
    <w:p w14:paraId="2F88FCAA" w14:textId="77777777" w:rsidR="00026471" w:rsidRDefault="00026471" w:rsidP="00026471">
      <w:pPr>
        <w:pStyle w:val="Body"/>
        <w:spacing w:after="0"/>
        <w:ind w:firstLine="709"/>
        <w:rPr>
          <w:rFonts w:ascii="Arial" w:hAnsi="Arial" w:cs="Arial"/>
          <w:lang w:val="pt-BR"/>
        </w:rPr>
      </w:pPr>
      <w:r w:rsidRPr="00026471">
        <w:rPr>
          <w:rFonts w:ascii="Arial" w:hAnsi="Arial" w:cs="Arial"/>
          <w:lang w:val="pt-BR"/>
        </w:rPr>
        <w:t xml:space="preserve">Compared to the findings of Vilariça (2008), a marked difference is observed regarding the racial profile of the affected individuals. In the cited study, which evaluated 132 patients with multidrug-resistant tuberculosis, it was observed that 74% of tuberculosis cases were among Black people, while 46% corresponded to White people, with no specific mention made of the mixed-race population. This evidence suggests that both Black and mixed-race people </w:t>
      </w:r>
      <w:r w:rsidRPr="00026471">
        <w:rPr>
          <w:rFonts w:ascii="Arial" w:hAnsi="Arial" w:cs="Arial"/>
          <w:lang w:val="pt-BR"/>
        </w:rPr>
        <w:lastRenderedPageBreak/>
        <w:t>face severe forms of tuberculosis, indicating the role of race as a marker of social vulnerability to the disease.</w:t>
      </w:r>
    </w:p>
    <w:p w14:paraId="2954E18B" w14:textId="133AD7A9" w:rsidR="00026471" w:rsidRPr="00026471" w:rsidRDefault="00026471" w:rsidP="00026471">
      <w:pPr>
        <w:pStyle w:val="Body"/>
        <w:spacing w:after="0"/>
        <w:rPr>
          <w:rFonts w:ascii="Arial" w:hAnsi="Arial" w:cs="Arial"/>
          <w:lang w:val="pt-BR"/>
        </w:rPr>
      </w:pPr>
      <w:r w:rsidRPr="00026471">
        <w:rPr>
          <w:rFonts w:ascii="Arial" w:hAnsi="Arial" w:cs="Arial"/>
          <w:lang w:val="pt-BR"/>
        </w:rPr>
        <w:t>Regarding gender, the analysis of tuberculosis cases in the municipality of Santa Quitéria-CE revealed a significant prevalence in males, with 77% (43) of the registered cases. Similar to what was observed in the municipality of Santa Quitéria-CE, data from Lima et al. (2019) show that, nationally, 64.4% of drug-resistant tuberculosis (DR-TB) cases occurred among men. The difference between the percentages, even more pronounced in the local context, reinforces a known trend: men are more vulnerable to tuberculosis, possibly due to factors such as lower demand for health services, lifestyle habits more exposed to risks (such as smoking and alcoholism), and unfavorable social conditions (Lima et al., 2019).</w:t>
      </w:r>
    </w:p>
    <w:p w14:paraId="70874F75" w14:textId="1A74AAD0" w:rsidR="00026471" w:rsidRPr="0097725D" w:rsidRDefault="00026471" w:rsidP="00026471">
      <w:pPr>
        <w:pStyle w:val="Body"/>
        <w:spacing w:after="0"/>
        <w:rPr>
          <w:rFonts w:ascii="Arial" w:hAnsi="Arial" w:cs="Arial"/>
          <w:lang w:val="nb-NO"/>
        </w:rPr>
      </w:pPr>
      <w:r w:rsidRPr="0097725D">
        <w:rPr>
          <w:rFonts w:ascii="Arial" w:hAnsi="Arial" w:cs="Arial"/>
          <w:lang w:val="nb-NO"/>
        </w:rPr>
        <w:t>This trend is seen in the findings of Angelotti (2013), which point to a predominance of cases among men (66.6%), reinforcing the pattern already identified in other regions. Although the proportion of pregnant women was low (0.3%), this finding highlights the need to pay attention to the specificities of different population groups. Social determinants, such as racial inequality, gender and unfavorable socioeconomic conditions, can increase vulnerability to tuberculosis, in addition to constituting barriers to timely diagnosis and adherence to treatment.</w:t>
      </w:r>
    </w:p>
    <w:p w14:paraId="67BAFD26" w14:textId="120036B0" w:rsidR="0061007A" w:rsidRDefault="00026471" w:rsidP="00026471">
      <w:pPr>
        <w:pStyle w:val="Body"/>
        <w:spacing w:after="0"/>
        <w:rPr>
          <w:rFonts w:ascii="Arial" w:hAnsi="Arial" w:cs="Arial"/>
          <w:lang w:val="pt-BR"/>
        </w:rPr>
      </w:pPr>
      <w:r w:rsidRPr="0097725D">
        <w:rPr>
          <w:rFonts w:ascii="Arial" w:hAnsi="Arial" w:cs="Arial"/>
          <w:lang w:val="nb-NO"/>
        </w:rPr>
        <w:t xml:space="preserve">With regard to the educational profile, it was observed that most patients affected by tuberculosis in the municipality of Santa Quitéria-CE had low levels of education. </w:t>
      </w:r>
      <w:r w:rsidRPr="00026471">
        <w:rPr>
          <w:rFonts w:ascii="Arial" w:hAnsi="Arial" w:cs="Arial"/>
          <w:lang w:val="pt-BR"/>
        </w:rPr>
        <w:t>The highest concentration was among those who attended incomplete primary education, with 45% (25) of the total cases (table 2).</w:t>
      </w:r>
    </w:p>
    <w:p w14:paraId="21B1EC23" w14:textId="77777777" w:rsidR="00026471" w:rsidRDefault="00026471" w:rsidP="00026471">
      <w:pPr>
        <w:pStyle w:val="Body"/>
        <w:spacing w:after="0"/>
        <w:rPr>
          <w:rFonts w:ascii="Arial" w:hAnsi="Arial" w:cs="Arial"/>
          <w:b/>
          <w:bCs/>
        </w:rPr>
      </w:pPr>
    </w:p>
    <w:p w14:paraId="32F6A50C" w14:textId="25D674B1" w:rsidR="00311DCB" w:rsidRDefault="00026471" w:rsidP="00311DCB">
      <w:pPr>
        <w:pStyle w:val="Body"/>
        <w:spacing w:after="0"/>
        <w:jc w:val="center"/>
        <w:rPr>
          <w:rFonts w:ascii="Arial" w:hAnsi="Arial" w:cs="Arial"/>
          <w:b/>
          <w:bCs/>
        </w:rPr>
      </w:pPr>
      <w:r w:rsidRPr="00026471">
        <w:rPr>
          <w:rFonts w:ascii="Arial" w:hAnsi="Arial" w:cs="Arial"/>
          <w:b/>
          <w:bCs/>
        </w:rPr>
        <w:t>Table 2. Record of the number of cases according to education level.</w:t>
      </w:r>
    </w:p>
    <w:p w14:paraId="2603E58E" w14:textId="77777777" w:rsidR="00026471" w:rsidRPr="00711405" w:rsidRDefault="00026471" w:rsidP="00311DCB">
      <w:pPr>
        <w:pStyle w:val="Body"/>
        <w:spacing w:after="0"/>
        <w:jc w:val="center"/>
        <w:rPr>
          <w:rFonts w:ascii="Arial" w:hAnsi="Arial" w:cs="Arial"/>
          <w:b/>
          <w:bCs/>
        </w:rPr>
      </w:pP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4097"/>
        <w:gridCol w:w="1488"/>
        <w:gridCol w:w="2623"/>
      </w:tblGrid>
      <w:tr w:rsidR="00A427BA" w:rsidRPr="00561BE4" w14:paraId="4A2759F2" w14:textId="77777777" w:rsidTr="00946D22">
        <w:trPr>
          <w:jc w:val="center"/>
        </w:trPr>
        <w:tc>
          <w:tcPr>
            <w:tcW w:w="4253" w:type="dxa"/>
            <w:tcBorders>
              <w:bottom w:val="single" w:sz="4" w:space="0" w:color="000000"/>
              <w:right w:val="nil"/>
            </w:tcBorders>
          </w:tcPr>
          <w:p w14:paraId="103FA230" w14:textId="77777777" w:rsidR="00A427BA" w:rsidRPr="00561BE4" w:rsidRDefault="00A427BA" w:rsidP="00946D22">
            <w:pPr>
              <w:jc w:val="center"/>
              <w:rPr>
                <w:rFonts w:ascii="Arial" w:hAnsi="Arial" w:cs="Arial"/>
                <w:sz w:val="20"/>
                <w:szCs w:val="20"/>
              </w:rPr>
            </w:pPr>
            <w:r w:rsidRPr="00561BE4">
              <w:rPr>
                <w:rFonts w:ascii="Arial" w:hAnsi="Arial" w:cs="Arial"/>
                <w:b/>
                <w:bCs/>
                <w:sz w:val="20"/>
                <w:szCs w:val="20"/>
              </w:rPr>
              <w:t>CASES ACCORDING TO EDUCATION LEVEL</w:t>
            </w:r>
          </w:p>
        </w:tc>
        <w:tc>
          <w:tcPr>
            <w:tcW w:w="1554" w:type="dxa"/>
            <w:tcBorders>
              <w:left w:val="nil"/>
              <w:bottom w:val="single" w:sz="4" w:space="0" w:color="000000"/>
              <w:right w:val="nil"/>
            </w:tcBorders>
          </w:tcPr>
          <w:p w14:paraId="743DCBCC" w14:textId="77777777" w:rsidR="00A427BA" w:rsidRPr="00561BE4" w:rsidRDefault="00A427BA" w:rsidP="00946D22">
            <w:pPr>
              <w:jc w:val="center"/>
              <w:rPr>
                <w:rFonts w:ascii="Arial" w:hAnsi="Arial" w:cs="Arial"/>
                <w:sz w:val="20"/>
                <w:szCs w:val="20"/>
              </w:rPr>
            </w:pPr>
            <w:r w:rsidRPr="00561BE4">
              <w:rPr>
                <w:rFonts w:ascii="Arial" w:hAnsi="Arial" w:cs="Arial"/>
                <w:sz w:val="20"/>
                <w:szCs w:val="20"/>
              </w:rPr>
              <w:t>Nº</w:t>
            </w:r>
          </w:p>
        </w:tc>
        <w:tc>
          <w:tcPr>
            <w:tcW w:w="2687" w:type="dxa"/>
            <w:tcBorders>
              <w:left w:val="nil"/>
              <w:bottom w:val="single" w:sz="4" w:space="0" w:color="000000"/>
            </w:tcBorders>
          </w:tcPr>
          <w:p w14:paraId="01C05271" w14:textId="25B69EDA" w:rsidR="00A427BA" w:rsidRPr="00561BE4" w:rsidRDefault="00365772" w:rsidP="00946D22">
            <w:pPr>
              <w:jc w:val="center"/>
              <w:rPr>
                <w:rFonts w:ascii="Arial" w:hAnsi="Arial" w:cs="Arial"/>
                <w:sz w:val="20"/>
                <w:szCs w:val="20"/>
              </w:rPr>
            </w:pPr>
            <w:r>
              <w:rPr>
                <w:rFonts w:ascii="Arial" w:hAnsi="Arial" w:cs="Arial"/>
                <w:b/>
                <w:bCs/>
                <w:color w:val="000000"/>
                <w:sz w:val="20"/>
                <w:szCs w:val="20"/>
                <w:lang w:eastAsia="pt-BR"/>
              </w:rPr>
              <w:t>PERCENTAGE</w:t>
            </w:r>
            <w:r w:rsidR="00A427BA" w:rsidRPr="00561BE4">
              <w:rPr>
                <w:rFonts w:ascii="Arial" w:hAnsi="Arial" w:cs="Arial"/>
                <w:b/>
                <w:bCs/>
                <w:color w:val="000000"/>
                <w:sz w:val="20"/>
                <w:szCs w:val="20"/>
                <w:lang w:eastAsia="pt-BR"/>
              </w:rPr>
              <w:t xml:space="preserve"> (%)</w:t>
            </w:r>
          </w:p>
        </w:tc>
      </w:tr>
      <w:tr w:rsidR="00A427BA" w:rsidRPr="00561BE4" w14:paraId="562E92E9" w14:textId="77777777" w:rsidTr="00946D22">
        <w:trPr>
          <w:jc w:val="center"/>
        </w:trPr>
        <w:tc>
          <w:tcPr>
            <w:tcW w:w="4253" w:type="dxa"/>
            <w:tcBorders>
              <w:bottom w:val="nil"/>
              <w:right w:val="nil"/>
            </w:tcBorders>
          </w:tcPr>
          <w:p w14:paraId="62B268CA" w14:textId="77777777" w:rsidR="00A427BA" w:rsidRPr="00561BE4" w:rsidRDefault="00A427BA" w:rsidP="00946D22">
            <w:pPr>
              <w:jc w:val="center"/>
              <w:rPr>
                <w:rFonts w:ascii="Arial" w:hAnsi="Arial" w:cs="Arial"/>
                <w:sz w:val="20"/>
                <w:szCs w:val="20"/>
              </w:rPr>
            </w:pPr>
            <w:r w:rsidRPr="00561BE4">
              <w:rPr>
                <w:rFonts w:ascii="Arial" w:hAnsi="Arial" w:cs="Arial"/>
                <w:sz w:val="20"/>
                <w:szCs w:val="20"/>
              </w:rPr>
              <w:t>Unknown/Blank</w:t>
            </w:r>
          </w:p>
        </w:tc>
        <w:tc>
          <w:tcPr>
            <w:tcW w:w="1554" w:type="dxa"/>
            <w:tcBorders>
              <w:left w:val="nil"/>
              <w:bottom w:val="nil"/>
              <w:right w:val="nil"/>
            </w:tcBorders>
          </w:tcPr>
          <w:p w14:paraId="716AEFFC" w14:textId="77777777" w:rsidR="00A427BA" w:rsidRPr="00561BE4" w:rsidRDefault="00A427BA" w:rsidP="00946D22">
            <w:pPr>
              <w:jc w:val="center"/>
              <w:rPr>
                <w:rFonts w:ascii="Arial" w:hAnsi="Arial" w:cs="Arial"/>
                <w:sz w:val="20"/>
                <w:szCs w:val="20"/>
              </w:rPr>
            </w:pPr>
            <w:r w:rsidRPr="00561BE4">
              <w:rPr>
                <w:rFonts w:ascii="Arial" w:hAnsi="Arial" w:cs="Arial"/>
                <w:sz w:val="20"/>
                <w:szCs w:val="20"/>
              </w:rPr>
              <w:t>13</w:t>
            </w:r>
          </w:p>
        </w:tc>
        <w:tc>
          <w:tcPr>
            <w:tcW w:w="2687" w:type="dxa"/>
            <w:tcBorders>
              <w:left w:val="nil"/>
              <w:bottom w:val="nil"/>
            </w:tcBorders>
          </w:tcPr>
          <w:p w14:paraId="2E859840" w14:textId="77777777" w:rsidR="00A427BA" w:rsidRPr="00561BE4" w:rsidRDefault="00A427BA" w:rsidP="00946D22">
            <w:pPr>
              <w:jc w:val="center"/>
              <w:rPr>
                <w:rFonts w:ascii="Arial" w:hAnsi="Arial" w:cs="Arial"/>
                <w:sz w:val="20"/>
                <w:szCs w:val="20"/>
              </w:rPr>
            </w:pPr>
            <w:r w:rsidRPr="00561BE4">
              <w:rPr>
                <w:rFonts w:ascii="Arial" w:hAnsi="Arial" w:cs="Arial"/>
                <w:sz w:val="20"/>
                <w:szCs w:val="20"/>
              </w:rPr>
              <w:t>23,0</w:t>
            </w:r>
          </w:p>
        </w:tc>
      </w:tr>
      <w:tr w:rsidR="00A427BA" w:rsidRPr="00561BE4" w14:paraId="6EDB9640" w14:textId="77777777" w:rsidTr="00946D22">
        <w:trPr>
          <w:jc w:val="center"/>
        </w:trPr>
        <w:tc>
          <w:tcPr>
            <w:tcW w:w="4253" w:type="dxa"/>
            <w:tcBorders>
              <w:top w:val="nil"/>
              <w:bottom w:val="nil"/>
              <w:right w:val="nil"/>
            </w:tcBorders>
          </w:tcPr>
          <w:p w14:paraId="53C6CF4F" w14:textId="77777777" w:rsidR="00A427BA" w:rsidRPr="00561BE4" w:rsidRDefault="00A427BA" w:rsidP="00946D22">
            <w:pPr>
              <w:jc w:val="center"/>
              <w:rPr>
                <w:rFonts w:ascii="Arial" w:hAnsi="Arial" w:cs="Arial"/>
                <w:sz w:val="20"/>
                <w:szCs w:val="20"/>
              </w:rPr>
            </w:pPr>
            <w:r w:rsidRPr="00561BE4">
              <w:rPr>
                <w:rFonts w:ascii="Arial" w:hAnsi="Arial" w:cs="Arial"/>
                <w:sz w:val="20"/>
                <w:szCs w:val="20"/>
              </w:rPr>
              <w:t>Illiterate</w:t>
            </w:r>
          </w:p>
        </w:tc>
        <w:tc>
          <w:tcPr>
            <w:tcW w:w="1554" w:type="dxa"/>
            <w:tcBorders>
              <w:top w:val="nil"/>
              <w:left w:val="nil"/>
              <w:bottom w:val="nil"/>
              <w:right w:val="nil"/>
            </w:tcBorders>
          </w:tcPr>
          <w:p w14:paraId="0D0BDB4D" w14:textId="77777777" w:rsidR="00A427BA" w:rsidRPr="00561BE4" w:rsidRDefault="00A427BA" w:rsidP="00946D22">
            <w:pPr>
              <w:jc w:val="center"/>
              <w:rPr>
                <w:rFonts w:ascii="Arial" w:hAnsi="Arial" w:cs="Arial"/>
                <w:sz w:val="20"/>
                <w:szCs w:val="20"/>
              </w:rPr>
            </w:pPr>
            <w:r w:rsidRPr="00561BE4">
              <w:rPr>
                <w:rFonts w:ascii="Arial" w:hAnsi="Arial" w:cs="Arial"/>
                <w:sz w:val="20"/>
                <w:szCs w:val="20"/>
              </w:rPr>
              <w:t>7</w:t>
            </w:r>
          </w:p>
        </w:tc>
        <w:tc>
          <w:tcPr>
            <w:tcW w:w="2687" w:type="dxa"/>
            <w:tcBorders>
              <w:top w:val="nil"/>
              <w:left w:val="nil"/>
              <w:bottom w:val="nil"/>
            </w:tcBorders>
          </w:tcPr>
          <w:p w14:paraId="1AE8C508" w14:textId="77777777" w:rsidR="00A427BA" w:rsidRPr="00561BE4" w:rsidRDefault="00A427BA" w:rsidP="00946D22">
            <w:pPr>
              <w:jc w:val="center"/>
              <w:rPr>
                <w:rFonts w:ascii="Arial" w:hAnsi="Arial" w:cs="Arial"/>
                <w:sz w:val="20"/>
                <w:szCs w:val="20"/>
              </w:rPr>
            </w:pPr>
            <w:r w:rsidRPr="00561BE4">
              <w:rPr>
                <w:rFonts w:ascii="Arial" w:hAnsi="Arial" w:cs="Arial"/>
                <w:sz w:val="20"/>
                <w:szCs w:val="20"/>
              </w:rPr>
              <w:t>13,0</w:t>
            </w:r>
          </w:p>
        </w:tc>
      </w:tr>
      <w:tr w:rsidR="00A427BA" w:rsidRPr="00561BE4" w14:paraId="43338362" w14:textId="77777777" w:rsidTr="00946D22">
        <w:trPr>
          <w:jc w:val="center"/>
        </w:trPr>
        <w:tc>
          <w:tcPr>
            <w:tcW w:w="4253" w:type="dxa"/>
            <w:tcBorders>
              <w:top w:val="nil"/>
              <w:bottom w:val="nil"/>
              <w:right w:val="nil"/>
            </w:tcBorders>
          </w:tcPr>
          <w:p w14:paraId="792006FD" w14:textId="77777777" w:rsidR="00A427BA" w:rsidRPr="00561BE4" w:rsidRDefault="00A427BA" w:rsidP="00946D22">
            <w:pPr>
              <w:jc w:val="center"/>
              <w:rPr>
                <w:rFonts w:ascii="Arial" w:hAnsi="Arial" w:cs="Arial"/>
                <w:sz w:val="20"/>
                <w:szCs w:val="20"/>
              </w:rPr>
            </w:pPr>
            <w:r w:rsidRPr="00561BE4">
              <w:rPr>
                <w:rFonts w:ascii="Arial" w:hAnsi="Arial" w:cs="Arial"/>
                <w:sz w:val="20"/>
                <w:szCs w:val="20"/>
              </w:rPr>
              <w:t>Incomplete primary education</w:t>
            </w:r>
          </w:p>
        </w:tc>
        <w:tc>
          <w:tcPr>
            <w:tcW w:w="1554" w:type="dxa"/>
            <w:tcBorders>
              <w:top w:val="nil"/>
              <w:left w:val="nil"/>
              <w:bottom w:val="nil"/>
              <w:right w:val="nil"/>
            </w:tcBorders>
          </w:tcPr>
          <w:p w14:paraId="5CB90DEC" w14:textId="77777777" w:rsidR="00A427BA" w:rsidRPr="00561BE4" w:rsidRDefault="00A427BA" w:rsidP="00946D22">
            <w:pPr>
              <w:jc w:val="center"/>
              <w:rPr>
                <w:rFonts w:ascii="Arial" w:hAnsi="Arial" w:cs="Arial"/>
                <w:sz w:val="20"/>
                <w:szCs w:val="20"/>
              </w:rPr>
            </w:pPr>
            <w:r w:rsidRPr="00561BE4">
              <w:rPr>
                <w:rFonts w:ascii="Arial" w:hAnsi="Arial" w:cs="Arial"/>
                <w:sz w:val="20"/>
                <w:szCs w:val="20"/>
              </w:rPr>
              <w:t>25</w:t>
            </w:r>
          </w:p>
        </w:tc>
        <w:tc>
          <w:tcPr>
            <w:tcW w:w="2687" w:type="dxa"/>
            <w:tcBorders>
              <w:top w:val="nil"/>
              <w:left w:val="nil"/>
              <w:bottom w:val="nil"/>
            </w:tcBorders>
          </w:tcPr>
          <w:p w14:paraId="4257F3DF" w14:textId="77777777" w:rsidR="00A427BA" w:rsidRPr="00561BE4" w:rsidRDefault="00A427BA" w:rsidP="00946D22">
            <w:pPr>
              <w:jc w:val="center"/>
              <w:rPr>
                <w:rFonts w:ascii="Arial" w:hAnsi="Arial" w:cs="Arial"/>
                <w:sz w:val="20"/>
                <w:szCs w:val="20"/>
              </w:rPr>
            </w:pPr>
            <w:r w:rsidRPr="00561BE4">
              <w:rPr>
                <w:rFonts w:ascii="Arial" w:hAnsi="Arial" w:cs="Arial"/>
                <w:sz w:val="20"/>
                <w:szCs w:val="20"/>
              </w:rPr>
              <w:t>45,0</w:t>
            </w:r>
          </w:p>
        </w:tc>
      </w:tr>
      <w:tr w:rsidR="00A427BA" w:rsidRPr="00561BE4" w14:paraId="25EF20FB" w14:textId="77777777" w:rsidTr="00946D22">
        <w:trPr>
          <w:trHeight w:val="336"/>
          <w:jc w:val="center"/>
        </w:trPr>
        <w:tc>
          <w:tcPr>
            <w:tcW w:w="4253" w:type="dxa"/>
            <w:tcBorders>
              <w:top w:val="nil"/>
              <w:bottom w:val="nil"/>
              <w:right w:val="nil"/>
            </w:tcBorders>
          </w:tcPr>
          <w:p w14:paraId="2A442A7C" w14:textId="77777777" w:rsidR="00A427BA" w:rsidRPr="00561BE4" w:rsidRDefault="00A427BA" w:rsidP="00946D22">
            <w:pPr>
              <w:jc w:val="center"/>
              <w:rPr>
                <w:rFonts w:ascii="Arial" w:hAnsi="Arial" w:cs="Arial"/>
                <w:sz w:val="20"/>
                <w:szCs w:val="20"/>
              </w:rPr>
            </w:pPr>
            <w:r w:rsidRPr="00561BE4">
              <w:rPr>
                <w:rFonts w:ascii="Arial" w:hAnsi="Arial" w:cs="Arial"/>
                <w:sz w:val="20"/>
                <w:szCs w:val="20"/>
              </w:rPr>
              <w:t>Complete primary education</w:t>
            </w:r>
          </w:p>
        </w:tc>
        <w:tc>
          <w:tcPr>
            <w:tcW w:w="1554" w:type="dxa"/>
            <w:tcBorders>
              <w:top w:val="nil"/>
              <w:left w:val="nil"/>
              <w:bottom w:val="nil"/>
              <w:right w:val="nil"/>
            </w:tcBorders>
          </w:tcPr>
          <w:p w14:paraId="141E8F65" w14:textId="77777777" w:rsidR="00A427BA" w:rsidRPr="00561BE4" w:rsidRDefault="00A427BA" w:rsidP="00946D22">
            <w:pPr>
              <w:jc w:val="center"/>
              <w:rPr>
                <w:rFonts w:ascii="Arial" w:hAnsi="Arial" w:cs="Arial"/>
                <w:sz w:val="20"/>
                <w:szCs w:val="20"/>
              </w:rPr>
            </w:pPr>
            <w:r w:rsidRPr="00561BE4">
              <w:rPr>
                <w:rFonts w:ascii="Arial" w:hAnsi="Arial" w:cs="Arial"/>
                <w:sz w:val="20"/>
                <w:szCs w:val="20"/>
              </w:rPr>
              <w:t>5</w:t>
            </w:r>
          </w:p>
        </w:tc>
        <w:tc>
          <w:tcPr>
            <w:tcW w:w="2687" w:type="dxa"/>
            <w:tcBorders>
              <w:top w:val="nil"/>
              <w:left w:val="nil"/>
              <w:bottom w:val="nil"/>
            </w:tcBorders>
          </w:tcPr>
          <w:p w14:paraId="736FDFF1" w14:textId="77777777" w:rsidR="00A427BA" w:rsidRPr="00561BE4" w:rsidRDefault="00A427BA" w:rsidP="00946D22">
            <w:pPr>
              <w:jc w:val="center"/>
              <w:rPr>
                <w:rFonts w:ascii="Arial" w:hAnsi="Arial" w:cs="Arial"/>
                <w:sz w:val="20"/>
                <w:szCs w:val="20"/>
              </w:rPr>
            </w:pPr>
            <w:r w:rsidRPr="00561BE4">
              <w:rPr>
                <w:rFonts w:ascii="Arial" w:hAnsi="Arial" w:cs="Arial"/>
                <w:sz w:val="20"/>
                <w:szCs w:val="20"/>
              </w:rPr>
              <w:t>9,0</w:t>
            </w:r>
          </w:p>
        </w:tc>
      </w:tr>
      <w:tr w:rsidR="00A427BA" w:rsidRPr="00561BE4" w14:paraId="79D6D9C6" w14:textId="77777777" w:rsidTr="00946D22">
        <w:trPr>
          <w:jc w:val="center"/>
        </w:trPr>
        <w:tc>
          <w:tcPr>
            <w:tcW w:w="4253" w:type="dxa"/>
            <w:tcBorders>
              <w:top w:val="nil"/>
              <w:bottom w:val="nil"/>
              <w:right w:val="nil"/>
            </w:tcBorders>
          </w:tcPr>
          <w:p w14:paraId="61D0FD8C" w14:textId="77777777" w:rsidR="00A427BA" w:rsidRPr="00561BE4" w:rsidRDefault="00A427BA" w:rsidP="00946D22">
            <w:pPr>
              <w:jc w:val="center"/>
              <w:rPr>
                <w:rFonts w:ascii="Arial" w:hAnsi="Arial" w:cs="Arial"/>
                <w:sz w:val="20"/>
                <w:szCs w:val="20"/>
              </w:rPr>
            </w:pPr>
            <w:r w:rsidRPr="00561BE4">
              <w:rPr>
                <w:rFonts w:ascii="Arial" w:hAnsi="Arial" w:cs="Arial"/>
                <w:sz w:val="20"/>
                <w:szCs w:val="20"/>
              </w:rPr>
              <w:t>Incomplete secondary education</w:t>
            </w:r>
          </w:p>
        </w:tc>
        <w:tc>
          <w:tcPr>
            <w:tcW w:w="1554" w:type="dxa"/>
            <w:tcBorders>
              <w:top w:val="nil"/>
              <w:left w:val="nil"/>
              <w:bottom w:val="nil"/>
              <w:right w:val="nil"/>
            </w:tcBorders>
          </w:tcPr>
          <w:p w14:paraId="299BBED3" w14:textId="77777777" w:rsidR="00A427BA" w:rsidRPr="00561BE4" w:rsidRDefault="00A427BA" w:rsidP="00946D22">
            <w:pPr>
              <w:jc w:val="center"/>
              <w:rPr>
                <w:rFonts w:ascii="Arial" w:hAnsi="Arial" w:cs="Arial"/>
                <w:sz w:val="20"/>
                <w:szCs w:val="20"/>
              </w:rPr>
            </w:pPr>
            <w:r w:rsidRPr="00561BE4">
              <w:rPr>
                <w:rFonts w:ascii="Arial" w:hAnsi="Arial" w:cs="Arial"/>
                <w:sz w:val="20"/>
                <w:szCs w:val="20"/>
              </w:rPr>
              <w:t>2</w:t>
            </w:r>
          </w:p>
        </w:tc>
        <w:tc>
          <w:tcPr>
            <w:tcW w:w="2687" w:type="dxa"/>
            <w:tcBorders>
              <w:top w:val="nil"/>
              <w:left w:val="nil"/>
              <w:bottom w:val="nil"/>
            </w:tcBorders>
          </w:tcPr>
          <w:p w14:paraId="56F46BC2" w14:textId="77777777" w:rsidR="00A427BA" w:rsidRPr="00561BE4" w:rsidRDefault="00A427BA" w:rsidP="00946D22">
            <w:pPr>
              <w:jc w:val="center"/>
              <w:rPr>
                <w:rFonts w:ascii="Arial" w:hAnsi="Arial" w:cs="Arial"/>
                <w:sz w:val="20"/>
                <w:szCs w:val="20"/>
              </w:rPr>
            </w:pPr>
            <w:r w:rsidRPr="00561BE4">
              <w:rPr>
                <w:rFonts w:ascii="Arial" w:hAnsi="Arial" w:cs="Arial"/>
                <w:sz w:val="20"/>
                <w:szCs w:val="20"/>
              </w:rPr>
              <w:t>4,0</w:t>
            </w:r>
          </w:p>
        </w:tc>
      </w:tr>
      <w:tr w:rsidR="00A427BA" w:rsidRPr="00561BE4" w14:paraId="1CA6AB16" w14:textId="77777777" w:rsidTr="00946D22">
        <w:trPr>
          <w:jc w:val="center"/>
        </w:trPr>
        <w:tc>
          <w:tcPr>
            <w:tcW w:w="4253" w:type="dxa"/>
            <w:tcBorders>
              <w:top w:val="nil"/>
              <w:right w:val="nil"/>
            </w:tcBorders>
          </w:tcPr>
          <w:p w14:paraId="426D7B23" w14:textId="77777777" w:rsidR="00A427BA" w:rsidRPr="00561BE4" w:rsidRDefault="00A427BA" w:rsidP="00946D22">
            <w:pPr>
              <w:jc w:val="center"/>
              <w:rPr>
                <w:rFonts w:ascii="Arial" w:hAnsi="Arial" w:cs="Arial"/>
                <w:sz w:val="20"/>
                <w:szCs w:val="20"/>
              </w:rPr>
            </w:pPr>
            <w:r w:rsidRPr="00561BE4">
              <w:rPr>
                <w:rFonts w:ascii="Arial" w:hAnsi="Arial" w:cs="Arial"/>
                <w:sz w:val="20"/>
                <w:szCs w:val="20"/>
              </w:rPr>
              <w:t>Complete secondary education</w:t>
            </w:r>
          </w:p>
        </w:tc>
        <w:tc>
          <w:tcPr>
            <w:tcW w:w="1554" w:type="dxa"/>
            <w:tcBorders>
              <w:top w:val="nil"/>
              <w:left w:val="nil"/>
              <w:right w:val="nil"/>
            </w:tcBorders>
          </w:tcPr>
          <w:p w14:paraId="7D19D171" w14:textId="77777777" w:rsidR="00A427BA" w:rsidRPr="00561BE4" w:rsidRDefault="00A427BA" w:rsidP="00946D22">
            <w:pPr>
              <w:jc w:val="center"/>
              <w:rPr>
                <w:rFonts w:ascii="Arial" w:hAnsi="Arial" w:cs="Arial"/>
                <w:sz w:val="20"/>
                <w:szCs w:val="20"/>
              </w:rPr>
            </w:pPr>
            <w:r w:rsidRPr="00561BE4">
              <w:rPr>
                <w:rFonts w:ascii="Arial" w:hAnsi="Arial" w:cs="Arial"/>
                <w:sz w:val="20"/>
                <w:szCs w:val="20"/>
              </w:rPr>
              <w:t>4</w:t>
            </w:r>
          </w:p>
        </w:tc>
        <w:tc>
          <w:tcPr>
            <w:tcW w:w="2687" w:type="dxa"/>
            <w:tcBorders>
              <w:top w:val="nil"/>
              <w:left w:val="nil"/>
            </w:tcBorders>
          </w:tcPr>
          <w:p w14:paraId="6284D32F" w14:textId="77777777" w:rsidR="00A427BA" w:rsidRPr="00561BE4" w:rsidRDefault="00A427BA" w:rsidP="00946D22">
            <w:pPr>
              <w:jc w:val="center"/>
              <w:rPr>
                <w:rFonts w:ascii="Arial" w:hAnsi="Arial" w:cs="Arial"/>
                <w:sz w:val="20"/>
                <w:szCs w:val="20"/>
              </w:rPr>
            </w:pPr>
            <w:r w:rsidRPr="00561BE4">
              <w:rPr>
                <w:rFonts w:ascii="Arial" w:hAnsi="Arial" w:cs="Arial"/>
                <w:sz w:val="20"/>
                <w:szCs w:val="20"/>
              </w:rPr>
              <w:t>7,0</w:t>
            </w:r>
          </w:p>
        </w:tc>
      </w:tr>
    </w:tbl>
    <w:p w14:paraId="29FDC3FD" w14:textId="6F04A88D" w:rsidR="00311DCB" w:rsidRDefault="00026471" w:rsidP="00311DCB">
      <w:pPr>
        <w:pStyle w:val="Body"/>
        <w:rPr>
          <w:rFonts w:ascii="Arial" w:hAnsi="Arial" w:cs="Arial"/>
          <w:lang w:val="pt-BR"/>
        </w:rPr>
      </w:pPr>
      <w:r w:rsidRPr="00026471">
        <w:rPr>
          <w:rFonts w:ascii="Arial" w:hAnsi="Arial" w:cs="Arial"/>
          <w:b/>
          <w:bCs/>
          <w:sz w:val="18"/>
          <w:szCs w:val="18"/>
        </w:rPr>
        <w:t>Source: Author's own work</w:t>
      </w:r>
    </w:p>
    <w:p w14:paraId="30593EF1" w14:textId="3DFFED23" w:rsidR="00C11E4F" w:rsidRDefault="00026471" w:rsidP="00B234F4">
      <w:pPr>
        <w:pStyle w:val="Body"/>
        <w:spacing w:after="0"/>
        <w:ind w:firstLine="709"/>
        <w:rPr>
          <w:rFonts w:ascii="Arial" w:hAnsi="Arial" w:cs="Arial"/>
          <w:lang w:val="pt-BR"/>
        </w:rPr>
      </w:pPr>
      <w:r w:rsidRPr="00026471">
        <w:rPr>
          <w:rFonts w:ascii="Arial" w:hAnsi="Arial" w:cs="Arial"/>
          <w:lang w:val="pt-BR"/>
        </w:rPr>
        <w:t>Oliveira (2018) identified a predominance of patients with incomplete primary education, as evidenced in other studies with similar designs conducted in Brazil. Ferreira (2013) reinforces this perspective by highlighting that low education levels act as a marker of precarious living conditions and unequal access to information, consumer goods, and health services, which increases vulnerability to tuberculosis. Therefore, it is understood that the level of education favors the acquisition of knowledge about the disease process, being essential for coping with the disease and for adherence to treatment, directly reflecting on the effectiveness of tuberculosis control actions.</w:t>
      </w:r>
    </w:p>
    <w:p w14:paraId="29AE5FE8" w14:textId="77777777" w:rsidR="00026471" w:rsidRDefault="00026471" w:rsidP="00B234F4">
      <w:pPr>
        <w:pStyle w:val="Body"/>
        <w:spacing w:after="0"/>
        <w:ind w:firstLine="709"/>
        <w:rPr>
          <w:rFonts w:ascii="Arial" w:hAnsi="Arial" w:cs="Arial"/>
          <w:lang w:val="pt-BR"/>
        </w:rPr>
      </w:pPr>
    </w:p>
    <w:p w14:paraId="70F4C932" w14:textId="0738C34B" w:rsidR="00C11E4F" w:rsidRDefault="00C11E4F" w:rsidP="00C11E4F">
      <w:pPr>
        <w:pStyle w:val="Body"/>
        <w:spacing w:after="0"/>
        <w:rPr>
          <w:rFonts w:ascii="Arial" w:hAnsi="Arial" w:cs="Arial"/>
          <w:lang w:val="pt-BR"/>
        </w:rPr>
      </w:pPr>
      <w:r>
        <w:rPr>
          <w:rFonts w:ascii="Arial" w:hAnsi="Arial" w:cs="Arial"/>
          <w:lang w:val="pt-BR"/>
        </w:rPr>
        <w:t xml:space="preserve">3.3 </w:t>
      </w:r>
      <w:r w:rsidR="00F42137">
        <w:rPr>
          <w:rFonts w:ascii="Arial" w:hAnsi="Arial" w:cs="Arial"/>
          <w:lang w:val="pt-BR"/>
        </w:rPr>
        <w:t>S</w:t>
      </w:r>
      <w:r w:rsidR="003A1799" w:rsidRPr="003A1799">
        <w:rPr>
          <w:rFonts w:ascii="Arial" w:hAnsi="Arial" w:cs="Arial"/>
          <w:lang w:val="pt-BR"/>
        </w:rPr>
        <w:t>pecific Vulnerable Populations</w:t>
      </w:r>
    </w:p>
    <w:p w14:paraId="6E4699CD" w14:textId="77777777" w:rsidR="00C11E4F" w:rsidRPr="00994AB3" w:rsidRDefault="00C11E4F" w:rsidP="00B234F4">
      <w:pPr>
        <w:pStyle w:val="Body"/>
        <w:spacing w:after="0"/>
        <w:ind w:firstLine="709"/>
        <w:rPr>
          <w:rFonts w:ascii="Arial" w:hAnsi="Arial" w:cs="Arial"/>
          <w:lang w:val="pt-BR"/>
        </w:rPr>
      </w:pPr>
    </w:p>
    <w:p w14:paraId="2E45C795" w14:textId="608FA09C" w:rsidR="00C11E4F" w:rsidRDefault="003A1799" w:rsidP="003646F9">
      <w:pPr>
        <w:pStyle w:val="Body"/>
        <w:spacing w:after="0"/>
        <w:ind w:firstLine="709"/>
        <w:rPr>
          <w:rFonts w:ascii="Arial" w:hAnsi="Arial" w:cs="Arial"/>
          <w:lang w:val="pt-BR"/>
        </w:rPr>
      </w:pPr>
      <w:r w:rsidRPr="003A1799">
        <w:rPr>
          <w:rFonts w:ascii="Arial" w:hAnsi="Arial" w:cs="Arial"/>
          <w:lang w:val="pt-BR"/>
        </w:rPr>
        <w:t>In Santa Quitéria-CE, a case of tuberculosis was confirmed among healthcare professionals and the homeless population. Although most notifications were negative, these cases highlight the need for surveillance and prevention measures targeted at vulnerable populations, such as healthcare workers and homeless people.</w:t>
      </w:r>
    </w:p>
    <w:p w14:paraId="76589B09" w14:textId="77777777" w:rsidR="003A1799" w:rsidRDefault="003A1799" w:rsidP="003646F9">
      <w:pPr>
        <w:pStyle w:val="Body"/>
        <w:spacing w:after="0"/>
        <w:ind w:firstLine="709"/>
        <w:rPr>
          <w:rFonts w:ascii="Arial" w:hAnsi="Arial" w:cs="Arial"/>
          <w:lang w:val="pt-BR"/>
        </w:rPr>
      </w:pPr>
    </w:p>
    <w:p w14:paraId="163C1679" w14:textId="26367C7F" w:rsidR="00C11E4F" w:rsidRDefault="00C11E4F" w:rsidP="00C11E4F">
      <w:pPr>
        <w:pStyle w:val="Body"/>
        <w:spacing w:after="0"/>
        <w:rPr>
          <w:rFonts w:ascii="Arial" w:hAnsi="Arial" w:cs="Arial"/>
          <w:lang w:val="pt-BR"/>
        </w:rPr>
      </w:pPr>
      <w:r>
        <w:rPr>
          <w:rFonts w:ascii="Arial" w:hAnsi="Arial" w:cs="Arial"/>
          <w:lang w:val="pt-BR"/>
        </w:rPr>
        <w:t xml:space="preserve">3.4 </w:t>
      </w:r>
      <w:r w:rsidR="003A1799" w:rsidRPr="003A1799">
        <w:rPr>
          <w:rFonts w:ascii="Arial" w:hAnsi="Arial" w:cs="Arial"/>
          <w:lang w:val="pt-BR"/>
        </w:rPr>
        <w:t>Entry Status and Treatment History</w:t>
      </w:r>
    </w:p>
    <w:p w14:paraId="18C1024E" w14:textId="77777777" w:rsidR="00C11E4F" w:rsidRPr="00994AB3" w:rsidRDefault="00C11E4F" w:rsidP="003646F9">
      <w:pPr>
        <w:pStyle w:val="Body"/>
        <w:spacing w:after="0"/>
        <w:ind w:firstLine="709"/>
        <w:rPr>
          <w:rFonts w:ascii="Arial" w:hAnsi="Arial" w:cs="Arial"/>
          <w:lang w:val="pt-BR"/>
        </w:rPr>
      </w:pPr>
    </w:p>
    <w:p w14:paraId="4C720C6B" w14:textId="163194FC" w:rsidR="00C11E4F" w:rsidRDefault="003A1799" w:rsidP="00B234F4">
      <w:pPr>
        <w:pStyle w:val="Body"/>
        <w:spacing w:after="0"/>
        <w:ind w:firstLine="709"/>
        <w:rPr>
          <w:rFonts w:ascii="Arial" w:hAnsi="Arial" w:cs="Arial"/>
          <w:lang w:val="pt-BR"/>
        </w:rPr>
      </w:pPr>
      <w:r w:rsidRPr="003A1799">
        <w:rPr>
          <w:rFonts w:ascii="Arial" w:hAnsi="Arial" w:cs="Arial"/>
          <w:lang w:val="pt-BR"/>
        </w:rPr>
        <w:lastRenderedPageBreak/>
        <w:t>Among the registered tuberculosis cases, 86% were new cases, 9% were relapses, and 5% were readmissions after treatment abandonment. These numbers of relapse cases, obtained in the current study period, are lower than those recorded by Vieira and Leitão (2005), who identified 17.8% retreatment in Fortaleza at that time. The difference between the analyzed periods may reflect advances in patient control and follow-up strategies over the years. Nevertheless, the data indicate that, although cases of relapse and re-entry may seem small in isolation, their sum represents a continuous challenge for tuberculosis control, highlighting the importance of adequate follow-up of patients during and after treatment, to avoid discontinuities that favor the worsening or spread of the disease (Giroti et al., 2010).</w:t>
      </w:r>
    </w:p>
    <w:p w14:paraId="3F09A242" w14:textId="77777777" w:rsidR="003A1799" w:rsidRDefault="003A1799" w:rsidP="00B234F4">
      <w:pPr>
        <w:pStyle w:val="Body"/>
        <w:spacing w:after="0"/>
        <w:ind w:firstLine="709"/>
        <w:rPr>
          <w:rFonts w:ascii="Arial" w:hAnsi="Arial" w:cs="Arial"/>
          <w:lang w:val="pt-BR"/>
        </w:rPr>
      </w:pPr>
    </w:p>
    <w:p w14:paraId="6A919720" w14:textId="19CA1C85" w:rsidR="00C11E4F" w:rsidRDefault="00C11E4F" w:rsidP="00C11E4F">
      <w:pPr>
        <w:pStyle w:val="Body"/>
        <w:spacing w:after="0"/>
        <w:rPr>
          <w:rFonts w:ascii="Arial" w:hAnsi="Arial" w:cs="Arial"/>
          <w:lang w:val="pt-BR"/>
        </w:rPr>
      </w:pPr>
      <w:r>
        <w:rPr>
          <w:rFonts w:ascii="Arial" w:hAnsi="Arial" w:cs="Arial"/>
          <w:lang w:val="pt-BR"/>
        </w:rPr>
        <w:t xml:space="preserve">3.5 </w:t>
      </w:r>
      <w:r w:rsidR="003A1799" w:rsidRPr="003A1799">
        <w:rPr>
          <w:rFonts w:ascii="Arial" w:hAnsi="Arial" w:cs="Arial"/>
          <w:lang w:val="pt-BR"/>
        </w:rPr>
        <w:t>Clinical Form of Tuberculosis</w:t>
      </w:r>
    </w:p>
    <w:p w14:paraId="5D77A59A" w14:textId="77777777" w:rsidR="00C11E4F" w:rsidRPr="00994AB3" w:rsidRDefault="00C11E4F" w:rsidP="00B234F4">
      <w:pPr>
        <w:pStyle w:val="Body"/>
        <w:spacing w:after="0"/>
        <w:ind w:firstLine="709"/>
        <w:rPr>
          <w:rFonts w:ascii="Arial" w:hAnsi="Arial" w:cs="Arial"/>
          <w:lang w:val="pt-BR"/>
        </w:rPr>
      </w:pPr>
    </w:p>
    <w:p w14:paraId="46406DBD" w14:textId="2C806451" w:rsidR="003A1799" w:rsidRPr="003A1799" w:rsidRDefault="003A1799" w:rsidP="003A1799">
      <w:pPr>
        <w:pStyle w:val="Body"/>
        <w:spacing w:after="0"/>
        <w:ind w:firstLine="709"/>
        <w:rPr>
          <w:rFonts w:ascii="Arial" w:hAnsi="Arial" w:cs="Arial"/>
          <w:lang w:val="pt-BR"/>
        </w:rPr>
      </w:pPr>
      <w:r w:rsidRPr="003A1799">
        <w:rPr>
          <w:rFonts w:ascii="Arial" w:hAnsi="Arial" w:cs="Arial"/>
          <w:lang w:val="pt-BR"/>
        </w:rPr>
        <w:t>The results are similar to those of Silva (2017), who, in the state of Maranhão, between 2005 and 2010, recorded 87.4% new cases, 6.1% relapses, and 6.5% re-entry after abandonment. Even so, the data indicate that, although the cases of relapse and re-entry individually seem reduced, their sum represents a continuous challenge for tuberculosis control, highlighting the importance of adequate follow-up of patients during and after treatment, to avoid discontinuities that favor the worsening or spread of the disease.</w:t>
      </w:r>
    </w:p>
    <w:p w14:paraId="30BED755" w14:textId="77777777" w:rsidR="003A1799" w:rsidRPr="003A1799" w:rsidRDefault="003A1799" w:rsidP="003A1799">
      <w:pPr>
        <w:pStyle w:val="Body"/>
        <w:spacing w:after="0"/>
        <w:ind w:firstLine="709"/>
        <w:rPr>
          <w:rFonts w:ascii="Arial" w:hAnsi="Arial" w:cs="Arial"/>
          <w:lang w:val="pt-BR"/>
        </w:rPr>
      </w:pPr>
      <w:r w:rsidRPr="003A1799">
        <w:rPr>
          <w:rFonts w:ascii="Arial" w:hAnsi="Arial" w:cs="Arial"/>
          <w:lang w:val="pt-BR"/>
        </w:rPr>
        <w:t>The pulmonary form of tuberculosis was the most prevalent in the present study, representing 87.1% of cases, with 49 infected patients. These data are in agreement with the literature of Carvalho et al. (2020), which states that pulmonary tuberculosis remains the most frequent manifestation, being responsible for more than 90% of the cases reported in various regions of the country. This predominance is related to the fact that the pulmonary form is the main route of transmission of the disease, which favors its identification and notification by health services. In addition, the most characteristic symptoms, such as persistent cough, fever and weight loss, make its recognition more immediate compared to extrapulmonary forms, which often present in a more nonspecific way or require complementary tests for diagnosis (Ministry of Health, 2020).</w:t>
      </w:r>
    </w:p>
    <w:p w14:paraId="5F90BFE8" w14:textId="2457B265" w:rsidR="00C11E4F" w:rsidRDefault="003A1799" w:rsidP="003A1799">
      <w:pPr>
        <w:pStyle w:val="Body"/>
        <w:spacing w:after="0"/>
        <w:ind w:firstLine="709"/>
        <w:rPr>
          <w:rFonts w:ascii="Arial" w:hAnsi="Arial" w:cs="Arial"/>
          <w:lang w:val="pt-BR"/>
        </w:rPr>
      </w:pPr>
      <w:r w:rsidRPr="003A1799">
        <w:rPr>
          <w:rFonts w:ascii="Arial" w:hAnsi="Arial" w:cs="Arial"/>
          <w:lang w:val="pt-BR"/>
        </w:rPr>
        <w:t>Although the 87% percentage found in this study is lower than that observed by Carvalho et al. (2020), it is important to reinforce active surveillance, early diagnosis and adequate treatment of the pulmonary form, especially due to its greater transmission potential.</w:t>
      </w:r>
    </w:p>
    <w:p w14:paraId="74100900" w14:textId="77777777" w:rsidR="003A1799" w:rsidRDefault="003A1799" w:rsidP="00C11E4F">
      <w:pPr>
        <w:pStyle w:val="Body"/>
        <w:spacing w:after="0"/>
        <w:rPr>
          <w:rFonts w:ascii="Arial" w:hAnsi="Arial" w:cs="Arial"/>
          <w:lang w:val="pt-BR"/>
        </w:rPr>
      </w:pPr>
    </w:p>
    <w:p w14:paraId="3473DD48" w14:textId="5F270192" w:rsidR="00C11E4F" w:rsidRDefault="00C11E4F" w:rsidP="00C11E4F">
      <w:pPr>
        <w:pStyle w:val="Body"/>
        <w:spacing w:after="0"/>
        <w:rPr>
          <w:rFonts w:ascii="Arial" w:hAnsi="Arial" w:cs="Arial"/>
          <w:lang w:val="pt-BR"/>
        </w:rPr>
      </w:pPr>
      <w:r>
        <w:rPr>
          <w:rFonts w:ascii="Arial" w:hAnsi="Arial" w:cs="Arial"/>
          <w:lang w:val="pt-BR"/>
        </w:rPr>
        <w:t xml:space="preserve">3.6 </w:t>
      </w:r>
      <w:r w:rsidR="003A1799" w:rsidRPr="003A1799">
        <w:rPr>
          <w:rFonts w:ascii="Arial" w:hAnsi="Arial" w:cs="Arial"/>
          <w:lang w:val="pt-BR"/>
        </w:rPr>
        <w:t>Case closure status</w:t>
      </w:r>
    </w:p>
    <w:p w14:paraId="713FA313" w14:textId="77777777" w:rsidR="00C11E4F" w:rsidRPr="00994AB3" w:rsidRDefault="00C11E4F" w:rsidP="003646F9">
      <w:pPr>
        <w:pStyle w:val="Body"/>
        <w:spacing w:after="0"/>
        <w:ind w:firstLine="709"/>
        <w:rPr>
          <w:rFonts w:ascii="Arial" w:hAnsi="Arial" w:cs="Arial"/>
          <w:lang w:val="pt-BR"/>
        </w:rPr>
      </w:pPr>
    </w:p>
    <w:p w14:paraId="3DF17357" w14:textId="77777777" w:rsidR="003A1799" w:rsidRPr="003A1799" w:rsidRDefault="003A1799" w:rsidP="00C91FED">
      <w:pPr>
        <w:pStyle w:val="Body"/>
        <w:spacing w:after="0"/>
        <w:rPr>
          <w:rFonts w:ascii="Arial" w:hAnsi="Arial" w:cs="Arial"/>
          <w:lang w:val="pt-BR"/>
        </w:rPr>
      </w:pPr>
      <w:r w:rsidRPr="003A1799">
        <w:rPr>
          <w:rFonts w:ascii="Arial" w:hAnsi="Arial" w:cs="Arial"/>
          <w:lang w:val="pt-BR"/>
        </w:rPr>
        <w:t>Most tuberculosis cases closed in the municipality of Santa Quitéria-CE ended in cure, 75% of the total analyzed. This percentage indicates a relatively positive performance in relation to therapeutic success, especially when compared to data from the Northeast region, where Silva (2022) reported a cure rate of 55%. On the other hand, treatment abandonment still represents a significant challenge for tuberculosis control in the region, with 21.7% of cases in the Northeast region not completing treatment adequately (Sousa, 2020).</w:t>
      </w:r>
    </w:p>
    <w:p w14:paraId="06CE0C2B" w14:textId="72E2A81E" w:rsidR="00C74261" w:rsidRDefault="003A1799" w:rsidP="00C91FED">
      <w:pPr>
        <w:pStyle w:val="Body"/>
        <w:spacing w:after="0"/>
        <w:rPr>
          <w:rFonts w:ascii="Arial" w:hAnsi="Arial" w:cs="Arial"/>
          <w:lang w:val="pt-BR"/>
        </w:rPr>
      </w:pPr>
      <w:r w:rsidRPr="003A1799">
        <w:rPr>
          <w:rFonts w:ascii="Arial" w:hAnsi="Arial" w:cs="Arial"/>
          <w:lang w:val="pt-BR"/>
        </w:rPr>
        <w:t>The trend observed by Jesus (2021) in the municipality of Ilhéus-BA reported a progressive increase in the proportion of cured cases between 2014 and 2018, ranging from 66.67% in 2016 to 77.61% in 2018. Regarding treatment abandonment, the average recorded in Ilhéus-BA was 18.30%, a percentage similar to that verified in Santa Quitéria-CE, indicating a common challenge faced by several municipalities with regard to therapeutic adherence. The performance of Santa Quitéria-CE, therefore, is within the positive parameters observed in other regions of the country, reflecting advances in patient follow-up and the effectiveness of tuberculosis control actions.</w:t>
      </w:r>
    </w:p>
    <w:p w14:paraId="79E8A30A" w14:textId="77777777" w:rsidR="003A1799" w:rsidRDefault="003A1799" w:rsidP="003A1799">
      <w:pPr>
        <w:pStyle w:val="Body"/>
        <w:spacing w:after="0"/>
        <w:ind w:firstLine="709"/>
        <w:rPr>
          <w:rFonts w:ascii="Arial" w:hAnsi="Arial" w:cs="Arial"/>
          <w:lang w:val="pt-BR"/>
        </w:rPr>
      </w:pPr>
    </w:p>
    <w:p w14:paraId="3F88B1FA" w14:textId="00AD7987" w:rsidR="00C74261" w:rsidRDefault="00C74261" w:rsidP="00C74261">
      <w:pPr>
        <w:pStyle w:val="Body"/>
        <w:spacing w:after="0"/>
        <w:rPr>
          <w:rFonts w:ascii="Arial" w:hAnsi="Arial" w:cs="Arial"/>
          <w:lang w:val="pt-BR"/>
        </w:rPr>
      </w:pPr>
      <w:r>
        <w:rPr>
          <w:rFonts w:ascii="Arial" w:hAnsi="Arial" w:cs="Arial"/>
          <w:lang w:val="pt-BR"/>
        </w:rPr>
        <w:t xml:space="preserve">3.7 </w:t>
      </w:r>
      <w:r w:rsidR="00861803">
        <w:rPr>
          <w:rFonts w:ascii="Arial" w:hAnsi="Arial" w:cs="Arial"/>
          <w:lang w:val="pt-BR"/>
        </w:rPr>
        <w:t>T</w:t>
      </w:r>
      <w:r w:rsidR="003A1799" w:rsidRPr="003A1799">
        <w:rPr>
          <w:rFonts w:ascii="Arial" w:hAnsi="Arial" w:cs="Arial"/>
          <w:lang w:val="pt-BR"/>
        </w:rPr>
        <w:t>uberculosis and Comorbidities</w:t>
      </w:r>
    </w:p>
    <w:p w14:paraId="6C709174" w14:textId="77777777" w:rsidR="00C74261" w:rsidRPr="00994AB3" w:rsidRDefault="00C74261" w:rsidP="003646F9">
      <w:pPr>
        <w:pStyle w:val="Body"/>
        <w:spacing w:after="0"/>
        <w:ind w:firstLine="709"/>
        <w:rPr>
          <w:rFonts w:ascii="Arial" w:hAnsi="Arial" w:cs="Arial"/>
          <w:lang w:val="pt-BR"/>
        </w:rPr>
      </w:pPr>
    </w:p>
    <w:p w14:paraId="3DE15A3B" w14:textId="223C5C98" w:rsidR="003A1799" w:rsidRPr="003A1799" w:rsidRDefault="003A1799" w:rsidP="003A1799">
      <w:pPr>
        <w:pStyle w:val="Body"/>
        <w:spacing w:after="0"/>
        <w:rPr>
          <w:rFonts w:ascii="Arial" w:hAnsi="Arial" w:cs="Arial"/>
        </w:rPr>
      </w:pPr>
      <w:r w:rsidRPr="003A1799">
        <w:rPr>
          <w:rFonts w:ascii="Arial" w:hAnsi="Arial" w:cs="Arial"/>
        </w:rPr>
        <w:t xml:space="preserve">Tuberculosis (TB) coinfection showed a low overall frequency, with a heterogeneous distribution among the comorbidities evaluated: 7% among individuals with diabetes (93% </w:t>
      </w:r>
      <w:r w:rsidRPr="003A1799">
        <w:rPr>
          <w:rFonts w:ascii="Arial" w:hAnsi="Arial" w:cs="Arial"/>
        </w:rPr>
        <w:lastRenderedPageBreak/>
        <w:t>without TB), 2% among individuals with mental disorders (98% without TB), and 5% among illicit drug users (93% without TB; 2% missing records). Higher percentages were observed among alcoholics (18%; 80% without TB; 2% missing records) and HIV-positive individuals (9%; 88% without TB; 4% not tested).</w:t>
      </w:r>
    </w:p>
    <w:p w14:paraId="094F6466" w14:textId="3F1C6E23" w:rsidR="003A1799" w:rsidRPr="003A1799" w:rsidRDefault="003A1799" w:rsidP="003A1799">
      <w:pPr>
        <w:pStyle w:val="Body"/>
        <w:spacing w:after="0"/>
        <w:rPr>
          <w:rFonts w:ascii="Arial" w:hAnsi="Arial" w:cs="Arial"/>
        </w:rPr>
      </w:pPr>
      <w:r w:rsidRPr="003A1799">
        <w:rPr>
          <w:rFonts w:ascii="Arial" w:hAnsi="Arial" w:cs="Arial"/>
        </w:rPr>
        <w:t>When observing the results of the present study, it is noticeable that they are consistent with the findings of (Basta</w:t>
      </w:r>
      <w:r w:rsidR="00F42137">
        <w:rPr>
          <w:rFonts w:ascii="Arial" w:hAnsi="Arial" w:cs="Arial"/>
        </w:rPr>
        <w:t xml:space="preserve">, </w:t>
      </w:r>
      <w:r w:rsidRPr="003A1799">
        <w:rPr>
          <w:rFonts w:ascii="Arial" w:hAnsi="Arial" w:cs="Arial"/>
        </w:rPr>
        <w:t>2013), who also identified a strong presence of comorbidities among people with tuberculosis. The author highlights the abusive use of alcohol (23.4%) and the consumption of illicit drugs (20.2%) as quite frequent conditions, in addition to important associations with smoking (28.4%), diabetes (11.3%) and HIV/AIDS (9.1%). The similarity between the data reinforces the idea that certain health conditions, such as alcoholism and HIV, represent significant risk factors for the development of tuberculosis, as also evidenced in the present study.</w:t>
      </w:r>
    </w:p>
    <w:p w14:paraId="45CB6429" w14:textId="0DE42BFD" w:rsidR="003A1799" w:rsidRPr="003A1799" w:rsidRDefault="003A1799" w:rsidP="003A1799">
      <w:pPr>
        <w:pStyle w:val="Body"/>
        <w:spacing w:after="0"/>
        <w:rPr>
          <w:rFonts w:ascii="Arial" w:hAnsi="Arial" w:cs="Arial"/>
        </w:rPr>
      </w:pPr>
      <w:r w:rsidRPr="003A1799">
        <w:rPr>
          <w:rFonts w:ascii="Arial" w:hAnsi="Arial" w:cs="Arial"/>
        </w:rPr>
        <w:t xml:space="preserve">Cunha (2021), in turn, also identified the association between alcoholism and tuberculosis: </w:t>
      </w:r>
      <w:r w:rsidR="00F42137">
        <w:rPr>
          <w:rFonts w:ascii="Arial" w:hAnsi="Arial" w:cs="Arial"/>
        </w:rPr>
        <w:t>I</w:t>
      </w:r>
      <w:r w:rsidRPr="003A1799">
        <w:rPr>
          <w:rFonts w:ascii="Arial" w:hAnsi="Arial" w:cs="Arial"/>
        </w:rPr>
        <w:t>n the present study, 18% of alcoholic individuals were diagnosed with TB, a significantly higher proportion than that observed in the other groups. Cunha also highlighted alcoholism as one of the most prevalent comorbidities (20.7%), frequently associated with the use of psychoactive substances. illicit substances, which can further increase the risk of exposure to and illness from tuberculosis.</w:t>
      </w:r>
    </w:p>
    <w:p w14:paraId="56738F02" w14:textId="675916B9" w:rsidR="003A1799" w:rsidRPr="003A1799" w:rsidRDefault="003A1799" w:rsidP="003A1799">
      <w:pPr>
        <w:pStyle w:val="Body"/>
        <w:spacing w:after="0"/>
        <w:rPr>
          <w:rFonts w:ascii="Arial" w:hAnsi="Arial" w:cs="Arial"/>
        </w:rPr>
      </w:pPr>
      <w:r w:rsidRPr="003A1799">
        <w:rPr>
          <w:rFonts w:ascii="Arial" w:hAnsi="Arial" w:cs="Arial"/>
        </w:rPr>
        <w:t>In light of this, the importance of a more attentive approach to health services, especially for vulnerable groups, becomes evident. Active tuberculosis screening strategies should be strengthened among people with a history of alcohol abuse and those living with HIV, as these were the groups with the highest observed association. Although less frequent, diabetes, illicit drug use, and mental disorders also deserve attention, as they can influence both the risk of illness and the response to treatment (</w:t>
      </w:r>
      <w:proofErr w:type="spellStart"/>
      <w:r w:rsidRPr="003A1799">
        <w:rPr>
          <w:rFonts w:ascii="Arial" w:hAnsi="Arial" w:cs="Arial"/>
        </w:rPr>
        <w:t>Cuday</w:t>
      </w:r>
      <w:proofErr w:type="spellEnd"/>
      <w:r w:rsidRPr="003A1799">
        <w:rPr>
          <w:rFonts w:ascii="Arial" w:hAnsi="Arial" w:cs="Arial"/>
        </w:rPr>
        <w:t>; Wilson; Cohen, 2020).</w:t>
      </w:r>
    </w:p>
    <w:p w14:paraId="4EF1AEE6" w14:textId="76D14A86" w:rsidR="006B7EAB" w:rsidRPr="0097725D" w:rsidRDefault="003A1799" w:rsidP="003A1799">
      <w:pPr>
        <w:pStyle w:val="Body"/>
        <w:spacing w:after="0"/>
        <w:rPr>
          <w:rFonts w:ascii="Arial" w:hAnsi="Arial"/>
          <w:bCs/>
        </w:rPr>
      </w:pPr>
      <w:r w:rsidRPr="003A1799">
        <w:rPr>
          <w:rFonts w:ascii="Arial" w:hAnsi="Arial" w:cs="Arial"/>
        </w:rPr>
        <w:t>Most of the tuberculosis cases closed in the municipality of Santa Quitéria-CE had laboratory confirmation, totaling 46 cases, which corresponds to 82% of the total analyzed. Based on the analysis by Pinto (2022), it is observed that large municipalities have higher percentages of laboratory confirmation, attributed, in part, to the implementation of the Rapid Tuberculosis Testing Network and the greater availability of specialized public services. However, these municipalities also face challenges such as lower coverage of primary care, which can compromise actions such as contact tracing and Directly Observed Treatment, resulting in worse therapeutic outcomes.</w:t>
      </w:r>
    </w:p>
    <w:p w14:paraId="4A135C95" w14:textId="77777777" w:rsidR="00C74261" w:rsidRPr="0097725D" w:rsidRDefault="00C74261" w:rsidP="003646F9">
      <w:pPr>
        <w:pStyle w:val="Body"/>
        <w:spacing w:after="0"/>
        <w:ind w:firstLine="709"/>
        <w:rPr>
          <w:rFonts w:ascii="Arial" w:hAnsi="Arial"/>
          <w:bCs/>
        </w:rPr>
      </w:pPr>
    </w:p>
    <w:p w14:paraId="50EACAFF" w14:textId="4396360E" w:rsidR="00C74261" w:rsidRDefault="00C74261" w:rsidP="00C74261">
      <w:pPr>
        <w:pStyle w:val="Body"/>
        <w:spacing w:after="0"/>
        <w:rPr>
          <w:rFonts w:ascii="Arial" w:hAnsi="Arial"/>
          <w:bCs/>
          <w:lang w:val="pt-BR"/>
        </w:rPr>
      </w:pPr>
      <w:r>
        <w:rPr>
          <w:rFonts w:ascii="Arial" w:hAnsi="Arial"/>
          <w:bCs/>
          <w:lang w:val="pt-BR"/>
        </w:rPr>
        <w:t xml:space="preserve">3.8 </w:t>
      </w:r>
      <w:r w:rsidR="003A1799" w:rsidRPr="003A1799">
        <w:rPr>
          <w:rFonts w:ascii="Arial" w:hAnsi="Arial"/>
          <w:bCs/>
          <w:lang w:val="pt-BR"/>
        </w:rPr>
        <w:t>Laboratory Diagnosis of Tuberculosis</w:t>
      </w:r>
    </w:p>
    <w:p w14:paraId="17E4029D" w14:textId="77777777" w:rsidR="00C74261" w:rsidRDefault="00C74261" w:rsidP="003646F9">
      <w:pPr>
        <w:pStyle w:val="Body"/>
        <w:spacing w:after="0"/>
        <w:ind w:firstLine="709"/>
        <w:rPr>
          <w:rFonts w:ascii="Arial" w:hAnsi="Arial"/>
          <w:bCs/>
          <w:lang w:val="pt-BR"/>
        </w:rPr>
      </w:pPr>
    </w:p>
    <w:p w14:paraId="5F775198" w14:textId="1CA7DA7C" w:rsidR="00C74261" w:rsidRDefault="003A1799" w:rsidP="003A1799">
      <w:pPr>
        <w:pStyle w:val="Body"/>
        <w:spacing w:after="0"/>
        <w:rPr>
          <w:rFonts w:ascii="Arial" w:hAnsi="Arial"/>
          <w:bCs/>
          <w:lang w:val="pt-BR"/>
        </w:rPr>
      </w:pPr>
      <w:r w:rsidRPr="003A1799">
        <w:rPr>
          <w:rFonts w:ascii="Arial" w:hAnsi="Arial"/>
          <w:bCs/>
          <w:lang w:val="pt-BR"/>
        </w:rPr>
        <w:t xml:space="preserve">In a study conducted by Costa (2019), only 60% of reported cases had a laboratory-confirmed diagnosis. This data is particularly relevant considering that laboratory diagnosis of tuberculosis is offered free of charge by the </w:t>
      </w:r>
      <w:r w:rsidR="00F42137">
        <w:rPr>
          <w:rFonts w:ascii="Arial" w:hAnsi="Arial"/>
          <w:bCs/>
          <w:lang w:val="pt-BR"/>
        </w:rPr>
        <w:t>Sistema Único de Saúde</w:t>
      </w:r>
      <w:r w:rsidRPr="003A1799">
        <w:rPr>
          <w:rFonts w:ascii="Arial" w:hAnsi="Arial"/>
          <w:bCs/>
          <w:lang w:val="pt-BR"/>
        </w:rPr>
        <w:t xml:space="preserve"> (SUS), according to guidelines from the Ministry of Health. The high rate of laboratory confirmation in Santa Quitéria-CE indicates a good functioning of the diagnostic network and local epidemiological surveillance, which contributes to a safer and more effective approach to the treatment of the disease.</w:t>
      </w:r>
    </w:p>
    <w:p w14:paraId="771F25ED" w14:textId="77777777" w:rsidR="003A1799" w:rsidRDefault="003A1799" w:rsidP="003646F9">
      <w:pPr>
        <w:pStyle w:val="Body"/>
        <w:spacing w:after="0"/>
        <w:ind w:firstLine="709"/>
        <w:rPr>
          <w:rFonts w:ascii="Arial" w:hAnsi="Arial"/>
          <w:bCs/>
          <w:lang w:val="pt-BR"/>
        </w:rPr>
      </w:pPr>
    </w:p>
    <w:p w14:paraId="0B68AF2B" w14:textId="1BAEEFCC" w:rsidR="00C74261" w:rsidRDefault="00C74261" w:rsidP="00C74261">
      <w:pPr>
        <w:pStyle w:val="Body"/>
        <w:spacing w:after="0"/>
        <w:rPr>
          <w:rFonts w:ascii="Arial" w:hAnsi="Arial"/>
          <w:bCs/>
          <w:lang w:val="pt-BR"/>
        </w:rPr>
      </w:pPr>
      <w:r>
        <w:rPr>
          <w:rFonts w:ascii="Arial" w:hAnsi="Arial"/>
          <w:bCs/>
          <w:lang w:val="pt-BR"/>
        </w:rPr>
        <w:t xml:space="preserve">3.8.1 </w:t>
      </w:r>
      <w:r w:rsidR="003A1799" w:rsidRPr="003A1799">
        <w:rPr>
          <w:rFonts w:ascii="Arial" w:hAnsi="Arial"/>
          <w:bCs/>
          <w:lang w:val="pt-BR"/>
        </w:rPr>
        <w:t>Sputum smear microscopy</w:t>
      </w:r>
    </w:p>
    <w:p w14:paraId="51B1A823" w14:textId="77777777" w:rsidR="003A1799" w:rsidRPr="00994AB3" w:rsidRDefault="003A1799" w:rsidP="00C74261">
      <w:pPr>
        <w:pStyle w:val="Body"/>
        <w:spacing w:after="0"/>
        <w:rPr>
          <w:rFonts w:ascii="Arial" w:hAnsi="Arial"/>
          <w:bCs/>
          <w:lang w:val="pt-BR"/>
        </w:rPr>
      </w:pPr>
    </w:p>
    <w:p w14:paraId="1AF120A6" w14:textId="77777777" w:rsidR="003A1799" w:rsidRPr="003A1799" w:rsidRDefault="003A1799" w:rsidP="00861803">
      <w:pPr>
        <w:pStyle w:val="Body"/>
        <w:spacing w:after="0"/>
        <w:rPr>
          <w:rFonts w:ascii="Arial" w:hAnsi="Arial"/>
          <w:bCs/>
          <w:lang w:val="pt-BR"/>
        </w:rPr>
      </w:pPr>
      <w:r w:rsidRPr="003A1799">
        <w:rPr>
          <w:rFonts w:ascii="Arial" w:hAnsi="Arial"/>
          <w:bCs/>
          <w:lang w:val="pt-BR"/>
        </w:rPr>
        <w:t>Regarding diagnostic/screening methods, of individuals with a sputum result showing 1 bacillus, 73% developed tuberculosis. In contrast, 13% had a negative result. Based on Ozores' (2023) considerations, even a small number of bacilli, such as 1 to 2 in suspension, is sufficient to reach the bronchioles and pulmonary alveoli and initiate the multiplication process of Mycobacterium tuberculosis. This reinforces the clinical relevance of positivity even in samples with a low bacillary load.</w:t>
      </w:r>
    </w:p>
    <w:p w14:paraId="61E9C7E1" w14:textId="2F7E40F8" w:rsidR="00C74261" w:rsidRDefault="003A1799" w:rsidP="00861803">
      <w:pPr>
        <w:pStyle w:val="Body"/>
        <w:spacing w:after="0"/>
        <w:rPr>
          <w:rFonts w:ascii="Arial" w:hAnsi="Arial"/>
          <w:bCs/>
          <w:lang w:val="pt-BR"/>
        </w:rPr>
      </w:pPr>
      <w:r w:rsidRPr="003A1799">
        <w:rPr>
          <w:rFonts w:ascii="Arial" w:hAnsi="Arial"/>
          <w:bCs/>
          <w:lang w:val="pt-BR"/>
        </w:rPr>
        <w:t xml:space="preserve">In Nogueira's (2004) study, patients hospitalized due to treatment failure or social reasons presented high rates of positivity in bacilloscopy, with 91.2% and 90.5%, respectively. These </w:t>
      </w:r>
      <w:r w:rsidRPr="003A1799">
        <w:rPr>
          <w:rFonts w:ascii="Arial" w:hAnsi="Arial"/>
          <w:bCs/>
          <w:lang w:val="pt-BR"/>
        </w:rPr>
        <w:lastRenderedPageBreak/>
        <w:t>data suggest that the presence of bacilli in sputum is strongly associated with the severity and persistence of tuberculosis, especially in more advanced cases.</w:t>
      </w:r>
    </w:p>
    <w:p w14:paraId="081DEFBF" w14:textId="77777777" w:rsidR="00F42137" w:rsidRDefault="00F42137" w:rsidP="00861803">
      <w:pPr>
        <w:pStyle w:val="Body"/>
        <w:spacing w:after="0"/>
        <w:rPr>
          <w:rFonts w:ascii="Arial" w:hAnsi="Arial"/>
          <w:bCs/>
          <w:lang w:val="pt-BR"/>
        </w:rPr>
      </w:pPr>
    </w:p>
    <w:p w14:paraId="2AAB472E" w14:textId="4441BD1C" w:rsidR="00C74261" w:rsidRDefault="00C74261" w:rsidP="00861803">
      <w:pPr>
        <w:pStyle w:val="Body"/>
        <w:spacing w:after="0"/>
        <w:rPr>
          <w:rFonts w:ascii="Arial" w:hAnsi="Arial"/>
          <w:bCs/>
          <w:lang w:val="pt-BR"/>
        </w:rPr>
      </w:pPr>
      <w:r>
        <w:rPr>
          <w:rFonts w:ascii="Arial" w:hAnsi="Arial"/>
          <w:bCs/>
          <w:lang w:val="pt-BR"/>
        </w:rPr>
        <w:t xml:space="preserve">3.8.2 </w:t>
      </w:r>
      <w:r w:rsidR="00F42137" w:rsidRPr="00F42137">
        <w:rPr>
          <w:rFonts w:ascii="Arial" w:hAnsi="Arial"/>
          <w:bCs/>
        </w:rPr>
        <w:t>Diagnostic Methods for Tuberculosis</w:t>
      </w:r>
      <w:r w:rsidR="00F42137">
        <w:rPr>
          <w:rFonts w:ascii="Arial" w:hAnsi="Arial"/>
          <w:bCs/>
        </w:rPr>
        <w:t xml:space="preserve"> </w:t>
      </w:r>
    </w:p>
    <w:p w14:paraId="74C81D0D" w14:textId="77777777" w:rsidR="00C74261" w:rsidRPr="00994AB3" w:rsidRDefault="00C74261" w:rsidP="003646F9">
      <w:pPr>
        <w:pStyle w:val="Body"/>
        <w:spacing w:after="0"/>
        <w:ind w:firstLine="709"/>
        <w:rPr>
          <w:rFonts w:ascii="Arial" w:hAnsi="Arial"/>
          <w:bCs/>
          <w:lang w:val="pt-BR"/>
        </w:rPr>
      </w:pPr>
    </w:p>
    <w:p w14:paraId="563EC7AC" w14:textId="59EA3B4D" w:rsidR="00853064" w:rsidRPr="0097725D" w:rsidRDefault="00861803" w:rsidP="00C74261">
      <w:pPr>
        <w:pStyle w:val="Body"/>
        <w:spacing w:after="0"/>
        <w:rPr>
          <w:rFonts w:ascii="Arial" w:hAnsi="Arial"/>
          <w:bCs/>
        </w:rPr>
      </w:pPr>
      <w:r w:rsidRPr="00861803">
        <w:rPr>
          <w:rFonts w:ascii="Arial" w:hAnsi="Arial"/>
          <w:bCs/>
        </w:rPr>
        <w:t xml:space="preserve">Regarding diagnostic methods, 36% of sputum cultures were positive for Tuberculosis, while 18% were negative and 45% of patients did not undergo the test, highlighting underutilization of the method. A similar situation was described by Fortuna (2020) in Teixeira de Freitas, where 89.28% of cases were not submitted to culture, and by Júnior (2020), who identified the absence of the test in more than 83% of cases in Paraíba and Rio Grande do Norte. Although the scenario in Santa Quitéria–CE is less critical, the high proportion of non-performance still represents a significant gap in diagnostic confirmation. As for the Rapid Molecular Test for Tuberculosis (RMT-TB), only 4% of individuals were diagnosed by this method and 4% showed resistance, while 66% did not undergo the test and 16% had blank records. Despite representing an important advance by enabling rapid detection of the bacillus and resistance to rifampicin (Salva, 2022), its low utilization, as discussed by </w:t>
      </w:r>
      <w:proofErr w:type="spellStart"/>
      <w:r w:rsidRPr="00861803">
        <w:rPr>
          <w:rFonts w:ascii="Arial" w:hAnsi="Arial"/>
          <w:bCs/>
        </w:rPr>
        <w:t>Liporaci</w:t>
      </w:r>
      <w:proofErr w:type="spellEnd"/>
      <w:r w:rsidRPr="00861803">
        <w:rPr>
          <w:rFonts w:ascii="Arial" w:hAnsi="Arial"/>
          <w:bCs/>
        </w:rPr>
        <w:t xml:space="preserve"> (2018), may be associated with operational limitations, difficulties in accessing equipment, and insufficient training of health teams.</w:t>
      </w:r>
    </w:p>
    <w:p w14:paraId="310128D5" w14:textId="77777777" w:rsidR="00861803" w:rsidRPr="0097725D" w:rsidRDefault="00861803" w:rsidP="00C74261">
      <w:pPr>
        <w:pStyle w:val="Body"/>
        <w:spacing w:after="0"/>
        <w:rPr>
          <w:rFonts w:ascii="Arial" w:hAnsi="Arial"/>
          <w:bCs/>
        </w:rPr>
      </w:pPr>
    </w:p>
    <w:p w14:paraId="3C55EB2D" w14:textId="1A571F59" w:rsidR="00C74261" w:rsidRPr="0097725D" w:rsidRDefault="00C74261" w:rsidP="00C74261">
      <w:pPr>
        <w:pStyle w:val="Body"/>
        <w:spacing w:after="0"/>
        <w:rPr>
          <w:rFonts w:ascii="Arial" w:hAnsi="Arial"/>
          <w:bCs/>
          <w:lang w:val="nb-NO"/>
        </w:rPr>
      </w:pPr>
      <w:r w:rsidRPr="0097725D">
        <w:rPr>
          <w:rFonts w:ascii="Arial" w:hAnsi="Arial"/>
          <w:bCs/>
          <w:lang w:val="nb-NO"/>
        </w:rPr>
        <w:t>3.8.</w:t>
      </w:r>
      <w:r w:rsidR="00853064" w:rsidRPr="0097725D">
        <w:rPr>
          <w:rFonts w:ascii="Arial" w:hAnsi="Arial"/>
          <w:bCs/>
          <w:lang w:val="nb-NO"/>
        </w:rPr>
        <w:t>3</w:t>
      </w:r>
      <w:r w:rsidRPr="0097725D">
        <w:rPr>
          <w:rFonts w:ascii="Arial" w:hAnsi="Arial"/>
          <w:bCs/>
          <w:lang w:val="nb-NO"/>
        </w:rPr>
        <w:t xml:space="preserve"> </w:t>
      </w:r>
      <w:r w:rsidR="00861803" w:rsidRPr="0097725D">
        <w:rPr>
          <w:rFonts w:ascii="Arial" w:hAnsi="Arial"/>
          <w:bCs/>
          <w:lang w:val="nb-NO"/>
        </w:rPr>
        <w:t>Sensitivity Testing</w:t>
      </w:r>
    </w:p>
    <w:p w14:paraId="50BB4CA1" w14:textId="77777777" w:rsidR="00C74261" w:rsidRPr="0097725D" w:rsidRDefault="00C74261" w:rsidP="00417E10">
      <w:pPr>
        <w:pStyle w:val="Body"/>
        <w:spacing w:after="0"/>
        <w:ind w:firstLine="709"/>
        <w:rPr>
          <w:rFonts w:ascii="Arial" w:hAnsi="Arial"/>
          <w:bCs/>
          <w:lang w:val="nb-NO"/>
        </w:rPr>
      </w:pPr>
    </w:p>
    <w:p w14:paraId="6837D1CF" w14:textId="21FF5412" w:rsidR="00853064" w:rsidRDefault="00861803" w:rsidP="00E62630">
      <w:pPr>
        <w:pStyle w:val="Body"/>
        <w:spacing w:after="0"/>
        <w:rPr>
          <w:rFonts w:ascii="Arial" w:hAnsi="Arial"/>
          <w:bCs/>
        </w:rPr>
      </w:pPr>
      <w:r w:rsidRPr="00861803">
        <w:rPr>
          <w:rFonts w:ascii="Arial" w:hAnsi="Arial"/>
          <w:bCs/>
        </w:rPr>
        <w:t>Regarding drug sensitivity testing, positivity was observed in 43% of the cases analyzed. The sensitivity of the tests is a central element for the effective diagnosis of Tuberculosis, especially in contexts of high disease burden and limited resources, and may vary according to the technique used, the time of collection, the patient's clinical condition, and the qualification of the team (</w:t>
      </w:r>
      <w:proofErr w:type="spellStart"/>
      <w:r w:rsidRPr="00861803">
        <w:rPr>
          <w:rFonts w:ascii="Arial" w:hAnsi="Arial"/>
          <w:bCs/>
        </w:rPr>
        <w:t>Peruhype</w:t>
      </w:r>
      <w:proofErr w:type="spellEnd"/>
      <w:r w:rsidRPr="00861803">
        <w:rPr>
          <w:rFonts w:ascii="Arial" w:hAnsi="Arial"/>
          <w:bCs/>
        </w:rPr>
        <w:t>, 2014). In this sense, Bertoni (2010) highlights that expanding access to more modern diagnostic methods and the continuous training of professionals are essential strategies to improve early detection and strengthen the control of transmission.</w:t>
      </w:r>
    </w:p>
    <w:p w14:paraId="4BE35A42" w14:textId="77777777" w:rsidR="00861803" w:rsidRPr="0097725D" w:rsidRDefault="00861803" w:rsidP="00E62630">
      <w:pPr>
        <w:pStyle w:val="Body"/>
        <w:spacing w:after="0"/>
        <w:rPr>
          <w:rFonts w:ascii="Arial" w:hAnsi="Arial" w:cs="Arial"/>
          <w:b/>
          <w:bCs/>
        </w:rPr>
      </w:pPr>
    </w:p>
    <w:p w14:paraId="48F61823" w14:textId="438F36D8" w:rsidR="00B01FCD" w:rsidRPr="00994AB3" w:rsidRDefault="00E62630" w:rsidP="00E62630">
      <w:pPr>
        <w:pStyle w:val="Body"/>
        <w:spacing w:after="0"/>
        <w:rPr>
          <w:rFonts w:ascii="Arial" w:hAnsi="Arial"/>
          <w:b/>
          <w:bCs/>
          <w:lang w:val="pt-BR"/>
        </w:rPr>
      </w:pPr>
      <w:r w:rsidRPr="00994AB3">
        <w:rPr>
          <w:rFonts w:ascii="Arial" w:hAnsi="Arial" w:cs="Arial"/>
          <w:b/>
          <w:bCs/>
          <w:lang w:val="pt-BR"/>
        </w:rPr>
        <w:t>4. CONCLUSION</w:t>
      </w:r>
    </w:p>
    <w:p w14:paraId="2408E144" w14:textId="77777777" w:rsidR="00790ADA" w:rsidRPr="00994AB3" w:rsidRDefault="00790ADA" w:rsidP="00441B6F">
      <w:pPr>
        <w:pStyle w:val="ConcHead"/>
        <w:spacing w:after="0"/>
        <w:jc w:val="both"/>
        <w:rPr>
          <w:rFonts w:ascii="Arial" w:hAnsi="Arial" w:cs="Arial"/>
          <w:lang w:val="pt-BR"/>
        </w:rPr>
      </w:pPr>
    </w:p>
    <w:p w14:paraId="3D51982E" w14:textId="4A8E2F35" w:rsidR="00315186" w:rsidRDefault="00861803" w:rsidP="00861803">
      <w:pPr>
        <w:jc w:val="both"/>
        <w:rPr>
          <w:rFonts w:ascii="Arial" w:hAnsi="Arial" w:cs="Arial"/>
          <w:lang w:val="pt-BR"/>
        </w:rPr>
      </w:pPr>
      <w:r w:rsidRPr="00861803">
        <w:rPr>
          <w:rFonts w:ascii="Arial" w:hAnsi="Arial" w:cs="Arial"/>
          <w:lang w:val="pt-BR"/>
        </w:rPr>
        <w:t>The study provided a detailed analysis of tuberculosis in Santa Quitéria from 2019 to 2023, revealing important epidemiological data. The disease showed a higher prevalence among men, adults aged 40 to 59, and individuals who self-identified as mixed-race, with the pulmonary form being the most common. The research also identified socioeconomic factors such as low education levels and a history of alcoholism, as well as the presence of comorbidities such as HIV and diabetes, as elements associated with tuberculosis cases. Despite this, most cases were closed with a cure, indicating good adherence to treatment, although challenges such as abandonment and relapse still need to be addressed. Regarding diagnosis, the insufficient use of rapid molecular tests was also a critical point, since these tests are fundamental for the rapid and accurate diagnosis of the disease. In summary, the results point to the urgency of strengthening the role of Primary Health Care (PHC), with an emphasis on the continuous qualification of health teams, especially regarding early diagnosis, adequate notification, and follow-up of tuberculosis cases. It is essential to implement more effective control strategies, adapted to the local reality and the vulnerabilities of the population served. Expanding access to laboratory tests, such as sputum culture, and investing in educational actions and active case finding should be priorities. Furthermore, the continuity of epidemiological studies and the constant updating of public policies are indispensable to ensure more assertive interventions and to effectively contribute to achieving the goal of eliminating tuberculosis by 2030, as established by the World Health Organization (WHO).</w:t>
      </w:r>
    </w:p>
    <w:p w14:paraId="61CE98AC" w14:textId="77777777" w:rsidR="00861803" w:rsidRPr="00315186" w:rsidRDefault="00861803" w:rsidP="00441B6F"/>
    <w:p w14:paraId="277FEB47" w14:textId="0FD6A9BE" w:rsidR="00860000"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2C075907" w14:textId="77777777" w:rsidR="005171A4" w:rsidRPr="00192927" w:rsidRDefault="005171A4" w:rsidP="00441B6F">
      <w:pPr>
        <w:pStyle w:val="ReferHead"/>
        <w:spacing w:after="0"/>
        <w:jc w:val="both"/>
        <w:rPr>
          <w:rFonts w:ascii="Arial" w:hAnsi="Arial" w:cs="Arial"/>
          <w:bCs/>
        </w:rPr>
      </w:pPr>
    </w:p>
    <w:p w14:paraId="37A00ABB" w14:textId="2600F21A" w:rsidR="00371FB6" w:rsidRDefault="00192927" w:rsidP="00441B6F">
      <w:pPr>
        <w:pStyle w:val="ReferHead"/>
        <w:spacing w:after="0"/>
        <w:jc w:val="both"/>
        <w:rPr>
          <w:rFonts w:ascii="Arial" w:hAnsi="Arial" w:cs="Arial"/>
          <w:b w:val="0"/>
          <w:caps w:val="0"/>
          <w:sz w:val="20"/>
        </w:rPr>
      </w:pPr>
      <w:r w:rsidRPr="00192927">
        <w:rPr>
          <w:rFonts w:ascii="Arial" w:hAnsi="Arial" w:cs="Arial"/>
          <w:b w:val="0"/>
          <w:caps w:val="0"/>
          <w:sz w:val="20"/>
        </w:rPr>
        <w:t>Authors have declared that no</w:t>
      </w:r>
      <w:r w:rsidR="005171A4">
        <w:rPr>
          <w:rFonts w:ascii="Arial" w:hAnsi="Arial" w:cs="Arial"/>
          <w:b w:val="0"/>
          <w:caps w:val="0"/>
          <w:sz w:val="20"/>
        </w:rPr>
        <w:t xml:space="preserve"> </w:t>
      </w:r>
      <w:r w:rsidRPr="00192927">
        <w:rPr>
          <w:rFonts w:ascii="Arial" w:hAnsi="Arial" w:cs="Arial"/>
          <w:b w:val="0"/>
          <w:caps w:val="0"/>
          <w:sz w:val="20"/>
        </w:rPr>
        <w:t>competing interests exist.</w:t>
      </w:r>
    </w:p>
    <w:p w14:paraId="1D8FEF6B" w14:textId="77777777" w:rsidR="00860000" w:rsidRDefault="00860000" w:rsidP="00441B6F">
      <w:pPr>
        <w:pStyle w:val="ReferHead"/>
        <w:spacing w:after="0"/>
        <w:jc w:val="both"/>
        <w:rPr>
          <w:rFonts w:ascii="Arial" w:hAnsi="Arial" w:cs="Arial"/>
        </w:rPr>
      </w:pPr>
    </w:p>
    <w:p w14:paraId="35E0968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A98CD1B" w14:textId="77777777" w:rsidR="00164A2C" w:rsidRDefault="00164A2C" w:rsidP="00992546">
      <w:pPr>
        <w:ind w:left="360"/>
        <w:rPr>
          <w:lang w:val="pt-BR"/>
        </w:rPr>
      </w:pPr>
    </w:p>
    <w:p w14:paraId="0AD13AAF" w14:textId="1E9BD075" w:rsidR="00992546" w:rsidRPr="002B6940" w:rsidRDefault="00992546" w:rsidP="00992546">
      <w:pPr>
        <w:ind w:left="360"/>
        <w:rPr>
          <w:rFonts w:ascii="Arial" w:hAnsi="Arial" w:cs="Arial"/>
          <w:lang w:val="pt-BR"/>
        </w:rPr>
      </w:pPr>
      <w:r w:rsidRPr="00992546">
        <w:rPr>
          <w:rFonts w:ascii="Arial" w:hAnsi="Arial" w:cs="Arial"/>
          <w:lang w:val="pt-BR"/>
        </w:rPr>
        <w:t xml:space="preserve">VAZ, J. M. de L.; LOPES, L. M.; LUBI, N. C. Pharmaceutical care in the management of pulmonary tuberculosis treatment in adults. </w:t>
      </w:r>
      <w:r w:rsidRPr="00992546">
        <w:rPr>
          <w:rFonts w:ascii="Arial" w:hAnsi="Arial" w:cs="Arial"/>
          <w:i/>
          <w:iCs/>
          <w:lang w:val="pt-BR"/>
        </w:rPr>
        <w:t>Public Health and Collective Health: Contributions to Community Well-being</w:t>
      </w:r>
      <w:r w:rsidRPr="00992546">
        <w:rPr>
          <w:rFonts w:ascii="Arial" w:hAnsi="Arial" w:cs="Arial"/>
          <w:lang w:val="pt-BR"/>
        </w:rPr>
        <w:t>, v. 2, p. 12–21, 2024. Available at: file:///D:/Arquivos/Downloads/assistencia-farmaceutica-no-manejo-do-tratamento-datuberculose-pulmonar-em-adultos.pdf. Accessed: Nov. 28, 2024.</w:t>
      </w:r>
    </w:p>
    <w:p w14:paraId="17FF69CA" w14:textId="77777777" w:rsidR="00992546" w:rsidRPr="00992546" w:rsidRDefault="00992546" w:rsidP="00992546">
      <w:pPr>
        <w:ind w:left="360"/>
        <w:rPr>
          <w:rFonts w:ascii="Arial" w:hAnsi="Arial" w:cs="Arial"/>
          <w:lang w:val="pt-BR"/>
        </w:rPr>
      </w:pPr>
    </w:p>
    <w:p w14:paraId="17C5117C" w14:textId="281E6EBD" w:rsidR="00992546" w:rsidRPr="002B6940" w:rsidRDefault="00992546" w:rsidP="00992546">
      <w:pPr>
        <w:ind w:left="360"/>
        <w:rPr>
          <w:rFonts w:ascii="Arial" w:hAnsi="Arial" w:cs="Arial"/>
          <w:lang w:val="pt-BR"/>
        </w:rPr>
      </w:pPr>
      <w:r w:rsidRPr="00992546">
        <w:rPr>
          <w:rFonts w:ascii="Arial" w:hAnsi="Arial" w:cs="Arial"/>
          <w:lang w:val="nb-NO"/>
        </w:rPr>
        <w:t xml:space="preserve">LIMA, V. Q. F. et al. </w:t>
      </w:r>
      <w:r w:rsidRPr="00992546">
        <w:rPr>
          <w:rFonts w:ascii="Arial" w:hAnsi="Arial" w:cs="Arial"/>
          <w:lang w:val="pt-BR"/>
        </w:rPr>
        <w:t xml:space="preserve">Epidemiological profile of tuberculosis in the elderly population in the State of Acre. </w:t>
      </w:r>
      <w:r w:rsidRPr="00992546">
        <w:rPr>
          <w:rFonts w:ascii="Arial" w:hAnsi="Arial" w:cs="Arial"/>
          <w:i/>
          <w:iCs/>
          <w:lang w:val="pt-BR"/>
        </w:rPr>
        <w:t>RECIMA21 - Multidisciplinary Scientific Journal</w:t>
      </w:r>
      <w:r w:rsidRPr="00992546">
        <w:rPr>
          <w:rFonts w:ascii="Arial" w:hAnsi="Arial" w:cs="Arial"/>
          <w:lang w:val="pt-BR"/>
        </w:rPr>
        <w:t xml:space="preserve">, v. 5, n. 10, p. e5105765, 2024. DOI: 10.47820/recima21.v5i10.5765. </w:t>
      </w:r>
      <w:r w:rsidRPr="00992546">
        <w:rPr>
          <w:rFonts w:ascii="Arial" w:hAnsi="Arial" w:cs="Arial"/>
          <w:lang w:val="nb-NO"/>
        </w:rPr>
        <w:t xml:space="preserve">Available at: https://recima21.com.br/index.php/recima21/article/view/5765. </w:t>
      </w:r>
      <w:r w:rsidRPr="00992546">
        <w:rPr>
          <w:rFonts w:ascii="Arial" w:hAnsi="Arial" w:cs="Arial"/>
          <w:lang w:val="pt-BR"/>
        </w:rPr>
        <w:t>Accessed: Nov. 28, 2024.</w:t>
      </w:r>
    </w:p>
    <w:p w14:paraId="270458C9" w14:textId="77777777" w:rsidR="00992546" w:rsidRPr="00992546" w:rsidRDefault="00992546" w:rsidP="00992546">
      <w:pPr>
        <w:ind w:left="360"/>
        <w:rPr>
          <w:rFonts w:ascii="Arial" w:hAnsi="Arial" w:cs="Arial"/>
          <w:lang w:val="pt-BR"/>
        </w:rPr>
      </w:pPr>
    </w:p>
    <w:p w14:paraId="7E3C8794" w14:textId="0B56FAC3" w:rsidR="00992546" w:rsidRPr="00992546" w:rsidRDefault="00992546" w:rsidP="00992546">
      <w:pPr>
        <w:ind w:left="360"/>
        <w:rPr>
          <w:rFonts w:ascii="Arial" w:hAnsi="Arial" w:cs="Arial"/>
          <w:lang w:val="pt-BR"/>
        </w:rPr>
      </w:pPr>
      <w:r w:rsidRPr="00992546">
        <w:rPr>
          <w:rFonts w:ascii="Arial" w:hAnsi="Arial" w:cs="Arial"/>
          <w:lang w:val="pt-BR"/>
        </w:rPr>
        <w:t>MINISTRY OF HEALTH. Secretariat of Health Surveillance and Environment. Department of HIV/AIDS, Tuberculosis, Viral Hepatitis and Infections. Tuberculosis. Virtual Health Library, 2020. Available at: https://bvsms.saude.gov.br/tuberculose-21/. Accessed: Nov. 27, 2024.</w:t>
      </w:r>
    </w:p>
    <w:p w14:paraId="732A282E" w14:textId="05D13BCF" w:rsidR="00992546" w:rsidRPr="00992546" w:rsidRDefault="00992546" w:rsidP="00992546">
      <w:pPr>
        <w:ind w:left="360"/>
        <w:rPr>
          <w:rFonts w:ascii="Arial" w:hAnsi="Arial" w:cs="Arial"/>
          <w:lang w:val="nb-NO"/>
        </w:rPr>
      </w:pPr>
      <w:r w:rsidRPr="00992546">
        <w:rPr>
          <w:rFonts w:ascii="Arial" w:hAnsi="Arial" w:cs="Arial"/>
          <w:lang w:val="pt-BR"/>
        </w:rPr>
        <w:t xml:space="preserve">WORLD HEALTH ORGANIZATION. Global tuberculosis report 2023. Geneva: World Health Organization, 2023. </w:t>
      </w:r>
      <w:r w:rsidRPr="00992546">
        <w:rPr>
          <w:rFonts w:ascii="Arial" w:hAnsi="Arial" w:cs="Arial"/>
          <w:lang w:val="nb-NO"/>
        </w:rPr>
        <w:t>Available at: https://www.who.int/publications/i/item/9789240083851. Accessed: Mar. 2, 2026.</w:t>
      </w:r>
    </w:p>
    <w:p w14:paraId="075A0827" w14:textId="77777777" w:rsidR="00992546" w:rsidRPr="002B6940" w:rsidRDefault="00992546" w:rsidP="00992546">
      <w:pPr>
        <w:ind w:left="360"/>
        <w:rPr>
          <w:rFonts w:ascii="Arial" w:hAnsi="Arial" w:cs="Arial"/>
          <w:lang w:val="nb-NO"/>
        </w:rPr>
      </w:pPr>
    </w:p>
    <w:p w14:paraId="335470D0" w14:textId="3630C09D" w:rsidR="00992546" w:rsidRPr="00992546" w:rsidRDefault="00992546" w:rsidP="00992546">
      <w:pPr>
        <w:ind w:left="360"/>
        <w:rPr>
          <w:rFonts w:ascii="Arial" w:hAnsi="Arial" w:cs="Arial"/>
          <w:lang w:val="pt-BR"/>
        </w:rPr>
      </w:pPr>
      <w:r w:rsidRPr="00992546">
        <w:rPr>
          <w:rFonts w:ascii="Arial" w:hAnsi="Arial" w:cs="Arial"/>
          <w:lang w:val="nb-NO"/>
        </w:rPr>
        <w:t xml:space="preserve">GUIDONI, L. et al. </w:t>
      </w:r>
      <w:r w:rsidRPr="00992546">
        <w:rPr>
          <w:rFonts w:ascii="Arial" w:hAnsi="Arial" w:cs="Arial"/>
          <w:lang w:val="pt-BR"/>
        </w:rPr>
        <w:t xml:space="preserve">Catastrophic costs and social consequences resulting from tuberculosis diagnosis and treatment in Brazil. </w:t>
      </w:r>
      <w:r w:rsidRPr="00992546">
        <w:rPr>
          <w:rFonts w:ascii="Arial" w:hAnsi="Arial" w:cs="Arial"/>
          <w:i/>
          <w:iCs/>
          <w:lang w:val="pt-BR"/>
        </w:rPr>
        <w:t>Epidemiologia e Serviços de Saúde</w:t>
      </w:r>
      <w:r w:rsidRPr="00992546">
        <w:rPr>
          <w:rFonts w:ascii="Arial" w:hAnsi="Arial" w:cs="Arial"/>
          <w:lang w:val="pt-BR"/>
        </w:rPr>
        <w:t>, Brasília, DF, v. 30, n. 3, p. 1–15, 2021.</w:t>
      </w:r>
    </w:p>
    <w:p w14:paraId="076D117D" w14:textId="77777777" w:rsidR="00992546" w:rsidRPr="002B6940" w:rsidRDefault="00992546" w:rsidP="00992546">
      <w:pPr>
        <w:ind w:left="360"/>
        <w:rPr>
          <w:rFonts w:ascii="Arial" w:hAnsi="Arial" w:cs="Arial"/>
          <w:lang w:val="pt-BR"/>
        </w:rPr>
      </w:pPr>
    </w:p>
    <w:p w14:paraId="49789808" w14:textId="34D5C180" w:rsidR="00992546" w:rsidRPr="00992546" w:rsidRDefault="00992546" w:rsidP="00992546">
      <w:pPr>
        <w:ind w:left="360"/>
        <w:rPr>
          <w:rFonts w:ascii="Arial" w:hAnsi="Arial" w:cs="Arial"/>
          <w:lang w:val="pt-BR"/>
        </w:rPr>
      </w:pPr>
      <w:r w:rsidRPr="00992546">
        <w:rPr>
          <w:rFonts w:ascii="Arial" w:hAnsi="Arial" w:cs="Arial"/>
          <w:lang w:val="pt-BR"/>
        </w:rPr>
        <w:t xml:space="preserve">POERSCH, K.; COSTA, J. S. D. Factors associated with tuberculosis treatment abandonment: a case-control study. </w:t>
      </w:r>
      <w:r w:rsidRPr="00992546">
        <w:rPr>
          <w:rFonts w:ascii="Arial" w:hAnsi="Arial" w:cs="Arial"/>
          <w:i/>
          <w:iCs/>
          <w:lang w:val="pt-BR"/>
        </w:rPr>
        <w:t>Cadernos de Saúde Coletiva</w:t>
      </w:r>
      <w:r w:rsidRPr="00992546">
        <w:rPr>
          <w:rFonts w:ascii="Arial" w:hAnsi="Arial" w:cs="Arial"/>
          <w:lang w:val="pt-BR"/>
        </w:rPr>
        <w:t>, Rio de Janeiro, v. 29, n. 4, p. 485–495, Oct./Dec. 2021.</w:t>
      </w:r>
    </w:p>
    <w:p w14:paraId="6085F6BA" w14:textId="77777777" w:rsidR="00992546" w:rsidRPr="002B6940" w:rsidRDefault="00992546" w:rsidP="00992546">
      <w:pPr>
        <w:ind w:left="360"/>
        <w:rPr>
          <w:rFonts w:ascii="Arial" w:hAnsi="Arial" w:cs="Arial"/>
          <w:lang w:val="pt-BR"/>
        </w:rPr>
      </w:pPr>
    </w:p>
    <w:p w14:paraId="326D34C9" w14:textId="6B100468" w:rsidR="00992546" w:rsidRPr="00992546" w:rsidRDefault="00992546" w:rsidP="00992546">
      <w:pPr>
        <w:ind w:left="360"/>
        <w:rPr>
          <w:rFonts w:ascii="Arial" w:hAnsi="Arial" w:cs="Arial"/>
          <w:lang w:val="pt-BR"/>
        </w:rPr>
      </w:pPr>
      <w:r w:rsidRPr="00992546">
        <w:rPr>
          <w:rFonts w:ascii="Arial" w:hAnsi="Arial" w:cs="Arial"/>
          <w:lang w:val="pt-BR"/>
        </w:rPr>
        <w:t xml:space="preserve">SOUSA, G. et al. Prevalence and factors associated with tuberculosis treatment abandonment. </w:t>
      </w:r>
      <w:r w:rsidRPr="00992546">
        <w:rPr>
          <w:rFonts w:ascii="Arial" w:hAnsi="Arial" w:cs="Arial"/>
          <w:i/>
          <w:iCs/>
          <w:lang w:val="pt-BR"/>
        </w:rPr>
        <w:t>Revista da Escola de Enfermagem da USP</w:t>
      </w:r>
      <w:r w:rsidRPr="00992546">
        <w:rPr>
          <w:rFonts w:ascii="Arial" w:hAnsi="Arial" w:cs="Arial"/>
          <w:lang w:val="pt-BR"/>
        </w:rPr>
        <w:t>, São Paulo, v. 55, e03767, 2021. p. 1–9.</w:t>
      </w:r>
    </w:p>
    <w:p w14:paraId="781F5EB7" w14:textId="77777777" w:rsidR="00992546" w:rsidRPr="002B6940" w:rsidRDefault="00992546" w:rsidP="00992546">
      <w:pPr>
        <w:ind w:left="360"/>
        <w:rPr>
          <w:rFonts w:ascii="Arial" w:hAnsi="Arial" w:cs="Arial"/>
          <w:lang w:val="pt-BR"/>
        </w:rPr>
      </w:pPr>
    </w:p>
    <w:p w14:paraId="228EE09B" w14:textId="53CA6E28" w:rsidR="00992546" w:rsidRPr="00992546" w:rsidRDefault="00992546" w:rsidP="00992546">
      <w:pPr>
        <w:ind w:left="360"/>
        <w:rPr>
          <w:rFonts w:ascii="Arial" w:hAnsi="Arial" w:cs="Arial"/>
          <w:lang w:val="pt-BR"/>
        </w:rPr>
      </w:pPr>
      <w:r w:rsidRPr="00992546">
        <w:rPr>
          <w:rFonts w:ascii="Arial" w:hAnsi="Arial" w:cs="Arial"/>
          <w:lang w:val="pt-BR"/>
        </w:rPr>
        <w:t xml:space="preserve">SANTOS, José Vinicius dos et al. Evolution of the clinical and epidemiological profile of tuberculosis in the Northeast from 2019 to 2023. </w:t>
      </w:r>
      <w:r w:rsidRPr="00992546">
        <w:rPr>
          <w:rFonts w:ascii="Arial" w:hAnsi="Arial" w:cs="Arial"/>
          <w:i/>
          <w:iCs/>
          <w:lang w:val="pt-BR"/>
        </w:rPr>
        <w:t>Brazilian Journal of Implantology and Health Sciences</w:t>
      </w:r>
      <w:r w:rsidRPr="00992546">
        <w:rPr>
          <w:rFonts w:ascii="Arial" w:hAnsi="Arial" w:cs="Arial"/>
          <w:lang w:val="pt-BR"/>
        </w:rPr>
        <w:t>, v. 6, n. 10, p. 232–248, 2024. DOI: https://doi.org/10.36557/2674-8169.2024v6n10p232-248.</w:t>
      </w:r>
    </w:p>
    <w:p w14:paraId="4FD7FCDB" w14:textId="77777777" w:rsidR="00992546" w:rsidRPr="002B6940" w:rsidRDefault="00992546" w:rsidP="00992546">
      <w:pPr>
        <w:ind w:left="360"/>
        <w:rPr>
          <w:rFonts w:ascii="Arial" w:hAnsi="Arial" w:cs="Arial"/>
          <w:lang w:val="pt-BR"/>
        </w:rPr>
      </w:pPr>
    </w:p>
    <w:p w14:paraId="5E4B6F20" w14:textId="4EDD2D34" w:rsidR="00992546" w:rsidRPr="00992546" w:rsidRDefault="00992546" w:rsidP="00992546">
      <w:pPr>
        <w:ind w:left="360"/>
        <w:rPr>
          <w:rFonts w:ascii="Arial" w:hAnsi="Arial" w:cs="Arial"/>
          <w:lang w:val="pt-BR"/>
        </w:rPr>
      </w:pPr>
      <w:r w:rsidRPr="00992546">
        <w:rPr>
          <w:rFonts w:ascii="Arial" w:hAnsi="Arial" w:cs="Arial"/>
          <w:lang w:val="pt-BR"/>
        </w:rPr>
        <w:t xml:space="preserve">ALVES, Darah Yasmim Moreira et al. Analysis of the epidemiological profile of tuberculosis in the state of Alagoas: an assessment of cases from 2019 to 2023. </w:t>
      </w:r>
      <w:r w:rsidRPr="00992546">
        <w:rPr>
          <w:rFonts w:ascii="Arial" w:hAnsi="Arial" w:cs="Arial"/>
          <w:i/>
          <w:iCs/>
          <w:lang w:val="pt-BR"/>
        </w:rPr>
        <w:t>PBPC – Brazilian Production of Scientific Research</w:t>
      </w:r>
      <w:r w:rsidRPr="00992546">
        <w:rPr>
          <w:rFonts w:ascii="Arial" w:hAnsi="Arial" w:cs="Arial"/>
          <w:lang w:val="pt-BR"/>
        </w:rPr>
        <w:t>, v. 3, n. 2, 2024. DOI: https://doi.org/10.36557/pbpc.v3i2.223.</w:t>
      </w:r>
    </w:p>
    <w:p w14:paraId="61A91B46" w14:textId="77777777" w:rsidR="00992546" w:rsidRPr="002B6940" w:rsidRDefault="00992546" w:rsidP="00992546">
      <w:pPr>
        <w:ind w:left="360"/>
        <w:rPr>
          <w:rFonts w:ascii="Arial" w:hAnsi="Arial" w:cs="Arial"/>
          <w:lang w:val="pt-BR"/>
        </w:rPr>
      </w:pPr>
    </w:p>
    <w:p w14:paraId="0EF31025" w14:textId="0DBFBF7F" w:rsidR="00992546" w:rsidRPr="00992546" w:rsidRDefault="00992546" w:rsidP="00992546">
      <w:pPr>
        <w:ind w:left="360"/>
        <w:rPr>
          <w:rFonts w:ascii="Arial" w:hAnsi="Arial" w:cs="Arial"/>
          <w:lang w:val="pt-BR"/>
        </w:rPr>
      </w:pPr>
      <w:r w:rsidRPr="00992546">
        <w:rPr>
          <w:rFonts w:ascii="Arial" w:hAnsi="Arial" w:cs="Arial"/>
          <w:lang w:val="pt-BR"/>
        </w:rPr>
        <w:t xml:space="preserve">DANTAS, Rebeca Teixeira. Urban climate and tuberculosis in Manaus, Amazonas, Brazil. </w:t>
      </w:r>
      <w:r w:rsidRPr="00992546">
        <w:rPr>
          <w:rFonts w:ascii="Arial" w:hAnsi="Arial" w:cs="Arial"/>
          <w:i/>
          <w:iCs/>
          <w:lang w:val="pt-BR"/>
        </w:rPr>
        <w:t>Revista Geonorte</w:t>
      </w:r>
      <w:r w:rsidRPr="00992546">
        <w:rPr>
          <w:rFonts w:ascii="Arial" w:hAnsi="Arial" w:cs="Arial"/>
          <w:lang w:val="pt-BR"/>
        </w:rPr>
        <w:t>, v. 14, n. 43, p. 132–148, 2023. Available at: https://doi.org/10.21170/geonorte.2023.V.14.N.43.132.148.</w:t>
      </w:r>
    </w:p>
    <w:p w14:paraId="46EC3F80" w14:textId="77777777" w:rsidR="00992546" w:rsidRPr="002B6940" w:rsidRDefault="00992546" w:rsidP="00992546">
      <w:pPr>
        <w:ind w:left="360"/>
        <w:rPr>
          <w:rFonts w:ascii="Arial" w:hAnsi="Arial" w:cs="Arial"/>
          <w:lang w:val="pt-BR"/>
        </w:rPr>
      </w:pPr>
    </w:p>
    <w:p w14:paraId="1DBF160A" w14:textId="330E4EA8" w:rsidR="00992546" w:rsidRPr="00992546" w:rsidRDefault="00992546" w:rsidP="00992546">
      <w:pPr>
        <w:ind w:left="360"/>
        <w:rPr>
          <w:rFonts w:ascii="Arial" w:hAnsi="Arial" w:cs="Arial"/>
          <w:lang w:val="pt-BR"/>
        </w:rPr>
      </w:pPr>
      <w:r w:rsidRPr="00992546">
        <w:rPr>
          <w:rFonts w:ascii="Arial" w:hAnsi="Arial" w:cs="Arial"/>
          <w:lang w:val="pt-BR"/>
        </w:rPr>
        <w:t xml:space="preserve">ORFÃO, Nathalia Halax; SILVA, Kamila Maria da; FERREIRA, Melisane Regina Lima; BRUNELLO, Maria Eugenia Firmino. Homeless population: profile of tuberculosis and </w:t>
      </w:r>
      <w:r w:rsidRPr="00992546">
        <w:rPr>
          <w:rFonts w:ascii="Arial" w:hAnsi="Arial" w:cs="Arial"/>
          <w:lang w:val="pt-BR"/>
        </w:rPr>
        <w:lastRenderedPageBreak/>
        <w:t xml:space="preserve">HIV coinfection cases. </w:t>
      </w:r>
      <w:r w:rsidRPr="00992546">
        <w:rPr>
          <w:rFonts w:ascii="Arial" w:hAnsi="Arial" w:cs="Arial"/>
          <w:i/>
          <w:iCs/>
          <w:lang w:val="pt-BR"/>
        </w:rPr>
        <w:t>Revista Enfermagem Contemporânea</w:t>
      </w:r>
      <w:r w:rsidRPr="00992546">
        <w:rPr>
          <w:rFonts w:ascii="Arial" w:hAnsi="Arial" w:cs="Arial"/>
          <w:lang w:val="pt-BR"/>
        </w:rPr>
        <w:t>, Salvador, v. 10, n. 1, p. 94–102, Apr. 2021.</w:t>
      </w:r>
    </w:p>
    <w:p w14:paraId="5EE8ED3E" w14:textId="77777777" w:rsidR="00992546" w:rsidRPr="002B6940" w:rsidRDefault="00992546" w:rsidP="00992546">
      <w:pPr>
        <w:ind w:left="360"/>
        <w:rPr>
          <w:rFonts w:ascii="Arial" w:hAnsi="Arial" w:cs="Arial"/>
          <w:lang w:val="pt-BR"/>
        </w:rPr>
      </w:pPr>
    </w:p>
    <w:p w14:paraId="46BD32C2" w14:textId="160BD4A1" w:rsidR="00992546" w:rsidRPr="00992546" w:rsidRDefault="00992546" w:rsidP="00992546">
      <w:pPr>
        <w:ind w:left="360"/>
        <w:rPr>
          <w:rFonts w:ascii="Arial" w:hAnsi="Arial" w:cs="Arial"/>
          <w:lang w:val="pt-BR"/>
        </w:rPr>
      </w:pPr>
      <w:r w:rsidRPr="00992546">
        <w:rPr>
          <w:rFonts w:ascii="Arial" w:hAnsi="Arial" w:cs="Arial"/>
          <w:lang w:val="pt-BR"/>
        </w:rPr>
        <w:t xml:space="preserve">REIS, Dener Carlos dos et al. Epidemiological profile of tuberculosis in the municipality of Belo Horizonte (MG) from 2002 to 2008. </w:t>
      </w:r>
      <w:r w:rsidRPr="00992546">
        <w:rPr>
          <w:rFonts w:ascii="Arial" w:hAnsi="Arial" w:cs="Arial"/>
          <w:i/>
          <w:iCs/>
          <w:lang w:val="pt-BR"/>
        </w:rPr>
        <w:t>Brazilian Journal of Epidemiology</w:t>
      </w:r>
      <w:r w:rsidRPr="00992546">
        <w:rPr>
          <w:rFonts w:ascii="Arial" w:hAnsi="Arial" w:cs="Arial"/>
          <w:lang w:val="pt-BR"/>
        </w:rPr>
        <w:t>, São Paulo, v. 16, n. 3, p. 592–602, 2013.</w:t>
      </w:r>
    </w:p>
    <w:p w14:paraId="51180A0E" w14:textId="77777777" w:rsidR="00992546" w:rsidRPr="002B6940" w:rsidRDefault="00992546" w:rsidP="00992546">
      <w:pPr>
        <w:ind w:left="360"/>
        <w:rPr>
          <w:rFonts w:ascii="Arial" w:hAnsi="Arial" w:cs="Arial"/>
          <w:lang w:val="pt-BR"/>
        </w:rPr>
      </w:pPr>
    </w:p>
    <w:p w14:paraId="63510DFF" w14:textId="5F86CA9E" w:rsidR="00992546" w:rsidRPr="00992546" w:rsidRDefault="00992546" w:rsidP="00992546">
      <w:pPr>
        <w:ind w:left="360"/>
        <w:rPr>
          <w:rFonts w:ascii="Arial" w:hAnsi="Arial" w:cs="Arial"/>
          <w:lang w:val="pt-BR"/>
        </w:rPr>
      </w:pPr>
      <w:r w:rsidRPr="00992546">
        <w:rPr>
          <w:rFonts w:ascii="Arial" w:hAnsi="Arial" w:cs="Arial"/>
          <w:lang w:val="pt-BR"/>
        </w:rPr>
        <w:t xml:space="preserve">COELHO, Danieli Maria Matias et al. Epidemiological profile of tuberculosis in the municipality of Teresina-PI from 1999 to 2005. </w:t>
      </w:r>
      <w:r w:rsidRPr="00992546">
        <w:rPr>
          <w:rFonts w:ascii="Arial" w:hAnsi="Arial" w:cs="Arial"/>
          <w:i/>
          <w:iCs/>
          <w:lang w:val="pt-BR"/>
        </w:rPr>
        <w:t>Epidemiologia e Serviços de Saúde</w:t>
      </w:r>
      <w:r w:rsidRPr="00992546">
        <w:rPr>
          <w:rFonts w:ascii="Arial" w:hAnsi="Arial" w:cs="Arial"/>
          <w:lang w:val="pt-BR"/>
        </w:rPr>
        <w:t>, Brasília, v. 19, n. 1, p. 34–43, 2010.</w:t>
      </w:r>
    </w:p>
    <w:p w14:paraId="7A8A64DF" w14:textId="77777777" w:rsidR="00992546" w:rsidRPr="002B6940" w:rsidRDefault="00992546" w:rsidP="00992546">
      <w:pPr>
        <w:ind w:left="360"/>
        <w:rPr>
          <w:rFonts w:ascii="Arial" w:hAnsi="Arial" w:cs="Arial"/>
          <w:lang w:val="pt-BR"/>
        </w:rPr>
      </w:pPr>
    </w:p>
    <w:p w14:paraId="3792E174" w14:textId="080D1FD2" w:rsidR="00992546" w:rsidRPr="00992546" w:rsidRDefault="00992546" w:rsidP="00992546">
      <w:pPr>
        <w:ind w:left="360"/>
        <w:rPr>
          <w:rFonts w:ascii="Arial" w:hAnsi="Arial" w:cs="Arial"/>
          <w:lang w:val="pt-BR"/>
        </w:rPr>
      </w:pPr>
      <w:r w:rsidRPr="00992546">
        <w:rPr>
          <w:rFonts w:ascii="Arial" w:hAnsi="Arial" w:cs="Arial"/>
          <w:lang w:val="pt-BR"/>
        </w:rPr>
        <w:t>SALVA, Gregório Alexandre Llado. Sociodemographic and clinical-epidemiological characteristics of reported cases of drug-resistant tuberculosis according to race/color, Brazil and regions, 2013–2018. Monograph (Bachelor’s in Collective Health) – Institute of Collective Health Studies, Federal University of Rio de Janeiro, Rio de Janeiro, 2022.</w:t>
      </w:r>
    </w:p>
    <w:p w14:paraId="39A91F1C" w14:textId="77777777" w:rsidR="00992546" w:rsidRPr="002B6940" w:rsidRDefault="00992546" w:rsidP="00992546">
      <w:pPr>
        <w:ind w:left="360"/>
        <w:rPr>
          <w:rFonts w:ascii="Arial" w:hAnsi="Arial" w:cs="Arial"/>
          <w:lang w:val="pt-BR"/>
        </w:rPr>
      </w:pPr>
    </w:p>
    <w:p w14:paraId="18DFF59C" w14:textId="6FC0271B" w:rsidR="00992546" w:rsidRPr="00992546" w:rsidRDefault="00992546" w:rsidP="00992546">
      <w:pPr>
        <w:ind w:left="360"/>
        <w:rPr>
          <w:rFonts w:ascii="Arial" w:hAnsi="Arial" w:cs="Arial"/>
          <w:lang w:val="pt-BR"/>
        </w:rPr>
      </w:pPr>
      <w:r w:rsidRPr="00992546">
        <w:rPr>
          <w:rFonts w:ascii="Arial" w:hAnsi="Arial" w:cs="Arial"/>
          <w:lang w:val="pt-BR"/>
        </w:rPr>
        <w:t xml:space="preserve">ANGELOTTI, Lucila Costa Zini et al. Quality of notification and follow-up data of tuberculosis cases in Minas Gerais. </w:t>
      </w:r>
      <w:r w:rsidRPr="00992546">
        <w:rPr>
          <w:rFonts w:ascii="Arial" w:hAnsi="Arial" w:cs="Arial"/>
          <w:i/>
          <w:iCs/>
          <w:lang w:val="pt-BR"/>
        </w:rPr>
        <w:t>Brazilian Journal of Epidemiology</w:t>
      </w:r>
      <w:r w:rsidRPr="00992546">
        <w:rPr>
          <w:rFonts w:ascii="Arial" w:hAnsi="Arial" w:cs="Arial"/>
          <w:lang w:val="pt-BR"/>
        </w:rPr>
        <w:t>, v. 16, n. 3, p. 678–689, 2013.</w:t>
      </w:r>
    </w:p>
    <w:p w14:paraId="62DE2CAC" w14:textId="77777777" w:rsidR="00992546" w:rsidRPr="00992546" w:rsidRDefault="00992546" w:rsidP="00992546">
      <w:pPr>
        <w:ind w:left="360"/>
        <w:rPr>
          <w:rFonts w:ascii="Arial" w:hAnsi="Arial" w:cs="Arial"/>
          <w:lang w:val="pt-BR"/>
        </w:rPr>
      </w:pPr>
      <w:r w:rsidRPr="00992546">
        <w:rPr>
          <w:rFonts w:ascii="Arial" w:hAnsi="Arial" w:cs="Arial"/>
          <w:lang w:val="pt-BR"/>
        </w:rPr>
        <w:t xml:space="preserve">OLIVEIRA, Mara Sílvia Rocha et al. Epidemiological profile of tuberculosis cases in the state of Maranhão from 2012 to 2016. </w:t>
      </w:r>
      <w:r w:rsidRPr="00992546">
        <w:rPr>
          <w:rFonts w:ascii="Arial" w:hAnsi="Arial" w:cs="Arial"/>
          <w:i/>
          <w:iCs/>
          <w:lang w:val="pt-BR"/>
        </w:rPr>
        <w:t>Revista Prevenção de Infecção e Saúde</w:t>
      </w:r>
      <w:r w:rsidRPr="00992546">
        <w:rPr>
          <w:rFonts w:ascii="Arial" w:hAnsi="Arial" w:cs="Arial"/>
          <w:lang w:val="pt-BR"/>
        </w:rPr>
        <w:t>, Teresina, v. 4, p. 68–96, 2018.</w:t>
      </w:r>
    </w:p>
    <w:p w14:paraId="5E8B883C" w14:textId="77777777" w:rsidR="00992546" w:rsidRPr="002B6940" w:rsidRDefault="00992546" w:rsidP="00992546">
      <w:pPr>
        <w:ind w:left="360"/>
        <w:rPr>
          <w:rFonts w:ascii="Arial" w:hAnsi="Arial" w:cs="Arial"/>
          <w:lang w:val="pt-BR"/>
        </w:rPr>
      </w:pPr>
    </w:p>
    <w:p w14:paraId="0064BBDF" w14:textId="123D8E5F" w:rsidR="00992546" w:rsidRPr="00992546" w:rsidRDefault="00992546" w:rsidP="00992546">
      <w:pPr>
        <w:ind w:left="360"/>
        <w:rPr>
          <w:rFonts w:ascii="Arial" w:hAnsi="Arial" w:cs="Arial"/>
          <w:lang w:val="pt-BR"/>
        </w:rPr>
      </w:pPr>
      <w:r w:rsidRPr="00992546">
        <w:rPr>
          <w:rFonts w:ascii="Arial" w:hAnsi="Arial" w:cs="Arial"/>
          <w:lang w:val="pt-BR"/>
        </w:rPr>
        <w:t xml:space="preserve">FERREIRA, R. C. Z.; SOBRINHO, E. C. R.; ZÓIA, E. N.; FIGUEIREDO, R. M. Epidemiological profile of tuberculosis in a municipality in the interior of São Paulo (2001–2010). </w:t>
      </w:r>
      <w:r w:rsidRPr="00992546">
        <w:rPr>
          <w:rFonts w:ascii="Arial" w:hAnsi="Arial" w:cs="Arial"/>
          <w:i/>
          <w:iCs/>
          <w:lang w:val="pt-BR"/>
        </w:rPr>
        <w:t>Cuidado é Fundamental</w:t>
      </w:r>
      <w:r w:rsidRPr="00992546">
        <w:rPr>
          <w:rFonts w:ascii="Arial" w:hAnsi="Arial" w:cs="Arial"/>
          <w:lang w:val="pt-BR"/>
        </w:rPr>
        <w:t>, Rio de Janeiro, v. 7, n. 1, p. 7–12, 2013.</w:t>
      </w:r>
    </w:p>
    <w:p w14:paraId="7510328A" w14:textId="77777777" w:rsidR="00992546" w:rsidRPr="002B6940" w:rsidRDefault="00992546" w:rsidP="00992546">
      <w:pPr>
        <w:ind w:left="360"/>
        <w:rPr>
          <w:rFonts w:ascii="Arial" w:hAnsi="Arial" w:cs="Arial"/>
          <w:lang w:val="pt-BR"/>
        </w:rPr>
      </w:pPr>
    </w:p>
    <w:p w14:paraId="33881761" w14:textId="1619C110" w:rsidR="00992546" w:rsidRPr="00992546" w:rsidRDefault="00992546" w:rsidP="00992546">
      <w:pPr>
        <w:ind w:left="360"/>
        <w:rPr>
          <w:rFonts w:ascii="Arial" w:hAnsi="Arial" w:cs="Arial"/>
          <w:lang w:val="pt-BR"/>
        </w:rPr>
      </w:pPr>
      <w:r w:rsidRPr="00992546">
        <w:rPr>
          <w:rFonts w:ascii="Arial" w:hAnsi="Arial" w:cs="Arial"/>
          <w:lang w:val="pt-BR"/>
        </w:rPr>
        <w:t xml:space="preserve">FORTUNA, Jorge Luiz; SOARES, Paula Andréa Oliveira. Epidemiological profile of tuberculosis in the municipality of Teixeira de Freitas from 2001 to 2017. </w:t>
      </w:r>
      <w:r w:rsidRPr="00992546">
        <w:rPr>
          <w:rFonts w:ascii="Arial" w:hAnsi="Arial" w:cs="Arial"/>
          <w:i/>
          <w:iCs/>
          <w:lang w:val="pt-BR"/>
        </w:rPr>
        <w:t>Brazilian Journal of Health Review</w:t>
      </w:r>
      <w:r w:rsidRPr="00992546">
        <w:rPr>
          <w:rFonts w:ascii="Arial" w:hAnsi="Arial" w:cs="Arial"/>
          <w:lang w:val="pt-BR"/>
        </w:rPr>
        <w:t>, Curitiba, v. 3, n. 3, p. 7171–7186, 2020. DOI: 10.34119/bjhrv3n3-247.</w:t>
      </w:r>
    </w:p>
    <w:p w14:paraId="0B142CDA" w14:textId="77777777" w:rsidR="00992546" w:rsidRPr="002B6940" w:rsidRDefault="00992546" w:rsidP="00992546">
      <w:pPr>
        <w:ind w:left="360"/>
        <w:rPr>
          <w:rFonts w:ascii="Arial" w:hAnsi="Arial" w:cs="Arial"/>
          <w:lang w:val="pt-BR"/>
        </w:rPr>
      </w:pPr>
    </w:p>
    <w:p w14:paraId="06F5B504" w14:textId="15F5A052" w:rsidR="00992546" w:rsidRPr="00992546" w:rsidRDefault="00992546" w:rsidP="00992546">
      <w:pPr>
        <w:ind w:left="360"/>
        <w:rPr>
          <w:rFonts w:ascii="Arial" w:hAnsi="Arial" w:cs="Arial"/>
          <w:lang w:val="pt-BR"/>
        </w:rPr>
      </w:pPr>
      <w:r w:rsidRPr="00992546">
        <w:rPr>
          <w:rFonts w:ascii="Arial" w:hAnsi="Arial" w:cs="Arial"/>
          <w:lang w:val="pt-BR"/>
        </w:rPr>
        <w:t xml:space="preserve">VIEIRA, M. L. G.; LEITÃO, G. C. M. Tuberculosis: the documented reality of the Flávio Marcílio Health Center in Fortaleza-CE. </w:t>
      </w:r>
      <w:r w:rsidRPr="00992546">
        <w:rPr>
          <w:rFonts w:ascii="Arial" w:hAnsi="Arial" w:cs="Arial"/>
          <w:i/>
          <w:iCs/>
          <w:lang w:val="pt-BR"/>
        </w:rPr>
        <w:t>Rev Rene</w:t>
      </w:r>
      <w:r w:rsidRPr="00992546">
        <w:rPr>
          <w:rFonts w:ascii="Arial" w:hAnsi="Arial" w:cs="Arial"/>
          <w:lang w:val="pt-BR"/>
        </w:rPr>
        <w:t>, 2005.</w:t>
      </w:r>
    </w:p>
    <w:p w14:paraId="6FEFFB39" w14:textId="77777777" w:rsidR="00992546" w:rsidRPr="002B6940" w:rsidRDefault="00992546" w:rsidP="00992546">
      <w:pPr>
        <w:ind w:left="360"/>
        <w:rPr>
          <w:rFonts w:ascii="Arial" w:hAnsi="Arial" w:cs="Arial"/>
          <w:lang w:val="nb-NO"/>
        </w:rPr>
      </w:pPr>
    </w:p>
    <w:p w14:paraId="1B2E14FA" w14:textId="6C3CB4C6" w:rsidR="00992546" w:rsidRPr="00992546" w:rsidRDefault="00992546" w:rsidP="00992546">
      <w:pPr>
        <w:ind w:left="360"/>
        <w:rPr>
          <w:rFonts w:ascii="Arial" w:hAnsi="Arial" w:cs="Arial"/>
          <w:lang w:val="pt-BR"/>
        </w:rPr>
      </w:pPr>
      <w:r w:rsidRPr="00992546">
        <w:rPr>
          <w:rFonts w:ascii="Arial" w:hAnsi="Arial" w:cs="Arial"/>
          <w:lang w:val="nb-NO"/>
        </w:rPr>
        <w:t xml:space="preserve">DE OLIVEIRA GIROTI, Suellen Karina et al. </w:t>
      </w:r>
      <w:r w:rsidRPr="00992546">
        <w:rPr>
          <w:rFonts w:ascii="Arial" w:hAnsi="Arial" w:cs="Arial"/>
          <w:lang w:val="pt-BR"/>
        </w:rPr>
        <w:t xml:space="preserve">Profile of tuberculosis patients and factors associated with treatment abandonment. </w:t>
      </w:r>
      <w:r w:rsidRPr="00992546">
        <w:rPr>
          <w:rFonts w:ascii="Arial" w:hAnsi="Arial" w:cs="Arial"/>
          <w:i/>
          <w:iCs/>
          <w:lang w:val="pt-BR"/>
        </w:rPr>
        <w:t>Cogitare Enfermagem</w:t>
      </w:r>
      <w:r w:rsidRPr="00992546">
        <w:rPr>
          <w:rFonts w:ascii="Arial" w:hAnsi="Arial" w:cs="Arial"/>
          <w:lang w:val="pt-BR"/>
        </w:rPr>
        <w:t>, v. 15, n. 2, p. 271–277, 2010.</w:t>
      </w:r>
    </w:p>
    <w:p w14:paraId="57A7BAE2" w14:textId="77777777" w:rsidR="00992546" w:rsidRPr="002B6940" w:rsidRDefault="00992546" w:rsidP="00992546">
      <w:pPr>
        <w:ind w:left="360"/>
        <w:rPr>
          <w:rFonts w:ascii="Arial" w:hAnsi="Arial" w:cs="Arial"/>
          <w:lang w:val="pt-BR"/>
        </w:rPr>
      </w:pPr>
    </w:p>
    <w:p w14:paraId="51E768FA" w14:textId="1F59EB61" w:rsidR="00992546" w:rsidRPr="00992546" w:rsidRDefault="00992546" w:rsidP="00992546">
      <w:pPr>
        <w:ind w:left="360"/>
        <w:rPr>
          <w:rFonts w:ascii="Arial" w:hAnsi="Arial" w:cs="Arial"/>
          <w:lang w:val="pt-BR"/>
        </w:rPr>
      </w:pPr>
      <w:r w:rsidRPr="00992546">
        <w:rPr>
          <w:rFonts w:ascii="Arial" w:hAnsi="Arial" w:cs="Arial"/>
          <w:lang w:val="pt-BR"/>
        </w:rPr>
        <w:t xml:space="preserve">SILVA, Tereza Cristina et al. Factors associated with tuberculosis retreatment in priority municipalities of Maranhão, Brazil. </w:t>
      </w:r>
      <w:r w:rsidRPr="00992546">
        <w:rPr>
          <w:rFonts w:ascii="Arial" w:hAnsi="Arial" w:cs="Arial"/>
          <w:i/>
          <w:iCs/>
          <w:lang w:val="pt-BR"/>
        </w:rPr>
        <w:t>Ciência &amp; Saúde Coletiva</w:t>
      </w:r>
      <w:r w:rsidRPr="00992546">
        <w:rPr>
          <w:rFonts w:ascii="Arial" w:hAnsi="Arial" w:cs="Arial"/>
          <w:lang w:val="pt-BR"/>
        </w:rPr>
        <w:t>, Rio de Janeiro, v. 22, n. 12, p. 4095–4104, 2017.</w:t>
      </w:r>
    </w:p>
    <w:p w14:paraId="2B528B3D" w14:textId="77777777" w:rsidR="00992546" w:rsidRPr="002B6940" w:rsidRDefault="00992546" w:rsidP="00992546">
      <w:pPr>
        <w:ind w:left="360"/>
        <w:rPr>
          <w:rFonts w:ascii="Arial" w:hAnsi="Arial" w:cs="Arial"/>
          <w:lang w:val="pt-BR"/>
        </w:rPr>
      </w:pPr>
    </w:p>
    <w:p w14:paraId="35B31477" w14:textId="36C7D566" w:rsidR="00992546" w:rsidRPr="00992546" w:rsidRDefault="00992546" w:rsidP="00992546">
      <w:pPr>
        <w:ind w:left="360"/>
        <w:rPr>
          <w:rFonts w:ascii="Arial" w:hAnsi="Arial" w:cs="Arial"/>
          <w:lang w:val="pt-BR"/>
        </w:rPr>
      </w:pPr>
      <w:r w:rsidRPr="00992546">
        <w:rPr>
          <w:rFonts w:ascii="Arial" w:hAnsi="Arial" w:cs="Arial"/>
          <w:lang w:val="pt-BR"/>
        </w:rPr>
        <w:t xml:space="preserve">CARVALHO, Letícia Pereira et al. Overview of pulmonary tuberculosis in priority municipalities in the State of Pará, Brazil, from 2013 to 2017. </w:t>
      </w:r>
      <w:r w:rsidRPr="00992546">
        <w:rPr>
          <w:rFonts w:ascii="Arial" w:hAnsi="Arial" w:cs="Arial"/>
          <w:i/>
          <w:iCs/>
          <w:lang w:val="pt-BR"/>
        </w:rPr>
        <w:t>Brazilian Journal of Health Review</w:t>
      </w:r>
      <w:r w:rsidRPr="00992546">
        <w:rPr>
          <w:rFonts w:ascii="Arial" w:hAnsi="Arial" w:cs="Arial"/>
          <w:lang w:val="pt-BR"/>
        </w:rPr>
        <w:t>, Curitiba.</w:t>
      </w:r>
    </w:p>
    <w:p w14:paraId="25777843" w14:textId="77777777" w:rsidR="00992546" w:rsidRPr="002B6940" w:rsidRDefault="00992546" w:rsidP="00992546">
      <w:pPr>
        <w:ind w:left="360"/>
        <w:rPr>
          <w:rFonts w:ascii="Arial" w:hAnsi="Arial" w:cs="Arial"/>
          <w:lang w:val="pt-BR"/>
        </w:rPr>
      </w:pPr>
    </w:p>
    <w:p w14:paraId="3224E44F" w14:textId="6728DB71" w:rsidR="00992546" w:rsidRPr="00992546" w:rsidRDefault="00992546" w:rsidP="00992546">
      <w:pPr>
        <w:ind w:left="360"/>
        <w:rPr>
          <w:rFonts w:ascii="Arial" w:hAnsi="Arial" w:cs="Arial"/>
          <w:lang w:val="pt-BR"/>
        </w:rPr>
      </w:pPr>
      <w:r w:rsidRPr="00992546">
        <w:rPr>
          <w:rFonts w:ascii="Arial" w:hAnsi="Arial" w:cs="Arial"/>
          <w:lang w:val="pt-BR"/>
        </w:rPr>
        <w:t xml:space="preserve">SILVA, Myria Ribeiro da. Follow-up and outcome status of reported tuberculosis cases. </w:t>
      </w:r>
      <w:r w:rsidRPr="00992546">
        <w:rPr>
          <w:rFonts w:ascii="Arial" w:hAnsi="Arial" w:cs="Arial"/>
          <w:i/>
          <w:iCs/>
          <w:lang w:val="pt-BR"/>
        </w:rPr>
        <w:t>Revista de Enfermagem da UFPE on line</w:t>
      </w:r>
      <w:r w:rsidRPr="00992546">
        <w:rPr>
          <w:rFonts w:ascii="Arial" w:hAnsi="Arial" w:cs="Arial"/>
          <w:lang w:val="pt-BR"/>
        </w:rPr>
        <w:t>, Recife, v. 15, n. 1, p. 1–10, 2021.</w:t>
      </w:r>
    </w:p>
    <w:p w14:paraId="4FCC9D5C" w14:textId="77777777" w:rsidR="00992546" w:rsidRPr="002B6940" w:rsidRDefault="00992546" w:rsidP="00992546">
      <w:pPr>
        <w:ind w:left="360"/>
        <w:rPr>
          <w:rFonts w:ascii="Arial" w:hAnsi="Arial" w:cs="Arial"/>
          <w:lang w:val="pt-BR"/>
        </w:rPr>
      </w:pPr>
    </w:p>
    <w:p w14:paraId="4C5784B0" w14:textId="0ADCB306" w:rsidR="00992546" w:rsidRPr="00992546" w:rsidRDefault="00992546" w:rsidP="00992546">
      <w:pPr>
        <w:ind w:left="360"/>
        <w:rPr>
          <w:rFonts w:ascii="Arial" w:hAnsi="Arial" w:cs="Arial"/>
          <w:lang w:val="pt-BR"/>
        </w:rPr>
      </w:pPr>
      <w:r w:rsidRPr="00992546">
        <w:rPr>
          <w:rFonts w:ascii="Arial" w:hAnsi="Arial" w:cs="Arial"/>
          <w:lang w:val="pt-BR"/>
        </w:rPr>
        <w:t xml:space="preserve">SOUSA, Grasyele Oliveira et al. Epidemiology of tuberculosis in Northeast Brazil, 2015–2019. </w:t>
      </w:r>
      <w:r w:rsidRPr="00992546">
        <w:rPr>
          <w:rFonts w:ascii="Arial" w:hAnsi="Arial" w:cs="Arial"/>
          <w:i/>
          <w:iCs/>
          <w:lang w:val="pt-BR"/>
        </w:rPr>
        <w:t>Research, Society and Development</w:t>
      </w:r>
      <w:r w:rsidRPr="00992546">
        <w:rPr>
          <w:rFonts w:ascii="Arial" w:hAnsi="Arial" w:cs="Arial"/>
          <w:lang w:val="pt-BR"/>
        </w:rPr>
        <w:t>, v. 9, n. 8, 2020.</w:t>
      </w:r>
    </w:p>
    <w:p w14:paraId="548A338C" w14:textId="77777777" w:rsidR="00992546" w:rsidRPr="00992546" w:rsidRDefault="00992546" w:rsidP="00992546">
      <w:pPr>
        <w:ind w:left="360"/>
        <w:rPr>
          <w:rFonts w:ascii="Arial" w:hAnsi="Arial" w:cs="Arial"/>
          <w:lang w:val="pt-BR"/>
        </w:rPr>
      </w:pPr>
      <w:r w:rsidRPr="00992546">
        <w:rPr>
          <w:rFonts w:ascii="Arial" w:hAnsi="Arial" w:cs="Arial"/>
          <w:lang w:val="nb-NO"/>
        </w:rPr>
        <w:lastRenderedPageBreak/>
        <w:t xml:space="preserve">JESUS, Giselle Adryane da Silva et al. </w:t>
      </w:r>
      <w:r w:rsidRPr="00992546">
        <w:rPr>
          <w:rFonts w:ascii="Arial" w:hAnsi="Arial" w:cs="Arial"/>
          <w:lang w:val="pt-BR"/>
        </w:rPr>
        <w:t xml:space="preserve">Follow-up and outcome status of reported tuberculosis cases. </w:t>
      </w:r>
      <w:r w:rsidRPr="00992546">
        <w:rPr>
          <w:rFonts w:ascii="Arial" w:hAnsi="Arial" w:cs="Arial"/>
          <w:i/>
          <w:iCs/>
          <w:lang w:val="pt-BR"/>
        </w:rPr>
        <w:t>Revista de Enfermagem da UFPE on line</w:t>
      </w:r>
      <w:r w:rsidRPr="00992546">
        <w:rPr>
          <w:rFonts w:ascii="Arial" w:hAnsi="Arial" w:cs="Arial"/>
          <w:lang w:val="pt-BR"/>
        </w:rPr>
        <w:t>, Recife, v. 15, n. 1, p. 1–10, 2021.</w:t>
      </w:r>
    </w:p>
    <w:p w14:paraId="47E74D1E" w14:textId="77777777" w:rsidR="00992546" w:rsidRPr="002B6940" w:rsidRDefault="00992546" w:rsidP="00992546">
      <w:pPr>
        <w:ind w:left="360"/>
        <w:rPr>
          <w:rFonts w:ascii="Arial" w:hAnsi="Arial" w:cs="Arial"/>
          <w:lang w:val="pt-BR"/>
        </w:rPr>
      </w:pPr>
    </w:p>
    <w:p w14:paraId="54E85301" w14:textId="7D51D863" w:rsidR="00992546" w:rsidRPr="00992546" w:rsidRDefault="00992546" w:rsidP="00992546">
      <w:pPr>
        <w:ind w:left="360"/>
        <w:rPr>
          <w:rFonts w:ascii="Arial" w:hAnsi="Arial" w:cs="Arial"/>
          <w:lang w:val="pt-BR"/>
        </w:rPr>
      </w:pPr>
      <w:r w:rsidRPr="00992546">
        <w:rPr>
          <w:rFonts w:ascii="Arial" w:hAnsi="Arial" w:cs="Arial"/>
          <w:lang w:val="pt-BR"/>
        </w:rPr>
        <w:t xml:space="preserve">BASTA, Paulo Cesar et al. Social inequalities and tuberculosis: analysis according to race/color in Mato Grosso do Sul. </w:t>
      </w:r>
      <w:r w:rsidRPr="00992546">
        <w:rPr>
          <w:rFonts w:ascii="Arial" w:hAnsi="Arial" w:cs="Arial"/>
          <w:i/>
          <w:iCs/>
          <w:lang w:val="pt-BR"/>
        </w:rPr>
        <w:t>Revista de Saúde Pública</w:t>
      </w:r>
      <w:r w:rsidRPr="00992546">
        <w:rPr>
          <w:rFonts w:ascii="Arial" w:hAnsi="Arial" w:cs="Arial"/>
          <w:lang w:val="pt-BR"/>
        </w:rPr>
        <w:t>, São Paulo, v. 47, n. 5, p. 854–864, 2013.</w:t>
      </w:r>
    </w:p>
    <w:p w14:paraId="4841FCCB" w14:textId="77777777" w:rsidR="00992546" w:rsidRPr="002B6940" w:rsidRDefault="00992546" w:rsidP="00992546">
      <w:pPr>
        <w:ind w:left="360"/>
        <w:rPr>
          <w:rFonts w:ascii="Arial" w:hAnsi="Arial" w:cs="Arial"/>
          <w:lang w:val="pt-BR"/>
        </w:rPr>
      </w:pPr>
    </w:p>
    <w:p w14:paraId="6FC542B3" w14:textId="271E1615" w:rsidR="00992546" w:rsidRPr="00992546" w:rsidRDefault="00992546" w:rsidP="00992546">
      <w:pPr>
        <w:ind w:left="360"/>
        <w:rPr>
          <w:rFonts w:ascii="Arial" w:hAnsi="Arial" w:cs="Arial"/>
          <w:lang w:val="pt-BR"/>
        </w:rPr>
      </w:pPr>
      <w:r w:rsidRPr="00992546">
        <w:rPr>
          <w:rFonts w:ascii="Arial" w:hAnsi="Arial" w:cs="Arial"/>
          <w:lang w:val="pt-BR"/>
        </w:rPr>
        <w:t xml:space="preserve">CUNHA, João Pedro Arantes da et al. Risk factors and comorbidities associated with reported tuberculosis cases in the municipality of Campo Grande, Mato Grosso do Sul. </w:t>
      </w:r>
      <w:r w:rsidRPr="00992546">
        <w:rPr>
          <w:rFonts w:ascii="Arial" w:hAnsi="Arial" w:cs="Arial"/>
          <w:i/>
          <w:iCs/>
          <w:lang w:val="pt-BR"/>
        </w:rPr>
        <w:t>Revista Eletrônica Acervo Saúde</w:t>
      </w:r>
      <w:r w:rsidRPr="00992546">
        <w:rPr>
          <w:rFonts w:ascii="Arial" w:hAnsi="Arial" w:cs="Arial"/>
          <w:lang w:val="pt-BR"/>
        </w:rPr>
        <w:t>, v. 13, n. 8, 2021.</w:t>
      </w:r>
    </w:p>
    <w:p w14:paraId="194AEF17" w14:textId="77777777" w:rsidR="00992546" w:rsidRPr="002B6940" w:rsidRDefault="00992546" w:rsidP="00992546">
      <w:pPr>
        <w:ind w:left="360"/>
        <w:rPr>
          <w:rFonts w:ascii="Arial" w:hAnsi="Arial" w:cs="Arial"/>
          <w:lang w:val="pt-BR"/>
        </w:rPr>
      </w:pPr>
    </w:p>
    <w:p w14:paraId="7D9CB819" w14:textId="36BD5AA3" w:rsidR="00992546" w:rsidRPr="00992546" w:rsidRDefault="00992546" w:rsidP="00992546">
      <w:pPr>
        <w:ind w:left="360"/>
        <w:rPr>
          <w:rFonts w:ascii="Arial" w:hAnsi="Arial" w:cs="Arial"/>
          <w:lang w:val="pt-BR"/>
        </w:rPr>
      </w:pPr>
      <w:r w:rsidRPr="00992546">
        <w:rPr>
          <w:rFonts w:ascii="Arial" w:hAnsi="Arial" w:cs="Arial"/>
          <w:lang w:val="pt-BR"/>
        </w:rPr>
        <w:t xml:space="preserve">CUDAY, Patrick George Tobias; WILSON, Douglas; COHEN, Ted. </w:t>
      </w:r>
      <w:r w:rsidRPr="00992546">
        <w:rPr>
          <w:rFonts w:ascii="Arial" w:hAnsi="Arial" w:cs="Arial"/>
          <w:lang w:val="nb-NO"/>
        </w:rPr>
        <w:t xml:space="preserve">Risk factors for recurrent tuberculosis in a high burden setting: a cohort study. </w:t>
      </w:r>
      <w:r w:rsidRPr="00992546">
        <w:rPr>
          <w:rFonts w:ascii="Arial" w:hAnsi="Arial" w:cs="Arial"/>
          <w:i/>
          <w:iCs/>
          <w:lang w:val="pt-BR"/>
        </w:rPr>
        <w:t>BMC Infectious Diseases</w:t>
      </w:r>
      <w:r w:rsidRPr="00992546">
        <w:rPr>
          <w:rFonts w:ascii="Arial" w:hAnsi="Arial" w:cs="Arial"/>
          <w:lang w:val="pt-BR"/>
        </w:rPr>
        <w:t>, v. 20, p. 789, 2020.</w:t>
      </w:r>
    </w:p>
    <w:p w14:paraId="0361D3CD" w14:textId="77777777" w:rsidR="00992546" w:rsidRPr="002B6940" w:rsidRDefault="00992546" w:rsidP="00992546">
      <w:pPr>
        <w:ind w:left="360"/>
        <w:rPr>
          <w:rFonts w:ascii="Arial" w:hAnsi="Arial" w:cs="Arial"/>
          <w:lang w:val="pt-BR"/>
        </w:rPr>
      </w:pPr>
    </w:p>
    <w:p w14:paraId="004F86A8" w14:textId="78F5A903" w:rsidR="00992546" w:rsidRPr="00992546" w:rsidRDefault="00992546" w:rsidP="00992546">
      <w:pPr>
        <w:ind w:left="360"/>
        <w:rPr>
          <w:rFonts w:ascii="Arial" w:hAnsi="Arial" w:cs="Arial"/>
          <w:lang w:val="pt-BR"/>
        </w:rPr>
      </w:pPr>
      <w:r w:rsidRPr="00992546">
        <w:rPr>
          <w:rFonts w:ascii="Arial" w:hAnsi="Arial" w:cs="Arial"/>
          <w:lang w:val="nb-NO"/>
        </w:rPr>
        <w:t xml:space="preserve">PINTO, P. F. P. S. et al. </w:t>
      </w:r>
      <w:r w:rsidRPr="00992546">
        <w:rPr>
          <w:rFonts w:ascii="Arial" w:hAnsi="Arial" w:cs="Arial"/>
          <w:lang w:val="pt-BR"/>
        </w:rPr>
        <w:t xml:space="preserve">Performance evaluation of tuberculosis control in Brazilian municipalities. </w:t>
      </w:r>
      <w:r w:rsidRPr="00992546">
        <w:rPr>
          <w:rFonts w:ascii="Arial" w:hAnsi="Arial" w:cs="Arial"/>
          <w:i/>
          <w:iCs/>
          <w:lang w:val="pt-BR"/>
        </w:rPr>
        <w:t>Revista de Saúde Pública</w:t>
      </w:r>
      <w:r w:rsidRPr="00992546">
        <w:rPr>
          <w:rFonts w:ascii="Arial" w:hAnsi="Arial" w:cs="Arial"/>
          <w:lang w:val="pt-BR"/>
        </w:rPr>
        <w:t>, São Paulo, v. 56, p. 53, 2022.</w:t>
      </w:r>
    </w:p>
    <w:p w14:paraId="05ED79FB" w14:textId="77777777" w:rsidR="00992546" w:rsidRPr="00992546" w:rsidRDefault="00992546" w:rsidP="00992546">
      <w:pPr>
        <w:ind w:left="360"/>
        <w:rPr>
          <w:rFonts w:ascii="Arial" w:hAnsi="Arial" w:cs="Arial"/>
          <w:lang w:val="pt-BR"/>
        </w:rPr>
      </w:pPr>
      <w:r w:rsidRPr="00992546">
        <w:rPr>
          <w:rFonts w:ascii="Arial" w:hAnsi="Arial" w:cs="Arial"/>
          <w:lang w:val="pt-BR"/>
        </w:rPr>
        <w:t xml:space="preserve">COSTA, Rayssa Hellen Ferreira et al. Epidemiological and operational overview of tuberculosis in the state of Piauí: a portrait of a decade. </w:t>
      </w:r>
      <w:r w:rsidRPr="00992546">
        <w:rPr>
          <w:rFonts w:ascii="Arial" w:hAnsi="Arial" w:cs="Arial"/>
          <w:i/>
          <w:iCs/>
          <w:lang w:val="pt-BR"/>
        </w:rPr>
        <w:t>Research, Society and Development</w:t>
      </w:r>
      <w:r w:rsidRPr="00992546">
        <w:rPr>
          <w:rFonts w:ascii="Arial" w:hAnsi="Arial" w:cs="Arial"/>
          <w:lang w:val="pt-BR"/>
        </w:rPr>
        <w:t>, v. 9, n. 2, 2020.</w:t>
      </w:r>
    </w:p>
    <w:p w14:paraId="2E08385C" w14:textId="77777777" w:rsidR="00164A2C" w:rsidRPr="002B6940" w:rsidRDefault="00164A2C" w:rsidP="00992546">
      <w:pPr>
        <w:ind w:left="360"/>
        <w:rPr>
          <w:rFonts w:ascii="Arial" w:hAnsi="Arial" w:cs="Arial"/>
          <w:lang w:val="pt-BR"/>
        </w:rPr>
      </w:pPr>
    </w:p>
    <w:p w14:paraId="026D4657" w14:textId="35EBB194" w:rsidR="00992546" w:rsidRPr="00992546" w:rsidRDefault="00992546" w:rsidP="00992546">
      <w:pPr>
        <w:ind w:left="360"/>
        <w:rPr>
          <w:rFonts w:ascii="Arial" w:hAnsi="Arial" w:cs="Arial"/>
          <w:lang w:val="pt-BR"/>
        </w:rPr>
      </w:pPr>
      <w:r w:rsidRPr="00992546">
        <w:rPr>
          <w:rFonts w:ascii="Arial" w:hAnsi="Arial" w:cs="Arial"/>
          <w:lang w:val="pt-BR"/>
        </w:rPr>
        <w:t>OZORES, Beatriz Giovanna Garcia. Factors that hinder the early diagnosis of pulmonary tuberculosis. 2023. Undergraduate Thesis (Nursing) – Lusíada University Center, Santos, 2023.</w:t>
      </w:r>
    </w:p>
    <w:p w14:paraId="1FDBF5BB" w14:textId="77777777" w:rsidR="00164A2C" w:rsidRPr="002B6940" w:rsidRDefault="00164A2C" w:rsidP="00992546">
      <w:pPr>
        <w:ind w:left="360"/>
        <w:rPr>
          <w:rFonts w:ascii="Arial" w:hAnsi="Arial" w:cs="Arial"/>
          <w:lang w:val="pt-BR"/>
        </w:rPr>
      </w:pPr>
    </w:p>
    <w:p w14:paraId="35302347" w14:textId="18917902" w:rsidR="00992546" w:rsidRPr="00992546" w:rsidRDefault="00992546" w:rsidP="00992546">
      <w:pPr>
        <w:ind w:left="360"/>
        <w:rPr>
          <w:rFonts w:ascii="Arial" w:hAnsi="Arial" w:cs="Arial"/>
          <w:lang w:val="pt-BR"/>
        </w:rPr>
      </w:pPr>
      <w:r w:rsidRPr="00992546">
        <w:rPr>
          <w:rFonts w:ascii="Arial" w:hAnsi="Arial" w:cs="Arial"/>
          <w:lang w:val="pt-BR"/>
        </w:rPr>
        <w:t xml:space="preserve">NOGUEIRA, Péricles Alves; ABRAHÃO, Regina Maura Cabral de Melo; MALUCELLI, Maria Ivette Carboni. Sputum smear microscopy in patients hospitalized in tuberculosis hospitals in the State of São Paulo. </w:t>
      </w:r>
      <w:r w:rsidRPr="00992546">
        <w:rPr>
          <w:rFonts w:ascii="Arial" w:hAnsi="Arial" w:cs="Arial"/>
          <w:i/>
          <w:iCs/>
          <w:lang w:val="pt-BR"/>
        </w:rPr>
        <w:t>Brazilian Journal of Epidemiology</w:t>
      </w:r>
      <w:r w:rsidRPr="00992546">
        <w:rPr>
          <w:rFonts w:ascii="Arial" w:hAnsi="Arial" w:cs="Arial"/>
          <w:lang w:val="pt-BR"/>
        </w:rPr>
        <w:t>, v. 7, n. 1, p. 54–64, 2004.</w:t>
      </w:r>
    </w:p>
    <w:p w14:paraId="711658BC" w14:textId="77777777" w:rsidR="00164A2C" w:rsidRPr="002B6940" w:rsidRDefault="00164A2C" w:rsidP="00992546">
      <w:pPr>
        <w:ind w:left="360"/>
        <w:rPr>
          <w:rFonts w:ascii="Arial" w:hAnsi="Arial" w:cs="Arial"/>
          <w:lang w:val="pt-BR"/>
        </w:rPr>
      </w:pPr>
    </w:p>
    <w:p w14:paraId="12C619C8" w14:textId="68D93D6C" w:rsidR="00992546" w:rsidRPr="00992546" w:rsidRDefault="00992546" w:rsidP="00992546">
      <w:pPr>
        <w:ind w:left="360"/>
        <w:rPr>
          <w:rFonts w:ascii="Arial" w:hAnsi="Arial" w:cs="Arial"/>
          <w:lang w:val="pt-BR"/>
        </w:rPr>
      </w:pPr>
      <w:r w:rsidRPr="00992546">
        <w:rPr>
          <w:rFonts w:ascii="Arial" w:hAnsi="Arial" w:cs="Arial"/>
          <w:lang w:val="pt-BR"/>
        </w:rPr>
        <w:t xml:space="preserve">JÚNIOR, Antonio Carlos Vital et al. Evaluation of the epidemiological profile of tuberculosis and its TB-HIV coinfection in the states of Paraíba and Rio Grande do Norte. </w:t>
      </w:r>
      <w:r w:rsidRPr="00992546">
        <w:rPr>
          <w:rFonts w:ascii="Arial" w:hAnsi="Arial" w:cs="Arial"/>
          <w:i/>
          <w:iCs/>
          <w:lang w:val="pt-BR"/>
        </w:rPr>
        <w:t>Brazilian Journal of Development</w:t>
      </w:r>
      <w:r w:rsidRPr="00992546">
        <w:rPr>
          <w:rFonts w:ascii="Arial" w:hAnsi="Arial" w:cs="Arial"/>
          <w:lang w:val="pt-BR"/>
        </w:rPr>
        <w:t>, Curitiba, v. 6, n. 1, p. 441–456, 2020.</w:t>
      </w:r>
    </w:p>
    <w:p w14:paraId="0D0C5989" w14:textId="77777777" w:rsidR="00164A2C" w:rsidRPr="002B6940" w:rsidRDefault="00164A2C" w:rsidP="00992546">
      <w:pPr>
        <w:ind w:left="360"/>
        <w:rPr>
          <w:rFonts w:ascii="Arial" w:hAnsi="Arial" w:cs="Arial"/>
          <w:lang w:val="pt-BR"/>
        </w:rPr>
      </w:pPr>
    </w:p>
    <w:p w14:paraId="54D7BFDB" w14:textId="5D1BC2C8" w:rsidR="00992546" w:rsidRPr="00992546" w:rsidRDefault="00992546" w:rsidP="00992546">
      <w:pPr>
        <w:ind w:left="360"/>
        <w:rPr>
          <w:rFonts w:ascii="Arial" w:hAnsi="Arial" w:cs="Arial"/>
          <w:lang w:val="pt-BR"/>
        </w:rPr>
      </w:pPr>
      <w:r w:rsidRPr="00992546">
        <w:rPr>
          <w:rFonts w:ascii="Arial" w:hAnsi="Arial" w:cs="Arial"/>
          <w:lang w:val="pt-BR"/>
        </w:rPr>
        <w:t xml:space="preserve">LIPORACI, Quésia Ferreira da Silva et al. Monitoring of notification of pulmonary tuberculosis cases with laboratory confirmation in the municipality of Rio de Janeiro. </w:t>
      </w:r>
      <w:r w:rsidRPr="00992546">
        <w:rPr>
          <w:rFonts w:ascii="Arial" w:hAnsi="Arial" w:cs="Arial"/>
          <w:i/>
          <w:iCs/>
          <w:lang w:val="pt-BR"/>
        </w:rPr>
        <w:t>REVA Acadêmica: Revista Científica da Saúde</w:t>
      </w:r>
      <w:r w:rsidRPr="00992546">
        <w:rPr>
          <w:rFonts w:ascii="Arial" w:hAnsi="Arial" w:cs="Arial"/>
          <w:lang w:val="pt-BR"/>
        </w:rPr>
        <w:t>, Rio de Janeiro, v. 3, n. 1, p. 1–6, 2018.</w:t>
      </w:r>
    </w:p>
    <w:p w14:paraId="514C94EF" w14:textId="77777777" w:rsidR="00164A2C" w:rsidRPr="002B6940" w:rsidRDefault="00164A2C" w:rsidP="00992546">
      <w:pPr>
        <w:ind w:left="360"/>
        <w:rPr>
          <w:rFonts w:ascii="Arial" w:hAnsi="Arial" w:cs="Arial"/>
          <w:lang w:val="pt-BR"/>
        </w:rPr>
      </w:pPr>
    </w:p>
    <w:p w14:paraId="03933106" w14:textId="32F11DAC" w:rsidR="00133761" w:rsidRPr="002B6940" w:rsidRDefault="00992546" w:rsidP="002B6940">
      <w:pPr>
        <w:ind w:left="360"/>
        <w:rPr>
          <w:rFonts w:ascii="Arial" w:hAnsi="Arial" w:cs="Arial"/>
          <w:lang w:val="pt-BR"/>
        </w:rPr>
        <w:sectPr w:rsidR="00133761" w:rsidRPr="002B6940" w:rsidSect="006F5642">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r w:rsidRPr="00992546">
        <w:rPr>
          <w:rFonts w:ascii="Arial" w:hAnsi="Arial" w:cs="Arial"/>
          <w:lang w:val="pt-BR"/>
        </w:rPr>
        <w:t xml:space="preserve">BERTONI, Thâmara Aline et al. Paracoccidioidomycosis and tuberculosis: differential diagnosis. </w:t>
      </w:r>
      <w:r w:rsidRPr="00992546">
        <w:rPr>
          <w:rFonts w:ascii="Arial" w:hAnsi="Arial" w:cs="Arial"/>
          <w:i/>
          <w:iCs/>
          <w:lang w:val="pt-BR"/>
        </w:rPr>
        <w:t>Revista da Sociedade Brasileira de Medicina Tropical</w:t>
      </w:r>
      <w:r w:rsidRPr="00992546">
        <w:rPr>
          <w:rFonts w:ascii="Arial" w:hAnsi="Arial" w:cs="Arial"/>
          <w:lang w:val="pt-BR"/>
        </w:rPr>
        <w:t>, v. 43, n. 1, p. 86–88, 2010.</w:t>
      </w:r>
    </w:p>
    <w:p w14:paraId="40CC6947" w14:textId="77777777" w:rsidR="00B01FCD" w:rsidRPr="002B6940" w:rsidRDefault="00B01FCD" w:rsidP="00441B6F">
      <w:pPr>
        <w:pStyle w:val="Appendix"/>
        <w:spacing w:after="0"/>
        <w:jc w:val="both"/>
        <w:rPr>
          <w:rFonts w:ascii="Arial" w:hAnsi="Arial" w:cs="Arial"/>
          <w:b w:val="0"/>
          <w:lang w:val="pt-BR"/>
        </w:rPr>
      </w:pPr>
    </w:p>
    <w:sectPr w:rsidR="00B01FCD" w:rsidRPr="002B6940" w:rsidSect="006F564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F9B3D" w14:textId="77777777" w:rsidR="003E3BFC" w:rsidRDefault="003E3BFC" w:rsidP="00C37E61">
      <w:r>
        <w:separator/>
      </w:r>
    </w:p>
  </w:endnote>
  <w:endnote w:type="continuationSeparator" w:id="0">
    <w:p w14:paraId="7FC2CFCD" w14:textId="77777777" w:rsidR="003E3BFC" w:rsidRDefault="003E3BF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62765" w14:textId="77777777" w:rsidR="001A1A98" w:rsidRDefault="001A1A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6F03E" w14:textId="77777777" w:rsidR="001A1A98" w:rsidRDefault="001A1A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08476" w14:textId="77777777" w:rsidR="009E048A" w:rsidRDefault="009E048A">
    <w:pPr>
      <w:pStyle w:val="Footer"/>
      <w:rPr>
        <w:rFonts w:ascii="Arial" w:hAnsi="Arial" w:cs="Arial"/>
        <w:sz w:val="16"/>
      </w:rPr>
    </w:pPr>
  </w:p>
  <w:p w14:paraId="35A6796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E8C831E" w14:textId="77777777" w:rsidR="009E048A" w:rsidRDefault="009E048A">
    <w:pPr>
      <w:pStyle w:val="Footer"/>
      <w:rPr>
        <w:rFonts w:ascii="Arial" w:hAnsi="Arial" w:cs="Arial"/>
        <w:sz w:val="16"/>
      </w:rPr>
    </w:pPr>
  </w:p>
  <w:p w14:paraId="7F8EE4C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7ED3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2F50E" w14:textId="77777777" w:rsidR="003E3BFC" w:rsidRDefault="003E3BFC" w:rsidP="00C37E61">
      <w:r>
        <w:separator/>
      </w:r>
    </w:p>
  </w:footnote>
  <w:footnote w:type="continuationSeparator" w:id="0">
    <w:p w14:paraId="708381F1" w14:textId="77777777" w:rsidR="003E3BFC" w:rsidRDefault="003E3BF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86E9A" w14:textId="1DE6D04B" w:rsidR="001A1A98" w:rsidRDefault="001A1A98">
    <w:pPr>
      <w:pStyle w:val="Header"/>
    </w:pPr>
    <w:r>
      <w:rPr>
        <w:noProof/>
      </w:rPr>
      <w:pict w14:anchorId="27846A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76797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58A00" w14:textId="61B7C435" w:rsidR="001A1A98" w:rsidRDefault="001A1A98">
    <w:pPr>
      <w:pStyle w:val="Header"/>
    </w:pPr>
    <w:r>
      <w:rPr>
        <w:noProof/>
      </w:rPr>
      <w:pict w14:anchorId="58376F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76797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95220" w14:textId="773DB8D2" w:rsidR="00296529" w:rsidRPr="00296529" w:rsidRDefault="001A1A98" w:rsidP="00296529">
    <w:pPr>
      <w:ind w:left="2160"/>
      <w:jc w:val="center"/>
      <w:rPr>
        <w:rFonts w:ascii="Times New Roman" w:eastAsia="Calibri" w:hAnsi="Times New Roman"/>
        <w:i/>
        <w:sz w:val="18"/>
        <w:szCs w:val="22"/>
      </w:rPr>
    </w:pPr>
    <w:r>
      <w:rPr>
        <w:noProof/>
      </w:rPr>
      <w:pict w14:anchorId="263C6D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76796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950790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F40E96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847BE4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35AC4A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C36992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59F25C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05A72" w14:textId="30EB62F4" w:rsidR="001A1A98" w:rsidRDefault="001A1A98">
    <w:pPr>
      <w:pStyle w:val="Header"/>
    </w:pPr>
    <w:r>
      <w:rPr>
        <w:noProof/>
      </w:rPr>
      <w:pict w14:anchorId="46E742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76797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B0D72" w14:textId="247410CE" w:rsidR="001A1A98" w:rsidRDefault="001A1A98">
    <w:pPr>
      <w:pStyle w:val="Header"/>
    </w:pPr>
    <w:r>
      <w:rPr>
        <w:noProof/>
      </w:rPr>
      <w:pict w14:anchorId="087250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76797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11B75" w14:textId="5C77C441" w:rsidR="001A1A98" w:rsidRDefault="001A1A98">
    <w:pPr>
      <w:pStyle w:val="Header"/>
    </w:pPr>
    <w:r>
      <w:rPr>
        <w:noProof/>
      </w:rPr>
      <w:pict w14:anchorId="2B0AE8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76797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D0475BD"/>
    <w:multiLevelType w:val="hybridMultilevel"/>
    <w:tmpl w:val="55A281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7A94"/>
    <w:rsid w:val="00026471"/>
    <w:rsid w:val="00030174"/>
    <w:rsid w:val="0004579C"/>
    <w:rsid w:val="00052258"/>
    <w:rsid w:val="0005347C"/>
    <w:rsid w:val="000607FA"/>
    <w:rsid w:val="000803A8"/>
    <w:rsid w:val="000867B1"/>
    <w:rsid w:val="000A3FB2"/>
    <w:rsid w:val="000A47FA"/>
    <w:rsid w:val="000A65D3"/>
    <w:rsid w:val="000B1E33"/>
    <w:rsid w:val="000B75C2"/>
    <w:rsid w:val="000D689F"/>
    <w:rsid w:val="000E7B7B"/>
    <w:rsid w:val="000E7D62"/>
    <w:rsid w:val="00103357"/>
    <w:rsid w:val="001072C1"/>
    <w:rsid w:val="001100EE"/>
    <w:rsid w:val="00121267"/>
    <w:rsid w:val="00123C9F"/>
    <w:rsid w:val="00126190"/>
    <w:rsid w:val="00130F17"/>
    <w:rsid w:val="001320BF"/>
    <w:rsid w:val="00132FC1"/>
    <w:rsid w:val="00133761"/>
    <w:rsid w:val="00134787"/>
    <w:rsid w:val="00163BC4"/>
    <w:rsid w:val="00164A2C"/>
    <w:rsid w:val="00181CCA"/>
    <w:rsid w:val="00191062"/>
    <w:rsid w:val="00192927"/>
    <w:rsid w:val="00192B72"/>
    <w:rsid w:val="001A0B36"/>
    <w:rsid w:val="001A1A98"/>
    <w:rsid w:val="001A29D8"/>
    <w:rsid w:val="001A5CAA"/>
    <w:rsid w:val="001B0427"/>
    <w:rsid w:val="001B2B4E"/>
    <w:rsid w:val="001D3A51"/>
    <w:rsid w:val="001E10D2"/>
    <w:rsid w:val="001E25B4"/>
    <w:rsid w:val="001E44FE"/>
    <w:rsid w:val="001F5DE3"/>
    <w:rsid w:val="00200595"/>
    <w:rsid w:val="0020317C"/>
    <w:rsid w:val="00204835"/>
    <w:rsid w:val="00205CB2"/>
    <w:rsid w:val="00206E6B"/>
    <w:rsid w:val="00211D49"/>
    <w:rsid w:val="00231920"/>
    <w:rsid w:val="0023195C"/>
    <w:rsid w:val="00233ABD"/>
    <w:rsid w:val="0024282C"/>
    <w:rsid w:val="002460DC"/>
    <w:rsid w:val="00250985"/>
    <w:rsid w:val="00253692"/>
    <w:rsid w:val="002556F6"/>
    <w:rsid w:val="00272D81"/>
    <w:rsid w:val="00276AC2"/>
    <w:rsid w:val="00283105"/>
    <w:rsid w:val="00284C4C"/>
    <w:rsid w:val="00287E68"/>
    <w:rsid w:val="00287FC2"/>
    <w:rsid w:val="00296529"/>
    <w:rsid w:val="002A545A"/>
    <w:rsid w:val="002B27FB"/>
    <w:rsid w:val="002B685A"/>
    <w:rsid w:val="002B6940"/>
    <w:rsid w:val="002C57D2"/>
    <w:rsid w:val="002E0D56"/>
    <w:rsid w:val="00301795"/>
    <w:rsid w:val="003047F4"/>
    <w:rsid w:val="00311DCB"/>
    <w:rsid w:val="00315186"/>
    <w:rsid w:val="0033343E"/>
    <w:rsid w:val="003512C2"/>
    <w:rsid w:val="0035269F"/>
    <w:rsid w:val="00353192"/>
    <w:rsid w:val="00364317"/>
    <w:rsid w:val="003646F9"/>
    <w:rsid w:val="00365772"/>
    <w:rsid w:val="003718A4"/>
    <w:rsid w:val="00371FB6"/>
    <w:rsid w:val="00372D80"/>
    <w:rsid w:val="003763C1"/>
    <w:rsid w:val="00376BBE"/>
    <w:rsid w:val="0039224F"/>
    <w:rsid w:val="003A1799"/>
    <w:rsid w:val="003A43A4"/>
    <w:rsid w:val="003A7E18"/>
    <w:rsid w:val="003C2E2F"/>
    <w:rsid w:val="003C4C86"/>
    <w:rsid w:val="003C6258"/>
    <w:rsid w:val="003D7008"/>
    <w:rsid w:val="003E2904"/>
    <w:rsid w:val="003E3BFC"/>
    <w:rsid w:val="00400458"/>
    <w:rsid w:val="00401927"/>
    <w:rsid w:val="0041027F"/>
    <w:rsid w:val="00412475"/>
    <w:rsid w:val="00417E10"/>
    <w:rsid w:val="00423789"/>
    <w:rsid w:val="004343F6"/>
    <w:rsid w:val="00440F43"/>
    <w:rsid w:val="00441B6F"/>
    <w:rsid w:val="00446221"/>
    <w:rsid w:val="00450E62"/>
    <w:rsid w:val="004539DB"/>
    <w:rsid w:val="00460651"/>
    <w:rsid w:val="00471A80"/>
    <w:rsid w:val="00477574"/>
    <w:rsid w:val="00481127"/>
    <w:rsid w:val="0048478A"/>
    <w:rsid w:val="004A4B50"/>
    <w:rsid w:val="004D0E7A"/>
    <w:rsid w:val="004D305E"/>
    <w:rsid w:val="004D4277"/>
    <w:rsid w:val="00502516"/>
    <w:rsid w:val="00505F06"/>
    <w:rsid w:val="00506828"/>
    <w:rsid w:val="005171A4"/>
    <w:rsid w:val="0053056E"/>
    <w:rsid w:val="00554FDA"/>
    <w:rsid w:val="00561222"/>
    <w:rsid w:val="005C1E79"/>
    <w:rsid w:val="005C784C"/>
    <w:rsid w:val="005D17F6"/>
    <w:rsid w:val="005E5539"/>
    <w:rsid w:val="00602BF5"/>
    <w:rsid w:val="0061007A"/>
    <w:rsid w:val="006131FA"/>
    <w:rsid w:val="00617FDD"/>
    <w:rsid w:val="00633614"/>
    <w:rsid w:val="00633F68"/>
    <w:rsid w:val="00636EB2"/>
    <w:rsid w:val="006375B8"/>
    <w:rsid w:val="0066510A"/>
    <w:rsid w:val="00673F9F"/>
    <w:rsid w:val="0067716D"/>
    <w:rsid w:val="00686953"/>
    <w:rsid w:val="00687DEA"/>
    <w:rsid w:val="00687E67"/>
    <w:rsid w:val="006936F7"/>
    <w:rsid w:val="006967F7"/>
    <w:rsid w:val="006A250C"/>
    <w:rsid w:val="006B21D3"/>
    <w:rsid w:val="006B57D0"/>
    <w:rsid w:val="006B7EAB"/>
    <w:rsid w:val="006C1D85"/>
    <w:rsid w:val="006C23F9"/>
    <w:rsid w:val="006D30FF"/>
    <w:rsid w:val="006D44CA"/>
    <w:rsid w:val="006D6940"/>
    <w:rsid w:val="006E21A0"/>
    <w:rsid w:val="006E2619"/>
    <w:rsid w:val="006F11EC"/>
    <w:rsid w:val="006F1281"/>
    <w:rsid w:val="006F5642"/>
    <w:rsid w:val="0070082C"/>
    <w:rsid w:val="00703F7D"/>
    <w:rsid w:val="00705EF0"/>
    <w:rsid w:val="00711405"/>
    <w:rsid w:val="00711883"/>
    <w:rsid w:val="00713A77"/>
    <w:rsid w:val="007369E6"/>
    <w:rsid w:val="00740040"/>
    <w:rsid w:val="00746E59"/>
    <w:rsid w:val="00752B7B"/>
    <w:rsid w:val="00754C9A"/>
    <w:rsid w:val="0075599A"/>
    <w:rsid w:val="00761D52"/>
    <w:rsid w:val="007624C7"/>
    <w:rsid w:val="0077749E"/>
    <w:rsid w:val="007824B6"/>
    <w:rsid w:val="007871C4"/>
    <w:rsid w:val="00790ADA"/>
    <w:rsid w:val="007A5D46"/>
    <w:rsid w:val="007B0318"/>
    <w:rsid w:val="007D2288"/>
    <w:rsid w:val="007D59AE"/>
    <w:rsid w:val="007E088F"/>
    <w:rsid w:val="007E0FAA"/>
    <w:rsid w:val="007E46C7"/>
    <w:rsid w:val="007F7B32"/>
    <w:rsid w:val="00804BC2"/>
    <w:rsid w:val="0081431A"/>
    <w:rsid w:val="0083216F"/>
    <w:rsid w:val="00853064"/>
    <w:rsid w:val="0085643C"/>
    <w:rsid w:val="00860000"/>
    <w:rsid w:val="00861803"/>
    <w:rsid w:val="00863BD3"/>
    <w:rsid w:val="008641ED"/>
    <w:rsid w:val="00866946"/>
    <w:rsid w:val="00866D66"/>
    <w:rsid w:val="008671C6"/>
    <w:rsid w:val="00874268"/>
    <w:rsid w:val="00875803"/>
    <w:rsid w:val="0089058B"/>
    <w:rsid w:val="008A3C90"/>
    <w:rsid w:val="008A4760"/>
    <w:rsid w:val="008A5A42"/>
    <w:rsid w:val="008B459E"/>
    <w:rsid w:val="008C5DE4"/>
    <w:rsid w:val="008D729C"/>
    <w:rsid w:val="008E13AE"/>
    <w:rsid w:val="008E1506"/>
    <w:rsid w:val="008E710C"/>
    <w:rsid w:val="008F69D6"/>
    <w:rsid w:val="00900FC4"/>
    <w:rsid w:val="00902823"/>
    <w:rsid w:val="009041F4"/>
    <w:rsid w:val="00915CA6"/>
    <w:rsid w:val="009176E8"/>
    <w:rsid w:val="00927834"/>
    <w:rsid w:val="0095005E"/>
    <w:rsid w:val="009500A6"/>
    <w:rsid w:val="00957C18"/>
    <w:rsid w:val="009659BA"/>
    <w:rsid w:val="009662C7"/>
    <w:rsid w:val="0097725D"/>
    <w:rsid w:val="009818D0"/>
    <w:rsid w:val="00983040"/>
    <w:rsid w:val="00992546"/>
    <w:rsid w:val="00994AB3"/>
    <w:rsid w:val="009B1324"/>
    <w:rsid w:val="009B3FB9"/>
    <w:rsid w:val="009C2465"/>
    <w:rsid w:val="009D1535"/>
    <w:rsid w:val="009D35A0"/>
    <w:rsid w:val="009D7EB7"/>
    <w:rsid w:val="009E0434"/>
    <w:rsid w:val="009E048A"/>
    <w:rsid w:val="009E08E9"/>
    <w:rsid w:val="009E3DB9"/>
    <w:rsid w:val="009E6E35"/>
    <w:rsid w:val="009F0EDA"/>
    <w:rsid w:val="00A03B96"/>
    <w:rsid w:val="00A05B19"/>
    <w:rsid w:val="00A1134E"/>
    <w:rsid w:val="00A24E7E"/>
    <w:rsid w:val="00A258C3"/>
    <w:rsid w:val="00A347C0"/>
    <w:rsid w:val="00A37AAA"/>
    <w:rsid w:val="00A427BA"/>
    <w:rsid w:val="00A51431"/>
    <w:rsid w:val="00A539AD"/>
    <w:rsid w:val="00A6650A"/>
    <w:rsid w:val="00A85006"/>
    <w:rsid w:val="00A94063"/>
    <w:rsid w:val="00A9623E"/>
    <w:rsid w:val="00AA6219"/>
    <w:rsid w:val="00AA74E0"/>
    <w:rsid w:val="00AB703F"/>
    <w:rsid w:val="00AC58C8"/>
    <w:rsid w:val="00AC6BB8"/>
    <w:rsid w:val="00AE008F"/>
    <w:rsid w:val="00B01FCD"/>
    <w:rsid w:val="00B1776C"/>
    <w:rsid w:val="00B234F4"/>
    <w:rsid w:val="00B45742"/>
    <w:rsid w:val="00B52583"/>
    <w:rsid w:val="00B52896"/>
    <w:rsid w:val="00B855EB"/>
    <w:rsid w:val="00B914D4"/>
    <w:rsid w:val="00B95236"/>
    <w:rsid w:val="00B96BD9"/>
    <w:rsid w:val="00BA1B01"/>
    <w:rsid w:val="00BA2641"/>
    <w:rsid w:val="00BB37AA"/>
    <w:rsid w:val="00BC53A0"/>
    <w:rsid w:val="00BD3CA4"/>
    <w:rsid w:val="00BE2E45"/>
    <w:rsid w:val="00BE62AD"/>
    <w:rsid w:val="00BF121F"/>
    <w:rsid w:val="00BF1F80"/>
    <w:rsid w:val="00C11E4F"/>
    <w:rsid w:val="00C166EF"/>
    <w:rsid w:val="00C17EB0"/>
    <w:rsid w:val="00C252CF"/>
    <w:rsid w:val="00C26182"/>
    <w:rsid w:val="00C27F5F"/>
    <w:rsid w:val="00C30A0F"/>
    <w:rsid w:val="00C35D3A"/>
    <w:rsid w:val="00C37E61"/>
    <w:rsid w:val="00C57D95"/>
    <w:rsid w:val="00C64B45"/>
    <w:rsid w:val="00C67EEA"/>
    <w:rsid w:val="00C70F1B"/>
    <w:rsid w:val="00C71A47"/>
    <w:rsid w:val="00C74261"/>
    <w:rsid w:val="00C7464C"/>
    <w:rsid w:val="00C777C4"/>
    <w:rsid w:val="00C85588"/>
    <w:rsid w:val="00C91FED"/>
    <w:rsid w:val="00C96234"/>
    <w:rsid w:val="00CA1A88"/>
    <w:rsid w:val="00CC5798"/>
    <w:rsid w:val="00CD61D8"/>
    <w:rsid w:val="00CD6755"/>
    <w:rsid w:val="00CD6856"/>
    <w:rsid w:val="00CE0089"/>
    <w:rsid w:val="00CE793C"/>
    <w:rsid w:val="00CF193C"/>
    <w:rsid w:val="00CF637D"/>
    <w:rsid w:val="00D0013B"/>
    <w:rsid w:val="00D14349"/>
    <w:rsid w:val="00D173F1"/>
    <w:rsid w:val="00D23D30"/>
    <w:rsid w:val="00D74CB0"/>
    <w:rsid w:val="00D80F41"/>
    <w:rsid w:val="00D8295D"/>
    <w:rsid w:val="00D848BD"/>
    <w:rsid w:val="00DA683A"/>
    <w:rsid w:val="00DC2A65"/>
    <w:rsid w:val="00DC2E62"/>
    <w:rsid w:val="00DE15F0"/>
    <w:rsid w:val="00DE5663"/>
    <w:rsid w:val="00DE78AA"/>
    <w:rsid w:val="00E053D0"/>
    <w:rsid w:val="00E153B4"/>
    <w:rsid w:val="00E15994"/>
    <w:rsid w:val="00E3114E"/>
    <w:rsid w:val="00E31A70"/>
    <w:rsid w:val="00E35B02"/>
    <w:rsid w:val="00E522CC"/>
    <w:rsid w:val="00E53E65"/>
    <w:rsid w:val="00E62630"/>
    <w:rsid w:val="00E66496"/>
    <w:rsid w:val="00E66B35"/>
    <w:rsid w:val="00E66E10"/>
    <w:rsid w:val="00E769F6"/>
    <w:rsid w:val="00E8407C"/>
    <w:rsid w:val="00E84F3C"/>
    <w:rsid w:val="00E865DE"/>
    <w:rsid w:val="00E8710E"/>
    <w:rsid w:val="00E96684"/>
    <w:rsid w:val="00EA012C"/>
    <w:rsid w:val="00EA0C0E"/>
    <w:rsid w:val="00EC6A55"/>
    <w:rsid w:val="00ED0288"/>
    <w:rsid w:val="00EE52CB"/>
    <w:rsid w:val="00EF581D"/>
    <w:rsid w:val="00EF7FD8"/>
    <w:rsid w:val="00F06F59"/>
    <w:rsid w:val="00F17988"/>
    <w:rsid w:val="00F17C1D"/>
    <w:rsid w:val="00F42137"/>
    <w:rsid w:val="00F428E9"/>
    <w:rsid w:val="00F469F0"/>
    <w:rsid w:val="00F53273"/>
    <w:rsid w:val="00F755E4"/>
    <w:rsid w:val="00F77D02"/>
    <w:rsid w:val="00FB3A86"/>
    <w:rsid w:val="00FB591F"/>
    <w:rsid w:val="00FC20A8"/>
    <w:rsid w:val="00FD36C8"/>
    <w:rsid w:val="00FD7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AED6B2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133761"/>
    <w:pPr>
      <w:spacing w:after="120"/>
    </w:pPr>
  </w:style>
  <w:style w:type="character" w:customStyle="1" w:styleId="BodyTextChar">
    <w:name w:val="Body Text Char"/>
    <w:basedOn w:val="DefaultParagraphFont"/>
    <w:link w:val="BodyText"/>
    <w:semiHidden/>
    <w:rsid w:val="00133761"/>
    <w:rPr>
      <w:rFonts w:ascii="Helvetica" w:hAnsi="Helvetica"/>
    </w:rPr>
  </w:style>
  <w:style w:type="paragraph" w:styleId="CommentSubject">
    <w:name w:val="annotation subject"/>
    <w:basedOn w:val="CommentText"/>
    <w:next w:val="CommentText"/>
    <w:link w:val="CommentSubjectChar"/>
    <w:semiHidden/>
    <w:unhideWhenUsed/>
    <w:rsid w:val="00364317"/>
    <w:rPr>
      <w:rFonts w:ascii="Helvetica" w:hAnsi="Helvetica"/>
      <w:b/>
      <w:bCs/>
      <w:lang w:val="en-US" w:eastAsia="en-US"/>
    </w:rPr>
  </w:style>
  <w:style w:type="character" w:customStyle="1" w:styleId="CommentSubjectChar">
    <w:name w:val="Comment Subject Char"/>
    <w:basedOn w:val="CommentTextChar"/>
    <w:link w:val="CommentSubject"/>
    <w:semiHidden/>
    <w:rsid w:val="00364317"/>
    <w:rPr>
      <w:rFonts w:ascii="Helvetica" w:hAnsi="Helvetica"/>
      <w:b/>
      <w:bCs/>
      <w:lang w:val="nb-NO" w:eastAsia="nb-NO"/>
    </w:rPr>
  </w:style>
  <w:style w:type="paragraph" w:styleId="NormalWeb">
    <w:name w:val="Normal (Web)"/>
    <w:basedOn w:val="Normal"/>
    <w:semiHidden/>
    <w:unhideWhenUsed/>
    <w:rsid w:val="00C74261"/>
    <w:rPr>
      <w:rFonts w:ascii="Times New Roman" w:hAnsi="Times New Roman"/>
      <w:sz w:val="24"/>
      <w:szCs w:val="24"/>
    </w:rPr>
  </w:style>
  <w:style w:type="paragraph" w:styleId="Revision">
    <w:name w:val="Revision"/>
    <w:hidden/>
    <w:uiPriority w:val="99"/>
    <w:semiHidden/>
    <w:rsid w:val="00205CB2"/>
    <w:rPr>
      <w:rFonts w:ascii="Helvetica" w:hAnsi="Helvetica"/>
    </w:rPr>
  </w:style>
  <w:style w:type="paragraph" w:styleId="ListParagraph">
    <w:name w:val="List Paragraph"/>
    <w:basedOn w:val="Normal"/>
    <w:uiPriority w:val="34"/>
    <w:qFormat/>
    <w:rsid w:val="000803A8"/>
    <w:pPr>
      <w:ind w:left="720"/>
      <w:contextualSpacing/>
    </w:pPr>
  </w:style>
  <w:style w:type="table" w:customStyle="1" w:styleId="TableGrid1">
    <w:name w:val="Table Grid1"/>
    <w:basedOn w:val="TableNormal"/>
    <w:next w:val="TableGrid"/>
    <w:uiPriority w:val="39"/>
    <w:rsid w:val="00017A94"/>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5669089">
      <w:bodyDiv w:val="1"/>
      <w:marLeft w:val="0"/>
      <w:marRight w:val="0"/>
      <w:marTop w:val="0"/>
      <w:marBottom w:val="0"/>
      <w:divBdr>
        <w:top w:val="none" w:sz="0" w:space="0" w:color="auto"/>
        <w:left w:val="none" w:sz="0" w:space="0" w:color="auto"/>
        <w:bottom w:val="none" w:sz="0" w:space="0" w:color="auto"/>
        <w:right w:val="none" w:sz="0" w:space="0" w:color="auto"/>
      </w:divBdr>
      <w:divsChild>
        <w:div w:id="410389070">
          <w:marLeft w:val="0"/>
          <w:marRight w:val="0"/>
          <w:marTop w:val="0"/>
          <w:marBottom w:val="0"/>
          <w:divBdr>
            <w:top w:val="none" w:sz="0" w:space="0" w:color="auto"/>
            <w:left w:val="none" w:sz="0" w:space="0" w:color="auto"/>
            <w:bottom w:val="none" w:sz="0" w:space="0" w:color="auto"/>
            <w:right w:val="none" w:sz="0" w:space="0" w:color="auto"/>
          </w:divBdr>
        </w:div>
      </w:divsChild>
    </w:div>
    <w:div w:id="77214691">
      <w:bodyDiv w:val="1"/>
      <w:marLeft w:val="0"/>
      <w:marRight w:val="0"/>
      <w:marTop w:val="0"/>
      <w:marBottom w:val="0"/>
      <w:divBdr>
        <w:top w:val="none" w:sz="0" w:space="0" w:color="auto"/>
        <w:left w:val="none" w:sz="0" w:space="0" w:color="auto"/>
        <w:bottom w:val="none" w:sz="0" w:space="0" w:color="auto"/>
        <w:right w:val="none" w:sz="0" w:space="0" w:color="auto"/>
      </w:divBdr>
    </w:div>
    <w:div w:id="86116276">
      <w:bodyDiv w:val="1"/>
      <w:marLeft w:val="0"/>
      <w:marRight w:val="0"/>
      <w:marTop w:val="0"/>
      <w:marBottom w:val="0"/>
      <w:divBdr>
        <w:top w:val="none" w:sz="0" w:space="0" w:color="auto"/>
        <w:left w:val="none" w:sz="0" w:space="0" w:color="auto"/>
        <w:bottom w:val="none" w:sz="0" w:space="0" w:color="auto"/>
        <w:right w:val="none" w:sz="0" w:space="0" w:color="auto"/>
      </w:divBdr>
      <w:divsChild>
        <w:div w:id="112867432">
          <w:marLeft w:val="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4293923">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8603180">
      <w:bodyDiv w:val="1"/>
      <w:marLeft w:val="0"/>
      <w:marRight w:val="0"/>
      <w:marTop w:val="0"/>
      <w:marBottom w:val="0"/>
      <w:divBdr>
        <w:top w:val="none" w:sz="0" w:space="0" w:color="auto"/>
        <w:left w:val="none" w:sz="0" w:space="0" w:color="auto"/>
        <w:bottom w:val="none" w:sz="0" w:space="0" w:color="auto"/>
        <w:right w:val="none" w:sz="0" w:space="0" w:color="auto"/>
      </w:divBdr>
    </w:div>
    <w:div w:id="683285721">
      <w:bodyDiv w:val="1"/>
      <w:marLeft w:val="0"/>
      <w:marRight w:val="0"/>
      <w:marTop w:val="0"/>
      <w:marBottom w:val="0"/>
      <w:divBdr>
        <w:top w:val="none" w:sz="0" w:space="0" w:color="auto"/>
        <w:left w:val="none" w:sz="0" w:space="0" w:color="auto"/>
        <w:bottom w:val="none" w:sz="0" w:space="0" w:color="auto"/>
        <w:right w:val="none" w:sz="0" w:space="0" w:color="auto"/>
      </w:divBdr>
    </w:div>
    <w:div w:id="727723654">
      <w:bodyDiv w:val="1"/>
      <w:marLeft w:val="0"/>
      <w:marRight w:val="0"/>
      <w:marTop w:val="0"/>
      <w:marBottom w:val="0"/>
      <w:divBdr>
        <w:top w:val="none" w:sz="0" w:space="0" w:color="auto"/>
        <w:left w:val="none" w:sz="0" w:space="0" w:color="auto"/>
        <w:bottom w:val="none" w:sz="0" w:space="0" w:color="auto"/>
        <w:right w:val="none" w:sz="0" w:space="0" w:color="auto"/>
      </w:divBdr>
    </w:div>
    <w:div w:id="977342918">
      <w:bodyDiv w:val="1"/>
      <w:marLeft w:val="0"/>
      <w:marRight w:val="0"/>
      <w:marTop w:val="0"/>
      <w:marBottom w:val="0"/>
      <w:divBdr>
        <w:top w:val="none" w:sz="0" w:space="0" w:color="auto"/>
        <w:left w:val="none" w:sz="0" w:space="0" w:color="auto"/>
        <w:bottom w:val="none" w:sz="0" w:space="0" w:color="auto"/>
        <w:right w:val="none" w:sz="0" w:space="0" w:color="auto"/>
      </w:divBdr>
      <w:divsChild>
        <w:div w:id="1871607947">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1369451">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5198603">
      <w:bodyDiv w:val="1"/>
      <w:marLeft w:val="0"/>
      <w:marRight w:val="0"/>
      <w:marTop w:val="0"/>
      <w:marBottom w:val="0"/>
      <w:divBdr>
        <w:top w:val="none" w:sz="0" w:space="0" w:color="auto"/>
        <w:left w:val="none" w:sz="0" w:space="0" w:color="auto"/>
        <w:bottom w:val="none" w:sz="0" w:space="0" w:color="auto"/>
        <w:right w:val="none" w:sz="0" w:space="0" w:color="auto"/>
      </w:divBdr>
      <w:divsChild>
        <w:div w:id="1129712269">
          <w:marLeft w:val="0"/>
          <w:marRight w:val="0"/>
          <w:marTop w:val="0"/>
          <w:marBottom w:val="0"/>
          <w:divBdr>
            <w:top w:val="none" w:sz="0" w:space="0" w:color="auto"/>
            <w:left w:val="none" w:sz="0" w:space="0" w:color="auto"/>
            <w:bottom w:val="none" w:sz="0" w:space="0" w:color="auto"/>
            <w:right w:val="none" w:sz="0" w:space="0" w:color="auto"/>
          </w:divBdr>
        </w:div>
      </w:divsChild>
    </w:div>
    <w:div w:id="1594245084">
      <w:bodyDiv w:val="1"/>
      <w:marLeft w:val="0"/>
      <w:marRight w:val="0"/>
      <w:marTop w:val="0"/>
      <w:marBottom w:val="0"/>
      <w:divBdr>
        <w:top w:val="none" w:sz="0" w:space="0" w:color="auto"/>
        <w:left w:val="none" w:sz="0" w:space="0" w:color="auto"/>
        <w:bottom w:val="none" w:sz="0" w:space="0" w:color="auto"/>
        <w:right w:val="none" w:sz="0" w:space="0" w:color="auto"/>
      </w:divBdr>
    </w:div>
    <w:div w:id="1725375583">
      <w:bodyDiv w:val="1"/>
      <w:marLeft w:val="0"/>
      <w:marRight w:val="0"/>
      <w:marTop w:val="0"/>
      <w:marBottom w:val="0"/>
      <w:divBdr>
        <w:top w:val="none" w:sz="0" w:space="0" w:color="auto"/>
        <w:left w:val="none" w:sz="0" w:space="0" w:color="auto"/>
        <w:bottom w:val="none" w:sz="0" w:space="0" w:color="auto"/>
        <w:right w:val="none" w:sz="0" w:space="0" w:color="auto"/>
      </w:divBdr>
      <w:divsChild>
        <w:div w:id="1217820545">
          <w:marLeft w:val="0"/>
          <w:marRight w:val="0"/>
          <w:marTop w:val="0"/>
          <w:marBottom w:val="0"/>
          <w:divBdr>
            <w:top w:val="none" w:sz="0" w:space="0" w:color="auto"/>
            <w:left w:val="none" w:sz="0" w:space="0" w:color="auto"/>
            <w:bottom w:val="none" w:sz="0" w:space="0" w:color="auto"/>
            <w:right w:val="none" w:sz="0" w:space="0" w:color="auto"/>
          </w:divBdr>
        </w:div>
      </w:divsChild>
    </w:div>
    <w:div w:id="173435140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88175757">
      <w:bodyDiv w:val="1"/>
      <w:marLeft w:val="0"/>
      <w:marRight w:val="0"/>
      <w:marTop w:val="0"/>
      <w:marBottom w:val="0"/>
      <w:divBdr>
        <w:top w:val="none" w:sz="0" w:space="0" w:color="auto"/>
        <w:left w:val="none" w:sz="0" w:space="0" w:color="auto"/>
        <w:bottom w:val="none" w:sz="0" w:space="0" w:color="auto"/>
        <w:right w:val="none" w:sz="0" w:space="0" w:color="auto"/>
      </w:divBdr>
    </w:div>
    <w:div w:id="189546058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32104201">
      <w:bodyDiv w:val="1"/>
      <w:marLeft w:val="0"/>
      <w:marRight w:val="0"/>
      <w:marTop w:val="0"/>
      <w:marBottom w:val="0"/>
      <w:divBdr>
        <w:top w:val="none" w:sz="0" w:space="0" w:color="auto"/>
        <w:left w:val="none" w:sz="0" w:space="0" w:color="auto"/>
        <w:bottom w:val="none" w:sz="0" w:space="0" w:color="auto"/>
        <w:right w:val="none" w:sz="0" w:space="0" w:color="auto"/>
      </w:divBdr>
      <w:divsChild>
        <w:div w:id="233902779">
          <w:marLeft w:val="0"/>
          <w:marRight w:val="0"/>
          <w:marTop w:val="0"/>
          <w:marBottom w:val="0"/>
          <w:divBdr>
            <w:top w:val="none" w:sz="0" w:space="0" w:color="auto"/>
            <w:left w:val="none" w:sz="0" w:space="0" w:color="auto"/>
            <w:bottom w:val="none" w:sz="0" w:space="0" w:color="auto"/>
            <w:right w:val="none" w:sz="0" w:space="0" w:color="auto"/>
          </w:divBdr>
        </w:div>
      </w:divsChild>
    </w:div>
    <w:div w:id="2038464217">
      <w:bodyDiv w:val="1"/>
      <w:marLeft w:val="0"/>
      <w:marRight w:val="0"/>
      <w:marTop w:val="0"/>
      <w:marBottom w:val="0"/>
      <w:divBdr>
        <w:top w:val="none" w:sz="0" w:space="0" w:color="auto"/>
        <w:left w:val="none" w:sz="0" w:space="0" w:color="auto"/>
        <w:bottom w:val="none" w:sz="0" w:space="0" w:color="auto"/>
        <w:right w:val="none" w:sz="0" w:space="0" w:color="auto"/>
      </w:divBdr>
      <w:divsChild>
        <w:div w:id="2031562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59252-F14E-477E-A3F7-CDAC7E66E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11</Pages>
  <Words>5198</Words>
  <Characters>29632</Characters>
  <Application>Microsoft Office Word</Application>
  <DocSecurity>0</DocSecurity>
  <Lines>246</Lines>
  <Paragraphs>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34761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2026-03-06T17:06:00Z</dcterms:created>
  <dcterms:modified xsi:type="dcterms:W3CDTF">2026-03-07T09:19:00Z</dcterms:modified>
</cp:coreProperties>
</file>