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A53FC" w14:textId="2C100D81" w:rsidR="00645389" w:rsidRDefault="00206331" w:rsidP="00364273">
      <w:pPr>
        <w:spacing w:line="276" w:lineRule="auto"/>
        <w:jc w:val="center"/>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t xml:space="preserve">Geospatial </w:t>
      </w:r>
      <w:proofErr w:type="spellStart"/>
      <w:r w:rsidRPr="003B3FDD">
        <w:rPr>
          <w:rFonts w:ascii="Times New Roman" w:hAnsi="Times New Roman" w:cs="Times New Roman"/>
          <w:color w:val="0D0D0D" w:themeColor="text1" w:themeTint="F2"/>
          <w:sz w:val="24"/>
          <w:szCs w:val="24"/>
        </w:rPr>
        <w:t>Modeling</w:t>
      </w:r>
      <w:proofErr w:type="spellEnd"/>
      <w:r w:rsidRPr="003B3FDD">
        <w:rPr>
          <w:rFonts w:ascii="Times New Roman" w:hAnsi="Times New Roman" w:cs="Times New Roman"/>
          <w:color w:val="0D0D0D" w:themeColor="text1" w:themeTint="F2"/>
          <w:sz w:val="24"/>
          <w:szCs w:val="24"/>
        </w:rPr>
        <w:t xml:space="preserve"> of Forest Canopy Density in </w:t>
      </w:r>
      <w:proofErr w:type="spellStart"/>
      <w:r w:rsidRPr="003B3FDD">
        <w:rPr>
          <w:rFonts w:ascii="Times New Roman" w:hAnsi="Times New Roman" w:cs="Times New Roman"/>
          <w:color w:val="0D0D0D" w:themeColor="text1" w:themeTint="F2"/>
          <w:sz w:val="24"/>
          <w:szCs w:val="24"/>
        </w:rPr>
        <w:t>Hunsur</w:t>
      </w:r>
      <w:proofErr w:type="spellEnd"/>
      <w:r w:rsidRPr="003B3FDD">
        <w:rPr>
          <w:rFonts w:ascii="Times New Roman" w:hAnsi="Times New Roman" w:cs="Times New Roman"/>
          <w:color w:val="0D0D0D" w:themeColor="text1" w:themeTint="F2"/>
          <w:sz w:val="24"/>
          <w:szCs w:val="24"/>
        </w:rPr>
        <w:t xml:space="preserve"> Taluk, Karnataka, India</w:t>
      </w:r>
    </w:p>
    <w:p w14:paraId="208D4C9C" w14:textId="77777777" w:rsidR="008F3365" w:rsidRDefault="008F3365" w:rsidP="00364273">
      <w:pPr>
        <w:spacing w:before="100" w:beforeAutospacing="1" w:after="100" w:afterAutospacing="1" w:line="276" w:lineRule="auto"/>
        <w:rPr>
          <w:rFonts w:ascii="Times New Roman" w:eastAsia="Times New Roman" w:hAnsi="Times New Roman" w:cs="Times New Roman"/>
          <w:b/>
          <w:bCs/>
          <w:color w:val="0D0D0D" w:themeColor="text1" w:themeTint="F2"/>
          <w:sz w:val="24"/>
          <w:szCs w:val="24"/>
          <w:lang w:eastAsia="en-IN"/>
        </w:rPr>
      </w:pPr>
    </w:p>
    <w:p w14:paraId="65CAF821" w14:textId="77777777" w:rsidR="008F3365" w:rsidRDefault="008F3365" w:rsidP="00364273">
      <w:pPr>
        <w:spacing w:before="100" w:beforeAutospacing="1" w:after="100" w:afterAutospacing="1" w:line="276" w:lineRule="auto"/>
        <w:rPr>
          <w:rFonts w:ascii="Times New Roman" w:eastAsia="Times New Roman" w:hAnsi="Times New Roman" w:cs="Times New Roman"/>
          <w:b/>
          <w:bCs/>
          <w:color w:val="0D0D0D" w:themeColor="text1" w:themeTint="F2"/>
          <w:sz w:val="24"/>
          <w:szCs w:val="24"/>
          <w:lang w:eastAsia="en-IN"/>
        </w:rPr>
      </w:pPr>
    </w:p>
    <w:p w14:paraId="7C9E51D1" w14:textId="67C0AD73" w:rsidR="002C11EA" w:rsidRPr="003B3FDD" w:rsidRDefault="002C11EA" w:rsidP="00364273">
      <w:pPr>
        <w:spacing w:before="100" w:beforeAutospacing="1" w:after="100" w:afterAutospacing="1" w:line="276" w:lineRule="auto"/>
        <w:rPr>
          <w:rFonts w:ascii="Times New Roman" w:eastAsia="Times New Roman" w:hAnsi="Times New Roman" w:cs="Times New Roman"/>
          <w:color w:val="0D0D0D" w:themeColor="text1" w:themeTint="F2"/>
          <w:sz w:val="24"/>
          <w:szCs w:val="24"/>
          <w:lang w:eastAsia="en-IN"/>
        </w:rPr>
      </w:pPr>
      <w:bookmarkStart w:id="0" w:name="_GoBack"/>
      <w:bookmarkEnd w:id="0"/>
      <w:r w:rsidRPr="003B3FDD">
        <w:rPr>
          <w:rFonts w:ascii="Times New Roman" w:eastAsia="Times New Roman" w:hAnsi="Times New Roman" w:cs="Times New Roman"/>
          <w:b/>
          <w:bCs/>
          <w:color w:val="0D0D0D" w:themeColor="text1" w:themeTint="F2"/>
          <w:sz w:val="24"/>
          <w:szCs w:val="24"/>
          <w:lang w:eastAsia="en-IN"/>
        </w:rPr>
        <w:t>Abstract</w:t>
      </w:r>
    </w:p>
    <w:p w14:paraId="647144B1" w14:textId="79246F56" w:rsidR="00417098" w:rsidRPr="00417098" w:rsidRDefault="00417098" w:rsidP="00417098">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417098">
        <w:rPr>
          <w:rFonts w:ascii="Times New Roman" w:eastAsia="Times New Roman" w:hAnsi="Times New Roman" w:cs="Times New Roman"/>
          <w:sz w:val="24"/>
          <w:szCs w:val="24"/>
          <w:lang w:eastAsia="en-IN"/>
        </w:rPr>
        <w:t xml:space="preserve">Forest Canopy Density (FCD) is a crucial biophysical parameter for evaluating forest health, structural complexity, biomass distribution, and ecosystem resilience. The present study focuses on geospatial </w:t>
      </w:r>
      <w:proofErr w:type="spellStart"/>
      <w:r w:rsidRPr="00417098">
        <w:rPr>
          <w:rFonts w:ascii="Times New Roman" w:eastAsia="Times New Roman" w:hAnsi="Times New Roman" w:cs="Times New Roman"/>
          <w:sz w:val="24"/>
          <w:szCs w:val="24"/>
          <w:lang w:eastAsia="en-IN"/>
        </w:rPr>
        <w:t>modeling</w:t>
      </w:r>
      <w:proofErr w:type="spellEnd"/>
      <w:r w:rsidRPr="00417098">
        <w:rPr>
          <w:rFonts w:ascii="Times New Roman" w:eastAsia="Times New Roman" w:hAnsi="Times New Roman" w:cs="Times New Roman"/>
          <w:sz w:val="24"/>
          <w:szCs w:val="24"/>
          <w:lang w:eastAsia="en-IN"/>
        </w:rPr>
        <w:t xml:space="preserve"> of forest canopy density in </w:t>
      </w:r>
      <w:proofErr w:type="spellStart"/>
      <w:r w:rsidRPr="00417098">
        <w:rPr>
          <w:rFonts w:ascii="Times New Roman" w:eastAsia="Times New Roman" w:hAnsi="Times New Roman" w:cs="Times New Roman"/>
          <w:sz w:val="24"/>
          <w:szCs w:val="24"/>
          <w:lang w:eastAsia="en-IN"/>
        </w:rPr>
        <w:t>Hunsur</w:t>
      </w:r>
      <w:proofErr w:type="spellEnd"/>
      <w:r w:rsidRPr="00417098">
        <w:rPr>
          <w:rFonts w:ascii="Times New Roman" w:eastAsia="Times New Roman" w:hAnsi="Times New Roman" w:cs="Times New Roman"/>
          <w:sz w:val="24"/>
          <w:szCs w:val="24"/>
          <w:lang w:eastAsia="en-IN"/>
        </w:rPr>
        <w:t xml:space="preserve"> Taluk, Mysuru District, Karnataka, India, using multispectral remote sensing data and GIS techniques. Sentinel-2 Level-2A surface reflectance imagery </w:t>
      </w:r>
      <w:r>
        <w:rPr>
          <w:rFonts w:ascii="Times New Roman" w:eastAsia="Times New Roman" w:hAnsi="Times New Roman" w:cs="Times New Roman"/>
          <w:sz w:val="24"/>
          <w:szCs w:val="24"/>
          <w:lang w:eastAsia="en-IN"/>
        </w:rPr>
        <w:t>was</w:t>
      </w:r>
      <w:r w:rsidRPr="00417098">
        <w:rPr>
          <w:rFonts w:ascii="Times New Roman" w:eastAsia="Times New Roman" w:hAnsi="Times New Roman" w:cs="Times New Roman"/>
          <w:sz w:val="24"/>
          <w:szCs w:val="24"/>
          <w:lang w:eastAsia="en-IN"/>
        </w:rPr>
        <w:t xml:space="preserve"> processed within the Google Earth Engine platform to derive key spectral indices, including the Normalized Difference Vegetation Index (NDVI), Advanced Vegetation Index (AVI), Bareness Index (BI), and Shadow Index (SI). These indices were integrated using a weighted overlay approach to generate the final FCD map and classify canopy density into five categories ranging from very low to very high.</w:t>
      </w:r>
      <w:r>
        <w:rPr>
          <w:rFonts w:ascii="Times New Roman" w:eastAsia="Times New Roman" w:hAnsi="Times New Roman" w:cs="Times New Roman"/>
          <w:sz w:val="24"/>
          <w:szCs w:val="24"/>
          <w:lang w:eastAsia="en-IN"/>
        </w:rPr>
        <w:t xml:space="preserve"> </w:t>
      </w:r>
      <w:r w:rsidRPr="00417098">
        <w:rPr>
          <w:rFonts w:ascii="Times New Roman" w:eastAsia="Times New Roman" w:hAnsi="Times New Roman" w:cs="Times New Roman"/>
          <w:sz w:val="24"/>
          <w:szCs w:val="24"/>
          <w:lang w:eastAsia="en-IN"/>
        </w:rPr>
        <w:t xml:space="preserve">Land Use/Land Cover (LULC) analysis revealed that cropland dominates the taluk (46.60%), followed by scrub forest (18.00%), natural forest (17.21%), and plantations (9.29%), indicating a predominantly agrarian landscape with fragmented forest patches. NDVI values ranged from −0.517 to 0.888, effectively capturing vegetation </w:t>
      </w:r>
      <w:proofErr w:type="spellStart"/>
      <w:r w:rsidRPr="00417098">
        <w:rPr>
          <w:rFonts w:ascii="Times New Roman" w:eastAsia="Times New Roman" w:hAnsi="Times New Roman" w:cs="Times New Roman"/>
          <w:sz w:val="24"/>
          <w:szCs w:val="24"/>
          <w:lang w:eastAsia="en-IN"/>
        </w:rPr>
        <w:t>vigor</w:t>
      </w:r>
      <w:proofErr w:type="spellEnd"/>
      <w:r w:rsidRPr="00417098">
        <w:rPr>
          <w:rFonts w:ascii="Times New Roman" w:eastAsia="Times New Roman" w:hAnsi="Times New Roman" w:cs="Times New Roman"/>
          <w:sz w:val="24"/>
          <w:szCs w:val="24"/>
          <w:lang w:eastAsia="en-IN"/>
        </w:rPr>
        <w:t>, while AVI enhanced sensitivity in high-biomass zones. BI successfully differentiated exposed soil and degraded areas, and SI provided insights into canopy shadow intensity and structural complexity. The computed FCD values ranged from 7.49 to 80.75, demonstrating significant spatial variability across the study area. Low canopy density occupied the largest share (23.23%), whereas very high canopy density accounted for 19.83%, indicating the presence of substantial dense forest pockets.</w:t>
      </w:r>
      <w:r>
        <w:rPr>
          <w:rFonts w:ascii="Times New Roman" w:eastAsia="Times New Roman" w:hAnsi="Times New Roman" w:cs="Times New Roman"/>
          <w:sz w:val="24"/>
          <w:szCs w:val="24"/>
          <w:lang w:eastAsia="en-IN"/>
        </w:rPr>
        <w:t xml:space="preserve"> </w:t>
      </w:r>
      <w:r w:rsidRPr="00417098">
        <w:rPr>
          <w:rFonts w:ascii="Times New Roman" w:eastAsia="Times New Roman" w:hAnsi="Times New Roman" w:cs="Times New Roman"/>
          <w:sz w:val="24"/>
          <w:szCs w:val="24"/>
          <w:lang w:eastAsia="en-IN"/>
        </w:rPr>
        <w:t xml:space="preserve">The integrated multi-index approach minimized single-index bias and improved canopy discrimination in dry deciduous forest ecosystems. Despite limitations related to cloud interference, spatial resolution, and weight assignment subjectivity, the study demonstrates that FCD </w:t>
      </w:r>
      <w:proofErr w:type="spellStart"/>
      <w:r w:rsidRPr="00417098">
        <w:rPr>
          <w:rFonts w:ascii="Times New Roman" w:eastAsia="Times New Roman" w:hAnsi="Times New Roman" w:cs="Times New Roman"/>
          <w:sz w:val="24"/>
          <w:szCs w:val="24"/>
          <w:lang w:eastAsia="en-IN"/>
        </w:rPr>
        <w:t>modeling</w:t>
      </w:r>
      <w:proofErr w:type="spellEnd"/>
      <w:r w:rsidRPr="00417098">
        <w:rPr>
          <w:rFonts w:ascii="Times New Roman" w:eastAsia="Times New Roman" w:hAnsi="Times New Roman" w:cs="Times New Roman"/>
          <w:sz w:val="24"/>
          <w:szCs w:val="24"/>
          <w:lang w:eastAsia="en-IN"/>
        </w:rPr>
        <w:t xml:space="preserve"> provides a reliable and cost-effective framework for forest monitoring. The results offer valuable support for sustainable forest management, biodiversity conservation, and environmental planning in semi-arid tropical landscapes.</w:t>
      </w:r>
    </w:p>
    <w:p w14:paraId="68652A17" w14:textId="77777777" w:rsidR="00417098" w:rsidRPr="00417098" w:rsidRDefault="00417098" w:rsidP="00417098">
      <w:pPr>
        <w:spacing w:before="100" w:beforeAutospacing="1" w:after="100" w:afterAutospacing="1" w:line="240" w:lineRule="auto"/>
        <w:rPr>
          <w:rFonts w:ascii="Times New Roman" w:eastAsia="Times New Roman" w:hAnsi="Times New Roman" w:cs="Times New Roman"/>
          <w:sz w:val="24"/>
          <w:szCs w:val="24"/>
          <w:lang w:eastAsia="en-IN"/>
        </w:rPr>
      </w:pPr>
      <w:r w:rsidRPr="00417098">
        <w:rPr>
          <w:rFonts w:ascii="Times New Roman" w:eastAsia="Times New Roman" w:hAnsi="Times New Roman" w:cs="Times New Roman"/>
          <w:b/>
          <w:bCs/>
          <w:sz w:val="24"/>
          <w:szCs w:val="24"/>
          <w:lang w:eastAsia="en-IN"/>
        </w:rPr>
        <w:t>Keywords:</w:t>
      </w:r>
      <w:r w:rsidRPr="00417098">
        <w:rPr>
          <w:rFonts w:ascii="Times New Roman" w:eastAsia="Times New Roman" w:hAnsi="Times New Roman" w:cs="Times New Roman"/>
          <w:sz w:val="24"/>
          <w:szCs w:val="24"/>
          <w:lang w:eastAsia="en-IN"/>
        </w:rPr>
        <w:br/>
        <w:t>Forest Canopy Density (FCD); NDVI; Advanced Vegetation Index (AVI); Remote Sensing; GIS-Based Forest Monitoring</w:t>
      </w:r>
    </w:p>
    <w:p w14:paraId="026ADA3B" w14:textId="77777777" w:rsidR="002C11EA" w:rsidRPr="003B3FDD" w:rsidRDefault="002C11EA" w:rsidP="00364273">
      <w:pPr>
        <w:spacing w:before="100" w:beforeAutospacing="1" w:after="100" w:afterAutospacing="1" w:line="276" w:lineRule="auto"/>
        <w:jc w:val="both"/>
        <w:rPr>
          <w:rFonts w:ascii="Times New Roman" w:eastAsia="Times New Roman" w:hAnsi="Times New Roman" w:cs="Times New Roman"/>
          <w:color w:val="0D0D0D" w:themeColor="text1" w:themeTint="F2"/>
          <w:sz w:val="24"/>
          <w:szCs w:val="24"/>
          <w:lang w:eastAsia="en-IN"/>
        </w:rPr>
      </w:pPr>
    </w:p>
    <w:p w14:paraId="60A2D147" w14:textId="77777777" w:rsidR="00963F34" w:rsidRPr="003B3FDD" w:rsidRDefault="00963F34" w:rsidP="00364273">
      <w:pPr>
        <w:spacing w:line="276" w:lineRule="auto"/>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br w:type="page"/>
      </w:r>
    </w:p>
    <w:p w14:paraId="3CB5DD00" w14:textId="7FD75C69" w:rsidR="006E5928" w:rsidRPr="003B3FDD" w:rsidRDefault="006D3599" w:rsidP="006D3599">
      <w:pPr>
        <w:spacing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rPr>
        <w:lastRenderedPageBreak/>
        <w:t xml:space="preserve">1. </w:t>
      </w:r>
      <w:r w:rsidR="006E5928" w:rsidRPr="003B3FDD">
        <w:rPr>
          <w:rFonts w:ascii="Times New Roman" w:hAnsi="Times New Roman" w:cs="Times New Roman"/>
          <w:b/>
          <w:bCs/>
          <w:color w:val="0D0D0D" w:themeColor="text1" w:themeTint="F2"/>
          <w:sz w:val="24"/>
          <w:szCs w:val="24"/>
        </w:rPr>
        <w:t xml:space="preserve">Introduction </w:t>
      </w:r>
    </w:p>
    <w:p w14:paraId="13682190" w14:textId="30E989AC" w:rsidR="00963F34" w:rsidRPr="003B3FDD" w:rsidRDefault="006E5928" w:rsidP="00364273">
      <w:pPr>
        <w:spacing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t xml:space="preserve">Forest ecosystems represent one of the most complex and ecologically significant biomes on Earth, contributing substantially to global carbon balance, biodiversity conservation, hydrological regulation, and climate stabilization. Within forest structural attributes, forest canopy density (FCD) is widely recognized as a critical indicator of forest health, productivity, and disturbance dynamics. Canopy density refers to the proportion of ground area covered by the vertical projection of tree crowns and serves as a quantitative measure of vegetation cover and structural integrity. Because canopy cover directly reflects biomass distribution, regeneration status, and ecosystem resilience, it has become a central parameter in forest monitoring and environmental assessment studies. Dense canopy layers regulate light penetration, influence microclimatic conditions, control evapotranspiration, and maintain soil moisture regimes. Variations in canopy density often signal anthropogenic disturbances such as deforestation, selective logging, forest degradation, and fragmentation. Consequently, accurate estimation of canopy density is essential for sustainable forest management, biodiversity conservation, and climate mitigation programs. As emphasized in the comprehensive review by </w:t>
      </w:r>
      <w:proofErr w:type="spellStart"/>
      <w:r w:rsidRPr="003B3FDD">
        <w:rPr>
          <w:rFonts w:ascii="Times New Roman" w:hAnsi="Times New Roman" w:cs="Times New Roman"/>
          <w:color w:val="0D0D0D" w:themeColor="text1" w:themeTint="F2"/>
          <w:sz w:val="24"/>
          <w:szCs w:val="24"/>
        </w:rPr>
        <w:t>Abdollahnejad</w:t>
      </w:r>
      <w:proofErr w:type="spellEnd"/>
      <w:r w:rsidRPr="003B3FDD">
        <w:rPr>
          <w:rFonts w:ascii="Times New Roman" w:hAnsi="Times New Roman" w:cs="Times New Roman"/>
          <w:color w:val="0D0D0D" w:themeColor="text1" w:themeTint="F2"/>
          <w:sz w:val="24"/>
          <w:szCs w:val="24"/>
        </w:rPr>
        <w:t xml:space="preserve"> et al. (2017), canopy density assessment methods have evolved considerably, moving from conventional ground-based measurements to advanced remote </w:t>
      </w:r>
      <w:r w:rsidR="00963F34" w:rsidRPr="003B3FDD">
        <w:rPr>
          <w:rFonts w:ascii="Times New Roman" w:hAnsi="Times New Roman" w:cs="Times New Roman"/>
          <w:color w:val="0D0D0D" w:themeColor="text1" w:themeTint="F2"/>
          <w:sz w:val="24"/>
          <w:szCs w:val="24"/>
        </w:rPr>
        <w:t>sensing-based</w:t>
      </w:r>
      <w:r w:rsidRPr="003B3FDD">
        <w:rPr>
          <w:rFonts w:ascii="Times New Roman" w:hAnsi="Times New Roman" w:cs="Times New Roman"/>
          <w:color w:val="0D0D0D" w:themeColor="text1" w:themeTint="F2"/>
          <w:sz w:val="24"/>
          <w:szCs w:val="24"/>
        </w:rPr>
        <w:t xml:space="preserve"> approaches that enable large-scale and temporal monitoring. Traditional field-based techniques, including visual crown cover estimation, hemispherical photography, and forest inventory sampling, provide reliable and detailed plot-level information. However, these approaches are </w:t>
      </w:r>
      <w:r w:rsidR="00963F34" w:rsidRPr="003B3FDD">
        <w:rPr>
          <w:rFonts w:ascii="Times New Roman" w:hAnsi="Times New Roman" w:cs="Times New Roman"/>
          <w:color w:val="0D0D0D" w:themeColor="text1" w:themeTint="F2"/>
          <w:sz w:val="24"/>
          <w:szCs w:val="24"/>
        </w:rPr>
        <w:t>labour-intensive</w:t>
      </w:r>
      <w:r w:rsidRPr="003B3FDD">
        <w:rPr>
          <w:rFonts w:ascii="Times New Roman" w:hAnsi="Times New Roman" w:cs="Times New Roman"/>
          <w:color w:val="0D0D0D" w:themeColor="text1" w:themeTint="F2"/>
          <w:sz w:val="24"/>
          <w:szCs w:val="24"/>
        </w:rPr>
        <w:t xml:space="preserve"> and limited in spatial coverage, particularly in tropical and mountainous regions. The integration of satellite remote sensing and Geographic Information Systems (GIS) has therefore revolutionized canopy density estimation by facilitating synoptic, repetitive, and cost-effective observation of forest landscapes. </w:t>
      </w:r>
    </w:p>
    <w:p w14:paraId="3FE9A8B8" w14:textId="77777777" w:rsidR="00963F34" w:rsidRPr="003B3FDD" w:rsidRDefault="006E5928" w:rsidP="00364273">
      <w:pPr>
        <w:spacing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t>Comparative evaluations of remote sensing methods indicate that canopy density can be estimated using various spectral indices and classification techniques, though performance varies depending on sensor resolution, forest structure, and environmental conditions (Joshi et al., 2006). Among the different methodologies, the Forest Canopy Density (FCD) model has emerged as a widely adopted and operationally efficient framework. The model integrates multiple spectral indices</w:t>
      </w:r>
      <w:r w:rsidR="00963F34" w:rsidRPr="003B3FDD">
        <w:rPr>
          <w:rFonts w:ascii="Times New Roman" w:hAnsi="Times New Roman" w:cs="Times New Roman"/>
          <w:color w:val="0D0D0D" w:themeColor="text1" w:themeTint="F2"/>
          <w:sz w:val="24"/>
          <w:szCs w:val="24"/>
        </w:rPr>
        <w:t xml:space="preserve"> </w:t>
      </w:r>
      <w:r w:rsidRPr="003B3FDD">
        <w:rPr>
          <w:rFonts w:ascii="Times New Roman" w:hAnsi="Times New Roman" w:cs="Times New Roman"/>
          <w:color w:val="0D0D0D" w:themeColor="text1" w:themeTint="F2"/>
          <w:sz w:val="24"/>
          <w:szCs w:val="24"/>
        </w:rPr>
        <w:t>such as the Advanced Vegetation Index (AVI), Bare Soil Index (BI), and Shadow Index (SI)</w:t>
      </w:r>
      <w:r w:rsidR="00963F34" w:rsidRPr="003B3FDD">
        <w:rPr>
          <w:rFonts w:ascii="Times New Roman" w:hAnsi="Times New Roman" w:cs="Times New Roman"/>
          <w:color w:val="0D0D0D" w:themeColor="text1" w:themeTint="F2"/>
          <w:sz w:val="24"/>
          <w:szCs w:val="24"/>
        </w:rPr>
        <w:t xml:space="preserve"> </w:t>
      </w:r>
      <w:r w:rsidRPr="003B3FDD">
        <w:rPr>
          <w:rFonts w:ascii="Times New Roman" w:hAnsi="Times New Roman" w:cs="Times New Roman"/>
          <w:color w:val="0D0D0D" w:themeColor="text1" w:themeTint="F2"/>
          <w:sz w:val="24"/>
          <w:szCs w:val="24"/>
        </w:rPr>
        <w:t xml:space="preserve">to enhance discrimination between vegetation and non-vegetation components. Early research on canopy density stratification through biophysical </w:t>
      </w:r>
      <w:proofErr w:type="spellStart"/>
      <w:r w:rsidRPr="003B3FDD">
        <w:rPr>
          <w:rFonts w:ascii="Times New Roman" w:hAnsi="Times New Roman" w:cs="Times New Roman"/>
          <w:color w:val="0D0D0D" w:themeColor="text1" w:themeTint="F2"/>
          <w:sz w:val="24"/>
          <w:szCs w:val="24"/>
        </w:rPr>
        <w:t>modeling</w:t>
      </w:r>
      <w:proofErr w:type="spellEnd"/>
      <w:r w:rsidRPr="003B3FDD">
        <w:rPr>
          <w:rFonts w:ascii="Times New Roman" w:hAnsi="Times New Roman" w:cs="Times New Roman"/>
          <w:color w:val="0D0D0D" w:themeColor="text1" w:themeTint="F2"/>
          <w:sz w:val="24"/>
          <w:szCs w:val="24"/>
        </w:rPr>
        <w:t xml:space="preserve"> demonstrated that combining vegetation and shadow information significantly improves canopy representation compared to single-index approaches (</w:t>
      </w:r>
      <w:proofErr w:type="spellStart"/>
      <w:r w:rsidRPr="003B3FDD">
        <w:rPr>
          <w:rFonts w:ascii="Times New Roman" w:hAnsi="Times New Roman" w:cs="Times New Roman"/>
          <w:color w:val="0D0D0D" w:themeColor="text1" w:themeTint="F2"/>
          <w:sz w:val="24"/>
          <w:szCs w:val="24"/>
        </w:rPr>
        <w:t>Nandy</w:t>
      </w:r>
      <w:proofErr w:type="spellEnd"/>
      <w:r w:rsidR="00963F34" w:rsidRPr="003B3FDD">
        <w:rPr>
          <w:rFonts w:ascii="Times New Roman" w:hAnsi="Times New Roman" w:cs="Times New Roman"/>
          <w:color w:val="0D0D0D" w:themeColor="text1" w:themeTint="F2"/>
          <w:sz w:val="24"/>
          <w:szCs w:val="24"/>
        </w:rPr>
        <w:t xml:space="preserve"> </w:t>
      </w:r>
      <w:r w:rsidRPr="003B3FDD">
        <w:rPr>
          <w:rFonts w:ascii="Times New Roman" w:hAnsi="Times New Roman" w:cs="Times New Roman"/>
          <w:color w:val="0D0D0D" w:themeColor="text1" w:themeTint="F2"/>
          <w:sz w:val="24"/>
          <w:szCs w:val="24"/>
        </w:rPr>
        <w:t xml:space="preserve">et al., 2003). By accounting for both vegetation </w:t>
      </w:r>
      <w:r w:rsidR="00963F34" w:rsidRPr="003B3FDD">
        <w:rPr>
          <w:rFonts w:ascii="Times New Roman" w:hAnsi="Times New Roman" w:cs="Times New Roman"/>
          <w:color w:val="0D0D0D" w:themeColor="text1" w:themeTint="F2"/>
          <w:sz w:val="24"/>
          <w:szCs w:val="24"/>
        </w:rPr>
        <w:t>vigour</w:t>
      </w:r>
      <w:r w:rsidRPr="003B3FDD">
        <w:rPr>
          <w:rFonts w:ascii="Times New Roman" w:hAnsi="Times New Roman" w:cs="Times New Roman"/>
          <w:color w:val="0D0D0D" w:themeColor="text1" w:themeTint="F2"/>
          <w:sz w:val="24"/>
          <w:szCs w:val="24"/>
        </w:rPr>
        <w:t xml:space="preserve"> and shadow effects, the FCD model reduces spectral confusion and provides a more reliable estimation of canopy percentage. </w:t>
      </w:r>
    </w:p>
    <w:p w14:paraId="02077BFB" w14:textId="0FC1459B" w:rsidR="00963F34" w:rsidRPr="003B3FDD" w:rsidRDefault="006E5928" w:rsidP="00364273">
      <w:pPr>
        <w:spacing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t xml:space="preserve">The applicability of the FCD model has been extensively tested across diverse ecological regions. For instance, Deka et al. (2013) implemented the model to monitor tropical deforestation, demonstrating its effectiveness in detecting changes in canopy cover over time. Similarly, studies conducted in protected areas such as Mt. </w:t>
      </w:r>
      <w:proofErr w:type="spellStart"/>
      <w:r w:rsidRPr="003B3FDD">
        <w:rPr>
          <w:rFonts w:ascii="Times New Roman" w:hAnsi="Times New Roman" w:cs="Times New Roman"/>
          <w:color w:val="0D0D0D" w:themeColor="text1" w:themeTint="F2"/>
          <w:sz w:val="24"/>
          <w:szCs w:val="24"/>
        </w:rPr>
        <w:t>Simpang</w:t>
      </w:r>
      <w:proofErr w:type="spellEnd"/>
      <w:r w:rsidRPr="003B3FDD">
        <w:rPr>
          <w:rFonts w:ascii="Times New Roman" w:hAnsi="Times New Roman" w:cs="Times New Roman"/>
          <w:color w:val="0D0D0D" w:themeColor="text1" w:themeTint="F2"/>
          <w:sz w:val="24"/>
          <w:szCs w:val="24"/>
        </w:rPr>
        <w:t xml:space="preserve"> and Mt. </w:t>
      </w:r>
      <w:proofErr w:type="spellStart"/>
      <w:r w:rsidRPr="003B3FDD">
        <w:rPr>
          <w:rFonts w:ascii="Times New Roman" w:hAnsi="Times New Roman" w:cs="Times New Roman"/>
          <w:color w:val="0D0D0D" w:themeColor="text1" w:themeTint="F2"/>
          <w:sz w:val="24"/>
          <w:szCs w:val="24"/>
        </w:rPr>
        <w:t>Tilu</w:t>
      </w:r>
      <w:proofErr w:type="spellEnd"/>
      <w:r w:rsidRPr="003B3FDD">
        <w:rPr>
          <w:rFonts w:ascii="Times New Roman" w:hAnsi="Times New Roman" w:cs="Times New Roman"/>
          <w:color w:val="0D0D0D" w:themeColor="text1" w:themeTint="F2"/>
          <w:sz w:val="24"/>
          <w:szCs w:val="24"/>
        </w:rPr>
        <w:t xml:space="preserve"> Nature Reserves in Indonesia highlighted the model’s capability to assess forest fragmentation and </w:t>
      </w:r>
      <w:r w:rsidRPr="003B3FDD">
        <w:rPr>
          <w:rFonts w:ascii="Times New Roman" w:hAnsi="Times New Roman" w:cs="Times New Roman"/>
          <w:color w:val="0D0D0D" w:themeColor="text1" w:themeTint="F2"/>
          <w:sz w:val="24"/>
          <w:szCs w:val="24"/>
        </w:rPr>
        <w:lastRenderedPageBreak/>
        <w:t xml:space="preserve">canopy thinning. Integration of visual interpretation with FCD </w:t>
      </w:r>
      <w:proofErr w:type="spellStart"/>
      <w:r w:rsidRPr="003B3FDD">
        <w:rPr>
          <w:rFonts w:ascii="Times New Roman" w:hAnsi="Times New Roman" w:cs="Times New Roman"/>
          <w:color w:val="0D0D0D" w:themeColor="text1" w:themeTint="F2"/>
          <w:sz w:val="24"/>
          <w:szCs w:val="24"/>
        </w:rPr>
        <w:t>modeling</w:t>
      </w:r>
      <w:proofErr w:type="spellEnd"/>
      <w:r w:rsidRPr="003B3FDD">
        <w:rPr>
          <w:rFonts w:ascii="Times New Roman" w:hAnsi="Times New Roman" w:cs="Times New Roman"/>
          <w:color w:val="0D0D0D" w:themeColor="text1" w:themeTint="F2"/>
          <w:sz w:val="24"/>
          <w:szCs w:val="24"/>
        </w:rPr>
        <w:t xml:space="preserve"> has also proven effective in monitoring canopy dynamics in regions such as Central Mexico, reinforcing the model’s adaptability across varying forest types. At watershed and regional scales, the FCD model has been successfully applied using datasets such as LISS-IV and Landsat imagery. Applications in the </w:t>
      </w:r>
      <w:proofErr w:type="spellStart"/>
      <w:r w:rsidRPr="003B3FDD">
        <w:rPr>
          <w:rFonts w:ascii="Times New Roman" w:hAnsi="Times New Roman" w:cs="Times New Roman"/>
          <w:color w:val="0D0D0D" w:themeColor="text1" w:themeTint="F2"/>
          <w:sz w:val="24"/>
          <w:szCs w:val="24"/>
        </w:rPr>
        <w:t>Sali</w:t>
      </w:r>
      <w:proofErr w:type="spellEnd"/>
      <w:r w:rsidRPr="003B3FDD">
        <w:rPr>
          <w:rFonts w:ascii="Times New Roman" w:hAnsi="Times New Roman" w:cs="Times New Roman"/>
          <w:color w:val="0D0D0D" w:themeColor="text1" w:themeTint="F2"/>
          <w:sz w:val="24"/>
          <w:szCs w:val="24"/>
        </w:rPr>
        <w:t xml:space="preserve"> watershed of West Bengal demonstrated its utility for forest cover stratification and management planning</w:t>
      </w:r>
      <w:r w:rsidR="00D76AA2" w:rsidRPr="003B3FDD">
        <w:rPr>
          <w:rFonts w:ascii="Times New Roman" w:hAnsi="Times New Roman" w:cs="Times New Roman"/>
          <w:color w:val="0D0D0D" w:themeColor="text1" w:themeTint="F2"/>
          <w:sz w:val="24"/>
          <w:szCs w:val="24"/>
        </w:rPr>
        <w:t>.</w:t>
      </w:r>
      <w:r w:rsidRPr="003B3FDD">
        <w:rPr>
          <w:rFonts w:ascii="Times New Roman" w:hAnsi="Times New Roman" w:cs="Times New Roman"/>
          <w:color w:val="0D0D0D" w:themeColor="text1" w:themeTint="F2"/>
          <w:sz w:val="24"/>
          <w:szCs w:val="24"/>
        </w:rPr>
        <w:t xml:space="preserve"> In peatland ecosystems of Central Kalimantan, Indonesia, the model facilitated identification of degraded areas targeted for revegetation efforts. Similarly, canopy density monitoring in regions such as </w:t>
      </w:r>
      <w:proofErr w:type="spellStart"/>
      <w:r w:rsidRPr="003B3FDD">
        <w:rPr>
          <w:rFonts w:ascii="Times New Roman" w:hAnsi="Times New Roman" w:cs="Times New Roman"/>
          <w:color w:val="0D0D0D" w:themeColor="text1" w:themeTint="F2"/>
          <w:sz w:val="24"/>
          <w:szCs w:val="24"/>
        </w:rPr>
        <w:t>Gadchiroli</w:t>
      </w:r>
      <w:proofErr w:type="spellEnd"/>
      <w:r w:rsidRPr="003B3FDD">
        <w:rPr>
          <w:rFonts w:ascii="Times New Roman" w:hAnsi="Times New Roman" w:cs="Times New Roman"/>
          <w:color w:val="0D0D0D" w:themeColor="text1" w:themeTint="F2"/>
          <w:sz w:val="24"/>
          <w:szCs w:val="24"/>
        </w:rPr>
        <w:t xml:space="preserve"> District (Maharashtra) and </w:t>
      </w:r>
      <w:proofErr w:type="spellStart"/>
      <w:r w:rsidRPr="003B3FDD">
        <w:rPr>
          <w:rFonts w:ascii="Times New Roman" w:hAnsi="Times New Roman" w:cs="Times New Roman"/>
          <w:color w:val="0D0D0D" w:themeColor="text1" w:themeTint="F2"/>
          <w:sz w:val="24"/>
          <w:szCs w:val="24"/>
        </w:rPr>
        <w:t>Sathyamangalam</w:t>
      </w:r>
      <w:proofErr w:type="spellEnd"/>
      <w:r w:rsidRPr="003B3FDD">
        <w:rPr>
          <w:rFonts w:ascii="Times New Roman" w:hAnsi="Times New Roman" w:cs="Times New Roman"/>
          <w:color w:val="0D0D0D" w:themeColor="text1" w:themeTint="F2"/>
          <w:sz w:val="24"/>
          <w:szCs w:val="24"/>
        </w:rPr>
        <w:t xml:space="preserve"> Forest (Tamil Nadu) has underscored the importance of geospatial techniques in regional forest assessment and sustainable resource management. </w:t>
      </w:r>
    </w:p>
    <w:p w14:paraId="48F01C39" w14:textId="20EE1B4C" w:rsidR="00206331" w:rsidRPr="003B3FDD" w:rsidRDefault="006E5928" w:rsidP="00364273">
      <w:pPr>
        <w:spacing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t xml:space="preserve">As forest ecosystems face escalating pressures from climate variability, land-use change, and anthropogenic activities, robust canopy density models are indispensable for sustainable forest governance. Therefore, this research is grounded in the objective of critically examining and applying the Forest Canopy Density model to improve forest structural assessment. </w:t>
      </w:r>
      <w:r w:rsidR="00A0169D" w:rsidRPr="003B3FDD">
        <w:rPr>
          <w:rFonts w:ascii="Times New Roman" w:hAnsi="Times New Roman" w:cs="Times New Roman"/>
          <w:color w:val="0D0D0D" w:themeColor="text1" w:themeTint="F2"/>
          <w:sz w:val="24"/>
          <w:szCs w:val="24"/>
        </w:rPr>
        <w:t>T</w:t>
      </w:r>
      <w:r w:rsidRPr="003B3FDD">
        <w:rPr>
          <w:rFonts w:ascii="Times New Roman" w:hAnsi="Times New Roman" w:cs="Times New Roman"/>
          <w:color w:val="0D0D0D" w:themeColor="text1" w:themeTint="F2"/>
          <w:sz w:val="24"/>
          <w:szCs w:val="24"/>
        </w:rPr>
        <w:t xml:space="preserve">he study aims to contribute to methodological refinement and enhance the precision of canopy density estimation. The integration of multispectral satellite data, GIS-based analysis, and advanced classification approaches provides a comprehensive framework for understanding canopy dynamics and supporting sustainable forest management strategies. </w:t>
      </w:r>
    </w:p>
    <w:p w14:paraId="0A674E41" w14:textId="5D9D4CC7" w:rsidR="00206331" w:rsidRPr="003B3FDD" w:rsidRDefault="00A0169D" w:rsidP="00364273">
      <w:pPr>
        <w:spacing w:line="276" w:lineRule="auto"/>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rPr>
        <w:t xml:space="preserve">2. </w:t>
      </w:r>
      <w:r w:rsidR="006E5928" w:rsidRPr="003B3FDD">
        <w:rPr>
          <w:rFonts w:ascii="Times New Roman" w:hAnsi="Times New Roman" w:cs="Times New Roman"/>
          <w:b/>
          <w:bCs/>
          <w:color w:val="0D0D0D" w:themeColor="text1" w:themeTint="F2"/>
          <w:sz w:val="24"/>
          <w:szCs w:val="24"/>
        </w:rPr>
        <w:t xml:space="preserve">Study area </w:t>
      </w:r>
    </w:p>
    <w:p w14:paraId="0CA1C86F" w14:textId="523815C1" w:rsidR="00206331" w:rsidRDefault="00963F34" w:rsidP="00364273">
      <w:pPr>
        <w:spacing w:line="276" w:lineRule="auto"/>
        <w:ind w:firstLine="720"/>
        <w:jc w:val="both"/>
        <w:rPr>
          <w:rFonts w:ascii="Times New Roman" w:hAnsi="Times New Roman" w:cs="Times New Roman"/>
          <w:color w:val="0D0D0D" w:themeColor="text1" w:themeTint="F2"/>
          <w:sz w:val="24"/>
          <w:szCs w:val="24"/>
          <w:lang w:val="en-US"/>
        </w:rPr>
      </w:pPr>
      <w:proofErr w:type="spellStart"/>
      <w:r w:rsidRPr="003B3FDD">
        <w:rPr>
          <w:rFonts w:ascii="Times New Roman" w:hAnsi="Times New Roman" w:cs="Times New Roman"/>
          <w:color w:val="0D0D0D" w:themeColor="text1" w:themeTint="F2"/>
          <w:sz w:val="24"/>
          <w:szCs w:val="24"/>
          <w:lang w:val="en-US"/>
        </w:rPr>
        <w:t>Hunsur</w:t>
      </w:r>
      <w:proofErr w:type="spellEnd"/>
      <w:r w:rsidRPr="003B3FDD">
        <w:rPr>
          <w:rFonts w:ascii="Times New Roman" w:hAnsi="Times New Roman" w:cs="Times New Roman"/>
          <w:color w:val="0D0D0D" w:themeColor="text1" w:themeTint="F2"/>
          <w:sz w:val="24"/>
          <w:szCs w:val="24"/>
          <w:lang w:val="en-US"/>
        </w:rPr>
        <w:t xml:space="preserve"> taluk, Mysuru District falls in the survey of India topo sheet Nos. 57D/3, 4, 7, 8 and 11. The taluk is bounded by </w:t>
      </w:r>
      <w:r w:rsidR="00A0169D" w:rsidRPr="003B3FDD">
        <w:rPr>
          <w:rFonts w:ascii="Times New Roman" w:hAnsi="Times New Roman" w:cs="Times New Roman"/>
          <w:color w:val="0D0D0D" w:themeColor="text1" w:themeTint="F2"/>
          <w:sz w:val="24"/>
          <w:szCs w:val="24"/>
          <w:lang w:val="en-US"/>
        </w:rPr>
        <w:t>N</w:t>
      </w:r>
      <w:r w:rsidRPr="003B3FDD">
        <w:rPr>
          <w:rFonts w:ascii="Times New Roman" w:hAnsi="Times New Roman" w:cs="Times New Roman"/>
          <w:color w:val="0D0D0D" w:themeColor="text1" w:themeTint="F2"/>
          <w:sz w:val="24"/>
          <w:szCs w:val="24"/>
          <w:lang w:val="en-US"/>
        </w:rPr>
        <w:t>orth latitudes 12° 05′ 00″</w:t>
      </w:r>
      <w:r w:rsidR="00A0169D" w:rsidRPr="003B3FDD">
        <w:rPr>
          <w:rFonts w:ascii="Times New Roman" w:hAnsi="Times New Roman" w:cs="Times New Roman"/>
          <w:color w:val="0D0D0D" w:themeColor="text1" w:themeTint="F2"/>
          <w:sz w:val="24"/>
          <w:szCs w:val="24"/>
          <w:lang w:val="en-US"/>
        </w:rPr>
        <w:t>-</w:t>
      </w:r>
      <w:r w:rsidRPr="003B3FDD">
        <w:rPr>
          <w:rFonts w:ascii="Times New Roman" w:hAnsi="Times New Roman" w:cs="Times New Roman"/>
          <w:color w:val="0D0D0D" w:themeColor="text1" w:themeTint="F2"/>
          <w:sz w:val="24"/>
          <w:szCs w:val="24"/>
          <w:lang w:val="en-US"/>
        </w:rPr>
        <w:t>12° 26′ 00″ and east longitudes 76° 05′ 00″</w:t>
      </w:r>
      <w:r w:rsidR="00A0169D" w:rsidRPr="003B3FDD">
        <w:rPr>
          <w:rFonts w:ascii="Times New Roman" w:hAnsi="Times New Roman" w:cs="Times New Roman"/>
          <w:color w:val="0D0D0D" w:themeColor="text1" w:themeTint="F2"/>
          <w:sz w:val="24"/>
          <w:szCs w:val="24"/>
          <w:lang w:val="en-US"/>
        </w:rPr>
        <w:t>-</w:t>
      </w:r>
      <w:r w:rsidRPr="003B3FDD">
        <w:rPr>
          <w:rFonts w:ascii="Times New Roman" w:hAnsi="Times New Roman" w:cs="Times New Roman"/>
          <w:color w:val="0D0D0D" w:themeColor="text1" w:themeTint="F2"/>
          <w:sz w:val="24"/>
          <w:szCs w:val="24"/>
          <w:lang w:val="en-US"/>
        </w:rPr>
        <w:t xml:space="preserve">76° 32′ 00″, </w:t>
      </w:r>
      <w:r w:rsidR="00A0169D" w:rsidRPr="003B3FDD">
        <w:rPr>
          <w:rFonts w:ascii="Times New Roman" w:hAnsi="Times New Roman" w:cs="Times New Roman"/>
          <w:color w:val="0D0D0D" w:themeColor="text1" w:themeTint="F2"/>
          <w:sz w:val="24"/>
          <w:szCs w:val="24"/>
          <w:lang w:val="en-US"/>
        </w:rPr>
        <w:t>(Fig</w:t>
      </w:r>
      <w:r w:rsidR="00B4548A" w:rsidRPr="003B3FDD">
        <w:rPr>
          <w:rFonts w:ascii="Times New Roman" w:hAnsi="Times New Roman" w:cs="Times New Roman"/>
          <w:color w:val="0D0D0D" w:themeColor="text1" w:themeTint="F2"/>
          <w:sz w:val="24"/>
          <w:szCs w:val="24"/>
          <w:lang w:val="en-US"/>
        </w:rPr>
        <w:t>.</w:t>
      </w:r>
      <w:r w:rsidR="00A0169D" w:rsidRPr="003B3FDD">
        <w:rPr>
          <w:rFonts w:ascii="Times New Roman" w:hAnsi="Times New Roman" w:cs="Times New Roman"/>
          <w:color w:val="0D0D0D" w:themeColor="text1" w:themeTint="F2"/>
          <w:sz w:val="24"/>
          <w:szCs w:val="24"/>
          <w:lang w:val="en-US"/>
        </w:rPr>
        <w:t xml:space="preserve"> 1) </w:t>
      </w:r>
      <w:r w:rsidRPr="003B3FDD">
        <w:rPr>
          <w:rFonts w:ascii="Times New Roman" w:hAnsi="Times New Roman" w:cs="Times New Roman"/>
          <w:color w:val="0D0D0D" w:themeColor="text1" w:themeTint="F2"/>
          <w:sz w:val="24"/>
          <w:szCs w:val="24"/>
          <w:lang w:val="en-US"/>
        </w:rPr>
        <w:t xml:space="preserve">covering an area of 897 </w:t>
      </w:r>
      <w:proofErr w:type="spellStart"/>
      <w:r w:rsidRPr="003B3FDD">
        <w:rPr>
          <w:rFonts w:ascii="Times New Roman" w:hAnsi="Times New Roman" w:cs="Times New Roman"/>
          <w:color w:val="0D0D0D" w:themeColor="text1" w:themeTint="F2"/>
          <w:sz w:val="24"/>
          <w:szCs w:val="24"/>
          <w:lang w:val="en-US"/>
        </w:rPr>
        <w:t>sq</w:t>
      </w:r>
      <w:proofErr w:type="spellEnd"/>
      <w:r w:rsidRPr="003B3FDD">
        <w:rPr>
          <w:rFonts w:ascii="Times New Roman" w:hAnsi="Times New Roman" w:cs="Times New Roman"/>
          <w:color w:val="0D0D0D" w:themeColor="text1" w:themeTint="F2"/>
          <w:sz w:val="24"/>
          <w:szCs w:val="24"/>
          <w:lang w:val="en-US"/>
        </w:rPr>
        <w:t xml:space="preserve"> km receives an annual average rainfall of 800 mm. The rainfall is highly variable in its distribution over space and time. The southwestern monsoon contributes more than 60% of the annual rainfall from June to September. During October and December, the northeastern monsoon and depressions either in the Bay of Bengal or the Arabian Sea bring rainfall to the area. The area is covered with hilly terrain and contains red-shallow gravelly soils. Geologically, the </w:t>
      </w:r>
      <w:proofErr w:type="spellStart"/>
      <w:r w:rsidRPr="003B3FDD">
        <w:rPr>
          <w:rFonts w:ascii="Times New Roman" w:hAnsi="Times New Roman" w:cs="Times New Roman"/>
          <w:color w:val="0D0D0D" w:themeColor="text1" w:themeTint="F2"/>
          <w:sz w:val="24"/>
          <w:szCs w:val="24"/>
          <w:lang w:val="en-US"/>
        </w:rPr>
        <w:t>Hunsur</w:t>
      </w:r>
      <w:proofErr w:type="spellEnd"/>
      <w:r w:rsidRPr="003B3FDD">
        <w:rPr>
          <w:rFonts w:ascii="Times New Roman" w:hAnsi="Times New Roman" w:cs="Times New Roman"/>
          <w:color w:val="0D0D0D" w:themeColor="text1" w:themeTint="F2"/>
          <w:sz w:val="24"/>
          <w:szCs w:val="24"/>
          <w:lang w:val="en-US"/>
        </w:rPr>
        <w:t xml:space="preserve"> area is covered by the Archean basement complex of gneisses, younger granites, and rocks</w:t>
      </w:r>
      <w:r w:rsidR="00433749" w:rsidRPr="003B3FDD">
        <w:rPr>
          <w:rFonts w:ascii="Times New Roman" w:eastAsia="Times New Roman" w:hAnsi="Times New Roman" w:cs="Times New Roman"/>
          <w:color w:val="0D0D0D" w:themeColor="text1" w:themeTint="F2"/>
          <w:sz w:val="24"/>
          <w:szCs w:val="24"/>
          <w:lang w:eastAsia="en-IN"/>
        </w:rPr>
        <w:t xml:space="preserve"> (KP and Reddy, 2017)</w:t>
      </w:r>
      <w:r w:rsidRPr="003B3FDD">
        <w:rPr>
          <w:rFonts w:ascii="Times New Roman" w:hAnsi="Times New Roman" w:cs="Times New Roman"/>
          <w:color w:val="0D0D0D" w:themeColor="text1" w:themeTint="F2"/>
          <w:sz w:val="24"/>
          <w:szCs w:val="24"/>
          <w:lang w:val="en-US"/>
        </w:rPr>
        <w:t xml:space="preserve">.  The </w:t>
      </w:r>
      <w:proofErr w:type="spellStart"/>
      <w:r w:rsidRPr="003B3FDD">
        <w:rPr>
          <w:rFonts w:ascii="Times New Roman" w:hAnsi="Times New Roman" w:cs="Times New Roman"/>
          <w:color w:val="0D0D0D" w:themeColor="text1" w:themeTint="F2"/>
          <w:sz w:val="24"/>
          <w:szCs w:val="24"/>
          <w:lang w:val="en-US"/>
        </w:rPr>
        <w:t>Hunsur</w:t>
      </w:r>
      <w:proofErr w:type="spellEnd"/>
      <w:r w:rsidRPr="003B3FDD">
        <w:rPr>
          <w:rFonts w:ascii="Times New Roman" w:hAnsi="Times New Roman" w:cs="Times New Roman"/>
          <w:color w:val="0D0D0D" w:themeColor="text1" w:themeTint="F2"/>
          <w:sz w:val="24"/>
          <w:szCs w:val="24"/>
          <w:lang w:val="en-US"/>
        </w:rPr>
        <w:t xml:space="preserve"> region is predominantly characterized by dry deciduous forests, which form the main type of natural vegetation in the area. In addition to these forests, the region also has extensive energy plantations, established mainly to meet fuelwood and energy needs. Agriculture is another important land use in </w:t>
      </w:r>
      <w:proofErr w:type="spellStart"/>
      <w:r w:rsidRPr="003B3FDD">
        <w:rPr>
          <w:rFonts w:ascii="Times New Roman" w:hAnsi="Times New Roman" w:cs="Times New Roman"/>
          <w:color w:val="0D0D0D" w:themeColor="text1" w:themeTint="F2"/>
          <w:sz w:val="24"/>
          <w:szCs w:val="24"/>
          <w:lang w:val="en-US"/>
        </w:rPr>
        <w:t>Hunsur</w:t>
      </w:r>
      <w:proofErr w:type="spellEnd"/>
      <w:r w:rsidRPr="003B3FDD">
        <w:rPr>
          <w:rFonts w:ascii="Times New Roman" w:hAnsi="Times New Roman" w:cs="Times New Roman"/>
          <w:color w:val="0D0D0D" w:themeColor="text1" w:themeTint="F2"/>
          <w:sz w:val="24"/>
          <w:szCs w:val="24"/>
          <w:lang w:val="en-US"/>
        </w:rPr>
        <w:t>, with tobacco being one of the major crops widely cultivated by farmers.</w:t>
      </w:r>
    </w:p>
    <w:p w14:paraId="511C22A9" w14:textId="77777777" w:rsidR="00597548" w:rsidRPr="003B3FDD" w:rsidRDefault="00597548" w:rsidP="00597548">
      <w:pPr>
        <w:spacing w:after="100" w:afterAutospacing="1"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3. Materials and Methods</w:t>
      </w:r>
    </w:p>
    <w:p w14:paraId="3F6A89DB" w14:textId="77777777" w:rsidR="00597548" w:rsidRPr="003B3FDD" w:rsidRDefault="00597548" w:rsidP="00597548">
      <w:pPr>
        <w:spacing w:after="100" w:afterAutospacing="1"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3.1 Datasets</w:t>
      </w:r>
    </w:p>
    <w:p w14:paraId="753775F0" w14:textId="73E01E0D" w:rsidR="00597548" w:rsidRPr="003B3FDD"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Pr>
          <w:rFonts w:ascii="Times New Roman" w:eastAsia="Calibri" w:hAnsi="Times New Roman" w:cs="Times New Roman"/>
          <w:color w:val="0D0D0D"/>
          <w:sz w:val="24"/>
          <w:szCs w:val="24"/>
          <w:lang w:val="en-US"/>
        </w:rPr>
        <w:t>Multiple spectra</w:t>
      </w:r>
      <w:r w:rsidRPr="003B3FDD">
        <w:rPr>
          <w:rFonts w:ascii="Times New Roman" w:hAnsi="Times New Roman" w:cs="Times New Roman"/>
          <w:color w:val="0D0D0D" w:themeColor="text1" w:themeTint="F2"/>
          <w:sz w:val="24"/>
          <w:szCs w:val="24"/>
          <w:lang w:val="en-US"/>
        </w:rPr>
        <w:t xml:space="preserve"> with high spatial resolution satellite </w:t>
      </w:r>
      <w:r>
        <w:rPr>
          <w:rFonts w:ascii="Times New Roman" w:eastAsia="Calibri" w:hAnsi="Times New Roman" w:cs="Times New Roman"/>
          <w:color w:val="0D0D0D"/>
          <w:sz w:val="24"/>
          <w:szCs w:val="24"/>
          <w:lang w:val="en-US"/>
        </w:rPr>
        <w:t>images</w:t>
      </w:r>
      <w:r w:rsidRPr="003B3FDD">
        <w:rPr>
          <w:rFonts w:ascii="Times New Roman" w:hAnsi="Times New Roman" w:cs="Times New Roman"/>
          <w:color w:val="0D0D0D" w:themeColor="text1" w:themeTint="F2"/>
          <w:sz w:val="24"/>
          <w:szCs w:val="24"/>
          <w:lang w:val="en-US"/>
        </w:rPr>
        <w:t xml:space="preserve"> have been used to estimate the </w:t>
      </w:r>
      <w:r>
        <w:rPr>
          <w:rFonts w:ascii="Times New Roman" w:eastAsia="Calibri" w:hAnsi="Times New Roman" w:cs="Times New Roman"/>
          <w:color w:val="0D0D0D"/>
          <w:sz w:val="24"/>
          <w:szCs w:val="24"/>
          <w:lang w:val="en-US"/>
        </w:rPr>
        <w:t>forest canopy density status</w:t>
      </w:r>
      <w:r w:rsidRPr="003B3FDD">
        <w:rPr>
          <w:rFonts w:ascii="Times New Roman" w:hAnsi="Times New Roman" w:cs="Times New Roman"/>
          <w:color w:val="0D0D0D" w:themeColor="text1" w:themeTint="F2"/>
          <w:sz w:val="24"/>
          <w:szCs w:val="24"/>
          <w:lang w:val="en-US"/>
        </w:rPr>
        <w:t xml:space="preserve"> of </w:t>
      </w:r>
      <w:proofErr w:type="spellStart"/>
      <w:r w:rsidRPr="003B3FDD">
        <w:rPr>
          <w:rFonts w:ascii="Times New Roman" w:hAnsi="Times New Roman" w:cs="Times New Roman"/>
          <w:color w:val="0D0D0D" w:themeColor="text1" w:themeTint="F2"/>
          <w:sz w:val="24"/>
          <w:szCs w:val="24"/>
          <w:lang w:val="en-US"/>
        </w:rPr>
        <w:t>Hunsur</w:t>
      </w:r>
      <w:proofErr w:type="spellEnd"/>
      <w:r w:rsidRPr="003B3FDD">
        <w:rPr>
          <w:rFonts w:ascii="Times New Roman" w:hAnsi="Times New Roman" w:cs="Times New Roman"/>
          <w:color w:val="0D0D0D" w:themeColor="text1" w:themeTint="F2"/>
          <w:sz w:val="24"/>
          <w:szCs w:val="24"/>
          <w:lang w:val="en-US"/>
        </w:rPr>
        <w:t xml:space="preserve"> taluk. The satellite images </w:t>
      </w:r>
      <w:r>
        <w:rPr>
          <w:rFonts w:ascii="Times New Roman" w:eastAsia="Calibri" w:hAnsi="Times New Roman" w:cs="Times New Roman"/>
          <w:color w:val="0D0D0D"/>
          <w:sz w:val="24"/>
          <w:szCs w:val="24"/>
          <w:lang w:val="en-US"/>
        </w:rPr>
        <w:t>were</w:t>
      </w:r>
      <w:r w:rsidRPr="003B3FDD">
        <w:rPr>
          <w:rFonts w:ascii="Times New Roman" w:hAnsi="Times New Roman" w:cs="Times New Roman"/>
          <w:color w:val="0D0D0D" w:themeColor="text1" w:themeTint="F2"/>
          <w:sz w:val="24"/>
          <w:szCs w:val="24"/>
          <w:lang w:val="en-US"/>
        </w:rPr>
        <w:t xml:space="preserve"> obtained from </w:t>
      </w:r>
      <w:r>
        <w:rPr>
          <w:rFonts w:ascii="Times New Roman" w:eastAsia="Calibri" w:hAnsi="Times New Roman" w:cs="Times New Roman"/>
          <w:color w:val="0D0D0D"/>
          <w:sz w:val="24"/>
          <w:szCs w:val="24"/>
          <w:lang w:val="en-US"/>
        </w:rPr>
        <w:t xml:space="preserve">the </w:t>
      </w:r>
      <w:r w:rsidRPr="003B3FDD">
        <w:rPr>
          <w:rFonts w:ascii="Times New Roman" w:eastAsia="Times New Roman" w:hAnsi="Times New Roman" w:cs="Times New Roman"/>
          <w:color w:val="0D0D0D" w:themeColor="text1" w:themeTint="F2"/>
          <w:sz w:val="24"/>
          <w:szCs w:val="24"/>
          <w:lang w:val="en-US" w:eastAsia="en-IN"/>
        </w:rPr>
        <w:t>Google Earth Engine (GEE) cloud-computing platform</w:t>
      </w:r>
      <w:r w:rsidRPr="003B3FDD">
        <w:rPr>
          <w:rFonts w:ascii="Times New Roman" w:hAnsi="Times New Roman" w:cs="Times New Roman"/>
          <w:color w:val="0D0D0D" w:themeColor="text1" w:themeTint="F2"/>
          <w:sz w:val="24"/>
          <w:szCs w:val="24"/>
          <w:lang w:val="en-US"/>
        </w:rPr>
        <w:t xml:space="preserve"> for extracting different indices</w:t>
      </w:r>
      <w:r>
        <w:rPr>
          <w:rFonts w:ascii="Times New Roman" w:eastAsia="Calibri" w:hAnsi="Times New Roman" w:cs="Times New Roman"/>
          <w:color w:val="0D0D0D"/>
          <w:sz w:val="24"/>
          <w:szCs w:val="24"/>
          <w:lang w:val="en-US"/>
        </w:rPr>
        <w:t>,</w:t>
      </w:r>
      <w:r w:rsidRPr="003B3FDD">
        <w:rPr>
          <w:rFonts w:ascii="Times New Roman" w:hAnsi="Times New Roman" w:cs="Times New Roman"/>
          <w:color w:val="0D0D0D" w:themeColor="text1" w:themeTint="F2"/>
          <w:sz w:val="24"/>
          <w:szCs w:val="24"/>
          <w:lang w:val="en-US"/>
        </w:rPr>
        <w:t xml:space="preserve"> such as </w:t>
      </w:r>
      <w:r>
        <w:rPr>
          <w:rFonts w:ascii="Times New Roman" w:eastAsia="Calibri" w:hAnsi="Times New Roman" w:cs="Times New Roman"/>
          <w:color w:val="0D0D0D"/>
          <w:sz w:val="24"/>
          <w:szCs w:val="24"/>
          <w:lang w:val="en-US"/>
        </w:rPr>
        <w:t xml:space="preserve">the </w:t>
      </w:r>
      <w:r w:rsidRPr="003B3FDD">
        <w:rPr>
          <w:rFonts w:ascii="Times New Roman" w:hAnsi="Times New Roman" w:cs="Times New Roman"/>
          <w:color w:val="0D0D0D" w:themeColor="text1" w:themeTint="F2"/>
          <w:sz w:val="24"/>
          <w:szCs w:val="24"/>
          <w:lang w:val="en-US"/>
        </w:rPr>
        <w:t xml:space="preserve">NDVI, BI, AVI, LULC and SI. First, significant </w:t>
      </w:r>
      <w:r>
        <w:rPr>
          <w:rFonts w:ascii="Times New Roman" w:eastAsia="Calibri" w:hAnsi="Times New Roman" w:cs="Times New Roman"/>
          <w:color w:val="0D0D0D"/>
          <w:sz w:val="24"/>
          <w:szCs w:val="24"/>
          <w:lang w:val="en-US"/>
        </w:rPr>
        <w:t>weight</w:t>
      </w:r>
      <w:r w:rsidRPr="003B3FDD">
        <w:rPr>
          <w:rFonts w:ascii="Times New Roman" w:hAnsi="Times New Roman" w:cs="Times New Roman"/>
          <w:color w:val="0D0D0D" w:themeColor="text1" w:themeTint="F2"/>
          <w:sz w:val="24"/>
          <w:szCs w:val="24"/>
          <w:lang w:val="en-US"/>
        </w:rPr>
        <w:t xml:space="preserve"> values are assigned for different classes of multiple themes</w:t>
      </w:r>
      <w:r>
        <w:rPr>
          <w:rFonts w:ascii="Times New Roman" w:eastAsia="Calibri" w:hAnsi="Times New Roman" w:cs="Times New Roman"/>
          <w:color w:val="0D0D0D"/>
          <w:sz w:val="24"/>
          <w:szCs w:val="24"/>
          <w:lang w:val="en-US"/>
        </w:rPr>
        <w:t>,</w:t>
      </w:r>
      <w:r w:rsidRPr="003B3FDD">
        <w:rPr>
          <w:rFonts w:ascii="Times New Roman" w:hAnsi="Times New Roman" w:cs="Times New Roman"/>
          <w:color w:val="0D0D0D" w:themeColor="text1" w:themeTint="F2"/>
          <w:sz w:val="24"/>
          <w:szCs w:val="24"/>
          <w:lang w:val="en-US"/>
        </w:rPr>
        <w:t xml:space="preserve"> and </w:t>
      </w:r>
      <w:r>
        <w:rPr>
          <w:rFonts w:ascii="Times New Roman" w:eastAsia="Calibri" w:hAnsi="Times New Roman" w:cs="Times New Roman"/>
          <w:color w:val="0D0D0D"/>
          <w:sz w:val="24"/>
          <w:szCs w:val="24"/>
          <w:lang w:val="en-US"/>
        </w:rPr>
        <w:t xml:space="preserve">an </w:t>
      </w:r>
      <w:r w:rsidRPr="003B3FDD">
        <w:rPr>
          <w:rFonts w:ascii="Times New Roman" w:hAnsi="Times New Roman" w:cs="Times New Roman"/>
          <w:color w:val="0D0D0D" w:themeColor="text1" w:themeTint="F2"/>
          <w:sz w:val="24"/>
          <w:szCs w:val="24"/>
          <w:lang w:val="en-US"/>
        </w:rPr>
        <w:t xml:space="preserve">FCD map </w:t>
      </w:r>
      <w:r>
        <w:rPr>
          <w:rFonts w:ascii="Times New Roman" w:eastAsia="Calibri" w:hAnsi="Times New Roman" w:cs="Times New Roman"/>
          <w:color w:val="0D0D0D"/>
          <w:sz w:val="24"/>
          <w:szCs w:val="24"/>
          <w:lang w:val="en-US"/>
        </w:rPr>
        <w:t>is</w:t>
      </w:r>
      <w:r w:rsidRPr="003B3FDD">
        <w:rPr>
          <w:rFonts w:ascii="Times New Roman" w:hAnsi="Times New Roman" w:cs="Times New Roman"/>
          <w:color w:val="0D0D0D" w:themeColor="text1" w:themeTint="F2"/>
          <w:sz w:val="24"/>
          <w:szCs w:val="24"/>
          <w:lang w:val="en-US"/>
        </w:rPr>
        <w:t xml:space="preserve"> prepared</w:t>
      </w:r>
      <w:r w:rsidRPr="003B3FDD">
        <w:rPr>
          <w:rFonts w:ascii="Times New Roman" w:eastAsia="Times New Roman" w:hAnsi="Times New Roman" w:cs="Times New Roman"/>
          <w:color w:val="0D0D0D" w:themeColor="text1" w:themeTint="F2"/>
          <w:sz w:val="24"/>
          <w:szCs w:val="24"/>
          <w:lang w:val="en-US" w:eastAsia="en-IN"/>
        </w:rPr>
        <w:t xml:space="preserve">. The primary datasets utilized include </w:t>
      </w:r>
      <w:r w:rsidRPr="003B3FDD">
        <w:rPr>
          <w:rFonts w:ascii="Times New Roman" w:eastAsia="Times New Roman" w:hAnsi="Times New Roman" w:cs="Times New Roman"/>
          <w:color w:val="0D0D0D" w:themeColor="text1" w:themeTint="F2"/>
          <w:sz w:val="24"/>
          <w:szCs w:val="24"/>
          <w:lang w:val="en-US" w:eastAsia="en-IN"/>
        </w:rPr>
        <w:lastRenderedPageBreak/>
        <w:t xml:space="preserve">median composite </w:t>
      </w:r>
      <w:r>
        <w:rPr>
          <w:rFonts w:ascii="Times New Roman" w:eastAsia="Times New Roman" w:hAnsi="Times New Roman" w:cs="Times New Roman"/>
          <w:color w:val="0D0D0D"/>
          <w:sz w:val="24"/>
          <w:szCs w:val="24"/>
          <w:lang w:val="en-US" w:eastAsia="en-IN"/>
        </w:rPr>
        <w:t>images</w:t>
      </w:r>
      <w:r w:rsidRPr="003B3FDD">
        <w:rPr>
          <w:rFonts w:ascii="Times New Roman" w:eastAsia="Times New Roman" w:hAnsi="Times New Roman" w:cs="Times New Roman"/>
          <w:color w:val="0D0D0D" w:themeColor="text1" w:themeTint="F2"/>
          <w:sz w:val="24"/>
          <w:szCs w:val="24"/>
          <w:lang w:val="en-US" w:eastAsia="en-IN"/>
        </w:rPr>
        <w:t xml:space="preserve"> of Sentinel-2 Level-2A (</w:t>
      </w:r>
      <w:r>
        <w:rPr>
          <w:rFonts w:ascii="Times New Roman" w:eastAsia="Times New Roman" w:hAnsi="Times New Roman" w:cs="Times New Roman"/>
          <w:color w:val="0D0D0D"/>
          <w:sz w:val="24"/>
          <w:szCs w:val="24"/>
          <w:lang w:val="en-US" w:eastAsia="en-IN"/>
        </w:rPr>
        <w:t>surface reflectance) images, which</w:t>
      </w:r>
      <w:r w:rsidRPr="003B3FDD">
        <w:rPr>
          <w:rFonts w:ascii="Times New Roman" w:eastAsia="Times New Roman" w:hAnsi="Times New Roman" w:cs="Times New Roman"/>
          <w:color w:val="0D0D0D" w:themeColor="text1" w:themeTint="F2"/>
          <w:sz w:val="24"/>
          <w:szCs w:val="24"/>
          <w:lang w:val="en-US" w:eastAsia="en-IN"/>
        </w:rPr>
        <w:t xml:space="preserve"> were filtered for the period November 2025</w:t>
      </w:r>
      <w:r>
        <w:rPr>
          <w:rFonts w:ascii="Times New Roman" w:eastAsia="Times New Roman" w:hAnsi="Times New Roman" w:cs="Times New Roman"/>
          <w:color w:val="0D0D0D"/>
          <w:sz w:val="24"/>
          <w:szCs w:val="24"/>
          <w:lang w:val="en-US" w:eastAsia="en-IN"/>
        </w:rPr>
        <w:t>--</w:t>
      </w:r>
      <w:r w:rsidRPr="003B3FDD">
        <w:rPr>
          <w:rFonts w:ascii="Times New Roman" w:eastAsia="Times New Roman" w:hAnsi="Times New Roman" w:cs="Times New Roman"/>
          <w:color w:val="0D0D0D" w:themeColor="text1" w:themeTint="F2"/>
          <w:sz w:val="24"/>
          <w:szCs w:val="24"/>
          <w:lang w:val="en-US" w:eastAsia="en-IN"/>
        </w:rPr>
        <w:t xml:space="preserve">January 2026 to capture the </w:t>
      </w:r>
      <w:r w:rsidR="00C811B6">
        <w:rPr>
          <w:rFonts w:ascii="Times New Roman" w:eastAsia="Times New Roman" w:hAnsi="Times New Roman" w:cs="Times New Roman"/>
          <w:color w:val="0D0D0D"/>
          <w:sz w:val="24"/>
          <w:szCs w:val="24"/>
          <w:lang w:val="en-US" w:eastAsia="en-IN"/>
        </w:rPr>
        <w:t>post monsoon</w:t>
      </w:r>
      <w:r w:rsidRPr="003B3FDD">
        <w:rPr>
          <w:rFonts w:ascii="Times New Roman" w:eastAsia="Times New Roman" w:hAnsi="Times New Roman" w:cs="Times New Roman"/>
          <w:color w:val="0D0D0D" w:themeColor="text1" w:themeTint="F2"/>
          <w:sz w:val="24"/>
          <w:szCs w:val="24"/>
          <w:lang w:val="en-US" w:eastAsia="en-IN"/>
        </w:rPr>
        <w:t xml:space="preserve"> vegetation peak. A cloud cover threshold of &lt;10% was applied, and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remaining clouds were masked </w:t>
      </w:r>
      <w:r>
        <w:rPr>
          <w:rFonts w:ascii="Times New Roman" w:eastAsia="Times New Roman" w:hAnsi="Times New Roman" w:cs="Times New Roman"/>
          <w:color w:val="0D0D0D"/>
          <w:sz w:val="24"/>
          <w:szCs w:val="24"/>
          <w:lang w:val="en-US" w:eastAsia="en-IN"/>
        </w:rPr>
        <w:t>via</w:t>
      </w:r>
      <w:r w:rsidRPr="003B3FDD">
        <w:rPr>
          <w:rFonts w:ascii="Times New Roman" w:eastAsia="Times New Roman" w:hAnsi="Times New Roman" w:cs="Times New Roman"/>
          <w:color w:val="0D0D0D" w:themeColor="text1" w:themeTint="F2"/>
          <w:sz w:val="24"/>
          <w:szCs w:val="24"/>
          <w:lang w:val="en-US" w:eastAsia="en-IN"/>
        </w:rPr>
        <w:t xml:space="preserve"> the QA60 bitmask band</w:t>
      </w:r>
      <w:r>
        <w:rPr>
          <w:rFonts w:ascii="Times New Roman" w:eastAsia="Times New Roman" w:hAnsi="Times New Roman" w:cs="Times New Roman"/>
          <w:color w:val="0D0D0D"/>
          <w:sz w:val="24"/>
          <w:szCs w:val="24"/>
          <w:lang w:val="en-US" w:eastAsia="en-IN"/>
        </w:rPr>
        <w:t>.</w:t>
      </w:r>
      <w:r w:rsidRPr="003B3FDD">
        <w:rPr>
          <w:rFonts w:ascii="Times New Roman" w:eastAsia="Times New Roman" w:hAnsi="Times New Roman" w:cs="Times New Roman"/>
          <w:color w:val="0D0D0D" w:themeColor="text1" w:themeTint="F2"/>
          <w:sz w:val="24"/>
          <w:szCs w:val="24"/>
          <w:lang w:val="en-US" w:eastAsia="en-IN"/>
        </w:rPr>
        <w:t xml:space="preserve"> Sentinel-1 SAR (</w:t>
      </w:r>
      <w:r>
        <w:rPr>
          <w:rFonts w:ascii="Times New Roman" w:eastAsia="Times New Roman" w:hAnsi="Times New Roman" w:cs="Times New Roman"/>
          <w:color w:val="0D0D0D"/>
          <w:sz w:val="24"/>
          <w:szCs w:val="24"/>
          <w:lang w:val="en-US" w:eastAsia="en-IN"/>
        </w:rPr>
        <w:t>ground range detected) data</w:t>
      </w:r>
      <w:r w:rsidRPr="003B3FDD">
        <w:rPr>
          <w:rFonts w:ascii="Times New Roman" w:eastAsia="Times New Roman" w:hAnsi="Times New Roman" w:cs="Times New Roman"/>
          <w:color w:val="0D0D0D" w:themeColor="text1" w:themeTint="F2"/>
          <w:sz w:val="24"/>
          <w:szCs w:val="24"/>
          <w:lang w:val="en-US" w:eastAsia="en-IN"/>
        </w:rPr>
        <w:t xml:space="preserve"> for C-band synthetic aperture radar data (Instrument Mode: IW) </w:t>
      </w:r>
      <w:r>
        <w:rPr>
          <w:rFonts w:ascii="Times New Roman" w:eastAsia="Times New Roman" w:hAnsi="Times New Roman" w:cs="Times New Roman"/>
          <w:color w:val="0D0D0D"/>
          <w:sz w:val="24"/>
          <w:szCs w:val="24"/>
          <w:lang w:val="en-US" w:eastAsia="en-IN"/>
        </w:rPr>
        <w:t>were</w:t>
      </w:r>
      <w:r w:rsidRPr="003B3FDD">
        <w:rPr>
          <w:rFonts w:ascii="Times New Roman" w:eastAsia="Times New Roman" w:hAnsi="Times New Roman" w:cs="Times New Roman"/>
          <w:color w:val="0D0D0D" w:themeColor="text1" w:themeTint="F2"/>
          <w:sz w:val="24"/>
          <w:szCs w:val="24"/>
          <w:lang w:val="en-US" w:eastAsia="en-IN"/>
        </w:rPr>
        <w:t xml:space="preserve"> integrated to provide structural information, which is less sensitive to atmospheric conditions and aids in differentiating built-up areas from bare soil.</w:t>
      </w:r>
    </w:p>
    <w:p w14:paraId="4CA78167" w14:textId="77777777" w:rsidR="00597548" w:rsidRPr="003B3FDD" w:rsidRDefault="00597548" w:rsidP="00597548">
      <w:pPr>
        <w:spacing w:line="276" w:lineRule="auto"/>
        <w:jc w:val="both"/>
        <w:rPr>
          <w:rFonts w:ascii="Times New Roman" w:hAnsi="Times New Roman" w:cs="Times New Roman"/>
          <w:color w:val="0D0D0D" w:themeColor="text1" w:themeTint="F2"/>
          <w:sz w:val="24"/>
          <w:szCs w:val="24"/>
          <w:lang w:val="en-US"/>
        </w:rPr>
      </w:pPr>
    </w:p>
    <w:p w14:paraId="0510BD8F" w14:textId="57A1087A" w:rsidR="00A0169D" w:rsidRPr="003B3FDD" w:rsidRDefault="00F247A4" w:rsidP="00364273">
      <w:pPr>
        <w:keepNext/>
        <w:spacing w:line="276" w:lineRule="auto"/>
        <w:jc w:val="center"/>
        <w:rPr>
          <w:rFonts w:ascii="Times New Roman" w:hAnsi="Times New Roman" w:cs="Times New Roman"/>
          <w:color w:val="0D0D0D" w:themeColor="text1" w:themeTint="F2"/>
          <w:sz w:val="24"/>
          <w:szCs w:val="24"/>
        </w:rPr>
      </w:pPr>
      <w:r>
        <w:rPr>
          <w:noProof/>
        </w:rPr>
        <w:drawing>
          <wp:inline distT="0" distB="0" distL="0" distR="0" wp14:anchorId="57CF280E" wp14:editId="414084F7">
            <wp:extent cx="4305300" cy="2981325"/>
            <wp:effectExtent l="0" t="0" r="0" b="9525"/>
            <wp:docPr id="1420180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0293" name=""/>
                    <pic:cNvPicPr/>
                  </pic:nvPicPr>
                  <pic:blipFill>
                    <a:blip r:embed="rId8"/>
                    <a:stretch>
                      <a:fillRect/>
                    </a:stretch>
                  </pic:blipFill>
                  <pic:spPr>
                    <a:xfrm>
                      <a:off x="0" y="0"/>
                      <a:ext cx="4305300" cy="2981325"/>
                    </a:xfrm>
                    <a:prstGeom prst="rect">
                      <a:avLst/>
                    </a:prstGeom>
                  </pic:spPr>
                </pic:pic>
              </a:graphicData>
            </a:graphic>
          </wp:inline>
        </w:drawing>
      </w:r>
    </w:p>
    <w:p w14:paraId="65F6B26C" w14:textId="436E799C" w:rsidR="00206331" w:rsidRPr="003B3FDD" w:rsidRDefault="00A0169D" w:rsidP="00364273">
      <w:pPr>
        <w:pStyle w:val="Caption"/>
        <w:spacing w:line="276" w:lineRule="auto"/>
        <w:jc w:val="center"/>
        <w:rPr>
          <w:rFonts w:ascii="Times New Roman" w:hAnsi="Times New Roman" w:cs="Times New Roman"/>
          <w:i w:val="0"/>
          <w:iCs w:val="0"/>
          <w:color w:val="0D0D0D" w:themeColor="text1" w:themeTint="F2"/>
          <w:sz w:val="24"/>
          <w:szCs w:val="24"/>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1</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xml:space="preserve"> : Study area</w:t>
      </w:r>
    </w:p>
    <w:p w14:paraId="592FEE31" w14:textId="77777777" w:rsidR="00597548" w:rsidRPr="003B3FDD" w:rsidRDefault="00597548" w:rsidP="00597548">
      <w:p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3.2 Image Pre</w:t>
      </w:r>
      <w:r w:rsidRPr="003B3FDD">
        <w:rPr>
          <w:rFonts w:ascii="Times New Roman" w:eastAsia="Times New Roman" w:hAnsi="Times New Roman" w:cs="Times New Roman"/>
          <w:b/>
          <w:bCs/>
          <w:color w:val="0D0D0D" w:themeColor="text1" w:themeTint="F2"/>
          <w:sz w:val="24"/>
          <w:szCs w:val="24"/>
          <w:lang w:val="en-US" w:eastAsia="en-IN"/>
        </w:rPr>
        <w:noBreakHyphen/>
        <w:t>processing</w:t>
      </w:r>
    </w:p>
    <w:p w14:paraId="1ED1B3C8" w14:textId="77777777" w:rsidR="00597548" w:rsidRPr="003B3FDD"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Various Sentinel images have been collected from </w:t>
      </w:r>
      <w:r>
        <w:rPr>
          <w:rFonts w:ascii="Times New Roman" w:eastAsia="Times New Roman" w:hAnsi="Times New Roman" w:cs="Times New Roman"/>
          <w:color w:val="0D0D0D"/>
          <w:sz w:val="24"/>
          <w:szCs w:val="24"/>
          <w:lang w:val="en-US" w:eastAsia="en-IN"/>
        </w:rPr>
        <w:t>the Google Earth</w:t>
      </w:r>
      <w:r w:rsidRPr="003B3FDD">
        <w:rPr>
          <w:rFonts w:ascii="Times New Roman" w:eastAsia="Times New Roman" w:hAnsi="Times New Roman" w:cs="Times New Roman"/>
          <w:color w:val="0D0D0D" w:themeColor="text1" w:themeTint="F2"/>
          <w:sz w:val="24"/>
          <w:szCs w:val="24"/>
          <w:lang w:val="en-US" w:eastAsia="en-IN"/>
        </w:rPr>
        <w:t xml:space="preserve"> engine to assess the spatial growth of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forest canopy as well as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different forest attributes of the study area. For sustainable forest resource protection, scientific forest </w:t>
      </w:r>
      <w:r>
        <w:rPr>
          <w:rFonts w:ascii="Times New Roman" w:eastAsia="Times New Roman" w:hAnsi="Times New Roman" w:cs="Times New Roman"/>
          <w:color w:val="0D0D0D"/>
          <w:sz w:val="24"/>
          <w:szCs w:val="24"/>
          <w:lang w:val="en-US" w:eastAsia="en-IN"/>
        </w:rPr>
        <w:t>studies have</w:t>
      </w:r>
      <w:r w:rsidRPr="003B3FDD">
        <w:rPr>
          <w:rFonts w:ascii="Times New Roman" w:eastAsia="Times New Roman" w:hAnsi="Times New Roman" w:cs="Times New Roman"/>
          <w:color w:val="0D0D0D" w:themeColor="text1" w:themeTint="F2"/>
          <w:sz w:val="24"/>
          <w:szCs w:val="24"/>
          <w:lang w:val="en-US" w:eastAsia="en-IN"/>
        </w:rPr>
        <w:t xml:space="preserve"> relied </w:t>
      </w:r>
      <w:r>
        <w:rPr>
          <w:rFonts w:ascii="Times New Roman" w:eastAsia="Times New Roman" w:hAnsi="Times New Roman" w:cs="Times New Roman"/>
          <w:color w:val="0D0D0D"/>
          <w:sz w:val="24"/>
          <w:szCs w:val="24"/>
          <w:lang w:val="en-US" w:eastAsia="en-IN"/>
        </w:rPr>
        <w:t xml:space="preserve">mostly on </w:t>
      </w:r>
      <w:proofErr w:type="spellStart"/>
      <w:r>
        <w:rPr>
          <w:rFonts w:ascii="Times New Roman" w:eastAsia="Times New Roman" w:hAnsi="Times New Roman" w:cs="Times New Roman"/>
          <w:color w:val="0D0D0D"/>
          <w:sz w:val="24"/>
          <w:szCs w:val="24"/>
          <w:lang w:val="en-US" w:eastAsia="en-IN"/>
        </w:rPr>
        <w:t>postmonsoon</w:t>
      </w:r>
      <w:proofErr w:type="spellEnd"/>
      <w:r w:rsidRPr="003B3FDD">
        <w:rPr>
          <w:rFonts w:ascii="Times New Roman" w:eastAsia="Times New Roman" w:hAnsi="Times New Roman" w:cs="Times New Roman"/>
          <w:color w:val="0D0D0D" w:themeColor="text1" w:themeTint="F2"/>
          <w:sz w:val="24"/>
          <w:szCs w:val="24"/>
          <w:lang w:val="en-US" w:eastAsia="en-IN"/>
        </w:rPr>
        <w:t xml:space="preserve"> imagery. </w:t>
      </w:r>
      <w:r>
        <w:rPr>
          <w:rFonts w:ascii="Times New Roman" w:eastAsia="Times New Roman" w:hAnsi="Times New Roman" w:cs="Times New Roman"/>
          <w:color w:val="0D0D0D"/>
          <w:sz w:val="24"/>
          <w:szCs w:val="24"/>
          <w:lang w:val="en-US" w:eastAsia="en-IN"/>
        </w:rPr>
        <w:t>To</w:t>
      </w:r>
      <w:r w:rsidRPr="003B3FDD">
        <w:rPr>
          <w:rFonts w:ascii="Times New Roman" w:eastAsia="Times New Roman" w:hAnsi="Times New Roman" w:cs="Times New Roman"/>
          <w:color w:val="0D0D0D" w:themeColor="text1" w:themeTint="F2"/>
          <w:sz w:val="24"/>
          <w:szCs w:val="24"/>
          <w:lang w:val="en-US" w:eastAsia="en-IN"/>
        </w:rPr>
        <w:t xml:space="preserve"> calculate the area and improve data extraction, images are further transformed into Universe Transverse Mercator (UTM) projections from geographical coordinate systems. When processing images, the WGS84 datum system </w:t>
      </w:r>
      <w:r>
        <w:rPr>
          <w:rFonts w:ascii="Times New Roman" w:eastAsia="Times New Roman" w:hAnsi="Times New Roman" w:cs="Times New Roman"/>
          <w:color w:val="0D0D0D"/>
          <w:sz w:val="24"/>
          <w:szCs w:val="24"/>
          <w:lang w:val="en-US" w:eastAsia="en-IN"/>
        </w:rPr>
        <w:t>is considered</w:t>
      </w:r>
      <w:r w:rsidRPr="003B3FDD">
        <w:rPr>
          <w:rFonts w:ascii="Times New Roman" w:eastAsia="Times New Roman" w:hAnsi="Times New Roman" w:cs="Times New Roman"/>
          <w:color w:val="0D0D0D" w:themeColor="text1" w:themeTint="F2"/>
          <w:sz w:val="24"/>
          <w:szCs w:val="24"/>
          <w:lang w:val="en-US" w:eastAsia="en-IN"/>
        </w:rPr>
        <w:t>.</w:t>
      </w:r>
    </w:p>
    <w:p w14:paraId="6DEABB4C" w14:textId="77777777" w:rsidR="00597548" w:rsidRPr="003B3FDD" w:rsidRDefault="00597548" w:rsidP="00597548">
      <w:pPr>
        <w:pStyle w:val="ListParagraph"/>
        <w:numPr>
          <w:ilvl w:val="1"/>
          <w:numId w:val="7"/>
        </w:num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 xml:space="preserve">LULC </w:t>
      </w:r>
      <w:r>
        <w:rPr>
          <w:rFonts w:ascii="Times New Roman" w:eastAsia="Times New Roman" w:hAnsi="Times New Roman" w:cs="Times New Roman"/>
          <w:b/>
          <w:bCs/>
          <w:color w:val="0D0D0D"/>
          <w:sz w:val="24"/>
          <w:szCs w:val="24"/>
          <w:lang w:val="en-US" w:eastAsia="en-IN"/>
        </w:rPr>
        <w:t>classification</w:t>
      </w:r>
    </w:p>
    <w:p w14:paraId="612042ED" w14:textId="77777777" w:rsidR="00597548" w:rsidRPr="003B3FDD" w:rsidRDefault="00597548" w:rsidP="00597548">
      <w:pPr>
        <w:spacing w:after="100" w:afterAutospacing="1" w:line="276" w:lineRule="auto"/>
        <w:ind w:firstLine="360"/>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Land use and land cover (LULC) represent significant physical and human-induced characteristics of the Earth’s surface. Land use describes the manner in which humans utilize land resources for different purposes, whereas land cover refers to the natural or physical features that exist on the surface. Over the past few decades, rapid population growth and increasing </w:t>
      </w:r>
      <w:r>
        <w:rPr>
          <w:rFonts w:ascii="Times New Roman" w:eastAsia="Times New Roman" w:hAnsi="Times New Roman" w:cs="Times New Roman"/>
          <w:color w:val="0D0D0D"/>
          <w:sz w:val="24"/>
          <w:szCs w:val="24"/>
          <w:lang w:val="en-US" w:eastAsia="en-IN"/>
        </w:rPr>
        <w:t>development</w:t>
      </w:r>
      <w:r w:rsidRPr="003B3FDD">
        <w:rPr>
          <w:rFonts w:ascii="Times New Roman" w:eastAsia="Times New Roman" w:hAnsi="Times New Roman" w:cs="Times New Roman"/>
          <w:color w:val="0D0D0D" w:themeColor="text1" w:themeTint="F2"/>
          <w:sz w:val="24"/>
          <w:szCs w:val="24"/>
          <w:lang w:val="en-US" w:eastAsia="en-IN"/>
        </w:rPr>
        <w:t xml:space="preserve"> activities have caused substantial modifications in LULC patterns. Understanding and monitoring these changes are essential for effective environmental planning </w:t>
      </w:r>
      <w:r w:rsidRPr="003B3FDD">
        <w:rPr>
          <w:rFonts w:ascii="Times New Roman" w:eastAsia="Times New Roman" w:hAnsi="Times New Roman" w:cs="Times New Roman"/>
          <w:color w:val="0D0D0D" w:themeColor="text1" w:themeTint="F2"/>
          <w:sz w:val="24"/>
          <w:szCs w:val="24"/>
          <w:lang w:val="en-US" w:eastAsia="en-IN"/>
        </w:rPr>
        <w:lastRenderedPageBreak/>
        <w:t xml:space="preserve">and sustainable land management. LULC studies have therefore become an important component of research related to climate change and its influence on forests, disaster risk assessment, forest degradation,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conversion of </w:t>
      </w:r>
      <w:r>
        <w:rPr>
          <w:rFonts w:ascii="Times New Roman" w:eastAsia="Times New Roman" w:hAnsi="Times New Roman" w:cs="Times New Roman"/>
          <w:color w:val="0D0D0D"/>
          <w:sz w:val="24"/>
          <w:szCs w:val="24"/>
          <w:lang w:val="en-US" w:eastAsia="en-IN"/>
        </w:rPr>
        <w:t>forestland</w:t>
      </w:r>
      <w:r w:rsidRPr="003B3FDD">
        <w:rPr>
          <w:rFonts w:ascii="Times New Roman" w:eastAsia="Times New Roman" w:hAnsi="Times New Roman" w:cs="Times New Roman"/>
          <w:color w:val="0D0D0D" w:themeColor="text1" w:themeTint="F2"/>
          <w:sz w:val="24"/>
          <w:szCs w:val="24"/>
          <w:lang w:val="en-US" w:eastAsia="en-IN"/>
        </w:rPr>
        <w:t>, and the expansion of settlements in forested regions.</w:t>
      </w:r>
    </w:p>
    <w:p w14:paraId="2DB462BA" w14:textId="3F267744" w:rsidR="00597548" w:rsidRPr="003B3FDD" w:rsidRDefault="00597548" w:rsidP="00597548">
      <w:pPr>
        <w:spacing w:after="100" w:afterAutospacing="1"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 xml:space="preserve">4. Random </w:t>
      </w:r>
      <w:r>
        <w:rPr>
          <w:rFonts w:ascii="Times New Roman" w:eastAsia="Calibri" w:hAnsi="Times New Roman" w:cs="Times New Roman"/>
          <w:b/>
          <w:bCs/>
          <w:color w:val="0D0D0D"/>
          <w:sz w:val="24"/>
          <w:szCs w:val="24"/>
          <w:lang w:val="en-US"/>
        </w:rPr>
        <w:t>Forest</w:t>
      </w:r>
    </w:p>
    <w:p w14:paraId="7C3C513C" w14:textId="77777777" w:rsidR="00597548" w:rsidRPr="003B3FDD" w:rsidRDefault="00597548" w:rsidP="00597548">
      <w:pPr>
        <w:spacing w:after="100" w:afterAutospacing="1"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lang w:val="en-US"/>
        </w:rPr>
        <w:t xml:space="preserve">RF is a new </w:t>
      </w:r>
      <w:r>
        <w:rPr>
          <w:rFonts w:ascii="Times New Roman" w:eastAsia="Calibri" w:hAnsi="Times New Roman" w:cs="Times New Roman"/>
          <w:color w:val="0D0D0D"/>
          <w:sz w:val="24"/>
          <w:szCs w:val="24"/>
          <w:lang w:val="en-US"/>
        </w:rPr>
        <w:t>nonparametric</w:t>
      </w:r>
      <w:r w:rsidRPr="003B3FDD">
        <w:rPr>
          <w:rFonts w:ascii="Times New Roman" w:hAnsi="Times New Roman" w:cs="Times New Roman"/>
          <w:color w:val="0D0D0D" w:themeColor="text1" w:themeTint="F2"/>
          <w:sz w:val="24"/>
          <w:szCs w:val="24"/>
          <w:lang w:val="en-US"/>
        </w:rPr>
        <w:t xml:space="preserve"> ensemble machine-learning algorithm developed by </w:t>
      </w:r>
      <w:proofErr w:type="spellStart"/>
      <w:r w:rsidRPr="003B3FDD">
        <w:rPr>
          <w:rFonts w:ascii="Times New Roman" w:hAnsi="Times New Roman" w:cs="Times New Roman"/>
          <w:color w:val="0D0D0D" w:themeColor="text1" w:themeTint="F2"/>
          <w:sz w:val="24"/>
          <w:szCs w:val="24"/>
          <w:lang w:val="en-US"/>
        </w:rPr>
        <w:t>Breiman</w:t>
      </w:r>
      <w:proofErr w:type="spellEnd"/>
      <w:r w:rsidRPr="003B3FDD">
        <w:rPr>
          <w:rFonts w:ascii="Times New Roman" w:hAnsi="Times New Roman" w:cs="Times New Roman"/>
          <w:color w:val="0D0D0D" w:themeColor="text1" w:themeTint="F2"/>
          <w:sz w:val="24"/>
          <w:szCs w:val="24"/>
          <w:lang w:val="en-US"/>
        </w:rPr>
        <w:t xml:space="preserve"> </w:t>
      </w:r>
      <w:r>
        <w:rPr>
          <w:rFonts w:ascii="Times New Roman" w:eastAsia="Calibri" w:hAnsi="Times New Roman" w:cs="Times New Roman"/>
          <w:color w:val="0D0D0D"/>
          <w:sz w:val="24"/>
          <w:szCs w:val="24"/>
          <w:lang w:val="en-US"/>
        </w:rPr>
        <w:t>(</w:t>
      </w:r>
      <w:r w:rsidRPr="003B3FDD">
        <w:rPr>
          <w:rFonts w:ascii="Times New Roman" w:hAnsi="Times New Roman" w:cs="Times New Roman"/>
          <w:color w:val="0D0D0D" w:themeColor="text1" w:themeTint="F2"/>
          <w:sz w:val="24"/>
          <w:szCs w:val="24"/>
          <w:lang w:val="en-US"/>
        </w:rPr>
        <w:t xml:space="preserve">2001). The RF algorithm has been widely applied for solving environmental problems, </w:t>
      </w:r>
      <w:r>
        <w:rPr>
          <w:rFonts w:ascii="Times New Roman" w:eastAsia="Calibri" w:hAnsi="Times New Roman" w:cs="Times New Roman"/>
          <w:color w:val="0D0D0D"/>
          <w:sz w:val="24"/>
          <w:szCs w:val="24"/>
          <w:lang w:val="en-US"/>
        </w:rPr>
        <w:t>such as</w:t>
      </w:r>
      <w:r w:rsidRPr="003B3FDD">
        <w:rPr>
          <w:rFonts w:ascii="Times New Roman" w:hAnsi="Times New Roman" w:cs="Times New Roman"/>
          <w:color w:val="0D0D0D" w:themeColor="text1" w:themeTint="F2"/>
          <w:sz w:val="24"/>
          <w:szCs w:val="24"/>
          <w:lang w:val="en-US"/>
        </w:rPr>
        <w:t xml:space="preserve"> water resource management and natural hazard management. It can handle a variety of data, </w:t>
      </w:r>
      <w:r>
        <w:rPr>
          <w:rFonts w:ascii="Times New Roman" w:eastAsia="Calibri" w:hAnsi="Times New Roman" w:cs="Times New Roman"/>
          <w:color w:val="0D0D0D"/>
          <w:sz w:val="24"/>
          <w:szCs w:val="24"/>
          <w:lang w:val="en-US"/>
        </w:rPr>
        <w:t>such as</w:t>
      </w:r>
      <w:r w:rsidRPr="003B3FDD">
        <w:rPr>
          <w:rFonts w:ascii="Times New Roman" w:hAnsi="Times New Roman" w:cs="Times New Roman"/>
          <w:color w:val="0D0D0D" w:themeColor="text1" w:themeTint="F2"/>
          <w:sz w:val="24"/>
          <w:szCs w:val="24"/>
          <w:lang w:val="en-US"/>
        </w:rPr>
        <w:t xml:space="preserve"> satellite </w:t>
      </w:r>
      <w:r>
        <w:rPr>
          <w:rFonts w:ascii="Times New Roman" w:eastAsia="Calibri" w:hAnsi="Times New Roman" w:cs="Times New Roman"/>
          <w:color w:val="0D0D0D"/>
          <w:sz w:val="24"/>
          <w:szCs w:val="24"/>
          <w:lang w:val="en-US"/>
        </w:rPr>
        <w:t>imagery</w:t>
      </w:r>
      <w:r w:rsidRPr="003B3FDD">
        <w:rPr>
          <w:rFonts w:ascii="Times New Roman" w:hAnsi="Times New Roman" w:cs="Times New Roman"/>
          <w:color w:val="0D0D0D" w:themeColor="text1" w:themeTint="F2"/>
          <w:sz w:val="24"/>
          <w:szCs w:val="24"/>
          <w:lang w:val="en-US"/>
        </w:rPr>
        <w:t xml:space="preserve"> and numerical data (</w:t>
      </w:r>
      <w:r w:rsidRPr="003B3FDD">
        <w:rPr>
          <w:rFonts w:ascii="Times New Roman" w:eastAsia="Times New Roman" w:hAnsi="Times New Roman" w:cs="Times New Roman"/>
          <w:color w:val="0D0D0D" w:themeColor="text1" w:themeTint="F2"/>
          <w:sz w:val="24"/>
          <w:szCs w:val="24"/>
          <w:lang w:val="en-US" w:eastAsia="en-IN"/>
        </w:rPr>
        <w:t>Abdullah et al., 2019)</w:t>
      </w:r>
      <w:r w:rsidRPr="003B3FDD">
        <w:rPr>
          <w:rFonts w:ascii="Times New Roman" w:hAnsi="Times New Roman" w:cs="Times New Roman"/>
          <w:color w:val="0D0D0D" w:themeColor="text1" w:themeTint="F2"/>
          <w:sz w:val="24"/>
          <w:szCs w:val="24"/>
          <w:lang w:val="en-US"/>
        </w:rPr>
        <w:t>. It is an ensemble learning method based on a decision tree</w:t>
      </w:r>
      <w:r>
        <w:rPr>
          <w:rFonts w:ascii="Times New Roman" w:eastAsia="Calibri" w:hAnsi="Times New Roman" w:cs="Times New Roman"/>
          <w:color w:val="0D0D0D"/>
          <w:sz w:val="24"/>
          <w:szCs w:val="24"/>
          <w:lang w:val="en-US"/>
        </w:rPr>
        <w:t xml:space="preserve"> that</w:t>
      </w:r>
      <w:r w:rsidRPr="003B3FDD">
        <w:rPr>
          <w:rFonts w:ascii="Times New Roman" w:hAnsi="Times New Roman" w:cs="Times New Roman"/>
          <w:color w:val="0D0D0D" w:themeColor="text1" w:themeTint="F2"/>
          <w:sz w:val="24"/>
          <w:szCs w:val="24"/>
          <w:lang w:val="en-US"/>
        </w:rPr>
        <w:t xml:space="preserve"> combines massive ensemble regression and classification trees. </w:t>
      </w:r>
      <w:r>
        <w:rPr>
          <w:rFonts w:ascii="Times New Roman" w:eastAsia="Calibri" w:hAnsi="Times New Roman" w:cs="Times New Roman"/>
          <w:color w:val="0D0D0D"/>
          <w:sz w:val="24"/>
          <w:szCs w:val="24"/>
          <w:lang w:val="en-US"/>
        </w:rPr>
        <w:t>Recently</w:t>
      </w:r>
      <w:r w:rsidRPr="003B3FDD">
        <w:rPr>
          <w:rFonts w:ascii="Times New Roman" w:hAnsi="Times New Roman" w:cs="Times New Roman"/>
          <w:color w:val="0D0D0D" w:themeColor="text1" w:themeTint="F2"/>
          <w:sz w:val="24"/>
          <w:szCs w:val="24"/>
          <w:lang w:val="en-US"/>
        </w:rPr>
        <w:t xml:space="preserve">, several studies have shown satisfactory performance for LULC classification </w:t>
      </w:r>
      <w:r>
        <w:rPr>
          <w:rFonts w:ascii="Times New Roman" w:eastAsia="Calibri" w:hAnsi="Times New Roman" w:cs="Times New Roman"/>
          <w:color w:val="0D0D0D"/>
          <w:sz w:val="24"/>
          <w:szCs w:val="24"/>
          <w:lang w:val="en-US"/>
        </w:rPr>
        <w:t>via</w:t>
      </w:r>
      <w:r w:rsidRPr="003B3FDD">
        <w:rPr>
          <w:rFonts w:ascii="Times New Roman" w:hAnsi="Times New Roman" w:cs="Times New Roman"/>
          <w:color w:val="0D0D0D" w:themeColor="text1" w:themeTint="F2"/>
          <w:sz w:val="24"/>
          <w:szCs w:val="24"/>
          <w:lang w:val="en-US"/>
        </w:rPr>
        <w:t xml:space="preserve"> RF in the field of remote-sensing applications (</w:t>
      </w:r>
      <w:r w:rsidRPr="003B3FDD">
        <w:rPr>
          <w:rFonts w:ascii="Times New Roman" w:eastAsia="Times New Roman" w:hAnsi="Times New Roman" w:cs="Times New Roman"/>
          <w:color w:val="0D0D0D" w:themeColor="text1" w:themeTint="F2"/>
          <w:sz w:val="24"/>
          <w:szCs w:val="24"/>
          <w:lang w:val="en-US" w:eastAsia="en-IN"/>
        </w:rPr>
        <w:t>Camargo</w:t>
      </w:r>
      <w:r w:rsidRPr="003B3FDD">
        <w:rPr>
          <w:rFonts w:ascii="Times New Roman" w:hAnsi="Times New Roman" w:cs="Times New Roman"/>
          <w:color w:val="0D0D0D" w:themeColor="text1" w:themeTint="F2"/>
          <w:sz w:val="24"/>
          <w:szCs w:val="24"/>
          <w:lang w:val="en-US"/>
        </w:rPr>
        <w:t xml:space="preserve"> et al., 2019; </w:t>
      </w:r>
      <w:r w:rsidRPr="003B3FDD">
        <w:rPr>
          <w:rFonts w:ascii="Times New Roman" w:eastAsia="Times New Roman" w:hAnsi="Times New Roman" w:cs="Times New Roman"/>
          <w:color w:val="0D0D0D" w:themeColor="text1" w:themeTint="F2"/>
          <w:sz w:val="24"/>
          <w:szCs w:val="24"/>
          <w:lang w:val="en-US" w:eastAsia="en-IN"/>
        </w:rPr>
        <w:t>Ma et al.</w:t>
      </w:r>
      <w:r w:rsidRPr="003B3FDD">
        <w:rPr>
          <w:rFonts w:ascii="Times New Roman" w:hAnsi="Times New Roman" w:cs="Times New Roman"/>
          <w:color w:val="0D0D0D" w:themeColor="text1" w:themeTint="F2"/>
          <w:sz w:val="24"/>
          <w:szCs w:val="24"/>
          <w:lang w:val="en-US"/>
        </w:rPr>
        <w:t>,2017)</w:t>
      </w:r>
      <w:r>
        <w:rPr>
          <w:rFonts w:ascii="Times New Roman" w:eastAsia="Calibri" w:hAnsi="Times New Roman" w:cs="Times New Roman"/>
          <w:color w:val="0D0D0D"/>
          <w:sz w:val="24"/>
          <w:szCs w:val="24"/>
          <w:lang w:val="en-US"/>
        </w:rPr>
        <w:t>.</w:t>
      </w:r>
      <w:r w:rsidRPr="003B3FDD">
        <w:rPr>
          <w:rFonts w:ascii="Times New Roman" w:hAnsi="Times New Roman" w:cs="Times New Roman"/>
          <w:color w:val="0D0D0D" w:themeColor="text1" w:themeTint="F2"/>
          <w:sz w:val="24"/>
          <w:szCs w:val="24"/>
          <w:lang w:val="en-US"/>
        </w:rPr>
        <w:t xml:space="preserve"> A </w:t>
      </w:r>
      <w:r>
        <w:rPr>
          <w:rFonts w:ascii="Times New Roman" w:eastAsia="Calibri" w:hAnsi="Times New Roman" w:cs="Times New Roman"/>
          <w:color w:val="0D0D0D"/>
          <w:sz w:val="24"/>
          <w:szCs w:val="24"/>
          <w:lang w:val="en-US"/>
        </w:rPr>
        <w:t>large</w:t>
      </w:r>
      <w:r w:rsidRPr="003B3FDD">
        <w:rPr>
          <w:rFonts w:ascii="Times New Roman" w:hAnsi="Times New Roman" w:cs="Times New Roman"/>
          <w:color w:val="0D0D0D" w:themeColor="text1" w:themeTint="F2"/>
          <w:sz w:val="24"/>
          <w:szCs w:val="24"/>
          <w:lang w:val="en-US"/>
        </w:rPr>
        <w:t xml:space="preserve"> number of trees </w:t>
      </w:r>
      <w:r>
        <w:rPr>
          <w:rFonts w:ascii="Times New Roman" w:eastAsia="Calibri" w:hAnsi="Times New Roman" w:cs="Times New Roman"/>
          <w:color w:val="0D0D0D"/>
          <w:sz w:val="24"/>
          <w:szCs w:val="24"/>
          <w:lang w:val="en-US"/>
        </w:rPr>
        <w:t>in</w:t>
      </w:r>
      <w:r w:rsidRPr="003B3FDD">
        <w:rPr>
          <w:rFonts w:ascii="Times New Roman" w:hAnsi="Times New Roman" w:cs="Times New Roman"/>
          <w:color w:val="0D0D0D" w:themeColor="text1" w:themeTint="F2"/>
          <w:sz w:val="24"/>
          <w:szCs w:val="24"/>
          <w:lang w:val="en-US"/>
        </w:rPr>
        <w:t xml:space="preserve"> this method provide better accuracy in the </w:t>
      </w:r>
      <w:r>
        <w:rPr>
          <w:rFonts w:ascii="Times New Roman" w:eastAsia="Calibri" w:hAnsi="Times New Roman" w:cs="Times New Roman"/>
          <w:color w:val="0D0D0D"/>
          <w:sz w:val="24"/>
          <w:szCs w:val="24"/>
          <w:lang w:val="en-US"/>
        </w:rPr>
        <w:t>fields</w:t>
      </w:r>
      <w:r w:rsidRPr="003B3FDD">
        <w:rPr>
          <w:rFonts w:ascii="Times New Roman" w:hAnsi="Times New Roman" w:cs="Times New Roman"/>
          <w:color w:val="0D0D0D" w:themeColor="text1" w:themeTint="F2"/>
          <w:sz w:val="24"/>
          <w:szCs w:val="24"/>
          <w:lang w:val="en-US"/>
        </w:rPr>
        <w:t xml:space="preserve"> of image classification (</w:t>
      </w:r>
      <w:proofErr w:type="spellStart"/>
      <w:r w:rsidRPr="003B3FDD">
        <w:rPr>
          <w:rFonts w:ascii="Times New Roman" w:eastAsia="Times New Roman" w:hAnsi="Times New Roman" w:cs="Times New Roman"/>
          <w:color w:val="0D0D0D" w:themeColor="text1" w:themeTint="F2"/>
          <w:sz w:val="24"/>
          <w:szCs w:val="24"/>
          <w:lang w:val="en-US" w:eastAsia="en-IN"/>
        </w:rPr>
        <w:t>Liaw</w:t>
      </w:r>
      <w:proofErr w:type="spellEnd"/>
      <w:r w:rsidRPr="003B3FDD">
        <w:rPr>
          <w:rFonts w:ascii="Times New Roman" w:eastAsia="Times New Roman" w:hAnsi="Times New Roman" w:cs="Times New Roman"/>
          <w:color w:val="0D0D0D" w:themeColor="text1" w:themeTint="F2"/>
          <w:sz w:val="24"/>
          <w:szCs w:val="24"/>
          <w:lang w:val="en-US" w:eastAsia="en-IN"/>
        </w:rPr>
        <w:t xml:space="preserve"> and Wiener, 2002)</w:t>
      </w:r>
      <w:r w:rsidRPr="003B3FDD">
        <w:rPr>
          <w:rFonts w:ascii="Times New Roman" w:hAnsi="Times New Roman" w:cs="Times New Roman"/>
          <w:color w:val="0D0D0D" w:themeColor="text1" w:themeTint="F2"/>
          <w:sz w:val="24"/>
          <w:szCs w:val="24"/>
          <w:lang w:val="en-US"/>
        </w:rPr>
        <w:t xml:space="preserve"> and land-use </w:t>
      </w:r>
      <w:r>
        <w:rPr>
          <w:rFonts w:ascii="Times New Roman" w:eastAsia="Calibri" w:hAnsi="Times New Roman" w:cs="Times New Roman"/>
          <w:color w:val="0D0D0D"/>
          <w:sz w:val="24"/>
          <w:szCs w:val="24"/>
          <w:lang w:val="en-US"/>
        </w:rPr>
        <w:t>modeling</w:t>
      </w:r>
      <w:r w:rsidRPr="003B3FDD">
        <w:rPr>
          <w:rFonts w:ascii="Times New Roman" w:hAnsi="Times New Roman" w:cs="Times New Roman"/>
          <w:color w:val="0D0D0D" w:themeColor="text1" w:themeTint="F2"/>
          <w:sz w:val="24"/>
          <w:szCs w:val="24"/>
          <w:lang w:val="en-US"/>
        </w:rPr>
        <w:t xml:space="preserve">. </w:t>
      </w:r>
      <w:proofErr w:type="spellStart"/>
      <w:r w:rsidRPr="003B3FDD">
        <w:rPr>
          <w:rFonts w:ascii="Times New Roman" w:hAnsi="Times New Roman" w:cs="Times New Roman"/>
          <w:color w:val="0D0D0D" w:themeColor="text1" w:themeTint="F2"/>
          <w:sz w:val="24"/>
          <w:szCs w:val="24"/>
          <w:lang w:val="en-US"/>
        </w:rPr>
        <w:t>Breiman</w:t>
      </w:r>
      <w:proofErr w:type="spellEnd"/>
      <w:r w:rsidRPr="003B3FDD">
        <w:rPr>
          <w:rFonts w:ascii="Times New Roman" w:hAnsi="Times New Roman" w:cs="Times New Roman"/>
          <w:color w:val="0D0D0D" w:themeColor="text1" w:themeTint="F2"/>
          <w:sz w:val="24"/>
          <w:szCs w:val="24"/>
          <w:lang w:val="en-US"/>
        </w:rPr>
        <w:t xml:space="preserve"> (2001) stated that using more trees </w:t>
      </w:r>
      <w:r>
        <w:rPr>
          <w:rFonts w:ascii="Times New Roman" w:eastAsia="Calibri" w:hAnsi="Times New Roman" w:cs="Times New Roman"/>
          <w:color w:val="0D0D0D"/>
          <w:sz w:val="24"/>
          <w:szCs w:val="24"/>
          <w:lang w:val="en-US"/>
        </w:rPr>
        <w:t>than</w:t>
      </w:r>
      <w:r w:rsidRPr="003B3FDD">
        <w:rPr>
          <w:rFonts w:ascii="Times New Roman" w:hAnsi="Times New Roman" w:cs="Times New Roman"/>
          <w:color w:val="0D0D0D" w:themeColor="text1" w:themeTint="F2"/>
          <w:sz w:val="24"/>
          <w:szCs w:val="24"/>
          <w:lang w:val="en-US"/>
        </w:rPr>
        <w:t xml:space="preserve"> required trees is an unnecessary and time-consuming process, but it does not hamper the entire model.</w:t>
      </w:r>
    </w:p>
    <w:p w14:paraId="31055891" w14:textId="77777777" w:rsidR="00597548" w:rsidRPr="003B3FDD" w:rsidRDefault="00597548" w:rsidP="00597548">
      <w:p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3.3 Normalized Difference</w:t>
      </w:r>
    </w:p>
    <w:p w14:paraId="35239090" w14:textId="77777777" w:rsidR="00597548" w:rsidRPr="003B3FDD"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The NDVI is essentially a vegetation index that </w:t>
      </w:r>
      <w:r>
        <w:rPr>
          <w:rFonts w:ascii="Times New Roman" w:eastAsia="Times New Roman" w:hAnsi="Times New Roman" w:cs="Times New Roman"/>
          <w:color w:val="0D0D0D"/>
          <w:sz w:val="24"/>
          <w:szCs w:val="24"/>
          <w:lang w:val="en-US" w:eastAsia="en-IN"/>
        </w:rPr>
        <w:t>reflects</w:t>
      </w:r>
      <w:r w:rsidRPr="003B3FDD">
        <w:rPr>
          <w:rFonts w:ascii="Times New Roman" w:eastAsia="Times New Roman" w:hAnsi="Times New Roman" w:cs="Times New Roman"/>
          <w:color w:val="0D0D0D" w:themeColor="text1" w:themeTint="F2"/>
          <w:sz w:val="24"/>
          <w:szCs w:val="24"/>
          <w:lang w:val="en-US" w:eastAsia="en-IN"/>
        </w:rPr>
        <w:t xml:space="preserve"> the proper state of an area's vegetation. The range of NDVI values is always between (+1) and (−1). A higher value denotes better vegetation health, whereas a lower value denotes bad vegetation health. Generally, a score of +0.4 indicates healthy plant growth. </w:t>
      </w:r>
      <w:proofErr w:type="spellStart"/>
      <w:r w:rsidRPr="003B3FDD">
        <w:rPr>
          <w:rFonts w:ascii="Times New Roman" w:eastAsia="Times New Roman" w:hAnsi="Times New Roman" w:cs="Times New Roman"/>
          <w:color w:val="0D0D0D" w:themeColor="text1" w:themeTint="F2"/>
          <w:sz w:val="24"/>
          <w:szCs w:val="24"/>
          <w:lang w:val="en-US" w:eastAsia="en-IN"/>
        </w:rPr>
        <w:t>Rousel</w:t>
      </w:r>
      <w:proofErr w:type="spellEnd"/>
      <w:r w:rsidRPr="003B3FDD">
        <w:rPr>
          <w:rFonts w:ascii="Times New Roman" w:eastAsia="Times New Roman" w:hAnsi="Times New Roman" w:cs="Times New Roman"/>
          <w:color w:val="0D0D0D" w:themeColor="text1" w:themeTint="F2"/>
          <w:sz w:val="24"/>
          <w:szCs w:val="24"/>
          <w:lang w:val="en-US" w:eastAsia="en-IN"/>
        </w:rPr>
        <w:t xml:space="preserve"> (1974) was the first to utilize the </w:t>
      </w:r>
      <w:r>
        <w:rPr>
          <w:rFonts w:ascii="Times New Roman" w:eastAsia="Times New Roman" w:hAnsi="Times New Roman" w:cs="Times New Roman"/>
          <w:color w:val="0D0D0D"/>
          <w:sz w:val="24"/>
          <w:szCs w:val="24"/>
          <w:lang w:val="en-US" w:eastAsia="en-IN"/>
        </w:rPr>
        <w:t>normalized difference vegetation</w:t>
      </w:r>
      <w:r w:rsidRPr="003B3FDD">
        <w:rPr>
          <w:rFonts w:ascii="Times New Roman" w:eastAsia="Times New Roman" w:hAnsi="Times New Roman" w:cs="Times New Roman"/>
          <w:color w:val="0D0D0D" w:themeColor="text1" w:themeTint="F2"/>
          <w:sz w:val="24"/>
          <w:szCs w:val="24"/>
          <w:lang w:val="en-US" w:eastAsia="en-IN"/>
        </w:rPr>
        <w:t xml:space="preserve"> index </w:t>
      </w:r>
      <w:r>
        <w:rPr>
          <w:rFonts w:ascii="Times New Roman" w:eastAsia="Times New Roman" w:hAnsi="Times New Roman" w:cs="Times New Roman"/>
          <w:color w:val="0D0D0D"/>
          <w:sz w:val="24"/>
          <w:szCs w:val="24"/>
          <w:lang w:val="en-US" w:eastAsia="en-IN"/>
        </w:rPr>
        <w:t xml:space="preserve">(NDVI) </w:t>
      </w:r>
      <w:r w:rsidRPr="003B3FDD">
        <w:rPr>
          <w:rFonts w:ascii="Times New Roman" w:eastAsia="Times New Roman" w:hAnsi="Times New Roman" w:cs="Times New Roman"/>
          <w:color w:val="0D0D0D" w:themeColor="text1" w:themeTint="F2"/>
          <w:sz w:val="24"/>
          <w:szCs w:val="24"/>
          <w:lang w:val="en-US" w:eastAsia="en-IN"/>
        </w:rPr>
        <w:t xml:space="preserve">to assess the growth and health of plants in a given area. The NDVI is the most popular and extensively used vegetation index </w:t>
      </w:r>
      <w:r>
        <w:rPr>
          <w:rFonts w:ascii="Times New Roman" w:eastAsia="Times New Roman" w:hAnsi="Times New Roman" w:cs="Times New Roman"/>
          <w:color w:val="0D0D0D"/>
          <w:sz w:val="24"/>
          <w:szCs w:val="24"/>
          <w:lang w:val="en-US" w:eastAsia="en-IN"/>
        </w:rPr>
        <w:t xml:space="preserve">for </w:t>
      </w:r>
      <w:r w:rsidRPr="003B3FDD">
        <w:rPr>
          <w:rFonts w:ascii="Times New Roman" w:eastAsia="Times New Roman" w:hAnsi="Times New Roman" w:cs="Times New Roman"/>
          <w:color w:val="0D0D0D" w:themeColor="text1" w:themeTint="F2"/>
          <w:sz w:val="24"/>
          <w:szCs w:val="24"/>
          <w:lang w:val="en-US" w:eastAsia="en-IN"/>
        </w:rPr>
        <w:t xml:space="preserve">identifying vegetative areas </w:t>
      </w:r>
      <w:r>
        <w:rPr>
          <w:rFonts w:ascii="Times New Roman" w:eastAsia="Times New Roman" w:hAnsi="Times New Roman" w:cs="Times New Roman"/>
          <w:color w:val="0D0D0D"/>
          <w:sz w:val="24"/>
          <w:szCs w:val="24"/>
          <w:lang w:val="en-US" w:eastAsia="en-IN"/>
        </w:rPr>
        <w:t>across</w:t>
      </w:r>
      <w:r w:rsidRPr="003B3FDD">
        <w:rPr>
          <w:rFonts w:ascii="Times New Roman" w:eastAsia="Times New Roman" w:hAnsi="Times New Roman" w:cs="Times New Roman"/>
          <w:color w:val="0D0D0D" w:themeColor="text1" w:themeTint="F2"/>
          <w:sz w:val="24"/>
          <w:szCs w:val="24"/>
          <w:lang w:val="en-US" w:eastAsia="en-IN"/>
        </w:rPr>
        <w:t xml:space="preserve"> a region (Bhandari and Kumar 2012). To determine the NDVI values for a region, the </w:t>
      </w:r>
      <w:r>
        <w:rPr>
          <w:rFonts w:ascii="Times New Roman" w:eastAsia="Times New Roman" w:hAnsi="Times New Roman" w:cs="Times New Roman"/>
          <w:color w:val="0D0D0D"/>
          <w:sz w:val="24"/>
          <w:szCs w:val="24"/>
          <w:lang w:val="en-US" w:eastAsia="en-IN"/>
        </w:rPr>
        <w:t xml:space="preserve">following </w:t>
      </w:r>
      <w:r w:rsidRPr="003B3FDD">
        <w:rPr>
          <w:rFonts w:ascii="Times New Roman" w:eastAsia="Times New Roman" w:hAnsi="Times New Roman" w:cs="Times New Roman"/>
          <w:color w:val="0D0D0D" w:themeColor="text1" w:themeTint="F2"/>
          <w:sz w:val="24"/>
          <w:szCs w:val="24"/>
          <w:lang w:val="en-US" w:eastAsia="en-IN"/>
        </w:rPr>
        <w:t>distinctions between the red and infrared bands were utilized (Gandhi 2015):</w:t>
      </w:r>
    </w:p>
    <w:p w14:paraId="306DAEA5" w14:textId="77777777" w:rsidR="00597548" w:rsidRPr="003B3FDD" w:rsidRDefault="00597548" w:rsidP="00597548">
      <w:pPr>
        <w:spacing w:after="100" w:afterAutospacing="1" w:line="276" w:lineRule="auto"/>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                   NDVI =</w:t>
      </w:r>
      <m:oMath>
        <m:r>
          <m:rPr>
            <m:sty m:val="p"/>
          </m:rPr>
          <w:rPr>
            <w:rFonts w:ascii="Cambria Math" w:eastAsia="Times New Roman" w:hAnsi="Cambria Math" w:cs="Times New Roman"/>
            <w:color w:val="0D0D0D" w:themeColor="text1" w:themeTint="F2"/>
            <w:sz w:val="24"/>
            <w:szCs w:val="24"/>
            <w:lang w:val="en-US" w:eastAsia="en-IN"/>
          </w:rPr>
          <m:t xml:space="preserve"> </m:t>
        </m:r>
        <m:f>
          <m:fPr>
            <m:ctrlPr>
              <w:rPr>
                <w:rFonts w:ascii="Cambria Math" w:eastAsia="Times New Roman" w:hAnsi="Cambria Math" w:cs="Times New Roman"/>
                <w:color w:val="0D0D0D" w:themeColor="text1" w:themeTint="F2"/>
                <w:sz w:val="24"/>
                <w:szCs w:val="24"/>
                <w:lang w:eastAsia="en-IN"/>
              </w:rPr>
            </m:ctrlPr>
          </m:fPr>
          <m:num>
            <m:r>
              <m:rPr>
                <m:sty m:val="p"/>
              </m:rPr>
              <w:rPr>
                <w:rFonts w:ascii="Cambria Math" w:eastAsia="Times New Roman" w:hAnsi="Cambria Math" w:cs="Times New Roman"/>
                <w:color w:val="0D0D0D" w:themeColor="text1" w:themeTint="F2"/>
                <w:sz w:val="24"/>
                <w:szCs w:val="24"/>
                <w:lang w:val="en-US" w:eastAsia="en-IN"/>
              </w:rPr>
              <m:t>NIR-Red</m:t>
            </m:r>
          </m:num>
          <m:den>
            <m:r>
              <m:rPr>
                <m:sty m:val="p"/>
              </m:rPr>
              <w:rPr>
                <w:rFonts w:ascii="Cambria Math" w:eastAsia="Times New Roman" w:hAnsi="Cambria Math" w:cs="Times New Roman"/>
                <w:color w:val="0D0D0D" w:themeColor="text1" w:themeTint="F2"/>
                <w:sz w:val="24"/>
                <w:szCs w:val="24"/>
                <w:lang w:val="en-US" w:eastAsia="en-IN"/>
              </w:rPr>
              <m:t>NIR +Red</m:t>
            </m:r>
          </m:den>
        </m:f>
      </m:oMath>
    </w:p>
    <w:p w14:paraId="7AD1AA9B" w14:textId="77777777" w:rsidR="00597548" w:rsidRPr="003B3FDD" w:rsidRDefault="00597548" w:rsidP="00597548">
      <w:p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3.4 Shadow Index</w:t>
      </w:r>
    </w:p>
    <w:p w14:paraId="4D650DD5" w14:textId="77777777" w:rsidR="00C811B6"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sectPr w:rsidR="00C811B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sidRPr="003B3FDD">
        <w:rPr>
          <w:rFonts w:ascii="Times New Roman" w:eastAsia="Times New Roman" w:hAnsi="Times New Roman" w:cs="Times New Roman"/>
          <w:color w:val="0D0D0D" w:themeColor="text1" w:themeTint="F2"/>
          <w:sz w:val="24"/>
          <w:szCs w:val="24"/>
          <w:lang w:val="en-US" w:eastAsia="en-IN"/>
        </w:rPr>
        <w:t xml:space="preserve">The canopy shadow index is a vital spectral measure that </w:t>
      </w:r>
      <w:r>
        <w:rPr>
          <w:rFonts w:ascii="Times New Roman" w:eastAsia="Times New Roman" w:hAnsi="Times New Roman" w:cs="Times New Roman"/>
          <w:color w:val="0D0D0D"/>
          <w:sz w:val="24"/>
          <w:szCs w:val="24"/>
          <w:lang w:val="en-US" w:eastAsia="en-IN"/>
        </w:rPr>
        <w:t>provides</w:t>
      </w:r>
      <w:r w:rsidRPr="003B3FDD">
        <w:rPr>
          <w:rFonts w:ascii="Times New Roman" w:eastAsia="Times New Roman" w:hAnsi="Times New Roman" w:cs="Times New Roman"/>
          <w:color w:val="0D0D0D" w:themeColor="text1" w:themeTint="F2"/>
          <w:sz w:val="24"/>
          <w:szCs w:val="24"/>
          <w:lang w:val="en-US" w:eastAsia="en-IN"/>
        </w:rPr>
        <w:t xml:space="preserve"> important details on the canopy cover of forests. The SI looks at the overall reflectance from the canopy. Mature or dense forests are indicated by high SI values, whereas open forests or places with very little </w:t>
      </w:r>
    </w:p>
    <w:p w14:paraId="59D0DF72" w14:textId="69D03483"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056247A1" w14:textId="126DA9AA" w:rsidR="00C811B6" w:rsidRDefault="00C811B6" w:rsidP="00C811B6">
      <w:pPr>
        <w:pStyle w:val="ListParagraph"/>
        <w:rPr>
          <w:lang w:val="en-US" w:eastAsia="en-IN"/>
        </w:rPr>
      </w:pPr>
    </w:p>
    <w:p w14:paraId="2EF80CBC" w14:textId="47161CB8" w:rsidR="00C811B6" w:rsidRDefault="00B23564"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r>
        <w:rPr>
          <w:noProof/>
        </w:rPr>
        <w:drawing>
          <wp:inline distT="0" distB="0" distL="0" distR="0" wp14:anchorId="365894B6" wp14:editId="7F4DEA19">
            <wp:extent cx="5876925" cy="3676650"/>
            <wp:effectExtent l="0" t="0" r="9525" b="0"/>
            <wp:docPr id="739850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50498" name=""/>
                    <pic:cNvPicPr/>
                  </pic:nvPicPr>
                  <pic:blipFill>
                    <a:blip r:embed="rId15"/>
                    <a:stretch>
                      <a:fillRect/>
                    </a:stretch>
                  </pic:blipFill>
                  <pic:spPr>
                    <a:xfrm>
                      <a:off x="0" y="0"/>
                      <a:ext cx="5876925" cy="3676650"/>
                    </a:xfrm>
                    <a:prstGeom prst="rect">
                      <a:avLst/>
                    </a:prstGeom>
                  </pic:spPr>
                </pic:pic>
              </a:graphicData>
            </a:graphic>
          </wp:inline>
        </w:drawing>
      </w:r>
    </w:p>
    <w:p w14:paraId="01EE5342" w14:textId="09C1B9FD" w:rsidR="00C811B6" w:rsidRDefault="00C811B6" w:rsidP="00865887">
      <w:pPr>
        <w:spacing w:after="100" w:afterAutospacing="1" w:line="276" w:lineRule="auto"/>
        <w:ind w:firstLine="720"/>
        <w:jc w:val="center"/>
        <w:rPr>
          <w:rFonts w:ascii="Times New Roman" w:eastAsia="Times New Roman" w:hAnsi="Times New Roman" w:cs="Times New Roman"/>
          <w:color w:val="0D0D0D" w:themeColor="text1" w:themeTint="F2"/>
          <w:sz w:val="24"/>
          <w:szCs w:val="24"/>
          <w:lang w:val="en-US" w:eastAsia="en-IN"/>
        </w:rPr>
      </w:pPr>
    </w:p>
    <w:p w14:paraId="30C73DF4" w14:textId="3E2349B3"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396C05AD" w14:textId="42F035C0"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47C947A3" w14:textId="6322621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721E460B" w14:textId="7B3768A3"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47BA6EA7" w14:textId="42521AA8"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1EF81C8C"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5802C2A5"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6F9405F8"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0A31BE7C"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15C1A505"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1F4DD1FD"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sectPr w:rsidR="00C811B6" w:rsidSect="00C811B6">
          <w:pgSz w:w="16838" w:h="11906" w:orient="landscape"/>
          <w:pgMar w:top="1440" w:right="1440" w:bottom="1440" w:left="1440" w:header="708" w:footer="708" w:gutter="0"/>
          <w:cols w:space="708"/>
          <w:docGrid w:linePitch="360"/>
        </w:sectPr>
      </w:pPr>
    </w:p>
    <w:p w14:paraId="588B0520" w14:textId="40E46B69" w:rsidR="00597548" w:rsidRPr="003B3FDD"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lastRenderedPageBreak/>
        <w:t xml:space="preserve">forest cover </w:t>
      </w:r>
      <w:proofErr w:type="gramStart"/>
      <w:r w:rsidRPr="003B3FDD">
        <w:rPr>
          <w:rFonts w:ascii="Times New Roman" w:eastAsia="Times New Roman" w:hAnsi="Times New Roman" w:cs="Times New Roman"/>
          <w:color w:val="0D0D0D" w:themeColor="text1" w:themeTint="F2"/>
          <w:sz w:val="24"/>
          <w:szCs w:val="24"/>
          <w:lang w:val="en-US" w:eastAsia="en-IN"/>
        </w:rPr>
        <w:t>are</w:t>
      </w:r>
      <w:proofErr w:type="gramEnd"/>
      <w:r w:rsidRPr="003B3FDD">
        <w:rPr>
          <w:rFonts w:ascii="Times New Roman" w:eastAsia="Times New Roman" w:hAnsi="Times New Roman" w:cs="Times New Roman"/>
          <w:color w:val="0D0D0D" w:themeColor="text1" w:themeTint="F2"/>
          <w:sz w:val="24"/>
          <w:szCs w:val="24"/>
          <w:lang w:val="en-US" w:eastAsia="en-IN"/>
        </w:rPr>
        <w:t xml:space="preserve"> indicated by low values. The FCD model is also utilized to determine the real canopy cover, </w:t>
      </w:r>
      <w:r>
        <w:rPr>
          <w:rFonts w:ascii="Times New Roman" w:eastAsia="Times New Roman" w:hAnsi="Times New Roman" w:cs="Times New Roman"/>
          <w:color w:val="0D0D0D"/>
          <w:sz w:val="24"/>
          <w:szCs w:val="24"/>
          <w:lang w:val="en-US" w:eastAsia="en-IN"/>
        </w:rPr>
        <w:t>whereas</w:t>
      </w:r>
      <w:r w:rsidRPr="003B3FDD">
        <w:rPr>
          <w:rFonts w:ascii="Times New Roman" w:eastAsia="Times New Roman" w:hAnsi="Times New Roman" w:cs="Times New Roman"/>
          <w:color w:val="0D0D0D" w:themeColor="text1" w:themeTint="F2"/>
          <w:sz w:val="24"/>
          <w:szCs w:val="24"/>
          <w:lang w:val="en-US" w:eastAsia="en-IN"/>
        </w:rPr>
        <w:t xml:space="preserve"> the SI index is employed to calibrate the total reflectance across the forest canopy (</w:t>
      </w:r>
      <w:proofErr w:type="spellStart"/>
      <w:r w:rsidRPr="003B3FDD">
        <w:rPr>
          <w:rFonts w:ascii="Times New Roman" w:eastAsia="Times New Roman" w:hAnsi="Times New Roman" w:cs="Times New Roman"/>
          <w:color w:val="0D0D0D" w:themeColor="text1" w:themeTint="F2"/>
          <w:sz w:val="24"/>
          <w:szCs w:val="24"/>
          <w:lang w:val="en-US" w:eastAsia="en-IN"/>
        </w:rPr>
        <w:t>Huemmrich</w:t>
      </w:r>
      <w:proofErr w:type="spellEnd"/>
      <w:r w:rsidRPr="003B3FDD">
        <w:rPr>
          <w:rFonts w:ascii="Times New Roman" w:eastAsia="Times New Roman" w:hAnsi="Times New Roman" w:cs="Times New Roman"/>
          <w:color w:val="0D0D0D" w:themeColor="text1" w:themeTint="F2"/>
          <w:sz w:val="24"/>
          <w:szCs w:val="24"/>
          <w:lang w:val="en-US" w:eastAsia="en-IN"/>
        </w:rPr>
        <w:t xml:space="preserve"> 1996).</w:t>
      </w:r>
    </w:p>
    <w:p w14:paraId="68509089" w14:textId="77777777" w:rsidR="00597548" w:rsidRPr="003B3FDD" w:rsidRDefault="00597548" w:rsidP="00597548">
      <w:pPr>
        <w:spacing w:after="100" w:afterAutospacing="1" w:line="276" w:lineRule="auto"/>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                   SI =</w:t>
      </w:r>
      <m:oMath>
        <m:sSup>
          <m:sSupPr>
            <m:ctrlPr>
              <w:rPr>
                <w:rFonts w:ascii="Cambria Math" w:eastAsia="Times New Roman" w:hAnsi="Cambria Math" w:cs="Times New Roman"/>
                <w:i/>
                <w:color w:val="0D0D0D" w:themeColor="text1" w:themeTint="F2"/>
                <w:sz w:val="24"/>
                <w:szCs w:val="24"/>
                <w:lang w:eastAsia="en-IN"/>
              </w:rPr>
            </m:ctrlPr>
          </m:sSupPr>
          <m:e>
            <m:r>
              <m:rPr>
                <m:sty m:val="p"/>
              </m:rPr>
              <w:rPr>
                <w:rFonts w:ascii="Cambria Math" w:eastAsia="Times New Roman" w:hAnsi="Cambria Math" w:cs="Times New Roman"/>
                <w:color w:val="0D0D0D" w:themeColor="text1" w:themeTint="F2"/>
                <w:sz w:val="24"/>
                <w:szCs w:val="24"/>
                <w:lang w:val="en-US" w:eastAsia="en-IN"/>
              </w:rPr>
              <m:t>[(1 -Red) × (1-Green) × (1-Blue)]</m:t>
            </m:r>
          </m:e>
          <m:sup>
            <m:f>
              <m:fPr>
                <m:ctrlPr>
                  <w:rPr>
                    <w:rFonts w:ascii="Cambria Math" w:eastAsia="Times New Roman" w:hAnsi="Cambria Math" w:cs="Times New Roman"/>
                    <w:i/>
                    <w:color w:val="0D0D0D" w:themeColor="text1" w:themeTint="F2"/>
                    <w:sz w:val="24"/>
                    <w:szCs w:val="24"/>
                    <w:lang w:eastAsia="en-IN"/>
                  </w:rPr>
                </m:ctrlPr>
              </m:fPr>
              <m:num>
                <m:r>
                  <w:rPr>
                    <w:rFonts w:ascii="Cambria Math" w:eastAsia="Times New Roman" w:hAnsi="Cambria Math" w:cs="Times New Roman"/>
                    <w:color w:val="0D0D0D" w:themeColor="text1" w:themeTint="F2"/>
                    <w:sz w:val="24"/>
                    <w:szCs w:val="24"/>
                    <w:lang w:val="en-US" w:eastAsia="en-IN"/>
                  </w:rPr>
                  <m:t>1</m:t>
                </m:r>
              </m:num>
              <m:den>
                <m:r>
                  <w:rPr>
                    <w:rFonts w:ascii="Cambria Math" w:eastAsia="Times New Roman" w:hAnsi="Cambria Math" w:cs="Times New Roman"/>
                    <w:color w:val="0D0D0D" w:themeColor="text1" w:themeTint="F2"/>
                    <w:sz w:val="24"/>
                    <w:szCs w:val="24"/>
                    <w:lang w:val="en-US" w:eastAsia="en-IN"/>
                  </w:rPr>
                  <m:t>3</m:t>
                </m:r>
              </m:den>
            </m:f>
          </m:sup>
        </m:sSup>
      </m:oMath>
    </w:p>
    <w:p w14:paraId="75C5D7E5" w14:textId="77777777" w:rsidR="00597548" w:rsidRPr="003B3FDD" w:rsidRDefault="00597548" w:rsidP="00597548">
      <w:p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3.5 Advanced Vegetation Index</w:t>
      </w:r>
    </w:p>
    <w:p w14:paraId="41F85D42" w14:textId="77777777" w:rsidR="00597548" w:rsidRPr="003B3FDD"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The Advanced Vegetation Index (AVI) is a spectral reflectance indicator used to assess vegetation conditions from multispectral imagery, similar to the </w:t>
      </w:r>
      <w:r>
        <w:rPr>
          <w:rFonts w:ascii="Times New Roman" w:eastAsia="Times New Roman" w:hAnsi="Times New Roman" w:cs="Times New Roman"/>
          <w:color w:val="0D0D0D"/>
          <w:sz w:val="24"/>
          <w:szCs w:val="24"/>
          <w:lang w:val="en-US" w:eastAsia="en-IN"/>
        </w:rPr>
        <w:t>normalized difference vegetation index</w:t>
      </w:r>
      <w:r w:rsidRPr="003B3FDD">
        <w:rPr>
          <w:rFonts w:ascii="Times New Roman" w:eastAsia="Times New Roman" w:hAnsi="Times New Roman" w:cs="Times New Roman"/>
          <w:color w:val="0D0D0D" w:themeColor="text1" w:themeTint="F2"/>
          <w:sz w:val="24"/>
          <w:szCs w:val="24"/>
          <w:lang w:val="en-US" w:eastAsia="en-IN"/>
        </w:rPr>
        <w:t xml:space="preserve"> (NDVI). This index uses two spectral bands</w:t>
      </w:r>
      <w:r>
        <w:rPr>
          <w:rFonts w:ascii="Times New Roman" w:eastAsia="Times New Roman" w:hAnsi="Times New Roman" w:cs="Times New Roman"/>
          <w:color w:val="0D0D0D"/>
          <w:sz w:val="24"/>
          <w:szCs w:val="24"/>
          <w:lang w:val="en-US" w:eastAsia="en-IN"/>
        </w:rPr>
        <w:t>,</w:t>
      </w:r>
      <w:r w:rsidRPr="003B3FDD">
        <w:rPr>
          <w:rFonts w:ascii="Times New Roman" w:eastAsia="Times New Roman" w:hAnsi="Times New Roman" w:cs="Times New Roman"/>
          <w:color w:val="0D0D0D" w:themeColor="text1" w:themeTint="F2"/>
          <w:sz w:val="24"/>
          <w:szCs w:val="24"/>
          <w:lang w:val="en-US" w:eastAsia="en-IN"/>
        </w:rPr>
        <w:t xml:space="preserve"> red and near-infrared</w:t>
      </w:r>
      <w:r>
        <w:rPr>
          <w:rFonts w:ascii="Times New Roman" w:eastAsia="Times New Roman" w:hAnsi="Times New Roman" w:cs="Times New Roman"/>
          <w:color w:val="0D0D0D"/>
          <w:sz w:val="24"/>
          <w:szCs w:val="24"/>
          <w:lang w:val="en-US" w:eastAsia="en-IN"/>
        </w:rPr>
        <w:t>,</w:t>
      </w:r>
      <w:r w:rsidRPr="003B3FDD">
        <w:rPr>
          <w:rFonts w:ascii="Times New Roman" w:eastAsia="Times New Roman" w:hAnsi="Times New Roman" w:cs="Times New Roman"/>
          <w:color w:val="0D0D0D" w:themeColor="text1" w:themeTint="F2"/>
          <w:sz w:val="24"/>
          <w:szCs w:val="24"/>
          <w:lang w:val="en-US" w:eastAsia="en-IN"/>
        </w:rPr>
        <w:t xml:space="preserve"> to evaluate vegetation based on their reflectance characteristics.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AVI is considered more responsive than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NDVI in identifying areas with dense vegetation or high canopy cover. Although the difference between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NDVI and AVI is relatively small,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AVI enhances this variation through the use of a power transformation (Roy et al., 1996). As a result, the AVI is capable of capturing subtle changes in vegetation and provides useful information about foliage activity (Anonymous, 1993).</w:t>
      </w:r>
    </w:p>
    <w:p w14:paraId="701E8A8F" w14:textId="77777777" w:rsidR="00597548" w:rsidRPr="003B3FDD" w:rsidRDefault="00597548" w:rsidP="00597548">
      <w:pPr>
        <w:spacing w:after="100" w:afterAutospacing="1" w:line="276" w:lineRule="auto"/>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             AVI = </w:t>
      </w:r>
      <m:oMath>
        <m:sSup>
          <m:sSupPr>
            <m:ctrlPr>
              <w:rPr>
                <w:rFonts w:ascii="Cambria Math" w:eastAsia="Times New Roman" w:hAnsi="Cambria Math" w:cs="Times New Roman"/>
                <w:i/>
                <w:color w:val="0D0D0D" w:themeColor="text1" w:themeTint="F2"/>
                <w:sz w:val="24"/>
                <w:szCs w:val="24"/>
                <w:lang w:eastAsia="en-IN"/>
              </w:rPr>
            </m:ctrlPr>
          </m:sSupPr>
          <m:e>
            <m:r>
              <m:rPr>
                <m:sty m:val="p"/>
              </m:rPr>
              <w:rPr>
                <w:rFonts w:ascii="Cambria Math" w:eastAsia="Times New Roman" w:hAnsi="Cambria Math" w:cs="Times New Roman"/>
                <w:color w:val="0D0D0D" w:themeColor="text1" w:themeTint="F2"/>
                <w:sz w:val="24"/>
                <w:szCs w:val="24"/>
                <w:lang w:val="en-US" w:eastAsia="en-IN"/>
              </w:rPr>
              <m:t>[(NIR+1(1-Red) × (NIR-Red)]</m:t>
            </m:r>
          </m:e>
          <m:sup>
            <m:f>
              <m:fPr>
                <m:ctrlPr>
                  <w:rPr>
                    <w:rFonts w:ascii="Cambria Math" w:eastAsia="Times New Roman" w:hAnsi="Cambria Math" w:cs="Times New Roman"/>
                    <w:i/>
                    <w:color w:val="0D0D0D" w:themeColor="text1" w:themeTint="F2"/>
                    <w:sz w:val="24"/>
                    <w:szCs w:val="24"/>
                    <w:lang w:eastAsia="en-IN"/>
                  </w:rPr>
                </m:ctrlPr>
              </m:fPr>
              <m:num>
                <m:r>
                  <w:rPr>
                    <w:rFonts w:ascii="Cambria Math" w:eastAsia="Times New Roman" w:hAnsi="Cambria Math" w:cs="Times New Roman"/>
                    <w:color w:val="0D0D0D" w:themeColor="text1" w:themeTint="F2"/>
                    <w:sz w:val="24"/>
                    <w:szCs w:val="24"/>
                    <w:lang w:val="en-US" w:eastAsia="en-IN"/>
                  </w:rPr>
                  <m:t>1</m:t>
                </m:r>
              </m:num>
              <m:den>
                <m:r>
                  <w:rPr>
                    <w:rFonts w:ascii="Cambria Math" w:eastAsia="Times New Roman" w:hAnsi="Cambria Math" w:cs="Times New Roman"/>
                    <w:color w:val="0D0D0D" w:themeColor="text1" w:themeTint="F2"/>
                    <w:sz w:val="24"/>
                    <w:szCs w:val="24"/>
                    <w:lang w:val="en-US" w:eastAsia="en-IN"/>
                  </w:rPr>
                  <m:t>3</m:t>
                </m:r>
              </m:den>
            </m:f>
          </m:sup>
        </m:sSup>
      </m:oMath>
    </w:p>
    <w:p w14:paraId="5EB68B21" w14:textId="77777777" w:rsidR="00597548" w:rsidRPr="003B3FDD" w:rsidRDefault="00597548" w:rsidP="00597548">
      <w:pPr>
        <w:spacing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3.6 Soil Bareness Index</w:t>
      </w:r>
    </w:p>
    <w:p w14:paraId="1C046282" w14:textId="77777777" w:rsidR="00597548" w:rsidRPr="003B3FDD" w:rsidRDefault="00597548" w:rsidP="00597548">
      <w:pPr>
        <w:spacing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lang w:val="en-US"/>
        </w:rPr>
        <w:t xml:space="preserve">The Bareness Index (BI) is a spectral reflectance-based indicator used to evaluate the condition of exposed soil or land surfaces in a particular area. It is widely applied for identifying cropland and other bare surface features. Bare land can generally be grouped into two categories: primary bare land, which shows no evidence of human influence, and secondary bare land, which reflects varying levels of anthropogenic impact (Pal et al., 2018). The index is derived </w:t>
      </w:r>
      <w:r>
        <w:rPr>
          <w:rFonts w:ascii="Times New Roman" w:eastAsia="Calibri" w:hAnsi="Times New Roman" w:cs="Times New Roman"/>
          <w:color w:val="0D0D0D"/>
          <w:sz w:val="24"/>
          <w:szCs w:val="24"/>
          <w:lang w:val="en-US"/>
        </w:rPr>
        <w:t>via</w:t>
      </w:r>
      <w:r w:rsidRPr="003B3FDD">
        <w:rPr>
          <w:rFonts w:ascii="Times New Roman" w:hAnsi="Times New Roman" w:cs="Times New Roman"/>
          <w:color w:val="0D0D0D" w:themeColor="text1" w:themeTint="F2"/>
          <w:sz w:val="24"/>
          <w:szCs w:val="24"/>
          <w:lang w:val="en-US"/>
        </w:rPr>
        <w:t xml:space="preserve"> four spectral bands</w:t>
      </w:r>
      <w:r>
        <w:rPr>
          <w:rFonts w:ascii="Times New Roman" w:eastAsia="Calibri" w:hAnsi="Times New Roman" w:cs="Times New Roman"/>
          <w:color w:val="0D0D0D"/>
          <w:sz w:val="24"/>
          <w:szCs w:val="24"/>
          <w:lang w:val="en-US"/>
        </w:rPr>
        <w:t>, namely,</w:t>
      </w:r>
      <w:r w:rsidRPr="003B3FDD">
        <w:rPr>
          <w:rFonts w:ascii="Times New Roman" w:hAnsi="Times New Roman" w:cs="Times New Roman"/>
          <w:color w:val="0D0D0D" w:themeColor="text1" w:themeTint="F2"/>
          <w:sz w:val="24"/>
          <w:szCs w:val="24"/>
          <w:lang w:val="en-US"/>
        </w:rPr>
        <w:t xml:space="preserve"> blue, red, near-infrared (NIR), and shortwave infrared (SWIR) </w:t>
      </w:r>
      <w:r>
        <w:rPr>
          <w:rFonts w:ascii="Times New Roman" w:eastAsia="Calibri" w:hAnsi="Times New Roman" w:cs="Times New Roman"/>
          <w:color w:val="0D0D0D"/>
          <w:sz w:val="24"/>
          <w:szCs w:val="24"/>
          <w:lang w:val="en-US"/>
        </w:rPr>
        <w:t xml:space="preserve">bands, </w:t>
      </w:r>
      <w:r w:rsidRPr="003B3FDD">
        <w:rPr>
          <w:rFonts w:ascii="Times New Roman" w:hAnsi="Times New Roman" w:cs="Times New Roman"/>
          <w:color w:val="0D0D0D" w:themeColor="text1" w:themeTint="F2"/>
          <w:sz w:val="24"/>
          <w:szCs w:val="24"/>
          <w:lang w:val="en-US"/>
        </w:rPr>
        <w:t xml:space="preserve">to determine the extent of surface bareness. The red and SWIR bands mainly indicate </w:t>
      </w:r>
      <w:r>
        <w:rPr>
          <w:rFonts w:ascii="Times New Roman" w:eastAsia="Calibri" w:hAnsi="Times New Roman" w:cs="Times New Roman"/>
          <w:color w:val="0D0D0D"/>
          <w:sz w:val="24"/>
          <w:szCs w:val="24"/>
          <w:lang w:val="en-US"/>
        </w:rPr>
        <w:t xml:space="preserve">the </w:t>
      </w:r>
      <w:r w:rsidRPr="003B3FDD">
        <w:rPr>
          <w:rFonts w:ascii="Times New Roman" w:hAnsi="Times New Roman" w:cs="Times New Roman"/>
          <w:color w:val="0D0D0D" w:themeColor="text1" w:themeTint="F2"/>
          <w:sz w:val="24"/>
          <w:szCs w:val="24"/>
          <w:lang w:val="en-US"/>
        </w:rPr>
        <w:t xml:space="preserve">soil mineral composition and surface properties, </w:t>
      </w:r>
      <w:r>
        <w:rPr>
          <w:rFonts w:ascii="Times New Roman" w:eastAsia="Calibri" w:hAnsi="Times New Roman" w:cs="Times New Roman"/>
          <w:color w:val="0D0D0D"/>
          <w:sz w:val="24"/>
          <w:szCs w:val="24"/>
          <w:lang w:val="en-US"/>
        </w:rPr>
        <w:t>whereas</w:t>
      </w:r>
      <w:r w:rsidRPr="003B3FDD">
        <w:rPr>
          <w:rFonts w:ascii="Times New Roman" w:hAnsi="Times New Roman" w:cs="Times New Roman"/>
          <w:color w:val="0D0D0D" w:themeColor="text1" w:themeTint="F2"/>
          <w:sz w:val="24"/>
          <w:szCs w:val="24"/>
          <w:lang w:val="en-US"/>
        </w:rPr>
        <w:t xml:space="preserve"> the blue and NIR bands help represent </w:t>
      </w:r>
      <w:r>
        <w:rPr>
          <w:rFonts w:ascii="Times New Roman" w:eastAsia="Calibri" w:hAnsi="Times New Roman" w:cs="Times New Roman"/>
          <w:color w:val="0D0D0D"/>
          <w:sz w:val="24"/>
          <w:szCs w:val="24"/>
          <w:lang w:val="en-US"/>
        </w:rPr>
        <w:t>the</w:t>
      </w:r>
      <w:r w:rsidRPr="003B3FDD">
        <w:rPr>
          <w:rFonts w:ascii="Times New Roman" w:hAnsi="Times New Roman" w:cs="Times New Roman"/>
          <w:color w:val="0D0D0D" w:themeColor="text1" w:themeTint="F2"/>
          <w:sz w:val="24"/>
          <w:szCs w:val="24"/>
          <w:lang w:val="en-US"/>
        </w:rPr>
        <w:t xml:space="preserve"> presence and </w:t>
      </w:r>
      <w:r>
        <w:rPr>
          <w:rFonts w:ascii="Times New Roman" w:eastAsia="Calibri" w:hAnsi="Times New Roman" w:cs="Times New Roman"/>
          <w:color w:val="0D0D0D"/>
          <w:sz w:val="24"/>
          <w:szCs w:val="24"/>
          <w:lang w:val="en-US"/>
        </w:rPr>
        <w:t>conditions of vegetation</w:t>
      </w:r>
      <w:r w:rsidRPr="003B3FDD">
        <w:rPr>
          <w:rFonts w:ascii="Times New Roman" w:hAnsi="Times New Roman" w:cs="Times New Roman"/>
          <w:color w:val="0D0D0D" w:themeColor="text1" w:themeTint="F2"/>
          <w:sz w:val="24"/>
          <w:szCs w:val="24"/>
          <w:lang w:val="en-US"/>
        </w:rPr>
        <w:t xml:space="preserve">. The </w:t>
      </w:r>
      <w:r>
        <w:rPr>
          <w:rFonts w:ascii="Times New Roman" w:eastAsia="Calibri" w:hAnsi="Times New Roman" w:cs="Times New Roman"/>
          <w:color w:val="0D0D0D"/>
          <w:sz w:val="24"/>
          <w:szCs w:val="24"/>
          <w:lang w:val="en-US"/>
        </w:rPr>
        <w:t>bare soil index</w:t>
      </w:r>
      <w:r w:rsidRPr="003B3FDD">
        <w:rPr>
          <w:rFonts w:ascii="Times New Roman" w:hAnsi="Times New Roman" w:cs="Times New Roman"/>
          <w:color w:val="0D0D0D" w:themeColor="text1" w:themeTint="F2"/>
          <w:sz w:val="24"/>
          <w:szCs w:val="24"/>
          <w:lang w:val="en-US"/>
        </w:rPr>
        <w:t xml:space="preserve"> (BSI) is calculated </w:t>
      </w:r>
      <w:r>
        <w:rPr>
          <w:rFonts w:ascii="Times New Roman" w:eastAsia="Calibri" w:hAnsi="Times New Roman" w:cs="Times New Roman"/>
          <w:color w:val="0D0D0D"/>
          <w:sz w:val="24"/>
          <w:szCs w:val="24"/>
          <w:lang w:val="en-US"/>
        </w:rPr>
        <w:t>via</w:t>
      </w:r>
      <w:r w:rsidRPr="003B3FDD">
        <w:rPr>
          <w:rFonts w:ascii="Times New Roman" w:hAnsi="Times New Roman" w:cs="Times New Roman"/>
          <w:color w:val="0D0D0D" w:themeColor="text1" w:themeTint="F2"/>
          <w:sz w:val="24"/>
          <w:szCs w:val="24"/>
          <w:lang w:val="en-US"/>
        </w:rPr>
        <w:t xml:space="preserve"> the following equation</w:t>
      </w:r>
      <w:r>
        <w:rPr>
          <w:rFonts w:ascii="Times New Roman" w:eastAsia="Calibri" w:hAnsi="Times New Roman" w:cs="Times New Roman"/>
          <w:color w:val="0D0D0D"/>
          <w:sz w:val="24"/>
          <w:szCs w:val="24"/>
          <w:lang w:val="en-US"/>
        </w:rPr>
        <w:t>:</w:t>
      </w:r>
    </w:p>
    <w:p w14:paraId="6F43CFD1" w14:textId="77777777" w:rsidR="00597548" w:rsidRPr="003B3FDD" w:rsidRDefault="00597548" w:rsidP="00597548">
      <w:pPr>
        <w:spacing w:line="276" w:lineRule="auto"/>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lang w:val="en-US"/>
        </w:rPr>
        <w:t xml:space="preserve">     BSI = </w:t>
      </w:r>
      <m:oMath>
        <m:f>
          <m:fPr>
            <m:ctrlPr>
              <w:rPr>
                <w:rFonts w:ascii="Cambria Math" w:eastAsia="Times New Roman" w:hAnsi="Cambria Math" w:cs="Times New Roman"/>
                <w:color w:val="0D0D0D" w:themeColor="text1" w:themeTint="F2"/>
                <w:sz w:val="24"/>
                <w:szCs w:val="24"/>
                <w:lang w:eastAsia="en-IN"/>
              </w:rPr>
            </m:ctrlPr>
          </m:fPr>
          <m:num>
            <m:r>
              <m:rPr>
                <m:sty m:val="p"/>
              </m:rPr>
              <w:rPr>
                <w:rFonts w:ascii="Cambria Math" w:hAnsi="Cambria Math" w:cs="Times New Roman"/>
                <w:color w:val="0D0D0D" w:themeColor="text1" w:themeTint="F2"/>
                <w:sz w:val="24"/>
                <w:szCs w:val="24"/>
                <w:lang w:val="en-US"/>
              </w:rPr>
              <m:t xml:space="preserve">(SWIR+RED) - (NIR+BLUE) </m:t>
            </m:r>
          </m:num>
          <m:den>
            <m:r>
              <m:rPr>
                <m:sty m:val="p"/>
              </m:rPr>
              <w:rPr>
                <w:rFonts w:ascii="Cambria Math" w:eastAsia="Times New Roman" w:hAnsi="Cambria Math" w:cs="Times New Roman"/>
                <w:color w:val="0D0D0D" w:themeColor="text1" w:themeTint="F2"/>
                <w:sz w:val="24"/>
                <w:szCs w:val="24"/>
                <w:lang w:val="en-US" w:eastAsia="en-IN"/>
              </w:rPr>
              <m:t>NIR +</m:t>
            </m:r>
            <m:r>
              <m:rPr>
                <m:sty m:val="p"/>
              </m:rPr>
              <w:rPr>
                <w:rFonts w:ascii="Cambria Math" w:hAnsi="Cambria Math" w:cs="Times New Roman"/>
                <w:color w:val="0D0D0D" w:themeColor="text1" w:themeTint="F2"/>
                <w:sz w:val="24"/>
                <w:szCs w:val="24"/>
                <w:lang w:val="en-US"/>
              </w:rPr>
              <m:t xml:space="preserve">(SWIR+RED) +(NIR+BLUE) </m:t>
            </m:r>
          </m:den>
        </m:f>
      </m:oMath>
    </w:p>
    <w:p w14:paraId="178886C8" w14:textId="77777777" w:rsidR="00597548" w:rsidRPr="003B3FDD" w:rsidRDefault="00597548" w:rsidP="00597548">
      <w:pPr>
        <w:pStyle w:val="ListParagraph"/>
        <w:numPr>
          <w:ilvl w:val="1"/>
          <w:numId w:val="7"/>
        </w:numPr>
        <w:spacing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FCD Model</w:t>
      </w:r>
    </w:p>
    <w:p w14:paraId="6BA751E3" w14:textId="77777777" w:rsidR="00597548" w:rsidRPr="003B3FDD" w:rsidRDefault="00597548" w:rsidP="00597548">
      <w:pPr>
        <w:spacing w:after="100" w:afterAutospacing="1" w:line="276" w:lineRule="auto"/>
        <w:ind w:firstLine="36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lang w:val="en-US"/>
        </w:rPr>
        <w:t xml:space="preserve">The </w:t>
      </w:r>
      <w:r>
        <w:rPr>
          <w:rFonts w:ascii="Times New Roman" w:eastAsia="Calibri" w:hAnsi="Times New Roman" w:cs="Times New Roman"/>
          <w:color w:val="0D0D0D"/>
          <w:sz w:val="24"/>
          <w:szCs w:val="24"/>
          <w:lang w:val="en-US"/>
        </w:rPr>
        <w:t>forest canopy density</w:t>
      </w:r>
      <w:r w:rsidRPr="003B3FDD">
        <w:rPr>
          <w:rFonts w:ascii="Times New Roman" w:hAnsi="Times New Roman" w:cs="Times New Roman"/>
          <w:color w:val="0D0D0D" w:themeColor="text1" w:themeTint="F2"/>
          <w:sz w:val="24"/>
          <w:szCs w:val="24"/>
          <w:lang w:val="en-US"/>
        </w:rPr>
        <w:t xml:space="preserve"> (FCD) model is an effective approach for estimating the density and condition of forest cover within a given area (</w:t>
      </w:r>
      <w:proofErr w:type="spellStart"/>
      <w:r w:rsidRPr="003B3FDD">
        <w:rPr>
          <w:rFonts w:ascii="Times New Roman" w:hAnsi="Times New Roman" w:cs="Times New Roman"/>
          <w:color w:val="0D0D0D" w:themeColor="text1" w:themeTint="F2"/>
          <w:sz w:val="24"/>
          <w:szCs w:val="24"/>
          <w:lang w:val="en-US"/>
        </w:rPr>
        <w:t>Sahana</w:t>
      </w:r>
      <w:proofErr w:type="spellEnd"/>
      <w:r w:rsidRPr="003B3FDD">
        <w:rPr>
          <w:rFonts w:ascii="Times New Roman" w:hAnsi="Times New Roman" w:cs="Times New Roman"/>
          <w:color w:val="0D0D0D" w:themeColor="text1" w:themeTint="F2"/>
          <w:sz w:val="24"/>
          <w:szCs w:val="24"/>
          <w:lang w:val="en-US"/>
        </w:rPr>
        <w:t xml:space="preserve"> et al., 2015). This model helps in identifying the extent to which forest regions have undergone deforestation or degradation over time. In this study, the FCD map was generated </w:t>
      </w:r>
      <w:r>
        <w:rPr>
          <w:rFonts w:ascii="Times New Roman" w:eastAsia="Calibri" w:hAnsi="Times New Roman" w:cs="Times New Roman"/>
          <w:color w:val="0D0D0D"/>
          <w:sz w:val="24"/>
          <w:szCs w:val="24"/>
          <w:lang w:val="en-US"/>
        </w:rPr>
        <w:t>via</w:t>
      </w:r>
      <w:r w:rsidRPr="003B3FDD">
        <w:rPr>
          <w:rFonts w:ascii="Times New Roman" w:hAnsi="Times New Roman" w:cs="Times New Roman"/>
          <w:color w:val="0D0D0D" w:themeColor="text1" w:themeTint="F2"/>
          <w:sz w:val="24"/>
          <w:szCs w:val="24"/>
          <w:lang w:val="en-US"/>
        </w:rPr>
        <w:t xml:space="preserve"> a weighted overlay analysis (Table 1) performed </w:t>
      </w:r>
      <w:r>
        <w:rPr>
          <w:rFonts w:ascii="Times New Roman" w:eastAsia="Calibri" w:hAnsi="Times New Roman" w:cs="Times New Roman"/>
          <w:color w:val="0D0D0D"/>
          <w:sz w:val="24"/>
          <w:szCs w:val="24"/>
          <w:lang w:val="en-US"/>
        </w:rPr>
        <w:t>via the</w:t>
      </w:r>
      <w:r w:rsidRPr="003B3FDD">
        <w:rPr>
          <w:rFonts w:ascii="Times New Roman" w:hAnsi="Times New Roman" w:cs="Times New Roman"/>
          <w:color w:val="0D0D0D" w:themeColor="text1" w:themeTint="F2"/>
          <w:sz w:val="24"/>
          <w:szCs w:val="24"/>
          <w:lang w:val="en-US"/>
        </w:rPr>
        <w:t xml:space="preserve"> Google Earth Engine. All the previously derived indices were then integrated to produce the final spatial output for the </w:t>
      </w:r>
      <w:proofErr w:type="spellStart"/>
      <w:r w:rsidRPr="003B3FDD">
        <w:rPr>
          <w:rFonts w:ascii="Times New Roman" w:hAnsi="Times New Roman" w:cs="Times New Roman"/>
          <w:color w:val="0D0D0D" w:themeColor="text1" w:themeTint="F2"/>
          <w:sz w:val="24"/>
          <w:szCs w:val="24"/>
          <w:lang w:val="en-US"/>
        </w:rPr>
        <w:t>Hunsur</w:t>
      </w:r>
      <w:proofErr w:type="spellEnd"/>
      <w:r w:rsidRPr="003B3FDD">
        <w:rPr>
          <w:rFonts w:ascii="Times New Roman" w:hAnsi="Times New Roman" w:cs="Times New Roman"/>
          <w:color w:val="0D0D0D" w:themeColor="text1" w:themeTint="F2"/>
          <w:sz w:val="24"/>
          <w:szCs w:val="24"/>
          <w:lang w:val="en-US"/>
        </w:rPr>
        <w:t xml:space="preserve"> taluk.</w:t>
      </w:r>
    </w:p>
    <w:p w14:paraId="0CFD6A41" w14:textId="77777777" w:rsidR="00597548" w:rsidRPr="003B3FDD" w:rsidRDefault="00597548" w:rsidP="00597548">
      <w:pPr>
        <w:pStyle w:val="Caption"/>
        <w:keepNext/>
        <w:rPr>
          <w:rFonts w:ascii="Times New Roman" w:hAnsi="Times New Roman" w:cs="Times New Roman"/>
          <w:b/>
          <w:bCs/>
          <w:i w:val="0"/>
          <w:iCs w:val="0"/>
          <w:color w:val="0D0D0D" w:themeColor="text1" w:themeTint="F2"/>
          <w:sz w:val="24"/>
          <w:szCs w:val="24"/>
        </w:rPr>
      </w:pPr>
      <w:r w:rsidRPr="003B3FDD">
        <w:rPr>
          <w:rFonts w:ascii="Times New Roman" w:hAnsi="Times New Roman" w:cs="Times New Roman"/>
          <w:b/>
          <w:bCs/>
          <w:i w:val="0"/>
          <w:iCs w:val="0"/>
          <w:color w:val="0D0D0D" w:themeColor="text1" w:themeTint="F2"/>
          <w:sz w:val="24"/>
          <w:szCs w:val="24"/>
          <w:lang w:val="en-US"/>
        </w:rPr>
        <w:lastRenderedPageBreak/>
        <w:t xml:space="preserve">Table </w:t>
      </w:r>
      <w:r w:rsidRPr="003B3FDD">
        <w:rPr>
          <w:rFonts w:ascii="Times New Roman" w:hAnsi="Times New Roman" w:cs="Times New Roman"/>
          <w:b/>
          <w:bCs/>
          <w:i w:val="0"/>
          <w:iCs w:val="0"/>
          <w:color w:val="0D0D0D" w:themeColor="text1" w:themeTint="F2"/>
          <w:sz w:val="24"/>
          <w:szCs w:val="24"/>
        </w:rPr>
        <w:fldChar w:fldCharType="begin"/>
      </w:r>
      <w:r w:rsidRPr="003B3FDD">
        <w:rPr>
          <w:rFonts w:ascii="Times New Roman" w:hAnsi="Times New Roman" w:cs="Times New Roman"/>
          <w:b/>
          <w:bCs/>
          <w:i w:val="0"/>
          <w:iCs w:val="0"/>
          <w:color w:val="0D0D0D" w:themeColor="text1" w:themeTint="F2"/>
          <w:sz w:val="24"/>
          <w:szCs w:val="24"/>
          <w:lang w:val="en-US"/>
        </w:rPr>
        <w:instrText xml:space="preserve"> SEQ Table \* ARABIC </w:instrText>
      </w:r>
      <w:r w:rsidRPr="003B3FDD">
        <w:rPr>
          <w:rFonts w:ascii="Times New Roman" w:hAnsi="Times New Roman" w:cs="Times New Roman"/>
          <w:b/>
          <w:bCs/>
          <w:i w:val="0"/>
          <w:iCs w:val="0"/>
          <w:color w:val="0D0D0D" w:themeColor="text1" w:themeTint="F2"/>
          <w:sz w:val="24"/>
          <w:szCs w:val="24"/>
        </w:rPr>
        <w:fldChar w:fldCharType="separate"/>
      </w:r>
      <w:r w:rsidRPr="003B3FDD">
        <w:rPr>
          <w:rFonts w:ascii="Times New Roman" w:hAnsi="Times New Roman" w:cs="Times New Roman"/>
          <w:b/>
          <w:bCs/>
          <w:i w:val="0"/>
          <w:iCs w:val="0"/>
          <w:noProof/>
          <w:color w:val="0D0D0D" w:themeColor="text1" w:themeTint="F2"/>
          <w:sz w:val="24"/>
          <w:szCs w:val="24"/>
          <w:lang w:val="en-US"/>
        </w:rPr>
        <w:t>1</w:t>
      </w:r>
      <w:r w:rsidRPr="003B3FDD">
        <w:rPr>
          <w:rFonts w:ascii="Times New Roman" w:hAnsi="Times New Roman" w:cs="Times New Roman"/>
          <w:b/>
          <w:bCs/>
          <w:i w:val="0"/>
          <w:iCs w:val="0"/>
          <w:color w:val="0D0D0D" w:themeColor="text1" w:themeTint="F2"/>
          <w:sz w:val="24"/>
          <w:szCs w:val="24"/>
        </w:rPr>
        <w:fldChar w:fldCharType="end"/>
      </w:r>
      <w:r w:rsidRPr="003B3FDD">
        <w:rPr>
          <w:rFonts w:ascii="Times New Roman" w:hAnsi="Times New Roman" w:cs="Times New Roman"/>
          <w:b/>
          <w:bCs/>
          <w:i w:val="0"/>
          <w:iCs w:val="0"/>
          <w:color w:val="0D0D0D" w:themeColor="text1" w:themeTint="F2"/>
          <w:sz w:val="24"/>
          <w:szCs w:val="24"/>
          <w:lang w:val="en-US"/>
        </w:rPr>
        <w:t xml:space="preserve">: Assigned </w:t>
      </w:r>
      <w:r>
        <w:rPr>
          <w:rFonts w:ascii="Times New Roman" w:eastAsia="Calibri" w:hAnsi="Times New Roman" w:cs="Times New Roman"/>
          <w:b/>
          <w:bCs/>
          <w:i w:val="0"/>
          <w:iCs w:val="0"/>
          <w:color w:val="0D0D0D"/>
          <w:sz w:val="24"/>
          <w:szCs w:val="24"/>
          <w:lang w:val="en-US"/>
        </w:rPr>
        <w:t>weights</w:t>
      </w:r>
      <w:r w:rsidRPr="003B3FDD">
        <w:rPr>
          <w:rFonts w:ascii="Times New Roman" w:hAnsi="Times New Roman" w:cs="Times New Roman"/>
          <w:b/>
          <w:bCs/>
          <w:i w:val="0"/>
          <w:iCs w:val="0"/>
          <w:color w:val="0D0D0D" w:themeColor="text1" w:themeTint="F2"/>
          <w:sz w:val="24"/>
          <w:szCs w:val="24"/>
          <w:lang w:val="en-US"/>
        </w:rPr>
        <w:t xml:space="preserve"> of different classes of thematic layers</w:t>
      </w:r>
    </w:p>
    <w:tbl>
      <w:tblPr>
        <w:tblStyle w:val="TableGrid"/>
        <w:tblW w:w="5000" w:type="pct"/>
        <w:tblLook w:val="04A0" w:firstRow="1" w:lastRow="0" w:firstColumn="1" w:lastColumn="0" w:noHBand="0" w:noVBand="1"/>
      </w:tblPr>
      <w:tblGrid>
        <w:gridCol w:w="1644"/>
        <w:gridCol w:w="2204"/>
        <w:gridCol w:w="3451"/>
        <w:gridCol w:w="1717"/>
      </w:tblGrid>
      <w:tr w:rsidR="00597548" w14:paraId="0DB2B85C" w14:textId="77777777" w:rsidTr="00455BB6">
        <w:tc>
          <w:tcPr>
            <w:tcW w:w="912" w:type="pct"/>
            <w:vAlign w:val="center"/>
            <w:hideMark/>
          </w:tcPr>
          <w:p w14:paraId="70E1EB98" w14:textId="77777777" w:rsidR="00597548" w:rsidRPr="003B3FDD" w:rsidRDefault="00597548" w:rsidP="00455BB6">
            <w:pPr>
              <w:spacing w:line="276" w:lineRule="auto"/>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Theme</w:t>
            </w:r>
          </w:p>
        </w:tc>
        <w:tc>
          <w:tcPr>
            <w:tcW w:w="1222" w:type="pct"/>
            <w:vAlign w:val="center"/>
            <w:hideMark/>
          </w:tcPr>
          <w:p w14:paraId="261817F6" w14:textId="77777777" w:rsidR="00597548" w:rsidRPr="003B3FDD" w:rsidRDefault="00597548" w:rsidP="00455BB6">
            <w:pPr>
              <w:spacing w:line="276" w:lineRule="auto"/>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Class</w:t>
            </w:r>
          </w:p>
        </w:tc>
        <w:tc>
          <w:tcPr>
            <w:tcW w:w="1914" w:type="pct"/>
            <w:vAlign w:val="center"/>
            <w:hideMark/>
          </w:tcPr>
          <w:p w14:paraId="055C0805" w14:textId="77777777" w:rsidR="00597548" w:rsidRPr="003B3FDD" w:rsidRDefault="00597548" w:rsidP="00455BB6">
            <w:pPr>
              <w:spacing w:line="276" w:lineRule="auto"/>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Value Range</w:t>
            </w:r>
          </w:p>
        </w:tc>
        <w:tc>
          <w:tcPr>
            <w:tcW w:w="952" w:type="pct"/>
            <w:vAlign w:val="center"/>
            <w:hideMark/>
          </w:tcPr>
          <w:p w14:paraId="36AC5E84" w14:textId="77777777" w:rsidR="00597548" w:rsidRPr="003B3FDD" w:rsidRDefault="00597548" w:rsidP="00455BB6">
            <w:pPr>
              <w:spacing w:line="276" w:lineRule="auto"/>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Weight</w:t>
            </w:r>
          </w:p>
        </w:tc>
      </w:tr>
      <w:tr w:rsidR="00597548" w14:paraId="6B482936" w14:textId="77777777" w:rsidTr="00455BB6">
        <w:tc>
          <w:tcPr>
            <w:tcW w:w="912" w:type="pct"/>
            <w:vMerge w:val="restart"/>
            <w:vAlign w:val="center"/>
            <w:hideMark/>
          </w:tcPr>
          <w:p w14:paraId="1C57631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NDVI</w:t>
            </w:r>
          </w:p>
        </w:tc>
        <w:tc>
          <w:tcPr>
            <w:tcW w:w="1222" w:type="pct"/>
            <w:vAlign w:val="center"/>
            <w:hideMark/>
          </w:tcPr>
          <w:p w14:paraId="5F8014C8"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High</w:t>
            </w:r>
          </w:p>
        </w:tc>
        <w:tc>
          <w:tcPr>
            <w:tcW w:w="1914" w:type="pct"/>
            <w:vAlign w:val="center"/>
            <w:hideMark/>
          </w:tcPr>
          <w:p w14:paraId="4FAA30CB"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0.635 – 0.888</w:t>
            </w:r>
          </w:p>
        </w:tc>
        <w:tc>
          <w:tcPr>
            <w:tcW w:w="952" w:type="pct"/>
            <w:vAlign w:val="center"/>
            <w:hideMark/>
          </w:tcPr>
          <w:p w14:paraId="4F1ECA6A"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5</w:t>
            </w:r>
          </w:p>
        </w:tc>
      </w:tr>
      <w:tr w:rsidR="00597548" w14:paraId="641F9F09" w14:textId="77777777" w:rsidTr="00455BB6">
        <w:tc>
          <w:tcPr>
            <w:tcW w:w="912" w:type="pct"/>
            <w:vMerge/>
            <w:vAlign w:val="center"/>
            <w:hideMark/>
          </w:tcPr>
          <w:p w14:paraId="4A61DB4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27250FFA"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High</w:t>
            </w:r>
          </w:p>
        </w:tc>
        <w:tc>
          <w:tcPr>
            <w:tcW w:w="1914" w:type="pct"/>
            <w:vAlign w:val="center"/>
            <w:hideMark/>
          </w:tcPr>
          <w:p w14:paraId="53E2A89C"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0.509 – 0.634</w:t>
            </w:r>
          </w:p>
        </w:tc>
        <w:tc>
          <w:tcPr>
            <w:tcW w:w="952" w:type="pct"/>
            <w:vAlign w:val="center"/>
            <w:hideMark/>
          </w:tcPr>
          <w:p w14:paraId="396B4AC1"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4</w:t>
            </w:r>
          </w:p>
        </w:tc>
      </w:tr>
      <w:tr w:rsidR="00597548" w14:paraId="42508807" w14:textId="77777777" w:rsidTr="00455BB6">
        <w:tc>
          <w:tcPr>
            <w:tcW w:w="912" w:type="pct"/>
            <w:vMerge/>
            <w:vAlign w:val="center"/>
            <w:hideMark/>
          </w:tcPr>
          <w:p w14:paraId="2C24FCB4"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21FF5677"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Medium</w:t>
            </w:r>
          </w:p>
        </w:tc>
        <w:tc>
          <w:tcPr>
            <w:tcW w:w="1914" w:type="pct"/>
            <w:vAlign w:val="center"/>
            <w:hideMark/>
          </w:tcPr>
          <w:p w14:paraId="5BA4DB3C"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0.366 – 0.508</w:t>
            </w:r>
          </w:p>
        </w:tc>
        <w:tc>
          <w:tcPr>
            <w:tcW w:w="952" w:type="pct"/>
            <w:vAlign w:val="center"/>
            <w:hideMark/>
          </w:tcPr>
          <w:p w14:paraId="5E7B7BFD"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3</w:t>
            </w:r>
          </w:p>
        </w:tc>
      </w:tr>
      <w:tr w:rsidR="00597548" w14:paraId="660D6A2F" w14:textId="77777777" w:rsidTr="00455BB6">
        <w:tc>
          <w:tcPr>
            <w:tcW w:w="912" w:type="pct"/>
            <w:vMerge/>
            <w:vAlign w:val="center"/>
            <w:hideMark/>
          </w:tcPr>
          <w:p w14:paraId="267F5CB2"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7F13DE92"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Low</w:t>
            </w:r>
          </w:p>
        </w:tc>
        <w:tc>
          <w:tcPr>
            <w:tcW w:w="1914" w:type="pct"/>
            <w:vAlign w:val="center"/>
            <w:hideMark/>
          </w:tcPr>
          <w:p w14:paraId="384E72F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0.0673 – 0.365</w:t>
            </w:r>
          </w:p>
        </w:tc>
        <w:tc>
          <w:tcPr>
            <w:tcW w:w="952" w:type="pct"/>
            <w:vAlign w:val="center"/>
            <w:hideMark/>
          </w:tcPr>
          <w:p w14:paraId="349C2A3E"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2</w:t>
            </w:r>
          </w:p>
        </w:tc>
      </w:tr>
      <w:tr w:rsidR="00597548" w14:paraId="4B855955" w14:textId="77777777" w:rsidTr="00455BB6">
        <w:tc>
          <w:tcPr>
            <w:tcW w:w="912" w:type="pct"/>
            <w:vMerge/>
            <w:vAlign w:val="center"/>
            <w:hideMark/>
          </w:tcPr>
          <w:p w14:paraId="2BAF68DD"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0356AD52"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Low</w:t>
            </w:r>
          </w:p>
        </w:tc>
        <w:tc>
          <w:tcPr>
            <w:tcW w:w="1914" w:type="pct"/>
            <w:vAlign w:val="center"/>
            <w:hideMark/>
          </w:tcPr>
          <w:p w14:paraId="2F43DDC2"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-0.517 – 0.0672</w:t>
            </w:r>
          </w:p>
        </w:tc>
        <w:tc>
          <w:tcPr>
            <w:tcW w:w="952" w:type="pct"/>
            <w:vAlign w:val="center"/>
            <w:hideMark/>
          </w:tcPr>
          <w:p w14:paraId="599F3371"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1</w:t>
            </w:r>
          </w:p>
        </w:tc>
      </w:tr>
      <w:tr w:rsidR="00597548" w14:paraId="01BF494C" w14:textId="77777777" w:rsidTr="00455BB6">
        <w:tc>
          <w:tcPr>
            <w:tcW w:w="912" w:type="pct"/>
            <w:vMerge w:val="restart"/>
            <w:vAlign w:val="center"/>
            <w:hideMark/>
          </w:tcPr>
          <w:p w14:paraId="55C0DF34"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AVI</w:t>
            </w:r>
          </w:p>
        </w:tc>
        <w:tc>
          <w:tcPr>
            <w:tcW w:w="1222" w:type="pct"/>
            <w:vAlign w:val="center"/>
            <w:hideMark/>
          </w:tcPr>
          <w:p w14:paraId="633FB91C"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High</w:t>
            </w:r>
          </w:p>
        </w:tc>
        <w:tc>
          <w:tcPr>
            <w:tcW w:w="1914" w:type="pct"/>
            <w:vAlign w:val="center"/>
            <w:hideMark/>
          </w:tcPr>
          <w:p w14:paraId="1EAD649B"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0.4038 – 0.6728</w:t>
            </w:r>
          </w:p>
        </w:tc>
        <w:tc>
          <w:tcPr>
            <w:tcW w:w="952" w:type="pct"/>
            <w:vAlign w:val="center"/>
            <w:hideMark/>
          </w:tcPr>
          <w:p w14:paraId="7CF94454"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5</w:t>
            </w:r>
          </w:p>
        </w:tc>
      </w:tr>
      <w:tr w:rsidR="00597548" w14:paraId="563D468F" w14:textId="77777777" w:rsidTr="00455BB6">
        <w:tc>
          <w:tcPr>
            <w:tcW w:w="912" w:type="pct"/>
            <w:vMerge/>
            <w:vAlign w:val="center"/>
            <w:hideMark/>
          </w:tcPr>
          <w:p w14:paraId="226BA8FA"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173E336D"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High</w:t>
            </w:r>
          </w:p>
        </w:tc>
        <w:tc>
          <w:tcPr>
            <w:tcW w:w="1914" w:type="pct"/>
            <w:vAlign w:val="center"/>
            <w:hideMark/>
          </w:tcPr>
          <w:p w14:paraId="48479458"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0.351 – 0.4037</w:t>
            </w:r>
          </w:p>
        </w:tc>
        <w:tc>
          <w:tcPr>
            <w:tcW w:w="952" w:type="pct"/>
            <w:vAlign w:val="center"/>
            <w:hideMark/>
          </w:tcPr>
          <w:p w14:paraId="7D12D333"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4</w:t>
            </w:r>
          </w:p>
        </w:tc>
      </w:tr>
      <w:tr w:rsidR="00597548" w14:paraId="35840B52" w14:textId="77777777" w:rsidTr="00455BB6">
        <w:tc>
          <w:tcPr>
            <w:tcW w:w="912" w:type="pct"/>
            <w:vMerge/>
            <w:vAlign w:val="center"/>
            <w:hideMark/>
          </w:tcPr>
          <w:p w14:paraId="07C8BFAF"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3B6E46FC"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Medium</w:t>
            </w:r>
          </w:p>
        </w:tc>
        <w:tc>
          <w:tcPr>
            <w:tcW w:w="1914" w:type="pct"/>
            <w:vAlign w:val="center"/>
            <w:hideMark/>
          </w:tcPr>
          <w:p w14:paraId="10A6040C"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0.3009 – 0.3509</w:t>
            </w:r>
          </w:p>
        </w:tc>
        <w:tc>
          <w:tcPr>
            <w:tcW w:w="952" w:type="pct"/>
            <w:vAlign w:val="center"/>
            <w:hideMark/>
          </w:tcPr>
          <w:p w14:paraId="4BF5F34F"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3</w:t>
            </w:r>
          </w:p>
        </w:tc>
      </w:tr>
      <w:tr w:rsidR="00597548" w14:paraId="45927710" w14:textId="77777777" w:rsidTr="00455BB6">
        <w:tc>
          <w:tcPr>
            <w:tcW w:w="912" w:type="pct"/>
            <w:vMerge/>
            <w:vAlign w:val="center"/>
            <w:hideMark/>
          </w:tcPr>
          <w:p w14:paraId="25B318AA"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62C5FD5C"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Low</w:t>
            </w:r>
          </w:p>
        </w:tc>
        <w:tc>
          <w:tcPr>
            <w:tcW w:w="1914" w:type="pct"/>
            <w:vAlign w:val="center"/>
            <w:hideMark/>
          </w:tcPr>
          <w:p w14:paraId="609596D3"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0.2112 – 0.3008</w:t>
            </w:r>
          </w:p>
        </w:tc>
        <w:tc>
          <w:tcPr>
            <w:tcW w:w="952" w:type="pct"/>
            <w:vAlign w:val="center"/>
            <w:hideMark/>
          </w:tcPr>
          <w:p w14:paraId="65C805C6"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2</w:t>
            </w:r>
          </w:p>
        </w:tc>
      </w:tr>
      <w:tr w:rsidR="00597548" w14:paraId="209F9A10" w14:textId="77777777" w:rsidTr="00455BB6">
        <w:tc>
          <w:tcPr>
            <w:tcW w:w="912" w:type="pct"/>
            <w:vMerge/>
            <w:vAlign w:val="center"/>
            <w:hideMark/>
          </w:tcPr>
          <w:p w14:paraId="1EEE7D8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3E51656D"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Low</w:t>
            </w:r>
          </w:p>
        </w:tc>
        <w:tc>
          <w:tcPr>
            <w:tcW w:w="1914" w:type="pct"/>
            <w:vAlign w:val="center"/>
            <w:hideMark/>
          </w:tcPr>
          <w:p w14:paraId="53ACDCD7"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0.00 – 0.2111</w:t>
            </w:r>
          </w:p>
        </w:tc>
        <w:tc>
          <w:tcPr>
            <w:tcW w:w="952" w:type="pct"/>
            <w:vAlign w:val="center"/>
            <w:hideMark/>
          </w:tcPr>
          <w:p w14:paraId="29A10092"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1</w:t>
            </w:r>
          </w:p>
        </w:tc>
      </w:tr>
      <w:tr w:rsidR="00597548" w14:paraId="2570BA49" w14:textId="77777777" w:rsidTr="00455BB6">
        <w:tc>
          <w:tcPr>
            <w:tcW w:w="912" w:type="pct"/>
            <w:vMerge w:val="restart"/>
            <w:vAlign w:val="center"/>
            <w:hideMark/>
          </w:tcPr>
          <w:p w14:paraId="25E6140F"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BI</w:t>
            </w:r>
          </w:p>
        </w:tc>
        <w:tc>
          <w:tcPr>
            <w:tcW w:w="1222" w:type="pct"/>
            <w:vAlign w:val="center"/>
            <w:hideMark/>
          </w:tcPr>
          <w:p w14:paraId="069C386D"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High</w:t>
            </w:r>
          </w:p>
        </w:tc>
        <w:tc>
          <w:tcPr>
            <w:tcW w:w="1914" w:type="pct"/>
            <w:vAlign w:val="center"/>
            <w:hideMark/>
          </w:tcPr>
          <w:p w14:paraId="322D712F"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-0.58 – -0.195</w:t>
            </w:r>
          </w:p>
        </w:tc>
        <w:tc>
          <w:tcPr>
            <w:tcW w:w="952" w:type="pct"/>
            <w:vAlign w:val="center"/>
            <w:hideMark/>
          </w:tcPr>
          <w:p w14:paraId="145BEBC6"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1</w:t>
            </w:r>
          </w:p>
        </w:tc>
      </w:tr>
      <w:tr w:rsidR="00597548" w14:paraId="73D50F36" w14:textId="77777777" w:rsidTr="00455BB6">
        <w:tc>
          <w:tcPr>
            <w:tcW w:w="912" w:type="pct"/>
            <w:vMerge/>
            <w:vAlign w:val="center"/>
            <w:hideMark/>
          </w:tcPr>
          <w:p w14:paraId="70A7549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5E64148B"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High</w:t>
            </w:r>
          </w:p>
        </w:tc>
        <w:tc>
          <w:tcPr>
            <w:tcW w:w="1914" w:type="pct"/>
            <w:vAlign w:val="center"/>
            <w:hideMark/>
          </w:tcPr>
          <w:p w14:paraId="4074F8A1"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-0.194 – -0.0876</w:t>
            </w:r>
          </w:p>
        </w:tc>
        <w:tc>
          <w:tcPr>
            <w:tcW w:w="952" w:type="pct"/>
            <w:vAlign w:val="center"/>
            <w:hideMark/>
          </w:tcPr>
          <w:p w14:paraId="6273140D"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2</w:t>
            </w:r>
          </w:p>
        </w:tc>
      </w:tr>
      <w:tr w:rsidR="00597548" w14:paraId="4C7B15BE" w14:textId="77777777" w:rsidTr="00455BB6">
        <w:tc>
          <w:tcPr>
            <w:tcW w:w="912" w:type="pct"/>
            <w:vMerge/>
            <w:vAlign w:val="center"/>
            <w:hideMark/>
          </w:tcPr>
          <w:p w14:paraId="4FB5785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7FD56BE7"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Medium</w:t>
            </w:r>
          </w:p>
        </w:tc>
        <w:tc>
          <w:tcPr>
            <w:tcW w:w="1914" w:type="pct"/>
            <w:vAlign w:val="center"/>
            <w:hideMark/>
          </w:tcPr>
          <w:p w14:paraId="39996AC3"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-0.0875 – -0.0147</w:t>
            </w:r>
          </w:p>
        </w:tc>
        <w:tc>
          <w:tcPr>
            <w:tcW w:w="952" w:type="pct"/>
            <w:vAlign w:val="center"/>
            <w:hideMark/>
          </w:tcPr>
          <w:p w14:paraId="4DA19FC5"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3</w:t>
            </w:r>
          </w:p>
        </w:tc>
      </w:tr>
      <w:tr w:rsidR="00597548" w14:paraId="17CD041A" w14:textId="77777777" w:rsidTr="00455BB6">
        <w:tc>
          <w:tcPr>
            <w:tcW w:w="912" w:type="pct"/>
            <w:vMerge/>
            <w:vAlign w:val="center"/>
            <w:hideMark/>
          </w:tcPr>
          <w:p w14:paraId="28FDF75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32057102"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Low</w:t>
            </w:r>
          </w:p>
        </w:tc>
        <w:tc>
          <w:tcPr>
            <w:tcW w:w="1914" w:type="pct"/>
            <w:vAlign w:val="center"/>
            <w:hideMark/>
          </w:tcPr>
          <w:p w14:paraId="15CD355E"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0.0148 – 0.117</w:t>
            </w:r>
          </w:p>
        </w:tc>
        <w:tc>
          <w:tcPr>
            <w:tcW w:w="952" w:type="pct"/>
            <w:vAlign w:val="center"/>
            <w:hideMark/>
          </w:tcPr>
          <w:p w14:paraId="7C85103E"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4</w:t>
            </w:r>
          </w:p>
        </w:tc>
      </w:tr>
      <w:tr w:rsidR="00597548" w14:paraId="084B14B3" w14:textId="77777777" w:rsidTr="00455BB6">
        <w:tc>
          <w:tcPr>
            <w:tcW w:w="912" w:type="pct"/>
            <w:vMerge/>
            <w:vAlign w:val="center"/>
            <w:hideMark/>
          </w:tcPr>
          <w:p w14:paraId="2F230A6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6E51CFCD"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Low</w:t>
            </w:r>
          </w:p>
        </w:tc>
        <w:tc>
          <w:tcPr>
            <w:tcW w:w="1914" w:type="pct"/>
            <w:vAlign w:val="center"/>
            <w:hideMark/>
          </w:tcPr>
          <w:p w14:paraId="539DDDE3"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0.118 – 0.663</w:t>
            </w:r>
          </w:p>
        </w:tc>
        <w:tc>
          <w:tcPr>
            <w:tcW w:w="952" w:type="pct"/>
            <w:vAlign w:val="center"/>
            <w:hideMark/>
          </w:tcPr>
          <w:p w14:paraId="6A563563"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5</w:t>
            </w:r>
          </w:p>
        </w:tc>
      </w:tr>
      <w:tr w:rsidR="00597548" w14:paraId="04EF5BE8" w14:textId="77777777" w:rsidTr="00455BB6">
        <w:tc>
          <w:tcPr>
            <w:tcW w:w="912" w:type="pct"/>
            <w:vMerge w:val="restart"/>
            <w:vAlign w:val="center"/>
            <w:hideMark/>
          </w:tcPr>
          <w:p w14:paraId="4365C29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SI</w:t>
            </w:r>
          </w:p>
        </w:tc>
        <w:tc>
          <w:tcPr>
            <w:tcW w:w="1222" w:type="pct"/>
            <w:vAlign w:val="center"/>
            <w:hideMark/>
          </w:tcPr>
          <w:p w14:paraId="31E5D63F"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High</w:t>
            </w:r>
          </w:p>
        </w:tc>
        <w:tc>
          <w:tcPr>
            <w:tcW w:w="1914" w:type="pct"/>
            <w:vAlign w:val="center"/>
            <w:hideMark/>
          </w:tcPr>
          <w:p w14:paraId="5958F0BF"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0.945 – 0.978</w:t>
            </w:r>
          </w:p>
        </w:tc>
        <w:tc>
          <w:tcPr>
            <w:tcW w:w="952" w:type="pct"/>
            <w:vAlign w:val="center"/>
            <w:hideMark/>
          </w:tcPr>
          <w:p w14:paraId="4418C2A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5</w:t>
            </w:r>
          </w:p>
        </w:tc>
      </w:tr>
      <w:tr w:rsidR="00597548" w14:paraId="69A06D08" w14:textId="77777777" w:rsidTr="00455BB6">
        <w:tc>
          <w:tcPr>
            <w:tcW w:w="912" w:type="pct"/>
            <w:vMerge/>
            <w:vAlign w:val="center"/>
            <w:hideMark/>
          </w:tcPr>
          <w:p w14:paraId="6DA57658"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7FBA0E78"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High</w:t>
            </w:r>
          </w:p>
        </w:tc>
        <w:tc>
          <w:tcPr>
            <w:tcW w:w="1914" w:type="pct"/>
            <w:vAlign w:val="center"/>
            <w:hideMark/>
          </w:tcPr>
          <w:p w14:paraId="1FC9FF37"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0.926 – 0.944</w:t>
            </w:r>
          </w:p>
        </w:tc>
        <w:tc>
          <w:tcPr>
            <w:tcW w:w="952" w:type="pct"/>
            <w:vAlign w:val="center"/>
            <w:hideMark/>
          </w:tcPr>
          <w:p w14:paraId="2350B0EE"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4</w:t>
            </w:r>
          </w:p>
        </w:tc>
      </w:tr>
      <w:tr w:rsidR="00597548" w14:paraId="26E6D284" w14:textId="77777777" w:rsidTr="00455BB6">
        <w:tc>
          <w:tcPr>
            <w:tcW w:w="912" w:type="pct"/>
            <w:vMerge/>
            <w:vAlign w:val="center"/>
            <w:hideMark/>
          </w:tcPr>
          <w:p w14:paraId="4A83AC3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387196F0"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Medium</w:t>
            </w:r>
          </w:p>
        </w:tc>
        <w:tc>
          <w:tcPr>
            <w:tcW w:w="1914" w:type="pct"/>
            <w:vAlign w:val="center"/>
            <w:hideMark/>
          </w:tcPr>
          <w:p w14:paraId="78B8456F"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0.905 – 0.925</w:t>
            </w:r>
          </w:p>
        </w:tc>
        <w:tc>
          <w:tcPr>
            <w:tcW w:w="952" w:type="pct"/>
            <w:vAlign w:val="center"/>
            <w:hideMark/>
          </w:tcPr>
          <w:p w14:paraId="504CA1C5"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3</w:t>
            </w:r>
          </w:p>
        </w:tc>
      </w:tr>
      <w:tr w:rsidR="00597548" w14:paraId="4F0FC8CE" w14:textId="77777777" w:rsidTr="00455BB6">
        <w:tc>
          <w:tcPr>
            <w:tcW w:w="912" w:type="pct"/>
            <w:vMerge/>
            <w:vAlign w:val="center"/>
            <w:hideMark/>
          </w:tcPr>
          <w:p w14:paraId="0026E487"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6F19C8F6"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Low</w:t>
            </w:r>
          </w:p>
        </w:tc>
        <w:tc>
          <w:tcPr>
            <w:tcW w:w="1914" w:type="pct"/>
            <w:vAlign w:val="center"/>
            <w:hideMark/>
          </w:tcPr>
          <w:p w14:paraId="4B3F6EDE"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0.868 – 0.904</w:t>
            </w:r>
          </w:p>
        </w:tc>
        <w:tc>
          <w:tcPr>
            <w:tcW w:w="952" w:type="pct"/>
            <w:vAlign w:val="center"/>
            <w:hideMark/>
          </w:tcPr>
          <w:p w14:paraId="5B8D1948"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2</w:t>
            </w:r>
          </w:p>
        </w:tc>
      </w:tr>
      <w:tr w:rsidR="00597548" w14:paraId="4360A257" w14:textId="77777777" w:rsidTr="00455BB6">
        <w:tc>
          <w:tcPr>
            <w:tcW w:w="912" w:type="pct"/>
            <w:vMerge/>
            <w:vAlign w:val="center"/>
            <w:hideMark/>
          </w:tcPr>
          <w:p w14:paraId="2B976506"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6A0B5704"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Low</w:t>
            </w:r>
          </w:p>
        </w:tc>
        <w:tc>
          <w:tcPr>
            <w:tcW w:w="1914" w:type="pct"/>
            <w:vAlign w:val="center"/>
            <w:hideMark/>
          </w:tcPr>
          <w:p w14:paraId="50162B5D"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0.192 – 0.867</w:t>
            </w:r>
          </w:p>
        </w:tc>
        <w:tc>
          <w:tcPr>
            <w:tcW w:w="952" w:type="pct"/>
            <w:vAlign w:val="center"/>
            <w:hideMark/>
          </w:tcPr>
          <w:p w14:paraId="7D8A72BC" w14:textId="77777777" w:rsidR="00597548" w:rsidRPr="003B3FDD" w:rsidRDefault="00597548" w:rsidP="00455BB6">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1</w:t>
            </w:r>
          </w:p>
        </w:tc>
      </w:tr>
    </w:tbl>
    <w:p w14:paraId="6D40A9D0" w14:textId="41600167" w:rsidR="00597548" w:rsidRPr="003B3FDD" w:rsidRDefault="00597548" w:rsidP="00597548">
      <w:pPr>
        <w:spacing w:before="100" w:beforeAutospacing="1" w:after="100" w:afterAutospacing="1" w:line="276" w:lineRule="auto"/>
        <w:outlineLvl w:val="2"/>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Results</w:t>
      </w:r>
    </w:p>
    <w:p w14:paraId="64BF71F8" w14:textId="77777777" w:rsidR="00597548" w:rsidRPr="003B3FDD" w:rsidRDefault="00597548" w:rsidP="00597548">
      <w:pPr>
        <w:spacing w:before="100" w:beforeAutospacing="1" w:after="100" w:afterAutospacing="1" w:line="276" w:lineRule="auto"/>
        <w:outlineLvl w:val="2"/>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4.1 Land use and land cover</w:t>
      </w:r>
    </w:p>
    <w:p w14:paraId="1F841608" w14:textId="50731496" w:rsidR="00597548" w:rsidRDefault="00597548" w:rsidP="00597548">
      <w:pPr>
        <w:spacing w:before="100" w:beforeAutospacing="1" w:after="100" w:afterAutospacing="1" w:line="276" w:lineRule="auto"/>
        <w:ind w:firstLine="720"/>
        <w:jc w:val="both"/>
        <w:outlineLvl w:val="2"/>
        <w:rPr>
          <w:rFonts w:ascii="Times New Roman" w:eastAsia="Times New Roman" w:hAnsi="Times New Roman" w:cs="Times New Roman"/>
          <w:color w:val="0D0D0D" w:themeColor="text1" w:themeTint="F2"/>
          <w:sz w:val="24"/>
          <w:szCs w:val="24"/>
          <w:lang w:val="en-US" w:eastAsia="en-IN"/>
        </w:rPr>
      </w:pPr>
      <w:r w:rsidRPr="003B3FDD">
        <w:rPr>
          <w:rFonts w:ascii="Times New Roman" w:eastAsia="Times New Roman" w:hAnsi="Times New Roman" w:cs="Times New Roman"/>
          <w:color w:val="0D0D0D" w:themeColor="text1" w:themeTint="F2"/>
          <w:sz w:val="24"/>
          <w:szCs w:val="24"/>
          <w:lang w:val="en-US" w:eastAsia="en-IN"/>
        </w:rPr>
        <w:t xml:space="preserve">The geospatial analysis of </w:t>
      </w:r>
      <w:r>
        <w:rPr>
          <w:rFonts w:ascii="Times New Roman" w:eastAsia="Times New Roman" w:hAnsi="Times New Roman" w:cs="Times New Roman"/>
          <w:color w:val="0D0D0D"/>
          <w:sz w:val="24"/>
          <w:szCs w:val="24"/>
          <w:lang w:val="en-US" w:eastAsia="en-IN"/>
        </w:rPr>
        <w:t>land use/land cover</w:t>
      </w:r>
      <w:r w:rsidRPr="003B3FDD">
        <w:rPr>
          <w:rFonts w:ascii="Times New Roman" w:eastAsia="Times New Roman" w:hAnsi="Times New Roman" w:cs="Times New Roman"/>
          <w:color w:val="0D0D0D" w:themeColor="text1" w:themeTint="F2"/>
          <w:sz w:val="24"/>
          <w:szCs w:val="24"/>
          <w:lang w:val="en-US" w:eastAsia="en-IN"/>
        </w:rPr>
        <w:t xml:space="preserve"> (LULC) (</w:t>
      </w:r>
      <w:r>
        <w:rPr>
          <w:rFonts w:ascii="Times New Roman" w:eastAsia="Times New Roman" w:hAnsi="Times New Roman" w:cs="Times New Roman"/>
          <w:color w:val="0D0D0D"/>
          <w:sz w:val="24"/>
          <w:szCs w:val="24"/>
          <w:lang w:val="en-US" w:eastAsia="en-IN"/>
        </w:rPr>
        <w:t>Figs</w:t>
      </w:r>
      <w:r w:rsidRPr="003B3FDD">
        <w:rPr>
          <w:rFonts w:ascii="Times New Roman" w:eastAsia="Times New Roman" w:hAnsi="Times New Roman" w:cs="Times New Roman"/>
          <w:color w:val="0D0D0D" w:themeColor="text1" w:themeTint="F2"/>
          <w:sz w:val="24"/>
          <w:szCs w:val="24"/>
          <w:lang w:val="en-US" w:eastAsia="en-IN"/>
        </w:rPr>
        <w:t xml:space="preserve">. 2 and 3) in </w:t>
      </w:r>
      <w:proofErr w:type="spellStart"/>
      <w:r w:rsidRPr="003B3FDD">
        <w:rPr>
          <w:rFonts w:ascii="Times New Roman" w:eastAsia="Times New Roman" w:hAnsi="Times New Roman" w:cs="Times New Roman"/>
          <w:color w:val="0D0D0D" w:themeColor="text1" w:themeTint="F2"/>
          <w:sz w:val="24"/>
          <w:szCs w:val="24"/>
          <w:lang w:val="en-US" w:eastAsia="en-IN"/>
        </w:rPr>
        <w:t>Hunsur</w:t>
      </w:r>
      <w:proofErr w:type="spellEnd"/>
      <w:r w:rsidRPr="003B3FDD">
        <w:rPr>
          <w:rFonts w:ascii="Times New Roman" w:eastAsia="Times New Roman" w:hAnsi="Times New Roman" w:cs="Times New Roman"/>
          <w:color w:val="0D0D0D" w:themeColor="text1" w:themeTint="F2"/>
          <w:sz w:val="24"/>
          <w:szCs w:val="24"/>
          <w:lang w:val="en-US" w:eastAsia="en-IN"/>
        </w:rPr>
        <w:t xml:space="preserve"> Taluk indicates a predominantly agrarian landscape with substantial forest and vegetation cover. The total area is 89,722 ha. The proportional distribution of classes reveals marked spatial heterogeneity. </w:t>
      </w:r>
      <w:r>
        <w:rPr>
          <w:rFonts w:ascii="Times New Roman" w:eastAsia="Times New Roman" w:hAnsi="Times New Roman" w:cs="Times New Roman"/>
          <w:color w:val="0D0D0D"/>
          <w:sz w:val="24"/>
          <w:szCs w:val="24"/>
          <w:lang w:val="en-US" w:eastAsia="en-IN"/>
        </w:rPr>
        <w:t>Croplands constitute</w:t>
      </w:r>
      <w:r w:rsidRPr="003B3FDD">
        <w:rPr>
          <w:rFonts w:ascii="Times New Roman" w:eastAsia="Times New Roman" w:hAnsi="Times New Roman" w:cs="Times New Roman"/>
          <w:color w:val="0D0D0D" w:themeColor="text1" w:themeTint="F2"/>
          <w:sz w:val="24"/>
          <w:szCs w:val="24"/>
          <w:lang w:val="en-US" w:eastAsia="en-IN"/>
        </w:rPr>
        <w:t xml:space="preserve"> the dominant class, occupying 41,825 ha (46.60%), nearly half of the total geographical area. This statistically confirms the agricultural dependency of the taluk and indicates </w:t>
      </w:r>
      <w:r>
        <w:rPr>
          <w:rFonts w:ascii="Times New Roman" w:eastAsia="Times New Roman" w:hAnsi="Times New Roman" w:cs="Times New Roman"/>
          <w:color w:val="0D0D0D"/>
          <w:sz w:val="24"/>
          <w:szCs w:val="24"/>
          <w:lang w:val="en-US" w:eastAsia="en-IN"/>
        </w:rPr>
        <w:t xml:space="preserve">a </w:t>
      </w:r>
      <w:r w:rsidRPr="003B3FDD">
        <w:rPr>
          <w:rFonts w:ascii="Times New Roman" w:eastAsia="Times New Roman" w:hAnsi="Times New Roman" w:cs="Times New Roman"/>
          <w:color w:val="0D0D0D" w:themeColor="text1" w:themeTint="F2"/>
          <w:sz w:val="24"/>
          <w:szCs w:val="24"/>
          <w:lang w:val="en-US" w:eastAsia="en-IN"/>
        </w:rPr>
        <w:t xml:space="preserve">strong anthropogenic influence on land transformation. </w:t>
      </w:r>
      <w:r w:rsidR="00360DD7">
        <w:rPr>
          <w:rFonts w:ascii="Times New Roman" w:eastAsia="Times New Roman" w:hAnsi="Times New Roman" w:cs="Times New Roman"/>
          <w:color w:val="0D0D0D" w:themeColor="text1" w:themeTint="F2"/>
          <w:sz w:val="24"/>
          <w:szCs w:val="24"/>
          <w:lang w:val="en-US" w:eastAsia="en-IN"/>
        </w:rPr>
        <w:t>Deciduous</w:t>
      </w:r>
      <w:r w:rsidRPr="003B3FDD">
        <w:rPr>
          <w:rFonts w:ascii="Times New Roman" w:eastAsia="Times New Roman" w:hAnsi="Times New Roman" w:cs="Times New Roman"/>
          <w:color w:val="0D0D0D" w:themeColor="text1" w:themeTint="F2"/>
          <w:sz w:val="24"/>
          <w:szCs w:val="24"/>
          <w:lang w:val="en-US" w:eastAsia="en-IN"/>
        </w:rPr>
        <w:t xml:space="preserve"> forest cover accounts for 15,437 ha (17.21%), </w:t>
      </w:r>
      <w:r>
        <w:rPr>
          <w:rFonts w:ascii="Times New Roman" w:eastAsia="Times New Roman" w:hAnsi="Times New Roman" w:cs="Times New Roman"/>
          <w:color w:val="0D0D0D"/>
          <w:sz w:val="24"/>
          <w:szCs w:val="24"/>
          <w:lang w:val="en-US" w:eastAsia="en-IN"/>
        </w:rPr>
        <w:t>whereas</w:t>
      </w:r>
      <w:r w:rsidRPr="003B3FDD">
        <w:rPr>
          <w:rFonts w:ascii="Times New Roman" w:eastAsia="Times New Roman" w:hAnsi="Times New Roman" w:cs="Times New Roman"/>
          <w:color w:val="0D0D0D" w:themeColor="text1" w:themeTint="F2"/>
          <w:sz w:val="24"/>
          <w:szCs w:val="24"/>
          <w:lang w:val="en-US" w:eastAsia="en-IN"/>
        </w:rPr>
        <w:t xml:space="preserve"> scrub forest occupies 16,146 ha (18.00%). </w:t>
      </w:r>
      <w:r>
        <w:rPr>
          <w:rFonts w:ascii="Times New Roman" w:eastAsia="Times New Roman" w:hAnsi="Times New Roman" w:cs="Times New Roman"/>
          <w:color w:val="0D0D0D"/>
          <w:sz w:val="24"/>
          <w:szCs w:val="24"/>
          <w:lang w:val="en-US" w:eastAsia="en-IN"/>
        </w:rPr>
        <w:t>The plantation</w:t>
      </w:r>
      <w:r w:rsidRPr="003B3FDD">
        <w:rPr>
          <w:rFonts w:ascii="Times New Roman" w:eastAsia="Times New Roman" w:hAnsi="Times New Roman" w:cs="Times New Roman"/>
          <w:color w:val="0D0D0D" w:themeColor="text1" w:themeTint="F2"/>
          <w:sz w:val="24"/>
          <w:szCs w:val="24"/>
          <w:lang w:val="en-US" w:eastAsia="en-IN"/>
        </w:rPr>
        <w:t xml:space="preserve"> areas cover 8,331 ha (9.29%), reflecting managed forest stands. Fallow land comprises 4,411 ha (4.92%), which represent seasonal agricultural cycles. Water bodies and built-up areas account for 2.10% and 1.88%, respectively, indicating relatively limited urban expansion and stable hydrological features within the study area.</w:t>
      </w:r>
    </w:p>
    <w:p w14:paraId="69E9A36B" w14:textId="6BDDCB06" w:rsidR="001B76C4" w:rsidRPr="003B3FDD" w:rsidRDefault="001B76C4" w:rsidP="00597548">
      <w:pPr>
        <w:spacing w:before="100" w:beforeAutospacing="1" w:after="100" w:afterAutospacing="1" w:line="276" w:lineRule="auto"/>
        <w:ind w:firstLine="720"/>
        <w:jc w:val="both"/>
        <w:outlineLvl w:val="2"/>
        <w:rPr>
          <w:rFonts w:ascii="Times New Roman" w:eastAsia="Times New Roman" w:hAnsi="Times New Roman" w:cs="Times New Roman"/>
          <w:color w:val="0D0D0D" w:themeColor="text1" w:themeTint="F2"/>
          <w:sz w:val="24"/>
          <w:szCs w:val="24"/>
          <w:lang w:eastAsia="en-IN"/>
        </w:rPr>
      </w:pPr>
      <w:r w:rsidRPr="001B76C4">
        <w:rPr>
          <w:rFonts w:ascii="Times New Roman" w:eastAsia="Times New Roman" w:hAnsi="Times New Roman" w:cs="Times New Roman"/>
          <w:color w:val="0D0D0D" w:themeColor="text1" w:themeTint="F2"/>
          <w:sz w:val="24"/>
          <w:szCs w:val="24"/>
          <w:lang w:eastAsia="en-IN"/>
        </w:rPr>
        <w:t>The Random Forest model demonstrated strong predictive performance in the analysis. The obtained value of 0.78 indicates a high level of consistency and reliability in classification, while the overall accuracy of 0.82 (82.49%) reflects the model’s effectiveness in correctly distinguishing between different classes.</w:t>
      </w:r>
    </w:p>
    <w:p w14:paraId="37D8F649" w14:textId="65265721" w:rsidR="006D3599" w:rsidRPr="003B3FDD" w:rsidRDefault="008A5908" w:rsidP="006D3599">
      <w:pPr>
        <w:keepNext/>
        <w:spacing w:line="276" w:lineRule="auto"/>
        <w:jc w:val="center"/>
        <w:rPr>
          <w:color w:val="0D0D0D" w:themeColor="text1" w:themeTint="F2"/>
        </w:rPr>
      </w:pPr>
      <w:r>
        <w:rPr>
          <w:noProof/>
        </w:rPr>
        <w:lastRenderedPageBreak/>
        <w:drawing>
          <wp:inline distT="0" distB="0" distL="0" distR="0" wp14:anchorId="0AE974B1" wp14:editId="392E6CC3">
            <wp:extent cx="5038725" cy="3600450"/>
            <wp:effectExtent l="0" t="0" r="9525" b="0"/>
            <wp:docPr id="41059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93987" name=""/>
                    <pic:cNvPicPr/>
                  </pic:nvPicPr>
                  <pic:blipFill>
                    <a:blip r:embed="rId16"/>
                    <a:stretch>
                      <a:fillRect/>
                    </a:stretch>
                  </pic:blipFill>
                  <pic:spPr>
                    <a:xfrm>
                      <a:off x="0" y="0"/>
                      <a:ext cx="5038725" cy="3600450"/>
                    </a:xfrm>
                    <a:prstGeom prst="rect">
                      <a:avLst/>
                    </a:prstGeom>
                  </pic:spPr>
                </pic:pic>
              </a:graphicData>
            </a:graphic>
          </wp:inline>
        </w:drawing>
      </w:r>
    </w:p>
    <w:p w14:paraId="5B6D0028" w14:textId="7DC60C56" w:rsidR="00206331" w:rsidRPr="003B3FDD" w:rsidRDefault="006D3599" w:rsidP="006D3599">
      <w:pPr>
        <w:pStyle w:val="Caption"/>
        <w:jc w:val="center"/>
        <w:rPr>
          <w:rFonts w:ascii="Times New Roman" w:hAnsi="Times New Roman" w:cs="Times New Roman"/>
          <w:i w:val="0"/>
          <w:iCs w:val="0"/>
          <w:color w:val="0D0D0D" w:themeColor="text1" w:themeTint="F2"/>
          <w:sz w:val="36"/>
          <w:szCs w:val="36"/>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2</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LULC map of study area</w:t>
      </w:r>
    </w:p>
    <w:p w14:paraId="7EA00587" w14:textId="38133352" w:rsidR="006D3599" w:rsidRPr="003B3FDD" w:rsidRDefault="008A5908" w:rsidP="006D3599">
      <w:pPr>
        <w:pStyle w:val="ListParagraph"/>
        <w:keepNext/>
        <w:rPr>
          <w:color w:val="0D0D0D" w:themeColor="text1" w:themeTint="F2"/>
        </w:rPr>
      </w:pPr>
      <w:r>
        <w:rPr>
          <w:noProof/>
        </w:rPr>
        <w:drawing>
          <wp:inline distT="0" distB="0" distL="0" distR="0" wp14:anchorId="53A491FA" wp14:editId="6B80FEB5">
            <wp:extent cx="4695825" cy="2295525"/>
            <wp:effectExtent l="0" t="0" r="9525" b="9525"/>
            <wp:docPr id="75376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67106" name=""/>
                    <pic:cNvPicPr/>
                  </pic:nvPicPr>
                  <pic:blipFill>
                    <a:blip r:embed="rId17"/>
                    <a:stretch>
                      <a:fillRect/>
                    </a:stretch>
                  </pic:blipFill>
                  <pic:spPr>
                    <a:xfrm>
                      <a:off x="0" y="0"/>
                      <a:ext cx="4695825" cy="2295525"/>
                    </a:xfrm>
                    <a:prstGeom prst="rect">
                      <a:avLst/>
                    </a:prstGeom>
                  </pic:spPr>
                </pic:pic>
              </a:graphicData>
            </a:graphic>
          </wp:inline>
        </w:drawing>
      </w:r>
    </w:p>
    <w:p w14:paraId="5A9EF428" w14:textId="37A35BF9" w:rsidR="00EC7D88" w:rsidRPr="003B3FDD" w:rsidRDefault="006D3599" w:rsidP="006D3599">
      <w:pPr>
        <w:pStyle w:val="Caption"/>
        <w:jc w:val="center"/>
        <w:rPr>
          <w:rFonts w:ascii="Times New Roman" w:hAnsi="Times New Roman" w:cs="Times New Roman"/>
          <w:i w:val="0"/>
          <w:iCs w:val="0"/>
          <w:color w:val="0D0D0D" w:themeColor="text1" w:themeTint="F2"/>
          <w:sz w:val="24"/>
          <w:szCs w:val="24"/>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3</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Area and Percentage Distribution of Major Land Use/Land Cover (LULC) Classes in the Study Area</w:t>
      </w:r>
    </w:p>
    <w:p w14:paraId="59AF4A7F" w14:textId="4217AA15" w:rsidR="00597548" w:rsidRPr="003B3FDD" w:rsidRDefault="00597548" w:rsidP="00597548">
      <w:pPr>
        <w:spacing w:line="27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lang w:val="en-US"/>
        </w:rPr>
        <w:t>4</w:t>
      </w:r>
      <w:r w:rsidRPr="003B3FDD">
        <w:rPr>
          <w:rFonts w:ascii="Times New Roman" w:hAnsi="Times New Roman" w:cs="Times New Roman"/>
          <w:b/>
          <w:bCs/>
          <w:color w:val="0D0D0D" w:themeColor="text1" w:themeTint="F2"/>
          <w:sz w:val="24"/>
          <w:szCs w:val="24"/>
          <w:lang w:val="en-US"/>
        </w:rPr>
        <w:t>.2 NDVI</w:t>
      </w:r>
    </w:p>
    <w:p w14:paraId="34C9E2C6" w14:textId="7B7C1872" w:rsidR="00597548" w:rsidRPr="003B3FDD" w:rsidRDefault="00597548" w:rsidP="00597548">
      <w:pPr>
        <w:pStyle w:val="NormalWeb"/>
        <w:spacing w:line="276" w:lineRule="auto"/>
        <w:ind w:firstLine="720"/>
        <w:jc w:val="both"/>
        <w:rPr>
          <w:color w:val="0D0D0D" w:themeColor="text1" w:themeTint="F2"/>
        </w:rPr>
      </w:pPr>
      <w:r>
        <w:rPr>
          <w:color w:val="0D0D0D"/>
          <w:lang w:val="en-US"/>
        </w:rPr>
        <w:t>The normalized difference vegetation index</w:t>
      </w:r>
      <w:r w:rsidRPr="003B3FDD">
        <w:rPr>
          <w:color w:val="0D0D0D" w:themeColor="text1" w:themeTint="F2"/>
          <w:lang w:val="en-US"/>
        </w:rPr>
        <w:t xml:space="preserve"> (NDVI) is a widely used spectral indicator for assessing vegetation </w:t>
      </w:r>
      <w:r>
        <w:rPr>
          <w:color w:val="0D0D0D"/>
          <w:lang w:val="en-US"/>
        </w:rPr>
        <w:t>vigor</w:t>
      </w:r>
      <w:r w:rsidRPr="003B3FDD">
        <w:rPr>
          <w:color w:val="0D0D0D" w:themeColor="text1" w:themeTint="F2"/>
          <w:lang w:val="en-US"/>
        </w:rPr>
        <w:t xml:space="preserve"> and photosynthetic activity. In the present study</w:t>
      </w:r>
      <w:r>
        <w:rPr>
          <w:color w:val="0D0D0D"/>
          <w:lang w:val="en-US"/>
        </w:rPr>
        <w:t>,</w:t>
      </w:r>
      <w:r w:rsidRPr="003B3FDD">
        <w:rPr>
          <w:color w:val="0D0D0D" w:themeColor="text1" w:themeTint="F2"/>
          <w:lang w:val="en-US"/>
        </w:rPr>
        <w:t xml:space="preserve"> </w:t>
      </w:r>
      <w:r>
        <w:rPr>
          <w:color w:val="0D0D0D"/>
          <w:lang w:val="en-US"/>
        </w:rPr>
        <w:t xml:space="preserve">the </w:t>
      </w:r>
      <w:r w:rsidRPr="003B3FDD">
        <w:rPr>
          <w:color w:val="0D0D0D" w:themeColor="text1" w:themeTint="F2"/>
          <w:lang w:val="en-US"/>
        </w:rPr>
        <w:t xml:space="preserve">NDVI values </w:t>
      </w:r>
      <w:r>
        <w:rPr>
          <w:color w:val="0D0D0D"/>
          <w:lang w:val="en-US"/>
        </w:rPr>
        <w:t>ranged</w:t>
      </w:r>
      <w:r w:rsidRPr="003B3FDD">
        <w:rPr>
          <w:color w:val="0D0D0D" w:themeColor="text1" w:themeTint="F2"/>
          <w:lang w:val="en-US"/>
        </w:rPr>
        <w:t xml:space="preserve"> from </w:t>
      </w:r>
      <w:r w:rsidRPr="003B3FDD">
        <w:rPr>
          <w:rStyle w:val="Strong"/>
          <w:b w:val="0"/>
          <w:bCs w:val="0"/>
          <w:color w:val="0D0D0D" w:themeColor="text1" w:themeTint="F2"/>
          <w:lang w:val="en-US"/>
        </w:rPr>
        <w:t>−0.517</w:t>
      </w:r>
      <w:r>
        <w:rPr>
          <w:rStyle w:val="Strong"/>
          <w:color w:val="0D0D0D"/>
          <w:lang w:val="en-US"/>
        </w:rPr>
        <w:t>--</w:t>
      </w:r>
      <w:r w:rsidRPr="003B3FDD">
        <w:rPr>
          <w:rStyle w:val="Strong"/>
          <w:b w:val="0"/>
          <w:bCs w:val="0"/>
          <w:color w:val="0D0D0D" w:themeColor="text1" w:themeTint="F2"/>
          <w:lang w:val="en-US"/>
        </w:rPr>
        <w:t>+0.88</w:t>
      </w:r>
      <w:r w:rsidRPr="003B3FDD">
        <w:rPr>
          <w:color w:val="0D0D0D" w:themeColor="text1" w:themeTint="F2"/>
          <w:lang w:val="en-US"/>
        </w:rPr>
        <w:t xml:space="preserve"> (Fig. 4). The derived NDVI layer was classified into five distinct categories on </w:t>
      </w:r>
      <w:r>
        <w:rPr>
          <w:color w:val="0D0D0D"/>
          <w:lang w:val="en-US"/>
        </w:rPr>
        <w:t xml:space="preserve">the basis of </w:t>
      </w:r>
      <w:r w:rsidRPr="003B3FDD">
        <w:rPr>
          <w:color w:val="0D0D0D" w:themeColor="text1" w:themeTint="F2"/>
          <w:lang w:val="en-US"/>
        </w:rPr>
        <w:t xml:space="preserve">threshold ranges to represent varying vegetation density conditions. The </w:t>
      </w:r>
      <w:r w:rsidRPr="003B3FDD">
        <w:rPr>
          <w:rStyle w:val="Strong"/>
          <w:b w:val="0"/>
          <w:bCs w:val="0"/>
          <w:color w:val="0D0D0D" w:themeColor="text1" w:themeTint="F2"/>
          <w:lang w:val="en-US"/>
        </w:rPr>
        <w:t>very low NDVI class (−0.517 to 0.067)</w:t>
      </w:r>
      <w:r w:rsidRPr="003B3FDD">
        <w:rPr>
          <w:color w:val="0D0D0D" w:themeColor="text1" w:themeTint="F2"/>
          <w:lang w:val="en-US"/>
        </w:rPr>
        <w:t xml:space="preserve"> corresponds primarily to water bodies, barren surfaces, exposed soil, and built-up areas. The </w:t>
      </w:r>
      <w:r w:rsidRPr="003B3FDD">
        <w:rPr>
          <w:rStyle w:val="Strong"/>
          <w:b w:val="0"/>
          <w:bCs w:val="0"/>
          <w:color w:val="0D0D0D" w:themeColor="text1" w:themeTint="F2"/>
          <w:lang w:val="en-US"/>
        </w:rPr>
        <w:t>low</w:t>
      </w:r>
      <w:r>
        <w:rPr>
          <w:rStyle w:val="Strong"/>
          <w:color w:val="0D0D0D"/>
          <w:lang w:val="en-US"/>
        </w:rPr>
        <w:t>-</w:t>
      </w:r>
      <w:r w:rsidRPr="003B3FDD">
        <w:rPr>
          <w:rStyle w:val="Strong"/>
          <w:b w:val="0"/>
          <w:bCs w:val="0"/>
          <w:color w:val="0D0D0D" w:themeColor="text1" w:themeTint="F2"/>
          <w:lang w:val="en-US"/>
        </w:rPr>
        <w:t>NDVI class (0.067 to 0.365)</w:t>
      </w:r>
      <w:r w:rsidRPr="003B3FDD">
        <w:rPr>
          <w:color w:val="0D0D0D" w:themeColor="text1" w:themeTint="F2"/>
          <w:lang w:val="en-US"/>
        </w:rPr>
        <w:t xml:space="preserve"> represents sparsely vegetated areas, fallow lands, </w:t>
      </w:r>
      <w:r>
        <w:rPr>
          <w:color w:val="0D0D0D"/>
          <w:lang w:val="en-US"/>
        </w:rPr>
        <w:t xml:space="preserve">and </w:t>
      </w:r>
      <w:r w:rsidRPr="003B3FDD">
        <w:rPr>
          <w:color w:val="0D0D0D" w:themeColor="text1" w:themeTint="F2"/>
          <w:lang w:val="en-US"/>
        </w:rPr>
        <w:t xml:space="preserve">degraded scrub patches. The </w:t>
      </w:r>
      <w:r w:rsidRPr="003B3FDD">
        <w:rPr>
          <w:rStyle w:val="Strong"/>
          <w:b w:val="0"/>
          <w:bCs w:val="0"/>
          <w:color w:val="0D0D0D" w:themeColor="text1" w:themeTint="F2"/>
          <w:lang w:val="en-US"/>
        </w:rPr>
        <w:t xml:space="preserve">moderate </w:t>
      </w:r>
      <w:r w:rsidRPr="003B3FDD">
        <w:rPr>
          <w:rStyle w:val="Strong"/>
          <w:b w:val="0"/>
          <w:bCs w:val="0"/>
          <w:color w:val="0D0D0D" w:themeColor="text1" w:themeTint="F2"/>
          <w:lang w:val="en-US"/>
        </w:rPr>
        <w:lastRenderedPageBreak/>
        <w:t>NDVI class (0.366</w:t>
      </w:r>
      <w:r>
        <w:rPr>
          <w:rStyle w:val="Strong"/>
          <w:color w:val="0D0D0D"/>
          <w:lang w:val="en-US"/>
        </w:rPr>
        <w:t>--</w:t>
      </w:r>
      <w:r w:rsidRPr="003B3FDD">
        <w:rPr>
          <w:rStyle w:val="Strong"/>
          <w:b w:val="0"/>
          <w:bCs w:val="0"/>
          <w:color w:val="0D0D0D" w:themeColor="text1" w:themeTint="F2"/>
          <w:lang w:val="en-US"/>
        </w:rPr>
        <w:t>0.508)</w:t>
      </w:r>
      <w:r w:rsidRPr="003B3FDD">
        <w:rPr>
          <w:color w:val="0D0D0D" w:themeColor="text1" w:themeTint="F2"/>
          <w:lang w:val="en-US"/>
        </w:rPr>
        <w:t xml:space="preserve"> is predominantly distributed across mixed agricultural</w:t>
      </w:r>
      <w:r w:rsidR="00360DD7">
        <w:rPr>
          <w:color w:val="0D0D0D" w:themeColor="text1" w:themeTint="F2"/>
          <w:lang w:val="en-US"/>
        </w:rPr>
        <w:t xml:space="preserve"> crop</w:t>
      </w:r>
      <w:r w:rsidRPr="003B3FDD">
        <w:rPr>
          <w:color w:val="0D0D0D" w:themeColor="text1" w:themeTint="F2"/>
          <w:lang w:val="en-US"/>
        </w:rPr>
        <w:t xml:space="preserve"> lands. The </w:t>
      </w:r>
      <w:r w:rsidRPr="003B3FDD">
        <w:rPr>
          <w:rStyle w:val="Strong"/>
          <w:b w:val="0"/>
          <w:bCs w:val="0"/>
          <w:color w:val="0D0D0D" w:themeColor="text1" w:themeTint="F2"/>
          <w:lang w:val="en-US"/>
        </w:rPr>
        <w:t>high NDVI class (0.509 to 0.634)</w:t>
      </w:r>
      <w:r w:rsidRPr="003B3FDD">
        <w:rPr>
          <w:b/>
          <w:bCs/>
          <w:color w:val="0D0D0D" w:themeColor="text1" w:themeTint="F2"/>
          <w:lang w:val="en-US"/>
        </w:rPr>
        <w:t xml:space="preserve"> </w:t>
      </w:r>
      <w:r w:rsidRPr="003B3FDD">
        <w:rPr>
          <w:color w:val="0D0D0D" w:themeColor="text1" w:themeTint="F2"/>
          <w:lang w:val="en-US"/>
        </w:rPr>
        <w:t>is</w:t>
      </w:r>
      <w:r w:rsidRPr="003B3FDD">
        <w:rPr>
          <w:b/>
          <w:bCs/>
          <w:color w:val="0D0D0D" w:themeColor="text1" w:themeTint="F2"/>
          <w:lang w:val="en-US"/>
        </w:rPr>
        <w:t xml:space="preserve"> </w:t>
      </w:r>
      <w:r w:rsidRPr="003B3FDD">
        <w:rPr>
          <w:color w:val="0D0D0D" w:themeColor="text1" w:themeTint="F2"/>
          <w:lang w:val="en-US"/>
        </w:rPr>
        <w:t xml:space="preserve">associated with relatively dense vegetation cover, including well-established plantations. These areas demonstrate stronger near-infrared reflectance and active biomass accumulation. The </w:t>
      </w:r>
      <w:r w:rsidRPr="003B3FDD">
        <w:rPr>
          <w:rStyle w:val="Strong"/>
          <w:b w:val="0"/>
          <w:bCs w:val="0"/>
          <w:color w:val="0D0D0D" w:themeColor="text1" w:themeTint="F2"/>
          <w:lang w:val="en-US"/>
        </w:rPr>
        <w:t>very high NDVI class (0.635 to 0.88)</w:t>
      </w:r>
      <w:r w:rsidRPr="003B3FDD">
        <w:rPr>
          <w:color w:val="0D0D0D" w:themeColor="text1" w:themeTint="F2"/>
          <w:lang w:val="en-US"/>
        </w:rPr>
        <w:t xml:space="preserve"> indicates </w:t>
      </w:r>
      <w:r>
        <w:rPr>
          <w:color w:val="0D0D0D"/>
          <w:lang w:val="en-US"/>
        </w:rPr>
        <w:t xml:space="preserve">a </w:t>
      </w:r>
      <w:r w:rsidRPr="003B3FDD">
        <w:rPr>
          <w:color w:val="0D0D0D" w:themeColor="text1" w:themeTint="F2"/>
          <w:lang w:val="en-US"/>
        </w:rPr>
        <w:t>dense forest canopy and plantations.</w:t>
      </w:r>
    </w:p>
    <w:p w14:paraId="601E88AB" w14:textId="4000EE7A" w:rsidR="006D3599" w:rsidRPr="003B3FDD" w:rsidRDefault="008A5908" w:rsidP="006D3599">
      <w:pPr>
        <w:pStyle w:val="ListParagraph"/>
        <w:keepNext/>
        <w:spacing w:line="276" w:lineRule="auto"/>
        <w:rPr>
          <w:color w:val="0D0D0D" w:themeColor="text1" w:themeTint="F2"/>
        </w:rPr>
      </w:pPr>
      <w:r>
        <w:rPr>
          <w:noProof/>
        </w:rPr>
        <w:drawing>
          <wp:inline distT="0" distB="0" distL="0" distR="0" wp14:anchorId="7EC994B6" wp14:editId="165AF485">
            <wp:extent cx="5362575" cy="3638550"/>
            <wp:effectExtent l="0" t="0" r="9525" b="0"/>
            <wp:docPr id="950434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34822" name=""/>
                    <pic:cNvPicPr/>
                  </pic:nvPicPr>
                  <pic:blipFill>
                    <a:blip r:embed="rId18"/>
                    <a:stretch>
                      <a:fillRect/>
                    </a:stretch>
                  </pic:blipFill>
                  <pic:spPr>
                    <a:xfrm>
                      <a:off x="0" y="0"/>
                      <a:ext cx="5362575" cy="3638550"/>
                    </a:xfrm>
                    <a:prstGeom prst="rect">
                      <a:avLst/>
                    </a:prstGeom>
                  </pic:spPr>
                </pic:pic>
              </a:graphicData>
            </a:graphic>
          </wp:inline>
        </w:drawing>
      </w:r>
    </w:p>
    <w:p w14:paraId="314981FA" w14:textId="3B79EEAD" w:rsidR="00EC7D88" w:rsidRPr="003B3FDD" w:rsidRDefault="006D3599" w:rsidP="006D3599">
      <w:pPr>
        <w:pStyle w:val="Caption"/>
        <w:jc w:val="center"/>
        <w:rPr>
          <w:rFonts w:ascii="Times New Roman" w:hAnsi="Times New Roman" w:cs="Times New Roman"/>
          <w:i w:val="0"/>
          <w:iCs w:val="0"/>
          <w:noProof/>
          <w:color w:val="0D0D0D" w:themeColor="text1" w:themeTint="F2"/>
          <w:sz w:val="36"/>
          <w:szCs w:val="36"/>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4</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NDVI map of Study area</w:t>
      </w:r>
    </w:p>
    <w:p w14:paraId="0CBC6BEA" w14:textId="77777777" w:rsidR="00597548" w:rsidRPr="004B3A91" w:rsidRDefault="00597548" w:rsidP="00597548">
      <w:pPr>
        <w:pStyle w:val="NormalWeb"/>
        <w:spacing w:line="276" w:lineRule="auto"/>
        <w:rPr>
          <w:b/>
          <w:bCs/>
        </w:rPr>
      </w:pPr>
      <w:r w:rsidRPr="004B3A91">
        <w:rPr>
          <w:b/>
          <w:bCs/>
          <w:lang w:val="en-US"/>
        </w:rPr>
        <w:t>4.3 Advanced Vegetation Index (AVI)</w:t>
      </w:r>
    </w:p>
    <w:p w14:paraId="3384B1A5" w14:textId="6420B1B2" w:rsidR="00597548" w:rsidRPr="003B3FDD" w:rsidRDefault="00597548" w:rsidP="00597548">
      <w:pPr>
        <w:pStyle w:val="NormalWeb"/>
        <w:spacing w:line="276" w:lineRule="auto"/>
        <w:ind w:firstLine="720"/>
        <w:jc w:val="both"/>
        <w:rPr>
          <w:color w:val="0D0D0D" w:themeColor="text1" w:themeTint="F2"/>
        </w:rPr>
      </w:pPr>
      <w:r w:rsidRPr="00597548">
        <w:rPr>
          <w:color w:val="0D0D0D"/>
          <w:lang w:val="en-US"/>
        </w:rPr>
        <w:t>The</w:t>
      </w:r>
      <w:r>
        <w:rPr>
          <w:b/>
          <w:bCs/>
          <w:color w:val="0D0D0D"/>
          <w:lang w:val="en-US"/>
        </w:rPr>
        <w:t xml:space="preserve"> </w:t>
      </w:r>
      <w:r w:rsidRPr="003B3FDD">
        <w:rPr>
          <w:color w:val="0D0D0D" w:themeColor="text1" w:themeTint="F2"/>
          <w:lang w:val="en-US"/>
        </w:rPr>
        <w:t xml:space="preserve">AVI is a spectral reflectance-based indicator designed to enhance vegetation density estimation by incorporating </w:t>
      </w:r>
      <w:r>
        <w:rPr>
          <w:color w:val="0D0D0D"/>
          <w:lang w:val="en-US"/>
        </w:rPr>
        <w:t>nonlinear</w:t>
      </w:r>
      <w:r w:rsidRPr="003B3FDD">
        <w:rPr>
          <w:color w:val="0D0D0D" w:themeColor="text1" w:themeTint="F2"/>
          <w:lang w:val="en-US"/>
        </w:rPr>
        <w:t xml:space="preserve"> transformations of near-infrared and red band </w:t>
      </w:r>
      <w:r w:rsidR="00360DD7">
        <w:rPr>
          <w:color w:val="0D0D0D"/>
          <w:lang w:val="en-US"/>
        </w:rPr>
        <w:t>reflectance</w:t>
      </w:r>
      <w:r w:rsidRPr="003B3FDD">
        <w:rPr>
          <w:color w:val="0D0D0D" w:themeColor="text1" w:themeTint="F2"/>
          <w:lang w:val="en-US"/>
        </w:rPr>
        <w:t xml:space="preserve">. Although conceptually similar to </w:t>
      </w:r>
      <w:r>
        <w:rPr>
          <w:color w:val="0D0D0D"/>
          <w:lang w:val="en-US"/>
        </w:rPr>
        <w:t xml:space="preserve">the </w:t>
      </w:r>
      <w:r w:rsidRPr="003B3FDD">
        <w:rPr>
          <w:color w:val="0D0D0D" w:themeColor="text1" w:themeTint="F2"/>
          <w:lang w:val="en-US"/>
        </w:rPr>
        <w:t xml:space="preserve">NDVI, </w:t>
      </w:r>
      <w:r>
        <w:rPr>
          <w:color w:val="0D0D0D"/>
          <w:lang w:val="en-US"/>
        </w:rPr>
        <w:t xml:space="preserve">the </w:t>
      </w:r>
      <w:r w:rsidRPr="003B3FDD">
        <w:rPr>
          <w:color w:val="0D0D0D" w:themeColor="text1" w:themeTint="F2"/>
          <w:lang w:val="en-US"/>
        </w:rPr>
        <w:t>AVI is more sensitive to variations in high</w:t>
      </w:r>
      <w:r>
        <w:rPr>
          <w:color w:val="0D0D0D"/>
          <w:lang w:val="en-US"/>
        </w:rPr>
        <w:t>-</w:t>
      </w:r>
      <w:r w:rsidRPr="003B3FDD">
        <w:rPr>
          <w:color w:val="0D0D0D" w:themeColor="text1" w:themeTint="F2"/>
          <w:lang w:val="en-US"/>
        </w:rPr>
        <w:t>biomass regions and is particularly effective in distinguishing dense canopy structures. In the present study</w:t>
      </w:r>
      <w:r>
        <w:rPr>
          <w:color w:val="0D0D0D"/>
          <w:lang w:val="en-US"/>
        </w:rPr>
        <w:t>,</w:t>
      </w:r>
      <w:r w:rsidRPr="003B3FDD">
        <w:rPr>
          <w:color w:val="0D0D0D" w:themeColor="text1" w:themeTint="F2"/>
          <w:lang w:val="en-US"/>
        </w:rPr>
        <w:t xml:space="preserve"> the AVI values </w:t>
      </w:r>
      <w:r>
        <w:rPr>
          <w:color w:val="0D0D0D"/>
          <w:lang w:val="en-US"/>
        </w:rPr>
        <w:t>ranged</w:t>
      </w:r>
      <w:r w:rsidRPr="003B3FDD">
        <w:rPr>
          <w:color w:val="0D0D0D" w:themeColor="text1" w:themeTint="F2"/>
          <w:lang w:val="en-US"/>
        </w:rPr>
        <w:t xml:space="preserve"> from </w:t>
      </w:r>
      <w:r w:rsidRPr="003B3FDD">
        <w:rPr>
          <w:rStyle w:val="Strong"/>
          <w:b w:val="0"/>
          <w:bCs w:val="0"/>
          <w:color w:val="0D0D0D" w:themeColor="text1" w:themeTint="F2"/>
          <w:lang w:val="en-US"/>
        </w:rPr>
        <w:t>0.00 to 0.672</w:t>
      </w:r>
      <w:r w:rsidRPr="003B3FDD">
        <w:rPr>
          <w:color w:val="0D0D0D" w:themeColor="text1" w:themeTint="F2"/>
          <w:lang w:val="en-US"/>
        </w:rPr>
        <w:t xml:space="preserve"> (Fig. 5). </w:t>
      </w:r>
      <w:r>
        <w:rPr>
          <w:color w:val="0D0D0D"/>
          <w:lang w:val="en-US"/>
        </w:rPr>
        <w:t>On the basis of</w:t>
      </w:r>
      <w:r w:rsidRPr="003B3FDD">
        <w:rPr>
          <w:color w:val="0D0D0D" w:themeColor="text1" w:themeTint="F2"/>
          <w:lang w:val="en-US"/>
        </w:rPr>
        <w:t xml:space="preserve"> threshold classification, the AVI layer was categorized into five distinct classes to represent varying vegetation density conditions. The </w:t>
      </w:r>
      <w:r w:rsidRPr="003B3FDD">
        <w:rPr>
          <w:rStyle w:val="Strong"/>
          <w:b w:val="0"/>
          <w:bCs w:val="0"/>
          <w:color w:val="0D0D0D" w:themeColor="text1" w:themeTint="F2"/>
          <w:lang w:val="en-US"/>
        </w:rPr>
        <w:t>very low AVI class (0.00–0.211)</w:t>
      </w:r>
      <w:r w:rsidRPr="003B3FDD">
        <w:rPr>
          <w:color w:val="0D0D0D" w:themeColor="text1" w:themeTint="F2"/>
          <w:lang w:val="en-US"/>
        </w:rPr>
        <w:t xml:space="preserve"> corresponds primarily to water bodies, built-up areas, exposed soil, and barren surfaces. The </w:t>
      </w:r>
      <w:r w:rsidRPr="003B3FDD">
        <w:rPr>
          <w:rStyle w:val="Strong"/>
          <w:b w:val="0"/>
          <w:bCs w:val="0"/>
          <w:color w:val="0D0D0D" w:themeColor="text1" w:themeTint="F2"/>
          <w:lang w:val="en-US"/>
        </w:rPr>
        <w:t>low AVI class (0.211–0.30)</w:t>
      </w:r>
      <w:r w:rsidRPr="003B3FDD">
        <w:rPr>
          <w:color w:val="0D0D0D" w:themeColor="text1" w:themeTint="F2"/>
          <w:lang w:val="en-US"/>
        </w:rPr>
        <w:t xml:space="preserve"> is distributed across </w:t>
      </w:r>
      <w:r>
        <w:rPr>
          <w:color w:val="0D0D0D"/>
          <w:lang w:val="en-US"/>
        </w:rPr>
        <w:t xml:space="preserve">mainly </w:t>
      </w:r>
      <w:r w:rsidRPr="003B3FDD">
        <w:rPr>
          <w:color w:val="0D0D0D" w:themeColor="text1" w:themeTint="F2"/>
          <w:lang w:val="en-US"/>
        </w:rPr>
        <w:t xml:space="preserve">fallow lands, sparsely vegetated agricultural fields, and degraded scrub patches. The </w:t>
      </w:r>
      <w:r w:rsidRPr="003B3FDD">
        <w:rPr>
          <w:rStyle w:val="Strong"/>
          <w:b w:val="0"/>
          <w:bCs w:val="0"/>
          <w:color w:val="0D0D0D" w:themeColor="text1" w:themeTint="F2"/>
          <w:lang w:val="en-US"/>
        </w:rPr>
        <w:t>moderate AVI class (0.30–0.35)</w:t>
      </w:r>
      <w:r w:rsidRPr="003B3FDD">
        <w:rPr>
          <w:color w:val="0D0D0D" w:themeColor="text1" w:themeTint="F2"/>
          <w:lang w:val="en-US"/>
        </w:rPr>
        <w:t xml:space="preserve"> is observed across mixed agricultural landscapes and open forest areas, indicating moderate canopy development and seasonal crop cover. The </w:t>
      </w:r>
      <w:r w:rsidRPr="003B3FDD">
        <w:rPr>
          <w:rStyle w:val="Strong"/>
          <w:b w:val="0"/>
          <w:bCs w:val="0"/>
          <w:color w:val="0D0D0D" w:themeColor="text1" w:themeTint="F2"/>
          <w:lang w:val="en-US"/>
        </w:rPr>
        <w:t>high AVI class (0.35–0.40)</w:t>
      </w:r>
      <w:r w:rsidRPr="003B3FDD">
        <w:rPr>
          <w:color w:val="0D0D0D" w:themeColor="text1" w:themeTint="F2"/>
          <w:lang w:val="en-US"/>
        </w:rPr>
        <w:t xml:space="preserve"> represents relatively dense vegetation, including plantations. The </w:t>
      </w:r>
      <w:r w:rsidRPr="003B3FDD">
        <w:rPr>
          <w:rStyle w:val="Strong"/>
          <w:b w:val="0"/>
          <w:bCs w:val="0"/>
          <w:color w:val="0D0D0D" w:themeColor="text1" w:themeTint="F2"/>
          <w:lang w:val="en-US"/>
        </w:rPr>
        <w:t>very high AVI class (0.40–0.67)</w:t>
      </w:r>
      <w:r w:rsidRPr="003B3FDD">
        <w:rPr>
          <w:color w:val="0D0D0D" w:themeColor="text1" w:themeTint="F2"/>
          <w:lang w:val="en-US"/>
        </w:rPr>
        <w:t xml:space="preserve"> is concentrated within dense forest pockets of the taluk, indicating high biomass and well-developed canopy structures.</w:t>
      </w:r>
    </w:p>
    <w:p w14:paraId="6DE649DC" w14:textId="4C1B8B4B" w:rsidR="006D3599" w:rsidRPr="003B3FDD" w:rsidRDefault="008A5908" w:rsidP="006D3599">
      <w:pPr>
        <w:pStyle w:val="ListParagraph"/>
        <w:keepNext/>
        <w:spacing w:line="276" w:lineRule="auto"/>
        <w:rPr>
          <w:color w:val="0D0D0D" w:themeColor="text1" w:themeTint="F2"/>
        </w:rPr>
      </w:pPr>
      <w:r>
        <w:rPr>
          <w:noProof/>
        </w:rPr>
        <w:lastRenderedPageBreak/>
        <w:drawing>
          <wp:inline distT="0" distB="0" distL="0" distR="0" wp14:anchorId="57BB885F" wp14:editId="506B9354">
            <wp:extent cx="5114925" cy="3600450"/>
            <wp:effectExtent l="0" t="0" r="9525" b="0"/>
            <wp:docPr id="174050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06490" name=""/>
                    <pic:cNvPicPr/>
                  </pic:nvPicPr>
                  <pic:blipFill>
                    <a:blip r:embed="rId19"/>
                    <a:stretch>
                      <a:fillRect/>
                    </a:stretch>
                  </pic:blipFill>
                  <pic:spPr>
                    <a:xfrm>
                      <a:off x="0" y="0"/>
                      <a:ext cx="5114925" cy="3600450"/>
                    </a:xfrm>
                    <a:prstGeom prst="rect">
                      <a:avLst/>
                    </a:prstGeom>
                  </pic:spPr>
                </pic:pic>
              </a:graphicData>
            </a:graphic>
          </wp:inline>
        </w:drawing>
      </w:r>
    </w:p>
    <w:p w14:paraId="7C1E5CDC" w14:textId="6EAE6A2B" w:rsidR="00544A28" w:rsidRPr="003B3FDD" w:rsidRDefault="006D3599" w:rsidP="006D3599">
      <w:pPr>
        <w:pStyle w:val="Caption"/>
        <w:jc w:val="center"/>
        <w:rPr>
          <w:rFonts w:ascii="Times New Roman" w:hAnsi="Times New Roman" w:cs="Times New Roman"/>
          <w:i w:val="0"/>
          <w:iCs w:val="0"/>
          <w:color w:val="0D0D0D" w:themeColor="text1" w:themeTint="F2"/>
          <w:sz w:val="24"/>
          <w:szCs w:val="24"/>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5</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AVI map of study area</w:t>
      </w:r>
    </w:p>
    <w:p w14:paraId="3BF5D060" w14:textId="77777777" w:rsidR="00597548" w:rsidRPr="003B3FDD" w:rsidRDefault="00597548" w:rsidP="00597548">
      <w:pPr>
        <w:pStyle w:val="NormalWeb"/>
        <w:spacing w:line="276" w:lineRule="auto"/>
        <w:rPr>
          <w:b/>
          <w:bCs/>
          <w:color w:val="0D0D0D" w:themeColor="text1" w:themeTint="F2"/>
        </w:rPr>
      </w:pPr>
      <w:r w:rsidRPr="003B3FDD">
        <w:rPr>
          <w:b/>
          <w:bCs/>
          <w:color w:val="0D0D0D" w:themeColor="text1" w:themeTint="F2"/>
          <w:lang w:val="en-US"/>
        </w:rPr>
        <w:t>4.4 Bareness Index (BI)</w:t>
      </w:r>
    </w:p>
    <w:p w14:paraId="6047BFC0" w14:textId="77777777" w:rsidR="00597548" w:rsidRPr="003B3FDD" w:rsidRDefault="00597548" w:rsidP="00597548">
      <w:pPr>
        <w:pStyle w:val="NormalWeb"/>
        <w:spacing w:line="276" w:lineRule="auto"/>
        <w:ind w:firstLine="720"/>
        <w:jc w:val="both"/>
        <w:rPr>
          <w:color w:val="0D0D0D" w:themeColor="text1" w:themeTint="F2"/>
        </w:rPr>
      </w:pPr>
      <w:r w:rsidRPr="003B3FDD">
        <w:rPr>
          <w:color w:val="0D0D0D" w:themeColor="text1" w:themeTint="F2"/>
          <w:lang w:val="en-US"/>
        </w:rPr>
        <w:t xml:space="preserve">BI is a spectral reflectance–based indicator designed to quantify exposed soil surfaces and </w:t>
      </w:r>
      <w:proofErr w:type="spellStart"/>
      <w:r>
        <w:rPr>
          <w:color w:val="0D0D0D"/>
          <w:lang w:val="en-US"/>
        </w:rPr>
        <w:t>nonvegetated</w:t>
      </w:r>
      <w:proofErr w:type="spellEnd"/>
      <w:r w:rsidRPr="003B3FDD">
        <w:rPr>
          <w:color w:val="0D0D0D" w:themeColor="text1" w:themeTint="F2"/>
          <w:lang w:val="en-US"/>
        </w:rPr>
        <w:t xml:space="preserve"> land features. It is particularly useful in distinguishing barren land, fallow areas, and sparsely vegetated surfaces from dense vegetation cover. In the present study</w:t>
      </w:r>
      <w:r>
        <w:rPr>
          <w:color w:val="0D0D0D"/>
          <w:lang w:val="en-US"/>
        </w:rPr>
        <w:t>,</w:t>
      </w:r>
      <w:r w:rsidRPr="003B3FDD">
        <w:rPr>
          <w:color w:val="0D0D0D" w:themeColor="text1" w:themeTint="F2"/>
          <w:lang w:val="en-US"/>
        </w:rPr>
        <w:t xml:space="preserve"> the BI values </w:t>
      </w:r>
      <w:r>
        <w:rPr>
          <w:color w:val="0D0D0D"/>
          <w:lang w:val="en-US"/>
        </w:rPr>
        <w:t>ranged</w:t>
      </w:r>
      <w:r w:rsidRPr="003B3FDD">
        <w:rPr>
          <w:color w:val="0D0D0D" w:themeColor="text1" w:themeTint="F2"/>
          <w:lang w:val="en-US"/>
        </w:rPr>
        <w:t xml:space="preserve"> from </w:t>
      </w:r>
      <w:r w:rsidRPr="003B3FDD">
        <w:rPr>
          <w:rStyle w:val="Strong"/>
          <w:b w:val="0"/>
          <w:bCs w:val="0"/>
          <w:color w:val="0D0D0D" w:themeColor="text1" w:themeTint="F2"/>
          <w:lang w:val="en-US"/>
        </w:rPr>
        <w:t>−0.58</w:t>
      </w:r>
      <w:r>
        <w:rPr>
          <w:rStyle w:val="Strong"/>
          <w:color w:val="0D0D0D"/>
          <w:lang w:val="en-US"/>
        </w:rPr>
        <w:t>--</w:t>
      </w:r>
      <w:r w:rsidRPr="003B3FDD">
        <w:rPr>
          <w:rStyle w:val="Strong"/>
          <w:b w:val="0"/>
          <w:bCs w:val="0"/>
          <w:color w:val="0D0D0D" w:themeColor="text1" w:themeTint="F2"/>
          <w:lang w:val="en-US"/>
        </w:rPr>
        <w:t>+0.663</w:t>
      </w:r>
      <w:r w:rsidRPr="003B3FDD">
        <w:rPr>
          <w:color w:val="0D0D0D" w:themeColor="text1" w:themeTint="F2"/>
          <w:lang w:val="en-US"/>
        </w:rPr>
        <w:t xml:space="preserve"> (Fig. 6). </w:t>
      </w:r>
      <w:r>
        <w:rPr>
          <w:color w:val="0D0D0D"/>
          <w:lang w:val="en-US"/>
        </w:rPr>
        <w:t>On the basis of</w:t>
      </w:r>
      <w:r w:rsidRPr="003B3FDD">
        <w:rPr>
          <w:color w:val="0D0D0D" w:themeColor="text1" w:themeTint="F2"/>
          <w:lang w:val="en-US"/>
        </w:rPr>
        <w:t xml:space="preserve"> threshold segmentation, the BI layer was classified into five categories to discriminate varying degrees of soil exposure and vegetation cover. The </w:t>
      </w:r>
      <w:r w:rsidRPr="003B3FDD">
        <w:rPr>
          <w:rStyle w:val="Strong"/>
          <w:b w:val="0"/>
          <w:bCs w:val="0"/>
          <w:color w:val="0D0D0D" w:themeColor="text1" w:themeTint="F2"/>
          <w:lang w:val="en-US"/>
        </w:rPr>
        <w:t>very low BI class (−0.58 to −0.195)</w:t>
      </w:r>
      <w:r w:rsidRPr="003B3FDD">
        <w:rPr>
          <w:color w:val="0D0D0D" w:themeColor="text1" w:themeTint="F2"/>
          <w:lang w:val="en-US"/>
        </w:rPr>
        <w:t xml:space="preserve"> corresponds primarily to dense forest patches and well-established vegetation zones. The </w:t>
      </w:r>
      <w:r w:rsidRPr="003B3FDD">
        <w:rPr>
          <w:rStyle w:val="Strong"/>
          <w:b w:val="0"/>
          <w:bCs w:val="0"/>
          <w:color w:val="0D0D0D" w:themeColor="text1" w:themeTint="F2"/>
          <w:lang w:val="en-US"/>
        </w:rPr>
        <w:t>low BI class (−0.194 to −0.087)</w:t>
      </w:r>
      <w:r w:rsidRPr="003B3FDD">
        <w:rPr>
          <w:color w:val="0D0D0D" w:themeColor="text1" w:themeTint="F2"/>
          <w:lang w:val="en-US"/>
        </w:rPr>
        <w:t xml:space="preserve"> is associated </w:t>
      </w:r>
      <w:r>
        <w:rPr>
          <w:color w:val="0D0D0D"/>
          <w:lang w:val="en-US"/>
        </w:rPr>
        <w:t xml:space="preserve">mainly </w:t>
      </w:r>
      <w:r w:rsidRPr="003B3FDD">
        <w:rPr>
          <w:color w:val="0D0D0D" w:themeColor="text1" w:themeTint="F2"/>
          <w:lang w:val="en-US"/>
        </w:rPr>
        <w:t xml:space="preserve">with moderately vegetated regions, including plantation areas and </w:t>
      </w:r>
      <w:proofErr w:type="spellStart"/>
      <w:r>
        <w:rPr>
          <w:color w:val="0D0D0D"/>
          <w:lang w:val="en-US"/>
        </w:rPr>
        <w:t>semidense</w:t>
      </w:r>
      <w:proofErr w:type="spellEnd"/>
      <w:r w:rsidRPr="003B3FDD">
        <w:rPr>
          <w:color w:val="0D0D0D" w:themeColor="text1" w:themeTint="F2"/>
          <w:lang w:val="en-US"/>
        </w:rPr>
        <w:t xml:space="preserve"> forest patches. The </w:t>
      </w:r>
      <w:r w:rsidRPr="003B3FDD">
        <w:rPr>
          <w:rStyle w:val="Strong"/>
          <w:b w:val="0"/>
          <w:bCs w:val="0"/>
          <w:color w:val="0D0D0D" w:themeColor="text1" w:themeTint="F2"/>
          <w:lang w:val="en-US"/>
        </w:rPr>
        <w:t>moderate BI class (−0.087 to −0.014)</w:t>
      </w:r>
      <w:r w:rsidRPr="003B3FDD">
        <w:rPr>
          <w:color w:val="0D0D0D" w:themeColor="text1" w:themeTint="F2"/>
          <w:lang w:val="en-US"/>
        </w:rPr>
        <w:t xml:space="preserve"> represents mixed landscapes consisting of scrub vegetation, transitional forest edges, and partially cultivated agricultural land. The </w:t>
      </w:r>
      <w:r w:rsidRPr="003B3FDD">
        <w:rPr>
          <w:rStyle w:val="Strong"/>
          <w:b w:val="0"/>
          <w:bCs w:val="0"/>
          <w:color w:val="0D0D0D" w:themeColor="text1" w:themeTint="F2"/>
          <w:lang w:val="en-US"/>
        </w:rPr>
        <w:t>high BI class (0.014 to 0.11)</w:t>
      </w:r>
      <w:r w:rsidRPr="003B3FDD">
        <w:rPr>
          <w:b/>
          <w:bCs/>
          <w:color w:val="0D0D0D" w:themeColor="text1" w:themeTint="F2"/>
          <w:lang w:val="en-US"/>
        </w:rPr>
        <w:t xml:space="preserve"> </w:t>
      </w:r>
      <w:r w:rsidRPr="003B3FDD">
        <w:rPr>
          <w:color w:val="0D0D0D" w:themeColor="text1" w:themeTint="F2"/>
          <w:lang w:val="en-US"/>
        </w:rPr>
        <w:t xml:space="preserve">is distributed across fallow lands, sparsely vegetated agricultural fields, and degraded scrub regions. The </w:t>
      </w:r>
      <w:r w:rsidRPr="003B3FDD">
        <w:rPr>
          <w:rStyle w:val="Strong"/>
          <w:b w:val="0"/>
          <w:bCs w:val="0"/>
          <w:color w:val="0D0D0D" w:themeColor="text1" w:themeTint="F2"/>
          <w:lang w:val="en-US"/>
        </w:rPr>
        <w:t>very high BI class (0.118</w:t>
      </w:r>
      <w:r>
        <w:rPr>
          <w:rStyle w:val="Strong"/>
          <w:color w:val="0D0D0D"/>
          <w:lang w:val="en-US"/>
        </w:rPr>
        <w:t>--</w:t>
      </w:r>
      <w:r w:rsidRPr="003B3FDD">
        <w:rPr>
          <w:rStyle w:val="Strong"/>
          <w:b w:val="0"/>
          <w:bCs w:val="0"/>
          <w:color w:val="0D0D0D" w:themeColor="text1" w:themeTint="F2"/>
          <w:lang w:val="en-US"/>
        </w:rPr>
        <w:t>0.663)</w:t>
      </w:r>
      <w:r w:rsidRPr="003B3FDD">
        <w:rPr>
          <w:color w:val="0D0D0D" w:themeColor="text1" w:themeTint="F2"/>
          <w:lang w:val="en-US"/>
        </w:rPr>
        <w:t xml:space="preserve"> is largely confined to exposed surfaces such as barren land, river channels, built-up areas, and dry open fields.</w:t>
      </w:r>
    </w:p>
    <w:p w14:paraId="4ABAF254" w14:textId="2041F945" w:rsidR="00F10AE7" w:rsidRPr="003B3FDD" w:rsidRDefault="00256CDB" w:rsidP="00597548">
      <w:pPr>
        <w:pStyle w:val="ListParagraph"/>
      </w:pPr>
      <w:r>
        <w:rPr>
          <w:noProof/>
        </w:rPr>
        <w:lastRenderedPageBreak/>
        <w:drawing>
          <wp:inline distT="0" distB="0" distL="0" distR="0" wp14:anchorId="1E04987F" wp14:editId="315AFE1B">
            <wp:extent cx="5133975" cy="3562350"/>
            <wp:effectExtent l="0" t="0" r="9525" b="0"/>
            <wp:docPr id="1396924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24289" name=""/>
                    <pic:cNvPicPr/>
                  </pic:nvPicPr>
                  <pic:blipFill>
                    <a:blip r:embed="rId20"/>
                    <a:stretch>
                      <a:fillRect/>
                    </a:stretch>
                  </pic:blipFill>
                  <pic:spPr>
                    <a:xfrm>
                      <a:off x="0" y="0"/>
                      <a:ext cx="5133975" cy="3562350"/>
                    </a:xfrm>
                    <a:prstGeom prst="rect">
                      <a:avLst/>
                    </a:prstGeom>
                  </pic:spPr>
                </pic:pic>
              </a:graphicData>
            </a:graphic>
          </wp:inline>
        </w:drawing>
      </w:r>
    </w:p>
    <w:p w14:paraId="3A2EDD00" w14:textId="45F4A816" w:rsidR="008E01F2" w:rsidRPr="003B3FDD" w:rsidRDefault="00F10AE7" w:rsidP="00F10AE7">
      <w:pPr>
        <w:pStyle w:val="Caption"/>
        <w:jc w:val="center"/>
        <w:rPr>
          <w:rFonts w:ascii="Times New Roman" w:hAnsi="Times New Roman" w:cs="Times New Roman"/>
          <w:i w:val="0"/>
          <w:iCs w:val="0"/>
          <w:color w:val="0D0D0D" w:themeColor="text1" w:themeTint="F2"/>
          <w:sz w:val="36"/>
          <w:szCs w:val="36"/>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6</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Bareness index map of study area</w:t>
      </w:r>
    </w:p>
    <w:p w14:paraId="14F6D590" w14:textId="77777777" w:rsidR="00597548" w:rsidRPr="003B3FDD" w:rsidRDefault="00597548" w:rsidP="00597548">
      <w:pPr>
        <w:pStyle w:val="NormalWeb"/>
        <w:spacing w:line="276" w:lineRule="auto"/>
        <w:rPr>
          <w:b/>
          <w:bCs/>
          <w:color w:val="0D0D0D" w:themeColor="text1" w:themeTint="F2"/>
        </w:rPr>
      </w:pPr>
      <w:r w:rsidRPr="003B3FDD">
        <w:rPr>
          <w:b/>
          <w:bCs/>
          <w:color w:val="0D0D0D" w:themeColor="text1" w:themeTint="F2"/>
          <w:lang w:val="en-US"/>
        </w:rPr>
        <w:t>4.5 Shadow Index (SI)</w:t>
      </w:r>
    </w:p>
    <w:p w14:paraId="47A4B44B" w14:textId="77777777" w:rsidR="00256CDB" w:rsidRDefault="00597548" w:rsidP="00597548">
      <w:pPr>
        <w:pStyle w:val="NormalWeb"/>
        <w:spacing w:line="276" w:lineRule="auto"/>
        <w:ind w:firstLine="720"/>
        <w:jc w:val="both"/>
        <w:rPr>
          <w:color w:val="0D0D0D" w:themeColor="text1" w:themeTint="F2"/>
          <w:lang w:val="en-US"/>
        </w:rPr>
      </w:pPr>
      <w:r w:rsidRPr="00597548">
        <w:rPr>
          <w:color w:val="0D0D0D"/>
          <w:lang w:val="en-US"/>
        </w:rPr>
        <w:t xml:space="preserve">The </w:t>
      </w:r>
      <w:r w:rsidRPr="00597548">
        <w:rPr>
          <w:color w:val="0D0D0D" w:themeColor="text1" w:themeTint="F2"/>
          <w:lang w:val="en-US"/>
        </w:rPr>
        <w:t>SI</w:t>
      </w:r>
      <w:r w:rsidRPr="003B3FDD">
        <w:rPr>
          <w:color w:val="0D0D0D" w:themeColor="text1" w:themeTint="F2"/>
          <w:lang w:val="en-US"/>
        </w:rPr>
        <w:t xml:space="preserve"> is a spectral reflectance–based indicator used to quantify canopy shadow intensity, which is directly associated with forest structural complexity and crown closure. Dense and mature forest stands generally </w:t>
      </w:r>
      <w:r>
        <w:rPr>
          <w:color w:val="0D0D0D"/>
          <w:lang w:val="en-US"/>
        </w:rPr>
        <w:t>present relatively high</w:t>
      </w:r>
      <w:r w:rsidRPr="003B3FDD">
        <w:rPr>
          <w:color w:val="0D0D0D" w:themeColor="text1" w:themeTint="F2"/>
          <w:lang w:val="en-US"/>
        </w:rPr>
        <w:t xml:space="preserve"> SI values due to increased shadow effects produced by </w:t>
      </w:r>
      <w:r>
        <w:rPr>
          <w:color w:val="0D0D0D"/>
          <w:lang w:val="en-US"/>
        </w:rPr>
        <w:t>multilayered</w:t>
      </w:r>
      <w:r w:rsidRPr="003B3FDD">
        <w:rPr>
          <w:color w:val="0D0D0D" w:themeColor="text1" w:themeTint="F2"/>
          <w:lang w:val="en-US"/>
        </w:rPr>
        <w:t xml:space="preserve"> canopies, whereas sparse vegetation and exposed surfaces </w:t>
      </w:r>
      <w:r>
        <w:rPr>
          <w:color w:val="0D0D0D"/>
          <w:lang w:val="en-US"/>
        </w:rPr>
        <w:t>present</w:t>
      </w:r>
      <w:r w:rsidRPr="003B3FDD">
        <w:rPr>
          <w:color w:val="0D0D0D" w:themeColor="text1" w:themeTint="F2"/>
          <w:lang w:val="en-US"/>
        </w:rPr>
        <w:t xml:space="preserve"> comparatively </w:t>
      </w:r>
      <w:r>
        <w:rPr>
          <w:color w:val="0D0D0D"/>
          <w:lang w:val="en-US"/>
        </w:rPr>
        <w:t>low</w:t>
      </w:r>
      <w:r w:rsidRPr="003B3FDD">
        <w:rPr>
          <w:color w:val="0D0D0D" w:themeColor="text1" w:themeTint="F2"/>
          <w:lang w:val="en-US"/>
        </w:rPr>
        <w:t xml:space="preserve"> SI values. In the present study</w:t>
      </w:r>
      <w:r>
        <w:rPr>
          <w:color w:val="0D0D0D"/>
          <w:lang w:val="en-US"/>
        </w:rPr>
        <w:t>,</w:t>
      </w:r>
      <w:r w:rsidRPr="003B3FDD">
        <w:rPr>
          <w:color w:val="0D0D0D" w:themeColor="text1" w:themeTint="F2"/>
          <w:lang w:val="en-US"/>
        </w:rPr>
        <w:t xml:space="preserve"> the SI values </w:t>
      </w:r>
      <w:r>
        <w:rPr>
          <w:color w:val="0D0D0D"/>
          <w:lang w:val="en-US"/>
        </w:rPr>
        <w:t>ranged</w:t>
      </w:r>
      <w:r w:rsidRPr="003B3FDD">
        <w:rPr>
          <w:color w:val="0D0D0D" w:themeColor="text1" w:themeTint="F2"/>
          <w:lang w:val="en-US"/>
        </w:rPr>
        <w:t xml:space="preserve"> from </w:t>
      </w:r>
      <w:r w:rsidRPr="003B3FDD">
        <w:rPr>
          <w:rStyle w:val="Strong"/>
          <w:b w:val="0"/>
          <w:bCs w:val="0"/>
          <w:color w:val="0D0D0D" w:themeColor="text1" w:themeTint="F2"/>
          <w:lang w:val="en-US"/>
        </w:rPr>
        <w:t>0.192</w:t>
      </w:r>
      <w:r>
        <w:rPr>
          <w:rStyle w:val="Strong"/>
          <w:color w:val="0D0D0D"/>
          <w:lang w:val="en-US"/>
        </w:rPr>
        <w:t>--</w:t>
      </w:r>
      <w:r w:rsidRPr="003B3FDD">
        <w:rPr>
          <w:rStyle w:val="Strong"/>
          <w:b w:val="0"/>
          <w:bCs w:val="0"/>
          <w:color w:val="0D0D0D" w:themeColor="text1" w:themeTint="F2"/>
          <w:lang w:val="en-US"/>
        </w:rPr>
        <w:t>0.978</w:t>
      </w:r>
      <w:r w:rsidRPr="003B3FDD">
        <w:rPr>
          <w:color w:val="0D0D0D" w:themeColor="text1" w:themeTint="F2"/>
          <w:lang w:val="en-US"/>
        </w:rPr>
        <w:t xml:space="preserve"> (Fig. 7). The derived SI was classified into five categories on </w:t>
      </w:r>
      <w:r>
        <w:rPr>
          <w:color w:val="0D0D0D"/>
          <w:lang w:val="en-US"/>
        </w:rPr>
        <w:t xml:space="preserve">the basis of </w:t>
      </w:r>
      <w:r w:rsidRPr="003B3FDD">
        <w:rPr>
          <w:color w:val="0D0D0D" w:themeColor="text1" w:themeTint="F2"/>
          <w:lang w:val="en-US"/>
        </w:rPr>
        <w:t xml:space="preserve">threshold segmentation to represent varying canopy shadow intensities. The </w:t>
      </w:r>
      <w:r w:rsidRPr="003B3FDD">
        <w:rPr>
          <w:rStyle w:val="Strong"/>
          <w:b w:val="0"/>
          <w:bCs w:val="0"/>
          <w:color w:val="0D0D0D" w:themeColor="text1" w:themeTint="F2"/>
          <w:lang w:val="en-US"/>
        </w:rPr>
        <w:t>very low SI class (0.192–0.867)</w:t>
      </w:r>
      <w:r w:rsidRPr="003B3FDD">
        <w:rPr>
          <w:color w:val="0D0D0D" w:themeColor="text1" w:themeTint="F2"/>
          <w:lang w:val="en-US"/>
        </w:rPr>
        <w:t xml:space="preserve"> is associated </w:t>
      </w:r>
      <w:r>
        <w:rPr>
          <w:color w:val="0D0D0D"/>
          <w:lang w:val="en-US"/>
        </w:rPr>
        <w:t xml:space="preserve">primarily </w:t>
      </w:r>
      <w:r w:rsidRPr="003B3FDD">
        <w:rPr>
          <w:color w:val="0D0D0D" w:themeColor="text1" w:themeTint="F2"/>
          <w:lang w:val="en-US"/>
        </w:rPr>
        <w:t xml:space="preserve">with water bodies, built-up areas, agricultural fields, and exposed land surfaces. The </w:t>
      </w:r>
      <w:r w:rsidRPr="003B3FDD">
        <w:rPr>
          <w:rStyle w:val="Strong"/>
          <w:b w:val="0"/>
          <w:bCs w:val="0"/>
          <w:color w:val="0D0D0D" w:themeColor="text1" w:themeTint="F2"/>
          <w:lang w:val="en-US"/>
        </w:rPr>
        <w:t>low SI class (0.868–0.904)</w:t>
      </w:r>
      <w:r w:rsidRPr="003B3FDD">
        <w:rPr>
          <w:color w:val="0D0D0D" w:themeColor="text1" w:themeTint="F2"/>
          <w:lang w:val="en-US"/>
        </w:rPr>
        <w:t xml:space="preserve"> corresponds to sparsely vegetated regions, fallow lands, and degraded scrub patches where canopy closure is limited. The </w:t>
      </w:r>
      <w:r w:rsidRPr="003B3FDD">
        <w:rPr>
          <w:rStyle w:val="Strong"/>
          <w:b w:val="0"/>
          <w:bCs w:val="0"/>
          <w:color w:val="0D0D0D" w:themeColor="text1" w:themeTint="F2"/>
          <w:lang w:val="en-US"/>
        </w:rPr>
        <w:t>moderate SI class (0.905–0.925)</w:t>
      </w:r>
      <w:r w:rsidRPr="003B3FDD">
        <w:rPr>
          <w:color w:val="0D0D0D" w:themeColor="text1" w:themeTint="F2"/>
          <w:lang w:val="en-US"/>
        </w:rPr>
        <w:t xml:space="preserve"> represents transitional zones consisting of open forests, mixed plantations, and agricultural–forest interfaces, indicating intermediate canopy density. The </w:t>
      </w:r>
      <w:r w:rsidRPr="003B3FDD">
        <w:rPr>
          <w:rStyle w:val="Strong"/>
          <w:b w:val="0"/>
          <w:bCs w:val="0"/>
          <w:color w:val="0D0D0D" w:themeColor="text1" w:themeTint="F2"/>
          <w:lang w:val="en-US"/>
        </w:rPr>
        <w:t>high SI class (0.926–0.944)</w:t>
      </w:r>
      <w:r w:rsidRPr="003B3FDD">
        <w:rPr>
          <w:color w:val="0D0D0D" w:themeColor="text1" w:themeTint="F2"/>
          <w:lang w:val="en-US"/>
        </w:rPr>
        <w:t xml:space="preserve"> is observed within </w:t>
      </w:r>
      <w:r>
        <w:rPr>
          <w:color w:val="0D0D0D"/>
          <w:lang w:val="en-US"/>
        </w:rPr>
        <w:t>semi dense</w:t>
      </w:r>
      <w:r w:rsidRPr="003B3FDD">
        <w:rPr>
          <w:color w:val="0D0D0D" w:themeColor="text1" w:themeTint="F2"/>
          <w:lang w:val="en-US"/>
        </w:rPr>
        <w:t xml:space="preserve"> forest patches and well-established plantation zones, reflecting substantial canopy layering and increased shadow effects. The </w:t>
      </w:r>
      <w:r w:rsidRPr="003B3FDD">
        <w:rPr>
          <w:rStyle w:val="Strong"/>
          <w:b w:val="0"/>
          <w:bCs w:val="0"/>
          <w:color w:val="0D0D0D" w:themeColor="text1" w:themeTint="F2"/>
          <w:lang w:val="en-US"/>
        </w:rPr>
        <w:t>very high SI class (0.945–0.978)</w:t>
      </w:r>
      <w:r w:rsidRPr="003B3FDD">
        <w:rPr>
          <w:color w:val="0D0D0D" w:themeColor="text1" w:themeTint="F2"/>
          <w:lang w:val="en-US"/>
        </w:rPr>
        <w:t xml:space="preserve"> is concentrated within dense forest pockets of the taluk, particularly</w:t>
      </w:r>
      <w:r>
        <w:rPr>
          <w:color w:val="0D0D0D" w:themeColor="text1" w:themeTint="F2"/>
          <w:lang w:val="en-US"/>
        </w:rPr>
        <w:t xml:space="preserve"> </w:t>
      </w:r>
      <w:r w:rsidRPr="003B3FDD">
        <w:rPr>
          <w:color w:val="0D0D0D" w:themeColor="text1" w:themeTint="F2"/>
          <w:lang w:val="en-US"/>
        </w:rPr>
        <w:t>in core forest regions where canopy closure is high and structural complexity is well developed.</w:t>
      </w:r>
    </w:p>
    <w:p w14:paraId="2836A7F8" w14:textId="30CC4564" w:rsidR="006C7CE6" w:rsidRPr="00597548" w:rsidRDefault="00256CDB" w:rsidP="00597548">
      <w:pPr>
        <w:pStyle w:val="NormalWeb"/>
        <w:spacing w:line="276" w:lineRule="auto"/>
        <w:ind w:firstLine="720"/>
        <w:jc w:val="both"/>
        <w:rPr>
          <w:color w:val="0D0D0D" w:themeColor="text1" w:themeTint="F2"/>
        </w:rPr>
      </w:pPr>
      <w:r>
        <w:rPr>
          <w:noProof/>
        </w:rPr>
        <w:lastRenderedPageBreak/>
        <w:drawing>
          <wp:inline distT="0" distB="0" distL="0" distR="0" wp14:anchorId="278ED077" wp14:editId="2CE0357B">
            <wp:extent cx="5210175" cy="3590925"/>
            <wp:effectExtent l="0" t="0" r="9525" b="9525"/>
            <wp:docPr id="364321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21424" name=""/>
                    <pic:cNvPicPr/>
                  </pic:nvPicPr>
                  <pic:blipFill>
                    <a:blip r:embed="rId21"/>
                    <a:stretch>
                      <a:fillRect/>
                    </a:stretch>
                  </pic:blipFill>
                  <pic:spPr>
                    <a:xfrm>
                      <a:off x="0" y="0"/>
                      <a:ext cx="5210175" cy="3590925"/>
                    </a:xfrm>
                    <a:prstGeom prst="rect">
                      <a:avLst/>
                    </a:prstGeom>
                  </pic:spPr>
                </pic:pic>
              </a:graphicData>
            </a:graphic>
          </wp:inline>
        </w:drawing>
      </w:r>
    </w:p>
    <w:p w14:paraId="5E4B606F" w14:textId="018D0CE0" w:rsidR="008E01F2" w:rsidRPr="003B3FDD" w:rsidRDefault="006C7CE6" w:rsidP="006C7CE6">
      <w:pPr>
        <w:pStyle w:val="Caption"/>
        <w:jc w:val="center"/>
        <w:rPr>
          <w:rFonts w:ascii="Times New Roman" w:hAnsi="Times New Roman" w:cs="Times New Roman"/>
          <w:i w:val="0"/>
          <w:iCs w:val="0"/>
          <w:color w:val="0D0D0D" w:themeColor="text1" w:themeTint="F2"/>
          <w:sz w:val="36"/>
          <w:szCs w:val="36"/>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Pr="003B3FDD">
        <w:rPr>
          <w:rFonts w:ascii="Times New Roman" w:hAnsi="Times New Roman" w:cs="Times New Roman"/>
          <w:i w:val="0"/>
          <w:iCs w:val="0"/>
          <w:noProof/>
          <w:color w:val="0D0D0D" w:themeColor="text1" w:themeTint="F2"/>
          <w:sz w:val="24"/>
          <w:szCs w:val="24"/>
        </w:rPr>
        <w:t>7</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Shadow index map of study area</w:t>
      </w:r>
    </w:p>
    <w:p w14:paraId="7FC35C2B" w14:textId="77777777" w:rsidR="00597548" w:rsidRPr="00597548" w:rsidRDefault="00597548" w:rsidP="00597548">
      <w:pPr>
        <w:pStyle w:val="Heading3"/>
        <w:spacing w:line="276" w:lineRule="auto"/>
        <w:rPr>
          <w:color w:val="0D0D0D" w:themeColor="text1" w:themeTint="F2"/>
          <w:sz w:val="24"/>
          <w:szCs w:val="24"/>
        </w:rPr>
      </w:pPr>
      <w:r w:rsidRPr="00597548">
        <w:rPr>
          <w:color w:val="0D0D0D" w:themeColor="text1" w:themeTint="F2"/>
          <w:sz w:val="24"/>
          <w:szCs w:val="24"/>
          <w:lang w:val="en-US"/>
        </w:rPr>
        <w:t xml:space="preserve">4.6 Forest </w:t>
      </w:r>
      <w:r w:rsidRPr="00597548">
        <w:rPr>
          <w:color w:val="0D0D0D"/>
          <w:sz w:val="24"/>
          <w:szCs w:val="24"/>
          <w:lang w:val="en-US"/>
        </w:rPr>
        <w:t>canopy density</w:t>
      </w:r>
      <w:r w:rsidRPr="00597548">
        <w:rPr>
          <w:color w:val="0D0D0D" w:themeColor="text1" w:themeTint="F2"/>
          <w:sz w:val="24"/>
          <w:szCs w:val="24"/>
          <w:lang w:val="en-US"/>
        </w:rPr>
        <w:t xml:space="preserve"> (FCD) </w:t>
      </w:r>
      <w:r w:rsidRPr="00597548">
        <w:rPr>
          <w:color w:val="0D0D0D"/>
          <w:sz w:val="24"/>
          <w:szCs w:val="24"/>
          <w:lang w:val="en-US"/>
        </w:rPr>
        <w:t>model</w:t>
      </w:r>
    </w:p>
    <w:p w14:paraId="04B3E71E" w14:textId="77777777" w:rsidR="00597548" w:rsidRPr="003B3FDD" w:rsidRDefault="00597548" w:rsidP="00597548">
      <w:pPr>
        <w:pStyle w:val="NormalWeb"/>
        <w:spacing w:line="276" w:lineRule="auto"/>
        <w:ind w:firstLine="720"/>
        <w:jc w:val="both"/>
        <w:rPr>
          <w:color w:val="0D0D0D" w:themeColor="text1" w:themeTint="F2"/>
        </w:rPr>
      </w:pPr>
      <w:r w:rsidRPr="003B3FDD">
        <w:rPr>
          <w:color w:val="0D0D0D" w:themeColor="text1" w:themeTint="F2"/>
          <w:lang w:val="en-US"/>
        </w:rPr>
        <w:t>The Forest Canopy Density (FCD) model (Fig.</w:t>
      </w:r>
      <w:r>
        <w:rPr>
          <w:color w:val="0D0D0D"/>
          <w:lang w:val="en-US"/>
        </w:rPr>
        <w:t xml:space="preserve"> </w:t>
      </w:r>
      <w:r w:rsidRPr="003B3FDD">
        <w:rPr>
          <w:color w:val="0D0D0D" w:themeColor="text1" w:themeTint="F2"/>
          <w:lang w:val="en-US"/>
        </w:rPr>
        <w:t xml:space="preserve">8) for </w:t>
      </w:r>
      <w:proofErr w:type="spellStart"/>
      <w:r w:rsidRPr="003B3FDD">
        <w:rPr>
          <w:color w:val="0D0D0D" w:themeColor="text1" w:themeTint="F2"/>
          <w:lang w:val="en-US"/>
        </w:rPr>
        <w:t>Hunsur</w:t>
      </w:r>
      <w:proofErr w:type="spellEnd"/>
      <w:r w:rsidRPr="003B3FDD">
        <w:rPr>
          <w:color w:val="0D0D0D" w:themeColor="text1" w:themeTint="F2"/>
          <w:lang w:val="en-US"/>
        </w:rPr>
        <w:t xml:space="preserve"> Taluk was developed through the integration of four spectral indices</w:t>
      </w:r>
      <w:r>
        <w:rPr>
          <w:color w:val="0D0D0D"/>
          <w:lang w:val="en-US"/>
        </w:rPr>
        <w:t>, namely, the normalized difference vegetation index (NDVI), advanced vegetation index (AVI), bareness index (BI), and shadow index (SI), by considering the LULC of plantations, shrubs and deciduous forests</w:t>
      </w:r>
      <w:r w:rsidRPr="003B3FDD">
        <w:rPr>
          <w:color w:val="0D0D0D" w:themeColor="text1" w:themeTint="F2"/>
          <w:lang w:val="en-US"/>
        </w:rPr>
        <w:t xml:space="preserve">. A weighted overlay analysis approach was employed to synthesize these indices, wherein relative weights were assigned according to their ecological significance and contribution to canopy characterization. This </w:t>
      </w:r>
      <w:r>
        <w:rPr>
          <w:color w:val="0D0D0D"/>
          <w:lang w:val="en-US"/>
        </w:rPr>
        <w:t>multicriteria</w:t>
      </w:r>
      <w:r w:rsidRPr="003B3FDD">
        <w:rPr>
          <w:color w:val="0D0D0D" w:themeColor="text1" w:themeTint="F2"/>
          <w:lang w:val="en-US"/>
        </w:rPr>
        <w:t xml:space="preserve"> integration enhances model robustness and minimizes bias associated with single-index estimation. The computed FCD values range from </w:t>
      </w:r>
      <w:r w:rsidRPr="003B3FDD">
        <w:rPr>
          <w:rStyle w:val="Strong"/>
          <w:b w:val="0"/>
          <w:bCs w:val="0"/>
          <w:color w:val="0D0D0D" w:themeColor="text1" w:themeTint="F2"/>
          <w:lang w:val="en-US"/>
        </w:rPr>
        <w:t>7.49 to 80.75</w:t>
      </w:r>
      <w:r w:rsidRPr="003B3FDD">
        <w:rPr>
          <w:b/>
          <w:bCs/>
          <w:color w:val="0D0D0D" w:themeColor="text1" w:themeTint="F2"/>
          <w:lang w:val="en-US"/>
        </w:rPr>
        <w:t xml:space="preserve">, </w:t>
      </w:r>
      <w:r w:rsidRPr="003B3FDD">
        <w:rPr>
          <w:color w:val="0D0D0D" w:themeColor="text1" w:themeTint="F2"/>
          <w:lang w:val="en-US"/>
        </w:rPr>
        <w:t xml:space="preserve">indicating substantial spatial variability in canopy cover across the taluk. </w:t>
      </w:r>
      <w:r>
        <w:rPr>
          <w:color w:val="0D0D0D"/>
          <w:lang w:val="en-US"/>
        </w:rPr>
        <w:t>On the basis of</w:t>
      </w:r>
      <w:r w:rsidRPr="003B3FDD">
        <w:rPr>
          <w:color w:val="0D0D0D" w:themeColor="text1" w:themeTint="F2"/>
          <w:lang w:val="en-US"/>
        </w:rPr>
        <w:t xml:space="preserve"> threshold segmentation, the FCD output was classified into five canopy density classes (</w:t>
      </w:r>
      <w:r>
        <w:rPr>
          <w:color w:val="0D0D0D"/>
          <w:lang w:val="en-US"/>
        </w:rPr>
        <w:t>Classes</w:t>
      </w:r>
      <w:r w:rsidRPr="003B3FDD">
        <w:rPr>
          <w:color w:val="0D0D0D" w:themeColor="text1" w:themeTint="F2"/>
          <w:lang w:val="en-US"/>
        </w:rPr>
        <w:t xml:space="preserve"> I–V), </w:t>
      </w:r>
      <w:r>
        <w:rPr>
          <w:color w:val="0D0D0D"/>
          <w:lang w:val="en-US"/>
        </w:rPr>
        <w:t>which represented</w:t>
      </w:r>
      <w:r w:rsidRPr="003B3FDD">
        <w:rPr>
          <w:color w:val="0D0D0D" w:themeColor="text1" w:themeTint="F2"/>
          <w:lang w:val="en-US"/>
        </w:rPr>
        <w:t xml:space="preserve"> a gradient from very low to very high canopy density.</w:t>
      </w:r>
    </w:p>
    <w:p w14:paraId="3323ABC2" w14:textId="77777777" w:rsidR="00597548" w:rsidRPr="003B3FDD" w:rsidRDefault="00597548" w:rsidP="00597548">
      <w:pPr>
        <w:pStyle w:val="Caption"/>
        <w:keepNext/>
        <w:rPr>
          <w:rFonts w:ascii="Times New Roman" w:hAnsi="Times New Roman" w:cs="Times New Roman"/>
          <w:i w:val="0"/>
          <w:iCs w:val="0"/>
          <w:color w:val="0D0D0D" w:themeColor="text1" w:themeTint="F2"/>
          <w:sz w:val="24"/>
          <w:szCs w:val="24"/>
        </w:rPr>
      </w:pPr>
      <w:r w:rsidRPr="003B3FDD">
        <w:rPr>
          <w:rFonts w:ascii="Times New Roman" w:hAnsi="Times New Roman" w:cs="Times New Roman"/>
          <w:i w:val="0"/>
          <w:iCs w:val="0"/>
          <w:color w:val="0D0D0D" w:themeColor="text1" w:themeTint="F2"/>
          <w:sz w:val="24"/>
          <w:szCs w:val="24"/>
          <w:lang w:val="en-US"/>
        </w:rPr>
        <w:t xml:space="preserve">Table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lang w:val="en-US"/>
        </w:rPr>
        <w:instrText xml:space="preserve"> SEQ Table \* ARABIC </w:instrText>
      </w:r>
      <w:r w:rsidRPr="003B3FDD">
        <w:rPr>
          <w:rFonts w:ascii="Times New Roman" w:hAnsi="Times New Roman" w:cs="Times New Roman"/>
          <w:i w:val="0"/>
          <w:iCs w:val="0"/>
          <w:color w:val="0D0D0D" w:themeColor="text1" w:themeTint="F2"/>
          <w:sz w:val="24"/>
          <w:szCs w:val="24"/>
        </w:rPr>
        <w:fldChar w:fldCharType="separate"/>
      </w:r>
      <w:r w:rsidRPr="003B3FDD">
        <w:rPr>
          <w:rFonts w:ascii="Times New Roman" w:hAnsi="Times New Roman" w:cs="Times New Roman"/>
          <w:i w:val="0"/>
          <w:iCs w:val="0"/>
          <w:noProof/>
          <w:color w:val="0D0D0D" w:themeColor="text1" w:themeTint="F2"/>
          <w:sz w:val="24"/>
          <w:szCs w:val="24"/>
          <w:lang w:val="en-US"/>
        </w:rPr>
        <w:t>2</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lang w:val="en-US"/>
        </w:rPr>
        <w:t xml:space="preserve">: Area and percentage </w:t>
      </w:r>
      <w:r>
        <w:rPr>
          <w:rFonts w:ascii="Times New Roman" w:eastAsia="Calibri" w:hAnsi="Times New Roman" w:cs="Times New Roman"/>
          <w:i w:val="0"/>
          <w:iCs w:val="0"/>
          <w:color w:val="0D0D0D"/>
          <w:sz w:val="24"/>
          <w:szCs w:val="24"/>
          <w:lang w:val="en-US"/>
        </w:rPr>
        <w:t>distributions of forest canopy density</w:t>
      </w:r>
      <w:r w:rsidRPr="003B3FDD">
        <w:rPr>
          <w:rFonts w:ascii="Times New Roman" w:hAnsi="Times New Roman" w:cs="Times New Roman"/>
          <w:i w:val="0"/>
          <w:iCs w:val="0"/>
          <w:color w:val="0D0D0D" w:themeColor="text1" w:themeTint="F2"/>
          <w:sz w:val="24"/>
          <w:szCs w:val="24"/>
          <w:lang w:val="en-US"/>
        </w:rPr>
        <w:t xml:space="preserve"> classes in the study area</w:t>
      </w:r>
    </w:p>
    <w:tbl>
      <w:tblPr>
        <w:tblStyle w:val="TableGrid"/>
        <w:tblW w:w="5000" w:type="pct"/>
        <w:tblLook w:val="04A0" w:firstRow="1" w:lastRow="0" w:firstColumn="1" w:lastColumn="0" w:noHBand="0" w:noVBand="1"/>
      </w:tblPr>
      <w:tblGrid>
        <w:gridCol w:w="1364"/>
        <w:gridCol w:w="1165"/>
        <w:gridCol w:w="3157"/>
        <w:gridCol w:w="1325"/>
        <w:gridCol w:w="2005"/>
      </w:tblGrid>
      <w:tr w:rsidR="003B3FDD" w:rsidRPr="003B3FDD" w14:paraId="10985E46" w14:textId="77777777" w:rsidTr="006C7CE6">
        <w:tc>
          <w:tcPr>
            <w:tcW w:w="756" w:type="pct"/>
            <w:vAlign w:val="center"/>
            <w:hideMark/>
          </w:tcPr>
          <w:p w14:paraId="0EC6F7FF" w14:textId="77777777" w:rsidR="00B15DA9" w:rsidRPr="003B3FDD" w:rsidRDefault="00B15DA9" w:rsidP="00597548">
            <w:pPr>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Serial No.</w:t>
            </w:r>
          </w:p>
        </w:tc>
        <w:tc>
          <w:tcPr>
            <w:tcW w:w="646" w:type="pct"/>
            <w:vAlign w:val="center"/>
          </w:tcPr>
          <w:p w14:paraId="549B6B80" w14:textId="7F946F28" w:rsidR="00B15DA9" w:rsidRPr="003B3FDD" w:rsidRDefault="002515B6" w:rsidP="00597548">
            <w:pPr>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Class</w:t>
            </w:r>
          </w:p>
        </w:tc>
        <w:tc>
          <w:tcPr>
            <w:tcW w:w="1751" w:type="pct"/>
            <w:vAlign w:val="center"/>
            <w:hideMark/>
          </w:tcPr>
          <w:p w14:paraId="02249D06" w14:textId="4406D162" w:rsidR="00B15DA9" w:rsidRPr="003B3FDD" w:rsidRDefault="00B15DA9" w:rsidP="00597548">
            <w:pPr>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Canopy Density Class</w:t>
            </w:r>
          </w:p>
        </w:tc>
        <w:tc>
          <w:tcPr>
            <w:tcW w:w="735" w:type="pct"/>
            <w:vAlign w:val="center"/>
            <w:hideMark/>
          </w:tcPr>
          <w:p w14:paraId="51A8A92C" w14:textId="77777777" w:rsidR="00B15DA9" w:rsidRPr="003B3FDD" w:rsidRDefault="00B15DA9" w:rsidP="00597548">
            <w:pPr>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Area (ha)</w:t>
            </w:r>
          </w:p>
        </w:tc>
        <w:tc>
          <w:tcPr>
            <w:tcW w:w="1112" w:type="pct"/>
            <w:vAlign w:val="center"/>
            <w:hideMark/>
          </w:tcPr>
          <w:p w14:paraId="4E6EED74" w14:textId="77777777" w:rsidR="00B15DA9" w:rsidRPr="003B3FDD" w:rsidRDefault="00B15DA9" w:rsidP="00597548">
            <w:pPr>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Percentage (%)</w:t>
            </w:r>
          </w:p>
        </w:tc>
      </w:tr>
      <w:tr w:rsidR="003B3FDD" w:rsidRPr="003B3FDD" w14:paraId="27ED5DC7" w14:textId="77777777" w:rsidTr="006C7CE6">
        <w:tc>
          <w:tcPr>
            <w:tcW w:w="756" w:type="pct"/>
            <w:vAlign w:val="center"/>
            <w:hideMark/>
          </w:tcPr>
          <w:p w14:paraId="406562D2"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1</w:t>
            </w:r>
          </w:p>
        </w:tc>
        <w:tc>
          <w:tcPr>
            <w:tcW w:w="646" w:type="pct"/>
            <w:vAlign w:val="center"/>
          </w:tcPr>
          <w:p w14:paraId="397C948F" w14:textId="1BC3187E"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Class I</w:t>
            </w:r>
          </w:p>
        </w:tc>
        <w:tc>
          <w:tcPr>
            <w:tcW w:w="1751" w:type="pct"/>
            <w:vAlign w:val="center"/>
            <w:hideMark/>
          </w:tcPr>
          <w:p w14:paraId="0C8CDF65" w14:textId="4DC3C23A"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Very Low Canopy Density</w:t>
            </w:r>
          </w:p>
        </w:tc>
        <w:tc>
          <w:tcPr>
            <w:tcW w:w="735" w:type="pct"/>
            <w:vAlign w:val="center"/>
            <w:hideMark/>
          </w:tcPr>
          <w:p w14:paraId="1362D5A6"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7,744</w:t>
            </w:r>
          </w:p>
        </w:tc>
        <w:tc>
          <w:tcPr>
            <w:tcW w:w="1112" w:type="pct"/>
            <w:vAlign w:val="center"/>
            <w:hideMark/>
          </w:tcPr>
          <w:p w14:paraId="51AAFE5F"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19.40%</w:t>
            </w:r>
          </w:p>
        </w:tc>
      </w:tr>
      <w:tr w:rsidR="003B3FDD" w:rsidRPr="003B3FDD" w14:paraId="22AF838D" w14:textId="77777777" w:rsidTr="006C7CE6">
        <w:tc>
          <w:tcPr>
            <w:tcW w:w="756" w:type="pct"/>
            <w:vAlign w:val="center"/>
            <w:hideMark/>
          </w:tcPr>
          <w:p w14:paraId="583357E9"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2</w:t>
            </w:r>
          </w:p>
        </w:tc>
        <w:tc>
          <w:tcPr>
            <w:tcW w:w="646" w:type="pct"/>
            <w:vAlign w:val="center"/>
          </w:tcPr>
          <w:p w14:paraId="16CCA415" w14:textId="30C299A6"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Class II</w:t>
            </w:r>
          </w:p>
        </w:tc>
        <w:tc>
          <w:tcPr>
            <w:tcW w:w="1751" w:type="pct"/>
            <w:vAlign w:val="center"/>
            <w:hideMark/>
          </w:tcPr>
          <w:p w14:paraId="44C05D76" w14:textId="69AE0331"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Low Canopy Density</w:t>
            </w:r>
          </w:p>
        </w:tc>
        <w:tc>
          <w:tcPr>
            <w:tcW w:w="735" w:type="pct"/>
            <w:vAlign w:val="center"/>
            <w:hideMark/>
          </w:tcPr>
          <w:p w14:paraId="22CE4D36"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9,271</w:t>
            </w:r>
          </w:p>
        </w:tc>
        <w:tc>
          <w:tcPr>
            <w:tcW w:w="1112" w:type="pct"/>
            <w:vAlign w:val="center"/>
            <w:hideMark/>
          </w:tcPr>
          <w:p w14:paraId="5F74E62F"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23.23%</w:t>
            </w:r>
          </w:p>
        </w:tc>
      </w:tr>
      <w:tr w:rsidR="003B3FDD" w:rsidRPr="003B3FDD" w14:paraId="1FE734DF" w14:textId="77777777" w:rsidTr="006C7CE6">
        <w:tc>
          <w:tcPr>
            <w:tcW w:w="756" w:type="pct"/>
            <w:vAlign w:val="center"/>
            <w:hideMark/>
          </w:tcPr>
          <w:p w14:paraId="42566FF8"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3</w:t>
            </w:r>
          </w:p>
        </w:tc>
        <w:tc>
          <w:tcPr>
            <w:tcW w:w="646" w:type="pct"/>
            <w:vAlign w:val="center"/>
          </w:tcPr>
          <w:p w14:paraId="221FB29A" w14:textId="0DD49E1E"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Class III</w:t>
            </w:r>
          </w:p>
        </w:tc>
        <w:tc>
          <w:tcPr>
            <w:tcW w:w="1751" w:type="pct"/>
            <w:vAlign w:val="center"/>
            <w:hideMark/>
          </w:tcPr>
          <w:p w14:paraId="09125C55" w14:textId="258EE894"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Moderate Canopy Density</w:t>
            </w:r>
          </w:p>
        </w:tc>
        <w:tc>
          <w:tcPr>
            <w:tcW w:w="735" w:type="pct"/>
            <w:vAlign w:val="center"/>
            <w:hideMark/>
          </w:tcPr>
          <w:p w14:paraId="206CD730"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7,211</w:t>
            </w:r>
          </w:p>
        </w:tc>
        <w:tc>
          <w:tcPr>
            <w:tcW w:w="1112" w:type="pct"/>
            <w:vAlign w:val="center"/>
            <w:hideMark/>
          </w:tcPr>
          <w:p w14:paraId="0A8809A8"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18.07%</w:t>
            </w:r>
          </w:p>
        </w:tc>
      </w:tr>
      <w:tr w:rsidR="003B3FDD" w:rsidRPr="003B3FDD" w14:paraId="2024BA2E" w14:textId="77777777" w:rsidTr="006C7CE6">
        <w:tc>
          <w:tcPr>
            <w:tcW w:w="756" w:type="pct"/>
            <w:vAlign w:val="center"/>
            <w:hideMark/>
          </w:tcPr>
          <w:p w14:paraId="03E40364"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4</w:t>
            </w:r>
          </w:p>
        </w:tc>
        <w:tc>
          <w:tcPr>
            <w:tcW w:w="646" w:type="pct"/>
            <w:vAlign w:val="center"/>
          </w:tcPr>
          <w:p w14:paraId="4A59DB36" w14:textId="72D77C56"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Class IV</w:t>
            </w:r>
          </w:p>
        </w:tc>
        <w:tc>
          <w:tcPr>
            <w:tcW w:w="1751" w:type="pct"/>
            <w:vAlign w:val="center"/>
            <w:hideMark/>
          </w:tcPr>
          <w:p w14:paraId="5D62C587" w14:textId="40162279"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High Canopy Density</w:t>
            </w:r>
          </w:p>
        </w:tc>
        <w:tc>
          <w:tcPr>
            <w:tcW w:w="735" w:type="pct"/>
            <w:vAlign w:val="center"/>
            <w:hideMark/>
          </w:tcPr>
          <w:p w14:paraId="3140C0B5"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7,770</w:t>
            </w:r>
          </w:p>
        </w:tc>
        <w:tc>
          <w:tcPr>
            <w:tcW w:w="1112" w:type="pct"/>
            <w:vAlign w:val="center"/>
            <w:hideMark/>
          </w:tcPr>
          <w:p w14:paraId="1C2DB27A"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19.47%</w:t>
            </w:r>
          </w:p>
        </w:tc>
      </w:tr>
      <w:tr w:rsidR="003B3FDD" w:rsidRPr="003B3FDD" w14:paraId="725A596A" w14:textId="77777777" w:rsidTr="006C7CE6">
        <w:tc>
          <w:tcPr>
            <w:tcW w:w="756" w:type="pct"/>
            <w:vAlign w:val="center"/>
            <w:hideMark/>
          </w:tcPr>
          <w:p w14:paraId="3C07319B"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5</w:t>
            </w:r>
          </w:p>
        </w:tc>
        <w:tc>
          <w:tcPr>
            <w:tcW w:w="646" w:type="pct"/>
            <w:vAlign w:val="center"/>
          </w:tcPr>
          <w:p w14:paraId="2909A232" w14:textId="0F05F6BD"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Class V</w:t>
            </w:r>
          </w:p>
        </w:tc>
        <w:tc>
          <w:tcPr>
            <w:tcW w:w="1751" w:type="pct"/>
            <w:vAlign w:val="center"/>
            <w:hideMark/>
          </w:tcPr>
          <w:p w14:paraId="7B06D84E" w14:textId="14884C0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Very High Canopy Density</w:t>
            </w:r>
          </w:p>
        </w:tc>
        <w:tc>
          <w:tcPr>
            <w:tcW w:w="735" w:type="pct"/>
            <w:vAlign w:val="center"/>
            <w:hideMark/>
          </w:tcPr>
          <w:p w14:paraId="50A50FBC"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7,917</w:t>
            </w:r>
          </w:p>
        </w:tc>
        <w:tc>
          <w:tcPr>
            <w:tcW w:w="1112" w:type="pct"/>
            <w:vAlign w:val="center"/>
            <w:hideMark/>
          </w:tcPr>
          <w:p w14:paraId="6759929C"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19.83%</w:t>
            </w:r>
          </w:p>
        </w:tc>
      </w:tr>
    </w:tbl>
    <w:p w14:paraId="0F692DAA" w14:textId="77777777" w:rsidR="00597548" w:rsidRPr="003B3FDD" w:rsidRDefault="00597548" w:rsidP="00597548">
      <w:pPr>
        <w:pStyle w:val="NormalWeb"/>
        <w:spacing w:line="276" w:lineRule="auto"/>
        <w:ind w:firstLine="720"/>
        <w:jc w:val="both"/>
        <w:rPr>
          <w:color w:val="0D0D0D" w:themeColor="text1" w:themeTint="F2"/>
        </w:rPr>
      </w:pPr>
      <w:r w:rsidRPr="003B3FDD">
        <w:rPr>
          <w:color w:val="0D0D0D" w:themeColor="text1" w:themeTint="F2"/>
          <w:lang w:val="en-US"/>
        </w:rPr>
        <w:lastRenderedPageBreak/>
        <w:t xml:space="preserve">The </w:t>
      </w:r>
      <w:r>
        <w:rPr>
          <w:color w:val="0D0D0D"/>
          <w:lang w:val="en-US"/>
        </w:rPr>
        <w:t>distributions</w:t>
      </w:r>
      <w:r w:rsidRPr="003B3FDD">
        <w:rPr>
          <w:color w:val="0D0D0D" w:themeColor="text1" w:themeTint="F2"/>
          <w:lang w:val="en-US"/>
        </w:rPr>
        <w:t xml:space="preserve"> of </w:t>
      </w:r>
      <w:r>
        <w:rPr>
          <w:color w:val="0D0D0D"/>
          <w:lang w:val="en-US"/>
        </w:rPr>
        <w:t xml:space="preserve">the </w:t>
      </w:r>
      <w:r w:rsidRPr="003B3FDD">
        <w:rPr>
          <w:color w:val="0D0D0D" w:themeColor="text1" w:themeTint="F2"/>
          <w:lang w:val="en-US"/>
        </w:rPr>
        <w:t xml:space="preserve">FCD model values indicate that low canopy density </w:t>
      </w:r>
      <w:r>
        <w:rPr>
          <w:color w:val="0D0D0D"/>
          <w:lang w:val="en-US"/>
        </w:rPr>
        <w:t>accounts for</w:t>
      </w:r>
      <w:r w:rsidRPr="003B3FDD">
        <w:rPr>
          <w:color w:val="0D0D0D" w:themeColor="text1" w:themeTint="F2"/>
          <w:lang w:val="en-US"/>
        </w:rPr>
        <w:t xml:space="preserve"> the largest proportion (23.23%), </w:t>
      </w:r>
      <w:r>
        <w:rPr>
          <w:color w:val="0D0D0D"/>
          <w:lang w:val="en-US"/>
        </w:rPr>
        <w:t>whereas</w:t>
      </w:r>
      <w:r w:rsidRPr="003B3FDD">
        <w:rPr>
          <w:color w:val="0D0D0D" w:themeColor="text1" w:themeTint="F2"/>
          <w:lang w:val="en-US"/>
        </w:rPr>
        <w:t xml:space="preserve"> moderate canopy density </w:t>
      </w:r>
      <w:r>
        <w:rPr>
          <w:color w:val="0D0D0D"/>
          <w:lang w:val="en-US"/>
        </w:rPr>
        <w:t>accounts for</w:t>
      </w:r>
      <w:r w:rsidRPr="003B3FDD">
        <w:rPr>
          <w:color w:val="0D0D0D" w:themeColor="text1" w:themeTint="F2"/>
          <w:lang w:val="en-US"/>
        </w:rPr>
        <w:t xml:space="preserve"> the smallest share (18.07%). The relatively balanced </w:t>
      </w:r>
      <w:r>
        <w:rPr>
          <w:color w:val="0D0D0D"/>
          <w:lang w:val="en-US"/>
        </w:rPr>
        <w:t>distributions</w:t>
      </w:r>
      <w:r w:rsidRPr="003B3FDD">
        <w:rPr>
          <w:color w:val="0D0D0D" w:themeColor="text1" w:themeTint="F2"/>
          <w:lang w:val="en-US"/>
        </w:rPr>
        <w:t xml:space="preserve"> among </w:t>
      </w:r>
      <w:r>
        <w:rPr>
          <w:color w:val="0D0D0D"/>
          <w:lang w:val="en-US"/>
        </w:rPr>
        <w:t xml:space="preserve">the </w:t>
      </w:r>
      <w:r w:rsidRPr="003B3FDD">
        <w:rPr>
          <w:color w:val="0D0D0D" w:themeColor="text1" w:themeTint="F2"/>
          <w:lang w:val="en-US"/>
        </w:rPr>
        <w:t xml:space="preserve">high (19.47%) and very high (19.83%) canopy classes </w:t>
      </w:r>
      <w:r>
        <w:rPr>
          <w:color w:val="0D0D0D"/>
          <w:lang w:val="en-US"/>
        </w:rPr>
        <w:t>suggest</w:t>
      </w:r>
      <w:r w:rsidRPr="003B3FDD">
        <w:rPr>
          <w:color w:val="0D0D0D" w:themeColor="text1" w:themeTint="F2"/>
          <w:lang w:val="en-US"/>
        </w:rPr>
        <w:t xml:space="preserve"> the presence of substantial dense forest patches within the taluk.</w:t>
      </w:r>
    </w:p>
    <w:p w14:paraId="26C049B2" w14:textId="0F3E7540" w:rsidR="006C7CE6" w:rsidRPr="003B3FDD" w:rsidRDefault="00256CDB" w:rsidP="006C7CE6">
      <w:pPr>
        <w:pStyle w:val="Caption"/>
        <w:keepNext/>
        <w:spacing w:line="276" w:lineRule="auto"/>
        <w:rPr>
          <w:color w:val="0D0D0D" w:themeColor="text1" w:themeTint="F2"/>
        </w:rPr>
      </w:pPr>
      <w:r>
        <w:rPr>
          <w:noProof/>
        </w:rPr>
        <w:drawing>
          <wp:inline distT="0" distB="0" distL="0" distR="0" wp14:anchorId="6A24C79A" wp14:editId="200A575B">
            <wp:extent cx="5314950" cy="3648075"/>
            <wp:effectExtent l="0" t="0" r="0" b="9525"/>
            <wp:docPr id="1674519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19944" name=""/>
                    <pic:cNvPicPr/>
                  </pic:nvPicPr>
                  <pic:blipFill>
                    <a:blip r:embed="rId22"/>
                    <a:stretch>
                      <a:fillRect/>
                    </a:stretch>
                  </pic:blipFill>
                  <pic:spPr>
                    <a:xfrm>
                      <a:off x="0" y="0"/>
                      <a:ext cx="5314950" cy="3648075"/>
                    </a:xfrm>
                    <a:prstGeom prst="rect">
                      <a:avLst/>
                    </a:prstGeom>
                  </pic:spPr>
                </pic:pic>
              </a:graphicData>
            </a:graphic>
          </wp:inline>
        </w:drawing>
      </w:r>
    </w:p>
    <w:p w14:paraId="228FDF65" w14:textId="6450D91D" w:rsidR="00105F40" w:rsidRPr="003B3FDD" w:rsidRDefault="006C7CE6" w:rsidP="006C7CE6">
      <w:pPr>
        <w:pStyle w:val="Caption"/>
        <w:jc w:val="center"/>
        <w:rPr>
          <w:rFonts w:ascii="Times New Roman" w:hAnsi="Times New Roman" w:cs="Times New Roman"/>
          <w:i w:val="0"/>
          <w:iCs w:val="0"/>
          <w:color w:val="0D0D0D" w:themeColor="text1" w:themeTint="F2"/>
          <w:sz w:val="36"/>
          <w:szCs w:val="36"/>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Pr="003B3FDD">
        <w:rPr>
          <w:rFonts w:ascii="Times New Roman" w:hAnsi="Times New Roman" w:cs="Times New Roman"/>
          <w:i w:val="0"/>
          <w:iCs w:val="0"/>
          <w:noProof/>
          <w:color w:val="0D0D0D" w:themeColor="text1" w:themeTint="F2"/>
          <w:sz w:val="24"/>
          <w:szCs w:val="24"/>
        </w:rPr>
        <w:t>8</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xml:space="preserve"> : Forest canopy density map of study area</w:t>
      </w:r>
    </w:p>
    <w:p w14:paraId="5F1BCEA1" w14:textId="77777777" w:rsidR="00597548" w:rsidRPr="003B3FDD" w:rsidRDefault="00597548" w:rsidP="00597548">
      <w:pPr>
        <w:spacing w:line="276" w:lineRule="auto"/>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5. Discussion</w:t>
      </w:r>
    </w:p>
    <w:p w14:paraId="48D2EFF2" w14:textId="77777777" w:rsidR="00597548" w:rsidRPr="003B3FDD" w:rsidRDefault="00597548" w:rsidP="00597548">
      <w:pPr>
        <w:spacing w:line="276" w:lineRule="auto"/>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5.1 LULC</w:t>
      </w:r>
    </w:p>
    <w:p w14:paraId="5F4C019C" w14:textId="77777777" w:rsidR="00597548" w:rsidRPr="003B3FDD" w:rsidRDefault="00597548" w:rsidP="00597548">
      <w:pPr>
        <w:pStyle w:val="my-2"/>
        <w:spacing w:line="276" w:lineRule="auto"/>
        <w:ind w:firstLine="720"/>
        <w:jc w:val="both"/>
        <w:rPr>
          <w:color w:val="0D0D0D" w:themeColor="text1" w:themeTint="F2"/>
        </w:rPr>
      </w:pPr>
      <w:r w:rsidRPr="003B3FDD">
        <w:rPr>
          <w:color w:val="0D0D0D" w:themeColor="text1" w:themeTint="F2"/>
          <w:lang w:val="en-US"/>
        </w:rPr>
        <w:t xml:space="preserve">The geospatial analysis of </w:t>
      </w:r>
      <w:r>
        <w:rPr>
          <w:color w:val="0D0D0D"/>
          <w:lang w:val="en-US"/>
        </w:rPr>
        <w:t>land use/land cover</w:t>
      </w:r>
      <w:r w:rsidRPr="003B3FDD">
        <w:rPr>
          <w:color w:val="0D0D0D" w:themeColor="text1" w:themeTint="F2"/>
          <w:lang w:val="en-US"/>
        </w:rPr>
        <w:t xml:space="preserve"> (LULC) in </w:t>
      </w:r>
      <w:proofErr w:type="spellStart"/>
      <w:r w:rsidRPr="003B3FDD">
        <w:rPr>
          <w:color w:val="0D0D0D" w:themeColor="text1" w:themeTint="F2"/>
          <w:lang w:val="en-US"/>
        </w:rPr>
        <w:t>Hunsur</w:t>
      </w:r>
      <w:proofErr w:type="spellEnd"/>
      <w:r w:rsidRPr="003B3FDD">
        <w:rPr>
          <w:color w:val="0D0D0D" w:themeColor="text1" w:themeTint="F2"/>
          <w:lang w:val="en-US"/>
        </w:rPr>
        <w:t xml:space="preserve"> taluk underscores a predominantly agrarian landscape, where cropland dominates 46.60% of the total area, affirming the region's heavy agricultural dependency and anthropogenic transformation of land, </w:t>
      </w:r>
      <w:r>
        <w:rPr>
          <w:color w:val="0D0D0D"/>
          <w:lang w:val="en-US"/>
        </w:rPr>
        <w:t xml:space="preserve">which is </w:t>
      </w:r>
      <w:r w:rsidRPr="003B3FDD">
        <w:rPr>
          <w:color w:val="0D0D0D" w:themeColor="text1" w:themeTint="F2"/>
          <w:lang w:val="en-US"/>
        </w:rPr>
        <w:t xml:space="preserve">consistent with findings from IRS-1D LISS-III data analyses that highlight </w:t>
      </w:r>
      <w:r>
        <w:rPr>
          <w:color w:val="0D0D0D"/>
          <w:lang w:val="en-US"/>
        </w:rPr>
        <w:t xml:space="preserve">that </w:t>
      </w:r>
      <w:r w:rsidRPr="003B3FDD">
        <w:rPr>
          <w:color w:val="0D0D0D" w:themeColor="text1" w:themeTint="F2"/>
          <w:lang w:val="en-US"/>
        </w:rPr>
        <w:t xml:space="preserve">kharif crops covering 47.98% </w:t>
      </w:r>
      <w:r>
        <w:rPr>
          <w:color w:val="0D0D0D"/>
          <w:lang w:val="en-US"/>
        </w:rPr>
        <w:t>of</w:t>
      </w:r>
      <w:r w:rsidRPr="003B3FDD">
        <w:rPr>
          <w:color w:val="0D0D0D" w:themeColor="text1" w:themeTint="F2"/>
          <w:lang w:val="en-US"/>
        </w:rPr>
        <w:t xml:space="preserve"> groundwater overexploitation </w:t>
      </w:r>
      <w:r>
        <w:rPr>
          <w:color w:val="0D0D0D"/>
          <w:lang w:val="en-US"/>
        </w:rPr>
        <w:t>exceed</w:t>
      </w:r>
      <w:r w:rsidRPr="003B3FDD">
        <w:rPr>
          <w:color w:val="0D0D0D" w:themeColor="text1" w:themeTint="F2"/>
          <w:lang w:val="en-US"/>
        </w:rPr>
        <w:t xml:space="preserve"> 27% (</w:t>
      </w:r>
      <w:proofErr w:type="spellStart"/>
      <w:r w:rsidRPr="003B3FDD">
        <w:rPr>
          <w:color w:val="0D0D0D" w:themeColor="text1" w:themeTint="F2"/>
          <w:lang w:val="en-US"/>
        </w:rPr>
        <w:t>Manjunatha</w:t>
      </w:r>
      <w:proofErr w:type="spellEnd"/>
      <w:r w:rsidRPr="003B3FDD">
        <w:rPr>
          <w:color w:val="0D0D0D" w:themeColor="text1" w:themeTint="F2"/>
          <w:lang w:val="en-US"/>
        </w:rPr>
        <w:t xml:space="preserve"> and </w:t>
      </w:r>
      <w:proofErr w:type="spellStart"/>
      <w:r w:rsidRPr="003B3FDD">
        <w:rPr>
          <w:color w:val="0D0D0D" w:themeColor="text1" w:themeTint="F2"/>
          <w:lang w:val="en-US"/>
        </w:rPr>
        <w:t>Basavarajappa</w:t>
      </w:r>
      <w:proofErr w:type="spellEnd"/>
      <w:r w:rsidRPr="003B3FDD">
        <w:rPr>
          <w:color w:val="0D0D0D" w:themeColor="text1" w:themeTint="F2"/>
          <w:lang w:val="en-US"/>
        </w:rPr>
        <w:t xml:space="preserve">, 2021). </w:t>
      </w:r>
      <w:r>
        <w:rPr>
          <w:color w:val="0D0D0D"/>
          <w:lang w:val="en-US"/>
        </w:rPr>
        <w:t>Together, natural forests</w:t>
      </w:r>
      <w:r w:rsidRPr="003B3FDD">
        <w:rPr>
          <w:color w:val="0D0D0D" w:themeColor="text1" w:themeTint="F2"/>
          <w:lang w:val="en-US"/>
        </w:rPr>
        <w:t xml:space="preserve"> (17.21%) and scrub </w:t>
      </w:r>
      <w:r>
        <w:rPr>
          <w:color w:val="0D0D0D"/>
          <w:lang w:val="en-US"/>
        </w:rPr>
        <w:t>forests</w:t>
      </w:r>
      <w:r w:rsidRPr="003B3FDD">
        <w:rPr>
          <w:color w:val="0D0D0D" w:themeColor="text1" w:themeTint="F2"/>
          <w:lang w:val="en-US"/>
        </w:rPr>
        <w:t xml:space="preserve"> (18.00%) </w:t>
      </w:r>
      <w:r>
        <w:rPr>
          <w:color w:val="0D0D0D"/>
          <w:lang w:val="en-US"/>
        </w:rPr>
        <w:t>constitute more than</w:t>
      </w:r>
      <w:r w:rsidRPr="003B3FDD">
        <w:rPr>
          <w:color w:val="0D0D0D" w:themeColor="text1" w:themeTint="F2"/>
          <w:lang w:val="en-US"/>
        </w:rPr>
        <w:t xml:space="preserve"> thirty percent of the area, stabilizing </w:t>
      </w:r>
      <w:r>
        <w:rPr>
          <w:color w:val="0D0D0D"/>
          <w:lang w:val="en-US"/>
        </w:rPr>
        <w:t xml:space="preserve">the </w:t>
      </w:r>
      <w:r w:rsidRPr="003B3FDD">
        <w:rPr>
          <w:color w:val="0D0D0D" w:themeColor="text1" w:themeTint="F2"/>
          <w:lang w:val="en-US"/>
        </w:rPr>
        <w:t xml:space="preserve">ecology </w:t>
      </w:r>
      <w:r>
        <w:rPr>
          <w:color w:val="0D0D0D"/>
          <w:lang w:val="en-US"/>
        </w:rPr>
        <w:t>of</w:t>
      </w:r>
      <w:r w:rsidRPr="003B3FDD">
        <w:rPr>
          <w:color w:val="0D0D0D" w:themeColor="text1" w:themeTint="F2"/>
          <w:lang w:val="en-US"/>
        </w:rPr>
        <w:t xml:space="preserve"> denudational hills and buffering erosion, </w:t>
      </w:r>
      <w:r>
        <w:rPr>
          <w:color w:val="0D0D0D"/>
          <w:lang w:val="en-US"/>
        </w:rPr>
        <w:t>whereas</w:t>
      </w:r>
      <w:r w:rsidRPr="003B3FDD">
        <w:rPr>
          <w:color w:val="0D0D0D" w:themeColor="text1" w:themeTint="F2"/>
          <w:lang w:val="en-US"/>
        </w:rPr>
        <w:t xml:space="preserve"> plantations (9.29%) </w:t>
      </w:r>
      <w:r>
        <w:rPr>
          <w:color w:val="0D0D0D"/>
          <w:lang w:val="en-US"/>
        </w:rPr>
        <w:t>represent</w:t>
      </w:r>
      <w:r w:rsidRPr="003B3FDD">
        <w:rPr>
          <w:color w:val="0D0D0D" w:themeColor="text1" w:themeTint="F2"/>
          <w:lang w:val="en-US"/>
        </w:rPr>
        <w:t xml:space="preserve"> managed interventions </w:t>
      </w:r>
      <w:r>
        <w:rPr>
          <w:color w:val="0D0D0D"/>
          <w:lang w:val="en-US"/>
        </w:rPr>
        <w:t>such as</w:t>
      </w:r>
      <w:r w:rsidRPr="003B3FDD">
        <w:rPr>
          <w:color w:val="0D0D0D" w:themeColor="text1" w:themeTint="F2"/>
          <w:lang w:val="en-US"/>
        </w:rPr>
        <w:t xml:space="preserve"> silver oak </w:t>
      </w:r>
      <w:r>
        <w:rPr>
          <w:color w:val="0D0D0D"/>
          <w:lang w:val="en-US"/>
        </w:rPr>
        <w:t xml:space="preserve">and </w:t>
      </w:r>
      <w:r w:rsidRPr="003B3FDD">
        <w:rPr>
          <w:color w:val="0D0D0D" w:themeColor="text1" w:themeTint="F2"/>
          <w:lang w:val="en-US"/>
        </w:rPr>
        <w:t>teak cultivation, mirroring spatiotemporal trends in nearby Mysuru taluk</w:t>
      </w:r>
      <w:r>
        <w:rPr>
          <w:color w:val="0D0D0D"/>
          <w:lang w:val="en-US"/>
        </w:rPr>
        <w:t>,</w:t>
      </w:r>
      <w:r w:rsidRPr="003B3FDD">
        <w:rPr>
          <w:color w:val="0D0D0D" w:themeColor="text1" w:themeTint="F2"/>
          <w:lang w:val="en-US"/>
        </w:rPr>
        <w:t xml:space="preserve"> where vegetation recovery offsets shrubland decline through afforestation. Fallow land (4.92%) reflects seasonal cycles vulnerable to drought in rainfed zones, with minimal built-up areas (1.88%) and water bodies (2.10%) </w:t>
      </w:r>
      <w:r>
        <w:rPr>
          <w:color w:val="0D0D0D"/>
          <w:lang w:val="en-US"/>
        </w:rPr>
        <w:t>signaling</w:t>
      </w:r>
      <w:r w:rsidRPr="003B3FDD">
        <w:rPr>
          <w:color w:val="0D0D0D" w:themeColor="text1" w:themeTint="F2"/>
          <w:lang w:val="en-US"/>
        </w:rPr>
        <w:t xml:space="preserve"> restrained urbanization and hydrological stability </w:t>
      </w:r>
      <w:r>
        <w:rPr>
          <w:color w:val="0D0D0D"/>
          <w:lang w:val="en-US"/>
        </w:rPr>
        <w:t>but</w:t>
      </w:r>
      <w:r w:rsidRPr="003B3FDD">
        <w:rPr>
          <w:color w:val="0D0D0D" w:themeColor="text1" w:themeTint="F2"/>
          <w:lang w:val="en-US"/>
        </w:rPr>
        <w:t xml:space="preserve"> posing risks to biodiversity from population-driven expansion and soil erosion into streams</w:t>
      </w:r>
      <w:r>
        <w:rPr>
          <w:color w:val="0D0D0D"/>
          <w:lang w:val="en-US"/>
        </w:rPr>
        <w:t>. These</w:t>
      </w:r>
      <w:r w:rsidRPr="003B3FDD">
        <w:rPr>
          <w:color w:val="0D0D0D" w:themeColor="text1" w:themeTint="F2"/>
          <w:lang w:val="en-US"/>
        </w:rPr>
        <w:t xml:space="preserve"> patterns </w:t>
      </w:r>
      <w:r w:rsidRPr="003B3FDD">
        <w:rPr>
          <w:color w:val="0D0D0D" w:themeColor="text1" w:themeTint="F2"/>
          <w:lang w:val="en-US"/>
        </w:rPr>
        <w:lastRenderedPageBreak/>
        <w:t xml:space="preserve">align with broader Karnataka LULC dynamics, urging </w:t>
      </w:r>
      <w:r>
        <w:rPr>
          <w:color w:val="0D0D0D"/>
          <w:lang w:val="en-US"/>
        </w:rPr>
        <w:t>policies focused</w:t>
      </w:r>
      <w:r w:rsidRPr="003B3FDD">
        <w:rPr>
          <w:color w:val="0D0D0D" w:themeColor="text1" w:themeTint="F2"/>
          <w:lang w:val="en-US"/>
        </w:rPr>
        <w:t xml:space="preserve"> on </w:t>
      </w:r>
      <w:r w:rsidRPr="003B3FDD">
        <w:rPr>
          <w:noProof/>
          <w:color w:val="0D0D0D" w:themeColor="text1" w:themeTint="F2"/>
        </w:rPr>
        <mc:AlternateContent>
          <mc:Choice Requires="wpi">
            <w:drawing>
              <wp:anchor distT="0" distB="0" distL="114300" distR="114300" simplePos="0" relativeHeight="251662336" behindDoc="0" locked="0" layoutInCell="1" allowOverlap="1" wp14:anchorId="6C035917" wp14:editId="1D783A3E">
                <wp:simplePos x="0" y="0"/>
                <wp:positionH relativeFrom="column">
                  <wp:posOffset>2496240</wp:posOffset>
                </wp:positionH>
                <wp:positionV relativeFrom="paragraph">
                  <wp:posOffset>118872</wp:posOffset>
                </wp:positionV>
                <wp:extent cx="360" cy="360"/>
                <wp:effectExtent l="57150" t="57150" r="57150" b="57150"/>
                <wp:wrapNone/>
                <wp:docPr id="1872626342" name="Ink 1"/>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0EA11C" id="Ink 1" o:spid="_x0000_s1026" type="#_x0000_t75" style="position:absolute;margin-left:195.85pt;margin-top:8.6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">
                <v:imagedata r:id="rId24" o:title=""/>
              </v:shape>
            </w:pict>
          </mc:Fallback>
        </mc:AlternateContent>
      </w:r>
      <w:r w:rsidRPr="003B3FDD">
        <w:rPr>
          <w:color w:val="0D0D0D" w:themeColor="text1" w:themeTint="F2"/>
          <w:lang w:val="en-US"/>
        </w:rPr>
        <w:t>groundwater monitoring and land management to counter agricultural intensification pressures</w:t>
      </w:r>
      <w:r>
        <w:rPr>
          <w:color w:val="0D0D0D"/>
          <w:lang w:val="en-US"/>
        </w:rPr>
        <w:t>.</w:t>
      </w:r>
    </w:p>
    <w:p w14:paraId="01E6B0B1" w14:textId="77777777" w:rsidR="00597548" w:rsidRPr="003B3FDD" w:rsidRDefault="00597548" w:rsidP="00597548">
      <w:pPr>
        <w:spacing w:line="276" w:lineRule="auto"/>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 xml:space="preserve">5.2 Multi-Index Assessment of Vegetation Structure and Land Surface Conditions in </w:t>
      </w:r>
      <w:proofErr w:type="spellStart"/>
      <w:r w:rsidRPr="003B3FDD">
        <w:rPr>
          <w:rFonts w:ascii="Times New Roman" w:hAnsi="Times New Roman" w:cs="Times New Roman"/>
          <w:b/>
          <w:bCs/>
          <w:color w:val="0D0D0D" w:themeColor="text1" w:themeTint="F2"/>
          <w:sz w:val="24"/>
          <w:szCs w:val="24"/>
          <w:lang w:val="en-US"/>
        </w:rPr>
        <w:t>Hunsur</w:t>
      </w:r>
      <w:proofErr w:type="spellEnd"/>
      <w:r w:rsidRPr="003B3FDD">
        <w:rPr>
          <w:rFonts w:ascii="Times New Roman" w:hAnsi="Times New Roman" w:cs="Times New Roman"/>
          <w:b/>
          <w:bCs/>
          <w:color w:val="0D0D0D" w:themeColor="text1" w:themeTint="F2"/>
          <w:sz w:val="24"/>
          <w:szCs w:val="24"/>
          <w:lang w:val="en-US"/>
        </w:rPr>
        <w:t xml:space="preserve"> Taluk</w:t>
      </w:r>
    </w:p>
    <w:p w14:paraId="0A1522D0" w14:textId="77777777" w:rsidR="00597548" w:rsidRPr="003B3FDD" w:rsidRDefault="00597548" w:rsidP="00597548">
      <w:pPr>
        <w:pStyle w:val="my-2"/>
        <w:spacing w:line="276" w:lineRule="auto"/>
        <w:ind w:firstLine="720"/>
        <w:jc w:val="both"/>
        <w:rPr>
          <w:color w:val="0D0D0D" w:themeColor="text1" w:themeTint="F2"/>
        </w:rPr>
      </w:pPr>
      <w:r w:rsidRPr="003B3FDD">
        <w:rPr>
          <w:color w:val="0D0D0D" w:themeColor="text1" w:themeTint="F2"/>
          <w:lang w:val="en-US"/>
        </w:rPr>
        <w:t xml:space="preserve">The integrated analysis of </w:t>
      </w:r>
      <w:r>
        <w:rPr>
          <w:color w:val="0D0D0D"/>
          <w:lang w:val="en-US"/>
        </w:rPr>
        <w:t xml:space="preserve">the </w:t>
      </w:r>
      <w:r w:rsidRPr="003B3FDD">
        <w:rPr>
          <w:color w:val="0D0D0D" w:themeColor="text1" w:themeTint="F2"/>
          <w:lang w:val="en-US"/>
        </w:rPr>
        <w:t xml:space="preserve">NDVI, AVI, BI, and SI in </w:t>
      </w:r>
      <w:proofErr w:type="spellStart"/>
      <w:r w:rsidRPr="003B3FDD">
        <w:rPr>
          <w:color w:val="0D0D0D" w:themeColor="text1" w:themeTint="F2"/>
          <w:lang w:val="en-US"/>
        </w:rPr>
        <w:t>Hunsur</w:t>
      </w:r>
      <w:proofErr w:type="spellEnd"/>
      <w:r w:rsidRPr="003B3FDD">
        <w:rPr>
          <w:color w:val="0D0D0D" w:themeColor="text1" w:themeTint="F2"/>
          <w:lang w:val="en-US"/>
        </w:rPr>
        <w:t xml:space="preserve"> Taluk </w:t>
      </w:r>
      <w:r>
        <w:rPr>
          <w:color w:val="0D0D0D"/>
          <w:lang w:val="en-US"/>
        </w:rPr>
        <w:t>demonstrated</w:t>
      </w:r>
      <w:r w:rsidRPr="003B3FDD">
        <w:rPr>
          <w:color w:val="0D0D0D" w:themeColor="text1" w:themeTint="F2"/>
          <w:lang w:val="en-US"/>
        </w:rPr>
        <w:t xml:space="preserve"> a clear ecological gradient from </w:t>
      </w:r>
      <w:proofErr w:type="spellStart"/>
      <w:r>
        <w:rPr>
          <w:color w:val="0D0D0D"/>
          <w:lang w:val="en-US"/>
        </w:rPr>
        <w:t>nonvegetated</w:t>
      </w:r>
      <w:proofErr w:type="spellEnd"/>
      <w:r w:rsidRPr="003B3FDD">
        <w:rPr>
          <w:color w:val="0D0D0D" w:themeColor="text1" w:themeTint="F2"/>
          <w:lang w:val="en-US"/>
        </w:rPr>
        <w:t xml:space="preserve"> and degraded surfaces to structurally complex forest </w:t>
      </w:r>
      <w:r>
        <w:rPr>
          <w:color w:val="0D0D0D"/>
          <w:lang w:val="en-US"/>
        </w:rPr>
        <w:t>canopy</w:t>
      </w:r>
      <w:r w:rsidRPr="003B3FDD">
        <w:rPr>
          <w:color w:val="0D0D0D" w:themeColor="text1" w:themeTint="F2"/>
          <w:lang w:val="en-US"/>
        </w:rPr>
        <w:t xml:space="preserve"> values effectively capture variability in vegetation vigor, with low values corresponding to water bodies, barren lands, and built-up areas, </w:t>
      </w:r>
      <w:r>
        <w:rPr>
          <w:color w:val="0D0D0D"/>
          <w:lang w:val="en-US"/>
        </w:rPr>
        <w:t>whereas</w:t>
      </w:r>
      <w:r w:rsidRPr="003B3FDD">
        <w:rPr>
          <w:color w:val="0D0D0D" w:themeColor="text1" w:themeTint="F2"/>
          <w:lang w:val="en-US"/>
        </w:rPr>
        <w:t xml:space="preserve"> higher values reflect dense plantations and intact forest stands, confirming its reliability as a proxy for photosynthetic activity and biomass health (</w:t>
      </w:r>
      <w:proofErr w:type="spellStart"/>
      <w:r w:rsidRPr="003B3FDD">
        <w:rPr>
          <w:color w:val="0D0D0D" w:themeColor="text1" w:themeTint="F2"/>
          <w:lang w:val="en-US"/>
        </w:rPr>
        <w:t>Nițu</w:t>
      </w:r>
      <w:proofErr w:type="spellEnd"/>
      <w:r w:rsidRPr="003B3FDD">
        <w:rPr>
          <w:color w:val="0D0D0D" w:themeColor="text1" w:themeTint="F2"/>
          <w:lang w:val="en-US"/>
        </w:rPr>
        <w:t xml:space="preserve"> et al., 2025; Mehmood et al., 2024). </w:t>
      </w:r>
      <w:r>
        <w:rPr>
          <w:color w:val="0D0D0D"/>
          <w:lang w:val="en-US"/>
        </w:rPr>
        <w:t xml:space="preserve">The </w:t>
      </w:r>
      <w:r w:rsidRPr="003B3FDD">
        <w:rPr>
          <w:color w:val="0D0D0D" w:themeColor="text1" w:themeTint="F2"/>
          <w:lang w:val="en-US"/>
        </w:rPr>
        <w:t xml:space="preserve">AVI further refines canopy discrimination by enhancing sensitivity to high-biomass zones through </w:t>
      </w:r>
      <w:r>
        <w:rPr>
          <w:color w:val="0D0D0D"/>
          <w:lang w:val="en-US"/>
        </w:rPr>
        <w:t>nonlinear</w:t>
      </w:r>
      <w:r w:rsidRPr="003B3FDD">
        <w:rPr>
          <w:color w:val="0D0D0D" w:themeColor="text1" w:themeTint="F2"/>
          <w:lang w:val="en-US"/>
        </w:rPr>
        <w:t xml:space="preserve"> NIR–red transformations, enabling improved identification of dense forest pockets compared </w:t>
      </w:r>
      <w:r>
        <w:rPr>
          <w:color w:val="0D0D0D"/>
          <w:lang w:val="en-US"/>
        </w:rPr>
        <w:t>with the</w:t>
      </w:r>
      <w:r w:rsidRPr="003B3FDD">
        <w:rPr>
          <w:color w:val="0D0D0D" w:themeColor="text1" w:themeTint="F2"/>
          <w:lang w:val="en-US"/>
        </w:rPr>
        <w:t xml:space="preserve"> NDVI alone (</w:t>
      </w:r>
      <w:proofErr w:type="spellStart"/>
      <w:r w:rsidRPr="003B3FDD">
        <w:rPr>
          <w:color w:val="0D0D0D" w:themeColor="text1" w:themeTint="F2"/>
          <w:lang w:val="en-US"/>
        </w:rPr>
        <w:t>Medhe</w:t>
      </w:r>
      <w:proofErr w:type="spellEnd"/>
      <w:r w:rsidRPr="003B3FDD">
        <w:rPr>
          <w:color w:val="0D0D0D" w:themeColor="text1" w:themeTint="F2"/>
          <w:lang w:val="en-US"/>
        </w:rPr>
        <w:t xml:space="preserve"> and Badhe, 2023). The convergence of high NDVI and AVI classes in denudational hill forests and riparian buffers along streams underscores the ecological resilience of these zones, </w:t>
      </w:r>
      <w:r>
        <w:rPr>
          <w:color w:val="0D0D0D"/>
          <w:lang w:val="en-US"/>
        </w:rPr>
        <w:t>whereas</w:t>
      </w:r>
      <w:r w:rsidRPr="003B3FDD">
        <w:rPr>
          <w:color w:val="0D0D0D" w:themeColor="text1" w:themeTint="F2"/>
          <w:lang w:val="en-US"/>
        </w:rPr>
        <w:t xml:space="preserve"> moderate classes highlight </w:t>
      </w:r>
      <w:proofErr w:type="spellStart"/>
      <w:r w:rsidRPr="003B3FDD">
        <w:rPr>
          <w:color w:val="0D0D0D" w:themeColor="text1" w:themeTint="F2"/>
          <w:lang w:val="en-US"/>
        </w:rPr>
        <w:t>agro</w:t>
      </w:r>
      <w:proofErr w:type="spellEnd"/>
      <w:r w:rsidRPr="003B3FDD">
        <w:rPr>
          <w:color w:val="0D0D0D" w:themeColor="text1" w:themeTint="F2"/>
          <w:lang w:val="en-US"/>
        </w:rPr>
        <w:t>-forest mosaics and plantation landscapes subjected to seasonal drought and anthropogenic pressures (</w:t>
      </w:r>
      <w:proofErr w:type="spellStart"/>
      <w:r w:rsidRPr="003B3FDD">
        <w:rPr>
          <w:color w:val="0D0D0D" w:themeColor="text1" w:themeTint="F2"/>
          <w:lang w:val="en-US"/>
        </w:rPr>
        <w:t>Kaliraj</w:t>
      </w:r>
      <w:proofErr w:type="spellEnd"/>
      <w:r w:rsidRPr="003B3FDD">
        <w:rPr>
          <w:color w:val="0D0D0D" w:themeColor="text1" w:themeTint="F2"/>
          <w:lang w:val="en-US"/>
        </w:rPr>
        <w:t xml:space="preserve"> et al., 2026).</w:t>
      </w:r>
    </w:p>
    <w:p w14:paraId="67E534FE" w14:textId="77777777" w:rsidR="00597548" w:rsidRPr="003B3FDD" w:rsidRDefault="00597548" w:rsidP="00597548">
      <w:pPr>
        <w:pStyle w:val="my-2"/>
        <w:spacing w:line="276" w:lineRule="auto"/>
        <w:ind w:firstLine="720"/>
        <w:jc w:val="both"/>
        <w:rPr>
          <w:color w:val="0D0D0D" w:themeColor="text1" w:themeTint="F2"/>
        </w:rPr>
      </w:pPr>
      <w:r w:rsidRPr="003B3FDD">
        <w:rPr>
          <w:color w:val="0D0D0D" w:themeColor="text1" w:themeTint="F2"/>
          <w:lang w:val="en-US"/>
        </w:rPr>
        <w:t>BI and SI provide complementary structural and surface</w:t>
      </w:r>
      <w:r>
        <w:rPr>
          <w:color w:val="0D0D0D"/>
          <w:lang w:val="en-US"/>
        </w:rPr>
        <w:t xml:space="preserve"> </w:t>
      </w:r>
      <w:r w:rsidRPr="003B3FDD">
        <w:rPr>
          <w:color w:val="0D0D0D" w:themeColor="text1" w:themeTint="F2"/>
          <w:lang w:val="en-US"/>
        </w:rPr>
        <w:t xml:space="preserve">condition insights, strengthening land cover interpretation. The inverse relationship between </w:t>
      </w:r>
      <w:r>
        <w:rPr>
          <w:color w:val="0D0D0D"/>
          <w:lang w:val="en-US"/>
        </w:rPr>
        <w:t xml:space="preserve">the </w:t>
      </w:r>
      <w:r w:rsidRPr="003B3FDD">
        <w:rPr>
          <w:color w:val="0D0D0D" w:themeColor="text1" w:themeTint="F2"/>
          <w:lang w:val="en-US"/>
        </w:rPr>
        <w:t xml:space="preserve">BI and vegetation indices clearly differentiates exposed soils, fallow lands, and degraded </w:t>
      </w:r>
      <w:r>
        <w:rPr>
          <w:color w:val="0D0D0D"/>
          <w:lang w:val="en-US"/>
        </w:rPr>
        <w:t>scrublands</w:t>
      </w:r>
      <w:r w:rsidRPr="003B3FDD">
        <w:rPr>
          <w:color w:val="0D0D0D" w:themeColor="text1" w:themeTint="F2"/>
          <w:lang w:val="en-US"/>
        </w:rPr>
        <w:t xml:space="preserve"> from </w:t>
      </w:r>
      <w:proofErr w:type="spellStart"/>
      <w:r>
        <w:rPr>
          <w:color w:val="0D0D0D"/>
          <w:lang w:val="en-US"/>
        </w:rPr>
        <w:t>semidense</w:t>
      </w:r>
      <w:proofErr w:type="spellEnd"/>
      <w:r w:rsidRPr="003B3FDD">
        <w:rPr>
          <w:color w:val="0D0D0D" w:themeColor="text1" w:themeTint="F2"/>
          <w:lang w:val="en-US"/>
        </w:rPr>
        <w:t xml:space="preserve"> and dense forest canopies, emphasizing areas vulnerable to erosion and groundwater stress in this predominantly agricultural taluk (</w:t>
      </w:r>
      <w:proofErr w:type="spellStart"/>
      <w:r w:rsidRPr="003B3FDD">
        <w:rPr>
          <w:color w:val="0D0D0D" w:themeColor="text1" w:themeTint="F2"/>
          <w:lang w:val="en-US"/>
        </w:rPr>
        <w:t>Oñate-Valdivieso</w:t>
      </w:r>
      <w:proofErr w:type="spellEnd"/>
      <w:r w:rsidRPr="003B3FDD">
        <w:rPr>
          <w:color w:val="0D0D0D" w:themeColor="text1" w:themeTint="F2"/>
          <w:lang w:val="en-US"/>
        </w:rPr>
        <w:t xml:space="preserve"> et al., 2024). High BI zones correspond with low NDVI/AVI classes, particularly in cropland-dominated and built-up regions, indicating potential land degradation risks. </w:t>
      </w:r>
      <w:r>
        <w:rPr>
          <w:color w:val="0D0D0D"/>
          <w:lang w:val="en-US"/>
        </w:rPr>
        <w:t>Moreover, the</w:t>
      </w:r>
      <w:r w:rsidRPr="003B3FDD">
        <w:rPr>
          <w:color w:val="0D0D0D" w:themeColor="text1" w:themeTint="F2"/>
          <w:lang w:val="en-US"/>
        </w:rPr>
        <w:t xml:space="preserve"> SI values effectively capture canopy shadow intensity and crown closure, with high SI </w:t>
      </w:r>
      <w:r>
        <w:rPr>
          <w:color w:val="0D0D0D"/>
          <w:lang w:val="en-US"/>
        </w:rPr>
        <w:t xml:space="preserve">values </w:t>
      </w:r>
      <w:r w:rsidRPr="003B3FDD">
        <w:rPr>
          <w:color w:val="0D0D0D" w:themeColor="text1" w:themeTint="F2"/>
          <w:lang w:val="en-US"/>
        </w:rPr>
        <w:t xml:space="preserve">confirming </w:t>
      </w:r>
      <w:r>
        <w:rPr>
          <w:color w:val="0D0D0D"/>
          <w:lang w:val="en-US"/>
        </w:rPr>
        <w:t xml:space="preserve">a </w:t>
      </w:r>
      <w:r w:rsidRPr="003B3FDD">
        <w:rPr>
          <w:color w:val="0D0D0D" w:themeColor="text1" w:themeTint="F2"/>
          <w:lang w:val="en-US"/>
        </w:rPr>
        <w:t xml:space="preserve">multilayered forest structure and ecological stability, whereas low SI </w:t>
      </w:r>
      <w:r>
        <w:rPr>
          <w:color w:val="0D0D0D"/>
          <w:lang w:val="en-US"/>
        </w:rPr>
        <w:t>values indicate</w:t>
      </w:r>
      <w:r w:rsidRPr="003B3FDD">
        <w:rPr>
          <w:color w:val="0D0D0D" w:themeColor="text1" w:themeTint="F2"/>
          <w:lang w:val="en-US"/>
        </w:rPr>
        <w:t xml:space="preserve"> sparse vegetation and exposed landscapes. Together, these indices offer a robust framework for stratifying LULC patterns and identifying priority zones for afforestation, scrub restoration, and watershed management to </w:t>
      </w:r>
      <w:r>
        <w:rPr>
          <w:color w:val="0D0D0D"/>
          <w:lang w:val="en-US"/>
        </w:rPr>
        <w:t>increase</w:t>
      </w:r>
      <w:r w:rsidRPr="003B3FDD">
        <w:rPr>
          <w:color w:val="0D0D0D" w:themeColor="text1" w:themeTint="F2"/>
          <w:lang w:val="en-US"/>
        </w:rPr>
        <w:t xml:space="preserve"> hydrological buffering and biodiversity conservation (</w:t>
      </w:r>
      <w:proofErr w:type="spellStart"/>
      <w:r w:rsidRPr="003B3FDD">
        <w:rPr>
          <w:color w:val="0D0D0D" w:themeColor="text1" w:themeTint="F2"/>
          <w:lang w:val="en-US"/>
        </w:rPr>
        <w:t>Kaliraj</w:t>
      </w:r>
      <w:proofErr w:type="spellEnd"/>
      <w:r w:rsidRPr="003B3FDD">
        <w:rPr>
          <w:color w:val="0D0D0D" w:themeColor="text1" w:themeTint="F2"/>
          <w:lang w:val="en-US"/>
        </w:rPr>
        <w:t xml:space="preserve"> et al., 2026).</w:t>
      </w:r>
    </w:p>
    <w:p w14:paraId="5F2EE448" w14:textId="77777777" w:rsidR="00597548" w:rsidRPr="003B3FDD" w:rsidRDefault="00597548" w:rsidP="00597548">
      <w:pPr>
        <w:pStyle w:val="my-2"/>
        <w:spacing w:line="276" w:lineRule="auto"/>
        <w:jc w:val="both"/>
        <w:rPr>
          <w:b/>
          <w:bCs/>
          <w:color w:val="0D0D0D" w:themeColor="text1" w:themeTint="F2"/>
        </w:rPr>
      </w:pPr>
      <w:r w:rsidRPr="003B3FDD">
        <w:rPr>
          <w:b/>
          <w:bCs/>
          <w:color w:val="0D0D0D" w:themeColor="text1" w:themeTint="F2"/>
          <w:lang w:val="en-US"/>
        </w:rPr>
        <w:t xml:space="preserve">5.3 Forest </w:t>
      </w:r>
      <w:r>
        <w:rPr>
          <w:b/>
          <w:bCs/>
          <w:color w:val="0D0D0D"/>
          <w:lang w:val="en-US"/>
        </w:rPr>
        <w:t>canopy density</w:t>
      </w:r>
      <w:r w:rsidRPr="003B3FDD">
        <w:rPr>
          <w:b/>
          <w:bCs/>
          <w:color w:val="0D0D0D" w:themeColor="text1" w:themeTint="F2"/>
          <w:lang w:val="en-US"/>
        </w:rPr>
        <w:t xml:space="preserve"> (FCD) </w:t>
      </w:r>
      <w:r>
        <w:rPr>
          <w:b/>
          <w:bCs/>
          <w:color w:val="0D0D0D"/>
          <w:lang w:val="en-US"/>
        </w:rPr>
        <w:t>model</w:t>
      </w:r>
    </w:p>
    <w:p w14:paraId="7E7951F6" w14:textId="09AF1592" w:rsidR="004B3A91" w:rsidRDefault="00597548" w:rsidP="00597548">
      <w:pPr>
        <w:pStyle w:val="my-2"/>
        <w:spacing w:line="276" w:lineRule="auto"/>
        <w:ind w:firstLine="720"/>
        <w:jc w:val="both"/>
        <w:rPr>
          <w:color w:val="0D0D0D" w:themeColor="text1" w:themeTint="F2"/>
          <w:lang w:val="en-US"/>
        </w:rPr>
        <w:sectPr w:rsidR="004B3A91" w:rsidSect="00C811B6">
          <w:pgSz w:w="11906" w:h="16838"/>
          <w:pgMar w:top="1440" w:right="1440" w:bottom="1440" w:left="1440" w:header="708" w:footer="708" w:gutter="0"/>
          <w:cols w:space="708"/>
          <w:docGrid w:linePitch="360"/>
        </w:sectPr>
      </w:pPr>
      <w:r w:rsidRPr="00597548">
        <w:rPr>
          <w:color w:val="0D0D0D"/>
          <w:lang w:val="en-US"/>
        </w:rPr>
        <w:t xml:space="preserve">The </w:t>
      </w:r>
      <w:r w:rsidRPr="00597548">
        <w:rPr>
          <w:color w:val="0D0D0D" w:themeColor="text1" w:themeTint="F2"/>
          <w:lang w:val="en-US"/>
        </w:rPr>
        <w:t xml:space="preserve">FCD model for </w:t>
      </w:r>
      <w:proofErr w:type="spellStart"/>
      <w:r w:rsidRPr="00597548">
        <w:rPr>
          <w:color w:val="0D0D0D" w:themeColor="text1" w:themeTint="F2"/>
          <w:lang w:val="en-US"/>
        </w:rPr>
        <w:t>Hunsur</w:t>
      </w:r>
      <w:proofErr w:type="spellEnd"/>
      <w:r w:rsidRPr="00597548">
        <w:rPr>
          <w:color w:val="0D0D0D" w:themeColor="text1" w:themeTint="F2"/>
          <w:lang w:val="en-US"/>
        </w:rPr>
        <w:t xml:space="preserve"> </w:t>
      </w:r>
      <w:r w:rsidR="001B76C4">
        <w:rPr>
          <w:color w:val="0D0D0D" w:themeColor="text1" w:themeTint="F2"/>
          <w:lang w:val="en-US"/>
        </w:rPr>
        <w:t>t</w:t>
      </w:r>
      <w:r w:rsidRPr="00597548">
        <w:rPr>
          <w:color w:val="0D0D0D" w:themeColor="text1" w:themeTint="F2"/>
          <w:lang w:val="en-US"/>
        </w:rPr>
        <w:t xml:space="preserve">aluk integrates </w:t>
      </w:r>
      <w:r w:rsidRPr="00597548">
        <w:rPr>
          <w:color w:val="0D0D0D"/>
          <w:lang w:val="en-US"/>
        </w:rPr>
        <w:t xml:space="preserve">the </w:t>
      </w:r>
      <w:r w:rsidRPr="00597548">
        <w:rPr>
          <w:color w:val="0D0D0D" w:themeColor="text1" w:themeTint="F2"/>
          <w:lang w:val="en-US"/>
        </w:rPr>
        <w:t>NDVI, AVI, BI, and SI via weighted overlay analysis</w:t>
      </w:r>
      <w:r>
        <w:rPr>
          <w:color w:val="0D0D0D"/>
          <w:lang w:val="en-US"/>
        </w:rPr>
        <w:t>,</w:t>
      </w:r>
      <w:r w:rsidRPr="003B3FDD">
        <w:rPr>
          <w:color w:val="0D0D0D" w:themeColor="text1" w:themeTint="F2"/>
          <w:lang w:val="en-US"/>
        </w:rPr>
        <w:t xml:space="preserve"> assigning ecological weights to prioritize vegetation vigor (NDVI/AVI), soil exposure (BI), and structural shadows (SI) </w:t>
      </w:r>
      <w:r>
        <w:rPr>
          <w:color w:val="0D0D0D"/>
          <w:lang w:val="en-US"/>
        </w:rPr>
        <w:t xml:space="preserve">and </w:t>
      </w:r>
      <w:r w:rsidRPr="003B3FDD">
        <w:rPr>
          <w:color w:val="0D0D0D" w:themeColor="text1" w:themeTint="F2"/>
          <w:lang w:val="en-US"/>
        </w:rPr>
        <w:t>focusing on plantations, scrubs, and deciduous forests to robustly map canopy gradients and reduce single-index biases (</w:t>
      </w:r>
      <w:proofErr w:type="spellStart"/>
      <w:r w:rsidRPr="003B3FDD">
        <w:rPr>
          <w:color w:val="0D0D0D" w:themeColor="text1" w:themeTint="F2"/>
          <w:lang w:val="en-US"/>
        </w:rPr>
        <w:t>Namasivayam</w:t>
      </w:r>
      <w:proofErr w:type="spellEnd"/>
      <w:r w:rsidRPr="003B3FDD">
        <w:rPr>
          <w:color w:val="0D0D0D" w:themeColor="text1" w:themeTint="F2"/>
          <w:lang w:val="en-US"/>
        </w:rPr>
        <w:t xml:space="preserve"> and </w:t>
      </w:r>
      <w:proofErr w:type="spellStart"/>
      <w:r w:rsidRPr="003B3FDD">
        <w:rPr>
          <w:color w:val="0D0D0D" w:themeColor="text1" w:themeTint="F2"/>
          <w:lang w:val="en-US"/>
        </w:rPr>
        <w:t>Ramamoorthy</w:t>
      </w:r>
      <w:proofErr w:type="spellEnd"/>
      <w:r w:rsidRPr="003B3FDD">
        <w:rPr>
          <w:color w:val="0D0D0D" w:themeColor="text1" w:themeTint="F2"/>
          <w:lang w:val="en-US"/>
        </w:rPr>
        <w:t xml:space="preserve">, 2024; </w:t>
      </w:r>
      <w:proofErr w:type="spellStart"/>
      <w:r w:rsidRPr="003B3FDD">
        <w:rPr>
          <w:color w:val="0D0D0D" w:themeColor="text1" w:themeTint="F2"/>
          <w:lang w:val="en-US"/>
        </w:rPr>
        <w:t>Medhe</w:t>
      </w:r>
      <w:proofErr w:type="spellEnd"/>
      <w:r w:rsidRPr="003B3FDD">
        <w:rPr>
          <w:color w:val="0D0D0D" w:themeColor="text1" w:themeTint="F2"/>
          <w:lang w:val="en-US"/>
        </w:rPr>
        <w:t xml:space="preserve"> and Badhe 2023). FCD values reveal pronounced variability, with threshold-derived classes delineating very low density (open/agricultural interfaces) to very high </w:t>
      </w:r>
      <w:r>
        <w:rPr>
          <w:color w:val="0D0D0D"/>
          <w:lang w:val="en-US"/>
        </w:rPr>
        <w:t xml:space="preserve">density </w:t>
      </w:r>
      <w:r w:rsidRPr="003B3FDD">
        <w:rPr>
          <w:color w:val="0D0D0D" w:themeColor="text1" w:themeTint="F2"/>
          <w:lang w:val="en-US"/>
        </w:rPr>
        <w:t xml:space="preserve">(dense core forests), aligning with the taluk's forest-scrub matrix amid croplands (FSI, 2019). This principal component-based synthesis excels in tropical deciduous </w:t>
      </w:r>
    </w:p>
    <w:p w14:paraId="3CC2F801" w14:textId="77777777" w:rsidR="003E3B86" w:rsidRPr="003B3FDD" w:rsidRDefault="003E3B86" w:rsidP="00364273">
      <w:pPr>
        <w:spacing w:line="276" w:lineRule="auto"/>
        <w:jc w:val="both"/>
        <w:rPr>
          <w:rFonts w:ascii="Times New Roman" w:hAnsi="Times New Roman" w:cs="Times New Roman"/>
          <w:color w:val="0D0D0D" w:themeColor="text1" w:themeTint="F2"/>
          <w:sz w:val="24"/>
          <w:szCs w:val="24"/>
        </w:rPr>
      </w:pPr>
    </w:p>
    <w:p w14:paraId="2DE78BA1" w14:textId="6FADC4EB" w:rsidR="00105F40" w:rsidRPr="003B3FDD" w:rsidRDefault="00256CDB" w:rsidP="00D76AA2">
      <w:pPr>
        <w:pStyle w:val="ListParagraph"/>
        <w:rPr>
          <w:color w:val="0D0D0D" w:themeColor="text1" w:themeTint="F2"/>
        </w:rPr>
      </w:pPr>
      <w:r>
        <w:rPr>
          <w:noProof/>
        </w:rPr>
        <w:drawing>
          <wp:inline distT="0" distB="0" distL="0" distR="0" wp14:anchorId="78684E80" wp14:editId="54988141">
            <wp:extent cx="6800850" cy="3705225"/>
            <wp:effectExtent l="0" t="0" r="0" b="9525"/>
            <wp:docPr id="143080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08228" name=""/>
                    <pic:cNvPicPr/>
                  </pic:nvPicPr>
                  <pic:blipFill>
                    <a:blip r:embed="rId25"/>
                    <a:stretch>
                      <a:fillRect/>
                    </a:stretch>
                  </pic:blipFill>
                  <pic:spPr>
                    <a:xfrm>
                      <a:off x="0" y="0"/>
                      <a:ext cx="6800850" cy="3705225"/>
                    </a:xfrm>
                    <a:prstGeom prst="rect">
                      <a:avLst/>
                    </a:prstGeom>
                  </pic:spPr>
                </pic:pic>
              </a:graphicData>
            </a:graphic>
          </wp:inline>
        </w:drawing>
      </w:r>
    </w:p>
    <w:p w14:paraId="23353E0A" w14:textId="6EC8799F" w:rsidR="00105F40" w:rsidRPr="003B3FDD" w:rsidRDefault="00105F40" w:rsidP="00364273">
      <w:pPr>
        <w:pStyle w:val="ListParagraph"/>
        <w:spacing w:line="276" w:lineRule="auto"/>
        <w:rPr>
          <w:rFonts w:ascii="Times New Roman" w:hAnsi="Times New Roman" w:cs="Times New Roman"/>
          <w:noProof/>
          <w:color w:val="0D0D0D" w:themeColor="text1" w:themeTint="F2"/>
          <w:sz w:val="24"/>
          <w:szCs w:val="24"/>
        </w:rPr>
      </w:pPr>
    </w:p>
    <w:p w14:paraId="12C33997" w14:textId="156EADCF" w:rsidR="00105F40" w:rsidRPr="003B3FDD" w:rsidRDefault="003B3FDD" w:rsidP="00D76AA2">
      <w:pPr>
        <w:pStyle w:val="ListParagraph"/>
        <w:rPr>
          <w:color w:val="0D0D0D" w:themeColor="text1" w:themeTint="F2"/>
        </w:rPr>
      </w:pPr>
      <w:r w:rsidRPr="003B3FDD">
        <w:rPr>
          <w:rFonts w:ascii="Times New Roman" w:hAnsi="Times New Roman" w:cs="Times New Roman"/>
          <w:noProof/>
          <w:color w:val="0D0D0D" w:themeColor="text1" w:themeTint="F2"/>
          <w:sz w:val="24"/>
          <w:szCs w:val="24"/>
        </w:rPr>
        <mc:AlternateContent>
          <mc:Choice Requires="wps">
            <w:drawing>
              <wp:anchor distT="45720" distB="45720" distL="114300" distR="114300" simplePos="0" relativeHeight="251660288" behindDoc="0" locked="0" layoutInCell="1" allowOverlap="1" wp14:anchorId="74599155" wp14:editId="14DB229E">
                <wp:simplePos x="0" y="0"/>
                <wp:positionH relativeFrom="column">
                  <wp:posOffset>461010</wp:posOffset>
                </wp:positionH>
                <wp:positionV relativeFrom="paragraph">
                  <wp:posOffset>217805</wp:posOffset>
                </wp:positionV>
                <wp:extent cx="7855585"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5585" cy="1404620"/>
                        </a:xfrm>
                        <a:prstGeom prst="rect">
                          <a:avLst/>
                        </a:prstGeom>
                        <a:solidFill>
                          <a:srgbClr val="FFFFFF"/>
                        </a:solidFill>
                        <a:ln w="9525">
                          <a:noFill/>
                          <a:miter lim="800000"/>
                          <a:headEnd/>
                          <a:tailEnd/>
                        </a:ln>
                      </wps:spPr>
                      <wps:txbx>
                        <w:txbxContent>
                          <w:p w14:paraId="01DF029B" w14:textId="79E65A08" w:rsidR="00D76AA2" w:rsidRPr="003B3FDD" w:rsidRDefault="003B3FDD" w:rsidP="003B3FDD">
                            <w:pPr>
                              <w:jc w:val="center"/>
                              <w:rPr>
                                <w:rFonts w:ascii="Times New Roman" w:hAnsi="Times New Roman" w:cs="Times New Roman"/>
                                <w:sz w:val="24"/>
                                <w:szCs w:val="24"/>
                              </w:rPr>
                            </w:pPr>
                            <w:r w:rsidRPr="003B3FDD">
                              <w:rPr>
                                <w:rFonts w:ascii="Times New Roman" w:hAnsi="Times New Roman" w:cs="Times New Roman"/>
                                <w:sz w:val="24"/>
                                <w:szCs w:val="24"/>
                              </w:rPr>
                              <w:t>Figure 9: Scatter plots show</w:t>
                            </w:r>
                            <w:r>
                              <w:rPr>
                                <w:rFonts w:ascii="Times New Roman" w:hAnsi="Times New Roman" w:cs="Times New Roman"/>
                                <w:sz w:val="24"/>
                                <w:szCs w:val="24"/>
                              </w:rPr>
                              <w:t>s</w:t>
                            </w:r>
                            <w:r w:rsidRPr="003B3FDD">
                              <w:rPr>
                                <w:rFonts w:ascii="Times New Roman" w:hAnsi="Times New Roman" w:cs="Times New Roman"/>
                                <w:sz w:val="24"/>
                                <w:szCs w:val="24"/>
                              </w:rPr>
                              <w:t xml:space="preserve"> the relationship of different spectral indices with FCD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99155" id="_x0000_t202" coordsize="21600,21600" o:spt="202" path="m,l,21600r21600,l21600,xe">
                <v:stroke joinstyle="miter"/>
                <v:path gradientshapeok="t" o:connecttype="rect"/>
              </v:shapetype>
              <v:shape id="Text Box 2" o:spid="_x0000_s1026" type="#_x0000_t202" style="position:absolute;left:0;text-align:left;margin-left:36.3pt;margin-top:17.15pt;width:618.5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" stroked="f">
                <v:textbox style="mso-fit-shape-to-text:t">
                  <w:txbxContent>
                    <w:p w14:paraId="01DF029B" w14:textId="79E65A08" w:rsidR="00D76AA2" w:rsidRPr="003B3FDD" w:rsidRDefault="003B3FDD" w:rsidP="003B3FDD">
                      <w:pPr>
                        <w:jc w:val="center"/>
                        <w:rPr>
                          <w:rFonts w:ascii="Times New Roman" w:hAnsi="Times New Roman" w:cs="Times New Roman"/>
                          <w:sz w:val="24"/>
                          <w:szCs w:val="24"/>
                        </w:rPr>
                      </w:pPr>
                      <w:r w:rsidRPr="003B3FDD">
                        <w:rPr>
                          <w:rFonts w:ascii="Times New Roman" w:hAnsi="Times New Roman" w:cs="Times New Roman"/>
                          <w:sz w:val="24"/>
                          <w:szCs w:val="24"/>
                        </w:rPr>
                        <w:t>Figure 9: Scatter plots show</w:t>
                      </w:r>
                      <w:r>
                        <w:rPr>
                          <w:rFonts w:ascii="Times New Roman" w:hAnsi="Times New Roman" w:cs="Times New Roman"/>
                          <w:sz w:val="24"/>
                          <w:szCs w:val="24"/>
                        </w:rPr>
                        <w:t>s</w:t>
                      </w:r>
                      <w:r w:rsidRPr="003B3FDD">
                        <w:rPr>
                          <w:rFonts w:ascii="Times New Roman" w:hAnsi="Times New Roman" w:cs="Times New Roman"/>
                          <w:sz w:val="24"/>
                          <w:szCs w:val="24"/>
                        </w:rPr>
                        <w:t xml:space="preserve"> the relationship of different spectral indices with FCD values</w:t>
                      </w:r>
                    </w:p>
                  </w:txbxContent>
                </v:textbox>
                <w10:wrap type="square"/>
              </v:shape>
            </w:pict>
          </mc:Fallback>
        </mc:AlternateContent>
      </w:r>
      <w:r w:rsidR="00105F40" w:rsidRPr="003B3FDD">
        <w:rPr>
          <w:color w:val="0D0D0D" w:themeColor="text1" w:themeTint="F2"/>
        </w:rPr>
        <w:tab/>
      </w:r>
    </w:p>
    <w:p w14:paraId="3E9CEAD4" w14:textId="3B06F841" w:rsidR="00105F40" w:rsidRPr="003B3FDD" w:rsidRDefault="00105F40" w:rsidP="00364273">
      <w:pPr>
        <w:tabs>
          <w:tab w:val="left" w:pos="5049"/>
        </w:tabs>
        <w:spacing w:line="276" w:lineRule="auto"/>
        <w:rPr>
          <w:rFonts w:ascii="Times New Roman" w:hAnsi="Times New Roman" w:cs="Times New Roman"/>
          <w:color w:val="0D0D0D" w:themeColor="text1" w:themeTint="F2"/>
          <w:sz w:val="24"/>
          <w:szCs w:val="24"/>
        </w:rPr>
      </w:pPr>
    </w:p>
    <w:p w14:paraId="0F4A36F1" w14:textId="77777777" w:rsidR="004B3A91" w:rsidRPr="004B3A91" w:rsidRDefault="004B3A91" w:rsidP="004B3A91">
      <w:pPr>
        <w:spacing w:line="276" w:lineRule="auto"/>
        <w:rPr>
          <w:rFonts w:ascii="Times New Roman" w:hAnsi="Times New Roman" w:cs="Times New Roman"/>
          <w:color w:val="0D0D0D" w:themeColor="text1" w:themeTint="F2"/>
          <w:sz w:val="24"/>
          <w:szCs w:val="24"/>
        </w:rPr>
        <w:sectPr w:rsidR="004B3A91" w:rsidRPr="004B3A91" w:rsidSect="004B3A91">
          <w:pgSz w:w="16838" w:h="11906" w:orient="landscape"/>
          <w:pgMar w:top="1440" w:right="1440" w:bottom="1440" w:left="1440" w:header="706" w:footer="706" w:gutter="0"/>
          <w:cols w:space="708"/>
          <w:docGrid w:linePitch="360"/>
        </w:sectPr>
      </w:pPr>
    </w:p>
    <w:p w14:paraId="7F30FB6A" w14:textId="1F8EFE8E" w:rsidR="00597548" w:rsidRDefault="00597548" w:rsidP="00D76AA2">
      <w:pPr>
        <w:pStyle w:val="my-2"/>
        <w:spacing w:line="276" w:lineRule="auto"/>
        <w:rPr>
          <w:color w:val="0D0D0D" w:themeColor="text1" w:themeTint="F2"/>
          <w:lang w:val="en-US"/>
        </w:rPr>
      </w:pPr>
      <w:r w:rsidRPr="003B3FDD">
        <w:rPr>
          <w:color w:val="0D0D0D" w:themeColor="text1" w:themeTint="F2"/>
          <w:lang w:val="en-US"/>
        </w:rPr>
        <w:lastRenderedPageBreak/>
        <w:t>monitoring, capturing degradation in transitional zones near perennial streams (</w:t>
      </w:r>
      <w:proofErr w:type="spellStart"/>
      <w:r w:rsidRPr="003B3FDD">
        <w:rPr>
          <w:color w:val="0D0D0D" w:themeColor="text1" w:themeTint="F2"/>
          <w:lang w:val="en-US"/>
        </w:rPr>
        <w:t>Namasivayam</w:t>
      </w:r>
      <w:proofErr w:type="spellEnd"/>
      <w:r w:rsidRPr="003B3FDD">
        <w:rPr>
          <w:color w:val="0D0D0D" w:themeColor="text1" w:themeTint="F2"/>
          <w:lang w:val="en-US"/>
        </w:rPr>
        <w:t xml:space="preserve"> and </w:t>
      </w:r>
      <w:proofErr w:type="spellStart"/>
      <w:r w:rsidRPr="003B3FDD">
        <w:rPr>
          <w:color w:val="0D0D0D" w:themeColor="text1" w:themeTint="F2"/>
          <w:lang w:val="en-US"/>
        </w:rPr>
        <w:t>Ramamoorthy</w:t>
      </w:r>
      <w:proofErr w:type="spellEnd"/>
      <w:r w:rsidRPr="003B3FDD">
        <w:rPr>
          <w:color w:val="0D0D0D" w:themeColor="text1" w:themeTint="F2"/>
          <w:lang w:val="en-US"/>
        </w:rPr>
        <w:t>, 2024).</w:t>
      </w:r>
    </w:p>
    <w:p w14:paraId="4D2804CF" w14:textId="63C45CD8" w:rsidR="001B76C4" w:rsidRPr="001B76C4" w:rsidRDefault="001B76C4" w:rsidP="001B76C4">
      <w:pPr>
        <w:pStyle w:val="my-2"/>
        <w:spacing w:line="276" w:lineRule="auto"/>
        <w:ind w:firstLine="720"/>
        <w:jc w:val="both"/>
      </w:pPr>
      <w:r w:rsidRPr="001B76C4">
        <w:t xml:space="preserve">The integration of FCD outputs with Land Use Land Cover (LULC) mapping clearly indicates an urgent management priority: expanding Trees Outside Forests (TOF) in the </w:t>
      </w:r>
      <w:proofErr w:type="spellStart"/>
      <w:r w:rsidRPr="001B76C4">
        <w:t>Hunsur</w:t>
      </w:r>
      <w:proofErr w:type="spellEnd"/>
      <w:r w:rsidRPr="001B76C4">
        <w:t xml:space="preserve"> landscape to address both ecological and livelihood needs. A substantial portion of </w:t>
      </w:r>
      <w:proofErr w:type="spellStart"/>
      <w:r w:rsidRPr="001B76C4">
        <w:t>Hunsur</w:t>
      </w:r>
      <w:proofErr w:type="spellEnd"/>
      <w:r w:rsidRPr="001B76C4">
        <w:t xml:space="preserve"> Taluk is under tobacco cultivation, which relies predominantly on fuelwood for curing, thereby generating a very high and spatially concentrated wood demand. At the same time, the taluk’s proximity to </w:t>
      </w:r>
      <w:proofErr w:type="spellStart"/>
      <w:r w:rsidRPr="001B76C4">
        <w:t>Nagarhole</w:t>
      </w:r>
      <w:proofErr w:type="spellEnd"/>
      <w:r w:rsidRPr="001B76C4">
        <w:t xml:space="preserve"> National Park, a designated Tiger Reserve, brings strict conservation regulations that restrict removal of timber and fuelwood from protected forest areas to safeguard wildlife habitat. This juxtaposition creates a pronounced socio</w:t>
      </w:r>
      <w:r w:rsidRPr="001B76C4">
        <w:noBreakHyphen/>
        <w:t>ecological tension between the fuelwood requirements of tobacco-based rural livelihoods and the legal as well as ecological imperatives of biodiversity conservation in and around the Tiger Reserve</w:t>
      </w:r>
      <w:r w:rsidR="00F60DE3" w:rsidRPr="00F60DE3">
        <w:rPr>
          <w:color w:val="0D0D0D" w:themeColor="text1" w:themeTint="F2"/>
        </w:rPr>
        <w:t xml:space="preserve"> </w:t>
      </w:r>
      <w:r w:rsidR="00F60DE3">
        <w:rPr>
          <w:color w:val="0D0D0D" w:themeColor="text1" w:themeTint="F2"/>
        </w:rPr>
        <w:t>(</w:t>
      </w:r>
      <w:proofErr w:type="spellStart"/>
      <w:r w:rsidR="00F60DE3" w:rsidRPr="00F60DE3">
        <w:rPr>
          <w:color w:val="0D0D0D" w:themeColor="text1" w:themeTint="F2"/>
        </w:rPr>
        <w:t>Mahadevamurthy</w:t>
      </w:r>
      <w:proofErr w:type="spellEnd"/>
      <w:r w:rsidR="00F60DE3">
        <w:rPr>
          <w:color w:val="0D0D0D" w:themeColor="text1" w:themeTint="F2"/>
        </w:rPr>
        <w:t>, 2013)</w:t>
      </w:r>
      <w:r w:rsidRPr="001B76C4">
        <w:t>.</w:t>
      </w:r>
    </w:p>
    <w:p w14:paraId="134D4FBF" w14:textId="51578354" w:rsidR="001B76C4" w:rsidRPr="001B76C4" w:rsidRDefault="001B76C4" w:rsidP="00F60DE3">
      <w:pPr>
        <w:pStyle w:val="my-2"/>
        <w:spacing w:line="276" w:lineRule="auto"/>
        <w:ind w:firstLine="720"/>
        <w:jc w:val="both"/>
      </w:pPr>
      <w:r w:rsidRPr="001B76C4">
        <w:t xml:space="preserve">In this context, strategically promoting TOF on private farmlands, community holdings, and agroforestry systems emerges as a viable, decentralized solution that aligns with national and state-level efforts to scale up TOF for climate and livelihood benefits. Expanding farm forestry and multipurpose tree plantations can ensure a dedicated and sustainable fuelwood supply for tobacco curing, thereby reducing anthropogenic pressure on the protected forest cores of </w:t>
      </w:r>
      <w:proofErr w:type="spellStart"/>
      <w:r w:rsidRPr="001B76C4">
        <w:t>Nagarhole</w:t>
      </w:r>
      <w:proofErr w:type="spellEnd"/>
      <w:r w:rsidRPr="001B76C4">
        <w:t xml:space="preserve"> and its buffer. Such interventions simultaneously enhance carbon sequestration and contribute to achieving national tree and forest cover targets by increasing tree cover outside the Recorded Forest Area. Moreover, well</w:t>
      </w:r>
      <w:r w:rsidRPr="001B76C4">
        <w:noBreakHyphen/>
        <w:t>designed agroforestry and woodlot systems improve the economic resilience of tobacco farmers by diversifying farm outputs (timber, poles, fuelwood, and non</w:t>
      </w:r>
      <w:r w:rsidRPr="001B76C4">
        <w:noBreakHyphen/>
        <w:t>timber products) and stabilizing income streams over time</w:t>
      </w:r>
      <w:r w:rsidR="00011B6C">
        <w:t xml:space="preserve"> (</w:t>
      </w:r>
      <w:proofErr w:type="spellStart"/>
      <w:r w:rsidR="00011B6C" w:rsidRPr="00F60DE3">
        <w:rPr>
          <w:color w:val="0D0D0D" w:themeColor="text1" w:themeTint="F2"/>
        </w:rPr>
        <w:t>Naveena</w:t>
      </w:r>
      <w:proofErr w:type="spellEnd"/>
      <w:r w:rsidR="00011B6C">
        <w:rPr>
          <w:color w:val="0D0D0D" w:themeColor="text1" w:themeTint="F2"/>
        </w:rPr>
        <w:t xml:space="preserve"> et al., 2026)</w:t>
      </w:r>
      <w:r w:rsidRPr="001B76C4">
        <w:t>.</w:t>
      </w:r>
    </w:p>
    <w:p w14:paraId="17F91500" w14:textId="77777777" w:rsidR="001B76C4" w:rsidRPr="001B76C4" w:rsidRDefault="001B76C4" w:rsidP="00F60DE3">
      <w:pPr>
        <w:pStyle w:val="my-2"/>
        <w:spacing w:line="276" w:lineRule="auto"/>
        <w:ind w:firstLine="720"/>
        <w:jc w:val="both"/>
      </w:pPr>
      <w:r w:rsidRPr="001B76C4">
        <w:t xml:space="preserve">Integrating TOF expansion with existing agricultural systems in </w:t>
      </w:r>
      <w:proofErr w:type="spellStart"/>
      <w:r w:rsidRPr="001B76C4">
        <w:t>Hunsur</w:t>
      </w:r>
      <w:proofErr w:type="spellEnd"/>
      <w:r w:rsidRPr="001B76C4">
        <w:t xml:space="preserve"> can also strengthen ecological connectivity between remnant forest fragments and the larger </w:t>
      </w:r>
      <w:proofErr w:type="spellStart"/>
      <w:r w:rsidRPr="001B76C4">
        <w:t>Nagarhole</w:t>
      </w:r>
      <w:proofErr w:type="spellEnd"/>
      <w:r w:rsidRPr="001B76C4">
        <w:t xml:space="preserve"> landscape, which is critical for wide-ranging species such as the tiger and other large mammals. By embedding tree resources within agricultural mosaics, the landscape can move toward a more balanced configuration that reconciles conservation priorities with rural livelihood security, effectively operationalizing a “grow</w:t>
      </w:r>
      <w:r w:rsidRPr="001B76C4">
        <w:noBreakHyphen/>
        <w:t>own</w:t>
      </w:r>
      <w:r w:rsidRPr="001B76C4">
        <w:noBreakHyphen/>
        <w:t>fuel” approach tailored to the tobacco sector in this taluk</w:t>
      </w:r>
    </w:p>
    <w:p w14:paraId="1C18DC1D" w14:textId="77777777" w:rsidR="00597548" w:rsidRPr="003B3FDD" w:rsidRDefault="00597548" w:rsidP="00597548">
      <w:pPr>
        <w:pStyle w:val="my-2"/>
        <w:spacing w:line="276" w:lineRule="auto"/>
        <w:rPr>
          <w:color w:val="0D0D0D" w:themeColor="text1" w:themeTint="F2"/>
        </w:rPr>
      </w:pPr>
      <w:r w:rsidRPr="003B3FDD">
        <w:rPr>
          <w:b/>
          <w:bCs/>
          <w:color w:val="0D0D0D" w:themeColor="text1" w:themeTint="F2"/>
          <w:lang w:val="en-US"/>
        </w:rPr>
        <w:t>5.4</w:t>
      </w:r>
      <w:r w:rsidRPr="003B3FDD">
        <w:rPr>
          <w:color w:val="0D0D0D" w:themeColor="text1" w:themeTint="F2"/>
          <w:lang w:val="en-US"/>
        </w:rPr>
        <w:t xml:space="preserve"> </w:t>
      </w:r>
      <w:r w:rsidRPr="003B3FDD">
        <w:rPr>
          <w:b/>
          <w:bCs/>
          <w:color w:val="0D0D0D" w:themeColor="text1" w:themeTint="F2"/>
          <w:lang w:val="en-US"/>
        </w:rPr>
        <w:t xml:space="preserve">Integrated FCD Mapping and Index Correlations in </w:t>
      </w:r>
      <w:proofErr w:type="spellStart"/>
      <w:r w:rsidRPr="003B3FDD">
        <w:rPr>
          <w:b/>
          <w:bCs/>
          <w:color w:val="0D0D0D" w:themeColor="text1" w:themeTint="F2"/>
          <w:lang w:val="en-US"/>
        </w:rPr>
        <w:t>Hunsur</w:t>
      </w:r>
      <w:proofErr w:type="spellEnd"/>
      <w:r w:rsidRPr="003B3FDD">
        <w:rPr>
          <w:b/>
          <w:bCs/>
          <w:color w:val="0D0D0D" w:themeColor="text1" w:themeTint="F2"/>
          <w:lang w:val="en-US"/>
        </w:rPr>
        <w:t xml:space="preserve"> Taluk</w:t>
      </w:r>
    </w:p>
    <w:p w14:paraId="00C0F8D7" w14:textId="77777777" w:rsidR="00597548" w:rsidRPr="003B3FDD" w:rsidRDefault="00597548" w:rsidP="00597548">
      <w:pPr>
        <w:pStyle w:val="my-2"/>
        <w:spacing w:line="276" w:lineRule="auto"/>
        <w:ind w:firstLine="720"/>
        <w:jc w:val="both"/>
        <w:rPr>
          <w:color w:val="0D0D0D" w:themeColor="text1" w:themeTint="F2"/>
        </w:rPr>
      </w:pPr>
      <w:r w:rsidRPr="003B3FDD">
        <w:rPr>
          <w:color w:val="0D0D0D" w:themeColor="text1" w:themeTint="F2"/>
          <w:lang w:val="en-US"/>
        </w:rPr>
        <w:t xml:space="preserve">Correlation and regression analyses confirm robust predictive power, particularly AVI (R²=0.84) and BI (R²=0.82) against FCD percentages, </w:t>
      </w:r>
      <w:r>
        <w:rPr>
          <w:color w:val="0D0D0D"/>
          <w:lang w:val="en-US"/>
        </w:rPr>
        <w:t>whereas the</w:t>
      </w:r>
      <w:r w:rsidRPr="003B3FDD">
        <w:rPr>
          <w:color w:val="0D0D0D" w:themeColor="text1" w:themeTint="F2"/>
          <w:lang w:val="en-US"/>
        </w:rPr>
        <w:t xml:space="preserve"> weaker correlation </w:t>
      </w:r>
      <w:r>
        <w:rPr>
          <w:color w:val="0D0D0D"/>
          <w:lang w:val="en-US"/>
        </w:rPr>
        <w:t xml:space="preserve">of SI </w:t>
      </w:r>
      <w:r w:rsidRPr="003B3FDD">
        <w:rPr>
          <w:color w:val="0D0D0D" w:themeColor="text1" w:themeTint="F2"/>
          <w:lang w:val="en-US"/>
        </w:rPr>
        <w:t xml:space="preserve">(R²=0.1782) reflects its niche sensitivity to shadow complexity in sparse canopies; </w:t>
      </w:r>
      <w:r>
        <w:rPr>
          <w:color w:val="0D0D0D"/>
          <w:lang w:val="en-US"/>
        </w:rPr>
        <w:t xml:space="preserve">the </w:t>
      </w:r>
      <w:r w:rsidRPr="003B3FDD">
        <w:rPr>
          <w:color w:val="0D0D0D" w:themeColor="text1" w:themeTint="F2"/>
          <w:lang w:val="en-US"/>
        </w:rPr>
        <w:t xml:space="preserve">NDVI </w:t>
      </w:r>
      <w:r>
        <w:rPr>
          <w:color w:val="0D0D0D"/>
          <w:lang w:val="en-US"/>
        </w:rPr>
        <w:t>has a</w:t>
      </w:r>
      <w:r w:rsidRPr="003B3FDD">
        <w:rPr>
          <w:color w:val="0D0D0D" w:themeColor="text1" w:themeTint="F2"/>
          <w:lang w:val="en-US"/>
        </w:rPr>
        <w:t xml:space="preserve"> strong fit (R²=0.80), validating multi-index synergy for tropical deciduous monitoring</w:t>
      </w:r>
      <w:r>
        <w:rPr>
          <w:color w:val="0D0D0D"/>
          <w:lang w:val="en-US"/>
        </w:rPr>
        <w:t>.</w:t>
      </w:r>
    </w:p>
    <w:p w14:paraId="0616FB58" w14:textId="77777777" w:rsidR="00597548" w:rsidRPr="003B3FDD" w:rsidRDefault="00597548" w:rsidP="00597548">
      <w:pPr>
        <w:pStyle w:val="my-2"/>
        <w:spacing w:line="276" w:lineRule="auto"/>
        <w:ind w:firstLine="720"/>
        <w:jc w:val="both"/>
        <w:rPr>
          <w:color w:val="0D0D0D" w:themeColor="text1" w:themeTint="F2"/>
        </w:rPr>
      </w:pPr>
      <w:r w:rsidRPr="003B3FDD">
        <w:rPr>
          <w:color w:val="0D0D0D" w:themeColor="text1" w:themeTint="F2"/>
          <w:lang w:val="en-US"/>
        </w:rPr>
        <w:t xml:space="preserve">These correlations affirm </w:t>
      </w:r>
      <w:r>
        <w:rPr>
          <w:color w:val="0D0D0D"/>
          <w:lang w:val="en-US"/>
        </w:rPr>
        <w:t>the</w:t>
      </w:r>
      <w:r w:rsidRPr="003B3FDD">
        <w:rPr>
          <w:color w:val="0D0D0D" w:themeColor="text1" w:themeTint="F2"/>
          <w:lang w:val="en-US"/>
        </w:rPr>
        <w:t xml:space="preserve"> efficacy </w:t>
      </w:r>
      <w:r>
        <w:rPr>
          <w:color w:val="0D0D0D"/>
          <w:lang w:val="en-US"/>
        </w:rPr>
        <w:t>of FCD in semiarid</w:t>
      </w:r>
      <w:r w:rsidRPr="003B3FDD">
        <w:rPr>
          <w:color w:val="0D0D0D" w:themeColor="text1" w:themeTint="F2"/>
          <w:lang w:val="en-US"/>
        </w:rPr>
        <w:t xml:space="preserve"> Karnataka watersheds, where high AVI/NDVI alignment signals biomass vigor in plantations amid groundwater </w:t>
      </w:r>
      <w:r w:rsidRPr="003B3FDD">
        <w:rPr>
          <w:color w:val="0D0D0D" w:themeColor="text1" w:themeTint="F2"/>
          <w:lang w:val="en-US"/>
        </w:rPr>
        <w:lastRenderedPageBreak/>
        <w:t xml:space="preserve">overexploitation, yet BI's inverse trend highlights erosion-prone fallows near perennial streams </w:t>
      </w:r>
      <w:r>
        <w:rPr>
          <w:color w:val="0D0D0D"/>
          <w:lang w:val="en-US"/>
        </w:rPr>
        <w:t>such as</w:t>
      </w:r>
      <w:r w:rsidRPr="003B3FDD">
        <w:rPr>
          <w:color w:val="0D0D0D" w:themeColor="text1" w:themeTint="F2"/>
          <w:lang w:val="en-US"/>
        </w:rPr>
        <w:t xml:space="preserve"> Lakshman </w:t>
      </w:r>
      <w:proofErr w:type="spellStart"/>
      <w:r w:rsidRPr="003B3FDD">
        <w:rPr>
          <w:color w:val="0D0D0D" w:themeColor="text1" w:themeTint="F2"/>
          <w:lang w:val="en-US"/>
        </w:rPr>
        <w:t>Theertha</w:t>
      </w:r>
      <w:proofErr w:type="spellEnd"/>
      <w:r w:rsidRPr="003B3FDD">
        <w:rPr>
          <w:color w:val="0D0D0D" w:themeColor="text1" w:themeTint="F2"/>
          <w:lang w:val="en-US"/>
        </w:rPr>
        <w:t xml:space="preserve"> (</w:t>
      </w:r>
      <w:proofErr w:type="spellStart"/>
      <w:r w:rsidRPr="003B3FDD">
        <w:rPr>
          <w:color w:val="0D0D0D" w:themeColor="text1" w:themeTint="F2"/>
          <w:lang w:val="en-US"/>
        </w:rPr>
        <w:t>Medhe</w:t>
      </w:r>
      <w:proofErr w:type="spellEnd"/>
      <w:r w:rsidRPr="003B3FDD">
        <w:rPr>
          <w:color w:val="0D0D0D" w:themeColor="text1" w:themeTint="F2"/>
          <w:lang w:val="en-US"/>
        </w:rPr>
        <w:t xml:space="preserve"> and Badhe, 2023). SI's modest R² underscores limitations in open forest transitions but enhances structural detail in dense pockets, collectively minimizing single-index biases as per principal component protocols (</w:t>
      </w:r>
      <w:proofErr w:type="spellStart"/>
      <w:r w:rsidRPr="003B3FDD">
        <w:rPr>
          <w:color w:val="0D0D0D" w:themeColor="text1" w:themeTint="F2"/>
          <w:lang w:val="en-US"/>
        </w:rPr>
        <w:t>Rikimaru</w:t>
      </w:r>
      <w:proofErr w:type="spellEnd"/>
      <w:r w:rsidRPr="003B3FDD">
        <w:rPr>
          <w:color w:val="0D0D0D" w:themeColor="text1" w:themeTint="F2"/>
          <w:lang w:val="en-US"/>
        </w:rPr>
        <w:t>, 1996).</w:t>
      </w:r>
    </w:p>
    <w:p w14:paraId="3AB50B07" w14:textId="77777777" w:rsidR="00597548" w:rsidRPr="003B3FDD" w:rsidRDefault="00597548" w:rsidP="00597548">
      <w:pPr>
        <w:pStyle w:val="Heading3"/>
        <w:spacing w:line="276" w:lineRule="auto"/>
        <w:rPr>
          <w:color w:val="0D0D0D" w:themeColor="text1" w:themeTint="F2"/>
          <w:sz w:val="24"/>
          <w:szCs w:val="24"/>
        </w:rPr>
      </w:pPr>
      <w:r w:rsidRPr="003B3FDD">
        <w:rPr>
          <w:color w:val="0D0D0D" w:themeColor="text1" w:themeTint="F2"/>
          <w:sz w:val="24"/>
          <w:szCs w:val="24"/>
          <w:lang w:val="en-US"/>
        </w:rPr>
        <w:t xml:space="preserve">6. Challenges and </w:t>
      </w:r>
      <w:r>
        <w:rPr>
          <w:color w:val="0D0D0D"/>
          <w:sz w:val="24"/>
          <w:szCs w:val="24"/>
          <w:lang w:val="en-US"/>
        </w:rPr>
        <w:t>limitations</w:t>
      </w:r>
    </w:p>
    <w:p w14:paraId="4E74E963" w14:textId="77777777" w:rsidR="00597548" w:rsidRPr="003B3FDD" w:rsidRDefault="00597548" w:rsidP="00597548">
      <w:pPr>
        <w:pStyle w:val="NormalWeb"/>
        <w:spacing w:line="276" w:lineRule="auto"/>
        <w:ind w:firstLine="720"/>
        <w:jc w:val="both"/>
        <w:rPr>
          <w:color w:val="0D0D0D" w:themeColor="text1" w:themeTint="F2"/>
        </w:rPr>
      </w:pPr>
      <w:r w:rsidRPr="003B3FDD">
        <w:rPr>
          <w:color w:val="0D0D0D" w:themeColor="text1" w:themeTint="F2"/>
          <w:lang w:val="en-US"/>
        </w:rPr>
        <w:t xml:space="preserve">The assessment of </w:t>
      </w:r>
      <w:r>
        <w:rPr>
          <w:color w:val="0D0D0D"/>
          <w:lang w:val="en-US"/>
        </w:rPr>
        <w:t>forest canopy density</w:t>
      </w:r>
      <w:r w:rsidRPr="003B3FDD">
        <w:rPr>
          <w:color w:val="0D0D0D" w:themeColor="text1" w:themeTint="F2"/>
          <w:lang w:val="en-US"/>
        </w:rPr>
        <w:t xml:space="preserve"> (FCD) </w:t>
      </w:r>
      <w:r>
        <w:rPr>
          <w:color w:val="0D0D0D"/>
          <w:lang w:val="en-US"/>
        </w:rPr>
        <w:t>via</w:t>
      </w:r>
      <w:r w:rsidRPr="003B3FDD">
        <w:rPr>
          <w:color w:val="0D0D0D" w:themeColor="text1" w:themeTint="F2"/>
          <w:lang w:val="en-US"/>
        </w:rPr>
        <w:t xml:space="preserve"> remote sensing and geospatial techniques faces several challenges and limitations. One major constraint is the influence of cloud cover, atmospheric disturbances, and seasonal variations, which can affect the accuracy of satellite-derived indices such as </w:t>
      </w:r>
      <w:r>
        <w:rPr>
          <w:color w:val="0D0D0D"/>
          <w:lang w:val="en-US"/>
        </w:rPr>
        <w:t xml:space="preserve">the </w:t>
      </w:r>
      <w:r w:rsidRPr="003B3FDD">
        <w:rPr>
          <w:color w:val="0D0D0D" w:themeColor="text1" w:themeTint="F2"/>
          <w:lang w:val="en-US"/>
        </w:rPr>
        <w:t xml:space="preserve">NDVI, AVI, BI, and SI. The spatial resolution of satellite imagery may not adequately capture small-scale canopy gaps or heterogeneous forest patches, leading to generalization errors. The weightage overlay method involves </w:t>
      </w:r>
      <w:r>
        <w:rPr>
          <w:color w:val="0D0D0D"/>
          <w:lang w:val="en-US"/>
        </w:rPr>
        <w:t xml:space="preserve">the </w:t>
      </w:r>
      <w:r w:rsidRPr="003B3FDD">
        <w:rPr>
          <w:color w:val="0D0D0D" w:themeColor="text1" w:themeTint="F2"/>
          <w:lang w:val="en-US"/>
        </w:rPr>
        <w:t xml:space="preserve">subjective assignment of weights to thematic layers, which may introduce bias in the final FCD output. Additionally, topographic effects, shadow </w:t>
      </w:r>
      <w:r>
        <w:rPr>
          <w:color w:val="0D0D0D"/>
          <w:lang w:val="en-US"/>
        </w:rPr>
        <w:t>influences</w:t>
      </w:r>
      <w:r w:rsidRPr="003B3FDD">
        <w:rPr>
          <w:color w:val="0D0D0D" w:themeColor="text1" w:themeTint="F2"/>
          <w:lang w:val="en-US"/>
        </w:rPr>
        <w:t xml:space="preserve"> in hilly terrain, and mixed pixel problems reduce classification accuracy. </w:t>
      </w:r>
      <w:r>
        <w:rPr>
          <w:color w:val="0D0D0D"/>
          <w:lang w:val="en-US"/>
        </w:rPr>
        <w:t>The limited</w:t>
      </w:r>
      <w:r w:rsidRPr="003B3FDD">
        <w:rPr>
          <w:color w:val="0D0D0D" w:themeColor="text1" w:themeTint="F2"/>
          <w:lang w:val="en-US"/>
        </w:rPr>
        <w:t xml:space="preserve"> ground truth data for validation and difficulties in accessing dense forest areas further restrict the reliability and precision of the model outputs.</w:t>
      </w:r>
    </w:p>
    <w:p w14:paraId="762A4D62" w14:textId="77777777" w:rsidR="00597548" w:rsidRPr="003B3FDD" w:rsidRDefault="00597548" w:rsidP="00597548">
      <w:pPr>
        <w:pStyle w:val="Heading3"/>
        <w:spacing w:line="276" w:lineRule="auto"/>
        <w:jc w:val="both"/>
        <w:rPr>
          <w:color w:val="0D0D0D" w:themeColor="text1" w:themeTint="F2"/>
          <w:sz w:val="24"/>
          <w:szCs w:val="24"/>
        </w:rPr>
      </w:pPr>
      <w:r w:rsidRPr="003B3FDD">
        <w:rPr>
          <w:color w:val="0D0D0D" w:themeColor="text1" w:themeTint="F2"/>
          <w:sz w:val="24"/>
          <w:szCs w:val="24"/>
          <w:lang w:val="en-US"/>
        </w:rPr>
        <w:t xml:space="preserve">7. Way </w:t>
      </w:r>
      <w:r>
        <w:rPr>
          <w:color w:val="0D0D0D"/>
          <w:sz w:val="24"/>
          <w:szCs w:val="24"/>
          <w:lang w:val="en-US"/>
        </w:rPr>
        <w:t>forward</w:t>
      </w:r>
    </w:p>
    <w:p w14:paraId="6E140D86" w14:textId="2556215B" w:rsidR="00597548" w:rsidRPr="00011B6C" w:rsidRDefault="00597548" w:rsidP="00011B6C">
      <w:pPr>
        <w:pStyle w:val="NormalWeb"/>
        <w:spacing w:line="276" w:lineRule="auto"/>
        <w:ind w:firstLine="720"/>
        <w:jc w:val="both"/>
        <w:rPr>
          <w:color w:val="0D0D0D" w:themeColor="text1" w:themeTint="F2"/>
          <w:lang w:val="en-US"/>
        </w:rPr>
      </w:pPr>
      <w:r w:rsidRPr="003B3FDD">
        <w:rPr>
          <w:color w:val="0D0D0D" w:themeColor="text1" w:themeTint="F2"/>
          <w:lang w:val="en-US"/>
        </w:rPr>
        <w:t xml:space="preserve">To overcome these challenges, future research should focus on integrating high-resolution satellite data, LiDAR, and UAV-based observations to improve canopy structure assessment and minimize mixed pixel errors. Advanced machine learning and deep learning algorithms can be employed to reduce subjectivity in weight assignment and enhance classification accuracy. </w:t>
      </w:r>
      <w:r>
        <w:rPr>
          <w:color w:val="0D0D0D"/>
          <w:lang w:val="en-US"/>
        </w:rPr>
        <w:t>The incorporation of multitemporal</w:t>
      </w:r>
      <w:r w:rsidRPr="003B3FDD">
        <w:rPr>
          <w:color w:val="0D0D0D" w:themeColor="text1" w:themeTint="F2"/>
          <w:lang w:val="en-US"/>
        </w:rPr>
        <w:t xml:space="preserve"> datasets will help in understanding seasonal dynamics and long-term forest health trends. Improved atmospheric correction techniques and terrain normalization methods can further refine results in complex landscapes. Strengthening field-based validation through systematic sampling and GPS-based ground truth collection will enhance model reliability. </w:t>
      </w:r>
      <w:r>
        <w:rPr>
          <w:color w:val="0D0D0D"/>
          <w:lang w:val="en-US"/>
        </w:rPr>
        <w:t>The integration</w:t>
      </w:r>
      <w:r w:rsidRPr="003B3FDD">
        <w:rPr>
          <w:color w:val="0D0D0D" w:themeColor="text1" w:themeTint="F2"/>
          <w:lang w:val="en-US"/>
        </w:rPr>
        <w:t xml:space="preserve"> of cloud-based platforms such as </w:t>
      </w:r>
      <w:r>
        <w:rPr>
          <w:color w:val="0D0D0D"/>
          <w:lang w:val="en-US"/>
        </w:rPr>
        <w:t xml:space="preserve">the </w:t>
      </w:r>
      <w:r w:rsidRPr="003B3FDD">
        <w:rPr>
          <w:color w:val="0D0D0D" w:themeColor="text1" w:themeTint="F2"/>
          <w:lang w:val="en-US"/>
        </w:rPr>
        <w:t>Google Earth Engine can facilitate large-scale and time-efficient FCD monitoring.</w:t>
      </w:r>
    </w:p>
    <w:p w14:paraId="04244585" w14:textId="77777777" w:rsidR="00597548" w:rsidRPr="003B3FDD" w:rsidRDefault="00597548" w:rsidP="00597548">
      <w:pPr>
        <w:pStyle w:val="Heading3"/>
        <w:spacing w:line="276" w:lineRule="auto"/>
        <w:jc w:val="both"/>
        <w:rPr>
          <w:color w:val="0D0D0D" w:themeColor="text1" w:themeTint="F2"/>
          <w:sz w:val="24"/>
          <w:szCs w:val="24"/>
        </w:rPr>
      </w:pPr>
      <w:r w:rsidRPr="003B3FDD">
        <w:rPr>
          <w:color w:val="0D0D0D" w:themeColor="text1" w:themeTint="F2"/>
          <w:sz w:val="24"/>
          <w:szCs w:val="24"/>
          <w:lang w:val="en-US"/>
        </w:rPr>
        <w:t>8. Conclusion</w:t>
      </w:r>
    </w:p>
    <w:p w14:paraId="1EF8C011" w14:textId="77777777" w:rsidR="00F3573C" w:rsidRPr="00F3573C" w:rsidRDefault="00F3573C" w:rsidP="00F3573C">
      <w:pPr>
        <w:pStyle w:val="NormalWeb"/>
        <w:spacing w:line="276" w:lineRule="auto"/>
        <w:ind w:firstLine="720"/>
        <w:jc w:val="both"/>
        <w:rPr>
          <w:color w:val="0D0D0D" w:themeColor="text1" w:themeTint="F2"/>
        </w:rPr>
      </w:pPr>
      <w:r w:rsidRPr="00F3573C">
        <w:rPr>
          <w:color w:val="0D0D0D" w:themeColor="text1" w:themeTint="F2"/>
        </w:rPr>
        <w:t xml:space="preserve">Remote sensing-based Forest Canopy Density (FCD) </w:t>
      </w:r>
      <w:proofErr w:type="spellStart"/>
      <w:r w:rsidRPr="00F3573C">
        <w:rPr>
          <w:color w:val="0D0D0D" w:themeColor="text1" w:themeTint="F2"/>
        </w:rPr>
        <w:t>modeling</w:t>
      </w:r>
      <w:proofErr w:type="spellEnd"/>
      <w:r w:rsidRPr="00F3573C">
        <w:rPr>
          <w:color w:val="0D0D0D" w:themeColor="text1" w:themeTint="F2"/>
        </w:rPr>
        <w:t xml:space="preserve"> offers a robust and efficient framework for assessing forest health, structural complexity, and spatial distribution. While limitations exist regarding spatial resolution and the inherent subjectivity of biophysical indices, the integration of advanced satellite imagery and machine learning significantly enhances the reliability of these models. Consequently, FCD mapping serves as a critical decision-support tool for sustainable forest management, biodiversity conservation, and strategic environmental planning.</w:t>
      </w:r>
    </w:p>
    <w:p w14:paraId="711382BC" w14:textId="77777777" w:rsidR="00011B6C" w:rsidRPr="00011B6C" w:rsidRDefault="00011B6C" w:rsidP="00011B6C">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sidRPr="00011B6C">
        <w:rPr>
          <w:rFonts w:ascii="Times New Roman" w:eastAsia="Times New Roman" w:hAnsi="Times New Roman" w:cs="Times New Roman"/>
          <w:color w:val="0D0D0D" w:themeColor="text1" w:themeTint="F2"/>
          <w:sz w:val="24"/>
          <w:szCs w:val="24"/>
          <w:lang w:eastAsia="en-IN"/>
        </w:rPr>
        <w:t xml:space="preserve">Based on the LULC and FCD maps, there is a clear need to expand Trees Outside Forests (TOF) in </w:t>
      </w:r>
      <w:proofErr w:type="spellStart"/>
      <w:r w:rsidRPr="00011B6C">
        <w:rPr>
          <w:rFonts w:ascii="Times New Roman" w:eastAsia="Times New Roman" w:hAnsi="Times New Roman" w:cs="Times New Roman"/>
          <w:color w:val="0D0D0D" w:themeColor="text1" w:themeTint="F2"/>
          <w:sz w:val="24"/>
          <w:szCs w:val="24"/>
          <w:lang w:eastAsia="en-IN"/>
        </w:rPr>
        <w:t>Hunsur</w:t>
      </w:r>
      <w:proofErr w:type="spellEnd"/>
      <w:r w:rsidRPr="00011B6C">
        <w:rPr>
          <w:rFonts w:ascii="Times New Roman" w:eastAsia="Times New Roman" w:hAnsi="Times New Roman" w:cs="Times New Roman"/>
          <w:color w:val="0D0D0D" w:themeColor="text1" w:themeTint="F2"/>
          <w:sz w:val="24"/>
          <w:szCs w:val="24"/>
          <w:lang w:eastAsia="en-IN"/>
        </w:rPr>
        <w:t xml:space="preserve">. Extensive tobacco cultivation in the region creates high fuelwood demand for curing, while proximity to </w:t>
      </w:r>
      <w:proofErr w:type="spellStart"/>
      <w:r w:rsidRPr="00011B6C">
        <w:rPr>
          <w:rFonts w:ascii="Times New Roman" w:eastAsia="Times New Roman" w:hAnsi="Times New Roman" w:cs="Times New Roman"/>
          <w:color w:val="0D0D0D" w:themeColor="text1" w:themeTint="F2"/>
          <w:sz w:val="24"/>
          <w:szCs w:val="24"/>
          <w:lang w:eastAsia="en-IN"/>
        </w:rPr>
        <w:t>Nagarhole</w:t>
      </w:r>
      <w:proofErr w:type="spellEnd"/>
      <w:r w:rsidRPr="00011B6C">
        <w:rPr>
          <w:rFonts w:ascii="Times New Roman" w:eastAsia="Times New Roman" w:hAnsi="Times New Roman" w:cs="Times New Roman"/>
          <w:color w:val="0D0D0D" w:themeColor="text1" w:themeTint="F2"/>
          <w:sz w:val="24"/>
          <w:szCs w:val="24"/>
          <w:lang w:eastAsia="en-IN"/>
        </w:rPr>
        <w:t xml:space="preserve"> National Park restricts forest resource </w:t>
      </w:r>
      <w:r w:rsidRPr="00011B6C">
        <w:rPr>
          <w:rFonts w:ascii="Times New Roman" w:eastAsia="Times New Roman" w:hAnsi="Times New Roman" w:cs="Times New Roman"/>
          <w:color w:val="0D0D0D" w:themeColor="text1" w:themeTint="F2"/>
          <w:sz w:val="24"/>
          <w:szCs w:val="24"/>
          <w:lang w:eastAsia="en-IN"/>
        </w:rPr>
        <w:lastRenderedPageBreak/>
        <w:t>extraction due to conservation regulations. Promoting TOF on private and community lands can provide a sustainable fuelwood supply, reduce pressure on protected forests, strengthen farmers’ livelihoods, and enhance carbon sequestration and ecological stability in the landscape.</w:t>
      </w:r>
    </w:p>
    <w:p w14:paraId="358F8A2D" w14:textId="793E4325" w:rsidR="006E5928" w:rsidRPr="003B3FDD" w:rsidRDefault="005F463D" w:rsidP="00364273">
      <w:p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 xml:space="preserve">9. </w:t>
      </w:r>
      <w:r w:rsidR="006E5928" w:rsidRPr="003B3FDD">
        <w:rPr>
          <w:rFonts w:ascii="Times New Roman" w:eastAsia="Times New Roman" w:hAnsi="Times New Roman" w:cs="Times New Roman"/>
          <w:b/>
          <w:bCs/>
          <w:color w:val="0D0D0D" w:themeColor="text1" w:themeTint="F2"/>
          <w:sz w:val="24"/>
          <w:szCs w:val="24"/>
          <w:lang w:eastAsia="en-IN"/>
        </w:rPr>
        <w:t>Reference</w:t>
      </w:r>
      <w:r w:rsidRPr="003B3FDD">
        <w:rPr>
          <w:rFonts w:ascii="Times New Roman" w:eastAsia="Times New Roman" w:hAnsi="Times New Roman" w:cs="Times New Roman"/>
          <w:b/>
          <w:bCs/>
          <w:color w:val="0D0D0D" w:themeColor="text1" w:themeTint="F2"/>
          <w:sz w:val="24"/>
          <w:szCs w:val="24"/>
          <w:lang w:eastAsia="en-IN"/>
        </w:rPr>
        <w:t>s</w:t>
      </w:r>
      <w:r w:rsidR="006E5928" w:rsidRPr="003B3FDD">
        <w:rPr>
          <w:rFonts w:ascii="Times New Roman" w:eastAsia="Times New Roman" w:hAnsi="Times New Roman" w:cs="Times New Roman"/>
          <w:b/>
          <w:bCs/>
          <w:color w:val="0D0D0D" w:themeColor="text1" w:themeTint="F2"/>
          <w:sz w:val="24"/>
          <w:szCs w:val="24"/>
          <w:lang w:eastAsia="en-IN"/>
        </w:rPr>
        <w:t xml:space="preserve"> </w:t>
      </w:r>
    </w:p>
    <w:p w14:paraId="20A9DBCA"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bookmarkStart w:id="1" w:name="_Hlk222820703"/>
      <w:proofErr w:type="spellStart"/>
      <w:r w:rsidRPr="003B3FDD">
        <w:rPr>
          <w:rFonts w:ascii="Times New Roman" w:eastAsia="Times New Roman" w:hAnsi="Times New Roman" w:cs="Times New Roman"/>
          <w:color w:val="0D0D0D" w:themeColor="text1" w:themeTint="F2"/>
          <w:sz w:val="24"/>
          <w:szCs w:val="24"/>
          <w:lang w:eastAsia="en-IN"/>
        </w:rPr>
        <w:t>Abdollahnejad</w:t>
      </w:r>
      <w:proofErr w:type="spellEnd"/>
      <w:r w:rsidRPr="003B3FDD">
        <w:rPr>
          <w:rFonts w:ascii="Times New Roman" w:eastAsia="Times New Roman" w:hAnsi="Times New Roman" w:cs="Times New Roman"/>
          <w:color w:val="0D0D0D" w:themeColor="text1" w:themeTint="F2"/>
          <w:sz w:val="24"/>
          <w:szCs w:val="24"/>
          <w:lang w:eastAsia="en-IN"/>
        </w:rPr>
        <w:t xml:space="preserve">, A., </w:t>
      </w:r>
      <w:proofErr w:type="spellStart"/>
      <w:r w:rsidRPr="003B3FDD">
        <w:rPr>
          <w:rFonts w:ascii="Times New Roman" w:eastAsia="Times New Roman" w:hAnsi="Times New Roman" w:cs="Times New Roman"/>
          <w:color w:val="0D0D0D" w:themeColor="text1" w:themeTint="F2"/>
          <w:sz w:val="24"/>
          <w:szCs w:val="24"/>
          <w:lang w:eastAsia="en-IN"/>
        </w:rPr>
        <w:t>Panagiotidis</w:t>
      </w:r>
      <w:proofErr w:type="spellEnd"/>
      <w:r w:rsidRPr="003B3FDD">
        <w:rPr>
          <w:rFonts w:ascii="Times New Roman" w:eastAsia="Times New Roman" w:hAnsi="Times New Roman" w:cs="Times New Roman"/>
          <w:color w:val="0D0D0D" w:themeColor="text1" w:themeTint="F2"/>
          <w:sz w:val="24"/>
          <w:szCs w:val="24"/>
          <w:lang w:eastAsia="en-IN"/>
        </w:rPr>
        <w:t xml:space="preserve">, D., &amp; </w:t>
      </w:r>
      <w:proofErr w:type="spellStart"/>
      <w:r w:rsidRPr="003B3FDD">
        <w:rPr>
          <w:rFonts w:ascii="Times New Roman" w:eastAsia="Times New Roman" w:hAnsi="Times New Roman" w:cs="Times New Roman"/>
          <w:color w:val="0D0D0D" w:themeColor="text1" w:themeTint="F2"/>
          <w:sz w:val="24"/>
          <w:szCs w:val="24"/>
          <w:lang w:eastAsia="en-IN"/>
        </w:rPr>
        <w:t>Surový</w:t>
      </w:r>
      <w:proofErr w:type="spellEnd"/>
      <w:r w:rsidRPr="003B3FDD">
        <w:rPr>
          <w:rFonts w:ascii="Times New Roman" w:eastAsia="Times New Roman" w:hAnsi="Times New Roman" w:cs="Times New Roman"/>
          <w:color w:val="0D0D0D" w:themeColor="text1" w:themeTint="F2"/>
          <w:sz w:val="24"/>
          <w:szCs w:val="24"/>
          <w:lang w:eastAsia="en-IN"/>
        </w:rPr>
        <w:t>, P. (2017). Forest canopy density assessment using different approaches-review.</w:t>
      </w:r>
    </w:p>
    <w:p w14:paraId="2F61A1A3"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 xml:space="preserve">Abdullah, A. Y. M., </w:t>
      </w:r>
      <w:proofErr w:type="spellStart"/>
      <w:r w:rsidRPr="003B3FDD">
        <w:rPr>
          <w:rFonts w:ascii="Times New Roman" w:eastAsia="Times New Roman" w:hAnsi="Times New Roman" w:cs="Times New Roman"/>
          <w:color w:val="0D0D0D" w:themeColor="text1" w:themeTint="F2"/>
          <w:sz w:val="24"/>
          <w:szCs w:val="24"/>
          <w:lang w:eastAsia="en-IN"/>
        </w:rPr>
        <w:t>Masrur</w:t>
      </w:r>
      <w:proofErr w:type="spellEnd"/>
      <w:r w:rsidRPr="003B3FDD">
        <w:rPr>
          <w:rFonts w:ascii="Times New Roman" w:eastAsia="Times New Roman" w:hAnsi="Times New Roman" w:cs="Times New Roman"/>
          <w:color w:val="0D0D0D" w:themeColor="text1" w:themeTint="F2"/>
          <w:sz w:val="24"/>
          <w:szCs w:val="24"/>
          <w:lang w:eastAsia="en-IN"/>
        </w:rPr>
        <w:t xml:space="preserve">, A., Adnan, M. S. G., </w:t>
      </w:r>
      <w:proofErr w:type="spellStart"/>
      <w:r w:rsidRPr="003B3FDD">
        <w:rPr>
          <w:rFonts w:ascii="Times New Roman" w:eastAsia="Times New Roman" w:hAnsi="Times New Roman" w:cs="Times New Roman"/>
          <w:color w:val="0D0D0D" w:themeColor="text1" w:themeTint="F2"/>
          <w:sz w:val="24"/>
          <w:szCs w:val="24"/>
          <w:lang w:eastAsia="en-IN"/>
        </w:rPr>
        <w:t>Baky</w:t>
      </w:r>
      <w:proofErr w:type="spellEnd"/>
      <w:r w:rsidRPr="003B3FDD">
        <w:rPr>
          <w:rFonts w:ascii="Times New Roman" w:eastAsia="Times New Roman" w:hAnsi="Times New Roman" w:cs="Times New Roman"/>
          <w:color w:val="0D0D0D" w:themeColor="text1" w:themeTint="F2"/>
          <w:sz w:val="24"/>
          <w:szCs w:val="24"/>
          <w:lang w:eastAsia="en-IN"/>
        </w:rPr>
        <w:t xml:space="preserve">, M. A. A., Hassan, Q. K., &amp; Dewan, A. (2019). </w:t>
      </w:r>
      <w:proofErr w:type="spellStart"/>
      <w:r w:rsidRPr="003B3FDD">
        <w:rPr>
          <w:rFonts w:ascii="Times New Roman" w:eastAsia="Times New Roman" w:hAnsi="Times New Roman" w:cs="Times New Roman"/>
          <w:color w:val="0D0D0D" w:themeColor="text1" w:themeTint="F2"/>
          <w:sz w:val="24"/>
          <w:szCs w:val="24"/>
          <w:lang w:eastAsia="en-IN"/>
        </w:rPr>
        <w:t>Spatio</w:t>
      </w:r>
      <w:proofErr w:type="spellEnd"/>
      <w:r w:rsidRPr="003B3FDD">
        <w:rPr>
          <w:rFonts w:ascii="Times New Roman" w:eastAsia="Times New Roman" w:hAnsi="Times New Roman" w:cs="Times New Roman"/>
          <w:color w:val="0D0D0D" w:themeColor="text1" w:themeTint="F2"/>
          <w:sz w:val="24"/>
          <w:szCs w:val="24"/>
          <w:lang w:eastAsia="en-IN"/>
        </w:rPr>
        <w:t>-temporal patterns of land use/land cover change in the heterogeneous coastal region of Bangladesh between 1990 and 2017. </w:t>
      </w:r>
      <w:r w:rsidRPr="003B3FDD">
        <w:rPr>
          <w:rFonts w:ascii="Times New Roman" w:eastAsia="Times New Roman" w:hAnsi="Times New Roman" w:cs="Times New Roman"/>
          <w:i/>
          <w:iCs/>
          <w:color w:val="0D0D0D" w:themeColor="text1" w:themeTint="F2"/>
          <w:sz w:val="24"/>
          <w:szCs w:val="24"/>
          <w:lang w:eastAsia="en-IN"/>
        </w:rPr>
        <w:t>Remote Sensing</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11</w:t>
      </w:r>
      <w:r w:rsidRPr="003B3FDD">
        <w:rPr>
          <w:rFonts w:ascii="Times New Roman" w:eastAsia="Times New Roman" w:hAnsi="Times New Roman" w:cs="Times New Roman"/>
          <w:color w:val="0D0D0D" w:themeColor="text1" w:themeTint="F2"/>
          <w:sz w:val="24"/>
          <w:szCs w:val="24"/>
          <w:lang w:eastAsia="en-IN"/>
        </w:rPr>
        <w:t>(7), 790.</w:t>
      </w:r>
    </w:p>
    <w:p w14:paraId="4F82A81B"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 xml:space="preserve">Anonymous (1993) Rehabilitation of logged over forests in Asia/Pacific region. Final Report of Sub Project II International Tropical Tim </w:t>
      </w:r>
      <w:proofErr w:type="spellStart"/>
      <w:r w:rsidRPr="003B3FDD">
        <w:rPr>
          <w:rFonts w:ascii="Times New Roman" w:eastAsia="Times New Roman" w:hAnsi="Times New Roman" w:cs="Times New Roman"/>
          <w:color w:val="0D0D0D" w:themeColor="text1" w:themeTint="F2"/>
          <w:sz w:val="24"/>
          <w:szCs w:val="24"/>
          <w:lang w:eastAsia="en-IN"/>
        </w:rPr>
        <w:t>ber</w:t>
      </w:r>
      <w:proofErr w:type="spellEnd"/>
      <w:r w:rsidRPr="003B3FDD">
        <w:rPr>
          <w:rFonts w:ascii="Times New Roman" w:eastAsia="Times New Roman" w:hAnsi="Times New Roman" w:cs="Times New Roman"/>
          <w:color w:val="0D0D0D" w:themeColor="text1" w:themeTint="F2"/>
          <w:sz w:val="24"/>
          <w:szCs w:val="24"/>
          <w:lang w:eastAsia="en-IN"/>
        </w:rPr>
        <w:t xml:space="preserve"> Organization—Japan Overseas Forestry Consultants </w:t>
      </w:r>
      <w:proofErr w:type="spellStart"/>
      <w:r w:rsidRPr="003B3FDD">
        <w:rPr>
          <w:rFonts w:ascii="Times New Roman" w:eastAsia="Times New Roman" w:hAnsi="Times New Roman" w:cs="Times New Roman"/>
          <w:color w:val="0D0D0D" w:themeColor="text1" w:themeTint="F2"/>
          <w:sz w:val="24"/>
          <w:szCs w:val="24"/>
          <w:lang w:eastAsia="en-IN"/>
        </w:rPr>
        <w:t>Associa</w:t>
      </w:r>
      <w:proofErr w:type="spellEnd"/>
      <w:r w:rsidRPr="003B3FDD">
        <w:rPr>
          <w:rFonts w:ascii="Times New Roman" w:eastAsia="Times New Roman" w:hAnsi="Times New Roman" w:cs="Times New Roman"/>
          <w:color w:val="0D0D0D" w:themeColor="text1" w:themeTint="F2"/>
          <w:sz w:val="24"/>
          <w:szCs w:val="24"/>
          <w:lang w:eastAsia="en-IN"/>
        </w:rPr>
        <w:t xml:space="preserve"> </w:t>
      </w:r>
      <w:proofErr w:type="spellStart"/>
      <w:r w:rsidRPr="003B3FDD">
        <w:rPr>
          <w:rFonts w:ascii="Times New Roman" w:eastAsia="Times New Roman" w:hAnsi="Times New Roman" w:cs="Times New Roman"/>
          <w:color w:val="0D0D0D" w:themeColor="text1" w:themeTint="F2"/>
          <w:sz w:val="24"/>
          <w:szCs w:val="24"/>
          <w:lang w:eastAsia="en-IN"/>
        </w:rPr>
        <w:t>tion</w:t>
      </w:r>
      <w:proofErr w:type="spellEnd"/>
      <w:r w:rsidRPr="003B3FDD">
        <w:rPr>
          <w:rFonts w:ascii="Times New Roman" w:eastAsia="Times New Roman" w:hAnsi="Times New Roman" w:cs="Times New Roman"/>
          <w:color w:val="0D0D0D" w:themeColor="text1" w:themeTint="F2"/>
          <w:sz w:val="24"/>
          <w:szCs w:val="24"/>
          <w:lang w:eastAsia="en-IN"/>
        </w:rPr>
        <w:t>, pp 1–78.</w:t>
      </w:r>
    </w:p>
    <w:p w14:paraId="6277EEFF"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Bhandari, A. K., Kumar, A., &amp; Singh, G. K. (2012). Feature extraction using Normalized Difference Vegetation Index (NDVI): A case study of Jabalpur city. </w:t>
      </w:r>
      <w:r w:rsidRPr="003B3FDD">
        <w:rPr>
          <w:rFonts w:ascii="Times New Roman" w:eastAsia="Times New Roman" w:hAnsi="Times New Roman" w:cs="Times New Roman"/>
          <w:i/>
          <w:iCs/>
          <w:color w:val="0D0D0D" w:themeColor="text1" w:themeTint="F2"/>
          <w:sz w:val="24"/>
          <w:szCs w:val="24"/>
          <w:lang w:eastAsia="en-IN"/>
        </w:rPr>
        <w:t>Procedia technology</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6</w:t>
      </w:r>
      <w:r w:rsidRPr="003B3FDD">
        <w:rPr>
          <w:rFonts w:ascii="Times New Roman" w:eastAsia="Times New Roman" w:hAnsi="Times New Roman" w:cs="Times New Roman"/>
          <w:color w:val="0D0D0D" w:themeColor="text1" w:themeTint="F2"/>
          <w:sz w:val="24"/>
          <w:szCs w:val="24"/>
          <w:lang w:eastAsia="en-IN"/>
        </w:rPr>
        <w:t>, 612-621.</w:t>
      </w:r>
    </w:p>
    <w:p w14:paraId="2E1888A6"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t>Breiman</w:t>
      </w:r>
      <w:proofErr w:type="spellEnd"/>
      <w:r w:rsidRPr="003B3FDD">
        <w:rPr>
          <w:rFonts w:ascii="Times New Roman" w:eastAsia="Times New Roman" w:hAnsi="Times New Roman" w:cs="Times New Roman"/>
          <w:color w:val="0D0D0D" w:themeColor="text1" w:themeTint="F2"/>
          <w:sz w:val="24"/>
          <w:szCs w:val="24"/>
          <w:lang w:eastAsia="en-IN"/>
        </w:rPr>
        <w:t>, L. (2001). Random forests. </w:t>
      </w:r>
      <w:r w:rsidRPr="003B3FDD">
        <w:rPr>
          <w:rFonts w:ascii="Times New Roman" w:eastAsia="Times New Roman" w:hAnsi="Times New Roman" w:cs="Times New Roman"/>
          <w:i/>
          <w:iCs/>
          <w:color w:val="0D0D0D" w:themeColor="text1" w:themeTint="F2"/>
          <w:sz w:val="24"/>
          <w:szCs w:val="24"/>
          <w:lang w:eastAsia="en-IN"/>
        </w:rPr>
        <w:t>Machine learning</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45</w:t>
      </w:r>
      <w:r w:rsidRPr="003B3FDD">
        <w:rPr>
          <w:rFonts w:ascii="Times New Roman" w:eastAsia="Times New Roman" w:hAnsi="Times New Roman" w:cs="Times New Roman"/>
          <w:color w:val="0D0D0D" w:themeColor="text1" w:themeTint="F2"/>
          <w:sz w:val="24"/>
          <w:szCs w:val="24"/>
          <w:lang w:eastAsia="en-IN"/>
        </w:rPr>
        <w:t>(1), 5-32.</w:t>
      </w:r>
    </w:p>
    <w:p w14:paraId="7E3F243D"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Camargo, F. F., Sano, E. E., Almeida, C. M., Mura, J. C., &amp; Almeida, T. (2019). A comparative assessment of machine-learning techniques for land use and land cover classification of the Brazilian tropical savanna using ALOS-2/PALSAR-2 polarimetric images. </w:t>
      </w:r>
      <w:r w:rsidRPr="003B3FDD">
        <w:rPr>
          <w:rFonts w:ascii="Times New Roman" w:eastAsia="Times New Roman" w:hAnsi="Times New Roman" w:cs="Times New Roman"/>
          <w:i/>
          <w:iCs/>
          <w:color w:val="0D0D0D" w:themeColor="text1" w:themeTint="F2"/>
          <w:sz w:val="24"/>
          <w:szCs w:val="24"/>
          <w:lang w:eastAsia="en-IN"/>
        </w:rPr>
        <w:t>Remote Sensing</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11</w:t>
      </w:r>
      <w:r w:rsidRPr="003B3FDD">
        <w:rPr>
          <w:rFonts w:ascii="Times New Roman" w:eastAsia="Times New Roman" w:hAnsi="Times New Roman" w:cs="Times New Roman"/>
          <w:color w:val="0D0D0D" w:themeColor="text1" w:themeTint="F2"/>
          <w:sz w:val="24"/>
          <w:szCs w:val="24"/>
          <w:lang w:eastAsia="en-IN"/>
        </w:rPr>
        <w:t>(13), 1600.</w:t>
      </w:r>
    </w:p>
    <w:p w14:paraId="575E337E"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Deka, J., Tripathi, O. P., &amp; Khan, M. L. (2013). Implementation of forest canopy density model to monitor tropical deforestation. </w:t>
      </w:r>
      <w:r w:rsidRPr="003B3FDD">
        <w:rPr>
          <w:rFonts w:ascii="Times New Roman" w:eastAsia="Times New Roman" w:hAnsi="Times New Roman" w:cs="Times New Roman"/>
          <w:i/>
          <w:iCs/>
          <w:color w:val="0D0D0D" w:themeColor="text1" w:themeTint="F2"/>
          <w:sz w:val="24"/>
          <w:szCs w:val="24"/>
          <w:lang w:eastAsia="en-IN"/>
        </w:rPr>
        <w:t xml:space="preserve">Journal of the </w:t>
      </w:r>
      <w:proofErr w:type="spellStart"/>
      <w:r w:rsidRPr="003B3FDD">
        <w:rPr>
          <w:rFonts w:ascii="Times New Roman" w:eastAsia="Times New Roman" w:hAnsi="Times New Roman" w:cs="Times New Roman"/>
          <w:i/>
          <w:iCs/>
          <w:color w:val="0D0D0D" w:themeColor="text1" w:themeTint="F2"/>
          <w:sz w:val="24"/>
          <w:szCs w:val="24"/>
          <w:lang w:eastAsia="en-IN"/>
        </w:rPr>
        <w:t>indian</w:t>
      </w:r>
      <w:proofErr w:type="spellEnd"/>
      <w:r w:rsidRPr="003B3FDD">
        <w:rPr>
          <w:rFonts w:ascii="Times New Roman" w:eastAsia="Times New Roman" w:hAnsi="Times New Roman" w:cs="Times New Roman"/>
          <w:i/>
          <w:iCs/>
          <w:color w:val="0D0D0D" w:themeColor="text1" w:themeTint="F2"/>
          <w:sz w:val="24"/>
          <w:szCs w:val="24"/>
          <w:lang w:eastAsia="en-IN"/>
        </w:rPr>
        <w:t xml:space="preserve"> society of remote sensing</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41</w:t>
      </w:r>
      <w:r w:rsidRPr="003B3FDD">
        <w:rPr>
          <w:rFonts w:ascii="Times New Roman" w:eastAsia="Times New Roman" w:hAnsi="Times New Roman" w:cs="Times New Roman"/>
          <w:color w:val="0D0D0D" w:themeColor="text1" w:themeTint="F2"/>
          <w:sz w:val="24"/>
          <w:szCs w:val="24"/>
          <w:lang w:eastAsia="en-IN"/>
        </w:rPr>
        <w:t xml:space="preserve">(2), 469-475. </w:t>
      </w:r>
    </w:p>
    <w:p w14:paraId="53EA4203"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 xml:space="preserve">Gandhi, G. M., Parthiban, B. S., </w:t>
      </w:r>
      <w:proofErr w:type="spellStart"/>
      <w:r w:rsidRPr="003B3FDD">
        <w:rPr>
          <w:rFonts w:ascii="Times New Roman" w:eastAsia="Times New Roman" w:hAnsi="Times New Roman" w:cs="Times New Roman"/>
          <w:color w:val="0D0D0D" w:themeColor="text1" w:themeTint="F2"/>
          <w:sz w:val="24"/>
          <w:szCs w:val="24"/>
          <w:lang w:eastAsia="en-IN"/>
        </w:rPr>
        <w:t>Thummalu</w:t>
      </w:r>
      <w:proofErr w:type="spellEnd"/>
      <w:r w:rsidRPr="003B3FDD">
        <w:rPr>
          <w:rFonts w:ascii="Times New Roman" w:eastAsia="Times New Roman" w:hAnsi="Times New Roman" w:cs="Times New Roman"/>
          <w:color w:val="0D0D0D" w:themeColor="text1" w:themeTint="F2"/>
          <w:sz w:val="24"/>
          <w:szCs w:val="24"/>
          <w:lang w:eastAsia="en-IN"/>
        </w:rPr>
        <w:t xml:space="preserve">, N., &amp; Christy, A. (2015). </w:t>
      </w:r>
      <w:proofErr w:type="spellStart"/>
      <w:r w:rsidRPr="003B3FDD">
        <w:rPr>
          <w:rFonts w:ascii="Times New Roman" w:eastAsia="Times New Roman" w:hAnsi="Times New Roman" w:cs="Times New Roman"/>
          <w:color w:val="0D0D0D" w:themeColor="text1" w:themeTint="F2"/>
          <w:sz w:val="24"/>
          <w:szCs w:val="24"/>
          <w:lang w:eastAsia="en-IN"/>
        </w:rPr>
        <w:t>Ndvi</w:t>
      </w:r>
      <w:proofErr w:type="spellEnd"/>
      <w:r w:rsidRPr="003B3FDD">
        <w:rPr>
          <w:rFonts w:ascii="Times New Roman" w:eastAsia="Times New Roman" w:hAnsi="Times New Roman" w:cs="Times New Roman"/>
          <w:color w:val="0D0D0D" w:themeColor="text1" w:themeTint="F2"/>
          <w:sz w:val="24"/>
          <w:szCs w:val="24"/>
          <w:lang w:eastAsia="en-IN"/>
        </w:rPr>
        <w:t xml:space="preserve">: Vegetation change detection using remote sensing and </w:t>
      </w:r>
      <w:proofErr w:type="spellStart"/>
      <w:r w:rsidRPr="003B3FDD">
        <w:rPr>
          <w:rFonts w:ascii="Times New Roman" w:eastAsia="Times New Roman" w:hAnsi="Times New Roman" w:cs="Times New Roman"/>
          <w:color w:val="0D0D0D" w:themeColor="text1" w:themeTint="F2"/>
          <w:sz w:val="24"/>
          <w:szCs w:val="24"/>
          <w:lang w:eastAsia="en-IN"/>
        </w:rPr>
        <w:t>gis</w:t>
      </w:r>
      <w:proofErr w:type="spellEnd"/>
      <w:r w:rsidRPr="003B3FDD">
        <w:rPr>
          <w:rFonts w:ascii="Times New Roman" w:eastAsia="Times New Roman" w:hAnsi="Times New Roman" w:cs="Times New Roman"/>
          <w:color w:val="0D0D0D" w:themeColor="text1" w:themeTint="F2"/>
          <w:sz w:val="24"/>
          <w:szCs w:val="24"/>
          <w:lang w:eastAsia="en-IN"/>
        </w:rPr>
        <w:t>–A case study of Vellore District. </w:t>
      </w:r>
      <w:r w:rsidRPr="003B3FDD">
        <w:rPr>
          <w:rFonts w:ascii="Times New Roman" w:eastAsia="Times New Roman" w:hAnsi="Times New Roman" w:cs="Times New Roman"/>
          <w:i/>
          <w:iCs/>
          <w:color w:val="0D0D0D" w:themeColor="text1" w:themeTint="F2"/>
          <w:sz w:val="24"/>
          <w:szCs w:val="24"/>
          <w:lang w:eastAsia="en-IN"/>
        </w:rPr>
        <w:t>Procedia computer science</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57</w:t>
      </w:r>
      <w:r w:rsidRPr="003B3FDD">
        <w:rPr>
          <w:rFonts w:ascii="Times New Roman" w:eastAsia="Times New Roman" w:hAnsi="Times New Roman" w:cs="Times New Roman"/>
          <w:color w:val="0D0D0D" w:themeColor="text1" w:themeTint="F2"/>
          <w:sz w:val="24"/>
          <w:szCs w:val="24"/>
          <w:lang w:eastAsia="en-IN"/>
        </w:rPr>
        <w:t>, 1199-1210.</w:t>
      </w:r>
    </w:p>
    <w:p w14:paraId="5CF353BD"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t>Huemmrich</w:t>
      </w:r>
      <w:proofErr w:type="spellEnd"/>
      <w:r w:rsidRPr="003B3FDD">
        <w:rPr>
          <w:rFonts w:ascii="Times New Roman" w:eastAsia="Times New Roman" w:hAnsi="Times New Roman" w:cs="Times New Roman"/>
          <w:color w:val="0D0D0D" w:themeColor="text1" w:themeTint="F2"/>
          <w:sz w:val="24"/>
          <w:szCs w:val="24"/>
          <w:lang w:eastAsia="en-IN"/>
        </w:rPr>
        <w:t>, K. F. (1996, May). Effects of shadows on vegetation indices. In </w:t>
      </w:r>
      <w:r w:rsidRPr="003B3FDD">
        <w:rPr>
          <w:rFonts w:ascii="Times New Roman" w:eastAsia="Times New Roman" w:hAnsi="Times New Roman" w:cs="Times New Roman"/>
          <w:i/>
          <w:iCs/>
          <w:color w:val="0D0D0D" w:themeColor="text1" w:themeTint="F2"/>
          <w:sz w:val="24"/>
          <w:szCs w:val="24"/>
          <w:lang w:eastAsia="en-IN"/>
        </w:rPr>
        <w:t>IGARSS'96. 1996 International Geoscience and Remote Sensing Symposium</w:t>
      </w:r>
      <w:r w:rsidRPr="003B3FDD">
        <w:rPr>
          <w:rFonts w:ascii="Times New Roman" w:eastAsia="Times New Roman" w:hAnsi="Times New Roman" w:cs="Times New Roman"/>
          <w:color w:val="0D0D0D" w:themeColor="text1" w:themeTint="F2"/>
          <w:sz w:val="24"/>
          <w:szCs w:val="24"/>
          <w:lang w:eastAsia="en-IN"/>
        </w:rPr>
        <w:t> (Vol. 4, pp. 2372-2374). IEEE.</w:t>
      </w:r>
    </w:p>
    <w:p w14:paraId="7DE07404"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 xml:space="preserve">Joshi, C., De Leeuw, J., Skidmore, A. K., Van Duren, I. C., &amp; Van </w:t>
      </w:r>
      <w:proofErr w:type="spellStart"/>
      <w:r w:rsidRPr="003B3FDD">
        <w:rPr>
          <w:rFonts w:ascii="Times New Roman" w:eastAsia="Times New Roman" w:hAnsi="Times New Roman" w:cs="Times New Roman"/>
          <w:color w:val="0D0D0D" w:themeColor="text1" w:themeTint="F2"/>
          <w:sz w:val="24"/>
          <w:szCs w:val="24"/>
          <w:lang w:eastAsia="en-IN"/>
        </w:rPr>
        <w:t>Oosten</w:t>
      </w:r>
      <w:proofErr w:type="spellEnd"/>
      <w:r w:rsidRPr="003B3FDD">
        <w:rPr>
          <w:rFonts w:ascii="Times New Roman" w:eastAsia="Times New Roman" w:hAnsi="Times New Roman" w:cs="Times New Roman"/>
          <w:color w:val="0D0D0D" w:themeColor="text1" w:themeTint="F2"/>
          <w:sz w:val="24"/>
          <w:szCs w:val="24"/>
          <w:lang w:eastAsia="en-IN"/>
        </w:rPr>
        <w:t>, H. (2006). Remotely sensed estimation of forest canopy density: A comparison of the performance of four methods. International Journal of Applied Earth Observation and Geoinformation, 8(2), 84-95.</w:t>
      </w:r>
    </w:p>
    <w:p w14:paraId="26CFAF0C"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lastRenderedPageBreak/>
        <w:t>Kaliraj</w:t>
      </w:r>
      <w:proofErr w:type="spellEnd"/>
      <w:r w:rsidRPr="003B3FDD">
        <w:rPr>
          <w:rFonts w:ascii="Times New Roman" w:eastAsia="Times New Roman" w:hAnsi="Times New Roman" w:cs="Times New Roman"/>
          <w:color w:val="0D0D0D" w:themeColor="text1" w:themeTint="F2"/>
          <w:sz w:val="24"/>
          <w:szCs w:val="24"/>
          <w:lang w:eastAsia="en-IN"/>
        </w:rPr>
        <w:t xml:space="preserve">, S., Joe, R. J., </w:t>
      </w:r>
      <w:proofErr w:type="spellStart"/>
      <w:r w:rsidRPr="003B3FDD">
        <w:rPr>
          <w:rFonts w:ascii="Times New Roman" w:eastAsia="Times New Roman" w:hAnsi="Times New Roman" w:cs="Times New Roman"/>
          <w:color w:val="0D0D0D" w:themeColor="text1" w:themeTint="F2"/>
          <w:sz w:val="24"/>
          <w:szCs w:val="24"/>
          <w:lang w:eastAsia="en-IN"/>
        </w:rPr>
        <w:t>Pitchaimani</w:t>
      </w:r>
      <w:proofErr w:type="spellEnd"/>
      <w:r w:rsidRPr="003B3FDD">
        <w:rPr>
          <w:rFonts w:ascii="Times New Roman" w:eastAsia="Times New Roman" w:hAnsi="Times New Roman" w:cs="Times New Roman"/>
          <w:color w:val="0D0D0D" w:themeColor="text1" w:themeTint="F2"/>
          <w:sz w:val="24"/>
          <w:szCs w:val="24"/>
          <w:lang w:eastAsia="en-IN"/>
        </w:rPr>
        <w:t xml:space="preserve">, V. S., </w:t>
      </w:r>
      <w:proofErr w:type="spellStart"/>
      <w:r w:rsidRPr="003B3FDD">
        <w:rPr>
          <w:rFonts w:ascii="Times New Roman" w:eastAsia="Times New Roman" w:hAnsi="Times New Roman" w:cs="Times New Roman"/>
          <w:color w:val="0D0D0D" w:themeColor="text1" w:themeTint="F2"/>
          <w:sz w:val="24"/>
          <w:szCs w:val="24"/>
          <w:lang w:eastAsia="en-IN"/>
        </w:rPr>
        <w:t>Abishek</w:t>
      </w:r>
      <w:proofErr w:type="spellEnd"/>
      <w:r w:rsidRPr="003B3FDD">
        <w:rPr>
          <w:rFonts w:ascii="Times New Roman" w:eastAsia="Times New Roman" w:hAnsi="Times New Roman" w:cs="Times New Roman"/>
          <w:color w:val="0D0D0D" w:themeColor="text1" w:themeTint="F2"/>
          <w:sz w:val="24"/>
          <w:szCs w:val="24"/>
          <w:lang w:eastAsia="en-IN"/>
        </w:rPr>
        <w:t xml:space="preserve">, S. R., &amp; </w:t>
      </w:r>
      <w:proofErr w:type="spellStart"/>
      <w:r w:rsidRPr="003B3FDD">
        <w:rPr>
          <w:rFonts w:ascii="Times New Roman" w:eastAsia="Times New Roman" w:hAnsi="Times New Roman" w:cs="Times New Roman"/>
          <w:color w:val="0D0D0D" w:themeColor="text1" w:themeTint="F2"/>
          <w:sz w:val="24"/>
          <w:szCs w:val="24"/>
          <w:lang w:eastAsia="en-IN"/>
        </w:rPr>
        <w:t>Karuppannan</w:t>
      </w:r>
      <w:proofErr w:type="spellEnd"/>
      <w:r w:rsidRPr="003B3FDD">
        <w:rPr>
          <w:rFonts w:ascii="Times New Roman" w:eastAsia="Times New Roman" w:hAnsi="Times New Roman" w:cs="Times New Roman"/>
          <w:color w:val="0D0D0D" w:themeColor="text1" w:themeTint="F2"/>
          <w:sz w:val="24"/>
          <w:szCs w:val="24"/>
          <w:lang w:eastAsia="en-IN"/>
        </w:rPr>
        <w:t xml:space="preserve">, S. (2026). GIS-based assessment of land degradation vulnerability and environmental indices as ecological indicators in Western </w:t>
      </w:r>
      <w:proofErr w:type="spellStart"/>
      <w:r w:rsidRPr="003B3FDD">
        <w:rPr>
          <w:rFonts w:ascii="Times New Roman" w:eastAsia="Times New Roman" w:hAnsi="Times New Roman" w:cs="Times New Roman"/>
          <w:color w:val="0D0D0D" w:themeColor="text1" w:themeTint="F2"/>
          <w:sz w:val="24"/>
          <w:szCs w:val="24"/>
          <w:lang w:eastAsia="en-IN"/>
        </w:rPr>
        <w:t>Agro</w:t>
      </w:r>
      <w:proofErr w:type="spellEnd"/>
      <w:r w:rsidRPr="003B3FDD">
        <w:rPr>
          <w:rFonts w:ascii="Times New Roman" w:eastAsia="Times New Roman" w:hAnsi="Times New Roman" w:cs="Times New Roman"/>
          <w:color w:val="0D0D0D" w:themeColor="text1" w:themeTint="F2"/>
          <w:sz w:val="24"/>
          <w:szCs w:val="24"/>
          <w:lang w:eastAsia="en-IN"/>
        </w:rPr>
        <w:t>-climatic zone of Tamil Nadu, India. </w:t>
      </w:r>
      <w:r w:rsidRPr="003B3FDD">
        <w:rPr>
          <w:rFonts w:ascii="Times New Roman" w:eastAsia="Times New Roman" w:hAnsi="Times New Roman" w:cs="Times New Roman"/>
          <w:i/>
          <w:iCs/>
          <w:color w:val="0D0D0D" w:themeColor="text1" w:themeTint="F2"/>
          <w:sz w:val="24"/>
          <w:szCs w:val="24"/>
          <w:lang w:eastAsia="en-IN"/>
        </w:rPr>
        <w:t>Scientific Reports</w:t>
      </w:r>
      <w:r w:rsidRPr="003B3FDD">
        <w:rPr>
          <w:rFonts w:ascii="Times New Roman" w:eastAsia="Times New Roman" w:hAnsi="Times New Roman" w:cs="Times New Roman"/>
          <w:color w:val="0D0D0D" w:themeColor="text1" w:themeTint="F2"/>
          <w:sz w:val="24"/>
          <w:szCs w:val="24"/>
          <w:lang w:eastAsia="en-IN"/>
        </w:rPr>
        <w:t>.</w:t>
      </w:r>
    </w:p>
    <w:p w14:paraId="087B20ED"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 xml:space="preserve">KP, P. R., &amp; Reddy, S. R. RAINFALL TREND ANALYSIS OF A MINI WATERSHED: A CASE STUDY ON DEGRADING LAKES/TANKS. </w:t>
      </w:r>
    </w:p>
    <w:p w14:paraId="76AAD519"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t>Liaw</w:t>
      </w:r>
      <w:proofErr w:type="spellEnd"/>
      <w:r w:rsidRPr="003B3FDD">
        <w:rPr>
          <w:rFonts w:ascii="Times New Roman" w:eastAsia="Times New Roman" w:hAnsi="Times New Roman" w:cs="Times New Roman"/>
          <w:color w:val="0D0D0D" w:themeColor="text1" w:themeTint="F2"/>
          <w:sz w:val="24"/>
          <w:szCs w:val="24"/>
          <w:lang w:eastAsia="en-IN"/>
        </w:rPr>
        <w:t xml:space="preserve">, A., &amp; Wiener, M. (2002). Classification and regression by </w:t>
      </w:r>
      <w:proofErr w:type="spellStart"/>
      <w:r w:rsidRPr="003B3FDD">
        <w:rPr>
          <w:rFonts w:ascii="Times New Roman" w:eastAsia="Times New Roman" w:hAnsi="Times New Roman" w:cs="Times New Roman"/>
          <w:color w:val="0D0D0D" w:themeColor="text1" w:themeTint="F2"/>
          <w:sz w:val="24"/>
          <w:szCs w:val="24"/>
          <w:lang w:eastAsia="en-IN"/>
        </w:rPr>
        <w:t>randomForest</w:t>
      </w:r>
      <w:proofErr w:type="spellEnd"/>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R news</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2</w:t>
      </w:r>
      <w:r w:rsidRPr="003B3FDD">
        <w:rPr>
          <w:rFonts w:ascii="Times New Roman" w:eastAsia="Times New Roman" w:hAnsi="Times New Roman" w:cs="Times New Roman"/>
          <w:color w:val="0D0D0D" w:themeColor="text1" w:themeTint="F2"/>
          <w:sz w:val="24"/>
          <w:szCs w:val="24"/>
          <w:lang w:eastAsia="en-IN"/>
        </w:rPr>
        <w:t>(3), 18-22.</w:t>
      </w:r>
    </w:p>
    <w:p w14:paraId="12BE1858"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Ma, L., Li, M., Ma, X., Cheng, L., Du, P., &amp; Liu, Y. (2017). A review of supervised object-based land-cover image classification. </w:t>
      </w:r>
      <w:r w:rsidRPr="003B3FDD">
        <w:rPr>
          <w:rFonts w:ascii="Times New Roman" w:eastAsia="Times New Roman" w:hAnsi="Times New Roman" w:cs="Times New Roman"/>
          <w:i/>
          <w:iCs/>
          <w:color w:val="0D0D0D" w:themeColor="text1" w:themeTint="F2"/>
          <w:sz w:val="24"/>
          <w:szCs w:val="24"/>
          <w:lang w:eastAsia="en-IN"/>
        </w:rPr>
        <w:t>ISPRS Journal of Photogrammetry and Remote Sensing</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130</w:t>
      </w:r>
      <w:r w:rsidRPr="003B3FDD">
        <w:rPr>
          <w:rFonts w:ascii="Times New Roman" w:eastAsia="Times New Roman" w:hAnsi="Times New Roman" w:cs="Times New Roman"/>
          <w:color w:val="0D0D0D" w:themeColor="text1" w:themeTint="F2"/>
          <w:sz w:val="24"/>
          <w:szCs w:val="24"/>
          <w:lang w:eastAsia="en-IN"/>
        </w:rPr>
        <w:t>, 277-293.</w:t>
      </w:r>
    </w:p>
    <w:p w14:paraId="21B8AFFA" w14:textId="77777777" w:rsidR="00011B6C"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F60DE3">
        <w:rPr>
          <w:rFonts w:ascii="Times New Roman" w:eastAsia="Times New Roman" w:hAnsi="Times New Roman" w:cs="Times New Roman"/>
          <w:color w:val="0D0D0D" w:themeColor="text1" w:themeTint="F2"/>
          <w:sz w:val="24"/>
          <w:szCs w:val="24"/>
          <w:lang w:eastAsia="en-IN"/>
        </w:rPr>
        <w:t>Mahadevamurthy</w:t>
      </w:r>
      <w:proofErr w:type="spellEnd"/>
      <w:r w:rsidRPr="00F60DE3">
        <w:rPr>
          <w:rFonts w:ascii="Times New Roman" w:eastAsia="Times New Roman" w:hAnsi="Times New Roman" w:cs="Times New Roman"/>
          <w:color w:val="0D0D0D" w:themeColor="text1" w:themeTint="F2"/>
          <w:sz w:val="24"/>
          <w:szCs w:val="24"/>
          <w:lang w:eastAsia="en-IN"/>
        </w:rPr>
        <w:t xml:space="preserve">, M. (2013). Assessment of fuel wood requirement for tobacco curing in </w:t>
      </w:r>
      <w:proofErr w:type="spellStart"/>
      <w:r w:rsidRPr="00F60DE3">
        <w:rPr>
          <w:rFonts w:ascii="Times New Roman" w:eastAsia="Times New Roman" w:hAnsi="Times New Roman" w:cs="Times New Roman"/>
          <w:color w:val="0D0D0D" w:themeColor="text1" w:themeTint="F2"/>
          <w:sz w:val="24"/>
          <w:szCs w:val="24"/>
          <w:lang w:eastAsia="en-IN"/>
        </w:rPr>
        <w:t>Periyapatna</w:t>
      </w:r>
      <w:proofErr w:type="spellEnd"/>
      <w:r w:rsidRPr="00F60DE3">
        <w:rPr>
          <w:rFonts w:ascii="Times New Roman" w:eastAsia="Times New Roman" w:hAnsi="Times New Roman" w:cs="Times New Roman"/>
          <w:color w:val="0D0D0D" w:themeColor="text1" w:themeTint="F2"/>
          <w:sz w:val="24"/>
          <w:szCs w:val="24"/>
          <w:lang w:eastAsia="en-IN"/>
        </w:rPr>
        <w:t xml:space="preserve"> and </w:t>
      </w:r>
      <w:proofErr w:type="spellStart"/>
      <w:r w:rsidRPr="00F60DE3">
        <w:rPr>
          <w:rFonts w:ascii="Times New Roman" w:eastAsia="Times New Roman" w:hAnsi="Times New Roman" w:cs="Times New Roman"/>
          <w:color w:val="0D0D0D" w:themeColor="text1" w:themeTint="F2"/>
          <w:sz w:val="24"/>
          <w:szCs w:val="24"/>
          <w:lang w:eastAsia="en-IN"/>
        </w:rPr>
        <w:t>Hunsur</w:t>
      </w:r>
      <w:proofErr w:type="spellEnd"/>
      <w:r w:rsidRPr="00F60DE3">
        <w:rPr>
          <w:rFonts w:ascii="Times New Roman" w:eastAsia="Times New Roman" w:hAnsi="Times New Roman" w:cs="Times New Roman"/>
          <w:color w:val="0D0D0D" w:themeColor="text1" w:themeTint="F2"/>
          <w:sz w:val="24"/>
          <w:szCs w:val="24"/>
          <w:lang w:eastAsia="en-IN"/>
        </w:rPr>
        <w:t xml:space="preserve"> taluks of Karnataka. </w:t>
      </w:r>
      <w:r w:rsidRPr="00F60DE3">
        <w:rPr>
          <w:rFonts w:ascii="Times New Roman" w:eastAsia="Times New Roman" w:hAnsi="Times New Roman" w:cs="Times New Roman"/>
          <w:i/>
          <w:iCs/>
          <w:color w:val="0D0D0D" w:themeColor="text1" w:themeTint="F2"/>
          <w:sz w:val="24"/>
          <w:szCs w:val="24"/>
          <w:lang w:eastAsia="en-IN"/>
        </w:rPr>
        <w:t>Global Journal of Biology, Agriculture &amp; Health Sciences, 2</w:t>
      </w:r>
      <w:r w:rsidRPr="00F60DE3">
        <w:rPr>
          <w:rFonts w:ascii="Times New Roman" w:eastAsia="Times New Roman" w:hAnsi="Times New Roman" w:cs="Times New Roman"/>
          <w:color w:val="0D0D0D" w:themeColor="text1" w:themeTint="F2"/>
          <w:sz w:val="24"/>
          <w:szCs w:val="24"/>
          <w:lang w:eastAsia="en-IN"/>
        </w:rPr>
        <w:t>(2), 67–72.</w:t>
      </w:r>
    </w:p>
    <w:p w14:paraId="4543D2A7"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t>Manjunatha</w:t>
      </w:r>
      <w:proofErr w:type="spellEnd"/>
      <w:r w:rsidRPr="003B3FDD">
        <w:rPr>
          <w:rFonts w:ascii="Times New Roman" w:eastAsia="Times New Roman" w:hAnsi="Times New Roman" w:cs="Times New Roman"/>
          <w:color w:val="0D0D0D" w:themeColor="text1" w:themeTint="F2"/>
          <w:sz w:val="24"/>
          <w:szCs w:val="24"/>
          <w:lang w:eastAsia="en-IN"/>
        </w:rPr>
        <w:t xml:space="preserve">, M. C., &amp; </w:t>
      </w:r>
      <w:proofErr w:type="spellStart"/>
      <w:r w:rsidRPr="003B3FDD">
        <w:rPr>
          <w:rFonts w:ascii="Times New Roman" w:eastAsia="Times New Roman" w:hAnsi="Times New Roman" w:cs="Times New Roman"/>
          <w:color w:val="0D0D0D" w:themeColor="text1" w:themeTint="F2"/>
          <w:sz w:val="24"/>
          <w:szCs w:val="24"/>
          <w:lang w:eastAsia="en-IN"/>
        </w:rPr>
        <w:t>Basavarajappa</w:t>
      </w:r>
      <w:proofErr w:type="spellEnd"/>
      <w:r w:rsidRPr="003B3FDD">
        <w:rPr>
          <w:rFonts w:ascii="Times New Roman" w:eastAsia="Times New Roman" w:hAnsi="Times New Roman" w:cs="Times New Roman"/>
          <w:color w:val="0D0D0D" w:themeColor="text1" w:themeTint="F2"/>
          <w:sz w:val="24"/>
          <w:szCs w:val="24"/>
          <w:lang w:eastAsia="en-IN"/>
        </w:rPr>
        <w:t xml:space="preserve">, H. T. (2021). Geospatial approach in Land Classification Analysis for </w:t>
      </w:r>
      <w:proofErr w:type="spellStart"/>
      <w:r w:rsidRPr="003B3FDD">
        <w:rPr>
          <w:rFonts w:ascii="Times New Roman" w:eastAsia="Times New Roman" w:hAnsi="Times New Roman" w:cs="Times New Roman"/>
          <w:color w:val="0D0D0D" w:themeColor="text1" w:themeTint="F2"/>
          <w:sz w:val="24"/>
          <w:szCs w:val="24"/>
          <w:lang w:eastAsia="en-IN"/>
        </w:rPr>
        <w:t>Hunasuru</w:t>
      </w:r>
      <w:proofErr w:type="spellEnd"/>
      <w:r w:rsidRPr="003B3FDD">
        <w:rPr>
          <w:rFonts w:ascii="Times New Roman" w:eastAsia="Times New Roman" w:hAnsi="Times New Roman" w:cs="Times New Roman"/>
          <w:color w:val="0D0D0D" w:themeColor="text1" w:themeTint="F2"/>
          <w:sz w:val="24"/>
          <w:szCs w:val="24"/>
          <w:lang w:eastAsia="en-IN"/>
        </w:rPr>
        <w:t xml:space="preserve"> Taluk of Karnataka State, India. </w:t>
      </w:r>
      <w:r w:rsidRPr="003B3FDD">
        <w:rPr>
          <w:rFonts w:ascii="Times New Roman" w:eastAsia="Times New Roman" w:hAnsi="Times New Roman" w:cs="Times New Roman"/>
          <w:i/>
          <w:iCs/>
          <w:color w:val="0D0D0D" w:themeColor="text1" w:themeTint="F2"/>
          <w:sz w:val="24"/>
          <w:szCs w:val="24"/>
          <w:lang w:eastAsia="en-IN"/>
        </w:rPr>
        <w:t>METHODOLOGY</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8</w:t>
      </w:r>
      <w:r w:rsidRPr="003B3FDD">
        <w:rPr>
          <w:rFonts w:ascii="Times New Roman" w:eastAsia="Times New Roman" w:hAnsi="Times New Roman" w:cs="Times New Roman"/>
          <w:color w:val="0D0D0D" w:themeColor="text1" w:themeTint="F2"/>
          <w:sz w:val="24"/>
          <w:szCs w:val="24"/>
          <w:lang w:eastAsia="en-IN"/>
        </w:rPr>
        <w:t>(8).</w:t>
      </w:r>
    </w:p>
    <w:p w14:paraId="55F5196C"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t>Medhe</w:t>
      </w:r>
      <w:proofErr w:type="spellEnd"/>
      <w:r w:rsidRPr="003B3FDD">
        <w:rPr>
          <w:rFonts w:ascii="Times New Roman" w:eastAsia="Times New Roman" w:hAnsi="Times New Roman" w:cs="Times New Roman"/>
          <w:color w:val="0D0D0D" w:themeColor="text1" w:themeTint="F2"/>
          <w:sz w:val="24"/>
          <w:szCs w:val="24"/>
          <w:lang w:eastAsia="en-IN"/>
        </w:rPr>
        <w:t xml:space="preserve"> R. S, Badhe Y. P. Forest Canopy Density Monitoring by Using Geospatial Techniques: A Study of </w:t>
      </w:r>
      <w:proofErr w:type="spellStart"/>
      <w:r w:rsidRPr="003B3FDD">
        <w:rPr>
          <w:rFonts w:ascii="Times New Roman" w:eastAsia="Times New Roman" w:hAnsi="Times New Roman" w:cs="Times New Roman"/>
          <w:color w:val="0D0D0D" w:themeColor="text1" w:themeTint="F2"/>
          <w:sz w:val="24"/>
          <w:szCs w:val="24"/>
          <w:lang w:eastAsia="en-IN"/>
        </w:rPr>
        <w:t>Gadchiroli</w:t>
      </w:r>
      <w:proofErr w:type="spellEnd"/>
      <w:r w:rsidRPr="003B3FDD">
        <w:rPr>
          <w:rFonts w:ascii="Times New Roman" w:eastAsia="Times New Roman" w:hAnsi="Times New Roman" w:cs="Times New Roman"/>
          <w:color w:val="0D0D0D" w:themeColor="text1" w:themeTint="F2"/>
          <w:sz w:val="24"/>
          <w:szCs w:val="24"/>
          <w:lang w:eastAsia="en-IN"/>
        </w:rPr>
        <w:t xml:space="preserve"> District, Maharashtra, India. </w:t>
      </w:r>
      <w:proofErr w:type="spellStart"/>
      <w:r w:rsidRPr="003B3FDD">
        <w:rPr>
          <w:rFonts w:ascii="Times New Roman" w:eastAsia="Times New Roman" w:hAnsi="Times New Roman" w:cs="Times New Roman"/>
          <w:color w:val="0D0D0D" w:themeColor="text1" w:themeTint="F2"/>
          <w:sz w:val="24"/>
          <w:szCs w:val="24"/>
          <w:lang w:eastAsia="en-IN"/>
        </w:rPr>
        <w:t>Curr</w:t>
      </w:r>
      <w:proofErr w:type="spellEnd"/>
      <w:r w:rsidRPr="003B3FDD">
        <w:rPr>
          <w:rFonts w:ascii="Times New Roman" w:eastAsia="Times New Roman" w:hAnsi="Times New Roman" w:cs="Times New Roman"/>
          <w:color w:val="0D0D0D" w:themeColor="text1" w:themeTint="F2"/>
          <w:sz w:val="24"/>
          <w:szCs w:val="24"/>
          <w:lang w:eastAsia="en-IN"/>
        </w:rPr>
        <w:t xml:space="preserve"> World Environ 2023;18(3).</w:t>
      </w:r>
    </w:p>
    <w:p w14:paraId="36DD2C63"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 xml:space="preserve">Mehmood, K., </w:t>
      </w:r>
      <w:proofErr w:type="spellStart"/>
      <w:r w:rsidRPr="003B3FDD">
        <w:rPr>
          <w:rFonts w:ascii="Times New Roman" w:eastAsia="Times New Roman" w:hAnsi="Times New Roman" w:cs="Times New Roman"/>
          <w:color w:val="0D0D0D" w:themeColor="text1" w:themeTint="F2"/>
          <w:sz w:val="24"/>
          <w:szCs w:val="24"/>
          <w:lang w:eastAsia="en-IN"/>
        </w:rPr>
        <w:t>Anees</w:t>
      </w:r>
      <w:proofErr w:type="spellEnd"/>
      <w:r w:rsidRPr="003B3FDD">
        <w:rPr>
          <w:rFonts w:ascii="Times New Roman" w:eastAsia="Times New Roman" w:hAnsi="Times New Roman" w:cs="Times New Roman"/>
          <w:color w:val="0D0D0D" w:themeColor="text1" w:themeTint="F2"/>
          <w:sz w:val="24"/>
          <w:szCs w:val="24"/>
          <w:lang w:eastAsia="en-IN"/>
        </w:rPr>
        <w:t xml:space="preserve">, S. A., Muhammad, S., Hussain, K., Shahzad, F., Liu, Q., ... &amp; Khan, W. R. (2024). </w:t>
      </w:r>
      <w:proofErr w:type="spellStart"/>
      <w:r w:rsidRPr="003B3FDD">
        <w:rPr>
          <w:rFonts w:ascii="Times New Roman" w:eastAsia="Times New Roman" w:hAnsi="Times New Roman" w:cs="Times New Roman"/>
          <w:color w:val="0D0D0D" w:themeColor="text1" w:themeTint="F2"/>
          <w:sz w:val="24"/>
          <w:szCs w:val="24"/>
          <w:lang w:eastAsia="en-IN"/>
        </w:rPr>
        <w:t>Analyzing</w:t>
      </w:r>
      <w:proofErr w:type="spellEnd"/>
      <w:r w:rsidRPr="003B3FDD">
        <w:rPr>
          <w:rFonts w:ascii="Times New Roman" w:eastAsia="Times New Roman" w:hAnsi="Times New Roman" w:cs="Times New Roman"/>
          <w:color w:val="0D0D0D" w:themeColor="text1" w:themeTint="F2"/>
          <w:sz w:val="24"/>
          <w:szCs w:val="24"/>
          <w:lang w:eastAsia="en-IN"/>
        </w:rPr>
        <w:t xml:space="preserve"> vegetation health dynamics across seasons and regions through NDVI and climatic variables. </w:t>
      </w:r>
      <w:r w:rsidRPr="003B3FDD">
        <w:rPr>
          <w:rFonts w:ascii="Times New Roman" w:eastAsia="Times New Roman" w:hAnsi="Times New Roman" w:cs="Times New Roman"/>
          <w:i/>
          <w:iCs/>
          <w:color w:val="0D0D0D" w:themeColor="text1" w:themeTint="F2"/>
          <w:sz w:val="24"/>
          <w:szCs w:val="24"/>
          <w:lang w:eastAsia="en-IN"/>
        </w:rPr>
        <w:t>Scientific Reports</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14</w:t>
      </w:r>
      <w:r w:rsidRPr="003B3FDD">
        <w:rPr>
          <w:rFonts w:ascii="Times New Roman" w:eastAsia="Times New Roman" w:hAnsi="Times New Roman" w:cs="Times New Roman"/>
          <w:color w:val="0D0D0D" w:themeColor="text1" w:themeTint="F2"/>
          <w:sz w:val="24"/>
          <w:szCs w:val="24"/>
          <w:lang w:eastAsia="en-IN"/>
        </w:rPr>
        <w:t>(1), 11775.</w:t>
      </w:r>
    </w:p>
    <w:p w14:paraId="5DFC97DF"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t>Namasivayam</w:t>
      </w:r>
      <w:proofErr w:type="spellEnd"/>
      <w:r w:rsidRPr="003B3FDD">
        <w:rPr>
          <w:rFonts w:ascii="Times New Roman" w:eastAsia="Times New Roman" w:hAnsi="Times New Roman" w:cs="Times New Roman"/>
          <w:color w:val="0D0D0D" w:themeColor="text1" w:themeTint="F2"/>
          <w:sz w:val="24"/>
          <w:szCs w:val="24"/>
          <w:lang w:eastAsia="en-IN"/>
        </w:rPr>
        <w:t xml:space="preserve">, G., &amp; </w:t>
      </w:r>
      <w:proofErr w:type="spellStart"/>
      <w:r w:rsidRPr="003B3FDD">
        <w:rPr>
          <w:rFonts w:ascii="Times New Roman" w:eastAsia="Times New Roman" w:hAnsi="Times New Roman" w:cs="Times New Roman"/>
          <w:color w:val="0D0D0D" w:themeColor="text1" w:themeTint="F2"/>
          <w:sz w:val="24"/>
          <w:szCs w:val="24"/>
          <w:lang w:eastAsia="en-IN"/>
        </w:rPr>
        <w:t>Ramamoorthy</w:t>
      </w:r>
      <w:proofErr w:type="spellEnd"/>
      <w:r w:rsidRPr="003B3FDD">
        <w:rPr>
          <w:rFonts w:ascii="Times New Roman" w:eastAsia="Times New Roman" w:hAnsi="Times New Roman" w:cs="Times New Roman"/>
          <w:color w:val="0D0D0D" w:themeColor="text1" w:themeTint="F2"/>
          <w:sz w:val="24"/>
          <w:szCs w:val="24"/>
          <w:lang w:eastAsia="en-IN"/>
        </w:rPr>
        <w:t xml:space="preserve">, S. (2024). Estimation of forest canopy density through Geospatial Technology—a case study on </w:t>
      </w:r>
      <w:proofErr w:type="spellStart"/>
      <w:r w:rsidRPr="003B3FDD">
        <w:rPr>
          <w:rFonts w:ascii="Times New Roman" w:eastAsia="Times New Roman" w:hAnsi="Times New Roman" w:cs="Times New Roman"/>
          <w:color w:val="0D0D0D" w:themeColor="text1" w:themeTint="F2"/>
          <w:sz w:val="24"/>
          <w:szCs w:val="24"/>
          <w:lang w:eastAsia="en-IN"/>
        </w:rPr>
        <w:t>Sathyamangalam</w:t>
      </w:r>
      <w:proofErr w:type="spellEnd"/>
      <w:r w:rsidRPr="003B3FDD">
        <w:rPr>
          <w:rFonts w:ascii="Times New Roman" w:eastAsia="Times New Roman" w:hAnsi="Times New Roman" w:cs="Times New Roman"/>
          <w:color w:val="0D0D0D" w:themeColor="text1" w:themeTint="F2"/>
          <w:sz w:val="24"/>
          <w:szCs w:val="24"/>
          <w:lang w:eastAsia="en-IN"/>
        </w:rPr>
        <w:t xml:space="preserve"> Forest, Erode District, Tamil Nadu. Environmental Monitoring and Assessment, 196(2), 209.</w:t>
      </w:r>
    </w:p>
    <w:p w14:paraId="3E5B31E9"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t>Nandy</w:t>
      </w:r>
      <w:proofErr w:type="spellEnd"/>
      <w:r w:rsidRPr="003B3FDD">
        <w:rPr>
          <w:rFonts w:ascii="Times New Roman" w:eastAsia="Times New Roman" w:hAnsi="Times New Roman" w:cs="Times New Roman"/>
          <w:color w:val="0D0D0D" w:themeColor="text1" w:themeTint="F2"/>
          <w:sz w:val="24"/>
          <w:szCs w:val="24"/>
          <w:lang w:eastAsia="en-IN"/>
        </w:rPr>
        <w:t xml:space="preserve">, S., Joshi, P. K., &amp; Das, K. K. (2003). Forest canopy density stratification using biophysical </w:t>
      </w:r>
      <w:proofErr w:type="spellStart"/>
      <w:r w:rsidRPr="003B3FDD">
        <w:rPr>
          <w:rFonts w:ascii="Times New Roman" w:eastAsia="Times New Roman" w:hAnsi="Times New Roman" w:cs="Times New Roman"/>
          <w:color w:val="0D0D0D" w:themeColor="text1" w:themeTint="F2"/>
          <w:sz w:val="24"/>
          <w:szCs w:val="24"/>
          <w:lang w:eastAsia="en-IN"/>
        </w:rPr>
        <w:t>modeling</w:t>
      </w:r>
      <w:proofErr w:type="spellEnd"/>
      <w:r w:rsidRPr="003B3FDD">
        <w:rPr>
          <w:rFonts w:ascii="Times New Roman" w:eastAsia="Times New Roman" w:hAnsi="Times New Roman" w:cs="Times New Roman"/>
          <w:color w:val="0D0D0D" w:themeColor="text1" w:themeTint="F2"/>
          <w:sz w:val="24"/>
          <w:szCs w:val="24"/>
          <w:lang w:eastAsia="en-IN"/>
        </w:rPr>
        <w:t>. Journal of the Indian Society of Remote Sensing, 31(4), 291-297.</w:t>
      </w:r>
    </w:p>
    <w:p w14:paraId="4B9680B3" w14:textId="77777777" w:rsidR="00011B6C" w:rsidRPr="00F60DE3" w:rsidRDefault="00011B6C" w:rsidP="00F60DE3">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F60DE3">
        <w:rPr>
          <w:rFonts w:ascii="Times New Roman" w:eastAsia="Times New Roman" w:hAnsi="Times New Roman" w:cs="Times New Roman"/>
          <w:color w:val="0D0D0D" w:themeColor="text1" w:themeTint="F2"/>
          <w:sz w:val="24"/>
          <w:szCs w:val="24"/>
          <w:lang w:eastAsia="en-IN"/>
        </w:rPr>
        <w:t>Naveena</w:t>
      </w:r>
      <w:proofErr w:type="spellEnd"/>
      <w:r w:rsidRPr="00F60DE3">
        <w:rPr>
          <w:rFonts w:ascii="Times New Roman" w:eastAsia="Times New Roman" w:hAnsi="Times New Roman" w:cs="Times New Roman"/>
          <w:color w:val="0D0D0D" w:themeColor="text1" w:themeTint="F2"/>
          <w:sz w:val="24"/>
          <w:szCs w:val="24"/>
          <w:lang w:eastAsia="en-IN"/>
        </w:rPr>
        <w:t xml:space="preserve">, K. P., </w:t>
      </w:r>
      <w:proofErr w:type="spellStart"/>
      <w:r w:rsidRPr="00F60DE3">
        <w:rPr>
          <w:rFonts w:ascii="Times New Roman" w:eastAsia="Times New Roman" w:hAnsi="Times New Roman" w:cs="Times New Roman"/>
          <w:color w:val="0D0D0D" w:themeColor="text1" w:themeTint="F2"/>
          <w:sz w:val="24"/>
          <w:szCs w:val="24"/>
          <w:lang w:eastAsia="en-IN"/>
        </w:rPr>
        <w:t>Manjunatha</w:t>
      </w:r>
      <w:proofErr w:type="spellEnd"/>
      <w:r w:rsidRPr="00F60DE3">
        <w:rPr>
          <w:rFonts w:ascii="Times New Roman" w:eastAsia="Times New Roman" w:hAnsi="Times New Roman" w:cs="Times New Roman"/>
          <w:color w:val="0D0D0D" w:themeColor="text1" w:themeTint="F2"/>
          <w:sz w:val="24"/>
          <w:szCs w:val="24"/>
          <w:lang w:eastAsia="en-IN"/>
        </w:rPr>
        <w:t xml:space="preserve">, M., Mangala, K. P., </w:t>
      </w:r>
      <w:proofErr w:type="spellStart"/>
      <w:r w:rsidRPr="00F60DE3">
        <w:rPr>
          <w:rFonts w:ascii="Times New Roman" w:eastAsia="Times New Roman" w:hAnsi="Times New Roman" w:cs="Times New Roman"/>
          <w:color w:val="0D0D0D" w:themeColor="text1" w:themeTint="F2"/>
          <w:sz w:val="24"/>
          <w:szCs w:val="24"/>
          <w:lang w:eastAsia="en-IN"/>
        </w:rPr>
        <w:t>Chowti</w:t>
      </w:r>
      <w:proofErr w:type="spellEnd"/>
      <w:r w:rsidRPr="00F60DE3">
        <w:rPr>
          <w:rFonts w:ascii="Times New Roman" w:eastAsia="Times New Roman" w:hAnsi="Times New Roman" w:cs="Times New Roman"/>
          <w:color w:val="0D0D0D" w:themeColor="text1" w:themeTint="F2"/>
          <w:sz w:val="24"/>
          <w:szCs w:val="24"/>
          <w:lang w:eastAsia="en-IN"/>
        </w:rPr>
        <w:t xml:space="preserve">, S. P., &amp; </w:t>
      </w:r>
      <w:proofErr w:type="spellStart"/>
      <w:r w:rsidRPr="00F60DE3">
        <w:rPr>
          <w:rFonts w:ascii="Times New Roman" w:eastAsia="Times New Roman" w:hAnsi="Times New Roman" w:cs="Times New Roman"/>
          <w:color w:val="0D0D0D" w:themeColor="text1" w:themeTint="F2"/>
          <w:sz w:val="24"/>
          <w:szCs w:val="24"/>
          <w:lang w:eastAsia="en-IN"/>
        </w:rPr>
        <w:t>Bommesh</w:t>
      </w:r>
      <w:proofErr w:type="spellEnd"/>
      <w:r w:rsidRPr="00F60DE3">
        <w:rPr>
          <w:rFonts w:ascii="Times New Roman" w:eastAsia="Times New Roman" w:hAnsi="Times New Roman" w:cs="Times New Roman"/>
          <w:color w:val="0D0D0D" w:themeColor="text1" w:themeTint="F2"/>
          <w:sz w:val="24"/>
          <w:szCs w:val="24"/>
          <w:lang w:eastAsia="en-IN"/>
        </w:rPr>
        <w:t xml:space="preserve">, J. C. (2026). Economic appraisal of adoption of the grow-own-fuel initiative in FCV tobacco curing: Empirical evidence from Mysuru and Hassan districts of Karnataka. </w:t>
      </w:r>
      <w:r w:rsidRPr="00F60DE3">
        <w:rPr>
          <w:rFonts w:ascii="Times New Roman" w:eastAsia="Times New Roman" w:hAnsi="Times New Roman" w:cs="Times New Roman"/>
          <w:i/>
          <w:iCs/>
          <w:color w:val="0D0D0D" w:themeColor="text1" w:themeTint="F2"/>
          <w:sz w:val="24"/>
          <w:szCs w:val="24"/>
          <w:lang w:eastAsia="en-IN"/>
        </w:rPr>
        <w:t>International Journal of Agriculture Extension and Social Development, 9</w:t>
      </w:r>
      <w:r w:rsidRPr="00F60DE3">
        <w:rPr>
          <w:rFonts w:ascii="Times New Roman" w:eastAsia="Times New Roman" w:hAnsi="Times New Roman" w:cs="Times New Roman"/>
          <w:color w:val="0D0D0D" w:themeColor="text1" w:themeTint="F2"/>
          <w:sz w:val="24"/>
          <w:szCs w:val="24"/>
          <w:lang w:eastAsia="en-IN"/>
        </w:rPr>
        <w:t>(1), 259–265.</w:t>
      </w:r>
    </w:p>
    <w:p w14:paraId="67D430B0"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t>Nițu</w:t>
      </w:r>
      <w:proofErr w:type="spellEnd"/>
      <w:r w:rsidRPr="003B3FDD">
        <w:rPr>
          <w:rFonts w:ascii="Times New Roman" w:eastAsia="Times New Roman" w:hAnsi="Times New Roman" w:cs="Times New Roman"/>
          <w:color w:val="0D0D0D" w:themeColor="text1" w:themeTint="F2"/>
          <w:sz w:val="24"/>
          <w:szCs w:val="24"/>
          <w:lang w:eastAsia="en-IN"/>
        </w:rPr>
        <w:t xml:space="preserve">, A., </w:t>
      </w:r>
      <w:proofErr w:type="spellStart"/>
      <w:r w:rsidRPr="003B3FDD">
        <w:rPr>
          <w:rFonts w:ascii="Times New Roman" w:eastAsia="Times New Roman" w:hAnsi="Times New Roman" w:cs="Times New Roman"/>
          <w:color w:val="0D0D0D" w:themeColor="text1" w:themeTint="F2"/>
          <w:sz w:val="24"/>
          <w:szCs w:val="24"/>
          <w:lang w:eastAsia="en-IN"/>
        </w:rPr>
        <w:t>Florea</w:t>
      </w:r>
      <w:proofErr w:type="spellEnd"/>
      <w:r w:rsidRPr="003B3FDD">
        <w:rPr>
          <w:rFonts w:ascii="Times New Roman" w:eastAsia="Times New Roman" w:hAnsi="Times New Roman" w:cs="Times New Roman"/>
          <w:color w:val="0D0D0D" w:themeColor="text1" w:themeTint="F2"/>
          <w:sz w:val="24"/>
          <w:szCs w:val="24"/>
          <w:lang w:eastAsia="en-IN"/>
        </w:rPr>
        <w:t xml:space="preserve">, C., </w:t>
      </w:r>
      <w:proofErr w:type="spellStart"/>
      <w:r w:rsidRPr="003B3FDD">
        <w:rPr>
          <w:rFonts w:ascii="Times New Roman" w:eastAsia="Times New Roman" w:hAnsi="Times New Roman" w:cs="Times New Roman"/>
          <w:color w:val="0D0D0D" w:themeColor="text1" w:themeTint="F2"/>
          <w:sz w:val="24"/>
          <w:szCs w:val="24"/>
          <w:lang w:eastAsia="en-IN"/>
        </w:rPr>
        <w:t>Ivanovici</w:t>
      </w:r>
      <w:proofErr w:type="spellEnd"/>
      <w:r w:rsidRPr="003B3FDD">
        <w:rPr>
          <w:rFonts w:ascii="Times New Roman" w:eastAsia="Times New Roman" w:hAnsi="Times New Roman" w:cs="Times New Roman"/>
          <w:color w:val="0D0D0D" w:themeColor="text1" w:themeTint="F2"/>
          <w:sz w:val="24"/>
          <w:szCs w:val="24"/>
          <w:lang w:eastAsia="en-IN"/>
        </w:rPr>
        <w:t xml:space="preserve">, M., &amp; </w:t>
      </w:r>
      <w:proofErr w:type="spellStart"/>
      <w:r w:rsidRPr="003B3FDD">
        <w:rPr>
          <w:rFonts w:ascii="Times New Roman" w:eastAsia="Times New Roman" w:hAnsi="Times New Roman" w:cs="Times New Roman"/>
          <w:color w:val="0D0D0D" w:themeColor="text1" w:themeTint="F2"/>
          <w:sz w:val="24"/>
          <w:szCs w:val="24"/>
          <w:lang w:eastAsia="en-IN"/>
        </w:rPr>
        <w:t>Racoviteanu</w:t>
      </w:r>
      <w:proofErr w:type="spellEnd"/>
      <w:r w:rsidRPr="003B3FDD">
        <w:rPr>
          <w:rFonts w:ascii="Times New Roman" w:eastAsia="Times New Roman" w:hAnsi="Times New Roman" w:cs="Times New Roman"/>
          <w:color w:val="0D0D0D" w:themeColor="text1" w:themeTint="F2"/>
          <w:sz w:val="24"/>
          <w:szCs w:val="24"/>
          <w:lang w:eastAsia="en-IN"/>
        </w:rPr>
        <w:t>, A. (2025). NDVI and beyond: Vegetation indices as features for crop recognition and segmentation in hyperspectral data. </w:t>
      </w:r>
      <w:r w:rsidRPr="003B3FDD">
        <w:rPr>
          <w:rFonts w:ascii="Times New Roman" w:eastAsia="Times New Roman" w:hAnsi="Times New Roman" w:cs="Times New Roman"/>
          <w:i/>
          <w:iCs/>
          <w:color w:val="0D0D0D" w:themeColor="text1" w:themeTint="F2"/>
          <w:sz w:val="24"/>
          <w:szCs w:val="24"/>
          <w:lang w:eastAsia="en-IN"/>
        </w:rPr>
        <w:t>Sensors</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25</w:t>
      </w:r>
      <w:r w:rsidRPr="003B3FDD">
        <w:rPr>
          <w:rFonts w:ascii="Times New Roman" w:eastAsia="Times New Roman" w:hAnsi="Times New Roman" w:cs="Times New Roman"/>
          <w:color w:val="0D0D0D" w:themeColor="text1" w:themeTint="F2"/>
          <w:sz w:val="24"/>
          <w:szCs w:val="24"/>
          <w:lang w:eastAsia="en-IN"/>
        </w:rPr>
        <w:t>(12), 3817.</w:t>
      </w:r>
    </w:p>
    <w:p w14:paraId="525CABB9"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lastRenderedPageBreak/>
        <w:t>Oñate-Valdivieso</w:t>
      </w:r>
      <w:proofErr w:type="spellEnd"/>
      <w:r w:rsidRPr="003B3FDD">
        <w:rPr>
          <w:rFonts w:ascii="Times New Roman" w:eastAsia="Times New Roman" w:hAnsi="Times New Roman" w:cs="Times New Roman"/>
          <w:color w:val="0D0D0D" w:themeColor="text1" w:themeTint="F2"/>
          <w:sz w:val="24"/>
          <w:szCs w:val="24"/>
          <w:lang w:eastAsia="en-IN"/>
        </w:rPr>
        <w:t xml:space="preserve">, F., </w:t>
      </w:r>
      <w:proofErr w:type="spellStart"/>
      <w:r w:rsidRPr="003B3FDD">
        <w:rPr>
          <w:rFonts w:ascii="Times New Roman" w:eastAsia="Times New Roman" w:hAnsi="Times New Roman" w:cs="Times New Roman"/>
          <w:color w:val="0D0D0D" w:themeColor="text1" w:themeTint="F2"/>
          <w:sz w:val="24"/>
          <w:szCs w:val="24"/>
          <w:lang w:eastAsia="en-IN"/>
        </w:rPr>
        <w:t>Oñate-Paladines</w:t>
      </w:r>
      <w:proofErr w:type="spellEnd"/>
      <w:r w:rsidRPr="003B3FDD">
        <w:rPr>
          <w:rFonts w:ascii="Times New Roman" w:eastAsia="Times New Roman" w:hAnsi="Times New Roman" w:cs="Times New Roman"/>
          <w:color w:val="0D0D0D" w:themeColor="text1" w:themeTint="F2"/>
          <w:sz w:val="24"/>
          <w:szCs w:val="24"/>
          <w:lang w:eastAsia="en-IN"/>
        </w:rPr>
        <w:t xml:space="preserve">, A., &amp; Díaz, R. (2024). Soil degradation in </w:t>
      </w:r>
      <w:proofErr w:type="spellStart"/>
      <w:r w:rsidRPr="003B3FDD">
        <w:rPr>
          <w:rFonts w:ascii="Times New Roman" w:eastAsia="Times New Roman" w:hAnsi="Times New Roman" w:cs="Times New Roman"/>
          <w:color w:val="0D0D0D" w:themeColor="text1" w:themeTint="F2"/>
          <w:sz w:val="24"/>
          <w:szCs w:val="24"/>
          <w:lang w:eastAsia="en-IN"/>
        </w:rPr>
        <w:t>andean</w:t>
      </w:r>
      <w:proofErr w:type="spellEnd"/>
      <w:r w:rsidRPr="003B3FDD">
        <w:rPr>
          <w:rFonts w:ascii="Times New Roman" w:eastAsia="Times New Roman" w:hAnsi="Times New Roman" w:cs="Times New Roman"/>
          <w:color w:val="0D0D0D" w:themeColor="text1" w:themeTint="F2"/>
          <w:sz w:val="24"/>
          <w:szCs w:val="24"/>
          <w:lang w:eastAsia="en-IN"/>
        </w:rPr>
        <w:t xml:space="preserve"> watersheds: a case study using remote sensing. </w:t>
      </w:r>
      <w:r w:rsidRPr="003B3FDD">
        <w:rPr>
          <w:rFonts w:ascii="Times New Roman" w:eastAsia="Times New Roman" w:hAnsi="Times New Roman" w:cs="Times New Roman"/>
          <w:i/>
          <w:iCs/>
          <w:color w:val="0D0D0D" w:themeColor="text1" w:themeTint="F2"/>
          <w:sz w:val="24"/>
          <w:szCs w:val="24"/>
          <w:lang w:eastAsia="en-IN"/>
        </w:rPr>
        <w:t>Frontiers in Earth Science</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12</w:t>
      </w:r>
      <w:r w:rsidRPr="003B3FDD">
        <w:rPr>
          <w:rFonts w:ascii="Times New Roman" w:eastAsia="Times New Roman" w:hAnsi="Times New Roman" w:cs="Times New Roman"/>
          <w:color w:val="0D0D0D" w:themeColor="text1" w:themeTint="F2"/>
          <w:sz w:val="24"/>
          <w:szCs w:val="24"/>
          <w:lang w:eastAsia="en-IN"/>
        </w:rPr>
        <w:t>, 1325189.</w:t>
      </w:r>
    </w:p>
    <w:p w14:paraId="4834C59A"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 xml:space="preserve">Pal, S. C., </w:t>
      </w:r>
      <w:proofErr w:type="spellStart"/>
      <w:r w:rsidRPr="003B3FDD">
        <w:rPr>
          <w:rFonts w:ascii="Times New Roman" w:eastAsia="Times New Roman" w:hAnsi="Times New Roman" w:cs="Times New Roman"/>
          <w:color w:val="0D0D0D" w:themeColor="text1" w:themeTint="F2"/>
          <w:sz w:val="24"/>
          <w:szCs w:val="24"/>
          <w:lang w:eastAsia="en-IN"/>
        </w:rPr>
        <w:t>Chakrabortty</w:t>
      </w:r>
      <w:proofErr w:type="spellEnd"/>
      <w:r w:rsidRPr="003B3FDD">
        <w:rPr>
          <w:rFonts w:ascii="Times New Roman" w:eastAsia="Times New Roman" w:hAnsi="Times New Roman" w:cs="Times New Roman"/>
          <w:color w:val="0D0D0D" w:themeColor="text1" w:themeTint="F2"/>
          <w:sz w:val="24"/>
          <w:szCs w:val="24"/>
          <w:lang w:eastAsia="en-IN"/>
        </w:rPr>
        <w:t xml:space="preserve">, R., Malik, S., &amp; Das, B. (2018). Application of forest canopy density model for forest cover mapping using LISS-IV satellite data: a case study of </w:t>
      </w:r>
      <w:proofErr w:type="spellStart"/>
      <w:r w:rsidRPr="003B3FDD">
        <w:rPr>
          <w:rFonts w:ascii="Times New Roman" w:eastAsia="Times New Roman" w:hAnsi="Times New Roman" w:cs="Times New Roman"/>
          <w:color w:val="0D0D0D" w:themeColor="text1" w:themeTint="F2"/>
          <w:sz w:val="24"/>
          <w:szCs w:val="24"/>
          <w:lang w:eastAsia="en-IN"/>
        </w:rPr>
        <w:t>Sali</w:t>
      </w:r>
      <w:proofErr w:type="spellEnd"/>
      <w:r w:rsidRPr="003B3FDD">
        <w:rPr>
          <w:rFonts w:ascii="Times New Roman" w:eastAsia="Times New Roman" w:hAnsi="Times New Roman" w:cs="Times New Roman"/>
          <w:color w:val="0D0D0D" w:themeColor="text1" w:themeTint="F2"/>
          <w:sz w:val="24"/>
          <w:szCs w:val="24"/>
          <w:lang w:eastAsia="en-IN"/>
        </w:rPr>
        <w:t xml:space="preserve"> watershed, West Bengal. </w:t>
      </w:r>
      <w:proofErr w:type="spellStart"/>
      <w:r w:rsidRPr="003B3FDD">
        <w:rPr>
          <w:rFonts w:ascii="Times New Roman" w:eastAsia="Times New Roman" w:hAnsi="Times New Roman" w:cs="Times New Roman"/>
          <w:i/>
          <w:iCs/>
          <w:color w:val="0D0D0D" w:themeColor="text1" w:themeTint="F2"/>
          <w:sz w:val="24"/>
          <w:szCs w:val="24"/>
          <w:lang w:eastAsia="en-IN"/>
        </w:rPr>
        <w:t>Modeling</w:t>
      </w:r>
      <w:proofErr w:type="spellEnd"/>
      <w:r w:rsidRPr="003B3FDD">
        <w:rPr>
          <w:rFonts w:ascii="Times New Roman" w:eastAsia="Times New Roman" w:hAnsi="Times New Roman" w:cs="Times New Roman"/>
          <w:i/>
          <w:iCs/>
          <w:color w:val="0D0D0D" w:themeColor="text1" w:themeTint="F2"/>
          <w:sz w:val="24"/>
          <w:szCs w:val="24"/>
          <w:lang w:eastAsia="en-IN"/>
        </w:rPr>
        <w:t xml:space="preserve"> Earth Systems and Environment</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4</w:t>
      </w:r>
      <w:r w:rsidRPr="003B3FDD">
        <w:rPr>
          <w:rFonts w:ascii="Times New Roman" w:eastAsia="Times New Roman" w:hAnsi="Times New Roman" w:cs="Times New Roman"/>
          <w:color w:val="0D0D0D" w:themeColor="text1" w:themeTint="F2"/>
          <w:sz w:val="24"/>
          <w:szCs w:val="24"/>
          <w:lang w:eastAsia="en-IN"/>
        </w:rPr>
        <w:t>(2), 853-865.</w:t>
      </w:r>
    </w:p>
    <w:p w14:paraId="2B8D8647"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t>Rikimaru</w:t>
      </w:r>
      <w:proofErr w:type="spellEnd"/>
      <w:r w:rsidRPr="003B3FDD">
        <w:rPr>
          <w:rFonts w:ascii="Times New Roman" w:eastAsia="Times New Roman" w:hAnsi="Times New Roman" w:cs="Times New Roman"/>
          <w:color w:val="0D0D0D" w:themeColor="text1" w:themeTint="F2"/>
          <w:sz w:val="24"/>
          <w:szCs w:val="24"/>
          <w:lang w:eastAsia="en-IN"/>
        </w:rPr>
        <w:t>, A. (1997). Development of forest canopy density mapping and monitoring model using indices of vegetation, bare soil and shadow. In </w:t>
      </w:r>
      <w:r w:rsidRPr="003B3FDD">
        <w:rPr>
          <w:rFonts w:ascii="Times New Roman" w:eastAsia="Times New Roman" w:hAnsi="Times New Roman" w:cs="Times New Roman"/>
          <w:i/>
          <w:iCs/>
          <w:color w:val="0D0D0D" w:themeColor="text1" w:themeTint="F2"/>
          <w:sz w:val="24"/>
          <w:szCs w:val="24"/>
          <w:lang w:eastAsia="en-IN"/>
        </w:rPr>
        <w:t>The 18th Asian Conference on Remote Sensing, Kuala Lumpur, Malaysia E 6.1/6.6 (1997)</w:t>
      </w:r>
      <w:r w:rsidRPr="003B3FDD">
        <w:rPr>
          <w:rFonts w:ascii="Times New Roman" w:eastAsia="Times New Roman" w:hAnsi="Times New Roman" w:cs="Times New Roman"/>
          <w:color w:val="0D0D0D" w:themeColor="text1" w:themeTint="F2"/>
          <w:sz w:val="24"/>
          <w:szCs w:val="24"/>
          <w:lang w:eastAsia="en-IN"/>
        </w:rPr>
        <w:t>.</w:t>
      </w:r>
    </w:p>
    <w:p w14:paraId="6F6529C2"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Rouse Jr, J. W., Haas, R. H., Schell, J. A., &amp; Deering, D. W. (1974). Paper a 20. In </w:t>
      </w:r>
      <w:r w:rsidRPr="003B3FDD">
        <w:rPr>
          <w:rFonts w:ascii="Times New Roman" w:eastAsia="Times New Roman" w:hAnsi="Times New Roman" w:cs="Times New Roman"/>
          <w:i/>
          <w:iCs/>
          <w:color w:val="0D0D0D" w:themeColor="text1" w:themeTint="F2"/>
          <w:sz w:val="24"/>
          <w:szCs w:val="24"/>
          <w:lang w:eastAsia="en-IN"/>
        </w:rPr>
        <w:t xml:space="preserve">Third Earth Resources Technology Satellite-1 Symposium: The Proceedings of a Symposium Held by Goddard Space Flight </w:t>
      </w:r>
      <w:proofErr w:type="spellStart"/>
      <w:r w:rsidRPr="003B3FDD">
        <w:rPr>
          <w:rFonts w:ascii="Times New Roman" w:eastAsia="Times New Roman" w:hAnsi="Times New Roman" w:cs="Times New Roman"/>
          <w:i/>
          <w:iCs/>
          <w:color w:val="0D0D0D" w:themeColor="text1" w:themeTint="F2"/>
          <w:sz w:val="24"/>
          <w:szCs w:val="24"/>
          <w:lang w:eastAsia="en-IN"/>
        </w:rPr>
        <w:t>Center</w:t>
      </w:r>
      <w:proofErr w:type="spellEnd"/>
      <w:r w:rsidRPr="003B3FDD">
        <w:rPr>
          <w:rFonts w:ascii="Times New Roman" w:eastAsia="Times New Roman" w:hAnsi="Times New Roman" w:cs="Times New Roman"/>
          <w:i/>
          <w:iCs/>
          <w:color w:val="0D0D0D" w:themeColor="text1" w:themeTint="F2"/>
          <w:sz w:val="24"/>
          <w:szCs w:val="24"/>
          <w:lang w:eastAsia="en-IN"/>
        </w:rPr>
        <w:t xml:space="preserve"> at Washington, DC on December 10-14, 1973: Prepared at Goddard Space Flight </w:t>
      </w:r>
      <w:proofErr w:type="spellStart"/>
      <w:r w:rsidRPr="003B3FDD">
        <w:rPr>
          <w:rFonts w:ascii="Times New Roman" w:eastAsia="Times New Roman" w:hAnsi="Times New Roman" w:cs="Times New Roman"/>
          <w:i/>
          <w:iCs/>
          <w:color w:val="0D0D0D" w:themeColor="text1" w:themeTint="F2"/>
          <w:sz w:val="24"/>
          <w:szCs w:val="24"/>
          <w:lang w:eastAsia="en-IN"/>
        </w:rPr>
        <w:t>Center</w:t>
      </w:r>
      <w:proofErr w:type="spellEnd"/>
      <w:r w:rsidRPr="003B3FDD">
        <w:rPr>
          <w:rFonts w:ascii="Times New Roman" w:eastAsia="Times New Roman" w:hAnsi="Times New Roman" w:cs="Times New Roman"/>
          <w:color w:val="0D0D0D" w:themeColor="text1" w:themeTint="F2"/>
          <w:sz w:val="24"/>
          <w:szCs w:val="24"/>
          <w:lang w:eastAsia="en-IN"/>
        </w:rPr>
        <w:t> (Vol. 351, p. 309).</w:t>
      </w:r>
    </w:p>
    <w:p w14:paraId="16FFDAC2" w14:textId="044C7DA0"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Roy, P. S., Sharma, K. P., &amp; Jain, A. (1996). Stratification of density in dry deciduous forest using satellite remote sensing digital data an approach based on spectral indices. </w:t>
      </w:r>
      <w:r w:rsidRPr="003B3FDD">
        <w:rPr>
          <w:rFonts w:ascii="Times New Roman" w:eastAsia="Times New Roman" w:hAnsi="Times New Roman" w:cs="Times New Roman"/>
          <w:i/>
          <w:iCs/>
          <w:color w:val="0D0D0D" w:themeColor="text1" w:themeTint="F2"/>
          <w:sz w:val="24"/>
          <w:szCs w:val="24"/>
          <w:lang w:eastAsia="en-IN"/>
        </w:rPr>
        <w:t>Journal of biosciences</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21</w:t>
      </w:r>
      <w:r w:rsidRPr="003B3FDD">
        <w:rPr>
          <w:rFonts w:ascii="Times New Roman" w:eastAsia="Times New Roman" w:hAnsi="Times New Roman" w:cs="Times New Roman"/>
          <w:color w:val="0D0D0D" w:themeColor="text1" w:themeTint="F2"/>
          <w:sz w:val="24"/>
          <w:szCs w:val="24"/>
          <w:lang w:eastAsia="en-IN"/>
        </w:rPr>
        <w:t>(5), 723-734.</w:t>
      </w:r>
    </w:p>
    <w:p w14:paraId="707811E0" w14:textId="77777777" w:rsidR="00011B6C"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roofErr w:type="spellStart"/>
      <w:r w:rsidRPr="003B3FDD">
        <w:rPr>
          <w:rFonts w:ascii="Times New Roman" w:eastAsia="Times New Roman" w:hAnsi="Times New Roman" w:cs="Times New Roman"/>
          <w:color w:val="0D0D0D" w:themeColor="text1" w:themeTint="F2"/>
          <w:sz w:val="24"/>
          <w:szCs w:val="24"/>
          <w:lang w:eastAsia="en-IN"/>
        </w:rPr>
        <w:t>Sahana</w:t>
      </w:r>
      <w:proofErr w:type="spellEnd"/>
      <w:r w:rsidRPr="003B3FDD">
        <w:rPr>
          <w:rFonts w:ascii="Times New Roman" w:eastAsia="Times New Roman" w:hAnsi="Times New Roman" w:cs="Times New Roman"/>
          <w:color w:val="0D0D0D" w:themeColor="text1" w:themeTint="F2"/>
          <w:sz w:val="24"/>
          <w:szCs w:val="24"/>
          <w:lang w:eastAsia="en-IN"/>
        </w:rPr>
        <w:t xml:space="preserve">, M., Sajjad, H., &amp; Ahmed, R. (2015). Assessing </w:t>
      </w:r>
      <w:proofErr w:type="spellStart"/>
      <w:r w:rsidRPr="003B3FDD">
        <w:rPr>
          <w:rFonts w:ascii="Times New Roman" w:eastAsia="Times New Roman" w:hAnsi="Times New Roman" w:cs="Times New Roman"/>
          <w:color w:val="0D0D0D" w:themeColor="text1" w:themeTint="F2"/>
          <w:sz w:val="24"/>
          <w:szCs w:val="24"/>
          <w:lang w:eastAsia="en-IN"/>
        </w:rPr>
        <w:t>spatio</w:t>
      </w:r>
      <w:proofErr w:type="spellEnd"/>
      <w:r w:rsidRPr="003B3FDD">
        <w:rPr>
          <w:rFonts w:ascii="Times New Roman" w:eastAsia="Times New Roman" w:hAnsi="Times New Roman" w:cs="Times New Roman"/>
          <w:color w:val="0D0D0D" w:themeColor="text1" w:themeTint="F2"/>
          <w:sz w:val="24"/>
          <w:szCs w:val="24"/>
          <w:lang w:eastAsia="en-IN"/>
        </w:rPr>
        <w:t xml:space="preserve">-temporal health of forest cover using forest canopy density model and forest fragmentation approach in </w:t>
      </w:r>
      <w:proofErr w:type="spellStart"/>
      <w:r w:rsidRPr="003B3FDD">
        <w:rPr>
          <w:rFonts w:ascii="Times New Roman" w:eastAsia="Times New Roman" w:hAnsi="Times New Roman" w:cs="Times New Roman"/>
          <w:color w:val="0D0D0D" w:themeColor="text1" w:themeTint="F2"/>
          <w:sz w:val="24"/>
          <w:szCs w:val="24"/>
          <w:lang w:eastAsia="en-IN"/>
        </w:rPr>
        <w:t>Sundarban</w:t>
      </w:r>
      <w:proofErr w:type="spellEnd"/>
      <w:r w:rsidRPr="003B3FDD">
        <w:rPr>
          <w:rFonts w:ascii="Times New Roman" w:eastAsia="Times New Roman" w:hAnsi="Times New Roman" w:cs="Times New Roman"/>
          <w:color w:val="0D0D0D" w:themeColor="text1" w:themeTint="F2"/>
          <w:sz w:val="24"/>
          <w:szCs w:val="24"/>
          <w:lang w:eastAsia="en-IN"/>
        </w:rPr>
        <w:t xml:space="preserve"> reserve forest, India. </w:t>
      </w:r>
      <w:proofErr w:type="spellStart"/>
      <w:r w:rsidRPr="003B3FDD">
        <w:rPr>
          <w:rFonts w:ascii="Times New Roman" w:eastAsia="Times New Roman" w:hAnsi="Times New Roman" w:cs="Times New Roman"/>
          <w:i/>
          <w:iCs/>
          <w:color w:val="0D0D0D" w:themeColor="text1" w:themeTint="F2"/>
          <w:sz w:val="24"/>
          <w:szCs w:val="24"/>
          <w:lang w:eastAsia="en-IN"/>
        </w:rPr>
        <w:t>Modeling</w:t>
      </w:r>
      <w:proofErr w:type="spellEnd"/>
      <w:r w:rsidRPr="003B3FDD">
        <w:rPr>
          <w:rFonts w:ascii="Times New Roman" w:eastAsia="Times New Roman" w:hAnsi="Times New Roman" w:cs="Times New Roman"/>
          <w:i/>
          <w:iCs/>
          <w:color w:val="0D0D0D" w:themeColor="text1" w:themeTint="F2"/>
          <w:sz w:val="24"/>
          <w:szCs w:val="24"/>
          <w:lang w:eastAsia="en-IN"/>
        </w:rPr>
        <w:t xml:space="preserve"> Earth Systems and Environment</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w:t>
      </w:r>
      <w:r w:rsidRPr="003B3FDD">
        <w:rPr>
          <w:rFonts w:ascii="Times New Roman" w:eastAsia="Times New Roman" w:hAnsi="Times New Roman" w:cs="Times New Roman"/>
          <w:color w:val="0D0D0D" w:themeColor="text1" w:themeTint="F2"/>
          <w:sz w:val="24"/>
          <w:szCs w:val="24"/>
          <w:lang w:eastAsia="en-IN"/>
        </w:rPr>
        <w:t>(4), 49.</w:t>
      </w:r>
    </w:p>
    <w:p w14:paraId="5736747F" w14:textId="77777777" w:rsidR="00F60DE3" w:rsidRPr="003B3FDD" w:rsidRDefault="00F60DE3"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
    <w:bookmarkEnd w:id="1"/>
    <w:p w14:paraId="64A2E15E" w14:textId="77777777" w:rsidR="005F463D" w:rsidRPr="003B3FDD" w:rsidRDefault="005F463D" w:rsidP="00D76AA2">
      <w:pPr>
        <w:spacing w:after="100" w:afterAutospacing="1" w:line="276" w:lineRule="auto"/>
        <w:ind w:left="720" w:hanging="720"/>
        <w:jc w:val="both"/>
        <w:rPr>
          <w:rFonts w:ascii="Times New Roman" w:eastAsia="Times New Roman" w:hAnsi="Times New Roman" w:cs="Times New Roman"/>
          <w:b/>
          <w:bCs/>
          <w:color w:val="0D0D0D" w:themeColor="text1" w:themeTint="F2"/>
          <w:sz w:val="24"/>
          <w:szCs w:val="24"/>
          <w:lang w:eastAsia="en-IN"/>
        </w:rPr>
      </w:pPr>
    </w:p>
    <w:sectPr w:rsidR="005F463D" w:rsidRPr="003B3FDD" w:rsidSect="004B3A91">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B90F2" w14:textId="77777777" w:rsidR="008C1A56" w:rsidRDefault="008C1A56" w:rsidP="008F3365">
      <w:pPr>
        <w:spacing w:after="0" w:line="240" w:lineRule="auto"/>
      </w:pPr>
      <w:r>
        <w:separator/>
      </w:r>
    </w:p>
  </w:endnote>
  <w:endnote w:type="continuationSeparator" w:id="0">
    <w:p w14:paraId="18BB6364" w14:textId="77777777" w:rsidR="008C1A56" w:rsidRDefault="008C1A56" w:rsidP="008F3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DDCA" w14:textId="77777777" w:rsidR="008F3365" w:rsidRDefault="008F3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3CD4D" w14:textId="77777777" w:rsidR="008F3365" w:rsidRDefault="008F33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6251A" w14:textId="77777777" w:rsidR="008F3365" w:rsidRDefault="008F3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B9B9F" w14:textId="77777777" w:rsidR="008C1A56" w:rsidRDefault="008C1A56" w:rsidP="008F3365">
      <w:pPr>
        <w:spacing w:after="0" w:line="240" w:lineRule="auto"/>
      </w:pPr>
      <w:r>
        <w:separator/>
      </w:r>
    </w:p>
  </w:footnote>
  <w:footnote w:type="continuationSeparator" w:id="0">
    <w:p w14:paraId="30CE8B75" w14:textId="77777777" w:rsidR="008C1A56" w:rsidRDefault="008C1A56" w:rsidP="008F3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76ACC" w14:textId="49507DD0" w:rsidR="008F3365" w:rsidRDefault="008F3365">
    <w:pPr>
      <w:pStyle w:val="Header"/>
    </w:pPr>
    <w:r>
      <w:rPr>
        <w:noProof/>
      </w:rPr>
      <w:pict w14:anchorId="4A8E1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38598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97C53" w14:textId="48AE4615" w:rsidR="008F3365" w:rsidRDefault="008F3365">
    <w:pPr>
      <w:pStyle w:val="Header"/>
    </w:pPr>
    <w:r>
      <w:rPr>
        <w:noProof/>
      </w:rPr>
      <w:pict w14:anchorId="2226E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38598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C2EB9" w14:textId="35DD57EE" w:rsidR="008F3365" w:rsidRDefault="008F3365">
    <w:pPr>
      <w:pStyle w:val="Header"/>
    </w:pPr>
    <w:r>
      <w:rPr>
        <w:noProof/>
      </w:rPr>
      <w:pict w14:anchorId="65317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38598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212"/>
    <w:multiLevelType w:val="multilevel"/>
    <w:tmpl w:val="15F6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3633A"/>
    <w:multiLevelType w:val="multilevel"/>
    <w:tmpl w:val="D4262CB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ADD2A87"/>
    <w:multiLevelType w:val="multilevel"/>
    <w:tmpl w:val="6E12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AE444E"/>
    <w:multiLevelType w:val="hybridMultilevel"/>
    <w:tmpl w:val="BC48C7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9A73F37"/>
    <w:multiLevelType w:val="multilevel"/>
    <w:tmpl w:val="A77A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3D4170"/>
    <w:multiLevelType w:val="multilevel"/>
    <w:tmpl w:val="6F36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EF1215"/>
    <w:multiLevelType w:val="multilevel"/>
    <w:tmpl w:val="C4D8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8801A5"/>
    <w:multiLevelType w:val="multilevel"/>
    <w:tmpl w:val="9F62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0"/>
  </w:num>
  <w:num w:numId="5">
    <w:abstractNumId w:val="5"/>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331"/>
    <w:rsid w:val="00011B6C"/>
    <w:rsid w:val="000C5995"/>
    <w:rsid w:val="000D1FB0"/>
    <w:rsid w:val="000F007E"/>
    <w:rsid w:val="00105F40"/>
    <w:rsid w:val="0013518F"/>
    <w:rsid w:val="0017534B"/>
    <w:rsid w:val="001850DE"/>
    <w:rsid w:val="001B76C4"/>
    <w:rsid w:val="00206331"/>
    <w:rsid w:val="00236F53"/>
    <w:rsid w:val="002515B6"/>
    <w:rsid w:val="002522A7"/>
    <w:rsid w:val="00256CDB"/>
    <w:rsid w:val="002C11EA"/>
    <w:rsid w:val="00360DD7"/>
    <w:rsid w:val="00364273"/>
    <w:rsid w:val="003A415E"/>
    <w:rsid w:val="003B3FDD"/>
    <w:rsid w:val="003E3B86"/>
    <w:rsid w:val="004016C5"/>
    <w:rsid w:val="004122F1"/>
    <w:rsid w:val="00417098"/>
    <w:rsid w:val="00433749"/>
    <w:rsid w:val="00486449"/>
    <w:rsid w:val="004B3A91"/>
    <w:rsid w:val="004B6BA1"/>
    <w:rsid w:val="005239F7"/>
    <w:rsid w:val="00544A28"/>
    <w:rsid w:val="00597548"/>
    <w:rsid w:val="005C7B67"/>
    <w:rsid w:val="005F463D"/>
    <w:rsid w:val="00626316"/>
    <w:rsid w:val="00645389"/>
    <w:rsid w:val="006C1C99"/>
    <w:rsid w:val="006C7CE6"/>
    <w:rsid w:val="006D3599"/>
    <w:rsid w:val="006E5928"/>
    <w:rsid w:val="00787ED9"/>
    <w:rsid w:val="00843D7B"/>
    <w:rsid w:val="00864E8B"/>
    <w:rsid w:val="00865887"/>
    <w:rsid w:val="008A5908"/>
    <w:rsid w:val="008C1A56"/>
    <w:rsid w:val="008D68CB"/>
    <w:rsid w:val="008E01F2"/>
    <w:rsid w:val="008F3365"/>
    <w:rsid w:val="00962CBD"/>
    <w:rsid w:val="00963F34"/>
    <w:rsid w:val="00A0169D"/>
    <w:rsid w:val="00A844BD"/>
    <w:rsid w:val="00AA7287"/>
    <w:rsid w:val="00AB6064"/>
    <w:rsid w:val="00AE6BB0"/>
    <w:rsid w:val="00B15DA9"/>
    <w:rsid w:val="00B23564"/>
    <w:rsid w:val="00B4548A"/>
    <w:rsid w:val="00B9195B"/>
    <w:rsid w:val="00B967FA"/>
    <w:rsid w:val="00BE75D2"/>
    <w:rsid w:val="00C811B6"/>
    <w:rsid w:val="00D76AA2"/>
    <w:rsid w:val="00DA37A7"/>
    <w:rsid w:val="00DB4BC8"/>
    <w:rsid w:val="00DF0F26"/>
    <w:rsid w:val="00E37F0D"/>
    <w:rsid w:val="00E4155E"/>
    <w:rsid w:val="00E8732F"/>
    <w:rsid w:val="00EC7D88"/>
    <w:rsid w:val="00F10AE7"/>
    <w:rsid w:val="00F247A4"/>
    <w:rsid w:val="00F3573C"/>
    <w:rsid w:val="00F60DE3"/>
    <w:rsid w:val="00F7085F"/>
    <w:rsid w:val="00FA29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769FFD9"/>
  <w15:chartTrackingRefBased/>
  <w15:docId w15:val="{76774B43-F406-4556-95D8-6E9A91F1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548"/>
  </w:style>
  <w:style w:type="paragraph" w:styleId="Heading2">
    <w:name w:val="heading 2"/>
    <w:basedOn w:val="Normal"/>
    <w:next w:val="Normal"/>
    <w:link w:val="Heading2Char"/>
    <w:uiPriority w:val="9"/>
    <w:semiHidden/>
    <w:unhideWhenUsed/>
    <w:qFormat/>
    <w:rsid w:val="00FA29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C7D8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0F007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C7D88"/>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EC7D88"/>
    <w:rPr>
      <w:b/>
      <w:bCs/>
    </w:rPr>
  </w:style>
  <w:style w:type="paragraph" w:styleId="NormalWeb">
    <w:name w:val="Normal (Web)"/>
    <w:basedOn w:val="Normal"/>
    <w:uiPriority w:val="99"/>
    <w:unhideWhenUsed/>
    <w:rsid w:val="00EC7D88"/>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EC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01F2"/>
    <w:pPr>
      <w:ind w:left="720"/>
      <w:contextualSpacing/>
    </w:pPr>
  </w:style>
  <w:style w:type="character" w:customStyle="1" w:styleId="Heading2Char">
    <w:name w:val="Heading 2 Char"/>
    <w:basedOn w:val="DefaultParagraphFont"/>
    <w:link w:val="Heading2"/>
    <w:uiPriority w:val="9"/>
    <w:semiHidden/>
    <w:rsid w:val="00FA2925"/>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0F007E"/>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A0169D"/>
    <w:pPr>
      <w:spacing w:after="200" w:line="240" w:lineRule="auto"/>
    </w:pPr>
    <w:rPr>
      <w:i/>
      <w:iCs/>
      <w:color w:val="44546A" w:themeColor="text2"/>
      <w:sz w:val="18"/>
      <w:szCs w:val="18"/>
    </w:rPr>
  </w:style>
  <w:style w:type="paragraph" w:customStyle="1" w:styleId="my-2">
    <w:name w:val="my-2"/>
    <w:basedOn w:val="Normal"/>
    <w:rsid w:val="001850D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nline-block">
    <w:name w:val="inline-block"/>
    <w:basedOn w:val="DefaultParagraphFont"/>
    <w:rsid w:val="001850DE"/>
  </w:style>
  <w:style w:type="character" w:customStyle="1" w:styleId="opacity-50">
    <w:name w:val="opacity-50"/>
    <w:basedOn w:val="DefaultParagraphFont"/>
    <w:rsid w:val="001850DE"/>
  </w:style>
  <w:style w:type="character" w:styleId="Hyperlink">
    <w:name w:val="Hyperlink"/>
    <w:basedOn w:val="DefaultParagraphFont"/>
    <w:uiPriority w:val="99"/>
    <w:unhideWhenUsed/>
    <w:rsid w:val="00B967FA"/>
    <w:rPr>
      <w:color w:val="0563C1" w:themeColor="hyperlink"/>
      <w:u w:val="single"/>
    </w:rPr>
  </w:style>
  <w:style w:type="character" w:styleId="UnresolvedMention">
    <w:name w:val="Unresolved Mention"/>
    <w:basedOn w:val="DefaultParagraphFont"/>
    <w:uiPriority w:val="99"/>
    <w:semiHidden/>
    <w:unhideWhenUsed/>
    <w:rsid w:val="00B967FA"/>
    <w:rPr>
      <w:color w:val="605E5C"/>
      <w:shd w:val="clear" w:color="auto" w:fill="E1DFDD"/>
    </w:rPr>
  </w:style>
  <w:style w:type="character" w:customStyle="1" w:styleId="whitespace-normal">
    <w:name w:val="whitespace-normal"/>
    <w:basedOn w:val="DefaultParagraphFont"/>
    <w:rsid w:val="001B76C4"/>
  </w:style>
  <w:style w:type="paragraph" w:styleId="Header">
    <w:name w:val="header"/>
    <w:basedOn w:val="Normal"/>
    <w:link w:val="HeaderChar"/>
    <w:uiPriority w:val="99"/>
    <w:unhideWhenUsed/>
    <w:rsid w:val="008F3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365"/>
  </w:style>
  <w:style w:type="paragraph" w:styleId="Footer">
    <w:name w:val="footer"/>
    <w:basedOn w:val="Normal"/>
    <w:link w:val="FooterChar"/>
    <w:uiPriority w:val="99"/>
    <w:unhideWhenUsed/>
    <w:rsid w:val="008F3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4863">
      <w:bodyDiv w:val="1"/>
      <w:marLeft w:val="0"/>
      <w:marRight w:val="0"/>
      <w:marTop w:val="0"/>
      <w:marBottom w:val="0"/>
      <w:divBdr>
        <w:top w:val="none" w:sz="0" w:space="0" w:color="auto"/>
        <w:left w:val="none" w:sz="0" w:space="0" w:color="auto"/>
        <w:bottom w:val="none" w:sz="0" w:space="0" w:color="auto"/>
        <w:right w:val="none" w:sz="0" w:space="0" w:color="auto"/>
      </w:divBdr>
    </w:div>
    <w:div w:id="120926306">
      <w:bodyDiv w:val="1"/>
      <w:marLeft w:val="0"/>
      <w:marRight w:val="0"/>
      <w:marTop w:val="0"/>
      <w:marBottom w:val="0"/>
      <w:divBdr>
        <w:top w:val="none" w:sz="0" w:space="0" w:color="auto"/>
        <w:left w:val="none" w:sz="0" w:space="0" w:color="auto"/>
        <w:bottom w:val="none" w:sz="0" w:space="0" w:color="auto"/>
        <w:right w:val="none" w:sz="0" w:space="0" w:color="auto"/>
      </w:divBdr>
    </w:div>
    <w:div w:id="184364882">
      <w:bodyDiv w:val="1"/>
      <w:marLeft w:val="0"/>
      <w:marRight w:val="0"/>
      <w:marTop w:val="0"/>
      <w:marBottom w:val="0"/>
      <w:divBdr>
        <w:top w:val="none" w:sz="0" w:space="0" w:color="auto"/>
        <w:left w:val="none" w:sz="0" w:space="0" w:color="auto"/>
        <w:bottom w:val="none" w:sz="0" w:space="0" w:color="auto"/>
        <w:right w:val="none" w:sz="0" w:space="0" w:color="auto"/>
      </w:divBdr>
    </w:div>
    <w:div w:id="252787300">
      <w:bodyDiv w:val="1"/>
      <w:marLeft w:val="0"/>
      <w:marRight w:val="0"/>
      <w:marTop w:val="0"/>
      <w:marBottom w:val="0"/>
      <w:divBdr>
        <w:top w:val="none" w:sz="0" w:space="0" w:color="auto"/>
        <w:left w:val="none" w:sz="0" w:space="0" w:color="auto"/>
        <w:bottom w:val="none" w:sz="0" w:space="0" w:color="auto"/>
        <w:right w:val="none" w:sz="0" w:space="0" w:color="auto"/>
      </w:divBdr>
    </w:div>
    <w:div w:id="334188026">
      <w:bodyDiv w:val="1"/>
      <w:marLeft w:val="0"/>
      <w:marRight w:val="0"/>
      <w:marTop w:val="0"/>
      <w:marBottom w:val="0"/>
      <w:divBdr>
        <w:top w:val="none" w:sz="0" w:space="0" w:color="auto"/>
        <w:left w:val="none" w:sz="0" w:space="0" w:color="auto"/>
        <w:bottom w:val="none" w:sz="0" w:space="0" w:color="auto"/>
        <w:right w:val="none" w:sz="0" w:space="0" w:color="auto"/>
      </w:divBdr>
    </w:div>
    <w:div w:id="433401100">
      <w:bodyDiv w:val="1"/>
      <w:marLeft w:val="0"/>
      <w:marRight w:val="0"/>
      <w:marTop w:val="0"/>
      <w:marBottom w:val="0"/>
      <w:divBdr>
        <w:top w:val="none" w:sz="0" w:space="0" w:color="auto"/>
        <w:left w:val="none" w:sz="0" w:space="0" w:color="auto"/>
        <w:bottom w:val="none" w:sz="0" w:space="0" w:color="auto"/>
        <w:right w:val="none" w:sz="0" w:space="0" w:color="auto"/>
      </w:divBdr>
    </w:div>
    <w:div w:id="444272665">
      <w:bodyDiv w:val="1"/>
      <w:marLeft w:val="0"/>
      <w:marRight w:val="0"/>
      <w:marTop w:val="0"/>
      <w:marBottom w:val="0"/>
      <w:divBdr>
        <w:top w:val="none" w:sz="0" w:space="0" w:color="auto"/>
        <w:left w:val="none" w:sz="0" w:space="0" w:color="auto"/>
        <w:bottom w:val="none" w:sz="0" w:space="0" w:color="auto"/>
        <w:right w:val="none" w:sz="0" w:space="0" w:color="auto"/>
      </w:divBdr>
    </w:div>
    <w:div w:id="600911950">
      <w:bodyDiv w:val="1"/>
      <w:marLeft w:val="0"/>
      <w:marRight w:val="0"/>
      <w:marTop w:val="0"/>
      <w:marBottom w:val="0"/>
      <w:divBdr>
        <w:top w:val="none" w:sz="0" w:space="0" w:color="auto"/>
        <w:left w:val="none" w:sz="0" w:space="0" w:color="auto"/>
        <w:bottom w:val="none" w:sz="0" w:space="0" w:color="auto"/>
        <w:right w:val="none" w:sz="0" w:space="0" w:color="auto"/>
      </w:divBdr>
    </w:div>
    <w:div w:id="696782244">
      <w:bodyDiv w:val="1"/>
      <w:marLeft w:val="0"/>
      <w:marRight w:val="0"/>
      <w:marTop w:val="0"/>
      <w:marBottom w:val="0"/>
      <w:divBdr>
        <w:top w:val="none" w:sz="0" w:space="0" w:color="auto"/>
        <w:left w:val="none" w:sz="0" w:space="0" w:color="auto"/>
        <w:bottom w:val="none" w:sz="0" w:space="0" w:color="auto"/>
        <w:right w:val="none" w:sz="0" w:space="0" w:color="auto"/>
      </w:divBdr>
    </w:div>
    <w:div w:id="830676610">
      <w:bodyDiv w:val="1"/>
      <w:marLeft w:val="0"/>
      <w:marRight w:val="0"/>
      <w:marTop w:val="0"/>
      <w:marBottom w:val="0"/>
      <w:divBdr>
        <w:top w:val="none" w:sz="0" w:space="0" w:color="auto"/>
        <w:left w:val="none" w:sz="0" w:space="0" w:color="auto"/>
        <w:bottom w:val="none" w:sz="0" w:space="0" w:color="auto"/>
        <w:right w:val="none" w:sz="0" w:space="0" w:color="auto"/>
      </w:divBdr>
    </w:div>
    <w:div w:id="887912031">
      <w:bodyDiv w:val="1"/>
      <w:marLeft w:val="0"/>
      <w:marRight w:val="0"/>
      <w:marTop w:val="0"/>
      <w:marBottom w:val="0"/>
      <w:divBdr>
        <w:top w:val="none" w:sz="0" w:space="0" w:color="auto"/>
        <w:left w:val="none" w:sz="0" w:space="0" w:color="auto"/>
        <w:bottom w:val="none" w:sz="0" w:space="0" w:color="auto"/>
        <w:right w:val="none" w:sz="0" w:space="0" w:color="auto"/>
      </w:divBdr>
    </w:div>
    <w:div w:id="900166760">
      <w:bodyDiv w:val="1"/>
      <w:marLeft w:val="0"/>
      <w:marRight w:val="0"/>
      <w:marTop w:val="0"/>
      <w:marBottom w:val="0"/>
      <w:divBdr>
        <w:top w:val="none" w:sz="0" w:space="0" w:color="auto"/>
        <w:left w:val="none" w:sz="0" w:space="0" w:color="auto"/>
        <w:bottom w:val="none" w:sz="0" w:space="0" w:color="auto"/>
        <w:right w:val="none" w:sz="0" w:space="0" w:color="auto"/>
      </w:divBdr>
    </w:div>
    <w:div w:id="939993425">
      <w:bodyDiv w:val="1"/>
      <w:marLeft w:val="0"/>
      <w:marRight w:val="0"/>
      <w:marTop w:val="0"/>
      <w:marBottom w:val="0"/>
      <w:divBdr>
        <w:top w:val="none" w:sz="0" w:space="0" w:color="auto"/>
        <w:left w:val="none" w:sz="0" w:space="0" w:color="auto"/>
        <w:bottom w:val="none" w:sz="0" w:space="0" w:color="auto"/>
        <w:right w:val="none" w:sz="0" w:space="0" w:color="auto"/>
      </w:divBdr>
    </w:div>
    <w:div w:id="988948207">
      <w:bodyDiv w:val="1"/>
      <w:marLeft w:val="0"/>
      <w:marRight w:val="0"/>
      <w:marTop w:val="0"/>
      <w:marBottom w:val="0"/>
      <w:divBdr>
        <w:top w:val="none" w:sz="0" w:space="0" w:color="auto"/>
        <w:left w:val="none" w:sz="0" w:space="0" w:color="auto"/>
        <w:bottom w:val="none" w:sz="0" w:space="0" w:color="auto"/>
        <w:right w:val="none" w:sz="0" w:space="0" w:color="auto"/>
      </w:divBdr>
      <w:divsChild>
        <w:div w:id="822695476">
          <w:marLeft w:val="0"/>
          <w:marRight w:val="0"/>
          <w:marTop w:val="0"/>
          <w:marBottom w:val="0"/>
          <w:divBdr>
            <w:top w:val="none" w:sz="0" w:space="0" w:color="auto"/>
            <w:left w:val="none" w:sz="0" w:space="0" w:color="auto"/>
            <w:bottom w:val="none" w:sz="0" w:space="0" w:color="auto"/>
            <w:right w:val="none" w:sz="0" w:space="0" w:color="auto"/>
          </w:divBdr>
        </w:div>
      </w:divsChild>
    </w:div>
    <w:div w:id="1082218480">
      <w:bodyDiv w:val="1"/>
      <w:marLeft w:val="0"/>
      <w:marRight w:val="0"/>
      <w:marTop w:val="0"/>
      <w:marBottom w:val="0"/>
      <w:divBdr>
        <w:top w:val="none" w:sz="0" w:space="0" w:color="auto"/>
        <w:left w:val="none" w:sz="0" w:space="0" w:color="auto"/>
        <w:bottom w:val="none" w:sz="0" w:space="0" w:color="auto"/>
        <w:right w:val="none" w:sz="0" w:space="0" w:color="auto"/>
      </w:divBdr>
      <w:divsChild>
        <w:div w:id="2119715780">
          <w:marLeft w:val="0"/>
          <w:marRight w:val="0"/>
          <w:marTop w:val="0"/>
          <w:marBottom w:val="0"/>
          <w:divBdr>
            <w:top w:val="none" w:sz="0" w:space="0" w:color="auto"/>
            <w:left w:val="none" w:sz="0" w:space="0" w:color="auto"/>
            <w:bottom w:val="none" w:sz="0" w:space="0" w:color="auto"/>
            <w:right w:val="none" w:sz="0" w:space="0" w:color="auto"/>
          </w:divBdr>
        </w:div>
      </w:divsChild>
    </w:div>
    <w:div w:id="1110274881">
      <w:bodyDiv w:val="1"/>
      <w:marLeft w:val="0"/>
      <w:marRight w:val="0"/>
      <w:marTop w:val="0"/>
      <w:marBottom w:val="0"/>
      <w:divBdr>
        <w:top w:val="none" w:sz="0" w:space="0" w:color="auto"/>
        <w:left w:val="none" w:sz="0" w:space="0" w:color="auto"/>
        <w:bottom w:val="none" w:sz="0" w:space="0" w:color="auto"/>
        <w:right w:val="none" w:sz="0" w:space="0" w:color="auto"/>
      </w:divBdr>
    </w:div>
    <w:div w:id="1144080410">
      <w:bodyDiv w:val="1"/>
      <w:marLeft w:val="0"/>
      <w:marRight w:val="0"/>
      <w:marTop w:val="0"/>
      <w:marBottom w:val="0"/>
      <w:divBdr>
        <w:top w:val="none" w:sz="0" w:space="0" w:color="auto"/>
        <w:left w:val="none" w:sz="0" w:space="0" w:color="auto"/>
        <w:bottom w:val="none" w:sz="0" w:space="0" w:color="auto"/>
        <w:right w:val="none" w:sz="0" w:space="0" w:color="auto"/>
      </w:divBdr>
    </w:div>
    <w:div w:id="1393892521">
      <w:bodyDiv w:val="1"/>
      <w:marLeft w:val="0"/>
      <w:marRight w:val="0"/>
      <w:marTop w:val="0"/>
      <w:marBottom w:val="0"/>
      <w:divBdr>
        <w:top w:val="none" w:sz="0" w:space="0" w:color="auto"/>
        <w:left w:val="none" w:sz="0" w:space="0" w:color="auto"/>
        <w:bottom w:val="none" w:sz="0" w:space="0" w:color="auto"/>
        <w:right w:val="none" w:sz="0" w:space="0" w:color="auto"/>
      </w:divBdr>
    </w:div>
    <w:div w:id="1463844567">
      <w:bodyDiv w:val="1"/>
      <w:marLeft w:val="0"/>
      <w:marRight w:val="0"/>
      <w:marTop w:val="0"/>
      <w:marBottom w:val="0"/>
      <w:divBdr>
        <w:top w:val="none" w:sz="0" w:space="0" w:color="auto"/>
        <w:left w:val="none" w:sz="0" w:space="0" w:color="auto"/>
        <w:bottom w:val="none" w:sz="0" w:space="0" w:color="auto"/>
        <w:right w:val="none" w:sz="0" w:space="0" w:color="auto"/>
      </w:divBdr>
    </w:div>
    <w:div w:id="1475172510">
      <w:bodyDiv w:val="1"/>
      <w:marLeft w:val="0"/>
      <w:marRight w:val="0"/>
      <w:marTop w:val="0"/>
      <w:marBottom w:val="0"/>
      <w:divBdr>
        <w:top w:val="none" w:sz="0" w:space="0" w:color="auto"/>
        <w:left w:val="none" w:sz="0" w:space="0" w:color="auto"/>
        <w:bottom w:val="none" w:sz="0" w:space="0" w:color="auto"/>
        <w:right w:val="none" w:sz="0" w:space="0" w:color="auto"/>
      </w:divBdr>
      <w:divsChild>
        <w:div w:id="1734620116">
          <w:marLeft w:val="0"/>
          <w:marRight w:val="0"/>
          <w:marTop w:val="0"/>
          <w:marBottom w:val="0"/>
          <w:divBdr>
            <w:top w:val="none" w:sz="0" w:space="0" w:color="auto"/>
            <w:left w:val="none" w:sz="0" w:space="0" w:color="auto"/>
            <w:bottom w:val="none" w:sz="0" w:space="0" w:color="auto"/>
            <w:right w:val="none" w:sz="0" w:space="0" w:color="auto"/>
          </w:divBdr>
        </w:div>
      </w:divsChild>
    </w:div>
    <w:div w:id="1475290983">
      <w:bodyDiv w:val="1"/>
      <w:marLeft w:val="0"/>
      <w:marRight w:val="0"/>
      <w:marTop w:val="0"/>
      <w:marBottom w:val="0"/>
      <w:divBdr>
        <w:top w:val="none" w:sz="0" w:space="0" w:color="auto"/>
        <w:left w:val="none" w:sz="0" w:space="0" w:color="auto"/>
        <w:bottom w:val="none" w:sz="0" w:space="0" w:color="auto"/>
        <w:right w:val="none" w:sz="0" w:space="0" w:color="auto"/>
      </w:divBdr>
    </w:div>
    <w:div w:id="1529831304">
      <w:bodyDiv w:val="1"/>
      <w:marLeft w:val="0"/>
      <w:marRight w:val="0"/>
      <w:marTop w:val="0"/>
      <w:marBottom w:val="0"/>
      <w:divBdr>
        <w:top w:val="none" w:sz="0" w:space="0" w:color="auto"/>
        <w:left w:val="none" w:sz="0" w:space="0" w:color="auto"/>
        <w:bottom w:val="none" w:sz="0" w:space="0" w:color="auto"/>
        <w:right w:val="none" w:sz="0" w:space="0" w:color="auto"/>
      </w:divBdr>
    </w:div>
    <w:div w:id="1538468258">
      <w:bodyDiv w:val="1"/>
      <w:marLeft w:val="0"/>
      <w:marRight w:val="0"/>
      <w:marTop w:val="0"/>
      <w:marBottom w:val="0"/>
      <w:divBdr>
        <w:top w:val="none" w:sz="0" w:space="0" w:color="auto"/>
        <w:left w:val="none" w:sz="0" w:space="0" w:color="auto"/>
        <w:bottom w:val="none" w:sz="0" w:space="0" w:color="auto"/>
        <w:right w:val="none" w:sz="0" w:space="0" w:color="auto"/>
      </w:divBdr>
    </w:div>
    <w:div w:id="1547061099">
      <w:bodyDiv w:val="1"/>
      <w:marLeft w:val="0"/>
      <w:marRight w:val="0"/>
      <w:marTop w:val="0"/>
      <w:marBottom w:val="0"/>
      <w:divBdr>
        <w:top w:val="none" w:sz="0" w:space="0" w:color="auto"/>
        <w:left w:val="none" w:sz="0" w:space="0" w:color="auto"/>
        <w:bottom w:val="none" w:sz="0" w:space="0" w:color="auto"/>
        <w:right w:val="none" w:sz="0" w:space="0" w:color="auto"/>
      </w:divBdr>
    </w:div>
    <w:div w:id="1582133432">
      <w:bodyDiv w:val="1"/>
      <w:marLeft w:val="0"/>
      <w:marRight w:val="0"/>
      <w:marTop w:val="0"/>
      <w:marBottom w:val="0"/>
      <w:divBdr>
        <w:top w:val="none" w:sz="0" w:space="0" w:color="auto"/>
        <w:left w:val="none" w:sz="0" w:space="0" w:color="auto"/>
        <w:bottom w:val="none" w:sz="0" w:space="0" w:color="auto"/>
        <w:right w:val="none" w:sz="0" w:space="0" w:color="auto"/>
      </w:divBdr>
    </w:div>
    <w:div w:id="1604338527">
      <w:bodyDiv w:val="1"/>
      <w:marLeft w:val="0"/>
      <w:marRight w:val="0"/>
      <w:marTop w:val="0"/>
      <w:marBottom w:val="0"/>
      <w:divBdr>
        <w:top w:val="none" w:sz="0" w:space="0" w:color="auto"/>
        <w:left w:val="none" w:sz="0" w:space="0" w:color="auto"/>
        <w:bottom w:val="none" w:sz="0" w:space="0" w:color="auto"/>
        <w:right w:val="none" w:sz="0" w:space="0" w:color="auto"/>
      </w:divBdr>
    </w:div>
    <w:div w:id="1679499553">
      <w:bodyDiv w:val="1"/>
      <w:marLeft w:val="0"/>
      <w:marRight w:val="0"/>
      <w:marTop w:val="0"/>
      <w:marBottom w:val="0"/>
      <w:divBdr>
        <w:top w:val="none" w:sz="0" w:space="0" w:color="auto"/>
        <w:left w:val="none" w:sz="0" w:space="0" w:color="auto"/>
        <w:bottom w:val="none" w:sz="0" w:space="0" w:color="auto"/>
        <w:right w:val="none" w:sz="0" w:space="0" w:color="auto"/>
      </w:divBdr>
    </w:div>
    <w:div w:id="1729259962">
      <w:bodyDiv w:val="1"/>
      <w:marLeft w:val="0"/>
      <w:marRight w:val="0"/>
      <w:marTop w:val="0"/>
      <w:marBottom w:val="0"/>
      <w:divBdr>
        <w:top w:val="none" w:sz="0" w:space="0" w:color="auto"/>
        <w:left w:val="none" w:sz="0" w:space="0" w:color="auto"/>
        <w:bottom w:val="none" w:sz="0" w:space="0" w:color="auto"/>
        <w:right w:val="none" w:sz="0" w:space="0" w:color="auto"/>
      </w:divBdr>
    </w:div>
    <w:div w:id="1752266755">
      <w:bodyDiv w:val="1"/>
      <w:marLeft w:val="0"/>
      <w:marRight w:val="0"/>
      <w:marTop w:val="0"/>
      <w:marBottom w:val="0"/>
      <w:divBdr>
        <w:top w:val="none" w:sz="0" w:space="0" w:color="auto"/>
        <w:left w:val="none" w:sz="0" w:space="0" w:color="auto"/>
        <w:bottom w:val="none" w:sz="0" w:space="0" w:color="auto"/>
        <w:right w:val="none" w:sz="0" w:space="0" w:color="auto"/>
      </w:divBdr>
    </w:div>
    <w:div w:id="1775320044">
      <w:bodyDiv w:val="1"/>
      <w:marLeft w:val="0"/>
      <w:marRight w:val="0"/>
      <w:marTop w:val="0"/>
      <w:marBottom w:val="0"/>
      <w:divBdr>
        <w:top w:val="none" w:sz="0" w:space="0" w:color="auto"/>
        <w:left w:val="none" w:sz="0" w:space="0" w:color="auto"/>
        <w:bottom w:val="none" w:sz="0" w:space="0" w:color="auto"/>
        <w:right w:val="none" w:sz="0" w:space="0" w:color="auto"/>
      </w:divBdr>
    </w:div>
    <w:div w:id="1779793518">
      <w:bodyDiv w:val="1"/>
      <w:marLeft w:val="0"/>
      <w:marRight w:val="0"/>
      <w:marTop w:val="0"/>
      <w:marBottom w:val="0"/>
      <w:divBdr>
        <w:top w:val="none" w:sz="0" w:space="0" w:color="auto"/>
        <w:left w:val="none" w:sz="0" w:space="0" w:color="auto"/>
        <w:bottom w:val="none" w:sz="0" w:space="0" w:color="auto"/>
        <w:right w:val="none" w:sz="0" w:space="0" w:color="auto"/>
      </w:divBdr>
    </w:div>
    <w:div w:id="1802918576">
      <w:bodyDiv w:val="1"/>
      <w:marLeft w:val="0"/>
      <w:marRight w:val="0"/>
      <w:marTop w:val="0"/>
      <w:marBottom w:val="0"/>
      <w:divBdr>
        <w:top w:val="none" w:sz="0" w:space="0" w:color="auto"/>
        <w:left w:val="none" w:sz="0" w:space="0" w:color="auto"/>
        <w:bottom w:val="none" w:sz="0" w:space="0" w:color="auto"/>
        <w:right w:val="none" w:sz="0" w:space="0" w:color="auto"/>
      </w:divBdr>
    </w:div>
    <w:div w:id="2068451904">
      <w:bodyDiv w:val="1"/>
      <w:marLeft w:val="0"/>
      <w:marRight w:val="0"/>
      <w:marTop w:val="0"/>
      <w:marBottom w:val="0"/>
      <w:divBdr>
        <w:top w:val="none" w:sz="0" w:space="0" w:color="auto"/>
        <w:left w:val="none" w:sz="0" w:space="0" w:color="auto"/>
        <w:bottom w:val="none" w:sz="0" w:space="0" w:color="auto"/>
        <w:right w:val="none" w:sz="0" w:space="0" w:color="auto"/>
      </w:divBdr>
    </w:div>
    <w:div w:id="212692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ustomXml" Target="ink/ink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4T02:55:05.942"/>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F17BA-7322-494D-AF6C-BF96E5512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22</Pages>
  <Words>6293</Words>
  <Characters>35871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GMD 007</dc:creator>
  <cp:keywords/>
  <dc:description/>
  <cp:lastModifiedBy>SDI 1084</cp:lastModifiedBy>
  <cp:revision>24</cp:revision>
  <dcterms:created xsi:type="dcterms:W3CDTF">2026-02-24T05:12:00Z</dcterms:created>
  <dcterms:modified xsi:type="dcterms:W3CDTF">2026-03-06T09:36:00Z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db1f9054-54c1-4a1a-b8d3-b4153b5a39f9</vt:lpwstr>
  </property>
</Properties>
</file>