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07AE2" w14:textId="77777777" w:rsidR="005D0EC4" w:rsidRDefault="005D0EC4" w:rsidP="00F60DED">
      <w:pPr>
        <w:spacing w:line="360" w:lineRule="auto"/>
        <w:jc w:val="center"/>
        <w:rPr>
          <w:rFonts w:ascii="Arial" w:hAnsi="Arial" w:cs="Arial"/>
          <w:b/>
          <w:bCs/>
          <w:sz w:val="20"/>
          <w:szCs w:val="20"/>
        </w:rPr>
      </w:pPr>
      <w:r w:rsidRPr="00010588">
        <w:rPr>
          <w:rFonts w:ascii="Arial" w:hAnsi="Arial" w:cs="Arial"/>
          <w:b/>
          <w:bCs/>
          <w:sz w:val="20"/>
          <w:szCs w:val="20"/>
        </w:rPr>
        <w:t xml:space="preserve">Studies on </w:t>
      </w:r>
      <w:r w:rsidR="00F43A11" w:rsidRPr="00010588">
        <w:rPr>
          <w:rFonts w:ascii="Arial" w:hAnsi="Arial" w:cs="Arial"/>
          <w:b/>
          <w:bCs/>
          <w:sz w:val="20"/>
          <w:szCs w:val="20"/>
        </w:rPr>
        <w:t xml:space="preserve">persistence of </w:t>
      </w:r>
      <w:proofErr w:type="spellStart"/>
      <w:r w:rsidR="00F43A11" w:rsidRPr="00010588">
        <w:rPr>
          <w:rFonts w:ascii="Arial" w:hAnsi="Arial" w:cs="Arial"/>
          <w:b/>
          <w:bCs/>
          <w:sz w:val="20"/>
          <w:szCs w:val="20"/>
        </w:rPr>
        <w:t>chlorantraniliprole</w:t>
      </w:r>
      <w:proofErr w:type="spellEnd"/>
      <w:r w:rsidR="00F43A11" w:rsidRPr="00010588">
        <w:rPr>
          <w:rFonts w:ascii="Arial" w:hAnsi="Arial" w:cs="Arial"/>
          <w:b/>
          <w:bCs/>
          <w:sz w:val="20"/>
          <w:szCs w:val="20"/>
        </w:rPr>
        <w:t xml:space="preserve"> in </w:t>
      </w:r>
      <w:proofErr w:type="spellStart"/>
      <w:r w:rsidR="00F43A11" w:rsidRPr="00010588">
        <w:rPr>
          <w:rFonts w:ascii="Arial" w:hAnsi="Arial" w:cs="Arial"/>
          <w:b/>
          <w:bCs/>
          <w:sz w:val="20"/>
          <w:szCs w:val="20"/>
        </w:rPr>
        <w:t>pigeonpea</w:t>
      </w:r>
      <w:proofErr w:type="spellEnd"/>
      <w:r w:rsidR="00F43A11" w:rsidRPr="00010588">
        <w:rPr>
          <w:rFonts w:ascii="Arial" w:hAnsi="Arial" w:cs="Arial"/>
          <w:b/>
          <w:bCs/>
          <w:sz w:val="20"/>
          <w:szCs w:val="20"/>
        </w:rPr>
        <w:t xml:space="preserve"> pods against pod borers</w:t>
      </w:r>
    </w:p>
    <w:p w14:paraId="51BD921E" w14:textId="77777777" w:rsidR="00FB2F92" w:rsidRPr="00010588" w:rsidRDefault="00FB2F92" w:rsidP="00F60DED">
      <w:pPr>
        <w:spacing w:line="360" w:lineRule="auto"/>
        <w:jc w:val="center"/>
        <w:rPr>
          <w:rFonts w:ascii="Arial" w:hAnsi="Arial" w:cs="Arial"/>
          <w:b/>
          <w:bCs/>
          <w:sz w:val="20"/>
          <w:szCs w:val="20"/>
        </w:rPr>
      </w:pPr>
    </w:p>
    <w:p w14:paraId="37BF7417" w14:textId="77777777" w:rsidR="00FC6C64" w:rsidRPr="00010588" w:rsidRDefault="006B5D50" w:rsidP="006B5D50">
      <w:pPr>
        <w:spacing w:line="360" w:lineRule="auto"/>
        <w:rPr>
          <w:rFonts w:ascii="Arial" w:hAnsi="Arial" w:cs="Arial"/>
          <w:b/>
          <w:color w:val="000000" w:themeColor="text1"/>
          <w:szCs w:val="20"/>
        </w:rPr>
      </w:pPr>
      <w:r w:rsidRPr="00010588">
        <w:rPr>
          <w:rFonts w:ascii="Arial" w:hAnsi="Arial" w:cs="Arial"/>
          <w:b/>
          <w:color w:val="000000" w:themeColor="text1"/>
          <w:szCs w:val="20"/>
        </w:rPr>
        <w:t>ABSTRACT</w:t>
      </w:r>
    </w:p>
    <w:p w14:paraId="46D56EEC" w14:textId="77777777" w:rsidR="00010588" w:rsidRPr="00010588" w:rsidRDefault="00FC6C64" w:rsidP="00DF462C">
      <w:pPr>
        <w:spacing w:line="360" w:lineRule="auto"/>
        <w:ind w:firstLine="720"/>
        <w:jc w:val="both"/>
        <w:rPr>
          <w:rFonts w:ascii="Arial" w:hAnsi="Arial" w:cs="Arial"/>
          <w:color w:val="000000" w:themeColor="text1"/>
          <w:sz w:val="20"/>
          <w:szCs w:val="20"/>
        </w:rPr>
      </w:pP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a novel diamide insecticide, is widely used for controlling pod borers, particularly </w:t>
      </w:r>
      <w:proofErr w:type="spellStart"/>
      <w:r w:rsidRPr="00010588">
        <w:rPr>
          <w:rFonts w:ascii="Arial" w:hAnsi="Arial" w:cs="Arial"/>
          <w:i/>
          <w:color w:val="000000" w:themeColor="text1"/>
          <w:sz w:val="20"/>
          <w:szCs w:val="20"/>
        </w:rPr>
        <w:t>Helicoverpa</w:t>
      </w:r>
      <w:proofErr w:type="spellEnd"/>
      <w:r w:rsidRPr="00010588">
        <w:rPr>
          <w:rFonts w:ascii="Arial" w:hAnsi="Arial" w:cs="Arial"/>
          <w:i/>
          <w:color w:val="000000" w:themeColor="text1"/>
          <w:sz w:val="20"/>
          <w:szCs w:val="20"/>
        </w:rPr>
        <w:t xml:space="preserve"> </w:t>
      </w:r>
      <w:proofErr w:type="spellStart"/>
      <w:r w:rsidRPr="00010588">
        <w:rPr>
          <w:rFonts w:ascii="Arial" w:hAnsi="Arial" w:cs="Arial"/>
          <w:i/>
          <w:color w:val="000000" w:themeColor="text1"/>
          <w:sz w:val="20"/>
          <w:szCs w:val="20"/>
        </w:rPr>
        <w:t>armigera</w:t>
      </w:r>
      <w:proofErr w:type="spellEnd"/>
      <w:r w:rsidRPr="00010588">
        <w:rPr>
          <w:rFonts w:ascii="Arial" w:hAnsi="Arial" w:cs="Arial"/>
          <w:color w:val="000000" w:themeColor="text1"/>
          <w:sz w:val="20"/>
          <w:szCs w:val="20"/>
        </w:rPr>
        <w:t xml:space="preserve">, in </w:t>
      </w:r>
      <w:proofErr w:type="spellStart"/>
      <w:r w:rsidRPr="00010588">
        <w:rPr>
          <w:rFonts w:ascii="Arial" w:hAnsi="Arial" w:cs="Arial"/>
          <w:color w:val="000000" w:themeColor="text1"/>
          <w:sz w:val="20"/>
          <w:szCs w:val="20"/>
        </w:rPr>
        <w:t>pigeonpea</w:t>
      </w:r>
      <w:proofErr w:type="spellEnd"/>
      <w:r w:rsidRPr="00010588">
        <w:rPr>
          <w:rFonts w:ascii="Arial" w:hAnsi="Arial" w:cs="Arial"/>
          <w:color w:val="000000" w:themeColor="text1"/>
          <w:sz w:val="20"/>
          <w:szCs w:val="20"/>
        </w:rPr>
        <w:t xml:space="preserve"> crops. The present study investigates the dissipation and residue persistence of </w:t>
      </w: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in </w:t>
      </w:r>
      <w:proofErr w:type="spellStart"/>
      <w:r w:rsidRPr="00010588">
        <w:rPr>
          <w:rFonts w:ascii="Arial" w:hAnsi="Arial" w:cs="Arial"/>
          <w:color w:val="000000" w:themeColor="text1"/>
          <w:sz w:val="20"/>
          <w:szCs w:val="20"/>
        </w:rPr>
        <w:t>pigeonpea</w:t>
      </w:r>
      <w:proofErr w:type="spellEnd"/>
      <w:r w:rsidRPr="00010588">
        <w:rPr>
          <w:rFonts w:ascii="Arial" w:hAnsi="Arial" w:cs="Arial"/>
          <w:color w:val="000000" w:themeColor="text1"/>
          <w:sz w:val="20"/>
          <w:szCs w:val="20"/>
        </w:rPr>
        <w:t xml:space="preserve"> pods under field conditions during the</w:t>
      </w:r>
      <w:r w:rsidRPr="00010588">
        <w:rPr>
          <w:rFonts w:ascii="Arial" w:hAnsi="Arial" w:cs="Arial"/>
          <w:i/>
          <w:color w:val="000000" w:themeColor="text1"/>
          <w:sz w:val="20"/>
          <w:szCs w:val="20"/>
        </w:rPr>
        <w:t xml:space="preserve"> </w:t>
      </w:r>
      <w:proofErr w:type="spellStart"/>
      <w:r w:rsidRPr="00010588">
        <w:rPr>
          <w:rFonts w:ascii="Arial" w:hAnsi="Arial" w:cs="Arial"/>
          <w:i/>
          <w:color w:val="000000" w:themeColor="text1"/>
          <w:sz w:val="20"/>
          <w:szCs w:val="20"/>
        </w:rPr>
        <w:t>rabi</w:t>
      </w:r>
      <w:proofErr w:type="spellEnd"/>
      <w:r w:rsidRPr="00010588">
        <w:rPr>
          <w:rFonts w:ascii="Arial" w:hAnsi="Arial" w:cs="Arial"/>
          <w:color w:val="000000" w:themeColor="text1"/>
          <w:sz w:val="20"/>
          <w:szCs w:val="20"/>
        </w:rPr>
        <w:t xml:space="preserve"> seasons of 2021–22 and 2022–23. </w:t>
      </w: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was applied as a foliar spray at bud initiation and pod formation stages. Residue extraction was performed using the modified </w:t>
      </w:r>
      <w:proofErr w:type="spellStart"/>
      <w:r w:rsidRPr="00010588">
        <w:rPr>
          <w:rFonts w:ascii="Arial" w:hAnsi="Arial" w:cs="Arial"/>
          <w:color w:val="000000" w:themeColor="text1"/>
          <w:sz w:val="20"/>
          <w:szCs w:val="20"/>
        </w:rPr>
        <w:t>QuEChERS</w:t>
      </w:r>
      <w:proofErr w:type="spellEnd"/>
      <w:r w:rsidRPr="00010588">
        <w:rPr>
          <w:rFonts w:ascii="Arial" w:hAnsi="Arial" w:cs="Arial"/>
          <w:color w:val="000000" w:themeColor="text1"/>
          <w:sz w:val="20"/>
          <w:szCs w:val="20"/>
        </w:rPr>
        <w:t xml:space="preserve"> method, followed by analysis via High-Performance Liquid Chromatography (HPLC). The dissipation study revealed that </w:t>
      </w: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residues dissipated rapidly, with over 90% of the pesticide degraded by Day 5 and complete dissipation (below detectable levels) by Day 10. The pesticide followed first-order kinetics with a half-life of 1.21 days</w:t>
      </w:r>
      <w:r w:rsidR="00F43A11" w:rsidRPr="00010588">
        <w:rPr>
          <w:rFonts w:ascii="Arial" w:hAnsi="Arial" w:cs="Arial"/>
          <w:color w:val="000000" w:themeColor="text1"/>
          <w:sz w:val="20"/>
          <w:szCs w:val="20"/>
        </w:rPr>
        <w:t xml:space="preserve"> and</w:t>
      </w:r>
      <w:r w:rsidRPr="00010588">
        <w:rPr>
          <w:rFonts w:ascii="Arial" w:hAnsi="Arial" w:cs="Arial"/>
          <w:color w:val="000000" w:themeColor="text1"/>
          <w:sz w:val="20"/>
          <w:szCs w:val="20"/>
        </w:rPr>
        <w:t xml:space="preserve"> the safe waiting period before harvest was determined to be 7.51 days, ensuring that residues were below the Food Safety and Standards Authority of India (FSSAI) Maximum Residue Limit (MRL) of 0.03 mg/kg. The study confirms that </w:t>
      </w: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is a rapidly degrading pesticide</w:t>
      </w:r>
      <w:r w:rsidR="00F43A11" w:rsidRPr="00010588">
        <w:rPr>
          <w:rFonts w:ascii="Arial" w:hAnsi="Arial" w:cs="Arial"/>
          <w:color w:val="000000" w:themeColor="text1"/>
          <w:sz w:val="20"/>
          <w:szCs w:val="20"/>
        </w:rPr>
        <w:t xml:space="preserve"> and</w:t>
      </w:r>
      <w:r w:rsidRPr="00010588">
        <w:rPr>
          <w:rFonts w:ascii="Arial" w:hAnsi="Arial" w:cs="Arial"/>
          <w:color w:val="000000" w:themeColor="text1"/>
          <w:sz w:val="20"/>
          <w:szCs w:val="20"/>
        </w:rPr>
        <w:t xml:space="preserve"> adherence to the recommended waiting period ensures its safe use in </w:t>
      </w:r>
      <w:proofErr w:type="spellStart"/>
      <w:r w:rsidRPr="00010588">
        <w:rPr>
          <w:rFonts w:ascii="Arial" w:hAnsi="Arial" w:cs="Arial"/>
          <w:color w:val="000000" w:themeColor="text1"/>
          <w:sz w:val="20"/>
          <w:szCs w:val="20"/>
        </w:rPr>
        <w:t>pigeonpea</w:t>
      </w:r>
      <w:proofErr w:type="spellEnd"/>
      <w:r w:rsidRPr="00010588">
        <w:rPr>
          <w:rFonts w:ascii="Arial" w:hAnsi="Arial" w:cs="Arial"/>
          <w:color w:val="000000" w:themeColor="text1"/>
          <w:sz w:val="20"/>
          <w:szCs w:val="20"/>
        </w:rPr>
        <w:t xml:space="preserve"> cultivation. </w:t>
      </w:r>
    </w:p>
    <w:p w14:paraId="050D220A" w14:textId="77777777" w:rsidR="00DF462C" w:rsidRPr="00010588" w:rsidRDefault="00010588" w:rsidP="00010588">
      <w:pPr>
        <w:spacing w:line="360" w:lineRule="auto"/>
        <w:jc w:val="both"/>
        <w:rPr>
          <w:rFonts w:ascii="Arial" w:hAnsi="Arial" w:cs="Arial"/>
          <w:color w:val="000000" w:themeColor="text1"/>
          <w:sz w:val="20"/>
          <w:szCs w:val="20"/>
        </w:rPr>
      </w:pPr>
      <w:r w:rsidRPr="00010588">
        <w:rPr>
          <w:rFonts w:ascii="Arial" w:hAnsi="Arial" w:cs="Arial"/>
          <w:b/>
          <w:color w:val="000000" w:themeColor="text1"/>
          <w:sz w:val="20"/>
          <w:szCs w:val="20"/>
        </w:rPr>
        <w:t>Conclusion:</w:t>
      </w:r>
      <w:r w:rsidRPr="00010588">
        <w:rPr>
          <w:rFonts w:ascii="Arial" w:hAnsi="Arial" w:cs="Arial"/>
          <w:color w:val="000000" w:themeColor="text1"/>
          <w:sz w:val="20"/>
          <w:szCs w:val="20"/>
        </w:rPr>
        <w:t xml:space="preserve"> </w:t>
      </w:r>
      <w:r w:rsidR="00FC6C64" w:rsidRPr="00010588">
        <w:rPr>
          <w:rFonts w:ascii="Arial" w:hAnsi="Arial" w:cs="Arial"/>
          <w:color w:val="000000" w:themeColor="text1"/>
          <w:sz w:val="20"/>
          <w:szCs w:val="20"/>
        </w:rPr>
        <w:t xml:space="preserve">These findings support the safe and effective use of </w:t>
      </w:r>
      <w:proofErr w:type="spellStart"/>
      <w:r w:rsidR="00FC6C64" w:rsidRPr="00010588">
        <w:rPr>
          <w:rFonts w:ascii="Arial" w:hAnsi="Arial" w:cs="Arial"/>
          <w:color w:val="000000" w:themeColor="text1"/>
          <w:sz w:val="20"/>
          <w:szCs w:val="20"/>
        </w:rPr>
        <w:t>chlorantraniliprole</w:t>
      </w:r>
      <w:proofErr w:type="spellEnd"/>
      <w:r w:rsidR="00FC6C64" w:rsidRPr="00010588">
        <w:rPr>
          <w:rFonts w:ascii="Arial" w:hAnsi="Arial" w:cs="Arial"/>
          <w:color w:val="000000" w:themeColor="text1"/>
          <w:sz w:val="20"/>
          <w:szCs w:val="20"/>
        </w:rPr>
        <w:t xml:space="preserve"> in pest management, particularly against pod borers in </w:t>
      </w:r>
      <w:proofErr w:type="spellStart"/>
      <w:r w:rsidR="00FC6C64" w:rsidRPr="00010588">
        <w:rPr>
          <w:rFonts w:ascii="Arial" w:hAnsi="Arial" w:cs="Arial"/>
          <w:color w:val="000000" w:themeColor="text1"/>
          <w:sz w:val="20"/>
          <w:szCs w:val="20"/>
        </w:rPr>
        <w:t>pigeonpea</w:t>
      </w:r>
      <w:proofErr w:type="spellEnd"/>
      <w:r w:rsidR="00FC6C64" w:rsidRPr="00010588">
        <w:rPr>
          <w:rFonts w:ascii="Arial" w:hAnsi="Arial" w:cs="Arial"/>
          <w:color w:val="000000" w:themeColor="text1"/>
          <w:sz w:val="20"/>
          <w:szCs w:val="20"/>
        </w:rPr>
        <w:t>, while ensuring consumer safety through the reduction of pesticide residues in edible parts.</w:t>
      </w:r>
    </w:p>
    <w:p w14:paraId="63DF85FD" w14:textId="77777777" w:rsidR="00DF462C" w:rsidRPr="00010588" w:rsidRDefault="00DF462C" w:rsidP="007C7A7E">
      <w:pPr>
        <w:spacing w:line="360" w:lineRule="auto"/>
        <w:jc w:val="both"/>
        <w:rPr>
          <w:rFonts w:ascii="Arial" w:hAnsi="Arial" w:cs="Arial"/>
          <w:color w:val="000000" w:themeColor="text1"/>
          <w:sz w:val="20"/>
          <w:szCs w:val="20"/>
        </w:rPr>
      </w:pPr>
      <w:r w:rsidRPr="00010588">
        <w:rPr>
          <w:rFonts w:ascii="Arial" w:hAnsi="Arial" w:cs="Arial"/>
          <w:color w:val="000000" w:themeColor="text1"/>
          <w:sz w:val="20"/>
          <w:szCs w:val="20"/>
        </w:rPr>
        <w:t>Keywords</w:t>
      </w:r>
      <w:r w:rsidR="007C7A7E" w:rsidRPr="00010588">
        <w:rPr>
          <w:rFonts w:ascii="Arial" w:hAnsi="Arial" w:cs="Arial"/>
          <w:color w:val="000000" w:themeColor="text1"/>
          <w:sz w:val="20"/>
          <w:szCs w:val="20"/>
        </w:rPr>
        <w:t xml:space="preserve">: </w:t>
      </w:r>
      <w:proofErr w:type="spellStart"/>
      <w:r w:rsidRPr="00010588">
        <w:rPr>
          <w:rFonts w:ascii="Arial" w:hAnsi="Arial" w:cs="Arial"/>
          <w:color w:val="000000" w:themeColor="text1"/>
          <w:sz w:val="20"/>
          <w:szCs w:val="20"/>
        </w:rPr>
        <w:t>Chlorantraniliprole</w:t>
      </w:r>
      <w:proofErr w:type="spellEnd"/>
      <w:r w:rsidRPr="00010588">
        <w:rPr>
          <w:rFonts w:ascii="Arial" w:hAnsi="Arial" w:cs="Arial"/>
          <w:color w:val="000000" w:themeColor="text1"/>
          <w:sz w:val="20"/>
          <w:szCs w:val="20"/>
        </w:rPr>
        <w:t xml:space="preserve">, residue persistence, </w:t>
      </w:r>
      <w:proofErr w:type="spellStart"/>
      <w:r w:rsidRPr="00010588">
        <w:rPr>
          <w:rFonts w:ascii="Arial" w:hAnsi="Arial" w:cs="Arial"/>
          <w:color w:val="000000" w:themeColor="text1"/>
          <w:sz w:val="20"/>
          <w:szCs w:val="20"/>
        </w:rPr>
        <w:t>pigeonpea</w:t>
      </w:r>
      <w:proofErr w:type="spellEnd"/>
      <w:r w:rsidRPr="00010588">
        <w:rPr>
          <w:rFonts w:ascii="Arial" w:hAnsi="Arial" w:cs="Arial"/>
          <w:color w:val="000000" w:themeColor="text1"/>
          <w:sz w:val="20"/>
          <w:szCs w:val="20"/>
        </w:rPr>
        <w:t>, half-life, safe waiting period</w:t>
      </w:r>
    </w:p>
    <w:p w14:paraId="11242922" w14:textId="77777777" w:rsidR="005409B7" w:rsidRPr="00010588" w:rsidRDefault="005409B7" w:rsidP="00F60DED">
      <w:pPr>
        <w:spacing w:line="360" w:lineRule="auto"/>
        <w:jc w:val="both"/>
        <w:rPr>
          <w:rFonts w:ascii="Arial" w:hAnsi="Arial" w:cs="Arial"/>
          <w:b/>
          <w:bCs/>
          <w:sz w:val="20"/>
          <w:szCs w:val="20"/>
        </w:rPr>
      </w:pPr>
    </w:p>
    <w:p w14:paraId="334AB83F" w14:textId="77777777" w:rsidR="005D0EC4" w:rsidRPr="00010588" w:rsidRDefault="008839D3" w:rsidP="008839D3">
      <w:pPr>
        <w:pStyle w:val="ListParagraph"/>
        <w:numPr>
          <w:ilvl w:val="0"/>
          <w:numId w:val="6"/>
        </w:numPr>
        <w:spacing w:line="360" w:lineRule="auto"/>
        <w:jc w:val="both"/>
        <w:rPr>
          <w:rFonts w:ascii="Arial" w:hAnsi="Arial" w:cs="Arial"/>
          <w:b/>
          <w:bCs/>
          <w:szCs w:val="20"/>
        </w:rPr>
      </w:pPr>
      <w:r w:rsidRPr="00010588">
        <w:rPr>
          <w:rFonts w:ascii="Arial" w:hAnsi="Arial" w:cs="Arial"/>
          <w:b/>
          <w:bCs/>
          <w:szCs w:val="20"/>
        </w:rPr>
        <w:t>INTRODUCTION</w:t>
      </w:r>
    </w:p>
    <w:p w14:paraId="548B19E2" w14:textId="77777777" w:rsidR="005D0EC4" w:rsidRPr="00010588" w:rsidRDefault="005D0EC4" w:rsidP="00F60DED">
      <w:pPr>
        <w:spacing w:line="360" w:lineRule="auto"/>
        <w:ind w:firstLine="720"/>
        <w:jc w:val="both"/>
        <w:rPr>
          <w:rFonts w:ascii="Arial" w:hAnsi="Arial" w:cs="Arial"/>
          <w:sz w:val="20"/>
          <w:szCs w:val="20"/>
        </w:rPr>
      </w:pPr>
      <w:proofErr w:type="spellStart"/>
      <w:r w:rsidRPr="00010588">
        <w:rPr>
          <w:rFonts w:ascii="Arial" w:hAnsi="Arial" w:cs="Arial"/>
          <w:sz w:val="20"/>
          <w:szCs w:val="20"/>
        </w:rPr>
        <w:t>Pigeonpea</w:t>
      </w:r>
      <w:proofErr w:type="spellEnd"/>
      <w:r w:rsidRPr="00010588">
        <w:rPr>
          <w:rFonts w:ascii="Arial" w:hAnsi="Arial" w:cs="Arial"/>
          <w:sz w:val="20"/>
          <w:szCs w:val="20"/>
        </w:rPr>
        <w:t xml:space="preserve"> (</w:t>
      </w:r>
      <w:proofErr w:type="spellStart"/>
      <w:r w:rsidRPr="00010588">
        <w:rPr>
          <w:rFonts w:ascii="Arial" w:hAnsi="Arial" w:cs="Arial"/>
          <w:i/>
          <w:iCs/>
          <w:sz w:val="20"/>
          <w:szCs w:val="20"/>
        </w:rPr>
        <w:t>Cajanus</w:t>
      </w:r>
      <w:proofErr w:type="spellEnd"/>
      <w:r w:rsidRPr="00010588">
        <w:rPr>
          <w:rFonts w:ascii="Arial" w:hAnsi="Arial" w:cs="Arial"/>
          <w:i/>
          <w:iCs/>
          <w:sz w:val="20"/>
          <w:szCs w:val="20"/>
        </w:rPr>
        <w:t xml:space="preserve"> </w:t>
      </w:r>
      <w:proofErr w:type="spellStart"/>
      <w:r w:rsidRPr="00010588">
        <w:rPr>
          <w:rFonts w:ascii="Arial" w:hAnsi="Arial" w:cs="Arial"/>
          <w:i/>
          <w:iCs/>
          <w:sz w:val="20"/>
          <w:szCs w:val="20"/>
        </w:rPr>
        <w:t>cajan</w:t>
      </w:r>
      <w:proofErr w:type="spellEnd"/>
      <w:r w:rsidRPr="00010588">
        <w:rPr>
          <w:rFonts w:ascii="Arial" w:hAnsi="Arial" w:cs="Arial"/>
          <w:sz w:val="20"/>
          <w:szCs w:val="20"/>
        </w:rPr>
        <w:t xml:space="preserve"> L. </w:t>
      </w:r>
      <w:proofErr w:type="spellStart"/>
      <w:r w:rsidRPr="00010588">
        <w:rPr>
          <w:rFonts w:ascii="Arial" w:hAnsi="Arial" w:cs="Arial"/>
          <w:sz w:val="20"/>
          <w:szCs w:val="20"/>
        </w:rPr>
        <w:t>Millsp</w:t>
      </w:r>
      <w:proofErr w:type="spellEnd"/>
      <w:r w:rsidRPr="00010588">
        <w:rPr>
          <w:rFonts w:ascii="Arial" w:hAnsi="Arial" w:cs="Arial"/>
          <w:sz w:val="20"/>
          <w:szCs w:val="20"/>
        </w:rPr>
        <w:t xml:space="preserve">.) is one of the major pulse crops cultivated in India during </w:t>
      </w:r>
      <w:r w:rsidRPr="00010588">
        <w:rPr>
          <w:rFonts w:ascii="Arial" w:hAnsi="Arial" w:cs="Arial"/>
          <w:i/>
          <w:iCs/>
          <w:sz w:val="20"/>
          <w:szCs w:val="20"/>
        </w:rPr>
        <w:t>kharif</w:t>
      </w:r>
      <w:r w:rsidRPr="00010588">
        <w:rPr>
          <w:rFonts w:ascii="Arial" w:hAnsi="Arial" w:cs="Arial"/>
          <w:sz w:val="20"/>
          <w:szCs w:val="20"/>
        </w:rPr>
        <w:t xml:space="preserve"> and </w:t>
      </w:r>
      <w:proofErr w:type="spellStart"/>
      <w:r w:rsidRPr="00010588">
        <w:rPr>
          <w:rFonts w:ascii="Arial" w:hAnsi="Arial" w:cs="Arial"/>
          <w:i/>
          <w:iCs/>
          <w:sz w:val="20"/>
          <w:szCs w:val="20"/>
        </w:rPr>
        <w:t>rabi</w:t>
      </w:r>
      <w:proofErr w:type="spellEnd"/>
      <w:r w:rsidRPr="00010588">
        <w:rPr>
          <w:rFonts w:ascii="Arial" w:hAnsi="Arial" w:cs="Arial"/>
          <w:sz w:val="20"/>
          <w:szCs w:val="20"/>
        </w:rPr>
        <w:t xml:space="preserve"> seasons and serves as an important source of protein for millions of people. The productivity of </w:t>
      </w:r>
      <w:proofErr w:type="spellStart"/>
      <w:r w:rsidRPr="00010588">
        <w:rPr>
          <w:rFonts w:ascii="Arial" w:hAnsi="Arial" w:cs="Arial"/>
          <w:sz w:val="20"/>
          <w:szCs w:val="20"/>
        </w:rPr>
        <w:t>pigeonpea</w:t>
      </w:r>
      <w:proofErr w:type="spellEnd"/>
      <w:r w:rsidRPr="00010588">
        <w:rPr>
          <w:rFonts w:ascii="Arial" w:hAnsi="Arial" w:cs="Arial"/>
          <w:sz w:val="20"/>
          <w:szCs w:val="20"/>
        </w:rPr>
        <w:t xml:space="preserve"> is severely affected by various insect pests, among which the </w:t>
      </w:r>
      <w:r w:rsidRPr="00010588">
        <w:rPr>
          <w:rFonts w:ascii="Arial" w:hAnsi="Arial" w:cs="Arial"/>
          <w:bCs/>
          <w:sz w:val="20"/>
          <w:szCs w:val="20"/>
        </w:rPr>
        <w:t>pod borers</w:t>
      </w:r>
      <w:r w:rsidRPr="00010588">
        <w:rPr>
          <w:rFonts w:ascii="Arial" w:hAnsi="Arial" w:cs="Arial"/>
          <w:sz w:val="20"/>
          <w:szCs w:val="20"/>
        </w:rPr>
        <w:t xml:space="preserve">, particularly </w:t>
      </w:r>
      <w:proofErr w:type="spellStart"/>
      <w:r w:rsidRPr="00010588">
        <w:rPr>
          <w:rFonts w:ascii="Arial" w:hAnsi="Arial" w:cs="Arial"/>
          <w:i/>
          <w:iCs/>
          <w:sz w:val="20"/>
          <w:szCs w:val="20"/>
        </w:rPr>
        <w:t>Helicoverpa</w:t>
      </w:r>
      <w:proofErr w:type="spellEnd"/>
      <w:r w:rsidRPr="00010588">
        <w:rPr>
          <w:rFonts w:ascii="Arial" w:hAnsi="Arial" w:cs="Arial"/>
          <w:i/>
          <w:iCs/>
          <w:sz w:val="20"/>
          <w:szCs w:val="20"/>
        </w:rPr>
        <w:t xml:space="preserve"> </w:t>
      </w:r>
      <w:proofErr w:type="spellStart"/>
      <w:r w:rsidRPr="00010588">
        <w:rPr>
          <w:rFonts w:ascii="Arial" w:hAnsi="Arial" w:cs="Arial"/>
          <w:i/>
          <w:iCs/>
          <w:sz w:val="20"/>
          <w:szCs w:val="20"/>
        </w:rPr>
        <w:t>armigera</w:t>
      </w:r>
      <w:proofErr w:type="spellEnd"/>
      <w:r w:rsidRPr="00010588">
        <w:rPr>
          <w:rFonts w:ascii="Arial" w:hAnsi="Arial" w:cs="Arial"/>
          <w:sz w:val="20"/>
          <w:szCs w:val="20"/>
        </w:rPr>
        <w:t xml:space="preserve"> (</w:t>
      </w:r>
      <w:proofErr w:type="spellStart"/>
      <w:r w:rsidRPr="00010588">
        <w:rPr>
          <w:rFonts w:ascii="Arial" w:hAnsi="Arial" w:cs="Arial"/>
          <w:sz w:val="20"/>
          <w:szCs w:val="20"/>
        </w:rPr>
        <w:t>Hubner</w:t>
      </w:r>
      <w:proofErr w:type="spellEnd"/>
      <w:r w:rsidRPr="00010588">
        <w:rPr>
          <w:rFonts w:ascii="Arial" w:hAnsi="Arial" w:cs="Arial"/>
          <w:sz w:val="20"/>
          <w:szCs w:val="20"/>
        </w:rPr>
        <w:t xml:space="preserve">), cause significant yield losses ranging from 30–90% under </w:t>
      </w:r>
      <w:r w:rsidR="00A22C4A" w:rsidRPr="00010588">
        <w:rPr>
          <w:rFonts w:ascii="Arial" w:hAnsi="Arial" w:cs="Arial"/>
          <w:sz w:val="20"/>
          <w:szCs w:val="20"/>
        </w:rPr>
        <w:t>favourable</w:t>
      </w:r>
      <w:r w:rsidRPr="00010588">
        <w:rPr>
          <w:rFonts w:ascii="Arial" w:hAnsi="Arial" w:cs="Arial"/>
          <w:sz w:val="20"/>
          <w:szCs w:val="20"/>
        </w:rPr>
        <w:t xml:space="preserve"> conditions (Lateef &amp; Reed, 1990; Rangaiah </w:t>
      </w:r>
      <w:r w:rsidRPr="00010588">
        <w:rPr>
          <w:rFonts w:ascii="Arial" w:hAnsi="Arial" w:cs="Arial"/>
          <w:i/>
          <w:sz w:val="20"/>
          <w:szCs w:val="20"/>
        </w:rPr>
        <w:t>et al</w:t>
      </w:r>
      <w:r w:rsidRPr="00010588">
        <w:rPr>
          <w:rFonts w:ascii="Arial" w:hAnsi="Arial" w:cs="Arial"/>
          <w:sz w:val="20"/>
          <w:szCs w:val="20"/>
        </w:rPr>
        <w:t>., 2018).</w:t>
      </w:r>
    </w:p>
    <w:p w14:paraId="776CDA80" w14:textId="77777777"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management of these pests has been largely dependent on chemical insecticides. However, excessive and indiscriminate use of conventional insecticides has led to </w:t>
      </w:r>
      <w:r w:rsidRPr="00010588">
        <w:rPr>
          <w:rFonts w:ascii="Arial" w:hAnsi="Arial" w:cs="Arial"/>
          <w:bCs/>
          <w:sz w:val="20"/>
          <w:szCs w:val="20"/>
        </w:rPr>
        <w:t>resistance development, pest resurgence</w:t>
      </w:r>
      <w:r w:rsidR="00F43A11" w:rsidRPr="00010588">
        <w:rPr>
          <w:rFonts w:ascii="Arial" w:hAnsi="Arial" w:cs="Arial"/>
          <w:bCs/>
          <w:sz w:val="20"/>
          <w:szCs w:val="20"/>
        </w:rPr>
        <w:t xml:space="preserve"> and</w:t>
      </w:r>
      <w:r w:rsidRPr="00010588">
        <w:rPr>
          <w:rFonts w:ascii="Arial" w:hAnsi="Arial" w:cs="Arial"/>
          <w:bCs/>
          <w:sz w:val="20"/>
          <w:szCs w:val="20"/>
        </w:rPr>
        <w:t xml:space="preserve"> residue accumulation</w:t>
      </w:r>
      <w:r w:rsidRPr="00010588">
        <w:rPr>
          <w:rFonts w:ascii="Arial" w:hAnsi="Arial" w:cs="Arial"/>
          <w:sz w:val="20"/>
          <w:szCs w:val="20"/>
        </w:rPr>
        <w:t xml:space="preserve"> in consumable plant parts (Singh </w:t>
      </w:r>
      <w:r w:rsidRPr="00010588">
        <w:rPr>
          <w:rFonts w:ascii="Arial" w:hAnsi="Arial" w:cs="Arial"/>
          <w:i/>
          <w:sz w:val="20"/>
          <w:szCs w:val="20"/>
        </w:rPr>
        <w:t>et al</w:t>
      </w:r>
      <w:r w:rsidRPr="00010588">
        <w:rPr>
          <w:rFonts w:ascii="Arial" w:hAnsi="Arial" w:cs="Arial"/>
          <w:sz w:val="20"/>
          <w:szCs w:val="20"/>
        </w:rPr>
        <w:t xml:space="preserve">., 2020). To address these concerns, </w:t>
      </w:r>
      <w:proofErr w:type="spellStart"/>
      <w:r w:rsidRPr="00010588">
        <w:rPr>
          <w:rFonts w:ascii="Arial" w:hAnsi="Arial" w:cs="Arial"/>
          <w:bCs/>
          <w:sz w:val="20"/>
          <w:szCs w:val="20"/>
        </w:rPr>
        <w:t>chlorantraniliprole</w:t>
      </w:r>
      <w:proofErr w:type="spellEnd"/>
      <w:r w:rsidRPr="00010588">
        <w:rPr>
          <w:rFonts w:ascii="Arial" w:hAnsi="Arial" w:cs="Arial"/>
          <w:sz w:val="20"/>
          <w:szCs w:val="20"/>
        </w:rPr>
        <w:t xml:space="preserve">, a novel diamide insecticide belonging to the anthranilic diamide group, has emerged as a potent alternative due to its </w:t>
      </w:r>
      <w:r w:rsidRPr="00010588">
        <w:rPr>
          <w:rFonts w:ascii="Arial" w:hAnsi="Arial" w:cs="Arial"/>
          <w:bCs/>
          <w:sz w:val="20"/>
          <w:szCs w:val="20"/>
        </w:rPr>
        <w:t>unique mode of action on ryanodine receptors</w:t>
      </w:r>
      <w:r w:rsidRPr="00010588">
        <w:rPr>
          <w:rFonts w:ascii="Arial" w:hAnsi="Arial" w:cs="Arial"/>
          <w:sz w:val="20"/>
          <w:szCs w:val="20"/>
        </w:rPr>
        <w:t xml:space="preserve">, causing muscle paralysis and death of lepidopteran larvae (Lahm </w:t>
      </w:r>
      <w:r w:rsidRPr="00010588">
        <w:rPr>
          <w:rFonts w:ascii="Arial" w:hAnsi="Arial" w:cs="Arial"/>
          <w:i/>
          <w:sz w:val="20"/>
          <w:szCs w:val="20"/>
        </w:rPr>
        <w:t>et al</w:t>
      </w:r>
      <w:r w:rsidRPr="00010588">
        <w:rPr>
          <w:rFonts w:ascii="Arial" w:hAnsi="Arial" w:cs="Arial"/>
          <w:sz w:val="20"/>
          <w:szCs w:val="20"/>
        </w:rPr>
        <w:t xml:space="preserve">., 2007; Cordova </w:t>
      </w:r>
      <w:r w:rsidRPr="00010588">
        <w:rPr>
          <w:rFonts w:ascii="Arial" w:hAnsi="Arial" w:cs="Arial"/>
          <w:i/>
          <w:sz w:val="20"/>
          <w:szCs w:val="20"/>
        </w:rPr>
        <w:t>et al</w:t>
      </w:r>
      <w:r w:rsidRPr="00010588">
        <w:rPr>
          <w:rFonts w:ascii="Arial" w:hAnsi="Arial" w:cs="Arial"/>
          <w:sz w:val="20"/>
          <w:szCs w:val="20"/>
        </w:rPr>
        <w:t>., 2006).</w:t>
      </w:r>
    </w:p>
    <w:p w14:paraId="260753D1" w14:textId="77777777"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 xml:space="preserve">Although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is known for its high selectivity, low mammalian toxicity</w:t>
      </w:r>
      <w:r w:rsidR="00F43A11" w:rsidRPr="00010588">
        <w:rPr>
          <w:rFonts w:ascii="Arial" w:hAnsi="Arial" w:cs="Arial"/>
          <w:sz w:val="20"/>
          <w:szCs w:val="20"/>
        </w:rPr>
        <w:t xml:space="preserve"> and</w:t>
      </w:r>
      <w:r w:rsidRPr="00010588">
        <w:rPr>
          <w:rFonts w:ascii="Arial" w:hAnsi="Arial" w:cs="Arial"/>
          <w:sz w:val="20"/>
          <w:szCs w:val="20"/>
        </w:rPr>
        <w:t xml:space="preserve"> environmental safety, its </w:t>
      </w:r>
      <w:r w:rsidRPr="00010588">
        <w:rPr>
          <w:rFonts w:ascii="Arial" w:hAnsi="Arial" w:cs="Arial"/>
          <w:bCs/>
          <w:sz w:val="20"/>
          <w:szCs w:val="20"/>
        </w:rPr>
        <w:t xml:space="preserve">residue persistence in edible parts like </w:t>
      </w:r>
      <w:proofErr w:type="spellStart"/>
      <w:r w:rsidRPr="00010588">
        <w:rPr>
          <w:rFonts w:ascii="Arial" w:hAnsi="Arial" w:cs="Arial"/>
          <w:bCs/>
          <w:sz w:val="20"/>
          <w:szCs w:val="20"/>
        </w:rPr>
        <w:t>pigeonpea</w:t>
      </w:r>
      <w:proofErr w:type="spellEnd"/>
      <w:r w:rsidRPr="00010588">
        <w:rPr>
          <w:rFonts w:ascii="Arial" w:hAnsi="Arial" w:cs="Arial"/>
          <w:bCs/>
          <w:sz w:val="20"/>
          <w:szCs w:val="20"/>
        </w:rPr>
        <w:t xml:space="preserve"> pods</w:t>
      </w:r>
      <w:r w:rsidRPr="00010588">
        <w:rPr>
          <w:rFonts w:ascii="Arial" w:hAnsi="Arial" w:cs="Arial"/>
          <w:sz w:val="20"/>
          <w:szCs w:val="20"/>
        </w:rPr>
        <w:t xml:space="preserve"> must be carefully evaluated to ensure compliance with the </w:t>
      </w:r>
      <w:r w:rsidRPr="00010588">
        <w:rPr>
          <w:rFonts w:ascii="Arial" w:hAnsi="Arial" w:cs="Arial"/>
          <w:bCs/>
          <w:sz w:val="20"/>
          <w:szCs w:val="20"/>
        </w:rPr>
        <w:t>Food Safety and Standards Authority of India (FSSAI)</w:t>
      </w:r>
      <w:r w:rsidRPr="00010588">
        <w:rPr>
          <w:rFonts w:ascii="Arial" w:hAnsi="Arial" w:cs="Arial"/>
          <w:sz w:val="20"/>
          <w:szCs w:val="20"/>
        </w:rPr>
        <w:t xml:space="preserve"> limits. </w:t>
      </w:r>
      <w:r w:rsidRPr="00010588">
        <w:rPr>
          <w:rFonts w:ascii="Arial" w:hAnsi="Arial" w:cs="Arial"/>
          <w:sz w:val="20"/>
          <w:szCs w:val="20"/>
        </w:rPr>
        <w:lastRenderedPageBreak/>
        <w:t xml:space="preserve">Understanding the dissipation pattern and half-life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helps establish </w:t>
      </w:r>
      <w:r w:rsidRPr="00010588">
        <w:rPr>
          <w:rFonts w:ascii="Arial" w:hAnsi="Arial" w:cs="Arial"/>
          <w:bCs/>
          <w:sz w:val="20"/>
          <w:szCs w:val="20"/>
        </w:rPr>
        <w:t>safe waiting periods (pre-harvest intervals)</w:t>
      </w:r>
      <w:r w:rsidRPr="00010588">
        <w:rPr>
          <w:rFonts w:ascii="Arial" w:hAnsi="Arial" w:cs="Arial"/>
          <w:sz w:val="20"/>
          <w:szCs w:val="20"/>
        </w:rPr>
        <w:t xml:space="preserve"> that safeguard consumer health and maintain export standards.</w:t>
      </w:r>
    </w:p>
    <w:p w14:paraId="02274163" w14:textId="77777777"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 xml:space="preserve">Hence, the present study was conducted to investigate the </w:t>
      </w:r>
      <w:r w:rsidRPr="00010588">
        <w:rPr>
          <w:rFonts w:ascii="Arial" w:hAnsi="Arial" w:cs="Arial"/>
          <w:bCs/>
          <w:sz w:val="20"/>
          <w:szCs w:val="20"/>
        </w:rPr>
        <w:t xml:space="preserve">residue persistence and dissipation kinetics of </w:t>
      </w:r>
      <w:proofErr w:type="spellStart"/>
      <w:r w:rsidRPr="00010588">
        <w:rPr>
          <w:rFonts w:ascii="Arial" w:hAnsi="Arial" w:cs="Arial"/>
          <w:bCs/>
          <w:sz w:val="20"/>
          <w:szCs w:val="20"/>
        </w:rPr>
        <w:t>chlorantraniliprole</w:t>
      </w:r>
      <w:proofErr w:type="spellEnd"/>
      <w:r w:rsidRPr="00010588">
        <w:rPr>
          <w:rFonts w:ascii="Arial" w:hAnsi="Arial" w:cs="Arial"/>
          <w:bCs/>
          <w:sz w:val="20"/>
          <w:szCs w:val="20"/>
        </w:rPr>
        <w:t xml:space="preserve"> in </w:t>
      </w:r>
      <w:proofErr w:type="spellStart"/>
      <w:r w:rsidRPr="00010588">
        <w:rPr>
          <w:rFonts w:ascii="Arial" w:hAnsi="Arial" w:cs="Arial"/>
          <w:bCs/>
          <w:sz w:val="20"/>
          <w:szCs w:val="20"/>
        </w:rPr>
        <w:t>pigeonpea</w:t>
      </w:r>
      <w:proofErr w:type="spellEnd"/>
      <w:r w:rsidRPr="00010588">
        <w:rPr>
          <w:rFonts w:ascii="Arial" w:hAnsi="Arial" w:cs="Arial"/>
          <w:bCs/>
          <w:sz w:val="20"/>
          <w:szCs w:val="20"/>
        </w:rPr>
        <w:t xml:space="preserve"> pods under field conditions against pod borers</w:t>
      </w:r>
      <w:r w:rsidRPr="00010588">
        <w:rPr>
          <w:rFonts w:ascii="Arial" w:hAnsi="Arial" w:cs="Arial"/>
          <w:sz w:val="20"/>
          <w:szCs w:val="20"/>
        </w:rPr>
        <w:t xml:space="preserve">, along with method validation through </w:t>
      </w:r>
      <w:r w:rsidRPr="00010588">
        <w:rPr>
          <w:rFonts w:ascii="Arial" w:hAnsi="Arial" w:cs="Arial"/>
          <w:bCs/>
          <w:sz w:val="20"/>
          <w:szCs w:val="20"/>
        </w:rPr>
        <w:t xml:space="preserve">recovery studies in </w:t>
      </w:r>
      <w:proofErr w:type="spellStart"/>
      <w:r w:rsidRPr="00010588">
        <w:rPr>
          <w:rFonts w:ascii="Arial" w:hAnsi="Arial" w:cs="Arial"/>
          <w:bCs/>
          <w:sz w:val="20"/>
          <w:szCs w:val="20"/>
        </w:rPr>
        <w:t>pigeonpea</w:t>
      </w:r>
      <w:proofErr w:type="spellEnd"/>
      <w:r w:rsidRPr="00010588">
        <w:rPr>
          <w:rFonts w:ascii="Arial" w:hAnsi="Arial" w:cs="Arial"/>
          <w:bCs/>
          <w:sz w:val="20"/>
          <w:szCs w:val="20"/>
        </w:rPr>
        <w:t xml:space="preserve"> seeds</w:t>
      </w:r>
      <w:r w:rsidRPr="00010588">
        <w:rPr>
          <w:rFonts w:ascii="Arial" w:hAnsi="Arial" w:cs="Arial"/>
          <w:sz w:val="20"/>
          <w:szCs w:val="20"/>
        </w:rPr>
        <w:t>.</w:t>
      </w:r>
    </w:p>
    <w:p w14:paraId="370418E1" w14:textId="77777777" w:rsidR="005D0EC4" w:rsidRPr="00010588" w:rsidRDefault="008839D3" w:rsidP="008839D3">
      <w:pPr>
        <w:pStyle w:val="ListParagraph"/>
        <w:numPr>
          <w:ilvl w:val="0"/>
          <w:numId w:val="6"/>
        </w:numPr>
        <w:tabs>
          <w:tab w:val="left" w:pos="450"/>
        </w:tabs>
        <w:spacing w:line="360" w:lineRule="auto"/>
        <w:ind w:hanging="720"/>
        <w:jc w:val="both"/>
        <w:rPr>
          <w:rFonts w:ascii="Arial" w:hAnsi="Arial" w:cs="Arial"/>
          <w:b/>
          <w:bCs/>
          <w:szCs w:val="20"/>
        </w:rPr>
      </w:pPr>
      <w:r w:rsidRPr="00010588">
        <w:rPr>
          <w:rFonts w:ascii="Arial" w:hAnsi="Arial" w:cs="Arial"/>
          <w:b/>
          <w:bCs/>
          <w:szCs w:val="20"/>
        </w:rPr>
        <w:t xml:space="preserve"> MATERIALS AND METHODS</w:t>
      </w:r>
    </w:p>
    <w:p w14:paraId="333B4622" w14:textId="77777777" w:rsidR="005D0EC4" w:rsidRPr="00010588" w:rsidRDefault="008839D3" w:rsidP="00F60DED">
      <w:pPr>
        <w:spacing w:line="360" w:lineRule="auto"/>
        <w:jc w:val="both"/>
        <w:rPr>
          <w:rFonts w:ascii="Arial" w:hAnsi="Arial" w:cs="Arial"/>
          <w:b/>
          <w:bCs/>
          <w:sz w:val="20"/>
          <w:szCs w:val="20"/>
        </w:rPr>
      </w:pPr>
      <w:r w:rsidRPr="00010588">
        <w:rPr>
          <w:rFonts w:ascii="Arial" w:hAnsi="Arial" w:cs="Arial"/>
          <w:b/>
          <w:bCs/>
          <w:szCs w:val="20"/>
        </w:rPr>
        <w:t>2.</w:t>
      </w:r>
      <w:r w:rsidRPr="00010588">
        <w:rPr>
          <w:rFonts w:ascii="Arial" w:hAnsi="Arial" w:cs="Arial"/>
          <w:b/>
          <w:bCs/>
          <w:sz w:val="20"/>
          <w:szCs w:val="20"/>
        </w:rPr>
        <w:t xml:space="preserve">1. </w:t>
      </w:r>
      <w:r w:rsidR="005D0EC4" w:rsidRPr="00010588">
        <w:rPr>
          <w:rFonts w:ascii="Arial" w:hAnsi="Arial" w:cs="Arial"/>
          <w:b/>
          <w:bCs/>
          <w:sz w:val="20"/>
          <w:szCs w:val="20"/>
        </w:rPr>
        <w:t>Field Experiment</w:t>
      </w:r>
    </w:p>
    <w:p w14:paraId="03FE6165" w14:textId="77777777" w:rsidR="00A17F26" w:rsidRPr="00010588" w:rsidRDefault="005D0EC4" w:rsidP="00A17F26">
      <w:pPr>
        <w:spacing w:line="360" w:lineRule="auto"/>
        <w:ind w:firstLine="426"/>
        <w:jc w:val="both"/>
        <w:rPr>
          <w:rFonts w:ascii="Arial" w:hAnsi="Arial" w:cs="Arial"/>
          <w:sz w:val="18"/>
          <w:szCs w:val="20"/>
        </w:rPr>
      </w:pPr>
      <w:r w:rsidRPr="00010588">
        <w:rPr>
          <w:rFonts w:ascii="Arial" w:hAnsi="Arial" w:cs="Arial"/>
          <w:sz w:val="20"/>
          <w:szCs w:val="20"/>
        </w:rPr>
        <w:t xml:space="preserve">The field trials were carried out during </w:t>
      </w:r>
      <w:proofErr w:type="spellStart"/>
      <w:r w:rsidRPr="00010588">
        <w:rPr>
          <w:rFonts w:ascii="Arial" w:hAnsi="Arial" w:cs="Arial"/>
          <w:i/>
          <w:iCs/>
          <w:sz w:val="20"/>
          <w:szCs w:val="20"/>
        </w:rPr>
        <w:t>rabi</w:t>
      </w:r>
      <w:proofErr w:type="spellEnd"/>
      <w:r w:rsidRPr="00010588">
        <w:rPr>
          <w:rFonts w:ascii="Arial" w:hAnsi="Arial" w:cs="Arial"/>
          <w:sz w:val="20"/>
          <w:szCs w:val="20"/>
        </w:rPr>
        <w:t xml:space="preserve"> seasons of </w:t>
      </w:r>
      <w:r w:rsidRPr="00010588">
        <w:rPr>
          <w:rFonts w:ascii="Arial" w:hAnsi="Arial" w:cs="Arial"/>
          <w:bCs/>
          <w:sz w:val="20"/>
          <w:szCs w:val="20"/>
        </w:rPr>
        <w:t>2021–22 and 2022–23</w:t>
      </w:r>
      <w:r w:rsidR="009E4139" w:rsidRPr="00010588">
        <w:rPr>
          <w:rFonts w:ascii="Arial" w:hAnsi="Arial" w:cs="Arial"/>
          <w:sz w:val="20"/>
          <w:szCs w:val="20"/>
        </w:rPr>
        <w:t xml:space="preserve"> at the Dry Land</w:t>
      </w:r>
      <w:r w:rsidRPr="00010588">
        <w:rPr>
          <w:rFonts w:ascii="Arial" w:hAnsi="Arial" w:cs="Arial"/>
          <w:sz w:val="20"/>
          <w:szCs w:val="20"/>
        </w:rPr>
        <w:t xml:space="preserve"> Farm, </w:t>
      </w:r>
      <w:proofErr w:type="spellStart"/>
      <w:r w:rsidR="009E4139" w:rsidRPr="00010588">
        <w:rPr>
          <w:rFonts w:ascii="Arial" w:hAnsi="Arial" w:cs="Arial"/>
          <w:sz w:val="20"/>
          <w:szCs w:val="20"/>
        </w:rPr>
        <w:t>S.</w:t>
      </w:r>
      <w:proofErr w:type="gramStart"/>
      <w:r w:rsidR="009E4139" w:rsidRPr="00010588">
        <w:rPr>
          <w:rFonts w:ascii="Arial" w:hAnsi="Arial" w:cs="Arial"/>
          <w:sz w:val="20"/>
          <w:szCs w:val="20"/>
        </w:rPr>
        <w:t>V.Agricultural</w:t>
      </w:r>
      <w:proofErr w:type="spellEnd"/>
      <w:proofErr w:type="gramEnd"/>
      <w:r w:rsidR="009E4139" w:rsidRPr="00010588">
        <w:rPr>
          <w:rFonts w:ascii="Arial" w:hAnsi="Arial" w:cs="Arial"/>
          <w:sz w:val="20"/>
          <w:szCs w:val="20"/>
        </w:rPr>
        <w:t xml:space="preserve"> College, Tirupati</w:t>
      </w:r>
      <w:r w:rsidRPr="00010588">
        <w:rPr>
          <w:rFonts w:ascii="Arial" w:hAnsi="Arial" w:cs="Arial"/>
          <w:sz w:val="20"/>
          <w:szCs w:val="20"/>
        </w:rPr>
        <w:t xml:space="preserve">. </w:t>
      </w:r>
      <w:r w:rsidR="009E4139" w:rsidRPr="00010588">
        <w:rPr>
          <w:rFonts w:ascii="Arial" w:hAnsi="Arial" w:cs="Arial"/>
          <w:sz w:val="20"/>
          <w:szCs w:val="20"/>
        </w:rPr>
        <w:t xml:space="preserve">Popular </w:t>
      </w:r>
      <w:proofErr w:type="spellStart"/>
      <w:r w:rsidR="009E4139" w:rsidRPr="00010588">
        <w:rPr>
          <w:rFonts w:ascii="Arial" w:hAnsi="Arial" w:cs="Arial"/>
          <w:sz w:val="20"/>
          <w:szCs w:val="20"/>
        </w:rPr>
        <w:t>pigeonpea</w:t>
      </w:r>
      <w:proofErr w:type="spellEnd"/>
      <w:r w:rsidR="009E4139" w:rsidRPr="00010588">
        <w:rPr>
          <w:rFonts w:ascii="Arial" w:hAnsi="Arial" w:cs="Arial"/>
          <w:sz w:val="20"/>
          <w:szCs w:val="20"/>
        </w:rPr>
        <w:t xml:space="preserve"> variety TRG-59 was used for conducting the experiment and the seed material was procured from Regional Agricultural Research Station, Tirupati. The experiment was carried out in three modules including untreated control without replications in bulk plot (31x35m</w:t>
      </w:r>
      <w:r w:rsidR="009E4139" w:rsidRPr="00010588">
        <w:rPr>
          <w:rFonts w:ascii="Arial" w:hAnsi="Arial" w:cs="Arial"/>
          <w:sz w:val="20"/>
          <w:szCs w:val="20"/>
          <w:vertAlign w:val="superscript"/>
        </w:rPr>
        <w:t>2</w:t>
      </w:r>
      <w:r w:rsidR="009E4139" w:rsidRPr="00010588">
        <w:rPr>
          <w:rFonts w:ascii="Arial" w:hAnsi="Arial" w:cs="Arial"/>
          <w:sz w:val="20"/>
          <w:szCs w:val="20"/>
        </w:rPr>
        <w:t xml:space="preserve">).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18.5 SC (</w:t>
      </w:r>
      <w:proofErr w:type="spellStart"/>
      <w:r w:rsidRPr="00010588">
        <w:rPr>
          <w:rFonts w:ascii="Arial" w:hAnsi="Arial" w:cs="Arial"/>
          <w:sz w:val="20"/>
          <w:szCs w:val="20"/>
        </w:rPr>
        <w:t>Coragen</w:t>
      </w:r>
      <w:proofErr w:type="spellEnd"/>
      <w:r w:rsidRPr="00010588">
        <w:rPr>
          <w:rFonts w:ascii="Arial" w:hAnsi="Arial" w:cs="Arial"/>
          <w:sz w:val="20"/>
          <w:szCs w:val="20"/>
        </w:rPr>
        <w:t xml:space="preserve">®) was applied </w:t>
      </w:r>
      <w:r w:rsidR="001202E6" w:rsidRPr="00010588">
        <w:rPr>
          <w:rFonts w:ascii="Arial" w:hAnsi="Arial" w:cs="Arial"/>
          <w:sz w:val="20"/>
          <w:szCs w:val="20"/>
        </w:rPr>
        <w:t xml:space="preserve">as foliar spray at bud initiation stage and pod formation stage </w:t>
      </w:r>
      <w:r w:rsidRPr="00010588">
        <w:rPr>
          <w:rFonts w:ascii="Arial" w:hAnsi="Arial" w:cs="Arial"/>
          <w:sz w:val="20"/>
          <w:szCs w:val="20"/>
        </w:rPr>
        <w:t xml:space="preserve">at the </w:t>
      </w:r>
      <w:r w:rsidRPr="00010588">
        <w:rPr>
          <w:rFonts w:ascii="Arial" w:hAnsi="Arial" w:cs="Arial"/>
          <w:bCs/>
          <w:sz w:val="20"/>
          <w:szCs w:val="20"/>
        </w:rPr>
        <w:t>r</w:t>
      </w:r>
      <w:r w:rsidR="00FA569B" w:rsidRPr="00010588">
        <w:rPr>
          <w:rFonts w:ascii="Arial" w:hAnsi="Arial" w:cs="Arial"/>
          <w:bCs/>
          <w:sz w:val="20"/>
          <w:szCs w:val="20"/>
        </w:rPr>
        <w:t xml:space="preserve">ecommended dose of 30 g </w:t>
      </w:r>
      <w:proofErr w:type="spellStart"/>
      <w:r w:rsidR="00FA569B" w:rsidRPr="00010588">
        <w:rPr>
          <w:rFonts w:ascii="Arial" w:hAnsi="Arial" w:cs="Arial"/>
          <w:bCs/>
          <w:i/>
          <w:sz w:val="20"/>
          <w:szCs w:val="20"/>
        </w:rPr>
        <w:t>a.i.</w:t>
      </w:r>
      <w:proofErr w:type="spellEnd"/>
      <w:r w:rsidR="00FA569B" w:rsidRPr="00010588">
        <w:rPr>
          <w:rFonts w:ascii="Arial" w:hAnsi="Arial" w:cs="Arial"/>
          <w:bCs/>
          <w:sz w:val="20"/>
          <w:szCs w:val="20"/>
        </w:rPr>
        <w:t xml:space="preserve"> ha</w:t>
      </w:r>
      <w:r w:rsidRPr="00010588">
        <w:rPr>
          <w:rFonts w:ascii="Arial" w:hAnsi="Arial" w:cs="Arial"/>
          <w:bCs/>
          <w:sz w:val="20"/>
          <w:szCs w:val="20"/>
        </w:rPr>
        <w:t>¹</w:t>
      </w:r>
      <w:r w:rsidRPr="00010588">
        <w:rPr>
          <w:rFonts w:ascii="Arial" w:hAnsi="Arial" w:cs="Arial"/>
          <w:sz w:val="20"/>
          <w:szCs w:val="20"/>
        </w:rPr>
        <w:t>. The insecticide was diluted in water and applied using a knapsack sprayer fitted with a hollow cone nozzle, ensuring uniform coverage of foliage and pods.</w:t>
      </w:r>
      <w:r w:rsidR="00A17F26" w:rsidRPr="00010588">
        <w:rPr>
          <w:rFonts w:ascii="Arial" w:hAnsi="Arial" w:cs="Arial"/>
          <w:sz w:val="20"/>
          <w:szCs w:val="20"/>
        </w:rPr>
        <w:t xml:space="preserve"> The pod samples were collected at 0, 1,3,5,7, 10, 15, 20 days and at harvest for analysis of residues. </w:t>
      </w:r>
      <w:r w:rsidR="006F1C0A" w:rsidRPr="00010588">
        <w:rPr>
          <w:rFonts w:ascii="Arial" w:hAnsi="Arial" w:cs="Arial"/>
          <w:noProof/>
          <w:sz w:val="20"/>
          <w:szCs w:val="20"/>
        </w:rPr>
        <w:t xml:space="preserve">QuEChERS method was adopted for extraction and cleanup of the samples (Musarurwa </w:t>
      </w:r>
      <w:r w:rsidR="006F1C0A" w:rsidRPr="00010588">
        <w:rPr>
          <w:rFonts w:ascii="Arial" w:hAnsi="Arial" w:cs="Arial"/>
          <w:i/>
          <w:noProof/>
          <w:sz w:val="20"/>
          <w:szCs w:val="20"/>
        </w:rPr>
        <w:t>et al.,</w:t>
      </w:r>
      <w:r w:rsidR="006F1C0A" w:rsidRPr="00010588">
        <w:rPr>
          <w:rFonts w:ascii="Arial" w:hAnsi="Arial" w:cs="Arial"/>
          <w:noProof/>
          <w:sz w:val="20"/>
          <w:szCs w:val="20"/>
        </w:rPr>
        <w:t xml:space="preserve"> 2019).</w:t>
      </w:r>
    </w:p>
    <w:p w14:paraId="50EB0767" w14:textId="77777777" w:rsidR="0029468A" w:rsidRPr="00010588" w:rsidRDefault="008839D3" w:rsidP="0029468A">
      <w:pPr>
        <w:autoSpaceDE w:val="0"/>
        <w:autoSpaceDN w:val="0"/>
        <w:adjustRightInd w:val="0"/>
        <w:spacing w:after="0" w:line="360" w:lineRule="auto"/>
        <w:jc w:val="both"/>
        <w:rPr>
          <w:rFonts w:ascii="Arial" w:hAnsi="Arial" w:cs="Arial"/>
          <w:sz w:val="20"/>
          <w:szCs w:val="20"/>
        </w:rPr>
      </w:pPr>
      <w:r w:rsidRPr="00010588">
        <w:rPr>
          <w:rFonts w:ascii="Arial" w:hAnsi="Arial" w:cs="Arial"/>
          <w:b/>
          <w:sz w:val="20"/>
          <w:szCs w:val="20"/>
        </w:rPr>
        <w:t xml:space="preserve">2.2 </w:t>
      </w:r>
      <w:r w:rsidR="0029468A" w:rsidRPr="00010588">
        <w:rPr>
          <w:rFonts w:ascii="Arial" w:hAnsi="Arial" w:cs="Arial"/>
          <w:b/>
          <w:sz w:val="20"/>
          <w:szCs w:val="20"/>
        </w:rPr>
        <w:t xml:space="preserve">Method development for </w:t>
      </w:r>
      <w:proofErr w:type="spellStart"/>
      <w:r w:rsidR="0029468A" w:rsidRPr="00010588">
        <w:rPr>
          <w:rFonts w:ascii="Arial" w:hAnsi="Arial" w:cs="Arial"/>
          <w:b/>
          <w:sz w:val="20"/>
          <w:szCs w:val="20"/>
        </w:rPr>
        <w:t>chlorantraniliprole</w:t>
      </w:r>
      <w:proofErr w:type="spellEnd"/>
      <w:r w:rsidR="0029468A" w:rsidRPr="00010588">
        <w:rPr>
          <w:rFonts w:ascii="Arial" w:hAnsi="Arial" w:cs="Arial"/>
          <w:b/>
          <w:sz w:val="20"/>
          <w:szCs w:val="20"/>
        </w:rPr>
        <w:t xml:space="preserve"> </w:t>
      </w:r>
      <w:r w:rsidR="0029468A" w:rsidRPr="00010588">
        <w:rPr>
          <w:rFonts w:ascii="Arial" w:hAnsi="Arial" w:cs="Arial"/>
          <w:b/>
          <w:bCs/>
          <w:sz w:val="20"/>
          <w:szCs w:val="20"/>
        </w:rPr>
        <w:t>by UHPLC-PDA</w:t>
      </w:r>
    </w:p>
    <w:p w14:paraId="6387DE98" w14:textId="77777777" w:rsidR="00860330" w:rsidRPr="00010588" w:rsidRDefault="0029468A" w:rsidP="00CD40A8">
      <w:pPr>
        <w:spacing w:line="360" w:lineRule="auto"/>
        <w:ind w:firstLine="720"/>
        <w:jc w:val="both"/>
        <w:rPr>
          <w:rFonts w:ascii="Arial" w:hAnsi="Arial" w:cs="Arial"/>
          <w:sz w:val="20"/>
          <w:szCs w:val="20"/>
        </w:rPr>
      </w:pPr>
      <w:r w:rsidRPr="00010588">
        <w:rPr>
          <w:rFonts w:ascii="Arial" w:hAnsi="Arial" w:cs="Arial"/>
          <w:sz w:val="20"/>
          <w:szCs w:val="20"/>
        </w:rPr>
        <w:t xml:space="preserve">Shimadzu UHPLC is equipped with a PDA-3000 Photodiode Array Detector (PDA) and an LC-30AD pump used to estimate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w:t>
      </w:r>
      <w:r w:rsidRPr="00010588">
        <w:rPr>
          <w:rFonts w:ascii="Arial" w:hAnsi="Arial" w:cs="Arial"/>
          <w:color w:val="222222"/>
          <w:sz w:val="20"/>
          <w:szCs w:val="20"/>
          <w:shd w:val="clear" w:color="auto" w:fill="FFFFFF"/>
        </w:rPr>
        <w:t xml:space="preserve">To separate the compounds in OPL extract, an </w:t>
      </w:r>
      <w:proofErr w:type="spellStart"/>
      <w:r w:rsidRPr="00010588">
        <w:rPr>
          <w:rFonts w:ascii="Arial" w:hAnsi="Arial" w:cs="Arial"/>
          <w:sz w:val="20"/>
          <w:szCs w:val="20"/>
        </w:rPr>
        <w:t>Acentis</w:t>
      </w:r>
      <w:proofErr w:type="spellEnd"/>
      <w:r w:rsidR="00E50081" w:rsidRPr="00010588">
        <w:rPr>
          <w:rFonts w:ascii="Arial" w:hAnsi="Arial" w:cs="Arial"/>
          <w:sz w:val="20"/>
          <w:szCs w:val="20"/>
        </w:rPr>
        <w:t xml:space="preserve"> </w:t>
      </w:r>
      <w:r w:rsidRPr="00010588">
        <w:rPr>
          <w:rFonts w:ascii="Arial" w:hAnsi="Arial" w:cs="Arial"/>
          <w:sz w:val="20"/>
          <w:szCs w:val="20"/>
        </w:rPr>
        <w:t>R Express RP-Amide (15cm × 3.0mm, 2.7µm)</w:t>
      </w:r>
      <w:r w:rsidRPr="00010588">
        <w:rPr>
          <w:rFonts w:ascii="Arial" w:hAnsi="Arial" w:cs="Arial"/>
          <w:color w:val="222222"/>
          <w:sz w:val="20"/>
          <w:szCs w:val="20"/>
          <w:shd w:val="clear" w:color="auto" w:fill="FFFFFF"/>
        </w:rPr>
        <w:t> column was used. The elution of compounds was assisted with two mobile phase systems comprising of p</w:t>
      </w:r>
      <w:r w:rsidRPr="00010588">
        <w:rPr>
          <w:rFonts w:ascii="Arial" w:hAnsi="Arial" w:cs="Arial"/>
          <w:sz w:val="20"/>
          <w:szCs w:val="20"/>
          <w:lang w:bidi="te-IN"/>
        </w:rPr>
        <w:t xml:space="preserve">ump A with </w:t>
      </w:r>
      <w:r w:rsidRPr="00010588">
        <w:rPr>
          <w:rFonts w:ascii="Arial" w:hAnsi="Arial" w:cs="Arial"/>
          <w:sz w:val="20"/>
          <w:szCs w:val="20"/>
        </w:rPr>
        <w:t xml:space="preserve">water (30% with 0.01% phosphoric acid buffering) and pump B - acetonitrile (70%). </w:t>
      </w:r>
      <w:r w:rsidRPr="00010588">
        <w:rPr>
          <w:rFonts w:ascii="Arial" w:hAnsi="Arial" w:cs="Arial"/>
          <w:color w:val="222222"/>
          <w:sz w:val="20"/>
          <w:szCs w:val="20"/>
          <w:shd w:val="clear" w:color="auto" w:fill="FFFFFF"/>
        </w:rPr>
        <w:t xml:space="preserve">The flow rate was set to 0.25 mL/min and the PDA wavelength (λ) was set at 220 nm with total run of 10 min to elute </w:t>
      </w:r>
      <w:proofErr w:type="spellStart"/>
      <w:r w:rsidRPr="00010588">
        <w:rPr>
          <w:rFonts w:ascii="Arial" w:hAnsi="Arial" w:cs="Arial"/>
          <w:color w:val="222222"/>
          <w:sz w:val="20"/>
          <w:szCs w:val="20"/>
          <w:shd w:val="clear" w:color="auto" w:fill="FFFFFF"/>
        </w:rPr>
        <w:t>chlorantraniliprole</w:t>
      </w:r>
      <w:proofErr w:type="spellEnd"/>
      <w:r w:rsidR="00860330" w:rsidRPr="00010588">
        <w:rPr>
          <w:rFonts w:ascii="Arial" w:hAnsi="Arial" w:cs="Arial"/>
          <w:color w:val="222222"/>
          <w:sz w:val="20"/>
          <w:szCs w:val="20"/>
          <w:shd w:val="clear" w:color="auto" w:fill="FFFFFF"/>
        </w:rPr>
        <w:t>.</w:t>
      </w:r>
      <w:r w:rsidR="00CD40A8" w:rsidRPr="00010588">
        <w:rPr>
          <w:rFonts w:ascii="Arial" w:hAnsi="Arial" w:cs="Arial"/>
          <w:color w:val="222222"/>
          <w:sz w:val="20"/>
          <w:szCs w:val="20"/>
          <w:shd w:val="clear" w:color="auto" w:fill="FFFFFF"/>
        </w:rPr>
        <w:t xml:space="preserve"> </w:t>
      </w:r>
      <w:r w:rsidR="00860330" w:rsidRPr="00010588">
        <w:rPr>
          <w:rFonts w:ascii="Arial" w:hAnsi="Arial" w:cs="Arial"/>
          <w:sz w:val="20"/>
          <w:szCs w:val="20"/>
        </w:rPr>
        <w:t xml:space="preserve">Method validation guidelines and their acceptance criteria (as per SANTAE/SANCO-2017 guidelines) were furnished </w:t>
      </w:r>
      <w:r w:rsidR="00FF22AB" w:rsidRPr="00010588">
        <w:rPr>
          <w:rFonts w:ascii="Arial" w:hAnsi="Arial" w:cs="Arial"/>
          <w:sz w:val="20"/>
          <w:szCs w:val="20"/>
        </w:rPr>
        <w:t xml:space="preserve">in Table. </w:t>
      </w:r>
      <w:r w:rsidR="006E137C" w:rsidRPr="00010588">
        <w:rPr>
          <w:rFonts w:ascii="Arial" w:hAnsi="Arial" w:cs="Arial"/>
          <w:sz w:val="20"/>
          <w:szCs w:val="20"/>
        </w:rPr>
        <w:t>1</w:t>
      </w:r>
      <w:r w:rsidR="00FF22AB" w:rsidRPr="00010588">
        <w:rPr>
          <w:rFonts w:ascii="Arial" w:hAnsi="Arial" w:cs="Arial"/>
          <w:sz w:val="20"/>
          <w:szCs w:val="20"/>
        </w:rPr>
        <w:t>.</w:t>
      </w:r>
    </w:p>
    <w:p w14:paraId="6E7367CD" w14:textId="77777777" w:rsidR="008853E6" w:rsidRPr="00010588" w:rsidRDefault="008853E6" w:rsidP="008839D3">
      <w:pPr>
        <w:spacing w:line="360" w:lineRule="auto"/>
        <w:jc w:val="both"/>
        <w:rPr>
          <w:rFonts w:ascii="Arial" w:hAnsi="Arial" w:cs="Arial"/>
          <w:b/>
          <w:color w:val="222222"/>
          <w:sz w:val="20"/>
          <w:szCs w:val="20"/>
          <w:shd w:val="clear" w:color="auto" w:fill="FFFFFF"/>
        </w:rPr>
      </w:pPr>
      <w:r w:rsidRPr="00010588">
        <w:rPr>
          <w:rFonts w:ascii="Arial" w:hAnsi="Arial" w:cs="Arial"/>
          <w:b/>
          <w:sz w:val="20"/>
          <w:szCs w:val="20"/>
        </w:rPr>
        <w:t>Table. 1. Method validation guidelines and their acceptance criteria</w:t>
      </w:r>
    </w:p>
    <w:tbl>
      <w:tblPr>
        <w:tblW w:w="9042" w:type="dxa"/>
        <w:tblInd w:w="93" w:type="dxa"/>
        <w:tblLook w:val="04A0" w:firstRow="1" w:lastRow="0" w:firstColumn="1" w:lastColumn="0" w:noHBand="0" w:noVBand="1"/>
      </w:tblPr>
      <w:tblGrid>
        <w:gridCol w:w="1035"/>
        <w:gridCol w:w="4319"/>
        <w:gridCol w:w="3688"/>
      </w:tblGrid>
      <w:tr w:rsidR="00860330" w:rsidRPr="00010588" w14:paraId="3E3E6916" w14:textId="77777777" w:rsidTr="00CD40A8">
        <w:trPr>
          <w:trHeight w:val="337"/>
        </w:trPr>
        <w:tc>
          <w:tcPr>
            <w:tcW w:w="1035" w:type="dxa"/>
            <w:tcBorders>
              <w:top w:val="single" w:sz="4" w:space="0" w:color="auto"/>
              <w:left w:val="single" w:sz="4" w:space="0" w:color="auto"/>
              <w:bottom w:val="single" w:sz="4" w:space="0" w:color="auto"/>
              <w:right w:val="single" w:sz="4" w:space="0" w:color="auto"/>
            </w:tcBorders>
            <w:noWrap/>
            <w:vAlign w:val="bottom"/>
            <w:hideMark/>
          </w:tcPr>
          <w:p w14:paraId="5C62039B" w14:textId="77777777" w:rsidR="00860330" w:rsidRPr="00010588" w:rsidRDefault="00860330" w:rsidP="00D47AE4">
            <w:pPr>
              <w:spacing w:after="0" w:line="240" w:lineRule="auto"/>
              <w:jc w:val="center"/>
              <w:rPr>
                <w:rFonts w:ascii="Arial" w:eastAsia="Times New Roman" w:hAnsi="Arial" w:cs="Arial"/>
                <w:b/>
                <w:color w:val="000000"/>
                <w:sz w:val="20"/>
                <w:szCs w:val="20"/>
              </w:rPr>
            </w:pPr>
            <w:proofErr w:type="spellStart"/>
            <w:r w:rsidRPr="00010588">
              <w:rPr>
                <w:rFonts w:ascii="Arial" w:eastAsia="Times New Roman" w:hAnsi="Arial" w:cs="Arial"/>
                <w:b/>
                <w:color w:val="000000"/>
                <w:sz w:val="20"/>
                <w:szCs w:val="20"/>
              </w:rPr>
              <w:t>S.No</w:t>
            </w:r>
            <w:proofErr w:type="spellEnd"/>
            <w:r w:rsidRPr="00010588">
              <w:rPr>
                <w:rFonts w:ascii="Arial" w:eastAsia="Times New Roman" w:hAnsi="Arial" w:cs="Arial"/>
                <w:b/>
                <w:color w:val="000000"/>
                <w:sz w:val="20"/>
                <w:szCs w:val="20"/>
              </w:rPr>
              <w:t>.</w:t>
            </w:r>
          </w:p>
        </w:tc>
        <w:tc>
          <w:tcPr>
            <w:tcW w:w="4319" w:type="dxa"/>
            <w:tcBorders>
              <w:top w:val="single" w:sz="4" w:space="0" w:color="auto"/>
              <w:left w:val="nil"/>
              <w:bottom w:val="single" w:sz="4" w:space="0" w:color="auto"/>
              <w:right w:val="single" w:sz="4" w:space="0" w:color="auto"/>
            </w:tcBorders>
            <w:noWrap/>
            <w:vAlign w:val="bottom"/>
            <w:hideMark/>
          </w:tcPr>
          <w:p w14:paraId="37312CF2" w14:textId="77777777"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Parameters</w:t>
            </w:r>
          </w:p>
        </w:tc>
        <w:tc>
          <w:tcPr>
            <w:tcW w:w="3688" w:type="dxa"/>
            <w:tcBorders>
              <w:top w:val="single" w:sz="4" w:space="0" w:color="auto"/>
              <w:left w:val="nil"/>
              <w:bottom w:val="single" w:sz="4" w:space="0" w:color="auto"/>
              <w:right w:val="single" w:sz="4" w:space="0" w:color="auto"/>
            </w:tcBorders>
            <w:noWrap/>
            <w:vAlign w:val="bottom"/>
            <w:hideMark/>
          </w:tcPr>
          <w:p w14:paraId="74961F5F" w14:textId="77777777"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Acceptance limits</w:t>
            </w:r>
          </w:p>
        </w:tc>
      </w:tr>
      <w:tr w:rsidR="00860330" w:rsidRPr="00010588" w14:paraId="42AB72DE" w14:textId="77777777" w:rsidTr="00CD40A8">
        <w:trPr>
          <w:trHeight w:val="337"/>
        </w:trPr>
        <w:tc>
          <w:tcPr>
            <w:tcW w:w="1035" w:type="dxa"/>
            <w:tcBorders>
              <w:top w:val="nil"/>
              <w:left w:val="single" w:sz="4" w:space="0" w:color="auto"/>
              <w:bottom w:val="single" w:sz="4" w:space="0" w:color="auto"/>
              <w:right w:val="single" w:sz="4" w:space="0" w:color="auto"/>
            </w:tcBorders>
            <w:noWrap/>
            <w:hideMark/>
          </w:tcPr>
          <w:p w14:paraId="7B524848" w14:textId="77777777"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1</w:t>
            </w:r>
          </w:p>
        </w:tc>
        <w:tc>
          <w:tcPr>
            <w:tcW w:w="4319" w:type="dxa"/>
            <w:tcBorders>
              <w:top w:val="nil"/>
              <w:left w:val="nil"/>
              <w:bottom w:val="single" w:sz="4" w:space="0" w:color="auto"/>
              <w:right w:val="single" w:sz="4" w:space="0" w:color="auto"/>
            </w:tcBorders>
            <w:noWrap/>
            <w:vAlign w:val="center"/>
            <w:hideMark/>
          </w:tcPr>
          <w:p w14:paraId="1EABE373" w14:textId="77777777"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Linearity: the co-efficient of correlation</w:t>
            </w:r>
          </w:p>
        </w:tc>
        <w:tc>
          <w:tcPr>
            <w:tcW w:w="3688" w:type="dxa"/>
            <w:tcBorders>
              <w:top w:val="nil"/>
              <w:left w:val="nil"/>
              <w:bottom w:val="single" w:sz="4" w:space="0" w:color="auto"/>
              <w:right w:val="single" w:sz="4" w:space="0" w:color="auto"/>
            </w:tcBorders>
            <w:noWrap/>
            <w:vAlign w:val="center"/>
            <w:hideMark/>
          </w:tcPr>
          <w:p w14:paraId="43417ED4" w14:textId="77777777"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0.99</w:t>
            </w:r>
          </w:p>
        </w:tc>
      </w:tr>
      <w:tr w:rsidR="00860330" w:rsidRPr="00010588" w14:paraId="0B1538F1" w14:textId="77777777" w:rsidTr="00CD40A8">
        <w:trPr>
          <w:trHeight w:val="674"/>
        </w:trPr>
        <w:tc>
          <w:tcPr>
            <w:tcW w:w="1035" w:type="dxa"/>
            <w:tcBorders>
              <w:top w:val="nil"/>
              <w:left w:val="single" w:sz="4" w:space="0" w:color="auto"/>
              <w:bottom w:val="single" w:sz="4" w:space="0" w:color="auto"/>
              <w:right w:val="single" w:sz="4" w:space="0" w:color="auto"/>
            </w:tcBorders>
            <w:noWrap/>
            <w:hideMark/>
          </w:tcPr>
          <w:p w14:paraId="46627F0C" w14:textId="77777777"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2</w:t>
            </w:r>
          </w:p>
        </w:tc>
        <w:tc>
          <w:tcPr>
            <w:tcW w:w="4319" w:type="dxa"/>
            <w:tcBorders>
              <w:top w:val="nil"/>
              <w:left w:val="nil"/>
              <w:bottom w:val="single" w:sz="4" w:space="0" w:color="auto"/>
              <w:right w:val="single" w:sz="4" w:space="0" w:color="auto"/>
            </w:tcBorders>
            <w:vAlign w:val="center"/>
            <w:hideMark/>
          </w:tcPr>
          <w:p w14:paraId="4BB0C560" w14:textId="77777777"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Specificity:</w:t>
            </w:r>
          </w:p>
          <w:p w14:paraId="5790E1CB" w14:textId="77777777"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RSD of retention time and</w:t>
            </w:r>
          </w:p>
          <w:p w14:paraId="6C33147E" w14:textId="77777777"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RSD of area.</w:t>
            </w:r>
          </w:p>
        </w:tc>
        <w:tc>
          <w:tcPr>
            <w:tcW w:w="3688" w:type="dxa"/>
            <w:tcBorders>
              <w:top w:val="nil"/>
              <w:left w:val="nil"/>
              <w:bottom w:val="single" w:sz="4" w:space="0" w:color="auto"/>
              <w:right w:val="single" w:sz="4" w:space="0" w:color="auto"/>
            </w:tcBorders>
            <w:noWrap/>
            <w:vAlign w:val="center"/>
            <w:hideMark/>
          </w:tcPr>
          <w:p w14:paraId="7EA60740" w14:textId="77777777"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&lt; 2.0%</w:t>
            </w:r>
          </w:p>
          <w:p w14:paraId="42712E97" w14:textId="77777777"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&lt; 5.0%</w:t>
            </w:r>
          </w:p>
        </w:tc>
      </w:tr>
      <w:tr w:rsidR="00860330" w:rsidRPr="00010588" w14:paraId="2B95389C" w14:textId="77777777" w:rsidTr="00CD40A8">
        <w:trPr>
          <w:trHeight w:val="724"/>
        </w:trPr>
        <w:tc>
          <w:tcPr>
            <w:tcW w:w="1035" w:type="dxa"/>
            <w:tcBorders>
              <w:top w:val="nil"/>
              <w:left w:val="single" w:sz="4" w:space="0" w:color="auto"/>
              <w:bottom w:val="single" w:sz="4" w:space="0" w:color="auto"/>
              <w:right w:val="single" w:sz="4" w:space="0" w:color="auto"/>
            </w:tcBorders>
            <w:noWrap/>
            <w:hideMark/>
          </w:tcPr>
          <w:p w14:paraId="4836201C" w14:textId="77777777"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3</w:t>
            </w:r>
          </w:p>
        </w:tc>
        <w:tc>
          <w:tcPr>
            <w:tcW w:w="4319" w:type="dxa"/>
            <w:tcBorders>
              <w:top w:val="nil"/>
              <w:left w:val="nil"/>
              <w:bottom w:val="single" w:sz="4" w:space="0" w:color="auto"/>
              <w:right w:val="single" w:sz="4" w:space="0" w:color="auto"/>
            </w:tcBorders>
            <w:vAlign w:val="center"/>
            <w:hideMark/>
          </w:tcPr>
          <w:p w14:paraId="5F7AB29A" w14:textId="77777777"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Repeatability:</w:t>
            </w:r>
            <w:r w:rsidRPr="00010588">
              <w:rPr>
                <w:rFonts w:ascii="Arial" w:eastAsia="Times New Roman" w:hAnsi="Arial" w:cs="Arial"/>
                <w:color w:val="000000"/>
                <w:sz w:val="20"/>
                <w:szCs w:val="20"/>
              </w:rPr>
              <w:br/>
              <w:t xml:space="preserve">% recovery &amp; RSD at 5 </w:t>
            </w:r>
            <w:proofErr w:type="gramStart"/>
            <w:r w:rsidRPr="00010588">
              <w:rPr>
                <w:rFonts w:ascii="Arial" w:eastAsia="Times New Roman" w:hAnsi="Arial" w:cs="Arial"/>
                <w:color w:val="000000"/>
                <w:sz w:val="20"/>
                <w:szCs w:val="20"/>
              </w:rPr>
              <w:t>times  LOQ</w:t>
            </w:r>
            <w:proofErr w:type="gramEnd"/>
          </w:p>
        </w:tc>
        <w:tc>
          <w:tcPr>
            <w:tcW w:w="3688" w:type="dxa"/>
            <w:tcBorders>
              <w:top w:val="nil"/>
              <w:left w:val="nil"/>
              <w:bottom w:val="single" w:sz="4" w:space="0" w:color="auto"/>
              <w:right w:val="single" w:sz="4" w:space="0" w:color="auto"/>
            </w:tcBorders>
            <w:vAlign w:val="center"/>
            <w:hideMark/>
          </w:tcPr>
          <w:p w14:paraId="0122B563" w14:textId="77777777"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 recovery should be within 70-120 %</w:t>
            </w:r>
            <w:r w:rsidRPr="00010588">
              <w:rPr>
                <w:rFonts w:ascii="Arial" w:eastAsia="Times New Roman" w:hAnsi="Arial" w:cs="Arial"/>
                <w:color w:val="000000"/>
                <w:sz w:val="20"/>
                <w:szCs w:val="20"/>
              </w:rPr>
              <w:br/>
              <w:t>RSD should be maximum 20 %</w:t>
            </w:r>
          </w:p>
        </w:tc>
      </w:tr>
      <w:tr w:rsidR="00860330" w:rsidRPr="00010588" w14:paraId="5A79D062" w14:textId="77777777" w:rsidTr="00CD40A8">
        <w:trPr>
          <w:trHeight w:val="1025"/>
        </w:trPr>
        <w:tc>
          <w:tcPr>
            <w:tcW w:w="1035" w:type="dxa"/>
            <w:tcBorders>
              <w:top w:val="nil"/>
              <w:left w:val="single" w:sz="4" w:space="0" w:color="auto"/>
              <w:bottom w:val="single" w:sz="4" w:space="0" w:color="auto"/>
              <w:right w:val="single" w:sz="4" w:space="0" w:color="auto"/>
            </w:tcBorders>
            <w:noWrap/>
            <w:hideMark/>
          </w:tcPr>
          <w:p w14:paraId="16A98182" w14:textId="77777777" w:rsidR="00860330" w:rsidRPr="00010588" w:rsidRDefault="00860330" w:rsidP="00D47AE4">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4</w:t>
            </w:r>
          </w:p>
        </w:tc>
        <w:tc>
          <w:tcPr>
            <w:tcW w:w="4319" w:type="dxa"/>
            <w:tcBorders>
              <w:top w:val="nil"/>
              <w:left w:val="nil"/>
              <w:bottom w:val="single" w:sz="4" w:space="0" w:color="auto"/>
              <w:right w:val="single" w:sz="4" w:space="0" w:color="auto"/>
            </w:tcBorders>
            <w:vAlign w:val="center"/>
            <w:hideMark/>
          </w:tcPr>
          <w:p w14:paraId="7FDA061E" w14:textId="77777777"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Reproducibility:</w:t>
            </w:r>
            <w:r w:rsidRPr="00010588">
              <w:rPr>
                <w:rFonts w:ascii="Arial" w:eastAsia="Times New Roman" w:hAnsi="Arial" w:cs="Arial"/>
                <w:color w:val="000000"/>
                <w:sz w:val="20"/>
                <w:szCs w:val="20"/>
              </w:rPr>
              <w:br/>
              <w:t xml:space="preserve">% recovery &amp; RSD at 5 </w:t>
            </w:r>
            <w:proofErr w:type="gramStart"/>
            <w:r w:rsidRPr="00010588">
              <w:rPr>
                <w:rFonts w:ascii="Arial" w:eastAsia="Times New Roman" w:hAnsi="Arial" w:cs="Arial"/>
                <w:color w:val="000000"/>
                <w:sz w:val="20"/>
                <w:szCs w:val="20"/>
              </w:rPr>
              <w:t>times  LOQ</w:t>
            </w:r>
            <w:proofErr w:type="gramEnd"/>
          </w:p>
        </w:tc>
        <w:tc>
          <w:tcPr>
            <w:tcW w:w="3688" w:type="dxa"/>
            <w:tcBorders>
              <w:top w:val="nil"/>
              <w:left w:val="nil"/>
              <w:bottom w:val="single" w:sz="4" w:space="0" w:color="auto"/>
              <w:right w:val="single" w:sz="4" w:space="0" w:color="auto"/>
            </w:tcBorders>
            <w:vAlign w:val="center"/>
            <w:hideMark/>
          </w:tcPr>
          <w:p w14:paraId="6A29A3B2" w14:textId="77777777" w:rsidR="00860330" w:rsidRPr="00010588" w:rsidRDefault="00860330" w:rsidP="00D47AE4">
            <w:pPr>
              <w:spacing w:after="0" w:line="240" w:lineRule="auto"/>
              <w:jc w:val="both"/>
              <w:rPr>
                <w:rFonts w:ascii="Arial" w:eastAsia="Times New Roman" w:hAnsi="Arial" w:cs="Arial"/>
                <w:color w:val="000000"/>
                <w:sz w:val="20"/>
                <w:szCs w:val="20"/>
              </w:rPr>
            </w:pPr>
            <w:r w:rsidRPr="00010588">
              <w:rPr>
                <w:rFonts w:ascii="Arial" w:eastAsia="Times New Roman" w:hAnsi="Arial" w:cs="Arial"/>
                <w:color w:val="000000"/>
                <w:sz w:val="20"/>
                <w:szCs w:val="20"/>
              </w:rPr>
              <w:t>% recovery should be within 70-120 %</w:t>
            </w:r>
            <w:r w:rsidRPr="00010588">
              <w:rPr>
                <w:rFonts w:ascii="Arial" w:eastAsia="Times New Roman" w:hAnsi="Arial" w:cs="Arial"/>
                <w:color w:val="000000"/>
                <w:sz w:val="20"/>
                <w:szCs w:val="20"/>
              </w:rPr>
              <w:br/>
              <w:t>RSD should be maximum 20 %</w:t>
            </w:r>
          </w:p>
        </w:tc>
      </w:tr>
    </w:tbl>
    <w:p w14:paraId="0E3C2EF3" w14:textId="77777777" w:rsidR="00860330" w:rsidRPr="00010588" w:rsidRDefault="00860330" w:rsidP="00CD40A8">
      <w:pPr>
        <w:spacing w:line="360" w:lineRule="auto"/>
        <w:jc w:val="both"/>
        <w:rPr>
          <w:rFonts w:ascii="Arial" w:hAnsi="Arial" w:cs="Arial"/>
          <w:b/>
          <w:sz w:val="20"/>
          <w:szCs w:val="20"/>
        </w:rPr>
      </w:pPr>
    </w:p>
    <w:p w14:paraId="35E1D09B" w14:textId="77777777" w:rsidR="00CD40A8" w:rsidRPr="00010588" w:rsidRDefault="008839D3" w:rsidP="00CD40A8">
      <w:pPr>
        <w:spacing w:line="360" w:lineRule="auto"/>
        <w:jc w:val="both"/>
        <w:rPr>
          <w:rFonts w:ascii="Arial" w:hAnsi="Arial" w:cs="Arial"/>
          <w:b/>
          <w:sz w:val="20"/>
          <w:szCs w:val="20"/>
        </w:rPr>
      </w:pPr>
      <w:r w:rsidRPr="00010588">
        <w:rPr>
          <w:rFonts w:ascii="Arial" w:hAnsi="Arial" w:cs="Arial"/>
          <w:b/>
          <w:sz w:val="20"/>
          <w:szCs w:val="20"/>
        </w:rPr>
        <w:t xml:space="preserve">2.3 </w:t>
      </w:r>
      <w:r w:rsidR="00CD40A8" w:rsidRPr="00010588">
        <w:rPr>
          <w:rFonts w:ascii="Arial" w:hAnsi="Arial" w:cs="Arial"/>
          <w:b/>
          <w:sz w:val="20"/>
          <w:szCs w:val="20"/>
        </w:rPr>
        <w:t>Limit of Detection (LOD) and linearity studies by UHPLC-PDA</w:t>
      </w:r>
    </w:p>
    <w:p w14:paraId="330CAA38" w14:textId="77777777" w:rsidR="00CD40A8" w:rsidRPr="00010588" w:rsidRDefault="00CD40A8" w:rsidP="00CD40A8">
      <w:pPr>
        <w:spacing w:line="360" w:lineRule="auto"/>
        <w:ind w:firstLine="720"/>
        <w:jc w:val="both"/>
        <w:rPr>
          <w:rFonts w:ascii="Arial" w:hAnsi="Arial" w:cs="Arial"/>
          <w:sz w:val="20"/>
          <w:szCs w:val="20"/>
        </w:rPr>
      </w:pPr>
      <w:r w:rsidRPr="00010588">
        <w:rPr>
          <w:rFonts w:ascii="Arial" w:hAnsi="Arial" w:cs="Arial"/>
          <w:sz w:val="20"/>
          <w:szCs w:val="20"/>
        </w:rPr>
        <w:lastRenderedPageBreak/>
        <w:t xml:space="preserve">The working standards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were injected in UHPLC for estimating the lowest quantity of these insecticide and detected (retention times) with detector (PDA) under standard operating parameters (SOP). The UHPLC-PDA operational parameters were given in Table.</w:t>
      </w:r>
      <w:r w:rsidR="00FF22AB" w:rsidRPr="00010588">
        <w:rPr>
          <w:rFonts w:ascii="Arial" w:hAnsi="Arial" w:cs="Arial"/>
          <w:sz w:val="20"/>
          <w:szCs w:val="20"/>
        </w:rPr>
        <w:t>2</w:t>
      </w:r>
      <w:r w:rsidRPr="00010588">
        <w:rPr>
          <w:rFonts w:ascii="Arial" w:hAnsi="Arial" w:cs="Arial"/>
          <w:sz w:val="20"/>
          <w:szCs w:val="20"/>
        </w:rPr>
        <w:t xml:space="preserve">. The retention time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is at</w:t>
      </w:r>
      <w:r w:rsidRPr="00010588">
        <w:rPr>
          <w:rFonts w:ascii="Arial" w:hAnsi="Arial" w:cs="Arial"/>
          <w:sz w:val="20"/>
          <w:szCs w:val="20"/>
          <w:lang w:bidi="te-IN"/>
        </w:rPr>
        <w:t xml:space="preserve"> </w:t>
      </w:r>
      <w:r w:rsidRPr="00010588">
        <w:rPr>
          <w:rFonts w:ascii="Arial" w:hAnsi="Arial" w:cs="Arial"/>
          <w:sz w:val="20"/>
          <w:szCs w:val="20"/>
        </w:rPr>
        <w:t>3.393</w:t>
      </w:r>
      <w:r w:rsidR="00CA3159" w:rsidRPr="00010588">
        <w:rPr>
          <w:rFonts w:ascii="Arial" w:hAnsi="Arial" w:cs="Arial"/>
          <w:sz w:val="20"/>
          <w:szCs w:val="20"/>
        </w:rPr>
        <w:t xml:space="preserve"> </w:t>
      </w:r>
      <w:r w:rsidRPr="00010588">
        <w:rPr>
          <w:rFonts w:ascii="Arial" w:hAnsi="Arial" w:cs="Arial"/>
          <w:sz w:val="20"/>
          <w:szCs w:val="20"/>
        </w:rPr>
        <w:t xml:space="preserve">min. Each working </w:t>
      </w:r>
      <w:proofErr w:type="gramStart"/>
      <w:r w:rsidRPr="00010588">
        <w:rPr>
          <w:rFonts w:ascii="Arial" w:hAnsi="Arial" w:cs="Arial"/>
          <w:sz w:val="20"/>
          <w:szCs w:val="20"/>
        </w:rPr>
        <w:t>standards</w:t>
      </w:r>
      <w:proofErr w:type="gramEnd"/>
      <w:r w:rsidRPr="00010588">
        <w:rPr>
          <w:rFonts w:ascii="Arial" w:hAnsi="Arial" w:cs="Arial"/>
          <w:sz w:val="20"/>
          <w:szCs w:val="20"/>
        </w:rPr>
        <w:t xml:space="preserve">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standard (0.01, 0.05, 0.1, 0.5 and 1</w:t>
      </w:r>
      <w:r w:rsidR="003D1E69" w:rsidRPr="00010588">
        <w:rPr>
          <w:rFonts w:ascii="Arial" w:hAnsi="Arial" w:cs="Arial"/>
          <w:sz w:val="20"/>
          <w:szCs w:val="20"/>
        </w:rPr>
        <w:t>µg/mL</w:t>
      </w:r>
      <w:r w:rsidRPr="00010588">
        <w:rPr>
          <w:rFonts w:ascii="Arial" w:hAnsi="Arial" w:cs="Arial"/>
          <w:sz w:val="20"/>
          <w:szCs w:val="20"/>
        </w:rPr>
        <w:t>) were injected and linearity lines were drawn.</w:t>
      </w:r>
    </w:p>
    <w:p w14:paraId="07EAED01" w14:textId="3C3917EB" w:rsidR="00CD40A8" w:rsidRPr="00010588" w:rsidRDefault="00CD40A8" w:rsidP="00CD40A8">
      <w:pPr>
        <w:spacing w:line="360" w:lineRule="auto"/>
        <w:ind w:firstLine="720"/>
        <w:jc w:val="both"/>
        <w:rPr>
          <w:rFonts w:ascii="Arial" w:hAnsi="Arial" w:cs="Arial"/>
          <w:sz w:val="20"/>
          <w:szCs w:val="20"/>
        </w:rPr>
      </w:pPr>
      <w:r w:rsidRPr="00010588">
        <w:rPr>
          <w:rFonts w:ascii="Arial" w:hAnsi="Arial" w:cs="Arial"/>
          <w:b/>
          <w:color w:val="000000" w:themeColor="text1"/>
          <w:sz w:val="20"/>
          <w:szCs w:val="20"/>
          <w:lang w:bidi="te-IN"/>
        </w:rPr>
        <w:t xml:space="preserve">Table. </w:t>
      </w:r>
      <w:r w:rsidR="00970933">
        <w:rPr>
          <w:rFonts w:ascii="Arial" w:hAnsi="Arial" w:cs="Arial"/>
          <w:b/>
          <w:color w:val="000000" w:themeColor="text1"/>
          <w:sz w:val="20"/>
          <w:szCs w:val="20"/>
          <w:lang w:bidi="te-IN"/>
        </w:rPr>
        <w:t>2</w:t>
      </w:r>
      <w:r w:rsidRPr="00010588">
        <w:rPr>
          <w:rFonts w:ascii="Arial" w:hAnsi="Arial" w:cs="Arial"/>
          <w:b/>
          <w:color w:val="000000" w:themeColor="text1"/>
          <w:sz w:val="20"/>
          <w:szCs w:val="20"/>
          <w:lang w:bidi="te-IN"/>
        </w:rPr>
        <w:t xml:space="preserve">. UHPLC-PDA operational parameters for </w:t>
      </w:r>
      <w:proofErr w:type="spellStart"/>
      <w:r w:rsidRPr="00010588">
        <w:rPr>
          <w:rFonts w:ascii="Arial" w:hAnsi="Arial" w:cs="Arial"/>
          <w:b/>
          <w:color w:val="000000" w:themeColor="text1"/>
          <w:sz w:val="20"/>
          <w:szCs w:val="20"/>
          <w:lang w:bidi="te-IN"/>
        </w:rPr>
        <w:t>chlorantraniliprole</w:t>
      </w:r>
      <w:proofErr w:type="spellEnd"/>
    </w:p>
    <w:tbl>
      <w:tblPr>
        <w:tblStyle w:val="TableGrid"/>
        <w:tblW w:w="4986" w:type="pct"/>
        <w:tblLook w:val="04A0" w:firstRow="1" w:lastRow="0" w:firstColumn="1" w:lastColumn="0" w:noHBand="0" w:noVBand="1"/>
      </w:tblPr>
      <w:tblGrid>
        <w:gridCol w:w="944"/>
        <w:gridCol w:w="3926"/>
        <w:gridCol w:w="4346"/>
      </w:tblGrid>
      <w:tr w:rsidR="00CD40A8" w:rsidRPr="00010588" w14:paraId="08CAFF9C" w14:textId="77777777" w:rsidTr="00D47AE4">
        <w:trPr>
          <w:trHeight w:val="481"/>
        </w:trPr>
        <w:tc>
          <w:tcPr>
            <w:tcW w:w="512" w:type="pct"/>
            <w:tcBorders>
              <w:bottom w:val="nil"/>
            </w:tcBorders>
            <w:vAlign w:val="center"/>
          </w:tcPr>
          <w:p w14:paraId="5A92FDDA" w14:textId="77777777" w:rsidR="00CD40A8" w:rsidRPr="00010588" w:rsidRDefault="00CD40A8" w:rsidP="00D47AE4">
            <w:pPr>
              <w:autoSpaceDE w:val="0"/>
              <w:autoSpaceDN w:val="0"/>
              <w:adjustRightInd w:val="0"/>
              <w:spacing w:line="360" w:lineRule="auto"/>
              <w:jc w:val="center"/>
              <w:rPr>
                <w:rFonts w:ascii="Arial" w:hAnsi="Arial" w:cs="Arial"/>
                <w:b/>
                <w:bCs/>
                <w:lang w:bidi="te-IN"/>
              </w:rPr>
            </w:pPr>
            <w:r w:rsidRPr="00010588">
              <w:rPr>
                <w:rFonts w:ascii="Arial" w:hAnsi="Arial" w:cs="Arial"/>
                <w:b/>
                <w:bCs/>
                <w:lang w:bidi="te-IN"/>
              </w:rPr>
              <w:t>S. No.</w:t>
            </w:r>
          </w:p>
        </w:tc>
        <w:tc>
          <w:tcPr>
            <w:tcW w:w="2130" w:type="pct"/>
            <w:tcBorders>
              <w:bottom w:val="nil"/>
            </w:tcBorders>
            <w:vAlign w:val="center"/>
          </w:tcPr>
          <w:p w14:paraId="542180C4" w14:textId="77777777" w:rsidR="00CD40A8" w:rsidRPr="00010588" w:rsidRDefault="00CD40A8" w:rsidP="00D47AE4">
            <w:pPr>
              <w:autoSpaceDE w:val="0"/>
              <w:autoSpaceDN w:val="0"/>
              <w:adjustRightInd w:val="0"/>
              <w:spacing w:line="360" w:lineRule="auto"/>
              <w:jc w:val="center"/>
              <w:rPr>
                <w:rFonts w:ascii="Arial" w:hAnsi="Arial" w:cs="Arial"/>
                <w:b/>
                <w:bCs/>
                <w:lang w:bidi="te-IN"/>
              </w:rPr>
            </w:pPr>
            <w:r w:rsidRPr="00010588">
              <w:rPr>
                <w:rFonts w:ascii="Arial" w:hAnsi="Arial" w:cs="Arial"/>
                <w:b/>
                <w:bCs/>
                <w:lang w:bidi="te-IN"/>
              </w:rPr>
              <w:t>Parameter</w:t>
            </w:r>
          </w:p>
        </w:tc>
        <w:tc>
          <w:tcPr>
            <w:tcW w:w="2358" w:type="pct"/>
            <w:tcBorders>
              <w:bottom w:val="nil"/>
            </w:tcBorders>
            <w:vAlign w:val="center"/>
          </w:tcPr>
          <w:p w14:paraId="2455C09D" w14:textId="77777777" w:rsidR="00CD40A8" w:rsidRPr="00010588" w:rsidRDefault="00CD40A8" w:rsidP="00D47AE4">
            <w:pPr>
              <w:autoSpaceDE w:val="0"/>
              <w:autoSpaceDN w:val="0"/>
              <w:adjustRightInd w:val="0"/>
              <w:spacing w:line="360" w:lineRule="auto"/>
              <w:jc w:val="center"/>
              <w:rPr>
                <w:rFonts w:ascii="Arial" w:hAnsi="Arial" w:cs="Arial"/>
                <w:b/>
                <w:bCs/>
                <w:lang w:bidi="te-IN"/>
              </w:rPr>
            </w:pPr>
            <w:proofErr w:type="spellStart"/>
            <w:r w:rsidRPr="00010588">
              <w:rPr>
                <w:rFonts w:ascii="Arial" w:hAnsi="Arial" w:cs="Arial"/>
                <w:b/>
                <w:bCs/>
                <w:lang w:bidi="te-IN"/>
              </w:rPr>
              <w:t>Chlorantraniliprole</w:t>
            </w:r>
            <w:proofErr w:type="spellEnd"/>
          </w:p>
        </w:tc>
      </w:tr>
      <w:tr w:rsidR="00CD40A8" w:rsidRPr="00010588" w14:paraId="15719D9D" w14:textId="77777777" w:rsidTr="00D47AE4">
        <w:trPr>
          <w:trHeight w:val="566"/>
        </w:trPr>
        <w:tc>
          <w:tcPr>
            <w:tcW w:w="512" w:type="pct"/>
            <w:tcBorders>
              <w:top w:val="single" w:sz="4" w:space="0" w:color="auto"/>
            </w:tcBorders>
            <w:vAlign w:val="center"/>
          </w:tcPr>
          <w:p w14:paraId="6EBCBC77"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w:t>
            </w:r>
          </w:p>
        </w:tc>
        <w:tc>
          <w:tcPr>
            <w:tcW w:w="2130" w:type="pct"/>
            <w:tcBorders>
              <w:top w:val="single" w:sz="4" w:space="0" w:color="auto"/>
            </w:tcBorders>
            <w:vAlign w:val="center"/>
          </w:tcPr>
          <w:p w14:paraId="5997154B"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Liquid chromatograph</w:t>
            </w:r>
          </w:p>
        </w:tc>
        <w:tc>
          <w:tcPr>
            <w:tcW w:w="2358" w:type="pct"/>
            <w:tcBorders>
              <w:top w:val="single" w:sz="4" w:space="0" w:color="auto"/>
            </w:tcBorders>
            <w:vAlign w:val="center"/>
          </w:tcPr>
          <w:p w14:paraId="1418C606"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 xml:space="preserve">UHPLC Shimadzu make </w:t>
            </w:r>
          </w:p>
        </w:tc>
      </w:tr>
      <w:tr w:rsidR="00CD40A8" w:rsidRPr="00010588" w14:paraId="6EAF25F8" w14:textId="77777777" w:rsidTr="00D47AE4">
        <w:trPr>
          <w:trHeight w:val="323"/>
        </w:trPr>
        <w:tc>
          <w:tcPr>
            <w:tcW w:w="512" w:type="pct"/>
            <w:vAlign w:val="center"/>
          </w:tcPr>
          <w:p w14:paraId="42B843D0"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2</w:t>
            </w:r>
          </w:p>
        </w:tc>
        <w:tc>
          <w:tcPr>
            <w:tcW w:w="2130" w:type="pct"/>
            <w:vAlign w:val="center"/>
          </w:tcPr>
          <w:p w14:paraId="320E49BF"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Pump</w:t>
            </w:r>
          </w:p>
        </w:tc>
        <w:tc>
          <w:tcPr>
            <w:tcW w:w="2358" w:type="pct"/>
            <w:vAlign w:val="center"/>
          </w:tcPr>
          <w:p w14:paraId="692FED4A"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LC-30AD</w:t>
            </w:r>
          </w:p>
        </w:tc>
      </w:tr>
      <w:tr w:rsidR="00CD40A8" w:rsidRPr="00010588" w14:paraId="06E841BD" w14:textId="77777777" w:rsidTr="00D47AE4">
        <w:trPr>
          <w:trHeight w:val="323"/>
        </w:trPr>
        <w:tc>
          <w:tcPr>
            <w:tcW w:w="512" w:type="pct"/>
            <w:vAlign w:val="center"/>
          </w:tcPr>
          <w:p w14:paraId="50507F1F"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3</w:t>
            </w:r>
          </w:p>
        </w:tc>
        <w:tc>
          <w:tcPr>
            <w:tcW w:w="2130" w:type="pct"/>
            <w:vAlign w:val="center"/>
          </w:tcPr>
          <w:p w14:paraId="3B29B4FC"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Pump mode</w:t>
            </w:r>
          </w:p>
        </w:tc>
        <w:tc>
          <w:tcPr>
            <w:tcW w:w="2358" w:type="pct"/>
            <w:vAlign w:val="center"/>
          </w:tcPr>
          <w:p w14:paraId="4A10F087"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Low pressure gradient</w:t>
            </w:r>
          </w:p>
        </w:tc>
      </w:tr>
      <w:tr w:rsidR="00CD40A8" w:rsidRPr="00010588" w14:paraId="27D477E7" w14:textId="77777777" w:rsidTr="00D47AE4">
        <w:trPr>
          <w:trHeight w:val="646"/>
        </w:trPr>
        <w:tc>
          <w:tcPr>
            <w:tcW w:w="512" w:type="pct"/>
            <w:vAlign w:val="center"/>
          </w:tcPr>
          <w:p w14:paraId="172EA935"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4</w:t>
            </w:r>
          </w:p>
        </w:tc>
        <w:tc>
          <w:tcPr>
            <w:tcW w:w="2130" w:type="pct"/>
            <w:vAlign w:val="center"/>
          </w:tcPr>
          <w:p w14:paraId="741E1CE9"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Column</w:t>
            </w:r>
          </w:p>
        </w:tc>
        <w:tc>
          <w:tcPr>
            <w:tcW w:w="2358" w:type="pct"/>
            <w:vAlign w:val="center"/>
          </w:tcPr>
          <w:p w14:paraId="4247FB80" w14:textId="77777777" w:rsidR="00CD40A8" w:rsidRPr="00010588" w:rsidRDefault="00CD40A8" w:rsidP="00D47AE4">
            <w:pPr>
              <w:spacing w:line="360" w:lineRule="auto"/>
              <w:rPr>
                <w:rFonts w:ascii="Arial" w:hAnsi="Arial" w:cs="Arial"/>
              </w:rPr>
            </w:pPr>
            <w:proofErr w:type="spellStart"/>
            <w:r w:rsidRPr="00010588">
              <w:rPr>
                <w:rFonts w:ascii="Arial" w:hAnsi="Arial" w:cs="Arial"/>
              </w:rPr>
              <w:t>Acentis</w:t>
            </w:r>
            <w:proofErr w:type="spellEnd"/>
            <w:r w:rsidR="00D1292E" w:rsidRPr="00010588">
              <w:rPr>
                <w:rFonts w:ascii="Arial" w:hAnsi="Arial" w:cs="Arial"/>
              </w:rPr>
              <w:t xml:space="preserve"> </w:t>
            </w:r>
            <w:r w:rsidRPr="00010588">
              <w:rPr>
                <w:rFonts w:ascii="Arial" w:hAnsi="Arial" w:cs="Arial"/>
              </w:rPr>
              <w:t xml:space="preserve">R Express RP-Amide </w:t>
            </w:r>
          </w:p>
          <w:p w14:paraId="5E8823DB" w14:textId="77777777" w:rsidR="00CD40A8" w:rsidRPr="00010588" w:rsidRDefault="00CD40A8" w:rsidP="00D47AE4">
            <w:pPr>
              <w:spacing w:line="360" w:lineRule="auto"/>
              <w:rPr>
                <w:rFonts w:ascii="Arial" w:hAnsi="Arial" w:cs="Arial"/>
              </w:rPr>
            </w:pPr>
            <w:r w:rsidRPr="00010588">
              <w:rPr>
                <w:rFonts w:ascii="Arial" w:hAnsi="Arial" w:cs="Arial"/>
              </w:rPr>
              <w:t>(15cm × 3.0mm,2.7µm)</w:t>
            </w:r>
          </w:p>
        </w:tc>
      </w:tr>
      <w:tr w:rsidR="00CD40A8" w:rsidRPr="00010588" w14:paraId="166120F3" w14:textId="77777777" w:rsidTr="00D47AE4">
        <w:trPr>
          <w:trHeight w:val="308"/>
        </w:trPr>
        <w:tc>
          <w:tcPr>
            <w:tcW w:w="512" w:type="pct"/>
            <w:vAlign w:val="center"/>
          </w:tcPr>
          <w:p w14:paraId="1D08AF9D"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5</w:t>
            </w:r>
          </w:p>
        </w:tc>
        <w:tc>
          <w:tcPr>
            <w:tcW w:w="2130" w:type="pct"/>
            <w:vAlign w:val="center"/>
          </w:tcPr>
          <w:p w14:paraId="7145D394"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rPr>
              <w:t>Pressure</w:t>
            </w:r>
          </w:p>
        </w:tc>
        <w:tc>
          <w:tcPr>
            <w:tcW w:w="2358" w:type="pct"/>
            <w:vAlign w:val="center"/>
          </w:tcPr>
          <w:p w14:paraId="1ED2C1CA"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rPr>
              <w:t xml:space="preserve">162-180 </w:t>
            </w:r>
            <w:proofErr w:type="spellStart"/>
            <w:r w:rsidRPr="00010588">
              <w:rPr>
                <w:rFonts w:ascii="Arial" w:hAnsi="Arial" w:cs="Arial"/>
              </w:rPr>
              <w:t>kgfm</w:t>
            </w:r>
            <w:proofErr w:type="spellEnd"/>
          </w:p>
        </w:tc>
      </w:tr>
      <w:tr w:rsidR="00CD40A8" w:rsidRPr="00010588" w14:paraId="13DF2DEC" w14:textId="77777777" w:rsidTr="00D47AE4">
        <w:trPr>
          <w:trHeight w:val="323"/>
        </w:trPr>
        <w:tc>
          <w:tcPr>
            <w:tcW w:w="512" w:type="pct"/>
            <w:vAlign w:val="center"/>
          </w:tcPr>
          <w:p w14:paraId="2739D775"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6</w:t>
            </w:r>
          </w:p>
        </w:tc>
        <w:tc>
          <w:tcPr>
            <w:tcW w:w="2130" w:type="pct"/>
            <w:vAlign w:val="center"/>
          </w:tcPr>
          <w:p w14:paraId="710B5A6C" w14:textId="77777777" w:rsidR="00CD40A8" w:rsidRPr="00010588" w:rsidRDefault="00CD40A8" w:rsidP="00D47AE4">
            <w:pPr>
              <w:autoSpaceDE w:val="0"/>
              <w:autoSpaceDN w:val="0"/>
              <w:adjustRightInd w:val="0"/>
              <w:spacing w:line="360" w:lineRule="auto"/>
              <w:rPr>
                <w:rFonts w:ascii="Arial" w:hAnsi="Arial" w:cs="Arial"/>
              </w:rPr>
            </w:pPr>
            <w:r w:rsidRPr="00010588">
              <w:rPr>
                <w:rFonts w:ascii="Arial" w:hAnsi="Arial" w:cs="Arial"/>
              </w:rPr>
              <w:t>Oven Temperature</w:t>
            </w:r>
          </w:p>
        </w:tc>
        <w:tc>
          <w:tcPr>
            <w:tcW w:w="2358" w:type="pct"/>
            <w:vAlign w:val="center"/>
          </w:tcPr>
          <w:p w14:paraId="5B98E6E8" w14:textId="77777777" w:rsidR="00CD40A8" w:rsidRPr="00010588" w:rsidRDefault="00CD40A8" w:rsidP="00D47AE4">
            <w:pPr>
              <w:autoSpaceDE w:val="0"/>
              <w:autoSpaceDN w:val="0"/>
              <w:adjustRightInd w:val="0"/>
              <w:spacing w:line="360" w:lineRule="auto"/>
              <w:rPr>
                <w:rFonts w:ascii="Arial" w:hAnsi="Arial" w:cs="Arial"/>
              </w:rPr>
            </w:pPr>
            <w:r w:rsidRPr="00010588">
              <w:rPr>
                <w:rFonts w:ascii="Arial" w:hAnsi="Arial" w:cs="Arial"/>
              </w:rPr>
              <w:t>30</w:t>
            </w:r>
            <w:r w:rsidRPr="00010588">
              <w:rPr>
                <w:rFonts w:ascii="Arial" w:hAnsi="Arial" w:cs="Arial"/>
                <w:vertAlign w:val="superscript"/>
              </w:rPr>
              <w:t>o</w:t>
            </w:r>
            <w:r w:rsidRPr="00010588">
              <w:rPr>
                <w:rFonts w:ascii="Arial" w:hAnsi="Arial" w:cs="Arial"/>
              </w:rPr>
              <w:t>C</w:t>
            </w:r>
          </w:p>
        </w:tc>
      </w:tr>
      <w:tr w:rsidR="00CD40A8" w:rsidRPr="00010588" w14:paraId="3EBEDDBC" w14:textId="77777777" w:rsidTr="00D47AE4">
        <w:trPr>
          <w:trHeight w:val="323"/>
        </w:trPr>
        <w:tc>
          <w:tcPr>
            <w:tcW w:w="512" w:type="pct"/>
            <w:vAlign w:val="center"/>
          </w:tcPr>
          <w:p w14:paraId="73F16FD4"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7</w:t>
            </w:r>
          </w:p>
        </w:tc>
        <w:tc>
          <w:tcPr>
            <w:tcW w:w="2130" w:type="pct"/>
            <w:vAlign w:val="center"/>
          </w:tcPr>
          <w:p w14:paraId="105C0198"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Injection volume &amp; Interval</w:t>
            </w:r>
          </w:p>
        </w:tc>
        <w:tc>
          <w:tcPr>
            <w:tcW w:w="2358" w:type="pct"/>
            <w:vAlign w:val="center"/>
          </w:tcPr>
          <w:p w14:paraId="34B5D526"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 xml:space="preserve">10 </w:t>
            </w:r>
            <w:r w:rsidRPr="00010588">
              <w:rPr>
                <w:rFonts w:ascii="Arial" w:hAnsi="Arial" w:cs="Arial"/>
              </w:rPr>
              <w:t>µl in in 20 min</w:t>
            </w:r>
          </w:p>
        </w:tc>
      </w:tr>
      <w:tr w:rsidR="00CD40A8" w:rsidRPr="00010588" w14:paraId="638279F9" w14:textId="77777777" w:rsidTr="00D47AE4">
        <w:trPr>
          <w:trHeight w:val="323"/>
        </w:trPr>
        <w:tc>
          <w:tcPr>
            <w:tcW w:w="512" w:type="pct"/>
            <w:vAlign w:val="center"/>
          </w:tcPr>
          <w:p w14:paraId="3B4D415A"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8</w:t>
            </w:r>
          </w:p>
        </w:tc>
        <w:tc>
          <w:tcPr>
            <w:tcW w:w="2130" w:type="pct"/>
            <w:vAlign w:val="center"/>
          </w:tcPr>
          <w:p w14:paraId="1DD0DB2F"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Total flow</w:t>
            </w:r>
          </w:p>
        </w:tc>
        <w:tc>
          <w:tcPr>
            <w:tcW w:w="2358" w:type="pct"/>
            <w:vAlign w:val="center"/>
          </w:tcPr>
          <w:p w14:paraId="70756A78"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0.25 ml/min</w:t>
            </w:r>
          </w:p>
        </w:tc>
      </w:tr>
      <w:tr w:rsidR="00CD40A8" w:rsidRPr="00010588" w14:paraId="31D4E6A3" w14:textId="77777777" w:rsidTr="00D47AE4">
        <w:trPr>
          <w:trHeight w:val="440"/>
        </w:trPr>
        <w:tc>
          <w:tcPr>
            <w:tcW w:w="512" w:type="pct"/>
            <w:vAlign w:val="center"/>
          </w:tcPr>
          <w:p w14:paraId="1F8E3361"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9</w:t>
            </w:r>
          </w:p>
        </w:tc>
        <w:tc>
          <w:tcPr>
            <w:tcW w:w="2130" w:type="pct"/>
            <w:vAlign w:val="center"/>
          </w:tcPr>
          <w:p w14:paraId="2D55D5A0"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 xml:space="preserve">Mobile phase </w:t>
            </w:r>
          </w:p>
        </w:tc>
        <w:tc>
          <w:tcPr>
            <w:tcW w:w="2358" w:type="pct"/>
            <w:vAlign w:val="center"/>
          </w:tcPr>
          <w:p w14:paraId="50F1163E" w14:textId="77777777" w:rsidR="00CD40A8" w:rsidRPr="00010588" w:rsidRDefault="00CD40A8" w:rsidP="00D47AE4">
            <w:pPr>
              <w:spacing w:line="360" w:lineRule="auto"/>
              <w:rPr>
                <w:rFonts w:ascii="Arial" w:hAnsi="Arial" w:cs="Arial"/>
              </w:rPr>
            </w:pPr>
            <w:r w:rsidRPr="00010588">
              <w:rPr>
                <w:rFonts w:ascii="Arial" w:hAnsi="Arial" w:cs="Arial"/>
                <w:lang w:bidi="te-IN"/>
              </w:rPr>
              <w:t xml:space="preserve">Pump A- </w:t>
            </w:r>
            <w:r w:rsidRPr="00010588">
              <w:rPr>
                <w:rFonts w:ascii="Arial" w:hAnsi="Arial" w:cs="Arial"/>
              </w:rPr>
              <w:t>Water (30% with 0.01% phosphoric acid buffering)</w:t>
            </w:r>
          </w:p>
          <w:p w14:paraId="4BEF2E6D" w14:textId="77777777" w:rsidR="00CD40A8" w:rsidRPr="00010588" w:rsidRDefault="00CD40A8" w:rsidP="00D47AE4">
            <w:pPr>
              <w:spacing w:line="360" w:lineRule="auto"/>
              <w:rPr>
                <w:rFonts w:ascii="Arial" w:hAnsi="Arial" w:cs="Arial"/>
              </w:rPr>
            </w:pPr>
            <w:r w:rsidRPr="00010588">
              <w:rPr>
                <w:rFonts w:ascii="Arial" w:hAnsi="Arial" w:cs="Arial"/>
              </w:rPr>
              <w:t>Pump B - Acetonitrile (70%)</w:t>
            </w:r>
          </w:p>
        </w:tc>
      </w:tr>
      <w:tr w:rsidR="00CD40A8" w:rsidRPr="00010588" w14:paraId="4781250A" w14:textId="77777777" w:rsidTr="00D47AE4">
        <w:trPr>
          <w:trHeight w:val="323"/>
        </w:trPr>
        <w:tc>
          <w:tcPr>
            <w:tcW w:w="512" w:type="pct"/>
            <w:vAlign w:val="center"/>
          </w:tcPr>
          <w:p w14:paraId="4FA0C94A"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10</w:t>
            </w:r>
          </w:p>
        </w:tc>
        <w:tc>
          <w:tcPr>
            <w:tcW w:w="2130" w:type="pct"/>
            <w:vAlign w:val="center"/>
          </w:tcPr>
          <w:p w14:paraId="6657000F"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Wave length</w:t>
            </w:r>
          </w:p>
        </w:tc>
        <w:tc>
          <w:tcPr>
            <w:tcW w:w="2358" w:type="pct"/>
            <w:vAlign w:val="center"/>
          </w:tcPr>
          <w:p w14:paraId="32AA3A08"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220 nm</w:t>
            </w:r>
          </w:p>
        </w:tc>
      </w:tr>
      <w:tr w:rsidR="00CD40A8" w:rsidRPr="00010588" w14:paraId="4043ECA1" w14:textId="77777777" w:rsidTr="00D47AE4">
        <w:trPr>
          <w:trHeight w:val="323"/>
        </w:trPr>
        <w:tc>
          <w:tcPr>
            <w:tcW w:w="512" w:type="pct"/>
            <w:vAlign w:val="center"/>
          </w:tcPr>
          <w:p w14:paraId="4076CC32"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11</w:t>
            </w:r>
          </w:p>
        </w:tc>
        <w:tc>
          <w:tcPr>
            <w:tcW w:w="2130" w:type="pct"/>
            <w:vAlign w:val="center"/>
          </w:tcPr>
          <w:p w14:paraId="288472A8"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Detector</w:t>
            </w:r>
          </w:p>
        </w:tc>
        <w:tc>
          <w:tcPr>
            <w:tcW w:w="2358" w:type="pct"/>
            <w:vAlign w:val="center"/>
          </w:tcPr>
          <w:p w14:paraId="7C2F5E5C"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Photo diode array (PDA)</w:t>
            </w:r>
          </w:p>
        </w:tc>
      </w:tr>
      <w:tr w:rsidR="00CD40A8" w:rsidRPr="00010588" w14:paraId="2B5EF9C4" w14:textId="77777777" w:rsidTr="00D47AE4">
        <w:trPr>
          <w:trHeight w:val="323"/>
        </w:trPr>
        <w:tc>
          <w:tcPr>
            <w:tcW w:w="512" w:type="pct"/>
            <w:vAlign w:val="center"/>
          </w:tcPr>
          <w:p w14:paraId="08D9A40C"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12</w:t>
            </w:r>
          </w:p>
        </w:tc>
        <w:tc>
          <w:tcPr>
            <w:tcW w:w="2130" w:type="pct"/>
            <w:vAlign w:val="center"/>
          </w:tcPr>
          <w:p w14:paraId="207725BF"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Detector mode</w:t>
            </w:r>
          </w:p>
        </w:tc>
        <w:tc>
          <w:tcPr>
            <w:tcW w:w="2358" w:type="pct"/>
            <w:vAlign w:val="center"/>
          </w:tcPr>
          <w:p w14:paraId="15EFCB82"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SPD-M30A</w:t>
            </w:r>
          </w:p>
        </w:tc>
      </w:tr>
      <w:tr w:rsidR="00CD40A8" w:rsidRPr="00010588" w14:paraId="5624FCCD" w14:textId="77777777" w:rsidTr="00D47AE4">
        <w:trPr>
          <w:trHeight w:val="308"/>
        </w:trPr>
        <w:tc>
          <w:tcPr>
            <w:tcW w:w="512" w:type="pct"/>
            <w:vAlign w:val="center"/>
          </w:tcPr>
          <w:p w14:paraId="75A0AF3D"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13</w:t>
            </w:r>
          </w:p>
        </w:tc>
        <w:tc>
          <w:tcPr>
            <w:tcW w:w="2130" w:type="pct"/>
            <w:vAlign w:val="center"/>
          </w:tcPr>
          <w:p w14:paraId="306FAB9A"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Lamp</w:t>
            </w:r>
          </w:p>
        </w:tc>
        <w:tc>
          <w:tcPr>
            <w:tcW w:w="2358" w:type="pct"/>
            <w:vAlign w:val="center"/>
          </w:tcPr>
          <w:p w14:paraId="4716F0E9"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D2 (Deuterium)</w:t>
            </w:r>
          </w:p>
        </w:tc>
      </w:tr>
      <w:tr w:rsidR="00CD40A8" w:rsidRPr="00010588" w14:paraId="201B2DE5" w14:textId="77777777" w:rsidTr="00D47AE4">
        <w:trPr>
          <w:trHeight w:val="323"/>
        </w:trPr>
        <w:tc>
          <w:tcPr>
            <w:tcW w:w="512" w:type="pct"/>
            <w:vAlign w:val="center"/>
          </w:tcPr>
          <w:p w14:paraId="64031C5D"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14</w:t>
            </w:r>
          </w:p>
        </w:tc>
        <w:tc>
          <w:tcPr>
            <w:tcW w:w="2130" w:type="pct"/>
            <w:vAlign w:val="center"/>
          </w:tcPr>
          <w:p w14:paraId="6663F818"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Total run time</w:t>
            </w:r>
          </w:p>
        </w:tc>
        <w:tc>
          <w:tcPr>
            <w:tcW w:w="2358" w:type="pct"/>
            <w:vAlign w:val="center"/>
          </w:tcPr>
          <w:p w14:paraId="2431A888"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10.0 min</w:t>
            </w:r>
          </w:p>
        </w:tc>
      </w:tr>
      <w:tr w:rsidR="00CD40A8" w:rsidRPr="00010588" w14:paraId="5CF4C9F7" w14:textId="77777777" w:rsidTr="00D47AE4">
        <w:trPr>
          <w:trHeight w:val="406"/>
        </w:trPr>
        <w:tc>
          <w:tcPr>
            <w:tcW w:w="512" w:type="pct"/>
            <w:vAlign w:val="center"/>
          </w:tcPr>
          <w:p w14:paraId="4DBC5E6A"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15</w:t>
            </w:r>
          </w:p>
        </w:tc>
        <w:tc>
          <w:tcPr>
            <w:tcW w:w="2130" w:type="pct"/>
            <w:vAlign w:val="center"/>
          </w:tcPr>
          <w:p w14:paraId="4E7EF980"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Retention time</w:t>
            </w:r>
          </w:p>
        </w:tc>
        <w:tc>
          <w:tcPr>
            <w:tcW w:w="2358" w:type="pct"/>
            <w:vAlign w:val="center"/>
          </w:tcPr>
          <w:p w14:paraId="78367A0A"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3.39 min</w:t>
            </w:r>
          </w:p>
        </w:tc>
      </w:tr>
      <w:tr w:rsidR="00CD40A8" w:rsidRPr="00010588" w14:paraId="09010313" w14:textId="77777777" w:rsidTr="00D47AE4">
        <w:trPr>
          <w:trHeight w:val="406"/>
        </w:trPr>
        <w:tc>
          <w:tcPr>
            <w:tcW w:w="512" w:type="pct"/>
            <w:vAlign w:val="center"/>
          </w:tcPr>
          <w:p w14:paraId="35F4FE25"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16</w:t>
            </w:r>
          </w:p>
        </w:tc>
        <w:tc>
          <w:tcPr>
            <w:tcW w:w="2130" w:type="pct"/>
            <w:vAlign w:val="center"/>
          </w:tcPr>
          <w:p w14:paraId="12C69D1F"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LOD</w:t>
            </w:r>
          </w:p>
        </w:tc>
        <w:tc>
          <w:tcPr>
            <w:tcW w:w="2358" w:type="pct"/>
            <w:vAlign w:val="center"/>
          </w:tcPr>
          <w:p w14:paraId="68867345"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0.25µg/ml</w:t>
            </w:r>
          </w:p>
        </w:tc>
      </w:tr>
      <w:tr w:rsidR="00CD40A8" w:rsidRPr="00010588" w14:paraId="6A7A6515" w14:textId="77777777" w:rsidTr="00D47AE4">
        <w:trPr>
          <w:trHeight w:val="406"/>
        </w:trPr>
        <w:tc>
          <w:tcPr>
            <w:tcW w:w="512" w:type="pct"/>
            <w:vAlign w:val="center"/>
          </w:tcPr>
          <w:p w14:paraId="06DF9DB0" w14:textId="77777777" w:rsidR="00CD40A8" w:rsidRPr="00010588" w:rsidRDefault="00CD40A8" w:rsidP="00D47AE4">
            <w:pPr>
              <w:autoSpaceDE w:val="0"/>
              <w:autoSpaceDN w:val="0"/>
              <w:adjustRightInd w:val="0"/>
              <w:spacing w:line="360" w:lineRule="auto"/>
              <w:jc w:val="center"/>
              <w:rPr>
                <w:rFonts w:ascii="Arial" w:hAnsi="Arial" w:cs="Arial"/>
                <w:lang w:bidi="te-IN"/>
              </w:rPr>
            </w:pPr>
            <w:r w:rsidRPr="00010588">
              <w:rPr>
                <w:rFonts w:ascii="Arial" w:hAnsi="Arial" w:cs="Arial"/>
                <w:lang w:bidi="te-IN"/>
              </w:rPr>
              <w:t>17</w:t>
            </w:r>
          </w:p>
        </w:tc>
        <w:tc>
          <w:tcPr>
            <w:tcW w:w="2130" w:type="pct"/>
            <w:vAlign w:val="center"/>
          </w:tcPr>
          <w:p w14:paraId="4BB11BBD"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LOQ</w:t>
            </w:r>
          </w:p>
        </w:tc>
        <w:tc>
          <w:tcPr>
            <w:tcW w:w="2358" w:type="pct"/>
            <w:vAlign w:val="center"/>
          </w:tcPr>
          <w:p w14:paraId="64820157" w14:textId="77777777" w:rsidR="00CD40A8" w:rsidRPr="00010588" w:rsidRDefault="00CD40A8" w:rsidP="00D47AE4">
            <w:pPr>
              <w:autoSpaceDE w:val="0"/>
              <w:autoSpaceDN w:val="0"/>
              <w:adjustRightInd w:val="0"/>
              <w:spacing w:line="360" w:lineRule="auto"/>
              <w:rPr>
                <w:rFonts w:ascii="Arial" w:hAnsi="Arial" w:cs="Arial"/>
                <w:lang w:bidi="te-IN"/>
              </w:rPr>
            </w:pPr>
            <w:r w:rsidRPr="00010588">
              <w:rPr>
                <w:rFonts w:ascii="Arial" w:hAnsi="Arial" w:cs="Arial"/>
                <w:lang w:bidi="te-IN"/>
              </w:rPr>
              <w:t>0.75 µg/ml</w:t>
            </w:r>
          </w:p>
        </w:tc>
      </w:tr>
    </w:tbl>
    <w:p w14:paraId="7484C7D8" w14:textId="77777777" w:rsidR="00713920" w:rsidRPr="00010588" w:rsidRDefault="00713920" w:rsidP="00713920">
      <w:pPr>
        <w:spacing w:line="360" w:lineRule="auto"/>
        <w:jc w:val="both"/>
        <w:rPr>
          <w:rFonts w:ascii="Arial" w:hAnsi="Arial" w:cs="Arial"/>
          <w:b/>
          <w:sz w:val="20"/>
          <w:szCs w:val="20"/>
        </w:rPr>
      </w:pPr>
    </w:p>
    <w:p w14:paraId="24F394EB" w14:textId="77777777" w:rsidR="00713920" w:rsidRPr="00010588" w:rsidRDefault="008839D3" w:rsidP="00713920">
      <w:pPr>
        <w:autoSpaceDE w:val="0"/>
        <w:autoSpaceDN w:val="0"/>
        <w:adjustRightInd w:val="0"/>
        <w:spacing w:line="360" w:lineRule="auto"/>
        <w:jc w:val="both"/>
        <w:rPr>
          <w:rFonts w:ascii="Arial" w:hAnsi="Arial" w:cs="Arial"/>
          <w:b/>
          <w:sz w:val="20"/>
          <w:szCs w:val="20"/>
        </w:rPr>
      </w:pPr>
      <w:r w:rsidRPr="00010588">
        <w:rPr>
          <w:rFonts w:ascii="Arial" w:hAnsi="Arial" w:cs="Arial"/>
          <w:b/>
          <w:szCs w:val="20"/>
        </w:rPr>
        <w:t>2.</w:t>
      </w:r>
      <w:r w:rsidRPr="00010588">
        <w:rPr>
          <w:rFonts w:ascii="Arial" w:hAnsi="Arial" w:cs="Arial"/>
          <w:b/>
          <w:sz w:val="20"/>
          <w:szCs w:val="20"/>
        </w:rPr>
        <w:t xml:space="preserve">4 </w:t>
      </w:r>
      <w:r w:rsidR="00713920" w:rsidRPr="00010588">
        <w:rPr>
          <w:rFonts w:ascii="Arial" w:hAnsi="Arial" w:cs="Arial"/>
          <w:b/>
          <w:sz w:val="20"/>
          <w:szCs w:val="20"/>
        </w:rPr>
        <w:t xml:space="preserve">Recovery Studies and Limit of Quantification (LOQ) </w:t>
      </w:r>
    </w:p>
    <w:p w14:paraId="2FA4C121" w14:textId="77777777" w:rsidR="00713920" w:rsidRPr="00010588" w:rsidRDefault="00713920" w:rsidP="00713920">
      <w:pPr>
        <w:autoSpaceDE w:val="0"/>
        <w:autoSpaceDN w:val="0"/>
        <w:adjustRightInd w:val="0"/>
        <w:spacing w:line="360" w:lineRule="auto"/>
        <w:ind w:firstLine="720"/>
        <w:jc w:val="both"/>
        <w:rPr>
          <w:rFonts w:ascii="Arial" w:hAnsi="Arial" w:cs="Arial"/>
          <w:noProof/>
          <w:sz w:val="20"/>
          <w:szCs w:val="20"/>
        </w:rPr>
      </w:pPr>
      <w:r w:rsidRPr="00010588">
        <w:rPr>
          <w:rFonts w:ascii="Arial" w:hAnsi="Arial" w:cs="Arial"/>
          <w:sz w:val="20"/>
          <w:szCs w:val="20"/>
          <w:lang w:bidi="te-IN"/>
        </w:rPr>
        <w:t>Prior to insecticidal residues analysis, flowers and green pods recovery studies at different fortification levels were conducted for method validation.</w:t>
      </w:r>
    </w:p>
    <w:p w14:paraId="5E91ECF2" w14:textId="77777777" w:rsidR="00713920" w:rsidRPr="00010588" w:rsidRDefault="00713920" w:rsidP="00713920">
      <w:pPr>
        <w:spacing w:after="0" w:line="360" w:lineRule="auto"/>
        <w:ind w:firstLine="720"/>
        <w:jc w:val="both"/>
        <w:rPr>
          <w:rFonts w:ascii="Arial" w:hAnsi="Arial" w:cs="Arial"/>
          <w:noProof/>
          <w:sz w:val="20"/>
          <w:szCs w:val="20"/>
        </w:rPr>
      </w:pPr>
      <w:r w:rsidRPr="00010588">
        <w:rPr>
          <w:rFonts w:ascii="Arial" w:hAnsi="Arial" w:cs="Arial"/>
          <w:noProof/>
          <w:sz w:val="20"/>
          <w:szCs w:val="20"/>
        </w:rPr>
        <w:t xml:space="preserve">The pigeonpea pod samples were collected from untreated plots was brought to the laboratory and were homogenized using high volume homogenizer and each homogenized samples of 10 g was transferred to 50 mL centrifuge tubes. Extraction and clean up was done by QuEChERS method. The required quantity of intermediary standard prepared from CRM of respective standards were added to homogenized pigeonpea pod samples to get required fortification levels and each replicated thrice. These fortification levels were selected to know the suitability of the method to detect and quantify insecticides in pigeonpea  samples below MRLs of Codex Alimentarius Commission </w:t>
      </w:r>
      <w:r w:rsidRPr="00010588">
        <w:rPr>
          <w:rFonts w:ascii="Arial" w:hAnsi="Arial" w:cs="Arial"/>
          <w:noProof/>
          <w:sz w:val="20"/>
          <w:szCs w:val="20"/>
        </w:rPr>
        <w:lastRenderedPageBreak/>
        <w:t>(CAC).Then 10 mL of HPLC ice cold water and 15 mL of acetonitrile was added and homogenized the sample at 14000-15000 rpm for 3 minutes. To this, 6 g of sodium sulphate and 1.5 g of sodium acetate was added and centrifuged for 3minutes at 4500 rpm to separate the organic layer. Then 12 mL of aliquot was transferred into 15 mL centrifuge tube containing  0.60 g magnesium sulfate and 0.2 g PSA (also add 10 mg of Graphitised Carbon Black to remove carotenoid content), vortexed for 30 seconds and centrifuged for 3 minutes at 2500- 300 rpm. A supernatant layer was transferred into 15 mL tube and 1 mL was filtered it through PTEE (polytetrafluoroethylene) filter (0.22 mm) and this 1 mL filtrate was taken into LC vial for analysis directly with UHPLC-PDA.</w:t>
      </w:r>
    </w:p>
    <w:p w14:paraId="1F3BF794" w14:textId="77777777" w:rsidR="009336E9" w:rsidRPr="00010588" w:rsidRDefault="009336E9" w:rsidP="009336E9">
      <w:pPr>
        <w:spacing w:line="360" w:lineRule="auto"/>
        <w:ind w:firstLine="720"/>
        <w:jc w:val="both"/>
        <w:rPr>
          <w:rFonts w:ascii="Arial" w:hAnsi="Arial" w:cs="Arial"/>
          <w:sz w:val="20"/>
          <w:szCs w:val="20"/>
        </w:rPr>
      </w:pPr>
      <w:r w:rsidRPr="00010588">
        <w:rPr>
          <w:rFonts w:ascii="Arial" w:hAnsi="Arial" w:cs="Arial"/>
          <w:sz w:val="20"/>
          <w:szCs w:val="20"/>
        </w:rPr>
        <w:t>The recoveries of insecticides recovered from fortified samples were calculated using the following formula.</w:t>
      </w:r>
    </w:p>
    <w:p w14:paraId="5A959F50" w14:textId="77777777" w:rsidR="009336E9" w:rsidRPr="00010588" w:rsidRDefault="009336E9" w:rsidP="009336E9">
      <w:pPr>
        <w:spacing w:line="360" w:lineRule="auto"/>
        <w:jc w:val="both"/>
        <w:rPr>
          <w:rFonts w:ascii="Arial" w:hAnsi="Arial" w:cs="Arial"/>
          <w:sz w:val="20"/>
          <w:szCs w:val="20"/>
        </w:rPr>
      </w:pPr>
      <w:r w:rsidRPr="00010588">
        <w:rPr>
          <w:rFonts w:ascii="Arial" w:hAnsi="Arial" w:cs="Arial"/>
          <w:position w:val="-32"/>
          <w:sz w:val="20"/>
          <w:szCs w:val="20"/>
        </w:rPr>
        <w:object w:dxaOrig="7300" w:dyaOrig="740" w14:anchorId="0A051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95pt;height:37.65pt" o:ole="">
            <v:imagedata r:id="rId7" o:title=""/>
          </v:shape>
          <o:OLEObject Type="Embed" ProgID="Equation.DSMT4" ShapeID="_x0000_i1025" DrawAspect="Content" ObjectID="_1833639704" r:id="rId8"/>
        </w:object>
      </w:r>
    </w:p>
    <w:p w14:paraId="390DA2E5" w14:textId="77777777" w:rsidR="009336E9" w:rsidRPr="00010588" w:rsidRDefault="009336E9" w:rsidP="009336E9">
      <w:pPr>
        <w:spacing w:before="360" w:after="0" w:line="360" w:lineRule="auto"/>
        <w:jc w:val="both"/>
        <w:rPr>
          <w:rFonts w:ascii="Arial" w:hAnsi="Arial" w:cs="Arial"/>
          <w:sz w:val="20"/>
          <w:szCs w:val="20"/>
        </w:rPr>
      </w:pPr>
      <w:r w:rsidRPr="00010588">
        <w:rPr>
          <w:rFonts w:ascii="Arial" w:hAnsi="Arial" w:cs="Arial"/>
          <w:b/>
          <w:bCs/>
          <w:sz w:val="20"/>
          <w:szCs w:val="20"/>
        </w:rPr>
        <w:t>Sequence of Injections in UHPLC-PDA</w:t>
      </w:r>
    </w:p>
    <w:p w14:paraId="5B2EF512" w14:textId="77777777" w:rsidR="009336E9" w:rsidRPr="00010588" w:rsidRDefault="009336E9" w:rsidP="009336E9">
      <w:pPr>
        <w:pStyle w:val="ListParagraph"/>
        <w:numPr>
          <w:ilvl w:val="3"/>
          <w:numId w:val="4"/>
        </w:numPr>
        <w:tabs>
          <w:tab w:val="left" w:pos="450"/>
          <w:tab w:val="left" w:pos="720"/>
        </w:tabs>
        <w:spacing w:before="360" w:after="0" w:line="360" w:lineRule="auto"/>
        <w:ind w:hanging="2430"/>
        <w:rPr>
          <w:rFonts w:ascii="Arial" w:hAnsi="Arial" w:cs="Arial"/>
          <w:sz w:val="20"/>
          <w:szCs w:val="20"/>
          <w:lang w:val="en-US"/>
        </w:rPr>
      </w:pPr>
      <w:r w:rsidRPr="00010588">
        <w:rPr>
          <w:rFonts w:ascii="Arial" w:hAnsi="Arial" w:cs="Arial"/>
          <w:sz w:val="20"/>
          <w:szCs w:val="20"/>
          <w:lang w:val="en-US"/>
        </w:rPr>
        <w:t>Injection of reagent blank</w:t>
      </w:r>
    </w:p>
    <w:p w14:paraId="337C9120" w14:textId="77777777" w:rsidR="009336E9" w:rsidRPr="00010588" w:rsidRDefault="009336E9" w:rsidP="009336E9">
      <w:pPr>
        <w:pStyle w:val="ListParagraph"/>
        <w:numPr>
          <w:ilvl w:val="3"/>
          <w:numId w:val="4"/>
        </w:numPr>
        <w:tabs>
          <w:tab w:val="left" w:pos="450"/>
          <w:tab w:val="left" w:pos="720"/>
        </w:tabs>
        <w:spacing w:before="360" w:after="0" w:line="360" w:lineRule="auto"/>
        <w:ind w:left="720" w:hanging="270"/>
        <w:rPr>
          <w:rFonts w:ascii="Arial" w:hAnsi="Arial" w:cs="Arial"/>
          <w:sz w:val="20"/>
          <w:szCs w:val="20"/>
          <w:lang w:val="en-US"/>
        </w:rPr>
      </w:pPr>
      <w:r w:rsidRPr="00010588">
        <w:rPr>
          <w:rFonts w:ascii="Arial" w:hAnsi="Arial" w:cs="Arial"/>
          <w:sz w:val="20"/>
          <w:szCs w:val="20"/>
          <w:lang w:val="en-US"/>
        </w:rPr>
        <w:t>Injection of reference standard of suitable concentration within calibration range</w:t>
      </w:r>
    </w:p>
    <w:p w14:paraId="4CD84D72" w14:textId="77777777" w:rsidR="009336E9" w:rsidRPr="00010588" w:rsidRDefault="009336E9" w:rsidP="009336E9">
      <w:pPr>
        <w:pStyle w:val="ListParagraph"/>
        <w:numPr>
          <w:ilvl w:val="3"/>
          <w:numId w:val="4"/>
        </w:numPr>
        <w:tabs>
          <w:tab w:val="left" w:pos="450"/>
          <w:tab w:val="left" w:pos="720"/>
        </w:tabs>
        <w:spacing w:before="360" w:after="0" w:line="360" w:lineRule="auto"/>
        <w:ind w:hanging="2430"/>
        <w:rPr>
          <w:rFonts w:ascii="Arial" w:hAnsi="Arial" w:cs="Arial"/>
          <w:sz w:val="20"/>
          <w:szCs w:val="20"/>
          <w:lang w:val="en-US"/>
        </w:rPr>
      </w:pPr>
      <w:r w:rsidRPr="00010588">
        <w:rPr>
          <w:rFonts w:ascii="Arial" w:hAnsi="Arial" w:cs="Arial"/>
          <w:sz w:val="20"/>
          <w:szCs w:val="20"/>
          <w:lang w:val="en-US"/>
        </w:rPr>
        <w:t>Injection of sample</w:t>
      </w:r>
    </w:p>
    <w:p w14:paraId="211FD992" w14:textId="77777777" w:rsidR="009336E9" w:rsidRPr="00010588" w:rsidRDefault="009336E9" w:rsidP="009336E9">
      <w:pPr>
        <w:pStyle w:val="ListParagraph"/>
        <w:numPr>
          <w:ilvl w:val="3"/>
          <w:numId w:val="4"/>
        </w:numPr>
        <w:tabs>
          <w:tab w:val="left" w:pos="450"/>
          <w:tab w:val="left" w:pos="720"/>
        </w:tabs>
        <w:spacing w:before="360" w:after="0" w:line="360" w:lineRule="auto"/>
        <w:ind w:left="720" w:hanging="270"/>
        <w:rPr>
          <w:rFonts w:ascii="Arial" w:hAnsi="Arial" w:cs="Arial"/>
          <w:sz w:val="20"/>
          <w:szCs w:val="20"/>
          <w:lang w:val="en-US"/>
        </w:rPr>
      </w:pPr>
      <w:r w:rsidRPr="00010588">
        <w:rPr>
          <w:rFonts w:ascii="Arial" w:hAnsi="Arial" w:cs="Arial"/>
          <w:sz w:val="20"/>
          <w:szCs w:val="20"/>
          <w:lang w:val="en-US"/>
        </w:rPr>
        <w:t>Injection of suitable concentration within calibration range after every six samples</w:t>
      </w:r>
    </w:p>
    <w:p w14:paraId="5DEA70A2" w14:textId="77777777" w:rsidR="009336E9" w:rsidRPr="00010588" w:rsidRDefault="008839D3" w:rsidP="009336E9">
      <w:pPr>
        <w:spacing w:after="140" w:line="360" w:lineRule="auto"/>
        <w:jc w:val="both"/>
        <w:rPr>
          <w:rFonts w:ascii="Arial" w:eastAsia="Arial" w:hAnsi="Arial" w:cs="Arial"/>
          <w:b/>
          <w:szCs w:val="20"/>
        </w:rPr>
      </w:pPr>
      <w:r w:rsidRPr="00010588">
        <w:rPr>
          <w:rFonts w:ascii="Arial" w:eastAsia="Arial" w:hAnsi="Arial" w:cs="Arial"/>
          <w:b/>
          <w:szCs w:val="20"/>
        </w:rPr>
        <w:t xml:space="preserve">2.5 </w:t>
      </w:r>
      <w:r w:rsidR="009336E9" w:rsidRPr="00010588">
        <w:rPr>
          <w:rFonts w:ascii="Arial" w:eastAsia="Arial" w:hAnsi="Arial" w:cs="Arial"/>
          <w:b/>
          <w:szCs w:val="20"/>
        </w:rPr>
        <w:t>Interpretation of data</w:t>
      </w:r>
    </w:p>
    <w:p w14:paraId="05EFD258" w14:textId="77777777" w:rsidR="009336E9" w:rsidRPr="00010588" w:rsidRDefault="009336E9" w:rsidP="009336E9">
      <w:pPr>
        <w:spacing w:after="140" w:line="360" w:lineRule="auto"/>
        <w:jc w:val="both"/>
        <w:rPr>
          <w:rFonts w:ascii="Arial" w:eastAsia="Arial" w:hAnsi="Arial" w:cs="Arial"/>
          <w:b/>
          <w:sz w:val="20"/>
          <w:szCs w:val="20"/>
        </w:rPr>
      </w:pPr>
      <w:r w:rsidRPr="00010588">
        <w:rPr>
          <w:rFonts w:ascii="Arial" w:eastAsia="Arial" w:hAnsi="Arial" w:cs="Arial"/>
          <w:b/>
          <w:sz w:val="20"/>
          <w:szCs w:val="20"/>
        </w:rPr>
        <w:t>Residues (mg/kg)</w:t>
      </w:r>
    </w:p>
    <w:p w14:paraId="5C652520" w14:textId="77777777" w:rsidR="009336E9" w:rsidRPr="00010588" w:rsidRDefault="009336E9" w:rsidP="009336E9">
      <w:pPr>
        <w:spacing w:line="360" w:lineRule="auto"/>
        <w:ind w:left="360"/>
        <w:jc w:val="center"/>
        <w:rPr>
          <w:rFonts w:ascii="Arial" w:eastAsia="Arial" w:hAnsi="Arial" w:cs="Arial"/>
          <w:b/>
          <w:sz w:val="20"/>
          <w:szCs w:val="20"/>
        </w:rPr>
      </w:pPr>
      <w:r w:rsidRPr="00010588">
        <w:rPr>
          <w:rFonts w:ascii="Arial" w:hAnsi="Arial" w:cs="Arial"/>
          <w:sz w:val="20"/>
          <w:szCs w:val="20"/>
        </w:rPr>
        <w:object w:dxaOrig="8489" w:dyaOrig="590" w14:anchorId="008F863B">
          <v:shape id="_x0000_i1026" type="#_x0000_t75" style="width:422.75pt;height:29.7pt" o:ole="">
            <v:imagedata r:id="rId9" o:title=""/>
          </v:shape>
          <o:OLEObject Type="Embed" ProgID="Equation.DSMT4" ShapeID="_x0000_i1026" DrawAspect="Content" ObjectID="_1833639705" r:id="rId10"/>
        </w:object>
      </w:r>
    </w:p>
    <w:p w14:paraId="2F4E2E71" w14:textId="77777777" w:rsidR="009336E9" w:rsidRPr="00010588" w:rsidRDefault="009336E9" w:rsidP="009336E9">
      <w:pPr>
        <w:spacing w:line="360" w:lineRule="auto"/>
        <w:ind w:left="360"/>
        <w:jc w:val="both"/>
        <w:rPr>
          <w:rFonts w:ascii="Arial" w:hAnsi="Arial" w:cs="Arial"/>
          <w:color w:val="000000"/>
          <w:sz w:val="20"/>
          <w:szCs w:val="20"/>
        </w:rPr>
      </w:pPr>
      <w:r w:rsidRPr="00010588">
        <w:rPr>
          <w:rFonts w:ascii="Arial" w:hAnsi="Arial" w:cs="Arial"/>
          <w:sz w:val="20"/>
          <w:szCs w:val="20"/>
        </w:rPr>
        <w:object w:dxaOrig="3442" w:dyaOrig="686" w14:anchorId="1D1D2475">
          <v:shape id="_x0000_i1027" type="#_x0000_t75" style="width:169.1pt;height:33.05pt" o:ole="">
            <v:imagedata r:id="rId11" o:title=""/>
          </v:shape>
          <o:OLEObject Type="Embed" ProgID="Equation.DSMT4" ShapeID="_x0000_i1027" DrawAspect="Content" ObjectID="_1833639706" r:id="rId12"/>
        </w:object>
      </w:r>
      <w:r w:rsidRPr="00010588">
        <w:rPr>
          <w:rFonts w:ascii="Arial" w:hAnsi="Arial" w:cs="Arial"/>
          <w:color w:val="000000"/>
          <w:sz w:val="20"/>
          <w:szCs w:val="20"/>
        </w:rPr>
        <w:tab/>
      </w:r>
    </w:p>
    <w:p w14:paraId="65587B84" w14:textId="77777777" w:rsidR="009336E9" w:rsidRPr="00010588" w:rsidRDefault="009336E9" w:rsidP="009336E9">
      <w:pPr>
        <w:spacing w:line="360" w:lineRule="auto"/>
        <w:ind w:left="360"/>
        <w:jc w:val="both"/>
        <w:rPr>
          <w:rFonts w:ascii="Arial" w:hAnsi="Arial" w:cs="Arial"/>
          <w:color w:val="000000"/>
          <w:sz w:val="20"/>
          <w:szCs w:val="20"/>
        </w:rPr>
      </w:pPr>
      <w:r w:rsidRPr="00010588">
        <w:rPr>
          <w:rFonts w:ascii="Arial" w:hAnsi="Arial" w:cs="Arial"/>
          <w:b/>
          <w:bCs/>
          <w:color w:val="000000"/>
          <w:sz w:val="20"/>
          <w:szCs w:val="20"/>
        </w:rPr>
        <w:t>Dissipation (%)</w:t>
      </w:r>
    </w:p>
    <w:p w14:paraId="0E876853" w14:textId="77777777" w:rsidR="009336E9" w:rsidRPr="00010588" w:rsidRDefault="009336E9" w:rsidP="009336E9">
      <w:pPr>
        <w:pStyle w:val="ListParagraph"/>
        <w:spacing w:line="360" w:lineRule="auto"/>
        <w:rPr>
          <w:rFonts w:ascii="Arial" w:hAnsi="Arial" w:cs="Arial"/>
          <w:position w:val="-32"/>
          <w:sz w:val="20"/>
          <w:szCs w:val="20"/>
        </w:rPr>
      </w:pPr>
      <w:r w:rsidRPr="00010588">
        <w:rPr>
          <w:rFonts w:ascii="Arial" w:hAnsi="Arial" w:cs="Arial"/>
          <w:sz w:val="20"/>
          <w:szCs w:val="20"/>
        </w:rPr>
        <w:object w:dxaOrig="6885" w:dyaOrig="741" w14:anchorId="020C57A1">
          <v:shape id="_x0000_i1028" type="#_x0000_t75" style="width:344.8pt;height:38.3pt" o:ole="">
            <v:imagedata r:id="rId13" o:title=""/>
          </v:shape>
          <o:OLEObject Type="Embed" ProgID="Equation.DSMT4" ShapeID="_x0000_i1028" DrawAspect="Content" ObjectID="_1833639707" r:id="rId14"/>
        </w:object>
      </w:r>
    </w:p>
    <w:p w14:paraId="7BB9E4CE" w14:textId="77777777" w:rsidR="0004481F" w:rsidRPr="00010588" w:rsidRDefault="0004481F" w:rsidP="003D1E69">
      <w:pPr>
        <w:spacing w:line="360" w:lineRule="auto"/>
        <w:rPr>
          <w:rFonts w:ascii="Arial" w:hAnsi="Arial" w:cs="Arial"/>
          <w:b/>
          <w:sz w:val="20"/>
          <w:szCs w:val="20"/>
        </w:rPr>
      </w:pPr>
    </w:p>
    <w:p w14:paraId="258BBCEE" w14:textId="77777777" w:rsidR="0004481F" w:rsidRPr="00010588" w:rsidRDefault="0004481F" w:rsidP="003D1E69">
      <w:pPr>
        <w:spacing w:line="360" w:lineRule="auto"/>
        <w:rPr>
          <w:rFonts w:ascii="Arial" w:hAnsi="Arial" w:cs="Arial"/>
          <w:b/>
          <w:sz w:val="20"/>
          <w:szCs w:val="20"/>
        </w:rPr>
      </w:pPr>
    </w:p>
    <w:p w14:paraId="7CDBC74E" w14:textId="77777777" w:rsidR="009336E9" w:rsidRPr="00010588" w:rsidRDefault="009336E9" w:rsidP="003D1E69">
      <w:pPr>
        <w:spacing w:line="360" w:lineRule="auto"/>
        <w:rPr>
          <w:rFonts w:ascii="Arial" w:hAnsi="Arial" w:cs="Arial"/>
          <w:b/>
          <w:sz w:val="20"/>
          <w:szCs w:val="20"/>
        </w:rPr>
      </w:pPr>
      <w:r w:rsidRPr="00010588">
        <w:rPr>
          <w:rFonts w:ascii="Arial" w:hAnsi="Arial" w:cs="Arial"/>
          <w:b/>
          <w:sz w:val="20"/>
          <w:szCs w:val="20"/>
        </w:rPr>
        <w:t>Half-life (RL</w:t>
      </w:r>
      <w:r w:rsidRPr="00010588">
        <w:rPr>
          <w:rFonts w:ascii="Arial" w:hAnsi="Arial" w:cs="Arial"/>
          <w:b/>
          <w:sz w:val="20"/>
          <w:szCs w:val="20"/>
          <w:vertAlign w:val="subscript"/>
        </w:rPr>
        <w:t>50</w:t>
      </w:r>
      <w:r w:rsidRPr="00010588">
        <w:rPr>
          <w:rFonts w:ascii="Arial" w:hAnsi="Arial" w:cs="Arial"/>
          <w:b/>
          <w:sz w:val="20"/>
          <w:szCs w:val="20"/>
        </w:rPr>
        <w:t xml:space="preserve">) </w:t>
      </w:r>
    </w:p>
    <w:p w14:paraId="1679FB2B" w14:textId="77777777" w:rsidR="009336E9" w:rsidRPr="00010588" w:rsidRDefault="009336E9" w:rsidP="009336E9">
      <w:pPr>
        <w:spacing w:line="360" w:lineRule="auto"/>
        <w:jc w:val="both"/>
        <w:rPr>
          <w:rFonts w:ascii="Arial" w:hAnsi="Arial" w:cs="Arial"/>
          <w:sz w:val="20"/>
          <w:szCs w:val="20"/>
        </w:rPr>
      </w:pPr>
      <w:r w:rsidRPr="00010588">
        <w:rPr>
          <w:rFonts w:ascii="Arial" w:hAnsi="Arial" w:cs="Arial"/>
          <w:sz w:val="20"/>
          <w:szCs w:val="20"/>
        </w:rPr>
        <w:t>RL</w:t>
      </w:r>
      <w:r w:rsidRPr="00010588">
        <w:rPr>
          <w:rFonts w:ascii="Arial" w:hAnsi="Arial" w:cs="Arial"/>
          <w:sz w:val="20"/>
          <w:szCs w:val="20"/>
          <w:vertAlign w:val="subscript"/>
        </w:rPr>
        <w:t>50</w:t>
      </w:r>
      <w:r w:rsidRPr="00010588">
        <w:rPr>
          <w:rFonts w:ascii="Arial" w:hAnsi="Arial" w:cs="Arial"/>
          <w:sz w:val="20"/>
          <w:szCs w:val="20"/>
        </w:rPr>
        <w:t xml:space="preserve"> is the time in days required to reduce the insecticide residues to half of its initial deposits. </w:t>
      </w:r>
    </w:p>
    <w:p w14:paraId="60A54F99" w14:textId="77777777" w:rsidR="009336E9" w:rsidRPr="00010588" w:rsidRDefault="009336E9" w:rsidP="009336E9">
      <w:pPr>
        <w:spacing w:line="360" w:lineRule="auto"/>
        <w:jc w:val="both"/>
        <w:rPr>
          <w:rFonts w:ascii="Arial" w:hAnsi="Arial" w:cs="Arial"/>
          <w:sz w:val="20"/>
          <w:szCs w:val="20"/>
        </w:rPr>
      </w:pPr>
      <w:r w:rsidRPr="00010588">
        <w:rPr>
          <w:rFonts w:ascii="Arial" w:hAnsi="Arial" w:cs="Arial"/>
          <w:sz w:val="20"/>
          <w:szCs w:val="20"/>
        </w:rPr>
        <w:t xml:space="preserve">Mathematically, it is </w:t>
      </w:r>
    </w:p>
    <w:p w14:paraId="40EB9C84" w14:textId="77777777" w:rsidR="009336E9" w:rsidRPr="00010588" w:rsidRDefault="009336E9" w:rsidP="009336E9">
      <w:pPr>
        <w:pStyle w:val="Default"/>
        <w:spacing w:after="160" w:line="360" w:lineRule="auto"/>
        <w:rPr>
          <w:rFonts w:ascii="Arial" w:hAnsi="Arial" w:cs="Arial"/>
          <w:sz w:val="20"/>
          <w:szCs w:val="20"/>
        </w:rPr>
      </w:pPr>
      <w:r w:rsidRPr="00010588">
        <w:rPr>
          <w:rFonts w:ascii="Arial" w:hAnsi="Arial" w:cs="Arial"/>
          <w:position w:val="-26"/>
          <w:sz w:val="20"/>
          <w:szCs w:val="20"/>
        </w:rPr>
        <w:object w:dxaOrig="3017" w:dyaOrig="686" w14:anchorId="2E8A602B">
          <v:shape id="_x0000_i1029" type="#_x0000_t75" style="width:153.25pt;height:33.05pt" o:ole="">
            <v:imagedata r:id="rId15" o:title=""/>
          </v:shape>
          <o:OLEObject Type="Embed" ProgID="Equation.DSMT4" ShapeID="_x0000_i1029" DrawAspect="Content" ObjectID="_1833639708" r:id="rId16"/>
        </w:object>
      </w:r>
    </w:p>
    <w:p w14:paraId="29E03811" w14:textId="77777777" w:rsidR="009336E9" w:rsidRPr="00010588" w:rsidRDefault="009336E9" w:rsidP="009336E9">
      <w:pPr>
        <w:pStyle w:val="Default"/>
        <w:spacing w:after="160" w:line="360" w:lineRule="auto"/>
        <w:rPr>
          <w:rFonts w:ascii="Arial" w:hAnsi="Arial" w:cs="Arial"/>
          <w:sz w:val="20"/>
          <w:szCs w:val="20"/>
        </w:rPr>
      </w:pPr>
      <w:r w:rsidRPr="00010588">
        <w:rPr>
          <w:rFonts w:ascii="Arial" w:hAnsi="Arial" w:cs="Arial"/>
          <w:sz w:val="20"/>
          <w:szCs w:val="20"/>
        </w:rPr>
        <w:lastRenderedPageBreak/>
        <w:t xml:space="preserve">Where K is the dissipation rate constant </w:t>
      </w:r>
    </w:p>
    <w:p w14:paraId="19D39BED" w14:textId="77777777" w:rsidR="009336E9" w:rsidRPr="00010588" w:rsidRDefault="009336E9" w:rsidP="009336E9">
      <w:pPr>
        <w:spacing w:line="324" w:lineRule="auto"/>
        <w:jc w:val="both"/>
        <w:rPr>
          <w:rFonts w:ascii="Arial" w:hAnsi="Arial" w:cs="Arial"/>
          <w:b/>
          <w:sz w:val="20"/>
          <w:szCs w:val="20"/>
        </w:rPr>
      </w:pPr>
      <w:r w:rsidRPr="00010588">
        <w:rPr>
          <w:rFonts w:ascii="Arial" w:hAnsi="Arial" w:cs="Arial"/>
          <w:b/>
          <w:sz w:val="20"/>
          <w:szCs w:val="20"/>
        </w:rPr>
        <w:t>Prediction of approximate time required to dissipate the residue below maximum residue limit</w:t>
      </w:r>
    </w:p>
    <w:p w14:paraId="66118BF7" w14:textId="77777777" w:rsidR="009336E9" w:rsidRPr="00010588" w:rsidRDefault="009336E9" w:rsidP="003D1E69">
      <w:pPr>
        <w:spacing w:line="324" w:lineRule="auto"/>
        <w:ind w:firstLine="360"/>
        <w:jc w:val="both"/>
        <w:rPr>
          <w:rFonts w:ascii="Arial" w:hAnsi="Arial" w:cs="Arial"/>
          <w:color w:val="000000" w:themeColor="text1"/>
          <w:sz w:val="20"/>
          <w:szCs w:val="20"/>
        </w:rPr>
      </w:pPr>
      <w:r w:rsidRPr="00010588">
        <w:rPr>
          <w:rFonts w:ascii="Arial" w:hAnsi="Arial" w:cs="Arial"/>
          <w:sz w:val="20"/>
          <w:szCs w:val="20"/>
        </w:rPr>
        <w:t>The period allowed to except the residues to reach below the tolerance limit after treatment for use of the treated material will be calculated by using the formula (</w:t>
      </w:r>
      <w:r w:rsidRPr="00010588">
        <w:rPr>
          <w:rFonts w:ascii="Arial" w:hAnsi="Arial" w:cs="Arial"/>
          <w:color w:val="000000" w:themeColor="text1"/>
          <w:sz w:val="20"/>
          <w:szCs w:val="20"/>
        </w:rPr>
        <w:t>Blinn and Gunther, 1955).</w:t>
      </w:r>
    </w:p>
    <w:p w14:paraId="4A337DC3" w14:textId="77777777" w:rsidR="009336E9" w:rsidRPr="00010588" w:rsidRDefault="003D1E69" w:rsidP="003D1E69">
      <w:pPr>
        <w:pStyle w:val="ListParagraph"/>
        <w:spacing w:line="324" w:lineRule="auto"/>
        <w:rPr>
          <w:rFonts w:ascii="Arial" w:hAnsi="Arial" w:cs="Arial"/>
          <w:sz w:val="20"/>
          <w:szCs w:val="20"/>
        </w:rPr>
      </w:pPr>
      <w:r w:rsidRPr="00010588">
        <w:rPr>
          <w:rFonts w:ascii="Arial" w:hAnsi="Arial" w:cs="Arial"/>
          <w:position w:val="-6"/>
          <w:sz w:val="20"/>
          <w:szCs w:val="20"/>
        </w:rPr>
        <w:t xml:space="preserve">                       </w:t>
      </w:r>
      <w:r w:rsidR="009336E9" w:rsidRPr="00010588">
        <w:rPr>
          <w:rFonts w:ascii="Arial" w:hAnsi="Arial" w:cs="Arial"/>
          <w:sz w:val="20"/>
          <w:szCs w:val="20"/>
        </w:rPr>
        <w:object w:dxaOrig="1029" w:dyaOrig="302" w14:anchorId="0D9814F3">
          <v:shape id="_x0000_i1030" type="#_x0000_t75" style="width:51.5pt;height:15.85pt" o:ole="">
            <v:imagedata r:id="rId17" o:title=""/>
          </v:shape>
          <o:OLEObject Type="Embed" ProgID="Equation.DSMT4" ShapeID="_x0000_i1030" DrawAspect="Content" ObjectID="_1833639709" r:id="rId18"/>
        </w:object>
      </w:r>
    </w:p>
    <w:p w14:paraId="346C856C" w14:textId="77777777"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ab/>
        <w:t>Where Y = log of tolerance limit</w:t>
      </w:r>
    </w:p>
    <w:p w14:paraId="42474312" w14:textId="77777777"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                        a = log of initial deposit</w:t>
      </w:r>
    </w:p>
    <w:p w14:paraId="42E4E447" w14:textId="77777777"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                        b = slope of the regression line</w:t>
      </w:r>
    </w:p>
    <w:p w14:paraId="6216505B" w14:textId="77777777"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                       X = intercept</w:t>
      </w:r>
    </w:p>
    <w:p w14:paraId="0D15A7BA" w14:textId="77777777" w:rsidR="009336E9" w:rsidRPr="00010588" w:rsidRDefault="009336E9" w:rsidP="009336E9">
      <w:pPr>
        <w:spacing w:line="324" w:lineRule="auto"/>
        <w:jc w:val="both"/>
        <w:rPr>
          <w:rFonts w:ascii="Arial" w:hAnsi="Arial" w:cs="Arial"/>
          <w:b/>
          <w:sz w:val="20"/>
          <w:szCs w:val="20"/>
        </w:rPr>
      </w:pPr>
      <w:r w:rsidRPr="00010588">
        <w:rPr>
          <w:rFonts w:ascii="Arial" w:hAnsi="Arial" w:cs="Arial"/>
          <w:b/>
          <w:sz w:val="20"/>
          <w:szCs w:val="20"/>
        </w:rPr>
        <w:t xml:space="preserve">Waiting period </w:t>
      </w:r>
    </w:p>
    <w:p w14:paraId="12D036EE" w14:textId="77777777" w:rsidR="009336E9" w:rsidRPr="00010588" w:rsidRDefault="009336E9" w:rsidP="003D1E69">
      <w:pPr>
        <w:spacing w:line="324" w:lineRule="auto"/>
        <w:ind w:firstLine="360"/>
        <w:jc w:val="both"/>
        <w:rPr>
          <w:rFonts w:ascii="Arial" w:hAnsi="Arial" w:cs="Arial"/>
          <w:sz w:val="20"/>
          <w:szCs w:val="20"/>
        </w:rPr>
      </w:pPr>
      <w:r w:rsidRPr="00010588">
        <w:rPr>
          <w:rFonts w:ascii="Arial" w:hAnsi="Arial" w:cs="Arial"/>
          <w:sz w:val="20"/>
          <w:szCs w:val="20"/>
        </w:rPr>
        <w:t xml:space="preserve">Waiting period (T </w:t>
      </w:r>
      <w:proofErr w:type="spellStart"/>
      <w:r w:rsidRPr="00010588">
        <w:rPr>
          <w:rFonts w:ascii="Arial" w:hAnsi="Arial" w:cs="Arial"/>
          <w:sz w:val="20"/>
          <w:szCs w:val="20"/>
        </w:rPr>
        <w:t>tol</w:t>
      </w:r>
      <w:proofErr w:type="spellEnd"/>
      <w:r w:rsidRPr="00010588">
        <w:rPr>
          <w:rFonts w:ascii="Arial" w:hAnsi="Arial" w:cs="Arial"/>
          <w:sz w:val="20"/>
          <w:szCs w:val="20"/>
        </w:rPr>
        <w:t>) is defined as the minimum number of days to lapse before the insecticide reaches the tolerance limit. The waiting periods were calculated by the following formula</w:t>
      </w:r>
    </w:p>
    <w:p w14:paraId="58D81051" w14:textId="77777777" w:rsidR="009336E9" w:rsidRPr="00010588" w:rsidRDefault="009336E9" w:rsidP="003D1E69">
      <w:pPr>
        <w:pStyle w:val="ListParagraph"/>
        <w:spacing w:line="324" w:lineRule="auto"/>
        <w:ind w:left="1440" w:firstLine="720"/>
        <w:rPr>
          <w:rFonts w:ascii="Arial" w:hAnsi="Arial" w:cs="Arial"/>
          <w:sz w:val="20"/>
          <w:szCs w:val="20"/>
        </w:rPr>
      </w:pPr>
      <w:r w:rsidRPr="00010588">
        <w:rPr>
          <w:rFonts w:ascii="Arial" w:hAnsi="Arial" w:cs="Arial"/>
          <w:sz w:val="20"/>
          <w:szCs w:val="20"/>
        </w:rPr>
        <w:object w:dxaOrig="2085" w:dyaOrig="754" w14:anchorId="1E686D68">
          <v:shape id="_x0000_i1031" type="#_x0000_t75" style="width:103.7pt;height:38.95pt" o:ole="">
            <v:imagedata r:id="rId19" o:title=""/>
          </v:shape>
          <o:OLEObject Type="Embed" ProgID="Equation.DSMT4" ShapeID="_x0000_i1031" DrawAspect="Content" ObjectID="_1833639710" r:id="rId20"/>
        </w:object>
      </w:r>
    </w:p>
    <w:p w14:paraId="73F6D4AE" w14:textId="77777777"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Where, </w:t>
      </w:r>
    </w:p>
    <w:p w14:paraId="5F4A0E92" w14:textId="77777777"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sz w:val="20"/>
          <w:szCs w:val="20"/>
        </w:rPr>
        <w:t xml:space="preserve">T </w:t>
      </w:r>
      <w:proofErr w:type="spellStart"/>
      <w:r w:rsidRPr="00010588">
        <w:rPr>
          <w:rFonts w:ascii="Arial" w:hAnsi="Arial" w:cs="Arial"/>
          <w:sz w:val="20"/>
          <w:szCs w:val="20"/>
        </w:rPr>
        <w:t>tol</w:t>
      </w:r>
      <w:proofErr w:type="spellEnd"/>
      <w:r w:rsidRPr="00010588">
        <w:rPr>
          <w:rFonts w:ascii="Arial" w:hAnsi="Arial" w:cs="Arial"/>
          <w:sz w:val="20"/>
          <w:szCs w:val="20"/>
        </w:rPr>
        <w:t xml:space="preserve"> </w:t>
      </w:r>
      <w:r w:rsidRPr="00010588">
        <w:rPr>
          <w:rFonts w:ascii="Arial" w:hAnsi="Arial" w:cs="Arial"/>
          <w:sz w:val="20"/>
          <w:szCs w:val="20"/>
        </w:rPr>
        <w:tab/>
        <w:t xml:space="preserve">= </w:t>
      </w:r>
      <w:r w:rsidRPr="00010588">
        <w:rPr>
          <w:rFonts w:ascii="Arial" w:hAnsi="Arial" w:cs="Arial"/>
          <w:sz w:val="20"/>
          <w:szCs w:val="20"/>
        </w:rPr>
        <w:tab/>
        <w:t xml:space="preserve">minimum time in days required for the insecticide residue to reach below the tolerance limit </w:t>
      </w:r>
    </w:p>
    <w:p w14:paraId="371DDE84" w14:textId="77777777"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sz w:val="20"/>
          <w:szCs w:val="20"/>
        </w:rPr>
        <w:t xml:space="preserve">a </w:t>
      </w:r>
      <w:r w:rsidRPr="00010588">
        <w:rPr>
          <w:rFonts w:ascii="Arial" w:hAnsi="Arial" w:cs="Arial"/>
          <w:sz w:val="20"/>
          <w:szCs w:val="20"/>
        </w:rPr>
        <w:tab/>
        <w:t xml:space="preserve">= </w:t>
      </w:r>
      <w:r w:rsidRPr="00010588">
        <w:rPr>
          <w:rFonts w:ascii="Arial" w:hAnsi="Arial" w:cs="Arial"/>
          <w:sz w:val="20"/>
          <w:szCs w:val="20"/>
        </w:rPr>
        <w:tab/>
        <w:t>apparent initial deposits obtained in the regression equation</w:t>
      </w:r>
    </w:p>
    <w:p w14:paraId="0FEE41E0" w14:textId="77777777"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proofErr w:type="spellStart"/>
      <w:r w:rsidRPr="00010588">
        <w:rPr>
          <w:rFonts w:ascii="Arial" w:hAnsi="Arial" w:cs="Arial"/>
          <w:sz w:val="20"/>
          <w:szCs w:val="20"/>
        </w:rPr>
        <w:t>tol</w:t>
      </w:r>
      <w:proofErr w:type="spellEnd"/>
      <w:r w:rsidRPr="00010588">
        <w:rPr>
          <w:rFonts w:ascii="Arial" w:hAnsi="Arial" w:cs="Arial"/>
          <w:sz w:val="20"/>
          <w:szCs w:val="20"/>
        </w:rPr>
        <w:tab/>
        <w:t xml:space="preserve">= </w:t>
      </w:r>
      <w:r w:rsidRPr="00010588">
        <w:rPr>
          <w:rFonts w:ascii="Arial" w:hAnsi="Arial" w:cs="Arial"/>
          <w:sz w:val="20"/>
          <w:szCs w:val="20"/>
        </w:rPr>
        <w:tab/>
        <w:t>tolerance limit of the insecticide</w:t>
      </w:r>
    </w:p>
    <w:p w14:paraId="4261F2A3" w14:textId="77777777"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sz w:val="20"/>
          <w:szCs w:val="20"/>
        </w:rPr>
        <w:t xml:space="preserve">b </w:t>
      </w:r>
      <w:r w:rsidRPr="00010588">
        <w:rPr>
          <w:rFonts w:ascii="Arial" w:hAnsi="Arial" w:cs="Arial"/>
          <w:sz w:val="20"/>
          <w:szCs w:val="20"/>
        </w:rPr>
        <w:tab/>
        <w:t xml:space="preserve">= </w:t>
      </w:r>
      <w:r w:rsidRPr="00010588">
        <w:rPr>
          <w:rFonts w:ascii="Arial" w:hAnsi="Arial" w:cs="Arial"/>
          <w:sz w:val="20"/>
          <w:szCs w:val="20"/>
        </w:rPr>
        <w:tab/>
        <w:t>slope of the regression line</w:t>
      </w:r>
    </w:p>
    <w:p w14:paraId="42A61CE6" w14:textId="77777777"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p>
    <w:p w14:paraId="79AF7A8B" w14:textId="77777777"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p>
    <w:p w14:paraId="5BFD2247" w14:textId="77777777" w:rsidR="003D1E69" w:rsidRPr="00010588" w:rsidRDefault="003D1E69" w:rsidP="009336E9">
      <w:pPr>
        <w:pStyle w:val="ListParagraph"/>
        <w:tabs>
          <w:tab w:val="left" w:pos="1350"/>
          <w:tab w:val="left" w:pos="1710"/>
        </w:tabs>
        <w:spacing w:after="80" w:line="324" w:lineRule="auto"/>
        <w:jc w:val="both"/>
        <w:rPr>
          <w:rFonts w:ascii="Arial" w:hAnsi="Arial" w:cs="Arial"/>
          <w:b/>
          <w:sz w:val="20"/>
          <w:szCs w:val="20"/>
        </w:rPr>
      </w:pPr>
    </w:p>
    <w:p w14:paraId="1918DA55" w14:textId="77777777" w:rsidR="003D1E69" w:rsidRPr="00010588" w:rsidRDefault="003D1E69" w:rsidP="009336E9">
      <w:pPr>
        <w:pStyle w:val="ListParagraph"/>
        <w:tabs>
          <w:tab w:val="left" w:pos="1350"/>
          <w:tab w:val="left" w:pos="1710"/>
        </w:tabs>
        <w:spacing w:after="80" w:line="324" w:lineRule="auto"/>
        <w:jc w:val="both"/>
        <w:rPr>
          <w:rFonts w:ascii="Arial" w:hAnsi="Arial" w:cs="Arial"/>
          <w:b/>
          <w:sz w:val="20"/>
          <w:szCs w:val="20"/>
        </w:rPr>
      </w:pPr>
    </w:p>
    <w:p w14:paraId="697CAEDE" w14:textId="77777777" w:rsidR="009336E9" w:rsidRPr="00010588" w:rsidRDefault="009336E9" w:rsidP="009336E9">
      <w:pPr>
        <w:pStyle w:val="ListParagraph"/>
        <w:tabs>
          <w:tab w:val="left" w:pos="1350"/>
          <w:tab w:val="left" w:pos="1710"/>
        </w:tabs>
        <w:spacing w:after="80" w:line="324" w:lineRule="auto"/>
        <w:jc w:val="both"/>
        <w:rPr>
          <w:rFonts w:ascii="Arial" w:hAnsi="Arial" w:cs="Arial"/>
          <w:sz w:val="20"/>
          <w:szCs w:val="20"/>
        </w:rPr>
      </w:pPr>
      <w:r w:rsidRPr="00010588">
        <w:rPr>
          <w:rFonts w:ascii="Arial" w:hAnsi="Arial" w:cs="Arial"/>
          <w:b/>
          <w:sz w:val="20"/>
          <w:szCs w:val="20"/>
        </w:rPr>
        <w:t>Equation of first-order kinetics</w:t>
      </w:r>
    </w:p>
    <w:p w14:paraId="6F4D5921" w14:textId="77777777" w:rsidR="009336E9" w:rsidRPr="00010588" w:rsidRDefault="009336E9" w:rsidP="003D1E69">
      <w:pPr>
        <w:pStyle w:val="ListParagraph"/>
        <w:spacing w:line="324" w:lineRule="auto"/>
        <w:ind w:left="1440" w:firstLine="720"/>
        <w:rPr>
          <w:rFonts w:ascii="Arial" w:hAnsi="Arial" w:cs="Arial"/>
          <w:sz w:val="20"/>
          <w:szCs w:val="20"/>
        </w:rPr>
      </w:pPr>
      <w:r w:rsidRPr="00010588">
        <w:rPr>
          <w:rFonts w:ascii="Arial" w:hAnsi="Arial" w:cs="Arial"/>
          <w:sz w:val="20"/>
          <w:szCs w:val="20"/>
        </w:rPr>
        <w:object w:dxaOrig="1330" w:dyaOrig="343" w14:anchorId="2739F6AD">
          <v:shape id="_x0000_i1032" type="#_x0000_t75" style="width:65.4pt;height:17.85pt" o:ole="">
            <v:imagedata r:id="rId21" o:title=""/>
          </v:shape>
          <o:OLEObject Type="Embed" ProgID="Equation.DSMT4" ShapeID="_x0000_i1032" DrawAspect="Content" ObjectID="_1833639711" r:id="rId22"/>
        </w:object>
      </w:r>
    </w:p>
    <w:p w14:paraId="05614911" w14:textId="77777777"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The residue was calculated with the first-order equation </w:t>
      </w:r>
    </w:p>
    <w:p w14:paraId="003CD13E" w14:textId="77777777"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Where C</w:t>
      </w:r>
      <w:r w:rsidRPr="00010588">
        <w:rPr>
          <w:rFonts w:ascii="Arial" w:hAnsi="Arial" w:cs="Arial"/>
          <w:sz w:val="20"/>
          <w:szCs w:val="20"/>
          <w:vertAlign w:val="subscript"/>
        </w:rPr>
        <w:t>t</w:t>
      </w:r>
      <w:r w:rsidRPr="00010588">
        <w:rPr>
          <w:rFonts w:ascii="Arial" w:hAnsi="Arial" w:cs="Arial"/>
          <w:sz w:val="20"/>
          <w:szCs w:val="20"/>
        </w:rPr>
        <w:t xml:space="preserve"> is the concentration (mg/kg),</w:t>
      </w:r>
    </w:p>
    <w:p w14:paraId="3833F69D" w14:textId="77777777"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C</w:t>
      </w:r>
      <w:r w:rsidRPr="00010588">
        <w:rPr>
          <w:rFonts w:ascii="Arial" w:hAnsi="Arial" w:cs="Arial"/>
          <w:sz w:val="20"/>
          <w:szCs w:val="20"/>
          <w:vertAlign w:val="subscript"/>
        </w:rPr>
        <w:t>o</w:t>
      </w:r>
      <w:r w:rsidRPr="00010588">
        <w:rPr>
          <w:rFonts w:ascii="Arial" w:hAnsi="Arial" w:cs="Arial"/>
          <w:sz w:val="20"/>
          <w:szCs w:val="20"/>
        </w:rPr>
        <w:t xml:space="preserve"> is the initial concentration (mg/kg), </w:t>
      </w:r>
    </w:p>
    <w:p w14:paraId="3C88BCA1" w14:textId="77777777" w:rsidR="009336E9" w:rsidRPr="00010588" w:rsidRDefault="009336E9" w:rsidP="009336E9">
      <w:pPr>
        <w:pStyle w:val="ListParagraph"/>
        <w:spacing w:after="80" w:line="324" w:lineRule="auto"/>
        <w:jc w:val="both"/>
        <w:rPr>
          <w:rFonts w:ascii="Arial" w:hAnsi="Arial" w:cs="Arial"/>
          <w:sz w:val="20"/>
          <w:szCs w:val="20"/>
        </w:rPr>
      </w:pPr>
      <w:r w:rsidRPr="00010588">
        <w:rPr>
          <w:rFonts w:ascii="Arial" w:hAnsi="Arial" w:cs="Arial"/>
          <w:sz w:val="20"/>
          <w:szCs w:val="20"/>
        </w:rPr>
        <w:t xml:space="preserve">k is the dissipation rate constant, </w:t>
      </w:r>
    </w:p>
    <w:p w14:paraId="64B93B50" w14:textId="77777777" w:rsidR="009336E9" w:rsidRPr="00010588" w:rsidRDefault="009336E9" w:rsidP="009336E9">
      <w:pPr>
        <w:pStyle w:val="ListParagraph"/>
        <w:spacing w:after="80" w:line="324" w:lineRule="auto"/>
        <w:rPr>
          <w:rFonts w:ascii="Arial" w:hAnsi="Arial" w:cs="Arial"/>
          <w:sz w:val="20"/>
          <w:szCs w:val="20"/>
        </w:rPr>
      </w:pPr>
      <w:proofErr w:type="spellStart"/>
      <w:r w:rsidRPr="00010588">
        <w:rPr>
          <w:rFonts w:ascii="Arial" w:hAnsi="Arial" w:cs="Arial"/>
          <w:sz w:val="20"/>
          <w:szCs w:val="20"/>
        </w:rPr>
        <w:t>t</w:t>
      </w:r>
      <w:proofErr w:type="spellEnd"/>
      <w:r w:rsidRPr="00010588">
        <w:rPr>
          <w:rFonts w:ascii="Arial" w:hAnsi="Arial" w:cs="Arial"/>
          <w:sz w:val="20"/>
          <w:szCs w:val="20"/>
        </w:rPr>
        <w:t xml:space="preserve"> is time (days) after application</w:t>
      </w:r>
    </w:p>
    <w:p w14:paraId="31254933" w14:textId="77777777" w:rsidR="009336E9" w:rsidRPr="00010588" w:rsidRDefault="009336E9" w:rsidP="009336E9">
      <w:pPr>
        <w:pStyle w:val="ListParagraph"/>
        <w:spacing w:after="80" w:line="324" w:lineRule="auto"/>
        <w:rPr>
          <w:rFonts w:ascii="Arial" w:hAnsi="Arial" w:cs="Arial"/>
          <w:sz w:val="20"/>
          <w:szCs w:val="20"/>
        </w:rPr>
      </w:pPr>
    </w:p>
    <w:p w14:paraId="7E75FAE5" w14:textId="77777777" w:rsidR="009336E9" w:rsidRPr="00010588" w:rsidRDefault="009336E9" w:rsidP="00D1292E">
      <w:pPr>
        <w:spacing w:line="324" w:lineRule="auto"/>
        <w:jc w:val="both"/>
        <w:rPr>
          <w:rFonts w:ascii="Arial" w:hAnsi="Arial" w:cs="Arial"/>
          <w:b/>
          <w:sz w:val="20"/>
          <w:szCs w:val="20"/>
        </w:rPr>
      </w:pPr>
      <w:r w:rsidRPr="00010588">
        <w:rPr>
          <w:rFonts w:ascii="Arial" w:hAnsi="Arial" w:cs="Arial"/>
          <w:b/>
          <w:sz w:val="20"/>
          <w:szCs w:val="20"/>
        </w:rPr>
        <w:t xml:space="preserve"> Matrix effect</w:t>
      </w:r>
    </w:p>
    <w:p w14:paraId="0F272D70" w14:textId="77777777" w:rsidR="009336E9" w:rsidRDefault="00D1292E" w:rsidP="009336E9">
      <w:pPr>
        <w:spacing w:after="0" w:line="360" w:lineRule="auto"/>
        <w:jc w:val="both"/>
        <w:rPr>
          <w:rFonts w:ascii="Arial" w:hAnsi="Arial" w:cs="Arial"/>
          <w:noProof/>
          <w:sz w:val="20"/>
          <w:szCs w:val="20"/>
        </w:rPr>
      </w:pPr>
      <w:r w:rsidRPr="00010588">
        <w:rPr>
          <w:rFonts w:ascii="Arial" w:hAnsi="Arial" w:cs="Arial"/>
          <w:noProof/>
          <w:sz w:val="20"/>
          <w:szCs w:val="20"/>
          <w:lang w:val="en-US"/>
        </w:rPr>
        <w:drawing>
          <wp:inline distT="0" distB="0" distL="0" distR="0" wp14:anchorId="75B91C67" wp14:editId="5983A3E6">
            <wp:extent cx="5034915" cy="64833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srcRect/>
                    <a:stretch>
                      <a:fillRect/>
                    </a:stretch>
                  </pic:blipFill>
                  <pic:spPr bwMode="auto">
                    <a:xfrm>
                      <a:off x="0" y="0"/>
                      <a:ext cx="5034915" cy="648335"/>
                    </a:xfrm>
                    <a:prstGeom prst="rect">
                      <a:avLst/>
                    </a:prstGeom>
                    <a:noFill/>
                    <a:ln w="9525">
                      <a:noFill/>
                      <a:miter lim="800000"/>
                      <a:headEnd/>
                      <a:tailEnd/>
                    </a:ln>
                  </pic:spPr>
                </pic:pic>
              </a:graphicData>
            </a:graphic>
          </wp:inline>
        </w:drawing>
      </w:r>
    </w:p>
    <w:p w14:paraId="6D06DA1B" w14:textId="77777777" w:rsidR="00010588" w:rsidRPr="00010588" w:rsidRDefault="00010588" w:rsidP="009336E9">
      <w:pPr>
        <w:spacing w:after="0" w:line="360" w:lineRule="auto"/>
        <w:jc w:val="both"/>
        <w:rPr>
          <w:rFonts w:ascii="Arial" w:hAnsi="Arial" w:cs="Arial"/>
          <w:noProof/>
          <w:sz w:val="20"/>
          <w:szCs w:val="20"/>
        </w:rPr>
      </w:pPr>
    </w:p>
    <w:p w14:paraId="3AEA3565" w14:textId="77777777" w:rsidR="009336E9" w:rsidRPr="00010588" w:rsidRDefault="009336E9" w:rsidP="009336E9">
      <w:pPr>
        <w:spacing w:after="0" w:line="360" w:lineRule="auto"/>
        <w:jc w:val="both"/>
        <w:rPr>
          <w:rFonts w:ascii="Arial" w:hAnsi="Arial" w:cs="Arial"/>
          <w:noProof/>
          <w:sz w:val="20"/>
          <w:szCs w:val="20"/>
        </w:rPr>
      </w:pPr>
    </w:p>
    <w:p w14:paraId="460F39A2" w14:textId="77777777" w:rsidR="003D1E69" w:rsidRPr="00010588" w:rsidRDefault="008839D3" w:rsidP="008839D3">
      <w:pPr>
        <w:pStyle w:val="ListParagraph"/>
        <w:numPr>
          <w:ilvl w:val="0"/>
          <w:numId w:val="6"/>
        </w:numPr>
        <w:tabs>
          <w:tab w:val="left" w:pos="540"/>
        </w:tabs>
        <w:spacing w:after="0" w:line="360" w:lineRule="auto"/>
        <w:ind w:hanging="720"/>
        <w:jc w:val="both"/>
        <w:rPr>
          <w:rFonts w:ascii="Arial" w:hAnsi="Arial" w:cs="Arial"/>
          <w:b/>
          <w:bCs/>
          <w:szCs w:val="20"/>
        </w:rPr>
      </w:pPr>
      <w:r w:rsidRPr="00010588">
        <w:rPr>
          <w:rFonts w:ascii="Arial" w:hAnsi="Arial" w:cs="Arial"/>
          <w:b/>
          <w:bCs/>
          <w:szCs w:val="20"/>
        </w:rPr>
        <w:t>RESULTS AND DISCUSSION</w:t>
      </w:r>
    </w:p>
    <w:p w14:paraId="5122E2CD" w14:textId="77777777" w:rsidR="00FA569B" w:rsidRPr="00010588" w:rsidRDefault="008839D3" w:rsidP="00FA569B">
      <w:pPr>
        <w:spacing w:line="360" w:lineRule="auto"/>
        <w:jc w:val="both"/>
        <w:rPr>
          <w:rFonts w:ascii="Arial" w:hAnsi="Arial" w:cs="Arial"/>
          <w:b/>
          <w:bCs/>
          <w:sz w:val="20"/>
          <w:szCs w:val="20"/>
        </w:rPr>
      </w:pPr>
      <w:r w:rsidRPr="00010588">
        <w:rPr>
          <w:rFonts w:ascii="Arial" w:hAnsi="Arial" w:cs="Arial"/>
          <w:b/>
          <w:bCs/>
          <w:szCs w:val="20"/>
        </w:rPr>
        <w:t>3.</w:t>
      </w:r>
      <w:r w:rsidRPr="00010588">
        <w:rPr>
          <w:rFonts w:ascii="Arial" w:hAnsi="Arial" w:cs="Arial"/>
          <w:b/>
          <w:bCs/>
          <w:sz w:val="20"/>
          <w:szCs w:val="20"/>
        </w:rPr>
        <w:t xml:space="preserve">1 </w:t>
      </w:r>
      <w:r w:rsidR="003D1E69" w:rsidRPr="00010588">
        <w:rPr>
          <w:rFonts w:ascii="Arial" w:hAnsi="Arial" w:cs="Arial"/>
          <w:b/>
          <w:bCs/>
          <w:sz w:val="20"/>
          <w:szCs w:val="20"/>
        </w:rPr>
        <w:t xml:space="preserve">Linearity and </w:t>
      </w:r>
      <w:r w:rsidR="00FA569B" w:rsidRPr="00010588">
        <w:rPr>
          <w:rFonts w:ascii="Arial" w:hAnsi="Arial" w:cs="Arial"/>
          <w:b/>
          <w:bCs/>
          <w:sz w:val="20"/>
          <w:szCs w:val="20"/>
        </w:rPr>
        <w:t xml:space="preserve">Recovery Studies in </w:t>
      </w:r>
      <w:proofErr w:type="spellStart"/>
      <w:r w:rsidR="00FA569B" w:rsidRPr="00010588">
        <w:rPr>
          <w:rFonts w:ascii="Arial" w:hAnsi="Arial" w:cs="Arial"/>
          <w:b/>
          <w:bCs/>
          <w:sz w:val="20"/>
          <w:szCs w:val="20"/>
        </w:rPr>
        <w:t>Pigeonpea</w:t>
      </w:r>
      <w:proofErr w:type="spellEnd"/>
      <w:r w:rsidR="00FA569B" w:rsidRPr="00010588">
        <w:rPr>
          <w:rFonts w:ascii="Arial" w:hAnsi="Arial" w:cs="Arial"/>
          <w:b/>
          <w:bCs/>
          <w:sz w:val="20"/>
          <w:szCs w:val="20"/>
        </w:rPr>
        <w:t xml:space="preserve"> Pods</w:t>
      </w:r>
    </w:p>
    <w:p w14:paraId="4263C257" w14:textId="751BCD42" w:rsidR="00FA569B" w:rsidRPr="00010588" w:rsidRDefault="00FA569B" w:rsidP="00FA569B">
      <w:pPr>
        <w:spacing w:before="200" w:line="372" w:lineRule="auto"/>
        <w:ind w:firstLine="720"/>
        <w:jc w:val="both"/>
        <w:rPr>
          <w:rFonts w:ascii="Arial" w:hAnsi="Arial" w:cs="Arial"/>
          <w:bCs/>
          <w:spacing w:val="-4"/>
          <w:sz w:val="20"/>
          <w:szCs w:val="20"/>
          <w:lang w:bidi="te-IN"/>
        </w:rPr>
      </w:pPr>
      <w:r w:rsidRPr="00010588">
        <w:rPr>
          <w:rFonts w:ascii="Arial" w:hAnsi="Arial" w:cs="Arial"/>
          <w:spacing w:val="-4"/>
          <w:sz w:val="20"/>
          <w:szCs w:val="20"/>
        </w:rPr>
        <w:lastRenderedPageBreak/>
        <w:t>Good linear relationships and coefficient of determination (R</w:t>
      </w:r>
      <w:r w:rsidRPr="00010588">
        <w:rPr>
          <w:rFonts w:ascii="Arial" w:hAnsi="Arial" w:cs="Arial"/>
          <w:spacing w:val="-4"/>
          <w:sz w:val="20"/>
          <w:szCs w:val="20"/>
          <w:vertAlign w:val="superscript"/>
        </w:rPr>
        <w:t xml:space="preserve">2 </w:t>
      </w:r>
      <w:r w:rsidRPr="00010588">
        <w:rPr>
          <w:rFonts w:ascii="Arial" w:hAnsi="Arial" w:cs="Arial"/>
          <w:spacing w:val="-4"/>
          <w:sz w:val="20"/>
          <w:szCs w:val="20"/>
        </w:rPr>
        <w:t xml:space="preserve">&gt; 0.9997) were achieved with matrix match standards of </w:t>
      </w:r>
      <w:proofErr w:type="spellStart"/>
      <w:r w:rsidRPr="00010588">
        <w:rPr>
          <w:rFonts w:ascii="Arial" w:hAnsi="Arial" w:cs="Arial"/>
          <w:spacing w:val="-4"/>
          <w:sz w:val="20"/>
          <w:szCs w:val="20"/>
        </w:rPr>
        <w:t>chlorantraniliprole</w:t>
      </w:r>
      <w:proofErr w:type="spellEnd"/>
      <w:r w:rsidRPr="00010588">
        <w:rPr>
          <w:rFonts w:ascii="Arial" w:hAnsi="Arial" w:cs="Arial"/>
          <w:spacing w:val="-4"/>
          <w:sz w:val="20"/>
          <w:szCs w:val="20"/>
        </w:rPr>
        <w:t xml:space="preserve">. The </w:t>
      </w:r>
      <w:proofErr w:type="spellStart"/>
      <w:r w:rsidRPr="00010588">
        <w:rPr>
          <w:rFonts w:ascii="Arial" w:hAnsi="Arial" w:cs="Arial"/>
          <w:spacing w:val="-4"/>
          <w:sz w:val="20"/>
          <w:szCs w:val="20"/>
        </w:rPr>
        <w:t>pigeonpea</w:t>
      </w:r>
      <w:proofErr w:type="spellEnd"/>
      <w:r w:rsidRPr="00010588">
        <w:rPr>
          <w:rFonts w:ascii="Arial" w:hAnsi="Arial" w:cs="Arial"/>
          <w:spacing w:val="-4"/>
          <w:sz w:val="20"/>
          <w:szCs w:val="20"/>
        </w:rPr>
        <w:t xml:space="preserve"> crop grown without application of insecticides was used for the spiking to establish LOD and LOQ method. The LOQ of the method for </w:t>
      </w:r>
      <w:proofErr w:type="spellStart"/>
      <w:r w:rsidRPr="00010588">
        <w:rPr>
          <w:rFonts w:ascii="Arial" w:hAnsi="Arial" w:cs="Arial"/>
          <w:spacing w:val="-4"/>
          <w:sz w:val="20"/>
          <w:szCs w:val="20"/>
        </w:rPr>
        <w:t>chlorantraniliprole</w:t>
      </w:r>
      <w:proofErr w:type="spellEnd"/>
      <w:r w:rsidRPr="00010588">
        <w:rPr>
          <w:rFonts w:ascii="Arial" w:hAnsi="Arial" w:cs="Arial"/>
          <w:spacing w:val="-4"/>
          <w:sz w:val="20"/>
          <w:szCs w:val="20"/>
        </w:rPr>
        <w:t xml:space="preserve"> was 0.75 and LOD was 0.25 </w:t>
      </w:r>
      <w:r w:rsidRPr="00010588">
        <w:rPr>
          <w:rFonts w:ascii="Arial" w:hAnsi="Arial" w:cs="Arial"/>
          <w:spacing w:val="-4"/>
          <w:sz w:val="20"/>
          <w:szCs w:val="20"/>
          <w:lang w:bidi="te-IN"/>
        </w:rPr>
        <w:t>µg mL</w:t>
      </w:r>
      <w:r w:rsidRPr="00010588">
        <w:rPr>
          <w:rFonts w:ascii="Arial" w:hAnsi="Arial" w:cs="Arial"/>
          <w:spacing w:val="-4"/>
          <w:sz w:val="20"/>
          <w:szCs w:val="20"/>
          <w:vertAlign w:val="superscript"/>
          <w:lang w:bidi="te-IN"/>
        </w:rPr>
        <w:t xml:space="preserve">-1 </w:t>
      </w:r>
      <w:r w:rsidRPr="00010588">
        <w:rPr>
          <w:rFonts w:ascii="Arial" w:hAnsi="Arial" w:cs="Arial"/>
          <w:spacing w:val="-4"/>
          <w:sz w:val="20"/>
          <w:szCs w:val="20"/>
        </w:rPr>
        <w:t xml:space="preserve">at these lowest spiked levels at the signal to noise of &gt;10. The mean recovery of </w:t>
      </w:r>
      <w:proofErr w:type="spellStart"/>
      <w:r w:rsidRPr="00010588">
        <w:rPr>
          <w:rFonts w:ascii="Arial" w:hAnsi="Arial" w:cs="Arial"/>
          <w:spacing w:val="-4"/>
          <w:sz w:val="20"/>
          <w:szCs w:val="20"/>
        </w:rPr>
        <w:t>chlorantraniliprole</w:t>
      </w:r>
      <w:proofErr w:type="spellEnd"/>
      <w:r w:rsidRPr="00010588">
        <w:rPr>
          <w:rFonts w:ascii="Arial" w:hAnsi="Arial" w:cs="Arial"/>
          <w:spacing w:val="-4"/>
          <w:sz w:val="20"/>
          <w:szCs w:val="20"/>
        </w:rPr>
        <w:t xml:space="preserve"> from </w:t>
      </w:r>
      <w:proofErr w:type="spellStart"/>
      <w:r w:rsidRPr="00010588">
        <w:rPr>
          <w:rFonts w:ascii="Arial" w:hAnsi="Arial" w:cs="Arial"/>
          <w:spacing w:val="-4"/>
          <w:sz w:val="20"/>
          <w:szCs w:val="20"/>
        </w:rPr>
        <w:t>pigeonpea</w:t>
      </w:r>
      <w:proofErr w:type="spellEnd"/>
      <w:r w:rsidR="002D2167" w:rsidRPr="00010588">
        <w:rPr>
          <w:rFonts w:ascii="Arial" w:hAnsi="Arial" w:cs="Arial"/>
          <w:spacing w:val="-4"/>
          <w:sz w:val="20"/>
          <w:szCs w:val="20"/>
        </w:rPr>
        <w:t xml:space="preserve"> </w:t>
      </w:r>
      <w:r w:rsidRPr="00010588">
        <w:rPr>
          <w:rFonts w:ascii="Arial" w:hAnsi="Arial" w:cs="Arial"/>
          <w:spacing w:val="-4"/>
          <w:sz w:val="20"/>
          <w:szCs w:val="20"/>
        </w:rPr>
        <w:t xml:space="preserve">pod was </w:t>
      </w:r>
      <w:r w:rsidR="002D2167" w:rsidRPr="00010588">
        <w:rPr>
          <w:rFonts w:ascii="Arial" w:hAnsi="Arial" w:cs="Arial"/>
          <w:spacing w:val="-4"/>
          <w:sz w:val="20"/>
          <w:szCs w:val="20"/>
        </w:rPr>
        <w:t>within</w:t>
      </w:r>
      <w:r w:rsidRPr="00010588">
        <w:rPr>
          <w:rFonts w:ascii="Arial" w:hAnsi="Arial" w:cs="Arial"/>
          <w:spacing w:val="-4"/>
          <w:sz w:val="20"/>
          <w:szCs w:val="20"/>
        </w:rPr>
        <w:t xml:space="preserve"> the acceptable range 70 to 120 per cent when spiked at 0.25 to 0.50 µg mL</w:t>
      </w:r>
      <w:r w:rsidRPr="00010588">
        <w:rPr>
          <w:rFonts w:ascii="Arial" w:hAnsi="Arial" w:cs="Arial"/>
          <w:spacing w:val="-4"/>
          <w:sz w:val="20"/>
          <w:szCs w:val="20"/>
          <w:vertAlign w:val="superscript"/>
        </w:rPr>
        <w:t>-1</w:t>
      </w:r>
      <w:r w:rsidRPr="00010588">
        <w:rPr>
          <w:rFonts w:ascii="Arial" w:hAnsi="Arial" w:cs="Arial"/>
          <w:spacing w:val="-4"/>
          <w:sz w:val="20"/>
          <w:szCs w:val="20"/>
        </w:rPr>
        <w:t xml:space="preserve">. The recoveries of </w:t>
      </w:r>
      <w:proofErr w:type="spellStart"/>
      <w:r w:rsidRPr="00010588">
        <w:rPr>
          <w:rFonts w:ascii="Arial" w:hAnsi="Arial" w:cs="Arial"/>
          <w:spacing w:val="-4"/>
          <w:sz w:val="20"/>
          <w:szCs w:val="20"/>
        </w:rPr>
        <w:t>chlorantraniliprole</w:t>
      </w:r>
      <w:proofErr w:type="spellEnd"/>
      <w:r w:rsidRPr="00010588">
        <w:rPr>
          <w:rFonts w:ascii="Arial" w:hAnsi="Arial" w:cs="Arial"/>
          <w:spacing w:val="-4"/>
          <w:sz w:val="20"/>
          <w:szCs w:val="20"/>
        </w:rPr>
        <w:t xml:space="preserve"> were in the range of 102.27 to 104 per cent (Table.</w:t>
      </w:r>
      <w:r w:rsidR="00970933">
        <w:rPr>
          <w:rFonts w:ascii="Arial" w:hAnsi="Arial" w:cs="Arial"/>
          <w:spacing w:val="-4"/>
          <w:sz w:val="20"/>
          <w:szCs w:val="20"/>
        </w:rPr>
        <w:t>3</w:t>
      </w:r>
      <w:r w:rsidRPr="00010588">
        <w:rPr>
          <w:rFonts w:ascii="Arial" w:hAnsi="Arial" w:cs="Arial"/>
          <w:spacing w:val="-4"/>
          <w:sz w:val="20"/>
          <w:szCs w:val="20"/>
        </w:rPr>
        <w:t>). T</w:t>
      </w:r>
      <w:r w:rsidRPr="00010588">
        <w:rPr>
          <w:rFonts w:ascii="Arial" w:hAnsi="Arial" w:cs="Arial"/>
          <w:spacing w:val="-4"/>
          <w:sz w:val="20"/>
          <w:szCs w:val="20"/>
          <w:lang w:bidi="te-IN"/>
        </w:rPr>
        <w:t xml:space="preserve">he linearity was in the range 0.05 to 1.00 </w:t>
      </w:r>
      <w:r w:rsidRPr="00010588">
        <w:rPr>
          <w:rFonts w:ascii="Arial" w:hAnsi="Arial" w:cs="Arial"/>
          <w:spacing w:val="-4"/>
          <w:sz w:val="20"/>
          <w:szCs w:val="20"/>
        </w:rPr>
        <w:t>µg mL</w:t>
      </w:r>
      <w:r w:rsidRPr="00010588">
        <w:rPr>
          <w:rFonts w:ascii="Arial" w:hAnsi="Arial" w:cs="Arial"/>
          <w:spacing w:val="-4"/>
          <w:sz w:val="20"/>
          <w:szCs w:val="20"/>
          <w:vertAlign w:val="superscript"/>
        </w:rPr>
        <w:t xml:space="preserve">-1 </w:t>
      </w:r>
      <w:r w:rsidRPr="00010588">
        <w:rPr>
          <w:rFonts w:ascii="Arial" w:hAnsi="Arial" w:cs="Arial"/>
          <w:spacing w:val="-4"/>
          <w:sz w:val="20"/>
          <w:szCs w:val="20"/>
        </w:rPr>
        <w:t>Fig.2</w:t>
      </w:r>
      <w:r w:rsidRPr="00010588">
        <w:rPr>
          <w:rFonts w:ascii="Arial" w:hAnsi="Arial" w:cs="Arial"/>
          <w:bCs/>
          <w:spacing w:val="-4"/>
          <w:sz w:val="20"/>
          <w:szCs w:val="20"/>
          <w:lang w:bidi="te-IN"/>
        </w:rPr>
        <w:t>.</w:t>
      </w:r>
      <w:r w:rsidR="007E1F37" w:rsidRPr="00010588">
        <w:rPr>
          <w:rFonts w:ascii="Arial" w:hAnsi="Arial" w:cs="Arial"/>
          <w:bCs/>
          <w:spacing w:val="-4"/>
          <w:sz w:val="20"/>
          <w:szCs w:val="20"/>
          <w:lang w:bidi="te-IN"/>
        </w:rPr>
        <w:t xml:space="preserve"> The operational parameters of UHPLC-PDA for </w:t>
      </w:r>
      <w:proofErr w:type="spellStart"/>
      <w:r w:rsidR="007E1F37" w:rsidRPr="00010588">
        <w:rPr>
          <w:rFonts w:ascii="Arial" w:hAnsi="Arial" w:cs="Arial"/>
          <w:bCs/>
          <w:spacing w:val="-4"/>
          <w:sz w:val="20"/>
          <w:szCs w:val="20"/>
          <w:lang w:bidi="te-IN"/>
        </w:rPr>
        <w:t>chloramtramiliprole</w:t>
      </w:r>
      <w:proofErr w:type="spellEnd"/>
      <w:r w:rsidR="007E1F37" w:rsidRPr="00010588">
        <w:rPr>
          <w:rFonts w:ascii="Arial" w:hAnsi="Arial" w:cs="Arial"/>
          <w:bCs/>
          <w:spacing w:val="-4"/>
          <w:sz w:val="20"/>
          <w:szCs w:val="20"/>
          <w:lang w:bidi="te-IN"/>
        </w:rPr>
        <w:t xml:space="preserve"> is given in Table. </w:t>
      </w:r>
      <w:r w:rsidR="00970933">
        <w:rPr>
          <w:rFonts w:ascii="Arial" w:hAnsi="Arial" w:cs="Arial"/>
          <w:bCs/>
          <w:spacing w:val="-4"/>
          <w:sz w:val="20"/>
          <w:szCs w:val="20"/>
          <w:lang w:bidi="te-IN"/>
        </w:rPr>
        <w:t>3</w:t>
      </w:r>
      <w:r w:rsidR="007E1F37" w:rsidRPr="00010588">
        <w:rPr>
          <w:rFonts w:ascii="Arial" w:hAnsi="Arial" w:cs="Arial"/>
          <w:bCs/>
          <w:spacing w:val="-4"/>
          <w:sz w:val="20"/>
          <w:szCs w:val="20"/>
          <w:lang w:bidi="te-IN"/>
        </w:rPr>
        <w:t>.</w:t>
      </w:r>
    </w:p>
    <w:p w14:paraId="082364B7" w14:textId="77777777" w:rsidR="0012118E" w:rsidRPr="00010588" w:rsidRDefault="0012118E" w:rsidP="00620FD2">
      <w:pPr>
        <w:spacing w:line="360" w:lineRule="auto"/>
        <w:ind w:firstLine="720"/>
        <w:jc w:val="both"/>
        <w:rPr>
          <w:rFonts w:ascii="Arial" w:hAnsi="Arial" w:cs="Arial"/>
          <w:noProof/>
          <w:sz w:val="20"/>
          <w:szCs w:val="20"/>
          <w:lang w:val="en-US"/>
        </w:rPr>
      </w:pPr>
      <w:r w:rsidRPr="00010588">
        <w:rPr>
          <w:rFonts w:ascii="Arial" w:hAnsi="Arial" w:cs="Arial"/>
          <w:bCs/>
          <w:noProof/>
          <w:sz w:val="20"/>
          <w:szCs w:val="20"/>
          <w:lang w:val="en-US"/>
        </w:rPr>
        <w:drawing>
          <wp:inline distT="0" distB="0" distL="0" distR="0" wp14:anchorId="2A33962F" wp14:editId="27D90FE3">
            <wp:extent cx="2514600" cy="1400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61449"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146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010588">
        <w:rPr>
          <w:rFonts w:ascii="Arial" w:hAnsi="Arial" w:cs="Arial"/>
          <w:noProof/>
          <w:sz w:val="20"/>
          <w:szCs w:val="20"/>
          <w:lang w:val="en-US"/>
        </w:rPr>
        <w:t xml:space="preserve"> </w:t>
      </w:r>
      <w:r w:rsidRPr="00010588">
        <w:rPr>
          <w:rFonts w:ascii="Arial" w:hAnsi="Arial" w:cs="Arial"/>
          <w:bCs/>
          <w:noProof/>
          <w:sz w:val="20"/>
          <w:szCs w:val="20"/>
          <w:lang w:val="en-US"/>
        </w:rPr>
        <w:drawing>
          <wp:inline distT="0" distB="0" distL="0" distR="0" wp14:anchorId="02F45110" wp14:editId="71D672E1">
            <wp:extent cx="2667000" cy="131445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61444" name="Content Placeholder 4"/>
                    <pic:cNvPicPr>
                      <a:picLocks noGrp="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0DB838A" w14:textId="77777777" w:rsidR="0012118E" w:rsidRPr="00010588" w:rsidRDefault="0012118E" w:rsidP="0012118E">
      <w:pPr>
        <w:autoSpaceDE w:val="0"/>
        <w:autoSpaceDN w:val="0"/>
        <w:adjustRightInd w:val="0"/>
        <w:spacing w:after="0" w:line="360" w:lineRule="auto"/>
        <w:jc w:val="center"/>
        <w:rPr>
          <w:rFonts w:ascii="Arial" w:hAnsi="Arial" w:cs="Arial"/>
          <w:b/>
          <w:color w:val="000000" w:themeColor="text1"/>
          <w:sz w:val="20"/>
          <w:szCs w:val="20"/>
        </w:rPr>
      </w:pPr>
      <w:r w:rsidRPr="00010588">
        <w:rPr>
          <w:rFonts w:ascii="Arial" w:hAnsi="Arial" w:cs="Arial"/>
          <w:b/>
          <w:color w:val="000000" w:themeColor="text1"/>
          <w:sz w:val="20"/>
          <w:szCs w:val="20"/>
        </w:rPr>
        <w:t xml:space="preserve">Fig 1.   HPLC Chromatograms of </w:t>
      </w:r>
      <w:proofErr w:type="spellStart"/>
      <w:r w:rsidRPr="00010588">
        <w:rPr>
          <w:rFonts w:ascii="Arial" w:hAnsi="Arial" w:cs="Arial"/>
          <w:b/>
          <w:color w:val="000000" w:themeColor="text1"/>
          <w:sz w:val="20"/>
          <w:szCs w:val="20"/>
        </w:rPr>
        <w:t>chlorantraniliprole</w:t>
      </w:r>
      <w:proofErr w:type="spellEnd"/>
    </w:p>
    <w:p w14:paraId="105234C7" w14:textId="77777777" w:rsidR="0012118E" w:rsidRPr="00010588" w:rsidRDefault="0012118E" w:rsidP="0012118E">
      <w:pPr>
        <w:pStyle w:val="ListParagraph"/>
        <w:numPr>
          <w:ilvl w:val="0"/>
          <w:numId w:val="3"/>
        </w:numPr>
        <w:autoSpaceDE w:val="0"/>
        <w:autoSpaceDN w:val="0"/>
        <w:adjustRightInd w:val="0"/>
        <w:spacing w:after="0" w:line="360" w:lineRule="auto"/>
        <w:jc w:val="center"/>
        <w:rPr>
          <w:rFonts w:ascii="Arial" w:hAnsi="Arial" w:cs="Arial"/>
          <w:b/>
          <w:color w:val="000000" w:themeColor="text1"/>
          <w:sz w:val="20"/>
          <w:szCs w:val="20"/>
        </w:rPr>
      </w:pPr>
      <w:r w:rsidRPr="00010588">
        <w:rPr>
          <w:rFonts w:ascii="Arial" w:hAnsi="Arial" w:cs="Arial"/>
          <w:b/>
          <w:color w:val="000000" w:themeColor="text1"/>
          <w:sz w:val="20"/>
          <w:szCs w:val="20"/>
        </w:rPr>
        <w:t xml:space="preserve">Blank n-hexane </w:t>
      </w:r>
      <w:r w:rsidRPr="00010588">
        <w:rPr>
          <w:rFonts w:ascii="Arial" w:hAnsi="Arial" w:cs="Arial"/>
          <w:b/>
          <w:color w:val="000000" w:themeColor="text1"/>
          <w:sz w:val="20"/>
          <w:szCs w:val="20"/>
        </w:rPr>
        <w:tab/>
        <w:t>B) 0.05PPM</w:t>
      </w:r>
    </w:p>
    <w:p w14:paraId="3CBF827F" w14:textId="77777777" w:rsidR="00B631D5" w:rsidRPr="00010588" w:rsidRDefault="00B631D5" w:rsidP="00B631D5">
      <w:pPr>
        <w:pStyle w:val="ListParagraph"/>
        <w:autoSpaceDE w:val="0"/>
        <w:autoSpaceDN w:val="0"/>
        <w:adjustRightInd w:val="0"/>
        <w:spacing w:after="0" w:line="360" w:lineRule="auto"/>
        <w:rPr>
          <w:rFonts w:ascii="Arial" w:hAnsi="Arial" w:cs="Arial"/>
          <w:b/>
          <w:color w:val="000000" w:themeColor="text1"/>
          <w:sz w:val="20"/>
          <w:szCs w:val="20"/>
        </w:rPr>
      </w:pPr>
    </w:p>
    <w:p w14:paraId="19FE1190" w14:textId="77777777" w:rsidR="003D1E69" w:rsidRPr="00010588" w:rsidRDefault="003D1E69" w:rsidP="003D1E69">
      <w:pPr>
        <w:spacing w:line="360" w:lineRule="auto"/>
        <w:ind w:firstLine="720"/>
        <w:jc w:val="center"/>
        <w:rPr>
          <w:rFonts w:ascii="Arial" w:hAnsi="Arial" w:cs="Arial"/>
          <w:sz w:val="20"/>
          <w:szCs w:val="20"/>
        </w:rPr>
      </w:pPr>
      <w:r w:rsidRPr="00010588">
        <w:rPr>
          <w:rFonts w:ascii="Arial" w:hAnsi="Arial" w:cs="Arial"/>
          <w:noProof/>
          <w:sz w:val="20"/>
          <w:szCs w:val="20"/>
          <w:lang w:val="en-US"/>
        </w:rPr>
        <w:drawing>
          <wp:inline distT="0" distB="0" distL="0" distR="0" wp14:anchorId="4B02180D" wp14:editId="2A61944C">
            <wp:extent cx="4105275" cy="2533650"/>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2F48978" w14:textId="77777777" w:rsidR="003D1E69" w:rsidRPr="00010588" w:rsidRDefault="003D1E69" w:rsidP="003D1E69">
      <w:pPr>
        <w:spacing w:line="360" w:lineRule="auto"/>
        <w:ind w:firstLine="720"/>
        <w:jc w:val="center"/>
        <w:rPr>
          <w:rFonts w:ascii="Arial" w:hAnsi="Arial" w:cs="Arial"/>
          <w:sz w:val="20"/>
          <w:szCs w:val="20"/>
        </w:rPr>
      </w:pPr>
      <w:r w:rsidRPr="00010588">
        <w:rPr>
          <w:rFonts w:ascii="Arial" w:hAnsi="Arial" w:cs="Arial"/>
          <w:b/>
          <w:bCs/>
          <w:sz w:val="20"/>
          <w:szCs w:val="20"/>
        </w:rPr>
        <w:t xml:space="preserve">Fig. 2. Calibration curve of </w:t>
      </w:r>
      <w:proofErr w:type="spellStart"/>
      <w:r w:rsidRPr="00010588">
        <w:rPr>
          <w:rFonts w:ascii="Arial" w:hAnsi="Arial" w:cs="Arial"/>
          <w:b/>
          <w:bCs/>
          <w:sz w:val="20"/>
          <w:szCs w:val="20"/>
        </w:rPr>
        <w:t>chlorantraniliprole</w:t>
      </w:r>
      <w:proofErr w:type="spellEnd"/>
    </w:p>
    <w:p w14:paraId="3A4A975D" w14:textId="77777777" w:rsidR="00620FD2" w:rsidRPr="00010588" w:rsidRDefault="00620FD2" w:rsidP="00620FD2">
      <w:pPr>
        <w:spacing w:after="0" w:line="360" w:lineRule="auto"/>
        <w:rPr>
          <w:rFonts w:ascii="Arial" w:hAnsi="Arial" w:cs="Arial"/>
          <w:b/>
          <w:bCs/>
          <w:sz w:val="20"/>
          <w:szCs w:val="20"/>
        </w:rPr>
      </w:pPr>
      <w:r w:rsidRPr="00010588">
        <w:rPr>
          <w:rFonts w:ascii="Arial" w:hAnsi="Arial" w:cs="Arial"/>
          <w:b/>
          <w:bCs/>
          <w:sz w:val="20"/>
          <w:szCs w:val="20"/>
        </w:rPr>
        <w:t xml:space="preserve">Table </w:t>
      </w:r>
      <w:r w:rsidR="003D1E69" w:rsidRPr="00010588">
        <w:rPr>
          <w:rFonts w:ascii="Arial" w:hAnsi="Arial" w:cs="Arial"/>
          <w:b/>
          <w:bCs/>
          <w:sz w:val="20"/>
          <w:szCs w:val="20"/>
        </w:rPr>
        <w:t>3</w:t>
      </w:r>
      <w:r w:rsidRPr="00010588">
        <w:rPr>
          <w:rFonts w:ascii="Arial" w:hAnsi="Arial" w:cs="Arial"/>
          <w:b/>
          <w:bCs/>
          <w:sz w:val="20"/>
          <w:szCs w:val="20"/>
        </w:rPr>
        <w:t xml:space="preserve">. Recovery of </w:t>
      </w:r>
      <w:proofErr w:type="spellStart"/>
      <w:r w:rsidRPr="00010588">
        <w:rPr>
          <w:rFonts w:ascii="Arial" w:hAnsi="Arial" w:cs="Arial"/>
          <w:b/>
          <w:sz w:val="20"/>
          <w:szCs w:val="20"/>
          <w:lang w:bidi="te-IN"/>
        </w:rPr>
        <w:t>chorantraniliprole</w:t>
      </w:r>
      <w:proofErr w:type="spellEnd"/>
      <w:r w:rsidRPr="00010588">
        <w:rPr>
          <w:rFonts w:ascii="Arial" w:hAnsi="Arial" w:cs="Arial"/>
          <w:b/>
          <w:bCs/>
          <w:sz w:val="20"/>
          <w:szCs w:val="20"/>
        </w:rPr>
        <w:t xml:space="preserve"> residues in </w:t>
      </w:r>
      <w:proofErr w:type="spellStart"/>
      <w:r w:rsidRPr="00010588">
        <w:rPr>
          <w:rFonts w:ascii="Arial" w:hAnsi="Arial" w:cs="Arial"/>
          <w:b/>
          <w:bCs/>
          <w:sz w:val="20"/>
          <w:szCs w:val="20"/>
        </w:rPr>
        <w:t>pigeonpea</w:t>
      </w:r>
      <w:proofErr w:type="spellEnd"/>
      <w:r w:rsidRPr="00010588">
        <w:rPr>
          <w:rFonts w:ascii="Arial" w:hAnsi="Arial" w:cs="Arial"/>
          <w:b/>
          <w:bCs/>
          <w:sz w:val="20"/>
          <w:szCs w:val="20"/>
        </w:rPr>
        <w:t xml:space="preserve"> pod samples</w:t>
      </w:r>
    </w:p>
    <w:p w14:paraId="5A9D8B4C" w14:textId="77777777" w:rsidR="00620FD2" w:rsidRPr="00010588" w:rsidRDefault="00620FD2" w:rsidP="00F60DED">
      <w:pPr>
        <w:spacing w:line="360" w:lineRule="auto"/>
        <w:ind w:firstLine="720"/>
        <w:jc w:val="both"/>
        <w:rPr>
          <w:rFonts w:ascii="Arial" w:hAnsi="Arial" w:cs="Arial"/>
          <w:sz w:val="20"/>
          <w:szCs w:val="20"/>
        </w:rPr>
      </w:pPr>
    </w:p>
    <w:tbl>
      <w:tblPr>
        <w:tblpPr w:leftFromText="180" w:rightFromText="180" w:vertAnchor="text" w:horzAnchor="margin" w:tblpY="-50"/>
        <w:tblW w:w="9149" w:type="dxa"/>
        <w:tblLayout w:type="fixed"/>
        <w:tblLook w:val="04A0" w:firstRow="1" w:lastRow="0" w:firstColumn="1" w:lastColumn="0" w:noHBand="0" w:noVBand="1"/>
      </w:tblPr>
      <w:tblGrid>
        <w:gridCol w:w="893"/>
        <w:gridCol w:w="1282"/>
        <w:gridCol w:w="1170"/>
        <w:gridCol w:w="1440"/>
        <w:gridCol w:w="1800"/>
        <w:gridCol w:w="1430"/>
        <w:gridCol w:w="1134"/>
      </w:tblGrid>
      <w:tr w:rsidR="003D1E69" w:rsidRPr="00010588" w14:paraId="18FC8E31" w14:textId="77777777" w:rsidTr="003D1E69">
        <w:trPr>
          <w:trHeight w:val="330"/>
        </w:trPr>
        <w:tc>
          <w:tcPr>
            <w:tcW w:w="893" w:type="dxa"/>
            <w:vMerge w:val="restart"/>
            <w:tcBorders>
              <w:top w:val="single" w:sz="4" w:space="0" w:color="auto"/>
              <w:left w:val="single" w:sz="4" w:space="0" w:color="auto"/>
              <w:bottom w:val="single" w:sz="4" w:space="0" w:color="auto"/>
              <w:right w:val="single" w:sz="4" w:space="0" w:color="auto"/>
            </w:tcBorders>
            <w:vAlign w:val="center"/>
            <w:hideMark/>
          </w:tcPr>
          <w:p w14:paraId="68F5CB82"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lastRenderedPageBreak/>
              <w:t>Details</w:t>
            </w:r>
          </w:p>
        </w:tc>
        <w:tc>
          <w:tcPr>
            <w:tcW w:w="8256" w:type="dxa"/>
            <w:gridSpan w:val="6"/>
            <w:tcBorders>
              <w:top w:val="single" w:sz="4" w:space="0" w:color="auto"/>
              <w:left w:val="nil"/>
              <w:bottom w:val="single" w:sz="4" w:space="0" w:color="auto"/>
              <w:right w:val="single" w:sz="4" w:space="0" w:color="auto"/>
            </w:tcBorders>
            <w:vAlign w:val="center"/>
            <w:hideMark/>
          </w:tcPr>
          <w:p w14:paraId="388D1F75" w14:textId="77777777" w:rsidR="003D1E69" w:rsidRPr="00010588" w:rsidRDefault="003D1E69" w:rsidP="003D1E69">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 xml:space="preserve">Recoveries of </w:t>
            </w:r>
            <w:proofErr w:type="spellStart"/>
            <w:r w:rsidRPr="00010588">
              <w:rPr>
                <w:rFonts w:ascii="Arial" w:eastAsia="Times New Roman" w:hAnsi="Arial" w:cs="Arial"/>
                <w:b/>
                <w:bCs/>
                <w:color w:val="000000"/>
                <w:sz w:val="20"/>
                <w:szCs w:val="20"/>
              </w:rPr>
              <w:t>chlorantraniliprole</w:t>
            </w:r>
            <w:proofErr w:type="spellEnd"/>
            <w:r w:rsidRPr="00010588">
              <w:rPr>
                <w:rFonts w:ascii="Arial" w:eastAsia="Times New Roman" w:hAnsi="Arial" w:cs="Arial"/>
                <w:b/>
                <w:bCs/>
                <w:color w:val="000000"/>
                <w:sz w:val="20"/>
                <w:szCs w:val="20"/>
              </w:rPr>
              <w:t xml:space="preserve"> from fortified </w:t>
            </w:r>
            <w:proofErr w:type="spellStart"/>
            <w:r w:rsidRPr="00010588">
              <w:rPr>
                <w:rFonts w:ascii="Arial" w:eastAsia="Times New Roman" w:hAnsi="Arial" w:cs="Arial"/>
                <w:b/>
                <w:bCs/>
                <w:color w:val="000000"/>
                <w:sz w:val="20"/>
                <w:szCs w:val="20"/>
              </w:rPr>
              <w:t>pigeonpea</w:t>
            </w:r>
            <w:proofErr w:type="spellEnd"/>
            <w:r w:rsidRPr="00010588">
              <w:rPr>
                <w:rFonts w:ascii="Arial" w:eastAsia="Times New Roman" w:hAnsi="Arial" w:cs="Arial"/>
                <w:b/>
                <w:bCs/>
                <w:color w:val="000000"/>
                <w:sz w:val="20"/>
                <w:szCs w:val="20"/>
              </w:rPr>
              <w:t xml:space="preserve"> pods</w:t>
            </w:r>
          </w:p>
        </w:tc>
      </w:tr>
      <w:tr w:rsidR="003D1E69" w:rsidRPr="00010588" w14:paraId="20B467AB" w14:textId="77777777" w:rsidTr="003D1E69">
        <w:trPr>
          <w:trHeight w:val="330"/>
        </w:trPr>
        <w:tc>
          <w:tcPr>
            <w:tcW w:w="893" w:type="dxa"/>
            <w:vMerge/>
            <w:tcBorders>
              <w:top w:val="single" w:sz="4" w:space="0" w:color="auto"/>
              <w:left w:val="single" w:sz="4" w:space="0" w:color="auto"/>
              <w:bottom w:val="single" w:sz="4" w:space="0" w:color="auto"/>
              <w:right w:val="single" w:sz="4" w:space="0" w:color="auto"/>
            </w:tcBorders>
            <w:vAlign w:val="center"/>
            <w:hideMark/>
          </w:tcPr>
          <w:p w14:paraId="2BE7BA9B" w14:textId="77777777" w:rsidR="003D1E69" w:rsidRPr="00010588" w:rsidRDefault="003D1E69" w:rsidP="003D1E69">
            <w:pPr>
              <w:spacing w:after="0" w:line="240" w:lineRule="auto"/>
              <w:rPr>
                <w:rFonts w:ascii="Arial" w:eastAsia="Times New Roman" w:hAnsi="Arial" w:cs="Arial"/>
                <w:b/>
                <w:color w:val="000000"/>
                <w:sz w:val="20"/>
                <w:szCs w:val="20"/>
              </w:rPr>
            </w:pPr>
          </w:p>
        </w:tc>
        <w:tc>
          <w:tcPr>
            <w:tcW w:w="8256" w:type="dxa"/>
            <w:gridSpan w:val="6"/>
            <w:tcBorders>
              <w:top w:val="single" w:sz="4" w:space="0" w:color="auto"/>
              <w:left w:val="nil"/>
              <w:bottom w:val="single" w:sz="4" w:space="0" w:color="auto"/>
              <w:right w:val="single" w:sz="4" w:space="0" w:color="auto"/>
            </w:tcBorders>
            <w:vAlign w:val="center"/>
            <w:hideMark/>
          </w:tcPr>
          <w:p w14:paraId="73EE86C0"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sz w:val="20"/>
                <w:szCs w:val="20"/>
              </w:rPr>
              <w:t xml:space="preserve">Fortified level </w:t>
            </w:r>
            <w:r w:rsidRPr="00010588">
              <w:rPr>
                <w:rFonts w:ascii="Arial" w:eastAsia="Times New Roman" w:hAnsi="Arial" w:cs="Arial"/>
                <w:color w:val="000000"/>
                <w:sz w:val="20"/>
                <w:szCs w:val="20"/>
              </w:rPr>
              <w:t>(µg/mL)</w:t>
            </w:r>
          </w:p>
        </w:tc>
      </w:tr>
      <w:tr w:rsidR="003D1E69" w:rsidRPr="00010588" w14:paraId="1288789C" w14:textId="77777777" w:rsidTr="003D1E69">
        <w:trPr>
          <w:trHeight w:val="330"/>
        </w:trPr>
        <w:tc>
          <w:tcPr>
            <w:tcW w:w="893" w:type="dxa"/>
            <w:vMerge/>
            <w:tcBorders>
              <w:top w:val="single" w:sz="4" w:space="0" w:color="auto"/>
              <w:left w:val="single" w:sz="4" w:space="0" w:color="auto"/>
              <w:bottom w:val="single" w:sz="4" w:space="0" w:color="auto"/>
              <w:right w:val="single" w:sz="4" w:space="0" w:color="auto"/>
            </w:tcBorders>
            <w:vAlign w:val="center"/>
            <w:hideMark/>
          </w:tcPr>
          <w:p w14:paraId="43F9BE99" w14:textId="77777777" w:rsidR="003D1E69" w:rsidRPr="00010588" w:rsidRDefault="003D1E69" w:rsidP="003D1E69">
            <w:pPr>
              <w:spacing w:after="0" w:line="240" w:lineRule="auto"/>
              <w:rPr>
                <w:rFonts w:ascii="Arial" w:eastAsia="Times New Roman" w:hAnsi="Arial" w:cs="Arial"/>
                <w:b/>
                <w:color w:val="000000"/>
                <w:sz w:val="20"/>
                <w:szCs w:val="20"/>
              </w:rPr>
            </w:pPr>
          </w:p>
        </w:tc>
        <w:tc>
          <w:tcPr>
            <w:tcW w:w="2452" w:type="dxa"/>
            <w:gridSpan w:val="2"/>
            <w:tcBorders>
              <w:top w:val="single" w:sz="4" w:space="0" w:color="auto"/>
              <w:left w:val="nil"/>
              <w:bottom w:val="single" w:sz="4" w:space="0" w:color="auto"/>
              <w:right w:val="single" w:sz="4" w:space="0" w:color="auto"/>
            </w:tcBorders>
            <w:vAlign w:val="center"/>
            <w:hideMark/>
          </w:tcPr>
          <w:p w14:paraId="5F11C541"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0.05</w:t>
            </w:r>
          </w:p>
        </w:tc>
        <w:tc>
          <w:tcPr>
            <w:tcW w:w="3240" w:type="dxa"/>
            <w:gridSpan w:val="2"/>
            <w:tcBorders>
              <w:top w:val="single" w:sz="4" w:space="0" w:color="auto"/>
              <w:left w:val="nil"/>
              <w:bottom w:val="single" w:sz="4" w:space="0" w:color="auto"/>
              <w:right w:val="single" w:sz="4" w:space="0" w:color="auto"/>
            </w:tcBorders>
            <w:vAlign w:val="center"/>
            <w:hideMark/>
          </w:tcPr>
          <w:p w14:paraId="47C92801"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0.25</w:t>
            </w:r>
          </w:p>
        </w:tc>
        <w:tc>
          <w:tcPr>
            <w:tcW w:w="2564" w:type="dxa"/>
            <w:gridSpan w:val="2"/>
            <w:tcBorders>
              <w:top w:val="single" w:sz="4" w:space="0" w:color="auto"/>
              <w:left w:val="nil"/>
              <w:bottom w:val="single" w:sz="4" w:space="0" w:color="auto"/>
              <w:right w:val="single" w:sz="4" w:space="0" w:color="auto"/>
            </w:tcBorders>
            <w:vAlign w:val="center"/>
            <w:hideMark/>
          </w:tcPr>
          <w:p w14:paraId="0B107C98"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0.50</w:t>
            </w:r>
          </w:p>
        </w:tc>
      </w:tr>
      <w:tr w:rsidR="003D1E69" w:rsidRPr="00010588" w14:paraId="4536E861" w14:textId="77777777" w:rsidTr="003D1E69">
        <w:trPr>
          <w:trHeight w:val="458"/>
        </w:trPr>
        <w:tc>
          <w:tcPr>
            <w:tcW w:w="893" w:type="dxa"/>
            <w:vMerge/>
            <w:tcBorders>
              <w:top w:val="single" w:sz="4" w:space="0" w:color="auto"/>
              <w:left w:val="single" w:sz="4" w:space="0" w:color="auto"/>
              <w:bottom w:val="single" w:sz="4" w:space="0" w:color="auto"/>
              <w:right w:val="single" w:sz="4" w:space="0" w:color="auto"/>
            </w:tcBorders>
            <w:vAlign w:val="center"/>
            <w:hideMark/>
          </w:tcPr>
          <w:p w14:paraId="1887C4A7" w14:textId="77777777" w:rsidR="003D1E69" w:rsidRPr="00010588" w:rsidRDefault="003D1E69" w:rsidP="003D1E69">
            <w:pPr>
              <w:spacing w:after="0" w:line="240" w:lineRule="auto"/>
              <w:rPr>
                <w:rFonts w:ascii="Arial" w:eastAsia="Times New Roman" w:hAnsi="Arial" w:cs="Arial"/>
                <w:b/>
                <w:color w:val="000000"/>
                <w:sz w:val="20"/>
                <w:szCs w:val="20"/>
              </w:rPr>
            </w:pPr>
          </w:p>
        </w:tc>
        <w:tc>
          <w:tcPr>
            <w:tcW w:w="1282" w:type="dxa"/>
            <w:tcBorders>
              <w:top w:val="nil"/>
              <w:left w:val="nil"/>
              <w:bottom w:val="single" w:sz="4" w:space="0" w:color="auto"/>
              <w:right w:val="single" w:sz="4" w:space="0" w:color="auto"/>
            </w:tcBorders>
            <w:vAlign w:val="center"/>
            <w:hideMark/>
          </w:tcPr>
          <w:p w14:paraId="2B8FF530"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sz w:val="20"/>
                <w:szCs w:val="20"/>
              </w:rPr>
              <w:t xml:space="preserve">Recovery </w:t>
            </w:r>
            <w:r w:rsidRPr="00010588">
              <w:rPr>
                <w:rFonts w:ascii="Arial" w:eastAsia="Times New Roman" w:hAnsi="Arial" w:cs="Arial"/>
                <w:b/>
                <w:color w:val="000000"/>
                <w:sz w:val="20"/>
                <w:szCs w:val="20"/>
              </w:rPr>
              <w:t>(mg/kg)</w:t>
            </w:r>
          </w:p>
        </w:tc>
        <w:tc>
          <w:tcPr>
            <w:tcW w:w="1170" w:type="dxa"/>
            <w:tcBorders>
              <w:top w:val="nil"/>
              <w:left w:val="nil"/>
              <w:bottom w:val="single" w:sz="4" w:space="0" w:color="auto"/>
              <w:right w:val="single" w:sz="4" w:space="0" w:color="auto"/>
            </w:tcBorders>
            <w:vAlign w:val="center"/>
            <w:hideMark/>
          </w:tcPr>
          <w:p w14:paraId="4CBE06F5" w14:textId="77777777" w:rsidR="003D1E69" w:rsidRPr="00010588" w:rsidRDefault="003D1E69" w:rsidP="003D1E69">
            <w:pPr>
              <w:spacing w:after="0" w:line="240" w:lineRule="auto"/>
              <w:jc w:val="center"/>
              <w:rPr>
                <w:rFonts w:ascii="Arial" w:eastAsia="Times New Roman" w:hAnsi="Arial" w:cs="Arial"/>
                <w:b/>
                <w:color w:val="000000"/>
                <w:sz w:val="20"/>
                <w:szCs w:val="20"/>
              </w:rPr>
            </w:pPr>
            <w:proofErr w:type="gramStart"/>
            <w:r w:rsidRPr="00010588">
              <w:rPr>
                <w:rFonts w:ascii="Arial" w:eastAsia="Times New Roman" w:hAnsi="Arial" w:cs="Arial"/>
                <w:b/>
                <w:color w:val="000000"/>
                <w:sz w:val="20"/>
                <w:szCs w:val="20"/>
              </w:rPr>
              <w:t>Recovery  %</w:t>
            </w:r>
            <w:proofErr w:type="gramEnd"/>
          </w:p>
        </w:tc>
        <w:tc>
          <w:tcPr>
            <w:tcW w:w="1440" w:type="dxa"/>
            <w:tcBorders>
              <w:top w:val="nil"/>
              <w:left w:val="nil"/>
              <w:bottom w:val="single" w:sz="4" w:space="0" w:color="auto"/>
              <w:right w:val="single" w:sz="4" w:space="0" w:color="auto"/>
            </w:tcBorders>
            <w:vAlign w:val="center"/>
            <w:hideMark/>
          </w:tcPr>
          <w:p w14:paraId="311DBAA6"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sz w:val="20"/>
                <w:szCs w:val="20"/>
              </w:rPr>
              <w:t xml:space="preserve">Recovery </w:t>
            </w:r>
            <w:r w:rsidRPr="00010588">
              <w:rPr>
                <w:rFonts w:ascii="Arial" w:eastAsia="Times New Roman" w:hAnsi="Arial" w:cs="Arial"/>
                <w:b/>
                <w:color w:val="000000"/>
                <w:sz w:val="20"/>
                <w:szCs w:val="20"/>
              </w:rPr>
              <w:t>(mg/kg)</w:t>
            </w:r>
          </w:p>
        </w:tc>
        <w:tc>
          <w:tcPr>
            <w:tcW w:w="1800" w:type="dxa"/>
            <w:tcBorders>
              <w:top w:val="nil"/>
              <w:left w:val="nil"/>
              <w:bottom w:val="single" w:sz="4" w:space="0" w:color="auto"/>
              <w:right w:val="single" w:sz="4" w:space="0" w:color="auto"/>
            </w:tcBorders>
            <w:vAlign w:val="center"/>
            <w:hideMark/>
          </w:tcPr>
          <w:p w14:paraId="5C8E3D62" w14:textId="77777777" w:rsidR="003D1E69" w:rsidRPr="00010588" w:rsidRDefault="003D1E69" w:rsidP="003D1E69">
            <w:pPr>
              <w:spacing w:after="0" w:line="240" w:lineRule="auto"/>
              <w:jc w:val="center"/>
              <w:rPr>
                <w:rFonts w:ascii="Arial" w:eastAsia="Times New Roman" w:hAnsi="Arial" w:cs="Arial"/>
                <w:b/>
                <w:color w:val="000000"/>
                <w:sz w:val="20"/>
                <w:szCs w:val="20"/>
              </w:rPr>
            </w:pPr>
            <w:proofErr w:type="gramStart"/>
            <w:r w:rsidRPr="00010588">
              <w:rPr>
                <w:rFonts w:ascii="Arial" w:eastAsia="Times New Roman" w:hAnsi="Arial" w:cs="Arial"/>
                <w:b/>
                <w:color w:val="000000"/>
                <w:sz w:val="20"/>
                <w:szCs w:val="20"/>
              </w:rPr>
              <w:t>Recovery  %</w:t>
            </w:r>
            <w:proofErr w:type="gramEnd"/>
          </w:p>
        </w:tc>
        <w:tc>
          <w:tcPr>
            <w:tcW w:w="1430" w:type="dxa"/>
            <w:tcBorders>
              <w:top w:val="nil"/>
              <w:left w:val="nil"/>
              <w:bottom w:val="single" w:sz="4" w:space="0" w:color="auto"/>
              <w:right w:val="single" w:sz="4" w:space="0" w:color="auto"/>
            </w:tcBorders>
            <w:vAlign w:val="center"/>
            <w:hideMark/>
          </w:tcPr>
          <w:p w14:paraId="57D5B297"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sz w:val="20"/>
                <w:szCs w:val="20"/>
              </w:rPr>
              <w:t xml:space="preserve">Recovery </w:t>
            </w:r>
            <w:r w:rsidRPr="00010588">
              <w:rPr>
                <w:rFonts w:ascii="Arial" w:eastAsia="Times New Roman" w:hAnsi="Arial" w:cs="Arial"/>
                <w:b/>
                <w:color w:val="000000"/>
                <w:sz w:val="20"/>
                <w:szCs w:val="20"/>
              </w:rPr>
              <w:t>(mg/kg)</w:t>
            </w:r>
          </w:p>
        </w:tc>
        <w:tc>
          <w:tcPr>
            <w:tcW w:w="1134" w:type="dxa"/>
            <w:tcBorders>
              <w:top w:val="nil"/>
              <w:left w:val="nil"/>
              <w:bottom w:val="single" w:sz="4" w:space="0" w:color="auto"/>
              <w:right w:val="single" w:sz="4" w:space="0" w:color="auto"/>
            </w:tcBorders>
            <w:vAlign w:val="center"/>
            <w:hideMark/>
          </w:tcPr>
          <w:p w14:paraId="3C312A77" w14:textId="77777777" w:rsidR="003D1E69" w:rsidRPr="00010588" w:rsidRDefault="003D1E69" w:rsidP="003D1E69">
            <w:pPr>
              <w:spacing w:after="0" w:line="240" w:lineRule="auto"/>
              <w:jc w:val="center"/>
              <w:rPr>
                <w:rFonts w:ascii="Arial" w:eastAsia="Times New Roman" w:hAnsi="Arial" w:cs="Arial"/>
                <w:b/>
                <w:color w:val="000000"/>
                <w:sz w:val="20"/>
                <w:szCs w:val="20"/>
              </w:rPr>
            </w:pPr>
            <w:proofErr w:type="gramStart"/>
            <w:r w:rsidRPr="00010588">
              <w:rPr>
                <w:rFonts w:ascii="Arial" w:eastAsia="Times New Roman" w:hAnsi="Arial" w:cs="Arial"/>
                <w:b/>
                <w:color w:val="000000"/>
                <w:sz w:val="20"/>
                <w:szCs w:val="20"/>
              </w:rPr>
              <w:t>Recovery  %</w:t>
            </w:r>
            <w:proofErr w:type="gramEnd"/>
          </w:p>
        </w:tc>
      </w:tr>
      <w:tr w:rsidR="003D1E69" w:rsidRPr="00010588" w14:paraId="44297032" w14:textId="77777777" w:rsidTr="003D1E69">
        <w:trPr>
          <w:trHeight w:val="330"/>
        </w:trPr>
        <w:tc>
          <w:tcPr>
            <w:tcW w:w="893" w:type="dxa"/>
            <w:tcBorders>
              <w:top w:val="nil"/>
              <w:left w:val="single" w:sz="4" w:space="0" w:color="auto"/>
              <w:bottom w:val="single" w:sz="4" w:space="0" w:color="auto"/>
              <w:right w:val="single" w:sz="4" w:space="0" w:color="auto"/>
            </w:tcBorders>
            <w:vAlign w:val="center"/>
            <w:hideMark/>
          </w:tcPr>
          <w:p w14:paraId="667DA036"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R1</w:t>
            </w:r>
          </w:p>
        </w:tc>
        <w:tc>
          <w:tcPr>
            <w:tcW w:w="1282" w:type="dxa"/>
            <w:tcBorders>
              <w:top w:val="nil"/>
              <w:left w:val="nil"/>
              <w:bottom w:val="single" w:sz="4" w:space="0" w:color="auto"/>
              <w:right w:val="single" w:sz="4" w:space="0" w:color="auto"/>
            </w:tcBorders>
            <w:noWrap/>
            <w:vAlign w:val="center"/>
            <w:hideMark/>
          </w:tcPr>
          <w:p w14:paraId="7C7822B0"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0.052</w:t>
            </w:r>
          </w:p>
        </w:tc>
        <w:tc>
          <w:tcPr>
            <w:tcW w:w="1170" w:type="dxa"/>
            <w:tcBorders>
              <w:top w:val="nil"/>
              <w:left w:val="nil"/>
              <w:bottom w:val="single" w:sz="4" w:space="0" w:color="auto"/>
              <w:right w:val="single" w:sz="4" w:space="0" w:color="auto"/>
            </w:tcBorders>
            <w:noWrap/>
            <w:vAlign w:val="center"/>
            <w:hideMark/>
          </w:tcPr>
          <w:p w14:paraId="27D7A96F"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104.00</w:t>
            </w:r>
          </w:p>
        </w:tc>
        <w:tc>
          <w:tcPr>
            <w:tcW w:w="1440" w:type="dxa"/>
            <w:tcBorders>
              <w:top w:val="nil"/>
              <w:left w:val="nil"/>
              <w:bottom w:val="single" w:sz="4" w:space="0" w:color="auto"/>
              <w:right w:val="single" w:sz="4" w:space="0" w:color="auto"/>
            </w:tcBorders>
            <w:noWrap/>
            <w:vAlign w:val="center"/>
            <w:hideMark/>
          </w:tcPr>
          <w:p w14:paraId="178BC598"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0.272</w:t>
            </w:r>
          </w:p>
        </w:tc>
        <w:tc>
          <w:tcPr>
            <w:tcW w:w="1800" w:type="dxa"/>
            <w:tcBorders>
              <w:top w:val="nil"/>
              <w:left w:val="nil"/>
              <w:bottom w:val="single" w:sz="4" w:space="0" w:color="auto"/>
              <w:right w:val="single" w:sz="4" w:space="0" w:color="auto"/>
            </w:tcBorders>
            <w:noWrap/>
            <w:vAlign w:val="center"/>
            <w:hideMark/>
          </w:tcPr>
          <w:p w14:paraId="68280985"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108.50</w:t>
            </w:r>
          </w:p>
        </w:tc>
        <w:tc>
          <w:tcPr>
            <w:tcW w:w="1430" w:type="dxa"/>
            <w:tcBorders>
              <w:top w:val="nil"/>
              <w:left w:val="nil"/>
              <w:bottom w:val="single" w:sz="4" w:space="0" w:color="auto"/>
              <w:right w:val="single" w:sz="4" w:space="0" w:color="auto"/>
            </w:tcBorders>
            <w:noWrap/>
            <w:vAlign w:val="center"/>
            <w:hideMark/>
          </w:tcPr>
          <w:p w14:paraId="63022116"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0.510</w:t>
            </w:r>
          </w:p>
        </w:tc>
        <w:tc>
          <w:tcPr>
            <w:tcW w:w="1134" w:type="dxa"/>
            <w:tcBorders>
              <w:top w:val="nil"/>
              <w:left w:val="nil"/>
              <w:bottom w:val="single" w:sz="4" w:space="0" w:color="auto"/>
              <w:right w:val="single" w:sz="4" w:space="0" w:color="auto"/>
            </w:tcBorders>
            <w:noWrap/>
            <w:vAlign w:val="center"/>
            <w:hideMark/>
          </w:tcPr>
          <w:p w14:paraId="63BC26CD"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102.00</w:t>
            </w:r>
          </w:p>
        </w:tc>
      </w:tr>
      <w:tr w:rsidR="003D1E69" w:rsidRPr="00010588" w14:paraId="0E1223E1" w14:textId="77777777" w:rsidTr="003D1E69">
        <w:trPr>
          <w:trHeight w:val="330"/>
        </w:trPr>
        <w:tc>
          <w:tcPr>
            <w:tcW w:w="893" w:type="dxa"/>
            <w:tcBorders>
              <w:top w:val="nil"/>
              <w:left w:val="single" w:sz="4" w:space="0" w:color="auto"/>
              <w:bottom w:val="single" w:sz="4" w:space="0" w:color="auto"/>
              <w:right w:val="single" w:sz="4" w:space="0" w:color="auto"/>
            </w:tcBorders>
            <w:vAlign w:val="center"/>
            <w:hideMark/>
          </w:tcPr>
          <w:p w14:paraId="04C21352"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R2</w:t>
            </w:r>
          </w:p>
        </w:tc>
        <w:tc>
          <w:tcPr>
            <w:tcW w:w="1282" w:type="dxa"/>
            <w:tcBorders>
              <w:top w:val="nil"/>
              <w:left w:val="nil"/>
              <w:bottom w:val="single" w:sz="4" w:space="0" w:color="auto"/>
              <w:right w:val="single" w:sz="4" w:space="0" w:color="auto"/>
            </w:tcBorders>
            <w:noWrap/>
            <w:vAlign w:val="center"/>
            <w:hideMark/>
          </w:tcPr>
          <w:p w14:paraId="246BEC82"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0.055</w:t>
            </w:r>
          </w:p>
        </w:tc>
        <w:tc>
          <w:tcPr>
            <w:tcW w:w="1170" w:type="dxa"/>
            <w:tcBorders>
              <w:top w:val="nil"/>
              <w:left w:val="nil"/>
              <w:bottom w:val="single" w:sz="4" w:space="0" w:color="auto"/>
              <w:right w:val="single" w:sz="4" w:space="0" w:color="auto"/>
            </w:tcBorders>
            <w:noWrap/>
            <w:vAlign w:val="center"/>
            <w:hideMark/>
          </w:tcPr>
          <w:p w14:paraId="5B5D0826"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110.00</w:t>
            </w:r>
          </w:p>
        </w:tc>
        <w:tc>
          <w:tcPr>
            <w:tcW w:w="1440" w:type="dxa"/>
            <w:tcBorders>
              <w:top w:val="nil"/>
              <w:left w:val="nil"/>
              <w:bottom w:val="single" w:sz="4" w:space="0" w:color="auto"/>
              <w:right w:val="single" w:sz="4" w:space="0" w:color="auto"/>
            </w:tcBorders>
            <w:noWrap/>
            <w:vAlign w:val="center"/>
            <w:hideMark/>
          </w:tcPr>
          <w:p w14:paraId="1B0E7A3D"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0.259</w:t>
            </w:r>
          </w:p>
        </w:tc>
        <w:tc>
          <w:tcPr>
            <w:tcW w:w="1800" w:type="dxa"/>
            <w:tcBorders>
              <w:top w:val="nil"/>
              <w:left w:val="nil"/>
              <w:bottom w:val="single" w:sz="4" w:space="0" w:color="auto"/>
              <w:right w:val="single" w:sz="4" w:space="0" w:color="auto"/>
            </w:tcBorders>
            <w:noWrap/>
            <w:vAlign w:val="center"/>
            <w:hideMark/>
          </w:tcPr>
          <w:p w14:paraId="1574473C"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103.60</w:t>
            </w:r>
          </w:p>
        </w:tc>
        <w:tc>
          <w:tcPr>
            <w:tcW w:w="1430" w:type="dxa"/>
            <w:tcBorders>
              <w:top w:val="nil"/>
              <w:left w:val="nil"/>
              <w:bottom w:val="single" w:sz="4" w:space="0" w:color="auto"/>
              <w:right w:val="single" w:sz="4" w:space="0" w:color="auto"/>
            </w:tcBorders>
            <w:noWrap/>
            <w:vAlign w:val="center"/>
            <w:hideMark/>
          </w:tcPr>
          <w:p w14:paraId="28DD90CE"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0.532</w:t>
            </w:r>
          </w:p>
        </w:tc>
        <w:tc>
          <w:tcPr>
            <w:tcW w:w="1134" w:type="dxa"/>
            <w:tcBorders>
              <w:top w:val="nil"/>
              <w:left w:val="nil"/>
              <w:bottom w:val="single" w:sz="4" w:space="0" w:color="auto"/>
              <w:right w:val="single" w:sz="4" w:space="0" w:color="auto"/>
            </w:tcBorders>
            <w:noWrap/>
            <w:vAlign w:val="center"/>
            <w:hideMark/>
          </w:tcPr>
          <w:p w14:paraId="5708F7AA"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106.40</w:t>
            </w:r>
          </w:p>
        </w:tc>
      </w:tr>
      <w:tr w:rsidR="003D1E69" w:rsidRPr="00010588" w14:paraId="24F6F93B" w14:textId="77777777" w:rsidTr="003D1E69">
        <w:trPr>
          <w:trHeight w:val="330"/>
        </w:trPr>
        <w:tc>
          <w:tcPr>
            <w:tcW w:w="893" w:type="dxa"/>
            <w:tcBorders>
              <w:top w:val="nil"/>
              <w:left w:val="single" w:sz="4" w:space="0" w:color="auto"/>
              <w:bottom w:val="single" w:sz="4" w:space="0" w:color="auto"/>
              <w:right w:val="single" w:sz="4" w:space="0" w:color="auto"/>
            </w:tcBorders>
            <w:vAlign w:val="center"/>
            <w:hideMark/>
          </w:tcPr>
          <w:p w14:paraId="68F73086"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R3</w:t>
            </w:r>
          </w:p>
        </w:tc>
        <w:tc>
          <w:tcPr>
            <w:tcW w:w="1282" w:type="dxa"/>
            <w:tcBorders>
              <w:top w:val="nil"/>
              <w:left w:val="nil"/>
              <w:bottom w:val="single" w:sz="4" w:space="0" w:color="auto"/>
              <w:right w:val="single" w:sz="4" w:space="0" w:color="auto"/>
            </w:tcBorders>
            <w:noWrap/>
            <w:vAlign w:val="center"/>
            <w:hideMark/>
          </w:tcPr>
          <w:p w14:paraId="6E0D70F3"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0.049</w:t>
            </w:r>
          </w:p>
        </w:tc>
        <w:tc>
          <w:tcPr>
            <w:tcW w:w="1170" w:type="dxa"/>
            <w:tcBorders>
              <w:top w:val="nil"/>
              <w:left w:val="nil"/>
              <w:bottom w:val="single" w:sz="4" w:space="0" w:color="auto"/>
              <w:right w:val="single" w:sz="4" w:space="0" w:color="auto"/>
            </w:tcBorders>
            <w:noWrap/>
            <w:vAlign w:val="center"/>
            <w:hideMark/>
          </w:tcPr>
          <w:p w14:paraId="14B3062D"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98.00</w:t>
            </w:r>
          </w:p>
        </w:tc>
        <w:tc>
          <w:tcPr>
            <w:tcW w:w="1440" w:type="dxa"/>
            <w:tcBorders>
              <w:top w:val="nil"/>
              <w:left w:val="nil"/>
              <w:bottom w:val="single" w:sz="4" w:space="0" w:color="auto"/>
              <w:right w:val="single" w:sz="4" w:space="0" w:color="auto"/>
            </w:tcBorders>
            <w:noWrap/>
            <w:vAlign w:val="center"/>
            <w:hideMark/>
          </w:tcPr>
          <w:p w14:paraId="3300B567"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0.264</w:t>
            </w:r>
          </w:p>
        </w:tc>
        <w:tc>
          <w:tcPr>
            <w:tcW w:w="1800" w:type="dxa"/>
            <w:tcBorders>
              <w:top w:val="nil"/>
              <w:left w:val="nil"/>
              <w:bottom w:val="single" w:sz="4" w:space="0" w:color="auto"/>
              <w:right w:val="single" w:sz="4" w:space="0" w:color="auto"/>
            </w:tcBorders>
            <w:noWrap/>
            <w:vAlign w:val="center"/>
            <w:hideMark/>
          </w:tcPr>
          <w:p w14:paraId="3D3C0E14"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105.6</w:t>
            </w:r>
          </w:p>
        </w:tc>
        <w:tc>
          <w:tcPr>
            <w:tcW w:w="1430" w:type="dxa"/>
            <w:tcBorders>
              <w:top w:val="nil"/>
              <w:left w:val="nil"/>
              <w:bottom w:val="single" w:sz="4" w:space="0" w:color="auto"/>
              <w:right w:val="single" w:sz="4" w:space="0" w:color="auto"/>
            </w:tcBorders>
            <w:noWrap/>
            <w:vAlign w:val="center"/>
            <w:hideMark/>
          </w:tcPr>
          <w:p w14:paraId="43F4F10E"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0.492</w:t>
            </w:r>
          </w:p>
        </w:tc>
        <w:tc>
          <w:tcPr>
            <w:tcW w:w="1134" w:type="dxa"/>
            <w:tcBorders>
              <w:top w:val="nil"/>
              <w:left w:val="nil"/>
              <w:bottom w:val="single" w:sz="4" w:space="0" w:color="auto"/>
              <w:right w:val="single" w:sz="4" w:space="0" w:color="auto"/>
            </w:tcBorders>
            <w:noWrap/>
            <w:vAlign w:val="center"/>
            <w:hideMark/>
          </w:tcPr>
          <w:p w14:paraId="26D06D1F"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98.40</w:t>
            </w:r>
          </w:p>
        </w:tc>
      </w:tr>
      <w:tr w:rsidR="003D1E69" w:rsidRPr="00010588" w14:paraId="7B4F1F12" w14:textId="77777777" w:rsidTr="003D1E69">
        <w:trPr>
          <w:trHeight w:val="330"/>
        </w:trPr>
        <w:tc>
          <w:tcPr>
            <w:tcW w:w="893" w:type="dxa"/>
            <w:tcBorders>
              <w:top w:val="nil"/>
              <w:left w:val="single" w:sz="4" w:space="0" w:color="auto"/>
              <w:bottom w:val="single" w:sz="4" w:space="0" w:color="auto"/>
              <w:right w:val="single" w:sz="4" w:space="0" w:color="auto"/>
            </w:tcBorders>
            <w:vAlign w:val="center"/>
            <w:hideMark/>
          </w:tcPr>
          <w:p w14:paraId="31C42467"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Mean</w:t>
            </w:r>
          </w:p>
        </w:tc>
        <w:tc>
          <w:tcPr>
            <w:tcW w:w="1282" w:type="dxa"/>
            <w:tcBorders>
              <w:top w:val="nil"/>
              <w:left w:val="nil"/>
              <w:bottom w:val="single" w:sz="4" w:space="0" w:color="auto"/>
              <w:right w:val="single" w:sz="4" w:space="0" w:color="auto"/>
            </w:tcBorders>
            <w:vAlign w:val="center"/>
            <w:hideMark/>
          </w:tcPr>
          <w:p w14:paraId="4CB54056"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70" w:type="dxa"/>
            <w:tcBorders>
              <w:top w:val="nil"/>
              <w:left w:val="nil"/>
              <w:bottom w:val="single" w:sz="4" w:space="0" w:color="auto"/>
              <w:right w:val="single" w:sz="4" w:space="0" w:color="auto"/>
            </w:tcBorders>
            <w:vAlign w:val="center"/>
            <w:hideMark/>
          </w:tcPr>
          <w:p w14:paraId="6071F091"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104.00</w:t>
            </w:r>
          </w:p>
        </w:tc>
        <w:tc>
          <w:tcPr>
            <w:tcW w:w="1440" w:type="dxa"/>
            <w:tcBorders>
              <w:top w:val="nil"/>
              <w:left w:val="nil"/>
              <w:bottom w:val="single" w:sz="4" w:space="0" w:color="auto"/>
              <w:right w:val="single" w:sz="4" w:space="0" w:color="auto"/>
            </w:tcBorders>
            <w:vAlign w:val="center"/>
            <w:hideMark/>
          </w:tcPr>
          <w:p w14:paraId="0E26D5E7"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800" w:type="dxa"/>
            <w:tcBorders>
              <w:top w:val="nil"/>
              <w:left w:val="nil"/>
              <w:bottom w:val="single" w:sz="4" w:space="0" w:color="auto"/>
              <w:right w:val="single" w:sz="4" w:space="0" w:color="auto"/>
            </w:tcBorders>
            <w:vAlign w:val="center"/>
            <w:hideMark/>
          </w:tcPr>
          <w:p w14:paraId="02E8AFA0"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106.00</w:t>
            </w:r>
          </w:p>
        </w:tc>
        <w:tc>
          <w:tcPr>
            <w:tcW w:w="1430" w:type="dxa"/>
            <w:tcBorders>
              <w:top w:val="nil"/>
              <w:left w:val="nil"/>
              <w:bottom w:val="single" w:sz="4" w:space="0" w:color="auto"/>
              <w:right w:val="single" w:sz="4" w:space="0" w:color="auto"/>
            </w:tcBorders>
            <w:vAlign w:val="center"/>
            <w:hideMark/>
          </w:tcPr>
          <w:p w14:paraId="33A64326"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vAlign w:val="center"/>
            <w:hideMark/>
          </w:tcPr>
          <w:p w14:paraId="0C6AE13A"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102.27</w:t>
            </w:r>
          </w:p>
        </w:tc>
      </w:tr>
      <w:tr w:rsidR="003D1E69" w:rsidRPr="00010588" w14:paraId="33E41E4C" w14:textId="77777777" w:rsidTr="003D1E69">
        <w:trPr>
          <w:trHeight w:val="330"/>
        </w:trPr>
        <w:tc>
          <w:tcPr>
            <w:tcW w:w="893" w:type="dxa"/>
            <w:tcBorders>
              <w:top w:val="nil"/>
              <w:left w:val="single" w:sz="4" w:space="0" w:color="auto"/>
              <w:bottom w:val="single" w:sz="4" w:space="0" w:color="auto"/>
              <w:right w:val="single" w:sz="4" w:space="0" w:color="auto"/>
            </w:tcBorders>
            <w:vAlign w:val="center"/>
            <w:hideMark/>
          </w:tcPr>
          <w:p w14:paraId="2567EDCD"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SD±</w:t>
            </w:r>
          </w:p>
        </w:tc>
        <w:tc>
          <w:tcPr>
            <w:tcW w:w="1282" w:type="dxa"/>
            <w:tcBorders>
              <w:top w:val="nil"/>
              <w:left w:val="nil"/>
              <w:bottom w:val="single" w:sz="4" w:space="0" w:color="auto"/>
              <w:right w:val="single" w:sz="4" w:space="0" w:color="auto"/>
            </w:tcBorders>
            <w:vAlign w:val="center"/>
            <w:hideMark/>
          </w:tcPr>
          <w:p w14:paraId="1F1A997B"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70" w:type="dxa"/>
            <w:tcBorders>
              <w:top w:val="nil"/>
              <w:left w:val="nil"/>
              <w:bottom w:val="single" w:sz="4" w:space="0" w:color="auto"/>
              <w:right w:val="single" w:sz="4" w:space="0" w:color="auto"/>
            </w:tcBorders>
            <w:vAlign w:val="center"/>
            <w:hideMark/>
          </w:tcPr>
          <w:p w14:paraId="5A7ECC83"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6.00</w:t>
            </w:r>
          </w:p>
        </w:tc>
        <w:tc>
          <w:tcPr>
            <w:tcW w:w="1440" w:type="dxa"/>
            <w:tcBorders>
              <w:top w:val="nil"/>
              <w:left w:val="nil"/>
              <w:bottom w:val="single" w:sz="4" w:space="0" w:color="auto"/>
              <w:right w:val="single" w:sz="4" w:space="0" w:color="auto"/>
            </w:tcBorders>
            <w:vAlign w:val="center"/>
            <w:hideMark/>
          </w:tcPr>
          <w:p w14:paraId="4D78ACB5"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800" w:type="dxa"/>
            <w:tcBorders>
              <w:top w:val="nil"/>
              <w:left w:val="nil"/>
              <w:bottom w:val="single" w:sz="4" w:space="0" w:color="auto"/>
              <w:right w:val="single" w:sz="4" w:space="0" w:color="auto"/>
            </w:tcBorders>
            <w:vAlign w:val="center"/>
            <w:hideMark/>
          </w:tcPr>
          <w:p w14:paraId="298683E8"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2.62</w:t>
            </w:r>
          </w:p>
        </w:tc>
        <w:tc>
          <w:tcPr>
            <w:tcW w:w="1430" w:type="dxa"/>
            <w:tcBorders>
              <w:top w:val="nil"/>
              <w:left w:val="nil"/>
              <w:bottom w:val="single" w:sz="4" w:space="0" w:color="auto"/>
              <w:right w:val="single" w:sz="4" w:space="0" w:color="auto"/>
            </w:tcBorders>
            <w:vAlign w:val="center"/>
            <w:hideMark/>
          </w:tcPr>
          <w:p w14:paraId="287F2131"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vAlign w:val="center"/>
            <w:hideMark/>
          </w:tcPr>
          <w:p w14:paraId="30291A56"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4.01</w:t>
            </w:r>
          </w:p>
        </w:tc>
      </w:tr>
      <w:tr w:rsidR="003D1E69" w:rsidRPr="00010588" w14:paraId="304CE5CA" w14:textId="77777777" w:rsidTr="003D1E69">
        <w:trPr>
          <w:trHeight w:val="330"/>
        </w:trPr>
        <w:tc>
          <w:tcPr>
            <w:tcW w:w="893" w:type="dxa"/>
            <w:tcBorders>
              <w:top w:val="nil"/>
              <w:left w:val="single" w:sz="4" w:space="0" w:color="auto"/>
              <w:bottom w:val="single" w:sz="4" w:space="0" w:color="auto"/>
              <w:right w:val="single" w:sz="4" w:space="0" w:color="auto"/>
            </w:tcBorders>
            <w:vAlign w:val="center"/>
            <w:hideMark/>
          </w:tcPr>
          <w:p w14:paraId="516B2745" w14:textId="77777777" w:rsidR="003D1E69" w:rsidRPr="00010588" w:rsidRDefault="003D1E69" w:rsidP="003D1E69">
            <w:pPr>
              <w:spacing w:after="0" w:line="240" w:lineRule="auto"/>
              <w:jc w:val="center"/>
              <w:rPr>
                <w:rFonts w:ascii="Arial" w:eastAsia="Times New Roman" w:hAnsi="Arial" w:cs="Arial"/>
                <w:b/>
                <w:color w:val="000000"/>
                <w:sz w:val="20"/>
                <w:szCs w:val="20"/>
              </w:rPr>
            </w:pPr>
            <w:r w:rsidRPr="00010588">
              <w:rPr>
                <w:rFonts w:ascii="Arial" w:eastAsia="Times New Roman" w:hAnsi="Arial" w:cs="Arial"/>
                <w:b/>
                <w:color w:val="000000"/>
                <w:sz w:val="20"/>
                <w:szCs w:val="20"/>
              </w:rPr>
              <w:t>RSD</w:t>
            </w:r>
          </w:p>
        </w:tc>
        <w:tc>
          <w:tcPr>
            <w:tcW w:w="1282" w:type="dxa"/>
            <w:tcBorders>
              <w:top w:val="nil"/>
              <w:left w:val="nil"/>
              <w:bottom w:val="single" w:sz="4" w:space="0" w:color="auto"/>
              <w:right w:val="single" w:sz="4" w:space="0" w:color="auto"/>
            </w:tcBorders>
            <w:vAlign w:val="center"/>
            <w:hideMark/>
          </w:tcPr>
          <w:p w14:paraId="16CE5DDB"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70" w:type="dxa"/>
            <w:tcBorders>
              <w:top w:val="nil"/>
              <w:left w:val="nil"/>
              <w:bottom w:val="single" w:sz="4" w:space="0" w:color="auto"/>
              <w:right w:val="single" w:sz="4" w:space="0" w:color="auto"/>
            </w:tcBorders>
            <w:vAlign w:val="center"/>
            <w:hideMark/>
          </w:tcPr>
          <w:p w14:paraId="05F36198"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5.77</w:t>
            </w:r>
          </w:p>
        </w:tc>
        <w:tc>
          <w:tcPr>
            <w:tcW w:w="1440" w:type="dxa"/>
            <w:tcBorders>
              <w:top w:val="nil"/>
              <w:left w:val="nil"/>
              <w:bottom w:val="single" w:sz="4" w:space="0" w:color="auto"/>
              <w:right w:val="single" w:sz="4" w:space="0" w:color="auto"/>
            </w:tcBorders>
            <w:vAlign w:val="center"/>
            <w:hideMark/>
          </w:tcPr>
          <w:p w14:paraId="64F3BF2F"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800" w:type="dxa"/>
            <w:tcBorders>
              <w:top w:val="nil"/>
              <w:left w:val="nil"/>
              <w:bottom w:val="single" w:sz="4" w:space="0" w:color="auto"/>
              <w:right w:val="single" w:sz="4" w:space="0" w:color="auto"/>
            </w:tcBorders>
            <w:vAlign w:val="center"/>
            <w:hideMark/>
          </w:tcPr>
          <w:p w14:paraId="75FA6C66"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2.47</w:t>
            </w:r>
          </w:p>
        </w:tc>
        <w:tc>
          <w:tcPr>
            <w:tcW w:w="1430" w:type="dxa"/>
            <w:tcBorders>
              <w:top w:val="nil"/>
              <w:left w:val="nil"/>
              <w:bottom w:val="single" w:sz="4" w:space="0" w:color="auto"/>
              <w:right w:val="single" w:sz="4" w:space="0" w:color="auto"/>
            </w:tcBorders>
            <w:vAlign w:val="center"/>
            <w:hideMark/>
          </w:tcPr>
          <w:p w14:paraId="231D8EB3"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 </w:t>
            </w:r>
          </w:p>
        </w:tc>
        <w:tc>
          <w:tcPr>
            <w:tcW w:w="1134" w:type="dxa"/>
            <w:tcBorders>
              <w:top w:val="nil"/>
              <w:left w:val="nil"/>
              <w:bottom w:val="single" w:sz="4" w:space="0" w:color="auto"/>
              <w:right w:val="single" w:sz="4" w:space="0" w:color="auto"/>
            </w:tcBorders>
            <w:vAlign w:val="center"/>
            <w:hideMark/>
          </w:tcPr>
          <w:p w14:paraId="3FF8366E" w14:textId="77777777" w:rsidR="003D1E69" w:rsidRPr="00010588" w:rsidRDefault="003D1E69" w:rsidP="003D1E69">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3.92</w:t>
            </w:r>
          </w:p>
        </w:tc>
      </w:tr>
    </w:tbl>
    <w:p w14:paraId="11184955" w14:textId="77777777" w:rsidR="005D0EC4" w:rsidRPr="00010588" w:rsidRDefault="008839D3" w:rsidP="008E0048">
      <w:pPr>
        <w:spacing w:after="0" w:line="360" w:lineRule="auto"/>
        <w:jc w:val="both"/>
        <w:rPr>
          <w:rFonts w:ascii="Arial" w:hAnsi="Arial" w:cs="Arial"/>
          <w:b/>
          <w:bCs/>
          <w:sz w:val="20"/>
          <w:szCs w:val="20"/>
        </w:rPr>
      </w:pPr>
      <w:r w:rsidRPr="00010588">
        <w:rPr>
          <w:rFonts w:ascii="Arial" w:hAnsi="Arial" w:cs="Arial"/>
          <w:b/>
          <w:bCs/>
          <w:sz w:val="20"/>
          <w:szCs w:val="20"/>
        </w:rPr>
        <w:t xml:space="preserve">3.2 </w:t>
      </w:r>
      <w:r w:rsidR="005D0EC4" w:rsidRPr="00010588">
        <w:rPr>
          <w:rFonts w:ascii="Arial" w:hAnsi="Arial" w:cs="Arial"/>
          <w:b/>
          <w:bCs/>
          <w:sz w:val="20"/>
          <w:szCs w:val="20"/>
        </w:rPr>
        <w:t xml:space="preserve">Dissipation of </w:t>
      </w:r>
      <w:proofErr w:type="spellStart"/>
      <w:r w:rsidR="005D0EC4" w:rsidRPr="00010588">
        <w:rPr>
          <w:rFonts w:ascii="Arial" w:hAnsi="Arial" w:cs="Arial"/>
          <w:b/>
          <w:bCs/>
          <w:sz w:val="20"/>
          <w:szCs w:val="20"/>
        </w:rPr>
        <w:t>Chlorantraniliprole</w:t>
      </w:r>
      <w:proofErr w:type="spellEnd"/>
      <w:r w:rsidR="005D0EC4" w:rsidRPr="00010588">
        <w:rPr>
          <w:rFonts w:ascii="Arial" w:hAnsi="Arial" w:cs="Arial"/>
          <w:b/>
          <w:bCs/>
          <w:sz w:val="20"/>
          <w:szCs w:val="20"/>
        </w:rPr>
        <w:t xml:space="preserve"> in </w:t>
      </w:r>
      <w:proofErr w:type="spellStart"/>
      <w:r w:rsidR="005D0EC4" w:rsidRPr="00010588">
        <w:rPr>
          <w:rFonts w:ascii="Arial" w:hAnsi="Arial" w:cs="Arial"/>
          <w:b/>
          <w:bCs/>
          <w:sz w:val="20"/>
          <w:szCs w:val="20"/>
        </w:rPr>
        <w:t>Pigeonpea</w:t>
      </w:r>
      <w:proofErr w:type="spellEnd"/>
      <w:r w:rsidR="005D0EC4" w:rsidRPr="00010588">
        <w:rPr>
          <w:rFonts w:ascii="Arial" w:hAnsi="Arial" w:cs="Arial"/>
          <w:b/>
          <w:bCs/>
          <w:sz w:val="20"/>
          <w:szCs w:val="20"/>
        </w:rPr>
        <w:t xml:space="preserve"> Pods</w:t>
      </w:r>
    </w:p>
    <w:p w14:paraId="6BC1F846" w14:textId="77777777" w:rsidR="008E0048" w:rsidRPr="00010588" w:rsidRDefault="008E0048" w:rsidP="008E0048">
      <w:pPr>
        <w:spacing w:after="0" w:line="360" w:lineRule="auto"/>
        <w:jc w:val="both"/>
        <w:rPr>
          <w:rFonts w:ascii="Arial" w:hAnsi="Arial" w:cs="Arial"/>
          <w:b/>
          <w:bCs/>
          <w:sz w:val="20"/>
          <w:szCs w:val="20"/>
        </w:rPr>
      </w:pPr>
    </w:p>
    <w:p w14:paraId="0B5E90B1" w14:textId="77777777" w:rsidR="005D0EC4" w:rsidRPr="00010588" w:rsidRDefault="005D0EC4"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w:t>
      </w:r>
      <w:r w:rsidR="00477BF0" w:rsidRPr="00010588">
        <w:rPr>
          <w:rFonts w:ascii="Arial" w:hAnsi="Arial" w:cs="Arial"/>
          <w:sz w:val="20"/>
          <w:szCs w:val="20"/>
        </w:rPr>
        <w:t xml:space="preserve">cumulative data of </w:t>
      </w:r>
      <w:r w:rsidRPr="00010588">
        <w:rPr>
          <w:rFonts w:ascii="Arial" w:hAnsi="Arial" w:cs="Arial"/>
          <w:sz w:val="20"/>
          <w:szCs w:val="20"/>
        </w:rPr>
        <w:t xml:space="preserve">field studies conducted during the </w:t>
      </w:r>
      <w:proofErr w:type="spellStart"/>
      <w:r w:rsidRPr="00010588">
        <w:rPr>
          <w:rFonts w:ascii="Arial" w:hAnsi="Arial" w:cs="Arial"/>
          <w:i/>
          <w:iCs/>
          <w:sz w:val="20"/>
          <w:szCs w:val="20"/>
        </w:rPr>
        <w:t>rabi</w:t>
      </w:r>
      <w:proofErr w:type="spellEnd"/>
      <w:r w:rsidRPr="00010588">
        <w:rPr>
          <w:rFonts w:ascii="Arial" w:hAnsi="Arial" w:cs="Arial"/>
          <w:sz w:val="20"/>
          <w:szCs w:val="20"/>
        </w:rPr>
        <w:t xml:space="preserve"> seasons of 2021–22 and 2022–23 revealed a </w:t>
      </w:r>
      <w:r w:rsidRPr="00010588">
        <w:rPr>
          <w:rFonts w:ascii="Arial" w:hAnsi="Arial" w:cs="Arial"/>
          <w:bCs/>
          <w:sz w:val="20"/>
          <w:szCs w:val="20"/>
        </w:rPr>
        <w:t xml:space="preserve">rapid dissipation of </w:t>
      </w:r>
      <w:proofErr w:type="spellStart"/>
      <w:r w:rsidRPr="00010588">
        <w:rPr>
          <w:rFonts w:ascii="Arial" w:hAnsi="Arial" w:cs="Arial"/>
          <w:bCs/>
          <w:sz w:val="20"/>
          <w:szCs w:val="20"/>
        </w:rPr>
        <w:t>chlorantraniliprole</w:t>
      </w:r>
      <w:proofErr w:type="spellEnd"/>
      <w:r w:rsidRPr="00010588">
        <w:rPr>
          <w:rFonts w:ascii="Arial" w:hAnsi="Arial" w:cs="Arial"/>
          <w:bCs/>
          <w:sz w:val="20"/>
          <w:szCs w:val="20"/>
        </w:rPr>
        <w:t xml:space="preserve"> in </w:t>
      </w:r>
      <w:proofErr w:type="spellStart"/>
      <w:r w:rsidRPr="00010588">
        <w:rPr>
          <w:rFonts w:ascii="Arial" w:hAnsi="Arial" w:cs="Arial"/>
          <w:bCs/>
          <w:sz w:val="20"/>
          <w:szCs w:val="20"/>
        </w:rPr>
        <w:t>pigeonpea</w:t>
      </w:r>
      <w:proofErr w:type="spellEnd"/>
      <w:r w:rsidRPr="00010588">
        <w:rPr>
          <w:rFonts w:ascii="Arial" w:hAnsi="Arial" w:cs="Arial"/>
          <w:bCs/>
          <w:sz w:val="20"/>
          <w:szCs w:val="20"/>
        </w:rPr>
        <w:t xml:space="preserve"> pods</w:t>
      </w:r>
      <w:r w:rsidRPr="00010588">
        <w:rPr>
          <w:rFonts w:ascii="Arial" w:hAnsi="Arial" w:cs="Arial"/>
          <w:sz w:val="20"/>
          <w:szCs w:val="20"/>
        </w:rPr>
        <w:t xml:space="preserve">, indicating its </w:t>
      </w:r>
      <w:r w:rsidR="00FE422A" w:rsidRPr="00010588">
        <w:rPr>
          <w:rFonts w:ascii="Arial" w:hAnsi="Arial" w:cs="Arial"/>
          <w:sz w:val="20"/>
          <w:szCs w:val="20"/>
        </w:rPr>
        <w:t>favourable</w:t>
      </w:r>
      <w:r w:rsidRPr="00010588">
        <w:rPr>
          <w:rFonts w:ascii="Arial" w:hAnsi="Arial" w:cs="Arial"/>
          <w:sz w:val="20"/>
          <w:szCs w:val="20"/>
        </w:rPr>
        <w:t xml:space="preserve"> degradation profile for safe consumption.</w:t>
      </w:r>
    </w:p>
    <w:p w14:paraId="45E18222" w14:textId="77777777" w:rsidR="00030085" w:rsidRPr="00010588" w:rsidRDefault="00030085" w:rsidP="00030085">
      <w:pPr>
        <w:spacing w:line="360" w:lineRule="auto"/>
        <w:ind w:firstLine="720"/>
        <w:jc w:val="both"/>
        <w:rPr>
          <w:rFonts w:ascii="Arial" w:hAnsi="Arial" w:cs="Arial"/>
          <w:bCs/>
          <w:sz w:val="20"/>
          <w:szCs w:val="20"/>
        </w:rPr>
      </w:pPr>
      <w:r w:rsidRPr="00010588">
        <w:rPr>
          <w:rFonts w:ascii="Arial" w:hAnsi="Arial" w:cs="Arial"/>
          <w:bCs/>
          <w:sz w:val="20"/>
          <w:szCs w:val="20"/>
        </w:rPr>
        <w:t xml:space="preserve">The data provided shows the dissipation of </w:t>
      </w:r>
      <w:proofErr w:type="spellStart"/>
      <w:r w:rsidRPr="00010588">
        <w:rPr>
          <w:rFonts w:ascii="Arial" w:hAnsi="Arial" w:cs="Arial"/>
          <w:bCs/>
          <w:sz w:val="20"/>
          <w:szCs w:val="20"/>
        </w:rPr>
        <w:t>chlorantraniliprole</w:t>
      </w:r>
      <w:proofErr w:type="spellEnd"/>
      <w:r w:rsidRPr="00010588">
        <w:rPr>
          <w:rFonts w:ascii="Arial" w:hAnsi="Arial" w:cs="Arial"/>
          <w:bCs/>
          <w:sz w:val="20"/>
          <w:szCs w:val="20"/>
        </w:rPr>
        <w:t xml:space="preserve"> residues over time after application, with measurements taken at various intervals. Initially, on Day 0, the average residue concentration is 2.54 mg/kg. Over the next few days, the pesticide dissipates rapidly: by Day 1, approximately 38.65% of the residue has degraded; by Day 3, 69.16% is gone; and by Day 5, 90.62% has dissipated. By Day 7, 94.92% of the </w:t>
      </w:r>
      <w:r w:rsidR="00DC51C0" w:rsidRPr="00010588">
        <w:rPr>
          <w:rFonts w:ascii="Arial" w:hAnsi="Arial" w:cs="Arial"/>
          <w:bCs/>
          <w:sz w:val="20"/>
          <w:szCs w:val="20"/>
        </w:rPr>
        <w:t>insecticide</w:t>
      </w:r>
      <w:r w:rsidRPr="00010588">
        <w:rPr>
          <w:rFonts w:ascii="Arial" w:hAnsi="Arial" w:cs="Arial"/>
          <w:bCs/>
          <w:sz w:val="20"/>
          <w:szCs w:val="20"/>
        </w:rPr>
        <w:t xml:space="preserve"> has broken down</w:t>
      </w:r>
      <w:r w:rsidR="00F43A11" w:rsidRPr="00010588">
        <w:rPr>
          <w:rFonts w:ascii="Arial" w:hAnsi="Arial" w:cs="Arial"/>
          <w:bCs/>
          <w:sz w:val="20"/>
          <w:szCs w:val="20"/>
        </w:rPr>
        <w:t xml:space="preserve"> and</w:t>
      </w:r>
      <w:r w:rsidRPr="00010588">
        <w:rPr>
          <w:rFonts w:ascii="Arial" w:hAnsi="Arial" w:cs="Arial"/>
          <w:bCs/>
          <w:sz w:val="20"/>
          <w:szCs w:val="20"/>
        </w:rPr>
        <w:t xml:space="preserve"> by Day 10, the residues fall below the detectable limit (BDL). At Days 15 and 20, no residues are detected (ND)</w:t>
      </w:r>
      <w:r w:rsidR="00F43A11" w:rsidRPr="00010588">
        <w:rPr>
          <w:rFonts w:ascii="Arial" w:hAnsi="Arial" w:cs="Arial"/>
          <w:bCs/>
          <w:sz w:val="20"/>
          <w:szCs w:val="20"/>
        </w:rPr>
        <w:t xml:space="preserve"> and</w:t>
      </w:r>
      <w:r w:rsidRPr="00010588">
        <w:rPr>
          <w:rFonts w:ascii="Arial" w:hAnsi="Arial" w:cs="Arial"/>
          <w:bCs/>
          <w:sz w:val="20"/>
          <w:szCs w:val="20"/>
        </w:rPr>
        <w:t xml:space="preserve"> at harvest, the </w:t>
      </w:r>
      <w:r w:rsidR="0081537B" w:rsidRPr="00010588">
        <w:rPr>
          <w:rFonts w:ascii="Arial" w:hAnsi="Arial" w:cs="Arial"/>
          <w:bCs/>
          <w:sz w:val="20"/>
          <w:szCs w:val="20"/>
        </w:rPr>
        <w:t>insecticide</w:t>
      </w:r>
      <w:r w:rsidRPr="00010588">
        <w:rPr>
          <w:rFonts w:ascii="Arial" w:hAnsi="Arial" w:cs="Arial"/>
          <w:bCs/>
          <w:sz w:val="20"/>
          <w:szCs w:val="20"/>
        </w:rPr>
        <w:t xml:space="preserve"> is undetectable. The regression equation y = -0.3276x + 2.1007 (R² = 0.8728) indicates a strong but not perfect linear relationship between time and </w:t>
      </w:r>
      <w:r w:rsidR="0081537B" w:rsidRPr="00010588">
        <w:rPr>
          <w:rFonts w:ascii="Arial" w:hAnsi="Arial" w:cs="Arial"/>
          <w:bCs/>
          <w:sz w:val="20"/>
          <w:szCs w:val="20"/>
        </w:rPr>
        <w:t>insecticide</w:t>
      </w:r>
      <w:r w:rsidRPr="00010588">
        <w:rPr>
          <w:rFonts w:ascii="Arial" w:hAnsi="Arial" w:cs="Arial"/>
          <w:bCs/>
          <w:sz w:val="20"/>
          <w:szCs w:val="20"/>
        </w:rPr>
        <w:t xml:space="preserve"> dissipation. </w:t>
      </w:r>
    </w:p>
    <w:p w14:paraId="774A3627" w14:textId="45A5B13B" w:rsidR="00F81A9D" w:rsidRPr="00010588" w:rsidRDefault="00F81A9D" w:rsidP="00F81A9D">
      <w:pPr>
        <w:rPr>
          <w:rFonts w:ascii="Arial" w:hAnsi="Arial" w:cs="Arial"/>
          <w:b/>
          <w:bCs/>
          <w:sz w:val="20"/>
          <w:szCs w:val="20"/>
        </w:rPr>
      </w:pPr>
      <w:r w:rsidRPr="00010588">
        <w:rPr>
          <w:rFonts w:ascii="Arial" w:hAnsi="Arial" w:cs="Arial"/>
          <w:b/>
          <w:sz w:val="20"/>
          <w:szCs w:val="20"/>
        </w:rPr>
        <w:t xml:space="preserve">Table </w:t>
      </w:r>
      <w:r w:rsidR="00970933">
        <w:rPr>
          <w:rFonts w:ascii="Arial" w:hAnsi="Arial" w:cs="Arial"/>
          <w:b/>
          <w:sz w:val="20"/>
          <w:szCs w:val="20"/>
        </w:rPr>
        <w:t>4</w:t>
      </w:r>
      <w:r w:rsidRPr="00010588">
        <w:rPr>
          <w:rFonts w:ascii="Arial" w:hAnsi="Arial" w:cs="Arial"/>
          <w:b/>
          <w:sz w:val="20"/>
          <w:szCs w:val="20"/>
        </w:rPr>
        <w:t xml:space="preserve">. </w:t>
      </w:r>
      <w:r w:rsidRPr="00010588">
        <w:rPr>
          <w:rFonts w:ascii="Arial" w:hAnsi="Arial" w:cs="Arial"/>
          <w:sz w:val="20"/>
          <w:szCs w:val="20"/>
        </w:rPr>
        <w:t xml:space="preserve">Cumulative data on dissipation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in </w:t>
      </w:r>
      <w:proofErr w:type="spellStart"/>
      <w:r w:rsidRPr="00010588">
        <w:rPr>
          <w:rFonts w:ascii="Arial" w:hAnsi="Arial" w:cs="Arial"/>
          <w:sz w:val="20"/>
          <w:szCs w:val="20"/>
        </w:rPr>
        <w:t>pigeonpea</w:t>
      </w:r>
      <w:proofErr w:type="spellEnd"/>
      <w:r w:rsidRPr="00010588">
        <w:rPr>
          <w:rFonts w:ascii="Arial" w:hAnsi="Arial" w:cs="Arial"/>
          <w:sz w:val="20"/>
          <w:szCs w:val="20"/>
        </w:rPr>
        <w:t xml:space="preserve"> pods </w:t>
      </w:r>
    </w:p>
    <w:tbl>
      <w:tblPr>
        <w:tblW w:w="8996" w:type="dxa"/>
        <w:jc w:val="center"/>
        <w:tblLook w:val="04A0" w:firstRow="1" w:lastRow="0" w:firstColumn="1" w:lastColumn="0" w:noHBand="0" w:noVBand="1"/>
      </w:tblPr>
      <w:tblGrid>
        <w:gridCol w:w="2017"/>
        <w:gridCol w:w="1126"/>
        <w:gridCol w:w="1128"/>
        <w:gridCol w:w="1128"/>
        <w:gridCol w:w="1580"/>
        <w:gridCol w:w="2017"/>
      </w:tblGrid>
      <w:tr w:rsidR="00F81A9D" w:rsidRPr="00010588" w14:paraId="7223479D" w14:textId="77777777" w:rsidTr="00B626CA">
        <w:trPr>
          <w:trHeight w:val="70"/>
          <w:jc w:val="center"/>
        </w:trPr>
        <w:tc>
          <w:tcPr>
            <w:tcW w:w="2017" w:type="dxa"/>
            <w:vMerge w:val="restart"/>
            <w:tcBorders>
              <w:top w:val="single" w:sz="8" w:space="0" w:color="auto"/>
              <w:left w:val="single" w:sz="8" w:space="0" w:color="auto"/>
              <w:bottom w:val="single" w:sz="8" w:space="0" w:color="000000"/>
              <w:right w:val="single" w:sz="8" w:space="0" w:color="auto"/>
            </w:tcBorders>
            <w:vAlign w:val="center"/>
            <w:hideMark/>
          </w:tcPr>
          <w:p w14:paraId="750C7445" w14:textId="77777777" w:rsidR="00F81A9D" w:rsidRPr="00010588" w:rsidRDefault="00F81A9D" w:rsidP="00D47AE4">
            <w:pPr>
              <w:spacing w:after="0" w:line="240" w:lineRule="auto"/>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Days after application</w:t>
            </w:r>
          </w:p>
        </w:tc>
        <w:tc>
          <w:tcPr>
            <w:tcW w:w="4962" w:type="dxa"/>
            <w:gridSpan w:val="4"/>
            <w:tcBorders>
              <w:top w:val="single" w:sz="8" w:space="0" w:color="auto"/>
              <w:left w:val="nil"/>
              <w:bottom w:val="single" w:sz="8" w:space="0" w:color="auto"/>
              <w:right w:val="single" w:sz="8" w:space="0" w:color="000000"/>
            </w:tcBorders>
            <w:vAlign w:val="center"/>
            <w:hideMark/>
          </w:tcPr>
          <w:p w14:paraId="79D56FE0" w14:textId="77777777"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 xml:space="preserve">Residues of </w:t>
            </w:r>
            <w:proofErr w:type="spellStart"/>
            <w:proofErr w:type="gramStart"/>
            <w:r w:rsidRPr="00010588">
              <w:rPr>
                <w:rFonts w:ascii="Arial" w:eastAsia="Times New Roman" w:hAnsi="Arial" w:cs="Arial"/>
                <w:b/>
                <w:bCs/>
                <w:color w:val="000000"/>
                <w:sz w:val="20"/>
                <w:szCs w:val="20"/>
              </w:rPr>
              <w:t>chlorantraniliprole</w:t>
            </w:r>
            <w:proofErr w:type="spellEnd"/>
            <w:r w:rsidRPr="00010588">
              <w:rPr>
                <w:rFonts w:ascii="Arial" w:eastAsia="Times New Roman" w:hAnsi="Arial" w:cs="Arial"/>
                <w:b/>
                <w:bCs/>
                <w:color w:val="000000"/>
                <w:sz w:val="20"/>
                <w:szCs w:val="20"/>
              </w:rPr>
              <w:t xml:space="preserve">  (</w:t>
            </w:r>
            <w:proofErr w:type="gramEnd"/>
            <w:r w:rsidRPr="00010588">
              <w:rPr>
                <w:rFonts w:ascii="Arial" w:eastAsia="Times New Roman" w:hAnsi="Arial" w:cs="Arial"/>
                <w:b/>
                <w:bCs/>
                <w:color w:val="000000"/>
                <w:sz w:val="20"/>
                <w:szCs w:val="20"/>
              </w:rPr>
              <w:t>mg/kg )</w:t>
            </w:r>
          </w:p>
        </w:tc>
        <w:tc>
          <w:tcPr>
            <w:tcW w:w="2017" w:type="dxa"/>
            <w:vMerge w:val="restart"/>
            <w:tcBorders>
              <w:top w:val="single" w:sz="8" w:space="0" w:color="auto"/>
              <w:left w:val="single" w:sz="8" w:space="0" w:color="auto"/>
              <w:bottom w:val="single" w:sz="8" w:space="0" w:color="000000"/>
              <w:right w:val="single" w:sz="8" w:space="0" w:color="auto"/>
            </w:tcBorders>
            <w:vAlign w:val="center"/>
            <w:hideMark/>
          </w:tcPr>
          <w:p w14:paraId="0C31EB79" w14:textId="77777777"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Dissipation (%)</w:t>
            </w:r>
          </w:p>
        </w:tc>
      </w:tr>
      <w:tr w:rsidR="00F81A9D" w:rsidRPr="00010588" w14:paraId="1B1076EA" w14:textId="77777777" w:rsidTr="00B626CA">
        <w:trPr>
          <w:trHeight w:val="229"/>
          <w:jc w:val="center"/>
        </w:trPr>
        <w:tc>
          <w:tcPr>
            <w:tcW w:w="2017" w:type="dxa"/>
            <w:vMerge/>
            <w:tcBorders>
              <w:top w:val="single" w:sz="8" w:space="0" w:color="auto"/>
              <w:left w:val="single" w:sz="8" w:space="0" w:color="auto"/>
              <w:bottom w:val="single" w:sz="8" w:space="0" w:color="000000"/>
              <w:right w:val="single" w:sz="8" w:space="0" w:color="auto"/>
            </w:tcBorders>
            <w:vAlign w:val="center"/>
            <w:hideMark/>
          </w:tcPr>
          <w:p w14:paraId="4E7F36E3" w14:textId="77777777" w:rsidR="00F81A9D" w:rsidRPr="00010588" w:rsidRDefault="00F81A9D" w:rsidP="00D47AE4">
            <w:pPr>
              <w:spacing w:after="0" w:line="240" w:lineRule="auto"/>
              <w:rPr>
                <w:rFonts w:ascii="Arial" w:eastAsia="Times New Roman" w:hAnsi="Arial" w:cs="Arial"/>
                <w:b/>
                <w:bCs/>
                <w:color w:val="000000"/>
                <w:sz w:val="20"/>
                <w:szCs w:val="20"/>
              </w:rPr>
            </w:pPr>
          </w:p>
        </w:tc>
        <w:tc>
          <w:tcPr>
            <w:tcW w:w="1126" w:type="dxa"/>
            <w:tcBorders>
              <w:top w:val="nil"/>
              <w:left w:val="nil"/>
              <w:bottom w:val="single" w:sz="8" w:space="0" w:color="auto"/>
              <w:right w:val="single" w:sz="8" w:space="0" w:color="auto"/>
            </w:tcBorders>
            <w:vAlign w:val="center"/>
            <w:hideMark/>
          </w:tcPr>
          <w:p w14:paraId="01698F31" w14:textId="77777777"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R1</w:t>
            </w:r>
          </w:p>
        </w:tc>
        <w:tc>
          <w:tcPr>
            <w:tcW w:w="1128" w:type="dxa"/>
            <w:tcBorders>
              <w:top w:val="nil"/>
              <w:left w:val="nil"/>
              <w:bottom w:val="single" w:sz="8" w:space="0" w:color="auto"/>
              <w:right w:val="single" w:sz="8" w:space="0" w:color="auto"/>
            </w:tcBorders>
            <w:vAlign w:val="center"/>
            <w:hideMark/>
          </w:tcPr>
          <w:p w14:paraId="49A6ED6B" w14:textId="77777777"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R2</w:t>
            </w:r>
          </w:p>
        </w:tc>
        <w:tc>
          <w:tcPr>
            <w:tcW w:w="1128" w:type="dxa"/>
            <w:tcBorders>
              <w:top w:val="nil"/>
              <w:left w:val="nil"/>
              <w:bottom w:val="single" w:sz="8" w:space="0" w:color="auto"/>
              <w:right w:val="single" w:sz="8" w:space="0" w:color="auto"/>
            </w:tcBorders>
            <w:vAlign w:val="center"/>
            <w:hideMark/>
          </w:tcPr>
          <w:p w14:paraId="23EEF891" w14:textId="77777777"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R3</w:t>
            </w:r>
          </w:p>
        </w:tc>
        <w:tc>
          <w:tcPr>
            <w:tcW w:w="1580" w:type="dxa"/>
            <w:tcBorders>
              <w:top w:val="nil"/>
              <w:left w:val="nil"/>
              <w:bottom w:val="single" w:sz="8" w:space="0" w:color="auto"/>
              <w:right w:val="single" w:sz="8" w:space="0" w:color="auto"/>
            </w:tcBorders>
            <w:vAlign w:val="center"/>
            <w:hideMark/>
          </w:tcPr>
          <w:p w14:paraId="21C297B0" w14:textId="77777777" w:rsidR="00F81A9D" w:rsidRPr="00010588" w:rsidRDefault="00F81A9D" w:rsidP="00D47AE4">
            <w:pPr>
              <w:spacing w:after="0" w:line="240" w:lineRule="auto"/>
              <w:jc w:val="center"/>
              <w:rPr>
                <w:rFonts w:ascii="Arial" w:eastAsia="Times New Roman" w:hAnsi="Arial" w:cs="Arial"/>
                <w:b/>
                <w:bCs/>
                <w:color w:val="000000"/>
                <w:sz w:val="20"/>
                <w:szCs w:val="20"/>
              </w:rPr>
            </w:pPr>
            <w:r w:rsidRPr="00010588">
              <w:rPr>
                <w:rFonts w:ascii="Arial" w:eastAsia="Times New Roman" w:hAnsi="Arial" w:cs="Arial"/>
                <w:b/>
                <w:bCs/>
                <w:color w:val="000000"/>
                <w:sz w:val="20"/>
                <w:szCs w:val="20"/>
              </w:rPr>
              <w:t>Average</w:t>
            </w:r>
          </w:p>
        </w:tc>
        <w:tc>
          <w:tcPr>
            <w:tcW w:w="2017" w:type="dxa"/>
            <w:vMerge/>
            <w:tcBorders>
              <w:top w:val="single" w:sz="8" w:space="0" w:color="auto"/>
              <w:left w:val="single" w:sz="8" w:space="0" w:color="auto"/>
              <w:bottom w:val="single" w:sz="8" w:space="0" w:color="000000"/>
              <w:right w:val="single" w:sz="8" w:space="0" w:color="auto"/>
            </w:tcBorders>
            <w:vAlign w:val="center"/>
            <w:hideMark/>
          </w:tcPr>
          <w:p w14:paraId="4141F994" w14:textId="77777777" w:rsidR="00F81A9D" w:rsidRPr="00010588" w:rsidRDefault="00F81A9D" w:rsidP="00D47AE4">
            <w:pPr>
              <w:spacing w:after="0" w:line="240" w:lineRule="auto"/>
              <w:rPr>
                <w:rFonts w:ascii="Arial" w:eastAsia="Times New Roman" w:hAnsi="Arial" w:cs="Arial"/>
                <w:b/>
                <w:bCs/>
                <w:color w:val="000000"/>
                <w:sz w:val="20"/>
                <w:szCs w:val="20"/>
              </w:rPr>
            </w:pPr>
          </w:p>
        </w:tc>
      </w:tr>
      <w:tr w:rsidR="00F81A9D" w:rsidRPr="00010588" w14:paraId="0096E4F8" w14:textId="77777777"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14:paraId="61AEA1CF"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w:t>
            </w:r>
          </w:p>
        </w:tc>
        <w:tc>
          <w:tcPr>
            <w:tcW w:w="1126" w:type="dxa"/>
            <w:tcBorders>
              <w:top w:val="nil"/>
              <w:left w:val="nil"/>
              <w:bottom w:val="single" w:sz="8" w:space="0" w:color="auto"/>
              <w:right w:val="single" w:sz="8" w:space="0" w:color="auto"/>
            </w:tcBorders>
            <w:noWrap/>
            <w:vAlign w:val="center"/>
            <w:hideMark/>
          </w:tcPr>
          <w:p w14:paraId="038261E3"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2.48</w:t>
            </w:r>
          </w:p>
        </w:tc>
        <w:tc>
          <w:tcPr>
            <w:tcW w:w="1128" w:type="dxa"/>
            <w:tcBorders>
              <w:top w:val="nil"/>
              <w:left w:val="nil"/>
              <w:bottom w:val="single" w:sz="8" w:space="0" w:color="auto"/>
              <w:right w:val="single" w:sz="8" w:space="0" w:color="auto"/>
            </w:tcBorders>
            <w:noWrap/>
            <w:vAlign w:val="center"/>
            <w:hideMark/>
          </w:tcPr>
          <w:p w14:paraId="3BF1F338"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2.47</w:t>
            </w:r>
          </w:p>
        </w:tc>
        <w:tc>
          <w:tcPr>
            <w:tcW w:w="1128" w:type="dxa"/>
            <w:tcBorders>
              <w:top w:val="nil"/>
              <w:left w:val="nil"/>
              <w:bottom w:val="single" w:sz="8" w:space="0" w:color="auto"/>
              <w:right w:val="single" w:sz="8" w:space="0" w:color="auto"/>
            </w:tcBorders>
            <w:noWrap/>
            <w:vAlign w:val="center"/>
            <w:hideMark/>
          </w:tcPr>
          <w:p w14:paraId="4C0C7632"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2.68</w:t>
            </w:r>
          </w:p>
        </w:tc>
        <w:tc>
          <w:tcPr>
            <w:tcW w:w="1580" w:type="dxa"/>
            <w:tcBorders>
              <w:top w:val="nil"/>
              <w:left w:val="nil"/>
              <w:bottom w:val="single" w:sz="8" w:space="0" w:color="auto"/>
              <w:right w:val="single" w:sz="8" w:space="0" w:color="auto"/>
            </w:tcBorders>
            <w:vAlign w:val="center"/>
            <w:hideMark/>
          </w:tcPr>
          <w:p w14:paraId="151F479D"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2.54</w:t>
            </w:r>
          </w:p>
        </w:tc>
        <w:tc>
          <w:tcPr>
            <w:tcW w:w="2017" w:type="dxa"/>
            <w:tcBorders>
              <w:top w:val="nil"/>
              <w:left w:val="nil"/>
              <w:bottom w:val="single" w:sz="8" w:space="0" w:color="auto"/>
              <w:right w:val="single" w:sz="8" w:space="0" w:color="auto"/>
            </w:tcBorders>
            <w:vAlign w:val="center"/>
            <w:hideMark/>
          </w:tcPr>
          <w:p w14:paraId="6C0B17A4"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w:t>
            </w:r>
          </w:p>
        </w:tc>
      </w:tr>
      <w:tr w:rsidR="00F81A9D" w:rsidRPr="00010588" w14:paraId="731CB657" w14:textId="77777777"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14:paraId="37DAB145"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w:t>
            </w:r>
          </w:p>
        </w:tc>
        <w:tc>
          <w:tcPr>
            <w:tcW w:w="1126" w:type="dxa"/>
            <w:tcBorders>
              <w:top w:val="nil"/>
              <w:left w:val="nil"/>
              <w:bottom w:val="single" w:sz="8" w:space="0" w:color="auto"/>
              <w:right w:val="single" w:sz="8" w:space="0" w:color="auto"/>
            </w:tcBorders>
            <w:noWrap/>
            <w:vAlign w:val="center"/>
            <w:hideMark/>
          </w:tcPr>
          <w:p w14:paraId="5BCF803A"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1.59</w:t>
            </w:r>
          </w:p>
        </w:tc>
        <w:tc>
          <w:tcPr>
            <w:tcW w:w="1128" w:type="dxa"/>
            <w:tcBorders>
              <w:top w:val="nil"/>
              <w:left w:val="nil"/>
              <w:bottom w:val="single" w:sz="8" w:space="0" w:color="auto"/>
              <w:right w:val="single" w:sz="8" w:space="0" w:color="auto"/>
            </w:tcBorders>
            <w:noWrap/>
            <w:vAlign w:val="center"/>
            <w:hideMark/>
          </w:tcPr>
          <w:p w14:paraId="42772668"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1.55</w:t>
            </w:r>
          </w:p>
        </w:tc>
        <w:tc>
          <w:tcPr>
            <w:tcW w:w="1128" w:type="dxa"/>
            <w:tcBorders>
              <w:top w:val="nil"/>
              <w:left w:val="nil"/>
              <w:bottom w:val="single" w:sz="8" w:space="0" w:color="auto"/>
              <w:right w:val="single" w:sz="8" w:space="0" w:color="auto"/>
            </w:tcBorders>
            <w:noWrap/>
            <w:vAlign w:val="center"/>
            <w:hideMark/>
          </w:tcPr>
          <w:p w14:paraId="70094EDA"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1.54</w:t>
            </w:r>
          </w:p>
        </w:tc>
        <w:tc>
          <w:tcPr>
            <w:tcW w:w="1580" w:type="dxa"/>
            <w:tcBorders>
              <w:top w:val="nil"/>
              <w:left w:val="nil"/>
              <w:bottom w:val="single" w:sz="8" w:space="0" w:color="auto"/>
              <w:right w:val="single" w:sz="8" w:space="0" w:color="auto"/>
            </w:tcBorders>
            <w:vAlign w:val="center"/>
            <w:hideMark/>
          </w:tcPr>
          <w:p w14:paraId="3022F0B1"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1.56</w:t>
            </w:r>
          </w:p>
        </w:tc>
        <w:tc>
          <w:tcPr>
            <w:tcW w:w="2017" w:type="dxa"/>
            <w:tcBorders>
              <w:top w:val="nil"/>
              <w:left w:val="nil"/>
              <w:bottom w:val="single" w:sz="8" w:space="0" w:color="auto"/>
              <w:right w:val="single" w:sz="8" w:space="0" w:color="auto"/>
            </w:tcBorders>
            <w:noWrap/>
            <w:vAlign w:val="center"/>
            <w:hideMark/>
          </w:tcPr>
          <w:p w14:paraId="47787491"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38.65</w:t>
            </w:r>
          </w:p>
        </w:tc>
      </w:tr>
      <w:tr w:rsidR="00F81A9D" w:rsidRPr="00010588" w14:paraId="44222243" w14:textId="77777777"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14:paraId="2F8C1560"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3</w:t>
            </w:r>
          </w:p>
        </w:tc>
        <w:tc>
          <w:tcPr>
            <w:tcW w:w="1126" w:type="dxa"/>
            <w:tcBorders>
              <w:top w:val="nil"/>
              <w:left w:val="nil"/>
              <w:bottom w:val="single" w:sz="8" w:space="0" w:color="auto"/>
              <w:right w:val="single" w:sz="8" w:space="0" w:color="auto"/>
            </w:tcBorders>
            <w:noWrap/>
            <w:vAlign w:val="center"/>
            <w:hideMark/>
          </w:tcPr>
          <w:p w14:paraId="2C1CE1C3"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0.82</w:t>
            </w:r>
          </w:p>
        </w:tc>
        <w:tc>
          <w:tcPr>
            <w:tcW w:w="1128" w:type="dxa"/>
            <w:tcBorders>
              <w:top w:val="nil"/>
              <w:left w:val="nil"/>
              <w:bottom w:val="single" w:sz="8" w:space="0" w:color="auto"/>
              <w:right w:val="single" w:sz="8" w:space="0" w:color="auto"/>
            </w:tcBorders>
            <w:noWrap/>
            <w:vAlign w:val="center"/>
            <w:hideMark/>
          </w:tcPr>
          <w:p w14:paraId="6B0DC02B"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0.74</w:t>
            </w:r>
          </w:p>
        </w:tc>
        <w:tc>
          <w:tcPr>
            <w:tcW w:w="1128" w:type="dxa"/>
            <w:tcBorders>
              <w:top w:val="nil"/>
              <w:left w:val="nil"/>
              <w:bottom w:val="single" w:sz="8" w:space="0" w:color="auto"/>
              <w:right w:val="single" w:sz="8" w:space="0" w:color="auto"/>
            </w:tcBorders>
            <w:noWrap/>
            <w:vAlign w:val="center"/>
            <w:hideMark/>
          </w:tcPr>
          <w:p w14:paraId="099212A8"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0.80</w:t>
            </w:r>
          </w:p>
        </w:tc>
        <w:tc>
          <w:tcPr>
            <w:tcW w:w="1580" w:type="dxa"/>
            <w:tcBorders>
              <w:top w:val="nil"/>
              <w:left w:val="nil"/>
              <w:bottom w:val="single" w:sz="8" w:space="0" w:color="auto"/>
              <w:right w:val="single" w:sz="8" w:space="0" w:color="auto"/>
            </w:tcBorders>
            <w:vAlign w:val="center"/>
            <w:hideMark/>
          </w:tcPr>
          <w:p w14:paraId="43E27333"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0.78</w:t>
            </w:r>
          </w:p>
        </w:tc>
        <w:tc>
          <w:tcPr>
            <w:tcW w:w="2017" w:type="dxa"/>
            <w:tcBorders>
              <w:top w:val="nil"/>
              <w:left w:val="nil"/>
              <w:bottom w:val="single" w:sz="8" w:space="0" w:color="auto"/>
              <w:right w:val="single" w:sz="8" w:space="0" w:color="auto"/>
            </w:tcBorders>
            <w:noWrap/>
            <w:vAlign w:val="center"/>
            <w:hideMark/>
          </w:tcPr>
          <w:p w14:paraId="616A3FE5"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69.16</w:t>
            </w:r>
          </w:p>
        </w:tc>
      </w:tr>
      <w:tr w:rsidR="00F81A9D" w:rsidRPr="00010588" w14:paraId="703BE489" w14:textId="77777777"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14:paraId="6C8937A8"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5</w:t>
            </w:r>
          </w:p>
        </w:tc>
        <w:tc>
          <w:tcPr>
            <w:tcW w:w="1126" w:type="dxa"/>
            <w:tcBorders>
              <w:top w:val="nil"/>
              <w:left w:val="nil"/>
              <w:bottom w:val="single" w:sz="8" w:space="0" w:color="auto"/>
              <w:right w:val="single" w:sz="8" w:space="0" w:color="auto"/>
            </w:tcBorders>
            <w:noWrap/>
            <w:vAlign w:val="center"/>
            <w:hideMark/>
          </w:tcPr>
          <w:p w14:paraId="672927A2"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0.22</w:t>
            </w:r>
          </w:p>
        </w:tc>
        <w:tc>
          <w:tcPr>
            <w:tcW w:w="1128" w:type="dxa"/>
            <w:tcBorders>
              <w:top w:val="nil"/>
              <w:left w:val="nil"/>
              <w:bottom w:val="single" w:sz="8" w:space="0" w:color="auto"/>
              <w:right w:val="single" w:sz="8" w:space="0" w:color="auto"/>
            </w:tcBorders>
            <w:noWrap/>
            <w:vAlign w:val="center"/>
            <w:hideMark/>
          </w:tcPr>
          <w:p w14:paraId="30E25894"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0.28</w:t>
            </w:r>
          </w:p>
        </w:tc>
        <w:tc>
          <w:tcPr>
            <w:tcW w:w="1128" w:type="dxa"/>
            <w:tcBorders>
              <w:top w:val="nil"/>
              <w:left w:val="nil"/>
              <w:bottom w:val="single" w:sz="8" w:space="0" w:color="auto"/>
              <w:right w:val="single" w:sz="8" w:space="0" w:color="auto"/>
            </w:tcBorders>
            <w:noWrap/>
            <w:vAlign w:val="center"/>
            <w:hideMark/>
          </w:tcPr>
          <w:p w14:paraId="766D00BA"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0.23</w:t>
            </w:r>
          </w:p>
        </w:tc>
        <w:tc>
          <w:tcPr>
            <w:tcW w:w="1580" w:type="dxa"/>
            <w:tcBorders>
              <w:top w:val="nil"/>
              <w:left w:val="nil"/>
              <w:bottom w:val="single" w:sz="8" w:space="0" w:color="auto"/>
              <w:right w:val="single" w:sz="8" w:space="0" w:color="auto"/>
            </w:tcBorders>
            <w:vAlign w:val="center"/>
            <w:hideMark/>
          </w:tcPr>
          <w:p w14:paraId="4EC1CD0A"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0.24</w:t>
            </w:r>
          </w:p>
        </w:tc>
        <w:tc>
          <w:tcPr>
            <w:tcW w:w="2017" w:type="dxa"/>
            <w:tcBorders>
              <w:top w:val="nil"/>
              <w:left w:val="nil"/>
              <w:bottom w:val="single" w:sz="8" w:space="0" w:color="auto"/>
              <w:right w:val="single" w:sz="8" w:space="0" w:color="auto"/>
            </w:tcBorders>
            <w:noWrap/>
            <w:vAlign w:val="center"/>
            <w:hideMark/>
          </w:tcPr>
          <w:p w14:paraId="7BE3E101"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90.62</w:t>
            </w:r>
          </w:p>
        </w:tc>
      </w:tr>
      <w:tr w:rsidR="00F81A9D" w:rsidRPr="00010588" w14:paraId="23C5A249" w14:textId="77777777"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14:paraId="44BB61AB"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7</w:t>
            </w:r>
          </w:p>
        </w:tc>
        <w:tc>
          <w:tcPr>
            <w:tcW w:w="1126" w:type="dxa"/>
            <w:tcBorders>
              <w:top w:val="nil"/>
              <w:left w:val="nil"/>
              <w:bottom w:val="single" w:sz="8" w:space="0" w:color="auto"/>
              <w:right w:val="single" w:sz="8" w:space="0" w:color="auto"/>
            </w:tcBorders>
            <w:noWrap/>
            <w:vAlign w:val="center"/>
            <w:hideMark/>
          </w:tcPr>
          <w:p w14:paraId="639EA760"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0.13</w:t>
            </w:r>
          </w:p>
        </w:tc>
        <w:tc>
          <w:tcPr>
            <w:tcW w:w="1128" w:type="dxa"/>
            <w:tcBorders>
              <w:top w:val="nil"/>
              <w:left w:val="nil"/>
              <w:bottom w:val="single" w:sz="8" w:space="0" w:color="auto"/>
              <w:right w:val="single" w:sz="8" w:space="0" w:color="auto"/>
            </w:tcBorders>
            <w:noWrap/>
            <w:vAlign w:val="center"/>
            <w:hideMark/>
          </w:tcPr>
          <w:p w14:paraId="5887E7F0"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0.15</w:t>
            </w:r>
          </w:p>
        </w:tc>
        <w:tc>
          <w:tcPr>
            <w:tcW w:w="1128" w:type="dxa"/>
            <w:tcBorders>
              <w:top w:val="nil"/>
              <w:left w:val="nil"/>
              <w:bottom w:val="single" w:sz="8" w:space="0" w:color="auto"/>
              <w:right w:val="single" w:sz="8" w:space="0" w:color="auto"/>
            </w:tcBorders>
            <w:noWrap/>
            <w:vAlign w:val="center"/>
            <w:hideMark/>
          </w:tcPr>
          <w:p w14:paraId="70D9C8C3" w14:textId="77777777" w:rsidR="00F81A9D" w:rsidRPr="00010588" w:rsidRDefault="00F81A9D" w:rsidP="00D47AE4">
            <w:pPr>
              <w:spacing w:after="0" w:line="240" w:lineRule="auto"/>
              <w:jc w:val="center"/>
              <w:rPr>
                <w:rFonts w:ascii="Arial" w:eastAsia="Times New Roman" w:hAnsi="Arial" w:cs="Arial"/>
                <w:sz w:val="20"/>
                <w:szCs w:val="20"/>
              </w:rPr>
            </w:pPr>
            <w:r w:rsidRPr="00010588">
              <w:rPr>
                <w:rFonts w:ascii="Arial" w:eastAsia="Times New Roman" w:hAnsi="Arial" w:cs="Arial"/>
                <w:sz w:val="20"/>
                <w:szCs w:val="20"/>
              </w:rPr>
              <w:t>0.16</w:t>
            </w:r>
          </w:p>
        </w:tc>
        <w:tc>
          <w:tcPr>
            <w:tcW w:w="1580" w:type="dxa"/>
            <w:tcBorders>
              <w:top w:val="nil"/>
              <w:left w:val="nil"/>
              <w:bottom w:val="single" w:sz="8" w:space="0" w:color="auto"/>
              <w:right w:val="single" w:sz="8" w:space="0" w:color="auto"/>
            </w:tcBorders>
            <w:vAlign w:val="center"/>
            <w:hideMark/>
          </w:tcPr>
          <w:p w14:paraId="6DF7D43A"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0.14</w:t>
            </w:r>
          </w:p>
        </w:tc>
        <w:tc>
          <w:tcPr>
            <w:tcW w:w="2017" w:type="dxa"/>
            <w:tcBorders>
              <w:top w:val="nil"/>
              <w:left w:val="nil"/>
              <w:bottom w:val="single" w:sz="8" w:space="0" w:color="auto"/>
              <w:right w:val="single" w:sz="8" w:space="0" w:color="auto"/>
            </w:tcBorders>
            <w:noWrap/>
            <w:vAlign w:val="center"/>
            <w:hideMark/>
          </w:tcPr>
          <w:p w14:paraId="5795AAC8"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94.92</w:t>
            </w:r>
          </w:p>
        </w:tc>
      </w:tr>
      <w:tr w:rsidR="00F81A9D" w:rsidRPr="00010588" w14:paraId="525DAE0B" w14:textId="77777777"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14:paraId="6FEF8603"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w:t>
            </w:r>
          </w:p>
        </w:tc>
        <w:tc>
          <w:tcPr>
            <w:tcW w:w="1126" w:type="dxa"/>
            <w:tcBorders>
              <w:top w:val="nil"/>
              <w:left w:val="nil"/>
              <w:bottom w:val="single" w:sz="8" w:space="0" w:color="auto"/>
              <w:right w:val="single" w:sz="8" w:space="0" w:color="auto"/>
            </w:tcBorders>
            <w:vAlign w:val="center"/>
            <w:hideMark/>
          </w:tcPr>
          <w:p w14:paraId="52F50378"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14:paraId="1C92FF78"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14:paraId="4E5F4F26"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580" w:type="dxa"/>
            <w:tcBorders>
              <w:top w:val="nil"/>
              <w:left w:val="nil"/>
              <w:bottom w:val="single" w:sz="8" w:space="0" w:color="auto"/>
              <w:right w:val="single" w:sz="8" w:space="0" w:color="auto"/>
            </w:tcBorders>
            <w:vAlign w:val="center"/>
            <w:hideMark/>
          </w:tcPr>
          <w:p w14:paraId="396C3341"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2017" w:type="dxa"/>
            <w:tcBorders>
              <w:top w:val="nil"/>
              <w:left w:val="nil"/>
              <w:bottom w:val="single" w:sz="8" w:space="0" w:color="auto"/>
              <w:right w:val="single" w:sz="8" w:space="0" w:color="auto"/>
            </w:tcBorders>
            <w:noWrap/>
            <w:vAlign w:val="center"/>
            <w:hideMark/>
          </w:tcPr>
          <w:p w14:paraId="06F72546"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100</w:t>
            </w:r>
          </w:p>
        </w:tc>
      </w:tr>
      <w:tr w:rsidR="00F81A9D" w:rsidRPr="00010588" w14:paraId="24DA8E80" w14:textId="77777777"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14:paraId="6EEABE00"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15</w:t>
            </w:r>
          </w:p>
        </w:tc>
        <w:tc>
          <w:tcPr>
            <w:tcW w:w="1126" w:type="dxa"/>
            <w:tcBorders>
              <w:top w:val="nil"/>
              <w:left w:val="nil"/>
              <w:bottom w:val="single" w:sz="8" w:space="0" w:color="auto"/>
              <w:right w:val="single" w:sz="8" w:space="0" w:color="auto"/>
            </w:tcBorders>
            <w:vAlign w:val="center"/>
            <w:hideMark/>
          </w:tcPr>
          <w:p w14:paraId="3E87F651"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14:paraId="0101660F"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128" w:type="dxa"/>
            <w:tcBorders>
              <w:top w:val="nil"/>
              <w:left w:val="nil"/>
              <w:bottom w:val="single" w:sz="8" w:space="0" w:color="auto"/>
              <w:right w:val="single" w:sz="8" w:space="0" w:color="auto"/>
            </w:tcBorders>
            <w:vAlign w:val="center"/>
            <w:hideMark/>
          </w:tcPr>
          <w:p w14:paraId="2DB4FEC1"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1580" w:type="dxa"/>
            <w:tcBorders>
              <w:top w:val="nil"/>
              <w:left w:val="nil"/>
              <w:bottom w:val="single" w:sz="8" w:space="0" w:color="auto"/>
              <w:right w:val="single" w:sz="8" w:space="0" w:color="auto"/>
            </w:tcBorders>
            <w:vAlign w:val="center"/>
            <w:hideMark/>
          </w:tcPr>
          <w:p w14:paraId="139DF986"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BDL</w:t>
            </w:r>
          </w:p>
        </w:tc>
        <w:tc>
          <w:tcPr>
            <w:tcW w:w="2017" w:type="dxa"/>
            <w:tcBorders>
              <w:top w:val="nil"/>
              <w:left w:val="nil"/>
              <w:bottom w:val="single" w:sz="8" w:space="0" w:color="auto"/>
              <w:right w:val="single" w:sz="8" w:space="0" w:color="auto"/>
            </w:tcBorders>
            <w:noWrap/>
            <w:vAlign w:val="center"/>
            <w:hideMark/>
          </w:tcPr>
          <w:p w14:paraId="2E7A4CA1"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100</w:t>
            </w:r>
          </w:p>
        </w:tc>
      </w:tr>
      <w:tr w:rsidR="00F81A9D" w:rsidRPr="00010588" w14:paraId="1B99EB17" w14:textId="77777777" w:rsidTr="00B626CA">
        <w:trPr>
          <w:trHeight w:val="300"/>
          <w:jc w:val="center"/>
        </w:trPr>
        <w:tc>
          <w:tcPr>
            <w:tcW w:w="2017" w:type="dxa"/>
            <w:tcBorders>
              <w:top w:val="nil"/>
              <w:left w:val="single" w:sz="8" w:space="0" w:color="auto"/>
              <w:bottom w:val="single" w:sz="8" w:space="0" w:color="auto"/>
              <w:right w:val="single" w:sz="8" w:space="0" w:color="auto"/>
            </w:tcBorders>
            <w:vAlign w:val="center"/>
            <w:hideMark/>
          </w:tcPr>
          <w:p w14:paraId="6F9983B3"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20</w:t>
            </w:r>
          </w:p>
        </w:tc>
        <w:tc>
          <w:tcPr>
            <w:tcW w:w="1126" w:type="dxa"/>
            <w:tcBorders>
              <w:top w:val="nil"/>
              <w:left w:val="nil"/>
              <w:bottom w:val="single" w:sz="8" w:space="0" w:color="auto"/>
              <w:right w:val="single" w:sz="8" w:space="0" w:color="auto"/>
            </w:tcBorders>
            <w:vAlign w:val="center"/>
            <w:hideMark/>
          </w:tcPr>
          <w:p w14:paraId="6F5E5F40"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14:paraId="12790E2B"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14:paraId="49213B19"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580" w:type="dxa"/>
            <w:tcBorders>
              <w:top w:val="nil"/>
              <w:left w:val="nil"/>
              <w:bottom w:val="single" w:sz="8" w:space="0" w:color="auto"/>
              <w:right w:val="single" w:sz="8" w:space="0" w:color="auto"/>
            </w:tcBorders>
            <w:vAlign w:val="center"/>
            <w:hideMark/>
          </w:tcPr>
          <w:p w14:paraId="1AE4FFC2"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2017" w:type="dxa"/>
            <w:tcBorders>
              <w:top w:val="nil"/>
              <w:left w:val="nil"/>
              <w:bottom w:val="single" w:sz="8" w:space="0" w:color="auto"/>
              <w:right w:val="single" w:sz="8" w:space="0" w:color="auto"/>
            </w:tcBorders>
            <w:noWrap/>
            <w:vAlign w:val="center"/>
            <w:hideMark/>
          </w:tcPr>
          <w:p w14:paraId="5E346880"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w:t>
            </w:r>
          </w:p>
        </w:tc>
      </w:tr>
      <w:tr w:rsidR="00F81A9D" w:rsidRPr="00010588" w14:paraId="5B09ABEC" w14:textId="77777777" w:rsidTr="00B626CA">
        <w:trPr>
          <w:trHeight w:val="340"/>
          <w:jc w:val="center"/>
        </w:trPr>
        <w:tc>
          <w:tcPr>
            <w:tcW w:w="2017" w:type="dxa"/>
            <w:tcBorders>
              <w:top w:val="nil"/>
              <w:left w:val="single" w:sz="8" w:space="0" w:color="auto"/>
              <w:bottom w:val="single" w:sz="8" w:space="0" w:color="auto"/>
              <w:right w:val="single" w:sz="8" w:space="0" w:color="auto"/>
            </w:tcBorders>
            <w:vAlign w:val="center"/>
            <w:hideMark/>
          </w:tcPr>
          <w:p w14:paraId="7ADC9D1B"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At harvest</w:t>
            </w:r>
          </w:p>
        </w:tc>
        <w:tc>
          <w:tcPr>
            <w:tcW w:w="1126" w:type="dxa"/>
            <w:tcBorders>
              <w:top w:val="nil"/>
              <w:left w:val="nil"/>
              <w:bottom w:val="single" w:sz="8" w:space="0" w:color="auto"/>
              <w:right w:val="single" w:sz="8" w:space="0" w:color="auto"/>
            </w:tcBorders>
            <w:vAlign w:val="center"/>
            <w:hideMark/>
          </w:tcPr>
          <w:p w14:paraId="7C840725"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14:paraId="70131DD6"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128" w:type="dxa"/>
            <w:tcBorders>
              <w:top w:val="nil"/>
              <w:left w:val="nil"/>
              <w:bottom w:val="single" w:sz="8" w:space="0" w:color="auto"/>
              <w:right w:val="single" w:sz="8" w:space="0" w:color="auto"/>
            </w:tcBorders>
            <w:vAlign w:val="center"/>
            <w:hideMark/>
          </w:tcPr>
          <w:p w14:paraId="286C7D46"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1580" w:type="dxa"/>
            <w:tcBorders>
              <w:top w:val="nil"/>
              <w:left w:val="nil"/>
              <w:bottom w:val="single" w:sz="8" w:space="0" w:color="auto"/>
              <w:right w:val="single" w:sz="8" w:space="0" w:color="auto"/>
            </w:tcBorders>
            <w:vAlign w:val="center"/>
            <w:hideMark/>
          </w:tcPr>
          <w:p w14:paraId="650EBADF"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ND</w:t>
            </w:r>
          </w:p>
        </w:tc>
        <w:tc>
          <w:tcPr>
            <w:tcW w:w="2017" w:type="dxa"/>
            <w:tcBorders>
              <w:top w:val="nil"/>
              <w:left w:val="nil"/>
              <w:bottom w:val="single" w:sz="8" w:space="0" w:color="auto"/>
              <w:right w:val="single" w:sz="8" w:space="0" w:color="auto"/>
            </w:tcBorders>
            <w:noWrap/>
            <w:vAlign w:val="center"/>
            <w:hideMark/>
          </w:tcPr>
          <w:p w14:paraId="0123F20E" w14:textId="77777777" w:rsidR="00F81A9D" w:rsidRPr="00010588" w:rsidRDefault="00F81A9D" w:rsidP="00D47AE4">
            <w:pPr>
              <w:spacing w:after="0" w:line="240" w:lineRule="auto"/>
              <w:jc w:val="center"/>
              <w:rPr>
                <w:rFonts w:ascii="Arial" w:eastAsia="Times New Roman" w:hAnsi="Arial" w:cs="Arial"/>
                <w:color w:val="000000"/>
                <w:sz w:val="20"/>
                <w:szCs w:val="20"/>
              </w:rPr>
            </w:pPr>
            <w:r w:rsidRPr="00010588">
              <w:rPr>
                <w:rFonts w:ascii="Arial" w:eastAsia="Times New Roman" w:hAnsi="Arial" w:cs="Arial"/>
                <w:color w:val="000000"/>
                <w:sz w:val="20"/>
                <w:szCs w:val="20"/>
              </w:rPr>
              <w:t>-</w:t>
            </w:r>
          </w:p>
        </w:tc>
      </w:tr>
      <w:tr w:rsidR="00F81A9D" w:rsidRPr="00010588" w14:paraId="1A119BD6" w14:textId="77777777" w:rsidTr="00B626CA">
        <w:trPr>
          <w:trHeight w:val="469"/>
          <w:jc w:val="center"/>
        </w:trPr>
        <w:tc>
          <w:tcPr>
            <w:tcW w:w="2017" w:type="dxa"/>
            <w:tcBorders>
              <w:top w:val="nil"/>
              <w:left w:val="single" w:sz="8" w:space="0" w:color="auto"/>
              <w:bottom w:val="single" w:sz="8" w:space="0" w:color="auto"/>
              <w:right w:val="single" w:sz="8" w:space="0" w:color="auto"/>
            </w:tcBorders>
            <w:vAlign w:val="center"/>
            <w:hideMark/>
          </w:tcPr>
          <w:p w14:paraId="1D15565A" w14:textId="77777777"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Regression equation</w:t>
            </w:r>
          </w:p>
        </w:tc>
        <w:tc>
          <w:tcPr>
            <w:tcW w:w="6979" w:type="dxa"/>
            <w:gridSpan w:val="5"/>
            <w:tcBorders>
              <w:top w:val="single" w:sz="8" w:space="0" w:color="auto"/>
              <w:left w:val="nil"/>
              <w:bottom w:val="single" w:sz="8" w:space="0" w:color="auto"/>
              <w:right w:val="single" w:sz="8" w:space="0" w:color="000000"/>
            </w:tcBorders>
            <w:vAlign w:val="center"/>
            <w:hideMark/>
          </w:tcPr>
          <w:p w14:paraId="569E82ED" w14:textId="77777777"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y = -0.3276x + 2.1007; R² = 0.8728</w:t>
            </w:r>
          </w:p>
        </w:tc>
      </w:tr>
      <w:tr w:rsidR="00F81A9D" w:rsidRPr="00010588" w14:paraId="3D88FDD5" w14:textId="77777777" w:rsidTr="00B626CA">
        <w:trPr>
          <w:trHeight w:val="424"/>
          <w:jc w:val="center"/>
        </w:trPr>
        <w:tc>
          <w:tcPr>
            <w:tcW w:w="2017" w:type="dxa"/>
            <w:tcBorders>
              <w:top w:val="nil"/>
              <w:left w:val="single" w:sz="8" w:space="0" w:color="auto"/>
              <w:bottom w:val="single" w:sz="8" w:space="0" w:color="auto"/>
              <w:right w:val="single" w:sz="8" w:space="0" w:color="auto"/>
            </w:tcBorders>
            <w:vAlign w:val="center"/>
            <w:hideMark/>
          </w:tcPr>
          <w:p w14:paraId="30941D23" w14:textId="77777777"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 First order kinetics</w:t>
            </w:r>
          </w:p>
        </w:tc>
        <w:tc>
          <w:tcPr>
            <w:tcW w:w="6979" w:type="dxa"/>
            <w:gridSpan w:val="5"/>
            <w:tcBorders>
              <w:top w:val="single" w:sz="8" w:space="0" w:color="auto"/>
              <w:left w:val="nil"/>
              <w:bottom w:val="single" w:sz="8" w:space="0" w:color="auto"/>
              <w:right w:val="single" w:sz="8" w:space="0" w:color="000000"/>
            </w:tcBorders>
            <w:vAlign w:val="center"/>
            <w:hideMark/>
          </w:tcPr>
          <w:p w14:paraId="3D2E8AA0" w14:textId="77777777"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Ct== 2.4756e</w:t>
            </w:r>
            <w:r w:rsidRPr="00010588">
              <w:rPr>
                <w:rFonts w:ascii="Arial" w:eastAsia="Times New Roman" w:hAnsi="Arial" w:cs="Arial"/>
                <w:color w:val="000000"/>
                <w:sz w:val="20"/>
                <w:szCs w:val="20"/>
                <w:vertAlign w:val="superscript"/>
              </w:rPr>
              <w:t xml:space="preserve">-0.424x </w:t>
            </w:r>
            <w:r w:rsidRPr="00010588">
              <w:rPr>
                <w:rFonts w:ascii="Arial" w:eastAsia="Times New Roman" w:hAnsi="Arial" w:cs="Arial"/>
                <w:color w:val="000000"/>
                <w:sz w:val="20"/>
                <w:szCs w:val="20"/>
              </w:rPr>
              <w:t>R² = 0.9871</w:t>
            </w:r>
          </w:p>
        </w:tc>
      </w:tr>
      <w:tr w:rsidR="00F81A9D" w:rsidRPr="00010588" w14:paraId="32E4E6B7" w14:textId="77777777" w:rsidTr="00B626CA">
        <w:trPr>
          <w:trHeight w:val="318"/>
          <w:jc w:val="center"/>
        </w:trPr>
        <w:tc>
          <w:tcPr>
            <w:tcW w:w="2017" w:type="dxa"/>
            <w:tcBorders>
              <w:top w:val="nil"/>
              <w:left w:val="single" w:sz="8" w:space="0" w:color="auto"/>
              <w:bottom w:val="single" w:sz="8" w:space="0" w:color="auto"/>
              <w:right w:val="single" w:sz="8" w:space="0" w:color="auto"/>
            </w:tcBorders>
            <w:vAlign w:val="center"/>
            <w:hideMark/>
          </w:tcPr>
          <w:p w14:paraId="4B7EA8D3" w14:textId="77777777"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Half-life (days)</w:t>
            </w:r>
          </w:p>
        </w:tc>
        <w:tc>
          <w:tcPr>
            <w:tcW w:w="6979" w:type="dxa"/>
            <w:gridSpan w:val="5"/>
            <w:tcBorders>
              <w:top w:val="single" w:sz="8" w:space="0" w:color="auto"/>
              <w:left w:val="nil"/>
              <w:bottom w:val="single" w:sz="8" w:space="0" w:color="auto"/>
              <w:right w:val="single" w:sz="8" w:space="0" w:color="000000"/>
            </w:tcBorders>
            <w:vAlign w:val="center"/>
            <w:hideMark/>
          </w:tcPr>
          <w:p w14:paraId="551F7553" w14:textId="77777777"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1.21</w:t>
            </w:r>
          </w:p>
        </w:tc>
      </w:tr>
      <w:tr w:rsidR="00F81A9D" w:rsidRPr="00010588" w14:paraId="0EE18D97" w14:textId="77777777" w:rsidTr="00B626CA">
        <w:trPr>
          <w:trHeight w:val="433"/>
          <w:jc w:val="center"/>
        </w:trPr>
        <w:tc>
          <w:tcPr>
            <w:tcW w:w="2017" w:type="dxa"/>
            <w:tcBorders>
              <w:top w:val="nil"/>
              <w:left w:val="single" w:sz="8" w:space="0" w:color="auto"/>
              <w:bottom w:val="single" w:sz="8" w:space="0" w:color="auto"/>
              <w:right w:val="single" w:sz="8" w:space="0" w:color="auto"/>
            </w:tcBorders>
            <w:vAlign w:val="center"/>
            <w:hideMark/>
          </w:tcPr>
          <w:p w14:paraId="1273D419" w14:textId="77777777"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Safe waiting period </w:t>
            </w:r>
          </w:p>
        </w:tc>
        <w:tc>
          <w:tcPr>
            <w:tcW w:w="6979" w:type="dxa"/>
            <w:gridSpan w:val="5"/>
            <w:tcBorders>
              <w:top w:val="single" w:sz="8" w:space="0" w:color="auto"/>
              <w:left w:val="nil"/>
              <w:bottom w:val="single" w:sz="8" w:space="0" w:color="auto"/>
              <w:right w:val="single" w:sz="8" w:space="0" w:color="000000"/>
            </w:tcBorders>
            <w:vAlign w:val="center"/>
            <w:hideMark/>
          </w:tcPr>
          <w:p w14:paraId="009C7FDA" w14:textId="77777777"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7.51 days</w:t>
            </w:r>
          </w:p>
        </w:tc>
      </w:tr>
      <w:tr w:rsidR="00F81A9D" w:rsidRPr="00010588" w14:paraId="4CC63063" w14:textId="77777777" w:rsidTr="00B626CA">
        <w:trPr>
          <w:trHeight w:val="327"/>
          <w:jc w:val="center"/>
        </w:trPr>
        <w:tc>
          <w:tcPr>
            <w:tcW w:w="2017" w:type="dxa"/>
            <w:tcBorders>
              <w:top w:val="nil"/>
              <w:left w:val="single" w:sz="8" w:space="0" w:color="auto"/>
              <w:bottom w:val="single" w:sz="8" w:space="0" w:color="auto"/>
              <w:right w:val="single" w:sz="8" w:space="0" w:color="auto"/>
            </w:tcBorders>
            <w:vAlign w:val="center"/>
            <w:hideMark/>
          </w:tcPr>
          <w:p w14:paraId="7E018097" w14:textId="77777777"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FSSAI MRL:    </w:t>
            </w:r>
          </w:p>
        </w:tc>
        <w:tc>
          <w:tcPr>
            <w:tcW w:w="6979" w:type="dxa"/>
            <w:gridSpan w:val="5"/>
            <w:tcBorders>
              <w:top w:val="single" w:sz="8" w:space="0" w:color="auto"/>
              <w:left w:val="nil"/>
              <w:bottom w:val="single" w:sz="8" w:space="0" w:color="auto"/>
              <w:right w:val="single" w:sz="8" w:space="0" w:color="000000"/>
            </w:tcBorders>
            <w:vAlign w:val="center"/>
            <w:hideMark/>
          </w:tcPr>
          <w:p w14:paraId="1AAF290A" w14:textId="77777777"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 xml:space="preserve">0.03 mg/kg </w:t>
            </w:r>
          </w:p>
        </w:tc>
      </w:tr>
      <w:tr w:rsidR="00F81A9D" w:rsidRPr="00010588" w14:paraId="772C2B6E" w14:textId="77777777" w:rsidTr="00B626CA">
        <w:trPr>
          <w:trHeight w:val="300"/>
          <w:jc w:val="center"/>
        </w:trPr>
        <w:tc>
          <w:tcPr>
            <w:tcW w:w="8996" w:type="dxa"/>
            <w:gridSpan w:val="6"/>
            <w:tcBorders>
              <w:top w:val="single" w:sz="8" w:space="0" w:color="auto"/>
              <w:left w:val="single" w:sz="8" w:space="0" w:color="auto"/>
              <w:bottom w:val="single" w:sz="8" w:space="0" w:color="auto"/>
              <w:right w:val="single" w:sz="8" w:space="0" w:color="000000"/>
            </w:tcBorders>
            <w:vAlign w:val="center"/>
            <w:hideMark/>
          </w:tcPr>
          <w:p w14:paraId="6A3B11F1" w14:textId="77777777" w:rsidR="00F81A9D" w:rsidRPr="00010588" w:rsidRDefault="00F81A9D" w:rsidP="00D47AE4">
            <w:pPr>
              <w:spacing w:after="0" w:line="240" w:lineRule="auto"/>
              <w:rPr>
                <w:rFonts w:ascii="Arial" w:eastAsia="Times New Roman" w:hAnsi="Arial" w:cs="Arial"/>
                <w:color w:val="000000"/>
                <w:sz w:val="20"/>
                <w:szCs w:val="20"/>
              </w:rPr>
            </w:pPr>
            <w:r w:rsidRPr="00010588">
              <w:rPr>
                <w:rFonts w:ascii="Arial" w:eastAsia="Times New Roman" w:hAnsi="Arial" w:cs="Arial"/>
                <w:color w:val="000000"/>
                <w:sz w:val="20"/>
                <w:szCs w:val="20"/>
              </w:rPr>
              <w:t>BDL: Below Detectable Level; ND: Not Detected</w:t>
            </w:r>
          </w:p>
        </w:tc>
      </w:tr>
    </w:tbl>
    <w:p w14:paraId="748B15D7" w14:textId="77777777" w:rsidR="00F81A9D" w:rsidRPr="00010588" w:rsidRDefault="00F81A9D" w:rsidP="00F81A9D">
      <w:pPr>
        <w:rPr>
          <w:rFonts w:ascii="Arial" w:hAnsi="Arial" w:cs="Arial"/>
          <w:sz w:val="20"/>
          <w:szCs w:val="20"/>
        </w:rPr>
      </w:pPr>
    </w:p>
    <w:p w14:paraId="16D1D51D" w14:textId="77777777" w:rsidR="00B626CA" w:rsidRPr="00010588" w:rsidRDefault="00B626CA" w:rsidP="00B626CA">
      <w:pPr>
        <w:spacing w:line="360" w:lineRule="auto"/>
        <w:ind w:firstLine="720"/>
        <w:jc w:val="center"/>
        <w:rPr>
          <w:rFonts w:ascii="Arial" w:hAnsi="Arial" w:cs="Arial"/>
          <w:bCs/>
          <w:sz w:val="20"/>
          <w:szCs w:val="20"/>
        </w:rPr>
      </w:pPr>
      <w:r w:rsidRPr="00010588">
        <w:rPr>
          <w:rFonts w:ascii="Arial" w:hAnsi="Arial" w:cs="Arial"/>
          <w:bCs/>
          <w:noProof/>
          <w:sz w:val="20"/>
          <w:szCs w:val="20"/>
          <w:lang w:val="en-US"/>
        </w:rPr>
        <w:lastRenderedPageBreak/>
        <w:drawing>
          <wp:inline distT="0" distB="0" distL="0" distR="0" wp14:anchorId="7C82FED3" wp14:editId="4876CEFA">
            <wp:extent cx="4599249" cy="2799168"/>
            <wp:effectExtent l="19050" t="0" r="10851" b="1182"/>
            <wp:docPr id="423454752" name="Chart 4234547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E984B1" w14:textId="77777777" w:rsidR="00B626CA" w:rsidRPr="00010588" w:rsidRDefault="00B626CA" w:rsidP="00B626CA">
      <w:pPr>
        <w:spacing w:line="360" w:lineRule="auto"/>
        <w:ind w:firstLine="720"/>
        <w:jc w:val="center"/>
        <w:rPr>
          <w:rFonts w:ascii="Arial" w:hAnsi="Arial" w:cs="Arial"/>
          <w:bCs/>
          <w:sz w:val="20"/>
          <w:szCs w:val="20"/>
        </w:rPr>
      </w:pPr>
      <w:r w:rsidRPr="00010588">
        <w:rPr>
          <w:rFonts w:ascii="Arial" w:hAnsi="Arial" w:cs="Arial"/>
          <w:bCs/>
          <w:sz w:val="20"/>
          <w:szCs w:val="20"/>
        </w:rPr>
        <w:t xml:space="preserve">Fig. 3. Dissipation pattern of </w:t>
      </w:r>
      <w:proofErr w:type="spellStart"/>
      <w:r w:rsidRPr="00010588">
        <w:rPr>
          <w:rFonts w:ascii="Arial" w:hAnsi="Arial" w:cs="Arial"/>
          <w:bCs/>
          <w:sz w:val="20"/>
          <w:szCs w:val="20"/>
        </w:rPr>
        <w:t>chlorantraniliprole</w:t>
      </w:r>
      <w:proofErr w:type="spellEnd"/>
      <w:r w:rsidRPr="00010588">
        <w:rPr>
          <w:rFonts w:ascii="Arial" w:hAnsi="Arial" w:cs="Arial"/>
          <w:bCs/>
          <w:sz w:val="20"/>
          <w:szCs w:val="20"/>
        </w:rPr>
        <w:t xml:space="preserve"> in </w:t>
      </w:r>
      <w:proofErr w:type="spellStart"/>
      <w:r w:rsidRPr="00010588">
        <w:rPr>
          <w:rFonts w:ascii="Arial" w:hAnsi="Arial" w:cs="Arial"/>
          <w:bCs/>
          <w:sz w:val="20"/>
          <w:szCs w:val="20"/>
        </w:rPr>
        <w:t>pigeonpea</w:t>
      </w:r>
      <w:proofErr w:type="spellEnd"/>
      <w:r w:rsidR="0004481F" w:rsidRPr="00010588">
        <w:rPr>
          <w:rFonts w:ascii="Arial" w:hAnsi="Arial" w:cs="Arial"/>
          <w:bCs/>
          <w:sz w:val="20"/>
          <w:szCs w:val="20"/>
        </w:rPr>
        <w:t xml:space="preserve"> </w:t>
      </w:r>
      <w:r w:rsidRPr="00010588">
        <w:rPr>
          <w:rFonts w:ascii="Arial" w:hAnsi="Arial" w:cs="Arial"/>
          <w:bCs/>
          <w:sz w:val="20"/>
          <w:szCs w:val="20"/>
        </w:rPr>
        <w:t>pods</w:t>
      </w:r>
    </w:p>
    <w:p w14:paraId="3B9434E5" w14:textId="77777777" w:rsidR="00477BF0" w:rsidRPr="00010588" w:rsidRDefault="00001BA2" w:rsidP="00010588">
      <w:pPr>
        <w:spacing w:line="360" w:lineRule="auto"/>
        <w:ind w:firstLine="720"/>
        <w:jc w:val="both"/>
        <w:rPr>
          <w:rFonts w:ascii="Arial" w:hAnsi="Arial" w:cs="Arial"/>
          <w:bCs/>
          <w:sz w:val="20"/>
          <w:szCs w:val="20"/>
        </w:rPr>
      </w:pPr>
      <w:r w:rsidRPr="00010588">
        <w:rPr>
          <w:rFonts w:ascii="Arial" w:hAnsi="Arial" w:cs="Arial"/>
          <w:bCs/>
          <w:sz w:val="20"/>
          <w:szCs w:val="20"/>
        </w:rPr>
        <w:t>The first-order kinetics equation Ct = 2.4756e</w:t>
      </w:r>
      <w:r w:rsidRPr="00010588">
        <w:rPr>
          <w:rFonts w:ascii="Arial" w:hAnsi="Arial" w:cs="Arial"/>
          <w:bCs/>
          <w:sz w:val="20"/>
          <w:szCs w:val="20"/>
          <w:vertAlign w:val="superscript"/>
        </w:rPr>
        <w:t>-0.424x</w:t>
      </w:r>
      <w:r w:rsidRPr="00010588">
        <w:rPr>
          <w:rFonts w:ascii="Arial" w:hAnsi="Arial" w:cs="Arial"/>
          <w:bCs/>
          <w:sz w:val="20"/>
          <w:szCs w:val="20"/>
        </w:rPr>
        <w:t xml:space="preserve">, with a half-life of 1.21 days, suggests that the </w:t>
      </w:r>
      <w:r w:rsidR="0081537B" w:rsidRPr="00010588">
        <w:rPr>
          <w:rFonts w:ascii="Arial" w:hAnsi="Arial" w:cs="Arial"/>
          <w:bCs/>
          <w:sz w:val="20"/>
          <w:szCs w:val="20"/>
        </w:rPr>
        <w:t>insecticide</w:t>
      </w:r>
      <w:r w:rsidRPr="00010588">
        <w:rPr>
          <w:rFonts w:ascii="Arial" w:hAnsi="Arial" w:cs="Arial"/>
          <w:bCs/>
          <w:sz w:val="20"/>
          <w:szCs w:val="20"/>
        </w:rPr>
        <w:t xml:space="preserve"> residues degrade at a rate proportional to the remaining concentration. Based on the residue levels and the FSSAI Maximum Residue Limit (MRL) of 0.03 mg/kg, the safe waiting period before harvesting is calculated to be 7.51 days. This ensures that by the time of harvest, </w:t>
      </w:r>
      <w:r w:rsidR="0081537B" w:rsidRPr="00010588">
        <w:rPr>
          <w:rFonts w:ascii="Arial" w:hAnsi="Arial" w:cs="Arial"/>
          <w:bCs/>
          <w:sz w:val="20"/>
          <w:szCs w:val="20"/>
        </w:rPr>
        <w:t>insecticide</w:t>
      </w:r>
      <w:r w:rsidRPr="00010588">
        <w:rPr>
          <w:rFonts w:ascii="Arial" w:hAnsi="Arial" w:cs="Arial"/>
          <w:bCs/>
          <w:sz w:val="20"/>
          <w:szCs w:val="20"/>
        </w:rPr>
        <w:t xml:space="preserve"> levels are below the safety threshold for consumption.</w:t>
      </w:r>
    </w:p>
    <w:p w14:paraId="3FBE10AE" w14:textId="77777777" w:rsidR="00477BF0" w:rsidRPr="00010588" w:rsidRDefault="00477BF0"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results of this study on the dissipation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residues indicate that the </w:t>
      </w:r>
      <w:r w:rsidR="0081537B" w:rsidRPr="00010588">
        <w:rPr>
          <w:rFonts w:ascii="Arial" w:hAnsi="Arial" w:cs="Arial"/>
          <w:sz w:val="20"/>
          <w:szCs w:val="20"/>
        </w:rPr>
        <w:t>insecticide</w:t>
      </w:r>
      <w:r w:rsidRPr="00010588">
        <w:rPr>
          <w:rFonts w:ascii="Arial" w:hAnsi="Arial" w:cs="Arial"/>
          <w:sz w:val="20"/>
          <w:szCs w:val="20"/>
        </w:rPr>
        <w:t xml:space="preserve"> degrades relatively quickly after application, with more than 90% of the </w:t>
      </w:r>
      <w:r w:rsidR="0081537B" w:rsidRPr="00010588">
        <w:rPr>
          <w:rFonts w:ascii="Arial" w:hAnsi="Arial" w:cs="Arial"/>
          <w:sz w:val="20"/>
          <w:szCs w:val="20"/>
        </w:rPr>
        <w:t>insecticide</w:t>
      </w:r>
      <w:r w:rsidRPr="00010588">
        <w:rPr>
          <w:rFonts w:ascii="Arial" w:hAnsi="Arial" w:cs="Arial"/>
          <w:sz w:val="20"/>
          <w:szCs w:val="20"/>
        </w:rPr>
        <w:t xml:space="preserve"> dissipating by Day 5. This is consistent with previous studies that have shown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to be rapidly degraded in the environment.  The results are in accordance with Zhang </w:t>
      </w:r>
      <w:r w:rsidRPr="00010588">
        <w:rPr>
          <w:rFonts w:ascii="Arial" w:hAnsi="Arial" w:cs="Arial"/>
          <w:i/>
          <w:sz w:val="20"/>
          <w:szCs w:val="20"/>
        </w:rPr>
        <w:t>et al</w:t>
      </w:r>
      <w:r w:rsidRPr="00010588">
        <w:rPr>
          <w:rFonts w:ascii="Arial" w:hAnsi="Arial" w:cs="Arial"/>
          <w:sz w:val="20"/>
          <w:szCs w:val="20"/>
        </w:rPr>
        <w:t xml:space="preserve">. (2015) who reported that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exhibits a relatively short half-life in soil and water, ranging from 1.2 to 2.5 days. Huang </w:t>
      </w:r>
      <w:r w:rsidRPr="00010588">
        <w:rPr>
          <w:rFonts w:ascii="Arial" w:hAnsi="Arial" w:cs="Arial"/>
          <w:i/>
          <w:sz w:val="20"/>
          <w:szCs w:val="20"/>
        </w:rPr>
        <w:t>et al</w:t>
      </w:r>
      <w:r w:rsidRPr="00010588">
        <w:rPr>
          <w:rFonts w:ascii="Arial" w:hAnsi="Arial" w:cs="Arial"/>
          <w:sz w:val="20"/>
          <w:szCs w:val="20"/>
        </w:rPr>
        <w:t xml:space="preserve">. (2013) found that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undergoes rapid degradation, with more than 90% of the residue dissipating within 7 days under typical field conditions. This rapid degradation is likely due to its physicochemical properties, such as its relatively </w:t>
      </w:r>
      <w:proofErr w:type="gramStart"/>
      <w:r w:rsidRPr="00010588">
        <w:rPr>
          <w:rFonts w:ascii="Arial" w:hAnsi="Arial" w:cs="Arial"/>
          <w:sz w:val="20"/>
          <w:szCs w:val="20"/>
        </w:rPr>
        <w:t>high water</w:t>
      </w:r>
      <w:proofErr w:type="gramEnd"/>
      <w:r w:rsidRPr="00010588">
        <w:rPr>
          <w:rFonts w:ascii="Arial" w:hAnsi="Arial" w:cs="Arial"/>
          <w:sz w:val="20"/>
          <w:szCs w:val="20"/>
        </w:rPr>
        <w:t xml:space="preserve"> solubility and low persistence in soil, both of which contribute to its quick breakdown.</w:t>
      </w:r>
    </w:p>
    <w:p w14:paraId="7992B4BB" w14:textId="77777777" w:rsidR="00477BF0" w:rsidRPr="00010588" w:rsidRDefault="00477BF0"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first-order kinetics observed in this study, where the dissipation rate is proportional to the remaining concentration, is a well-documented </w:t>
      </w:r>
      <w:proofErr w:type="spellStart"/>
      <w:r w:rsidRPr="00010588">
        <w:rPr>
          <w:rFonts w:ascii="Arial" w:hAnsi="Arial" w:cs="Arial"/>
          <w:sz w:val="20"/>
          <w:szCs w:val="20"/>
        </w:rPr>
        <w:t>behavior</w:t>
      </w:r>
      <w:proofErr w:type="spellEnd"/>
      <w:r w:rsidRPr="00010588">
        <w:rPr>
          <w:rFonts w:ascii="Arial" w:hAnsi="Arial" w:cs="Arial"/>
          <w:sz w:val="20"/>
          <w:szCs w:val="20"/>
        </w:rPr>
        <w:t xml:space="preserve"> for many </w:t>
      </w:r>
      <w:r w:rsidR="0081537B" w:rsidRPr="00010588">
        <w:rPr>
          <w:rFonts w:ascii="Arial" w:hAnsi="Arial" w:cs="Arial"/>
          <w:sz w:val="20"/>
          <w:szCs w:val="20"/>
        </w:rPr>
        <w:t>insecticide</w:t>
      </w:r>
      <w:r w:rsidRPr="00010588">
        <w:rPr>
          <w:rFonts w:ascii="Arial" w:hAnsi="Arial" w:cs="Arial"/>
          <w:sz w:val="20"/>
          <w:szCs w:val="20"/>
        </w:rPr>
        <w:t xml:space="preserve">s. Liu </w:t>
      </w:r>
      <w:r w:rsidRPr="00010588">
        <w:rPr>
          <w:rFonts w:ascii="Arial" w:hAnsi="Arial" w:cs="Arial"/>
          <w:i/>
          <w:sz w:val="20"/>
          <w:szCs w:val="20"/>
        </w:rPr>
        <w:t>et al.</w:t>
      </w:r>
      <w:r w:rsidRPr="00010588">
        <w:rPr>
          <w:rFonts w:ascii="Arial" w:hAnsi="Arial" w:cs="Arial"/>
          <w:sz w:val="20"/>
          <w:szCs w:val="20"/>
        </w:rPr>
        <w:t xml:space="preserve"> (2016) demonstrated similar first-order kinetics in their study of various insecticides, including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Their results indicated that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residues followed a similar exponential decay pattern, with the dissipation rate depending on the environmental conditions such as temperature and moisture </w:t>
      </w:r>
      <w:proofErr w:type="spellStart"/>
      <w:proofErr w:type="gramStart"/>
      <w:r w:rsidRPr="00010588">
        <w:rPr>
          <w:rFonts w:ascii="Arial" w:hAnsi="Arial" w:cs="Arial"/>
          <w:sz w:val="20"/>
          <w:szCs w:val="20"/>
        </w:rPr>
        <w:t>content.By</w:t>
      </w:r>
      <w:proofErr w:type="spellEnd"/>
      <w:proofErr w:type="gramEnd"/>
      <w:r w:rsidRPr="00010588">
        <w:rPr>
          <w:rFonts w:ascii="Arial" w:hAnsi="Arial" w:cs="Arial"/>
          <w:sz w:val="20"/>
          <w:szCs w:val="20"/>
        </w:rPr>
        <w:t xml:space="preserve"> Day 7, the </w:t>
      </w:r>
      <w:r w:rsidR="0081537B" w:rsidRPr="00010588">
        <w:rPr>
          <w:rFonts w:ascii="Arial" w:hAnsi="Arial" w:cs="Arial"/>
          <w:sz w:val="20"/>
          <w:szCs w:val="20"/>
        </w:rPr>
        <w:t>insecticide</w:t>
      </w:r>
      <w:r w:rsidRPr="00010588">
        <w:rPr>
          <w:rFonts w:ascii="Arial" w:hAnsi="Arial" w:cs="Arial"/>
          <w:sz w:val="20"/>
          <w:szCs w:val="20"/>
        </w:rPr>
        <w:t xml:space="preserve"> concentration is reduced to levels considered negligible</w:t>
      </w:r>
      <w:r w:rsidR="00F43A11" w:rsidRPr="00010588">
        <w:rPr>
          <w:rFonts w:ascii="Arial" w:hAnsi="Arial" w:cs="Arial"/>
          <w:sz w:val="20"/>
          <w:szCs w:val="20"/>
        </w:rPr>
        <w:t xml:space="preserve"> and</w:t>
      </w:r>
      <w:r w:rsidRPr="00010588">
        <w:rPr>
          <w:rFonts w:ascii="Arial" w:hAnsi="Arial" w:cs="Arial"/>
          <w:sz w:val="20"/>
          <w:szCs w:val="20"/>
        </w:rPr>
        <w:t xml:space="preserve"> by Day 10, residues fall below the detectable limit (BDL). This is consistent with the findings of Singh </w:t>
      </w:r>
      <w:r w:rsidRPr="00010588">
        <w:rPr>
          <w:rFonts w:ascii="Arial" w:hAnsi="Arial" w:cs="Arial"/>
          <w:i/>
          <w:sz w:val="20"/>
          <w:szCs w:val="20"/>
        </w:rPr>
        <w:t>et al</w:t>
      </w:r>
      <w:r w:rsidRPr="00010588">
        <w:rPr>
          <w:rFonts w:ascii="Arial" w:hAnsi="Arial" w:cs="Arial"/>
          <w:sz w:val="20"/>
          <w:szCs w:val="20"/>
        </w:rPr>
        <w:t xml:space="preserve">. (2014), who reported that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residues were undetectable in crops within 10 days of application under typical field conditions. Furthermore, M</w:t>
      </w:r>
      <w:r w:rsidR="00CF393C" w:rsidRPr="00010588">
        <w:rPr>
          <w:rFonts w:ascii="Arial" w:hAnsi="Arial" w:cs="Arial"/>
          <w:sz w:val="20"/>
          <w:szCs w:val="20"/>
        </w:rPr>
        <w:t>u</w:t>
      </w:r>
      <w:r w:rsidRPr="00010588">
        <w:rPr>
          <w:rFonts w:ascii="Arial" w:hAnsi="Arial" w:cs="Arial"/>
          <w:sz w:val="20"/>
          <w:szCs w:val="20"/>
        </w:rPr>
        <w:t xml:space="preserve">ller </w:t>
      </w:r>
      <w:r w:rsidRPr="00010588">
        <w:rPr>
          <w:rFonts w:ascii="Arial" w:hAnsi="Arial" w:cs="Arial"/>
          <w:i/>
          <w:sz w:val="20"/>
          <w:szCs w:val="20"/>
        </w:rPr>
        <w:t>et al</w:t>
      </w:r>
      <w:r w:rsidRPr="00010588">
        <w:rPr>
          <w:rFonts w:ascii="Arial" w:hAnsi="Arial" w:cs="Arial"/>
          <w:sz w:val="20"/>
          <w:szCs w:val="20"/>
        </w:rPr>
        <w:t xml:space="preserve">. (2020) demonstrated that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residues in treated crops were well below the Maximum Residue Limit (MRL) established by regulatory authorities like the European Food Safety Authority (EFSA) and the Food Safety and Standards Authority of India (FSSAI) when a safe waiting period of 7–10 days was observed.</w:t>
      </w:r>
    </w:p>
    <w:p w14:paraId="0C2C5BC1" w14:textId="77777777" w:rsidR="00477BF0" w:rsidRPr="00010588" w:rsidRDefault="00477BF0" w:rsidP="00F60DED">
      <w:pPr>
        <w:spacing w:line="360" w:lineRule="auto"/>
        <w:ind w:firstLine="720"/>
        <w:jc w:val="both"/>
        <w:rPr>
          <w:rFonts w:ascii="Arial" w:hAnsi="Arial" w:cs="Arial"/>
          <w:sz w:val="20"/>
          <w:szCs w:val="20"/>
        </w:rPr>
      </w:pPr>
      <w:r w:rsidRPr="00010588">
        <w:rPr>
          <w:rFonts w:ascii="Arial" w:hAnsi="Arial" w:cs="Arial"/>
          <w:sz w:val="20"/>
          <w:szCs w:val="20"/>
        </w:rPr>
        <w:lastRenderedPageBreak/>
        <w:t xml:space="preserve">The safe waiting period of 7.51 days calculated in this study is consistent with the FSSAI’s MRL of 0.03 mg/kg for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Previous studies have shown that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residues fall below safety thresholds within this timeframe, ensuring that crops treated with the </w:t>
      </w:r>
      <w:r w:rsidR="0081537B" w:rsidRPr="00010588">
        <w:rPr>
          <w:rFonts w:ascii="Arial" w:hAnsi="Arial" w:cs="Arial"/>
          <w:sz w:val="20"/>
          <w:szCs w:val="20"/>
        </w:rPr>
        <w:t>insecticide</w:t>
      </w:r>
      <w:r w:rsidRPr="00010588">
        <w:rPr>
          <w:rFonts w:ascii="Arial" w:hAnsi="Arial" w:cs="Arial"/>
          <w:sz w:val="20"/>
          <w:szCs w:val="20"/>
        </w:rPr>
        <w:t xml:space="preserve"> are safe for consumption. Liu </w:t>
      </w:r>
      <w:r w:rsidRPr="00010588">
        <w:rPr>
          <w:rFonts w:ascii="Arial" w:hAnsi="Arial" w:cs="Arial"/>
          <w:i/>
          <w:sz w:val="20"/>
          <w:szCs w:val="20"/>
        </w:rPr>
        <w:t>et al.</w:t>
      </w:r>
      <w:r w:rsidRPr="00010588">
        <w:rPr>
          <w:rFonts w:ascii="Arial" w:hAnsi="Arial" w:cs="Arial"/>
          <w:sz w:val="20"/>
          <w:szCs w:val="20"/>
        </w:rPr>
        <w:t xml:space="preserve"> (2018</w:t>
      </w:r>
      <w:proofErr w:type="gramStart"/>
      <w:r w:rsidRPr="00010588">
        <w:rPr>
          <w:rFonts w:ascii="Arial" w:hAnsi="Arial" w:cs="Arial"/>
          <w:sz w:val="20"/>
          <w:szCs w:val="20"/>
        </w:rPr>
        <w:t>)  also</w:t>
      </w:r>
      <w:proofErr w:type="gramEnd"/>
      <w:r w:rsidRPr="00010588">
        <w:rPr>
          <w:rFonts w:ascii="Arial" w:hAnsi="Arial" w:cs="Arial"/>
          <w:sz w:val="20"/>
          <w:szCs w:val="20"/>
        </w:rPr>
        <w:t xml:space="preserve"> confirmed that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residues in fruits and vegetables dissipated well below MRL values within 7–10 days after application, further validating the importance of adhering to recommended waiting periods for safe harvesting.</w:t>
      </w:r>
    </w:p>
    <w:p w14:paraId="1CC8AB4B" w14:textId="77777777" w:rsidR="00477BF0" w:rsidRPr="00010588" w:rsidRDefault="005D0EC4" w:rsidP="008839D3">
      <w:pPr>
        <w:pStyle w:val="ListParagraph"/>
        <w:numPr>
          <w:ilvl w:val="0"/>
          <w:numId w:val="6"/>
        </w:numPr>
        <w:spacing w:line="360" w:lineRule="auto"/>
        <w:jc w:val="both"/>
        <w:rPr>
          <w:rFonts w:ascii="Arial" w:hAnsi="Arial" w:cs="Arial"/>
          <w:b/>
          <w:bCs/>
          <w:sz w:val="20"/>
          <w:szCs w:val="20"/>
        </w:rPr>
      </w:pPr>
      <w:r w:rsidRPr="00010588">
        <w:rPr>
          <w:rFonts w:ascii="Arial" w:hAnsi="Arial" w:cs="Arial"/>
          <w:b/>
          <w:bCs/>
          <w:sz w:val="20"/>
          <w:szCs w:val="20"/>
        </w:rPr>
        <w:t>C</w:t>
      </w:r>
      <w:r w:rsidR="008839D3" w:rsidRPr="00010588">
        <w:rPr>
          <w:rFonts w:ascii="Arial" w:hAnsi="Arial" w:cs="Arial"/>
          <w:b/>
          <w:bCs/>
          <w:sz w:val="20"/>
          <w:szCs w:val="20"/>
        </w:rPr>
        <w:t>ONCLUSION</w:t>
      </w:r>
    </w:p>
    <w:p w14:paraId="59602E37" w14:textId="77777777" w:rsidR="00477BF0" w:rsidRPr="00010588" w:rsidRDefault="00477BF0" w:rsidP="00F60DED">
      <w:pPr>
        <w:spacing w:line="360" w:lineRule="auto"/>
        <w:ind w:firstLine="720"/>
        <w:jc w:val="both"/>
        <w:rPr>
          <w:rFonts w:ascii="Arial" w:hAnsi="Arial" w:cs="Arial"/>
          <w:sz w:val="20"/>
          <w:szCs w:val="20"/>
        </w:rPr>
      </w:pPr>
      <w:r w:rsidRPr="00010588">
        <w:rPr>
          <w:rFonts w:ascii="Arial" w:hAnsi="Arial" w:cs="Arial"/>
          <w:sz w:val="20"/>
          <w:szCs w:val="20"/>
        </w:rPr>
        <w:t xml:space="preserve">The study concludes that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is a rapidly dissipating </w:t>
      </w:r>
      <w:r w:rsidR="0081537B" w:rsidRPr="00010588">
        <w:rPr>
          <w:rFonts w:ascii="Arial" w:hAnsi="Arial" w:cs="Arial"/>
          <w:sz w:val="20"/>
          <w:szCs w:val="20"/>
        </w:rPr>
        <w:t>insecticide</w:t>
      </w:r>
      <w:r w:rsidRPr="00010588">
        <w:rPr>
          <w:rFonts w:ascii="Arial" w:hAnsi="Arial" w:cs="Arial"/>
          <w:sz w:val="20"/>
          <w:szCs w:val="20"/>
        </w:rPr>
        <w:t xml:space="preserve">, with residues falling below detectable levels by Day 10 after application. The calculated safe waiting period of 7.51 days ensures that </w:t>
      </w:r>
      <w:r w:rsidR="0081537B" w:rsidRPr="00010588">
        <w:rPr>
          <w:rFonts w:ascii="Arial" w:hAnsi="Arial" w:cs="Arial"/>
          <w:sz w:val="20"/>
          <w:szCs w:val="20"/>
        </w:rPr>
        <w:t>insecticide</w:t>
      </w:r>
      <w:r w:rsidRPr="00010588">
        <w:rPr>
          <w:rFonts w:ascii="Arial" w:hAnsi="Arial" w:cs="Arial"/>
          <w:sz w:val="20"/>
          <w:szCs w:val="20"/>
        </w:rPr>
        <w:t xml:space="preserve"> levels are safe for human consumption at harvest. These findings support the use of </w:t>
      </w:r>
      <w:proofErr w:type="spellStart"/>
      <w:r w:rsidRPr="00010588">
        <w:rPr>
          <w:rFonts w:ascii="Arial" w:hAnsi="Arial" w:cs="Arial"/>
          <w:sz w:val="20"/>
          <w:szCs w:val="20"/>
        </w:rPr>
        <w:t>chlorantraniliprole</w:t>
      </w:r>
      <w:proofErr w:type="spellEnd"/>
      <w:r w:rsidRPr="00010588">
        <w:rPr>
          <w:rFonts w:ascii="Arial" w:hAnsi="Arial" w:cs="Arial"/>
          <w:sz w:val="20"/>
          <w:szCs w:val="20"/>
        </w:rPr>
        <w:t xml:space="preserve"> in agricultural practices, provided the recommended waiting period is adhered to. Future research under varying environmental conditions could further refine dissipation models and enhance </w:t>
      </w:r>
      <w:r w:rsidR="0081537B" w:rsidRPr="00010588">
        <w:rPr>
          <w:rFonts w:ascii="Arial" w:hAnsi="Arial" w:cs="Arial"/>
          <w:sz w:val="20"/>
          <w:szCs w:val="20"/>
        </w:rPr>
        <w:t>insecticide</w:t>
      </w:r>
      <w:r w:rsidRPr="00010588">
        <w:rPr>
          <w:rFonts w:ascii="Arial" w:hAnsi="Arial" w:cs="Arial"/>
          <w:sz w:val="20"/>
          <w:szCs w:val="20"/>
        </w:rPr>
        <w:t xml:space="preserve"> management practices.</w:t>
      </w:r>
    </w:p>
    <w:p w14:paraId="012494BE" w14:textId="77777777" w:rsidR="003B4E41" w:rsidRPr="00010588" w:rsidRDefault="003B4E41" w:rsidP="003B4E41">
      <w:pPr>
        <w:spacing w:after="0" w:line="360" w:lineRule="auto"/>
        <w:jc w:val="both"/>
        <w:rPr>
          <w:rFonts w:ascii="Arial" w:hAnsi="Arial" w:cs="Arial"/>
          <w:b/>
          <w:sz w:val="20"/>
          <w:szCs w:val="20"/>
        </w:rPr>
      </w:pPr>
      <w:bookmarkStart w:id="0" w:name="_GoBack"/>
      <w:bookmarkEnd w:id="0"/>
      <w:r w:rsidRPr="00010588">
        <w:rPr>
          <w:rFonts w:ascii="Arial" w:hAnsi="Arial" w:cs="Arial"/>
          <w:b/>
          <w:sz w:val="20"/>
          <w:szCs w:val="20"/>
        </w:rPr>
        <w:t xml:space="preserve">Competing Interests </w:t>
      </w:r>
    </w:p>
    <w:p w14:paraId="736AFAE9" w14:textId="77777777" w:rsidR="003B4E41" w:rsidRPr="00010588" w:rsidRDefault="003B4E41" w:rsidP="003B4E41">
      <w:pPr>
        <w:spacing w:after="0" w:line="360" w:lineRule="auto"/>
        <w:jc w:val="both"/>
        <w:rPr>
          <w:rFonts w:ascii="Arial" w:hAnsi="Arial" w:cs="Arial"/>
          <w:sz w:val="20"/>
          <w:szCs w:val="20"/>
        </w:rPr>
      </w:pPr>
      <w:r w:rsidRPr="00010588">
        <w:rPr>
          <w:rFonts w:ascii="Arial" w:hAnsi="Arial" w:cs="Arial"/>
          <w:sz w:val="20"/>
          <w:szCs w:val="20"/>
        </w:rPr>
        <w:t>The authors declare that they have no competing interests.</w:t>
      </w:r>
    </w:p>
    <w:p w14:paraId="6A28BE32" w14:textId="77777777" w:rsidR="00010588" w:rsidRPr="00010588" w:rsidRDefault="00010588" w:rsidP="00010588">
      <w:pPr>
        <w:spacing w:after="0" w:line="360" w:lineRule="auto"/>
        <w:jc w:val="both"/>
        <w:rPr>
          <w:rFonts w:ascii="Arial" w:hAnsi="Arial" w:cs="Arial"/>
          <w:b/>
          <w:sz w:val="20"/>
          <w:szCs w:val="20"/>
        </w:rPr>
      </w:pPr>
      <w:r w:rsidRPr="00010588">
        <w:rPr>
          <w:rFonts w:ascii="Arial" w:hAnsi="Arial" w:cs="Arial"/>
          <w:b/>
          <w:sz w:val="20"/>
          <w:szCs w:val="20"/>
        </w:rPr>
        <w:t>Ethical approval and consent to participate</w:t>
      </w:r>
    </w:p>
    <w:p w14:paraId="38156BCA" w14:textId="77777777" w:rsidR="00010588" w:rsidRPr="00010588" w:rsidRDefault="00010588" w:rsidP="00010588">
      <w:pPr>
        <w:spacing w:after="0" w:line="360" w:lineRule="auto"/>
        <w:ind w:firstLine="720"/>
        <w:jc w:val="both"/>
        <w:rPr>
          <w:rFonts w:ascii="Arial" w:hAnsi="Arial" w:cs="Arial"/>
          <w:sz w:val="20"/>
          <w:szCs w:val="20"/>
        </w:rPr>
      </w:pPr>
      <w:r w:rsidRPr="00010588">
        <w:rPr>
          <w:rFonts w:ascii="Arial" w:hAnsi="Arial" w:cs="Arial"/>
          <w:sz w:val="20"/>
          <w:szCs w:val="20"/>
        </w:rPr>
        <w:t xml:space="preserve">The study was conducted in accordance with institutional guidelines and was approved by the </w:t>
      </w:r>
      <w:r w:rsidRPr="00010588">
        <w:rPr>
          <w:rStyle w:val="Strong"/>
          <w:rFonts w:ascii="Arial" w:hAnsi="Arial" w:cs="Arial"/>
          <w:sz w:val="20"/>
          <w:szCs w:val="20"/>
        </w:rPr>
        <w:t xml:space="preserve">Acharya N G </w:t>
      </w:r>
      <w:proofErr w:type="spellStart"/>
      <w:r w:rsidRPr="00010588">
        <w:rPr>
          <w:rStyle w:val="Strong"/>
          <w:rFonts w:ascii="Arial" w:hAnsi="Arial" w:cs="Arial"/>
          <w:sz w:val="20"/>
          <w:szCs w:val="20"/>
        </w:rPr>
        <w:t>Ranga</w:t>
      </w:r>
      <w:proofErr w:type="spellEnd"/>
      <w:r w:rsidRPr="00010588">
        <w:rPr>
          <w:rStyle w:val="Strong"/>
          <w:rFonts w:ascii="Arial" w:hAnsi="Arial" w:cs="Arial"/>
          <w:sz w:val="20"/>
          <w:szCs w:val="20"/>
        </w:rPr>
        <w:t xml:space="preserve"> Agricultural </w:t>
      </w:r>
      <w:proofErr w:type="spellStart"/>
      <w:proofErr w:type="gramStart"/>
      <w:r w:rsidRPr="00010588">
        <w:rPr>
          <w:rStyle w:val="Strong"/>
          <w:rFonts w:ascii="Arial" w:hAnsi="Arial" w:cs="Arial"/>
          <w:sz w:val="20"/>
          <w:szCs w:val="20"/>
        </w:rPr>
        <w:t>university,Lam</w:t>
      </w:r>
      <w:proofErr w:type="spellEnd"/>
      <w:proofErr w:type="gramEnd"/>
      <w:r w:rsidRPr="00010588">
        <w:rPr>
          <w:rStyle w:val="Strong"/>
          <w:rFonts w:ascii="Arial" w:hAnsi="Arial" w:cs="Arial"/>
          <w:sz w:val="20"/>
          <w:szCs w:val="20"/>
        </w:rPr>
        <w:t>, Guntur.</w:t>
      </w:r>
      <w:r w:rsidRPr="00010588">
        <w:rPr>
          <w:rFonts w:ascii="Arial" w:hAnsi="Arial" w:cs="Arial"/>
          <w:sz w:val="20"/>
          <w:szCs w:val="20"/>
        </w:rPr>
        <w:t xml:space="preserve"> The author consents to the publication of this manuscript.</w:t>
      </w:r>
    </w:p>
    <w:p w14:paraId="28D5063E" w14:textId="77777777" w:rsidR="00010588" w:rsidRPr="00010588" w:rsidRDefault="00010588" w:rsidP="00E655A4">
      <w:pPr>
        <w:spacing w:line="360" w:lineRule="auto"/>
        <w:jc w:val="both"/>
        <w:rPr>
          <w:rFonts w:ascii="Arial" w:hAnsi="Arial" w:cs="Arial"/>
          <w:sz w:val="20"/>
          <w:szCs w:val="20"/>
        </w:rPr>
      </w:pPr>
    </w:p>
    <w:p w14:paraId="0F5D348B" w14:textId="77777777" w:rsidR="005D0EC4" w:rsidRPr="003B4E41" w:rsidRDefault="005D0EC4" w:rsidP="003B4E41">
      <w:pPr>
        <w:spacing w:line="360" w:lineRule="auto"/>
        <w:jc w:val="both"/>
        <w:rPr>
          <w:rFonts w:ascii="Arial" w:hAnsi="Arial" w:cs="Arial"/>
          <w:b/>
          <w:szCs w:val="20"/>
        </w:rPr>
      </w:pPr>
      <w:r w:rsidRPr="003B4E41">
        <w:rPr>
          <w:rFonts w:ascii="Arial" w:hAnsi="Arial" w:cs="Arial"/>
          <w:b/>
          <w:szCs w:val="20"/>
        </w:rPr>
        <w:t>R</w:t>
      </w:r>
      <w:r w:rsidR="007F67C8" w:rsidRPr="003B4E41">
        <w:rPr>
          <w:rFonts w:ascii="Arial" w:hAnsi="Arial" w:cs="Arial"/>
          <w:b/>
          <w:szCs w:val="20"/>
        </w:rPr>
        <w:t>EFERENCES</w:t>
      </w:r>
    </w:p>
    <w:p w14:paraId="05B57EEF" w14:textId="77777777" w:rsidR="00FB04F0" w:rsidRPr="003B4E41" w:rsidRDefault="00034D1E" w:rsidP="003B4E41">
      <w:pPr>
        <w:spacing w:after="0" w:line="360" w:lineRule="auto"/>
        <w:jc w:val="both"/>
        <w:rPr>
          <w:rFonts w:ascii="Arial" w:hAnsi="Arial" w:cs="Arial"/>
          <w:sz w:val="20"/>
          <w:szCs w:val="20"/>
        </w:rPr>
      </w:pPr>
      <w:r w:rsidRPr="003B4E41">
        <w:rPr>
          <w:rFonts w:ascii="Arial" w:hAnsi="Arial" w:cs="Arial"/>
          <w:sz w:val="20"/>
          <w:szCs w:val="20"/>
        </w:rPr>
        <w:t>Cordova, D., Benn</w:t>
      </w:r>
      <w:r w:rsidR="00BF4FC6" w:rsidRPr="003B4E41">
        <w:rPr>
          <w:rFonts w:ascii="Arial" w:hAnsi="Arial" w:cs="Arial"/>
          <w:sz w:val="20"/>
          <w:szCs w:val="20"/>
        </w:rPr>
        <w:t>er, E.A</w:t>
      </w:r>
      <w:r w:rsidR="003B4E41" w:rsidRPr="003B4E41">
        <w:rPr>
          <w:rFonts w:ascii="Arial" w:hAnsi="Arial" w:cs="Arial"/>
          <w:sz w:val="20"/>
          <w:szCs w:val="20"/>
        </w:rPr>
        <w:t xml:space="preserve">., </w:t>
      </w:r>
      <w:proofErr w:type="gramStart"/>
      <w:r w:rsidR="003B4E41" w:rsidRPr="003B4E41">
        <w:rPr>
          <w:rFonts w:ascii="Arial" w:hAnsi="Arial" w:cs="Arial"/>
          <w:sz w:val="20"/>
          <w:szCs w:val="20"/>
        </w:rPr>
        <w:t xml:space="preserve">&amp; </w:t>
      </w:r>
      <w:r w:rsidR="00BF4FC6" w:rsidRPr="003B4E41">
        <w:rPr>
          <w:rFonts w:ascii="Arial" w:hAnsi="Arial" w:cs="Arial"/>
          <w:sz w:val="20"/>
          <w:szCs w:val="20"/>
        </w:rPr>
        <w:t xml:space="preserve"> Sacher</w:t>
      </w:r>
      <w:proofErr w:type="gramEnd"/>
      <w:r w:rsidR="00BF4FC6" w:rsidRPr="003B4E41">
        <w:rPr>
          <w:rFonts w:ascii="Arial" w:hAnsi="Arial" w:cs="Arial"/>
          <w:sz w:val="20"/>
          <w:szCs w:val="20"/>
        </w:rPr>
        <w:t>, M.D</w:t>
      </w:r>
      <w:r w:rsidR="003B4E41" w:rsidRPr="003B4E41">
        <w:rPr>
          <w:rFonts w:ascii="Arial" w:hAnsi="Arial" w:cs="Arial"/>
          <w:sz w:val="20"/>
          <w:szCs w:val="20"/>
        </w:rPr>
        <w:t>. (2006).</w:t>
      </w:r>
      <w:r w:rsidRPr="003B4E41">
        <w:rPr>
          <w:rFonts w:ascii="Arial" w:hAnsi="Arial" w:cs="Arial"/>
          <w:sz w:val="20"/>
          <w:szCs w:val="20"/>
        </w:rPr>
        <w:t xml:space="preserve">Anthranilic diamides: a new class of insecticides with a novel mode of action, ryanodine receptor activation. </w:t>
      </w:r>
      <w:r w:rsidRPr="003B4E41">
        <w:rPr>
          <w:rStyle w:val="Emphasis"/>
          <w:rFonts w:ascii="Arial" w:eastAsiaTheme="majorEastAsia" w:hAnsi="Arial" w:cs="Arial"/>
          <w:sz w:val="20"/>
          <w:szCs w:val="20"/>
        </w:rPr>
        <w:t>Pest Management Science</w:t>
      </w:r>
      <w:r w:rsidRPr="003B4E41">
        <w:rPr>
          <w:rFonts w:ascii="Arial" w:hAnsi="Arial" w:cs="Arial"/>
          <w:sz w:val="20"/>
          <w:szCs w:val="20"/>
        </w:rPr>
        <w:t>, 62</w:t>
      </w:r>
      <w:r w:rsidR="003B4E41" w:rsidRPr="003B4E41">
        <w:rPr>
          <w:rFonts w:ascii="Arial" w:hAnsi="Arial" w:cs="Arial"/>
          <w:sz w:val="20"/>
          <w:szCs w:val="20"/>
        </w:rPr>
        <w:t xml:space="preserve">, </w:t>
      </w:r>
      <w:r w:rsidRPr="003B4E41">
        <w:rPr>
          <w:rFonts w:ascii="Arial" w:hAnsi="Arial" w:cs="Arial"/>
          <w:sz w:val="20"/>
          <w:szCs w:val="20"/>
        </w:rPr>
        <w:t>692–701.</w:t>
      </w:r>
    </w:p>
    <w:p w14:paraId="1ED34069"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FAO/WHO. (2016). </w:t>
      </w:r>
      <w:r w:rsidRPr="003B4E41">
        <w:rPr>
          <w:rStyle w:val="Emphasis"/>
          <w:rFonts w:ascii="Arial" w:eastAsiaTheme="majorEastAsia" w:hAnsi="Arial" w:cs="Arial"/>
          <w:sz w:val="20"/>
          <w:szCs w:val="20"/>
        </w:rPr>
        <w:t>Pesticide residues in food: Evaluations 2016</w:t>
      </w:r>
      <w:r w:rsidRPr="003B4E41">
        <w:rPr>
          <w:rFonts w:ascii="Arial" w:hAnsi="Arial" w:cs="Arial"/>
          <w:sz w:val="20"/>
          <w:szCs w:val="20"/>
        </w:rPr>
        <w:t>. FAO Plant Production and Protection Paper, 222.</w:t>
      </w:r>
    </w:p>
    <w:p w14:paraId="295ACEB8"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FSSAI. (2018). </w:t>
      </w:r>
      <w:r w:rsidRPr="003B4E41">
        <w:rPr>
          <w:rStyle w:val="Emphasis"/>
          <w:rFonts w:ascii="Arial" w:eastAsiaTheme="majorEastAsia" w:hAnsi="Arial" w:cs="Arial"/>
          <w:sz w:val="20"/>
          <w:szCs w:val="20"/>
        </w:rPr>
        <w:t>Manual on pesticide residue analysis in food</w:t>
      </w:r>
      <w:r w:rsidRPr="003B4E41">
        <w:rPr>
          <w:rFonts w:ascii="Arial" w:hAnsi="Arial" w:cs="Arial"/>
          <w:sz w:val="20"/>
          <w:szCs w:val="20"/>
        </w:rPr>
        <w:t>. Food Safety and Standards Authority of India.</w:t>
      </w:r>
    </w:p>
    <w:p w14:paraId="1BB922C4"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Huang, J., Zhang, J., &amp; Yang, X. (2013). Degradation and dissipation of </w:t>
      </w:r>
      <w:proofErr w:type="spellStart"/>
      <w:r w:rsidRPr="003B4E41">
        <w:rPr>
          <w:rFonts w:ascii="Arial" w:hAnsi="Arial" w:cs="Arial"/>
          <w:sz w:val="20"/>
          <w:szCs w:val="20"/>
        </w:rPr>
        <w:t>chlorantraniliprole</w:t>
      </w:r>
      <w:proofErr w:type="spellEnd"/>
      <w:r w:rsidRPr="003B4E41">
        <w:rPr>
          <w:rFonts w:ascii="Arial" w:hAnsi="Arial" w:cs="Arial"/>
          <w:sz w:val="20"/>
          <w:szCs w:val="20"/>
        </w:rPr>
        <w:t xml:space="preserve"> in rice and soil under field conditions. </w:t>
      </w:r>
      <w:r w:rsidRPr="003B4E41">
        <w:rPr>
          <w:rStyle w:val="Emphasis"/>
          <w:rFonts w:ascii="Arial" w:eastAsiaTheme="majorEastAsia" w:hAnsi="Arial" w:cs="Arial"/>
          <w:sz w:val="20"/>
          <w:szCs w:val="20"/>
        </w:rPr>
        <w:t>Journal of Agricultural and Food Chemistry, 61</w:t>
      </w:r>
      <w:r w:rsidRPr="003B4E41">
        <w:rPr>
          <w:rFonts w:ascii="Arial" w:hAnsi="Arial" w:cs="Arial"/>
          <w:sz w:val="20"/>
          <w:szCs w:val="20"/>
        </w:rPr>
        <w:t>(10), 2341–2347.</w:t>
      </w:r>
    </w:p>
    <w:p w14:paraId="28777C57"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Kumar, S., Singh, R., &amp; Sharma, S. (2019). Integrated management of </w:t>
      </w:r>
      <w:proofErr w:type="spellStart"/>
      <w:r w:rsidRPr="003B4E41">
        <w:rPr>
          <w:rFonts w:ascii="Arial" w:hAnsi="Arial" w:cs="Arial"/>
          <w:sz w:val="20"/>
          <w:szCs w:val="20"/>
        </w:rPr>
        <w:t>pigeonpea</w:t>
      </w:r>
      <w:proofErr w:type="spellEnd"/>
      <w:r w:rsidRPr="003B4E41">
        <w:rPr>
          <w:rFonts w:ascii="Arial" w:hAnsi="Arial" w:cs="Arial"/>
          <w:sz w:val="20"/>
          <w:szCs w:val="20"/>
        </w:rPr>
        <w:t xml:space="preserve"> pod borer </w:t>
      </w:r>
      <w:proofErr w:type="spellStart"/>
      <w:r w:rsidRPr="003B4E41">
        <w:rPr>
          <w:rStyle w:val="Emphasis"/>
          <w:rFonts w:ascii="Arial" w:eastAsiaTheme="majorEastAsia" w:hAnsi="Arial" w:cs="Arial"/>
          <w:sz w:val="20"/>
          <w:szCs w:val="20"/>
        </w:rPr>
        <w:t>Helicoverpa</w:t>
      </w:r>
      <w:proofErr w:type="spellEnd"/>
      <w:r w:rsidRPr="003B4E41">
        <w:rPr>
          <w:rStyle w:val="Emphasis"/>
          <w:rFonts w:ascii="Arial" w:eastAsiaTheme="majorEastAsia" w:hAnsi="Arial" w:cs="Arial"/>
          <w:sz w:val="20"/>
          <w:szCs w:val="20"/>
        </w:rPr>
        <w:t xml:space="preserve"> </w:t>
      </w:r>
      <w:proofErr w:type="spellStart"/>
      <w:r w:rsidRPr="003B4E41">
        <w:rPr>
          <w:rStyle w:val="Emphasis"/>
          <w:rFonts w:ascii="Arial" w:eastAsiaTheme="majorEastAsia" w:hAnsi="Arial" w:cs="Arial"/>
          <w:sz w:val="20"/>
          <w:szCs w:val="20"/>
        </w:rPr>
        <w:t>armigera</w:t>
      </w:r>
      <w:proofErr w:type="spellEnd"/>
      <w:r w:rsidRPr="003B4E41">
        <w:rPr>
          <w:rFonts w:ascii="Arial" w:hAnsi="Arial" w:cs="Arial"/>
          <w:sz w:val="20"/>
          <w:szCs w:val="20"/>
        </w:rPr>
        <w:t xml:space="preserve"> in India. </w:t>
      </w:r>
      <w:r w:rsidRPr="003B4E41">
        <w:rPr>
          <w:rStyle w:val="Emphasis"/>
          <w:rFonts w:ascii="Arial" w:eastAsiaTheme="majorEastAsia" w:hAnsi="Arial" w:cs="Arial"/>
          <w:sz w:val="20"/>
          <w:szCs w:val="20"/>
        </w:rPr>
        <w:t>Journal of Insect Science, 19</w:t>
      </w:r>
      <w:r w:rsidRPr="003B4E41">
        <w:rPr>
          <w:rFonts w:ascii="Arial" w:hAnsi="Arial" w:cs="Arial"/>
          <w:sz w:val="20"/>
          <w:szCs w:val="20"/>
        </w:rPr>
        <w:t>(3), 1–10.</w:t>
      </w:r>
    </w:p>
    <w:p w14:paraId="0AE9E5DB"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Li, J., Li, Z., &amp; Jiang, D. (2017). Residue dynamics and safe harvest intervals for </w:t>
      </w:r>
      <w:proofErr w:type="spellStart"/>
      <w:r w:rsidRPr="003B4E41">
        <w:rPr>
          <w:rFonts w:ascii="Arial" w:hAnsi="Arial" w:cs="Arial"/>
          <w:sz w:val="20"/>
          <w:szCs w:val="20"/>
        </w:rPr>
        <w:t>chlorantraniliprole</w:t>
      </w:r>
      <w:proofErr w:type="spellEnd"/>
      <w:r w:rsidRPr="003B4E41">
        <w:rPr>
          <w:rFonts w:ascii="Arial" w:hAnsi="Arial" w:cs="Arial"/>
          <w:sz w:val="20"/>
          <w:szCs w:val="20"/>
        </w:rPr>
        <w:t xml:space="preserve"> on apples and grapes. </w:t>
      </w:r>
      <w:r w:rsidRPr="003B4E41">
        <w:rPr>
          <w:rStyle w:val="Emphasis"/>
          <w:rFonts w:ascii="Arial" w:eastAsiaTheme="majorEastAsia" w:hAnsi="Arial" w:cs="Arial"/>
          <w:sz w:val="20"/>
          <w:szCs w:val="20"/>
        </w:rPr>
        <w:t>Food Control, 73</w:t>
      </w:r>
      <w:r w:rsidRPr="003B4E41">
        <w:rPr>
          <w:rFonts w:ascii="Arial" w:hAnsi="Arial" w:cs="Arial"/>
          <w:sz w:val="20"/>
          <w:szCs w:val="20"/>
        </w:rPr>
        <w:t>, 270–278.</w:t>
      </w:r>
    </w:p>
    <w:p w14:paraId="4A23CAA4"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Liu, J., Li, Z., &amp; Wang, C. (2016). First-order kinetics of pesticide dissipation in agricultural soils: A review. </w:t>
      </w:r>
      <w:r w:rsidRPr="003B4E41">
        <w:rPr>
          <w:rStyle w:val="Emphasis"/>
          <w:rFonts w:ascii="Arial" w:eastAsiaTheme="majorEastAsia" w:hAnsi="Arial" w:cs="Arial"/>
          <w:sz w:val="20"/>
          <w:szCs w:val="20"/>
        </w:rPr>
        <w:t>Pest Management Science, 72</w:t>
      </w:r>
      <w:r w:rsidRPr="003B4E41">
        <w:rPr>
          <w:rFonts w:ascii="Arial" w:hAnsi="Arial" w:cs="Arial"/>
          <w:sz w:val="20"/>
          <w:szCs w:val="20"/>
        </w:rPr>
        <w:t>(7), 1217–1225.</w:t>
      </w:r>
    </w:p>
    <w:p w14:paraId="5A21C560"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Liu, S., Ma, Y., &amp; Zhang, Z. (2018). Dissipation of </w:t>
      </w:r>
      <w:proofErr w:type="spellStart"/>
      <w:r w:rsidRPr="003B4E41">
        <w:rPr>
          <w:rFonts w:ascii="Arial" w:hAnsi="Arial" w:cs="Arial"/>
          <w:sz w:val="20"/>
          <w:szCs w:val="20"/>
        </w:rPr>
        <w:t>chlorantraniliprole</w:t>
      </w:r>
      <w:proofErr w:type="spellEnd"/>
      <w:r w:rsidRPr="003B4E41">
        <w:rPr>
          <w:rFonts w:ascii="Arial" w:hAnsi="Arial" w:cs="Arial"/>
          <w:sz w:val="20"/>
          <w:szCs w:val="20"/>
        </w:rPr>
        <w:t xml:space="preserve"> and its residues in fruits and vegetables under field conditions. </w:t>
      </w:r>
      <w:r w:rsidRPr="003B4E41">
        <w:rPr>
          <w:rStyle w:val="Emphasis"/>
          <w:rFonts w:ascii="Arial" w:eastAsiaTheme="majorEastAsia" w:hAnsi="Arial" w:cs="Arial"/>
          <w:sz w:val="20"/>
          <w:szCs w:val="20"/>
        </w:rPr>
        <w:t>Environmental Monitoring and Assessment, 190</w:t>
      </w:r>
      <w:r w:rsidRPr="003B4E41">
        <w:rPr>
          <w:rFonts w:ascii="Arial" w:hAnsi="Arial" w:cs="Arial"/>
          <w:sz w:val="20"/>
          <w:szCs w:val="20"/>
        </w:rPr>
        <w:t>(6), 357–365.</w:t>
      </w:r>
    </w:p>
    <w:p w14:paraId="5C9DDEDF" w14:textId="77777777" w:rsidR="003B4E41" w:rsidRPr="003B4E41" w:rsidRDefault="003B4E41" w:rsidP="003B4E41">
      <w:pPr>
        <w:pStyle w:val="NormalWeb"/>
        <w:jc w:val="both"/>
        <w:rPr>
          <w:rFonts w:ascii="Arial" w:hAnsi="Arial" w:cs="Arial"/>
          <w:sz w:val="20"/>
          <w:szCs w:val="20"/>
        </w:rPr>
      </w:pPr>
      <w:proofErr w:type="spellStart"/>
      <w:r w:rsidRPr="003B4E41">
        <w:rPr>
          <w:rFonts w:ascii="Arial" w:hAnsi="Arial" w:cs="Arial"/>
          <w:sz w:val="20"/>
          <w:szCs w:val="20"/>
        </w:rPr>
        <w:lastRenderedPageBreak/>
        <w:t>Musarurwa</w:t>
      </w:r>
      <w:proofErr w:type="spellEnd"/>
      <w:r w:rsidRPr="003B4E41">
        <w:rPr>
          <w:rFonts w:ascii="Arial" w:hAnsi="Arial" w:cs="Arial"/>
          <w:sz w:val="20"/>
          <w:szCs w:val="20"/>
        </w:rPr>
        <w:t xml:space="preserve">, H., </w:t>
      </w:r>
      <w:proofErr w:type="spellStart"/>
      <w:r w:rsidRPr="003B4E41">
        <w:rPr>
          <w:rFonts w:ascii="Arial" w:hAnsi="Arial" w:cs="Arial"/>
          <w:sz w:val="20"/>
          <w:szCs w:val="20"/>
        </w:rPr>
        <w:t>Chimuka</w:t>
      </w:r>
      <w:proofErr w:type="spellEnd"/>
      <w:r w:rsidRPr="003B4E41">
        <w:rPr>
          <w:rFonts w:ascii="Arial" w:hAnsi="Arial" w:cs="Arial"/>
          <w:sz w:val="20"/>
          <w:szCs w:val="20"/>
        </w:rPr>
        <w:t xml:space="preserve">, L., </w:t>
      </w:r>
      <w:proofErr w:type="spellStart"/>
      <w:r w:rsidRPr="003B4E41">
        <w:rPr>
          <w:rFonts w:ascii="Arial" w:hAnsi="Arial" w:cs="Arial"/>
          <w:sz w:val="20"/>
          <w:szCs w:val="20"/>
        </w:rPr>
        <w:t>Pakade</w:t>
      </w:r>
      <w:proofErr w:type="spellEnd"/>
      <w:r w:rsidRPr="003B4E41">
        <w:rPr>
          <w:rFonts w:ascii="Arial" w:hAnsi="Arial" w:cs="Arial"/>
          <w:sz w:val="20"/>
          <w:szCs w:val="20"/>
        </w:rPr>
        <w:t xml:space="preserve">, V. E., &amp; </w:t>
      </w:r>
      <w:proofErr w:type="spellStart"/>
      <w:r w:rsidRPr="003B4E41">
        <w:rPr>
          <w:rFonts w:ascii="Arial" w:hAnsi="Arial" w:cs="Arial"/>
          <w:sz w:val="20"/>
          <w:szCs w:val="20"/>
        </w:rPr>
        <w:t>Tavengwa</w:t>
      </w:r>
      <w:proofErr w:type="spellEnd"/>
      <w:r w:rsidRPr="003B4E41">
        <w:rPr>
          <w:rFonts w:ascii="Arial" w:hAnsi="Arial" w:cs="Arial"/>
          <w:sz w:val="20"/>
          <w:szCs w:val="20"/>
        </w:rPr>
        <w:t xml:space="preserve">, N. T. (2019). Recent developments and applications of </w:t>
      </w:r>
      <w:proofErr w:type="spellStart"/>
      <w:r w:rsidRPr="003B4E41">
        <w:rPr>
          <w:rFonts w:ascii="Arial" w:hAnsi="Arial" w:cs="Arial"/>
          <w:sz w:val="20"/>
          <w:szCs w:val="20"/>
        </w:rPr>
        <w:t>QuEChERS</w:t>
      </w:r>
      <w:proofErr w:type="spellEnd"/>
      <w:r w:rsidRPr="003B4E41">
        <w:rPr>
          <w:rFonts w:ascii="Arial" w:hAnsi="Arial" w:cs="Arial"/>
          <w:sz w:val="20"/>
          <w:szCs w:val="20"/>
        </w:rPr>
        <w:t xml:space="preserve">-based techniques on food samples during pesticide analysis. </w:t>
      </w:r>
      <w:r w:rsidRPr="003B4E41">
        <w:rPr>
          <w:rStyle w:val="Emphasis"/>
          <w:rFonts w:ascii="Arial" w:eastAsiaTheme="majorEastAsia" w:hAnsi="Arial" w:cs="Arial"/>
          <w:sz w:val="20"/>
          <w:szCs w:val="20"/>
        </w:rPr>
        <w:t>Journal of Food Composition and Analysis</w:t>
      </w:r>
      <w:r w:rsidRPr="003B4E41">
        <w:rPr>
          <w:rFonts w:ascii="Arial" w:hAnsi="Arial" w:cs="Arial"/>
          <w:sz w:val="20"/>
          <w:szCs w:val="20"/>
        </w:rPr>
        <w:t>, 103314–103361.</w:t>
      </w:r>
    </w:p>
    <w:p w14:paraId="2F7BF98A"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Muller, T., </w:t>
      </w:r>
      <w:proofErr w:type="spellStart"/>
      <w:r w:rsidRPr="003B4E41">
        <w:rPr>
          <w:rFonts w:ascii="Arial" w:hAnsi="Arial" w:cs="Arial"/>
          <w:sz w:val="20"/>
          <w:szCs w:val="20"/>
        </w:rPr>
        <w:t>Engst</w:t>
      </w:r>
      <w:proofErr w:type="spellEnd"/>
      <w:r w:rsidRPr="003B4E41">
        <w:rPr>
          <w:rFonts w:ascii="Arial" w:hAnsi="Arial" w:cs="Arial"/>
          <w:sz w:val="20"/>
          <w:szCs w:val="20"/>
        </w:rPr>
        <w:t xml:space="preserve">, S., &amp; Beck, L. (2020). Environmental fate and residue dynamics of </w:t>
      </w:r>
      <w:proofErr w:type="spellStart"/>
      <w:r w:rsidRPr="003B4E41">
        <w:rPr>
          <w:rFonts w:ascii="Arial" w:hAnsi="Arial" w:cs="Arial"/>
          <w:sz w:val="20"/>
          <w:szCs w:val="20"/>
        </w:rPr>
        <w:t>chlorantraniliprole</w:t>
      </w:r>
      <w:proofErr w:type="spellEnd"/>
      <w:r w:rsidRPr="003B4E41">
        <w:rPr>
          <w:rFonts w:ascii="Arial" w:hAnsi="Arial" w:cs="Arial"/>
          <w:sz w:val="20"/>
          <w:szCs w:val="20"/>
        </w:rPr>
        <w:t xml:space="preserve"> in agricultural ecosystems. </w:t>
      </w:r>
      <w:r w:rsidRPr="003B4E41">
        <w:rPr>
          <w:rStyle w:val="Emphasis"/>
          <w:rFonts w:ascii="Arial" w:eastAsiaTheme="majorEastAsia" w:hAnsi="Arial" w:cs="Arial"/>
          <w:sz w:val="20"/>
          <w:szCs w:val="20"/>
        </w:rPr>
        <w:t>Journal of Environmental Science and Health, 55</w:t>
      </w:r>
      <w:r w:rsidRPr="003B4E41">
        <w:rPr>
          <w:rFonts w:ascii="Arial" w:hAnsi="Arial" w:cs="Arial"/>
          <w:sz w:val="20"/>
          <w:szCs w:val="20"/>
        </w:rPr>
        <w:t>(3), 206–213.</w:t>
      </w:r>
    </w:p>
    <w:p w14:paraId="4220E585"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Singh, N., Sharma, R., &amp; Gupta, P. (2020). Dissipation kinetics of </w:t>
      </w:r>
      <w:proofErr w:type="spellStart"/>
      <w:r w:rsidRPr="003B4E41">
        <w:rPr>
          <w:rFonts w:ascii="Arial" w:hAnsi="Arial" w:cs="Arial"/>
          <w:sz w:val="20"/>
          <w:szCs w:val="20"/>
        </w:rPr>
        <w:t>chlorantraniliprole</w:t>
      </w:r>
      <w:proofErr w:type="spellEnd"/>
      <w:r w:rsidRPr="003B4E41">
        <w:rPr>
          <w:rFonts w:ascii="Arial" w:hAnsi="Arial" w:cs="Arial"/>
          <w:sz w:val="20"/>
          <w:szCs w:val="20"/>
        </w:rPr>
        <w:t xml:space="preserve"> in vegetable crops. </w:t>
      </w:r>
      <w:r w:rsidRPr="003B4E41">
        <w:rPr>
          <w:rStyle w:val="Emphasis"/>
          <w:rFonts w:ascii="Arial" w:eastAsiaTheme="majorEastAsia" w:hAnsi="Arial" w:cs="Arial"/>
          <w:sz w:val="20"/>
          <w:szCs w:val="20"/>
        </w:rPr>
        <w:t>Bulletin of Environmental Contamination and Toxicology, 105</w:t>
      </w:r>
      <w:r w:rsidRPr="003B4E41">
        <w:rPr>
          <w:rFonts w:ascii="Arial" w:hAnsi="Arial" w:cs="Arial"/>
          <w:sz w:val="20"/>
          <w:szCs w:val="20"/>
        </w:rPr>
        <w:t>, 874–880.</w:t>
      </w:r>
    </w:p>
    <w:p w14:paraId="0311F69D"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Singh, S., Mangal, A., &amp; Pandey, R. (2014). </w:t>
      </w:r>
      <w:proofErr w:type="spellStart"/>
      <w:r w:rsidRPr="003B4E41">
        <w:rPr>
          <w:rFonts w:ascii="Arial" w:hAnsi="Arial" w:cs="Arial"/>
          <w:sz w:val="20"/>
          <w:szCs w:val="20"/>
        </w:rPr>
        <w:t>Behavior</w:t>
      </w:r>
      <w:proofErr w:type="spellEnd"/>
      <w:r w:rsidRPr="003B4E41">
        <w:rPr>
          <w:rFonts w:ascii="Arial" w:hAnsi="Arial" w:cs="Arial"/>
          <w:sz w:val="20"/>
          <w:szCs w:val="20"/>
        </w:rPr>
        <w:t xml:space="preserve"> of </w:t>
      </w:r>
      <w:proofErr w:type="spellStart"/>
      <w:r w:rsidRPr="003B4E41">
        <w:rPr>
          <w:rFonts w:ascii="Arial" w:hAnsi="Arial" w:cs="Arial"/>
          <w:sz w:val="20"/>
          <w:szCs w:val="20"/>
        </w:rPr>
        <w:t>chlorantraniliprole</w:t>
      </w:r>
      <w:proofErr w:type="spellEnd"/>
      <w:r w:rsidRPr="003B4E41">
        <w:rPr>
          <w:rFonts w:ascii="Arial" w:hAnsi="Arial" w:cs="Arial"/>
          <w:sz w:val="20"/>
          <w:szCs w:val="20"/>
        </w:rPr>
        <w:t xml:space="preserve"> in various crops: Dissipation and residue levels. </w:t>
      </w:r>
      <w:r w:rsidRPr="003B4E41">
        <w:rPr>
          <w:rStyle w:val="Emphasis"/>
          <w:rFonts w:ascii="Arial" w:eastAsiaTheme="majorEastAsia" w:hAnsi="Arial" w:cs="Arial"/>
          <w:sz w:val="20"/>
          <w:szCs w:val="20"/>
        </w:rPr>
        <w:t>International Journal of Pest Management, 60</w:t>
      </w:r>
      <w:r w:rsidRPr="003B4E41">
        <w:rPr>
          <w:rFonts w:ascii="Arial" w:hAnsi="Arial" w:cs="Arial"/>
          <w:sz w:val="20"/>
          <w:szCs w:val="20"/>
        </w:rPr>
        <w:t>(4), 317–322.</w:t>
      </w:r>
    </w:p>
    <w:p w14:paraId="632E8999"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Zhang, L., &amp; Li, Y. (2019). Environmental factors affecting pesticide dissipation in crops and soil: Implications for safe pesticide use. </w:t>
      </w:r>
      <w:r w:rsidRPr="003B4E41">
        <w:rPr>
          <w:rStyle w:val="Emphasis"/>
          <w:rFonts w:ascii="Arial" w:eastAsiaTheme="majorEastAsia" w:hAnsi="Arial" w:cs="Arial"/>
          <w:sz w:val="20"/>
          <w:szCs w:val="20"/>
        </w:rPr>
        <w:t>Environmental Toxicology and Chemistry, 38</w:t>
      </w:r>
      <w:r w:rsidRPr="003B4E41">
        <w:rPr>
          <w:rFonts w:ascii="Arial" w:hAnsi="Arial" w:cs="Arial"/>
          <w:sz w:val="20"/>
          <w:szCs w:val="20"/>
        </w:rPr>
        <w:t>(2), 300–310.</w:t>
      </w:r>
    </w:p>
    <w:p w14:paraId="0B61A501" w14:textId="77777777" w:rsidR="003B4E41" w:rsidRPr="003B4E41" w:rsidRDefault="003B4E41" w:rsidP="003B4E41">
      <w:pPr>
        <w:pStyle w:val="NormalWeb"/>
        <w:jc w:val="both"/>
        <w:rPr>
          <w:rFonts w:ascii="Arial" w:hAnsi="Arial" w:cs="Arial"/>
          <w:sz w:val="20"/>
          <w:szCs w:val="20"/>
        </w:rPr>
      </w:pPr>
      <w:r w:rsidRPr="003B4E41">
        <w:rPr>
          <w:rFonts w:ascii="Arial" w:hAnsi="Arial" w:cs="Arial"/>
          <w:sz w:val="20"/>
          <w:szCs w:val="20"/>
        </w:rPr>
        <w:t xml:space="preserve">Zhang, Y., Zhang, H., Li, W., &amp; Li, B. (2015). Dissipation and residue analysis of </w:t>
      </w:r>
      <w:proofErr w:type="spellStart"/>
      <w:r w:rsidRPr="003B4E41">
        <w:rPr>
          <w:rFonts w:ascii="Arial" w:hAnsi="Arial" w:cs="Arial"/>
          <w:sz w:val="20"/>
          <w:szCs w:val="20"/>
        </w:rPr>
        <w:t>chlorantraniliprole</w:t>
      </w:r>
      <w:proofErr w:type="spellEnd"/>
      <w:r w:rsidRPr="003B4E41">
        <w:rPr>
          <w:rFonts w:ascii="Arial" w:hAnsi="Arial" w:cs="Arial"/>
          <w:sz w:val="20"/>
          <w:szCs w:val="20"/>
        </w:rPr>
        <w:t xml:space="preserve"> in soil and water under field conditions. </w:t>
      </w:r>
      <w:r w:rsidRPr="003B4E41">
        <w:rPr>
          <w:rStyle w:val="Emphasis"/>
          <w:rFonts w:ascii="Arial" w:eastAsiaTheme="majorEastAsia" w:hAnsi="Arial" w:cs="Arial"/>
          <w:sz w:val="20"/>
          <w:szCs w:val="20"/>
        </w:rPr>
        <w:t>Environmental Toxicology and Chemistry, 34</w:t>
      </w:r>
      <w:r w:rsidRPr="003B4E41">
        <w:rPr>
          <w:rFonts w:ascii="Arial" w:hAnsi="Arial" w:cs="Arial"/>
          <w:sz w:val="20"/>
          <w:szCs w:val="20"/>
        </w:rPr>
        <w:t>(2), 301–307.</w:t>
      </w:r>
    </w:p>
    <w:p w14:paraId="3C03C97E" w14:textId="46D469CC" w:rsidR="00C67927" w:rsidRPr="00010588" w:rsidRDefault="00970933" w:rsidP="006A4F8F">
      <w:pPr>
        <w:pStyle w:val="NormalWeb"/>
        <w:spacing w:before="0" w:beforeAutospacing="0" w:after="0" w:afterAutospacing="0" w:line="360" w:lineRule="auto"/>
        <w:ind w:left="720" w:hanging="720"/>
        <w:jc w:val="both"/>
        <w:rPr>
          <w:rFonts w:ascii="Arial" w:hAnsi="Arial" w:cs="Arial"/>
          <w:sz w:val="20"/>
          <w:szCs w:val="20"/>
        </w:rPr>
      </w:pPr>
      <w:r>
        <w:rPr>
          <w:rFonts w:ascii="Arial" w:hAnsi="Arial" w:cs="Arial"/>
          <w:sz w:val="20"/>
          <w:szCs w:val="20"/>
        </w:rPr>
        <w:t>Fig 4</w:t>
      </w:r>
    </w:p>
    <w:p w14:paraId="7855AE1A" w14:textId="77777777" w:rsidR="00C67927" w:rsidRPr="00010588" w:rsidRDefault="00C67927" w:rsidP="006A4F8F">
      <w:pPr>
        <w:pStyle w:val="NormalWeb"/>
        <w:spacing w:before="0" w:beforeAutospacing="0" w:after="0" w:afterAutospacing="0" w:line="360" w:lineRule="auto"/>
        <w:ind w:left="720" w:hanging="720"/>
        <w:jc w:val="both"/>
        <w:rPr>
          <w:rFonts w:ascii="Arial" w:hAnsi="Arial" w:cs="Arial"/>
          <w:sz w:val="20"/>
          <w:szCs w:val="20"/>
        </w:rPr>
      </w:pPr>
      <w:r w:rsidRPr="00010588">
        <w:rPr>
          <w:rFonts w:ascii="Arial" w:hAnsi="Arial" w:cs="Arial"/>
          <w:noProof/>
          <w:sz w:val="20"/>
          <w:szCs w:val="20"/>
          <w:lang w:val="en-US" w:eastAsia="en-US"/>
        </w:rPr>
        <w:drawing>
          <wp:inline distT="0" distB="0" distL="0" distR="0" wp14:anchorId="10EF1D12" wp14:editId="403B039F">
            <wp:extent cx="5731510" cy="4298632"/>
            <wp:effectExtent l="19050" t="0" r="254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a:stretch>
                      <a:fillRect/>
                    </a:stretch>
                  </pic:blipFill>
                  <pic:spPr bwMode="auto">
                    <a:xfrm>
                      <a:off x="0" y="0"/>
                      <a:ext cx="5731510" cy="4298632"/>
                    </a:xfrm>
                    <a:prstGeom prst="rect">
                      <a:avLst/>
                    </a:prstGeom>
                    <a:noFill/>
                  </pic:spPr>
                </pic:pic>
              </a:graphicData>
            </a:graphic>
          </wp:inline>
        </w:drawing>
      </w:r>
    </w:p>
    <w:sectPr w:rsidR="00C67927" w:rsidRPr="00010588" w:rsidSect="0012118E">
      <w:headerReference w:type="even" r:id="rId29"/>
      <w:headerReference w:type="default" r:id="rId30"/>
      <w:footerReference w:type="even" r:id="rId31"/>
      <w:footerReference w:type="default" r:id="rId32"/>
      <w:headerReference w:type="first" r:id="rId33"/>
      <w:footerReference w:type="first" r:id="rId34"/>
      <w:pgSz w:w="11906" w:h="16838"/>
      <w:pgMar w:top="900"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043A0" w14:textId="77777777" w:rsidR="00CB1D9B" w:rsidRDefault="00CB1D9B" w:rsidP="00846264">
      <w:pPr>
        <w:spacing w:after="0" w:line="240" w:lineRule="auto"/>
      </w:pPr>
      <w:r>
        <w:separator/>
      </w:r>
    </w:p>
  </w:endnote>
  <w:endnote w:type="continuationSeparator" w:id="0">
    <w:p w14:paraId="63F61885" w14:textId="77777777" w:rsidR="00CB1D9B" w:rsidRDefault="00CB1D9B" w:rsidP="0084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BB09" w14:textId="77777777" w:rsidR="00846264" w:rsidRDefault="00846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6140" w14:textId="77777777" w:rsidR="00846264" w:rsidRDefault="00846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E307" w14:textId="77777777" w:rsidR="00846264" w:rsidRDefault="0084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4A661" w14:textId="77777777" w:rsidR="00CB1D9B" w:rsidRDefault="00CB1D9B" w:rsidP="00846264">
      <w:pPr>
        <w:spacing w:after="0" w:line="240" w:lineRule="auto"/>
      </w:pPr>
      <w:r>
        <w:separator/>
      </w:r>
    </w:p>
  </w:footnote>
  <w:footnote w:type="continuationSeparator" w:id="0">
    <w:p w14:paraId="10394DB4" w14:textId="77777777" w:rsidR="00CB1D9B" w:rsidRDefault="00CB1D9B" w:rsidP="00846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BB12" w14:textId="00DD3E78" w:rsidR="00846264" w:rsidRDefault="00846264">
    <w:pPr>
      <w:pStyle w:val="Header"/>
    </w:pPr>
    <w:r>
      <w:rPr>
        <w:noProof/>
      </w:rPr>
      <w:pict w14:anchorId="35D9D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1386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BF3F" w14:textId="489A5A7C" w:rsidR="00846264" w:rsidRDefault="00846264">
    <w:pPr>
      <w:pStyle w:val="Header"/>
    </w:pPr>
    <w:r>
      <w:rPr>
        <w:noProof/>
      </w:rPr>
      <w:pict w14:anchorId="24D63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1386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C37D" w14:textId="1E2DCEFE" w:rsidR="00846264" w:rsidRDefault="00846264">
    <w:pPr>
      <w:pStyle w:val="Header"/>
    </w:pPr>
    <w:r>
      <w:rPr>
        <w:noProof/>
      </w:rPr>
      <w:pict w14:anchorId="146C6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31386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5613"/>
    <w:multiLevelType w:val="multilevel"/>
    <w:tmpl w:val="A3B4D82A"/>
    <w:lvl w:ilvl="0">
      <w:start w:val="3"/>
      <w:numFmt w:val="decimal"/>
      <w:lvlText w:val="%1"/>
      <w:lvlJc w:val="left"/>
      <w:pPr>
        <w:ind w:left="600" w:hanging="600"/>
      </w:pPr>
      <w:rPr>
        <w:rFonts w:hint="default"/>
        <w:b/>
        <w:sz w:val="28"/>
      </w:rPr>
    </w:lvl>
    <w:lvl w:ilvl="1">
      <w:start w:val="5"/>
      <w:numFmt w:val="decimal"/>
      <w:lvlText w:val="%1.%2"/>
      <w:lvlJc w:val="left"/>
      <w:pPr>
        <w:ind w:left="780" w:hanging="600"/>
      </w:pPr>
      <w:rPr>
        <w:rFonts w:hint="default"/>
        <w:b/>
        <w:sz w:val="28"/>
      </w:rPr>
    </w:lvl>
    <w:lvl w:ilvl="2">
      <w:start w:val="6"/>
      <w:numFmt w:val="decimal"/>
      <w:lvlText w:val="%1.%2.%3"/>
      <w:lvlJc w:val="left"/>
      <w:pPr>
        <w:ind w:left="1080" w:hanging="720"/>
      </w:pPr>
      <w:rPr>
        <w:rFonts w:hint="default"/>
        <w:b/>
        <w:sz w:val="28"/>
      </w:rPr>
    </w:lvl>
    <w:lvl w:ilvl="3">
      <w:start w:val="1"/>
      <w:numFmt w:val="decimal"/>
      <w:lvlText w:val="%1.%2.%3.%4"/>
      <w:lvlJc w:val="left"/>
      <w:pPr>
        <w:ind w:left="1260" w:hanging="720"/>
      </w:pPr>
      <w:rPr>
        <w:rFonts w:hint="default"/>
        <w:b/>
        <w:sz w:val="28"/>
      </w:rPr>
    </w:lvl>
    <w:lvl w:ilvl="4">
      <w:start w:val="1"/>
      <w:numFmt w:val="decimal"/>
      <w:lvlText w:val="%1.%2.%3.%4.%5"/>
      <w:lvlJc w:val="left"/>
      <w:pPr>
        <w:ind w:left="1800" w:hanging="1080"/>
      </w:pPr>
      <w:rPr>
        <w:rFonts w:hint="default"/>
        <w:b/>
        <w:sz w:val="28"/>
      </w:rPr>
    </w:lvl>
    <w:lvl w:ilvl="5">
      <w:start w:val="1"/>
      <w:numFmt w:val="decimal"/>
      <w:lvlText w:val="%1.%2.%3.%4.%5.%6"/>
      <w:lvlJc w:val="left"/>
      <w:pPr>
        <w:ind w:left="1980" w:hanging="1080"/>
      </w:pPr>
      <w:rPr>
        <w:rFonts w:hint="default"/>
        <w:b/>
        <w:sz w:val="28"/>
      </w:rPr>
    </w:lvl>
    <w:lvl w:ilvl="6">
      <w:start w:val="1"/>
      <w:numFmt w:val="decimal"/>
      <w:lvlText w:val="%1.%2.%3.%4.%5.%6.%7"/>
      <w:lvlJc w:val="left"/>
      <w:pPr>
        <w:ind w:left="2520" w:hanging="1440"/>
      </w:pPr>
      <w:rPr>
        <w:rFonts w:hint="default"/>
        <w:b/>
        <w:sz w:val="28"/>
      </w:rPr>
    </w:lvl>
    <w:lvl w:ilvl="7">
      <w:start w:val="1"/>
      <w:numFmt w:val="decimal"/>
      <w:lvlText w:val="%1.%2.%3.%4.%5.%6.%7.%8"/>
      <w:lvlJc w:val="left"/>
      <w:pPr>
        <w:ind w:left="2700" w:hanging="1440"/>
      </w:pPr>
      <w:rPr>
        <w:rFonts w:hint="default"/>
        <w:b/>
        <w:sz w:val="28"/>
      </w:rPr>
    </w:lvl>
    <w:lvl w:ilvl="8">
      <w:start w:val="1"/>
      <w:numFmt w:val="decimal"/>
      <w:lvlText w:val="%1.%2.%3.%4.%5.%6.%7.%8.%9"/>
      <w:lvlJc w:val="left"/>
      <w:pPr>
        <w:ind w:left="3240" w:hanging="1800"/>
      </w:pPr>
      <w:rPr>
        <w:rFonts w:hint="default"/>
        <w:b/>
        <w:sz w:val="28"/>
      </w:rPr>
    </w:lvl>
  </w:abstractNum>
  <w:abstractNum w:abstractNumId="1" w15:restartNumberingAfterBreak="0">
    <w:nsid w:val="05623F0E"/>
    <w:multiLevelType w:val="multilevel"/>
    <w:tmpl w:val="6472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544BE"/>
    <w:multiLevelType w:val="hybridMultilevel"/>
    <w:tmpl w:val="6CC2EE88"/>
    <w:lvl w:ilvl="0" w:tplc="12AA7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436A10"/>
    <w:multiLevelType w:val="hybridMultilevel"/>
    <w:tmpl w:val="05E47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14947"/>
    <w:multiLevelType w:val="multilevel"/>
    <w:tmpl w:val="CD6AE0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1D6D20"/>
    <w:multiLevelType w:val="hybridMultilevel"/>
    <w:tmpl w:val="88CA407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650A7E5F"/>
    <w:multiLevelType w:val="multilevel"/>
    <w:tmpl w:val="C5D88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FC132D"/>
    <w:multiLevelType w:val="hybridMultilevel"/>
    <w:tmpl w:val="E65ABC9C"/>
    <w:lvl w:ilvl="0" w:tplc="F9865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5"/>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66CA"/>
    <w:rsid w:val="00001BA2"/>
    <w:rsid w:val="00010588"/>
    <w:rsid w:val="00030085"/>
    <w:rsid w:val="00034D1E"/>
    <w:rsid w:val="00035379"/>
    <w:rsid w:val="0004481F"/>
    <w:rsid w:val="00087A5E"/>
    <w:rsid w:val="000D5B0B"/>
    <w:rsid w:val="00111833"/>
    <w:rsid w:val="001202E6"/>
    <w:rsid w:val="0012118E"/>
    <w:rsid w:val="00123D5B"/>
    <w:rsid w:val="001C799A"/>
    <w:rsid w:val="00222519"/>
    <w:rsid w:val="00244937"/>
    <w:rsid w:val="002604D9"/>
    <w:rsid w:val="0029468A"/>
    <w:rsid w:val="002A3AB9"/>
    <w:rsid w:val="002D2167"/>
    <w:rsid w:val="00324A0A"/>
    <w:rsid w:val="003B4E41"/>
    <w:rsid w:val="003D1E69"/>
    <w:rsid w:val="003D361A"/>
    <w:rsid w:val="003E3AE3"/>
    <w:rsid w:val="00405031"/>
    <w:rsid w:val="004466CA"/>
    <w:rsid w:val="0046153F"/>
    <w:rsid w:val="00477BF0"/>
    <w:rsid w:val="004E1904"/>
    <w:rsid w:val="004E26D8"/>
    <w:rsid w:val="00531AD4"/>
    <w:rsid w:val="005409B7"/>
    <w:rsid w:val="005657E8"/>
    <w:rsid w:val="005B765C"/>
    <w:rsid w:val="005C622C"/>
    <w:rsid w:val="005D0EC4"/>
    <w:rsid w:val="005D2FA9"/>
    <w:rsid w:val="005F42A9"/>
    <w:rsid w:val="00620FD2"/>
    <w:rsid w:val="006513DA"/>
    <w:rsid w:val="006A4F8F"/>
    <w:rsid w:val="006B5D50"/>
    <w:rsid w:val="006C019B"/>
    <w:rsid w:val="006E137C"/>
    <w:rsid w:val="006F1C0A"/>
    <w:rsid w:val="00713920"/>
    <w:rsid w:val="007432BC"/>
    <w:rsid w:val="007C7A7E"/>
    <w:rsid w:val="007E1F37"/>
    <w:rsid w:val="007E7561"/>
    <w:rsid w:val="007F67C8"/>
    <w:rsid w:val="0081537B"/>
    <w:rsid w:val="00846264"/>
    <w:rsid w:val="00860330"/>
    <w:rsid w:val="00870018"/>
    <w:rsid w:val="0087535A"/>
    <w:rsid w:val="008839D3"/>
    <w:rsid w:val="008853E6"/>
    <w:rsid w:val="008C4568"/>
    <w:rsid w:val="008D75E3"/>
    <w:rsid w:val="008E0048"/>
    <w:rsid w:val="009336E9"/>
    <w:rsid w:val="00936284"/>
    <w:rsid w:val="00970933"/>
    <w:rsid w:val="009E4139"/>
    <w:rsid w:val="009F08E8"/>
    <w:rsid w:val="00A17F26"/>
    <w:rsid w:val="00A22C4A"/>
    <w:rsid w:val="00A24680"/>
    <w:rsid w:val="00A27C64"/>
    <w:rsid w:val="00AA011D"/>
    <w:rsid w:val="00AA0818"/>
    <w:rsid w:val="00B11A19"/>
    <w:rsid w:val="00B3600B"/>
    <w:rsid w:val="00B626CA"/>
    <w:rsid w:val="00B631D5"/>
    <w:rsid w:val="00B92E9E"/>
    <w:rsid w:val="00BA67E8"/>
    <w:rsid w:val="00BF4FC6"/>
    <w:rsid w:val="00C10BE0"/>
    <w:rsid w:val="00C239A7"/>
    <w:rsid w:val="00C67927"/>
    <w:rsid w:val="00C957FE"/>
    <w:rsid w:val="00CA3159"/>
    <w:rsid w:val="00CB1D9B"/>
    <w:rsid w:val="00CD40A8"/>
    <w:rsid w:val="00CF393C"/>
    <w:rsid w:val="00D1292E"/>
    <w:rsid w:val="00D23627"/>
    <w:rsid w:val="00D47AE4"/>
    <w:rsid w:val="00D768BC"/>
    <w:rsid w:val="00DC51C0"/>
    <w:rsid w:val="00DD16B7"/>
    <w:rsid w:val="00DF462C"/>
    <w:rsid w:val="00E25D4D"/>
    <w:rsid w:val="00E50081"/>
    <w:rsid w:val="00E5532E"/>
    <w:rsid w:val="00E655A4"/>
    <w:rsid w:val="00E927F5"/>
    <w:rsid w:val="00EE5259"/>
    <w:rsid w:val="00F21F66"/>
    <w:rsid w:val="00F43A11"/>
    <w:rsid w:val="00F60DED"/>
    <w:rsid w:val="00F81A9D"/>
    <w:rsid w:val="00F87920"/>
    <w:rsid w:val="00F91CB0"/>
    <w:rsid w:val="00FA569B"/>
    <w:rsid w:val="00FB04F0"/>
    <w:rsid w:val="00FB2F92"/>
    <w:rsid w:val="00FC6C64"/>
    <w:rsid w:val="00FE3F4C"/>
    <w:rsid w:val="00FE422A"/>
    <w:rsid w:val="00FF06AB"/>
    <w:rsid w:val="00FF22AB"/>
    <w:rsid w:val="00FF6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378D3C"/>
  <w15:docId w15:val="{F1E7F2A4-033A-4694-B8AC-19DBE66D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99A"/>
  </w:style>
  <w:style w:type="paragraph" w:styleId="Heading1">
    <w:name w:val="heading 1"/>
    <w:basedOn w:val="Normal"/>
    <w:next w:val="Normal"/>
    <w:link w:val="Heading1Char"/>
    <w:uiPriority w:val="9"/>
    <w:qFormat/>
    <w:rsid w:val="004466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6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6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6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6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66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66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66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66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6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CA"/>
    <w:rPr>
      <w:rFonts w:eastAsiaTheme="majorEastAsia" w:cstheme="majorBidi"/>
      <w:color w:val="272727" w:themeColor="text1" w:themeTint="D8"/>
    </w:rPr>
  </w:style>
  <w:style w:type="paragraph" w:styleId="Title">
    <w:name w:val="Title"/>
    <w:basedOn w:val="Normal"/>
    <w:next w:val="Normal"/>
    <w:link w:val="TitleChar"/>
    <w:uiPriority w:val="10"/>
    <w:qFormat/>
    <w:rsid w:val="00446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CA"/>
    <w:pPr>
      <w:spacing w:before="160"/>
      <w:jc w:val="center"/>
    </w:pPr>
    <w:rPr>
      <w:i/>
      <w:iCs/>
      <w:color w:val="404040" w:themeColor="text1" w:themeTint="BF"/>
    </w:rPr>
  </w:style>
  <w:style w:type="character" w:customStyle="1" w:styleId="QuoteChar">
    <w:name w:val="Quote Char"/>
    <w:basedOn w:val="DefaultParagraphFont"/>
    <w:link w:val="Quote"/>
    <w:uiPriority w:val="29"/>
    <w:rsid w:val="004466CA"/>
    <w:rPr>
      <w:i/>
      <w:iCs/>
      <w:color w:val="404040" w:themeColor="text1" w:themeTint="BF"/>
    </w:rPr>
  </w:style>
  <w:style w:type="paragraph" w:styleId="ListParagraph">
    <w:name w:val="List Paragraph"/>
    <w:basedOn w:val="Normal"/>
    <w:qFormat/>
    <w:rsid w:val="004466CA"/>
    <w:pPr>
      <w:ind w:left="720"/>
      <w:contextualSpacing/>
    </w:pPr>
  </w:style>
  <w:style w:type="character" w:styleId="IntenseEmphasis">
    <w:name w:val="Intense Emphasis"/>
    <w:basedOn w:val="DefaultParagraphFont"/>
    <w:uiPriority w:val="21"/>
    <w:qFormat/>
    <w:rsid w:val="004466CA"/>
    <w:rPr>
      <w:i/>
      <w:iCs/>
      <w:color w:val="2F5496" w:themeColor="accent1" w:themeShade="BF"/>
    </w:rPr>
  </w:style>
  <w:style w:type="paragraph" w:styleId="IntenseQuote">
    <w:name w:val="Intense Quote"/>
    <w:basedOn w:val="Normal"/>
    <w:next w:val="Normal"/>
    <w:link w:val="IntenseQuoteChar"/>
    <w:uiPriority w:val="30"/>
    <w:qFormat/>
    <w:rsid w:val="004466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6CA"/>
    <w:rPr>
      <w:i/>
      <w:iCs/>
      <w:color w:val="2F5496" w:themeColor="accent1" w:themeShade="BF"/>
    </w:rPr>
  </w:style>
  <w:style w:type="character" w:styleId="IntenseReference">
    <w:name w:val="Intense Reference"/>
    <w:basedOn w:val="DefaultParagraphFont"/>
    <w:uiPriority w:val="32"/>
    <w:qFormat/>
    <w:rsid w:val="004466CA"/>
    <w:rPr>
      <w:b/>
      <w:bCs/>
      <w:smallCaps/>
      <w:color w:val="2F5496" w:themeColor="accent1" w:themeShade="BF"/>
      <w:spacing w:val="5"/>
    </w:rPr>
  </w:style>
  <w:style w:type="paragraph" w:styleId="NormalWeb">
    <w:name w:val="Normal (Web)"/>
    <w:basedOn w:val="Normal"/>
    <w:uiPriority w:val="99"/>
    <w:unhideWhenUsed/>
    <w:qFormat/>
    <w:rsid w:val="005D0EC4"/>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5D0EC4"/>
    <w:rPr>
      <w:i/>
      <w:iCs/>
    </w:rPr>
  </w:style>
  <w:style w:type="paragraph" w:styleId="BalloonText">
    <w:name w:val="Balloon Text"/>
    <w:basedOn w:val="Normal"/>
    <w:link w:val="BalloonTextChar"/>
    <w:uiPriority w:val="99"/>
    <w:semiHidden/>
    <w:unhideWhenUsed/>
    <w:rsid w:val="00121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18E"/>
    <w:rPr>
      <w:rFonts w:ascii="Tahoma" w:hAnsi="Tahoma" w:cs="Tahoma"/>
      <w:sz w:val="16"/>
      <w:szCs w:val="16"/>
    </w:rPr>
  </w:style>
  <w:style w:type="table" w:styleId="TableGrid">
    <w:name w:val="Table Grid"/>
    <w:basedOn w:val="TableNormal"/>
    <w:uiPriority w:val="99"/>
    <w:qFormat/>
    <w:rsid w:val="00FA569B"/>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9336E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010588"/>
    <w:rPr>
      <w:b/>
      <w:bCs/>
    </w:rPr>
  </w:style>
  <w:style w:type="character" w:styleId="Hyperlink">
    <w:name w:val="Hyperlink"/>
    <w:basedOn w:val="DefaultParagraphFont"/>
    <w:uiPriority w:val="99"/>
    <w:unhideWhenUsed/>
    <w:rsid w:val="00FB2F92"/>
    <w:rPr>
      <w:color w:val="0563C1" w:themeColor="hyperlink"/>
      <w:u w:val="single"/>
    </w:rPr>
  </w:style>
  <w:style w:type="character" w:styleId="UnresolvedMention">
    <w:name w:val="Unresolved Mention"/>
    <w:basedOn w:val="DefaultParagraphFont"/>
    <w:uiPriority w:val="99"/>
    <w:semiHidden/>
    <w:unhideWhenUsed/>
    <w:rsid w:val="00FB2F92"/>
    <w:rPr>
      <w:color w:val="605E5C"/>
      <w:shd w:val="clear" w:color="auto" w:fill="E1DFDD"/>
    </w:rPr>
  </w:style>
  <w:style w:type="paragraph" w:styleId="Header">
    <w:name w:val="header"/>
    <w:basedOn w:val="Normal"/>
    <w:link w:val="HeaderChar"/>
    <w:uiPriority w:val="99"/>
    <w:unhideWhenUsed/>
    <w:rsid w:val="00846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264"/>
  </w:style>
  <w:style w:type="paragraph" w:styleId="Footer">
    <w:name w:val="footer"/>
    <w:basedOn w:val="Normal"/>
    <w:link w:val="FooterChar"/>
    <w:uiPriority w:val="99"/>
    <w:unhideWhenUsed/>
    <w:rsid w:val="00846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chart" Target="charts/chart1.xml"/><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chart" Target="charts/chart2.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oleObject" Target="file:///C:\Users\lenovo\Downloads\Sunitamma_Chlorantraniliprole%20(2).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esktop\Thesis%20artcles\Calculations%20HalfLife%20-%20log%20-%208.31.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Chlorantraniliprole linearity </a:t>
            </a:r>
          </a:p>
        </c:rich>
      </c:tx>
      <c:overlay val="0"/>
    </c:title>
    <c:autoTitleDeleted val="0"/>
    <c:plotArea>
      <c:layout/>
      <c:scatterChart>
        <c:scatterStyle val="lineMarker"/>
        <c:varyColors val="0"/>
        <c:ser>
          <c:idx val="0"/>
          <c:order val="0"/>
          <c:tx>
            <c:strRef>
              <c:f>'C:\Users\lenovo\Downloads\[SRS_2023_CPL_leaf &amp; cane.xlsx]CPL'!$P$5</c:f>
              <c:strCache>
                <c:ptCount val="1"/>
                <c:pt idx="0">
                  <c:v>Chlorantraniliprole_Calibration </c:v>
                </c:pt>
              </c:strCache>
            </c:strRef>
          </c:tx>
          <c:spPr>
            <a:ln w="28575">
              <a:noFill/>
            </a:ln>
          </c:spPr>
          <c:trendline>
            <c:trendlineType val="linear"/>
            <c:dispRSqr val="1"/>
            <c:dispEq val="1"/>
            <c:trendlineLbl>
              <c:layout>
                <c:manualLayout>
                  <c:x val="-7.2904418197725473E-2"/>
                  <c:y val="-3.5906969962088092E-4"/>
                </c:manualLayout>
              </c:layout>
              <c:tx>
                <c:rich>
                  <a:bodyPr/>
                  <a:lstStyle/>
                  <a:p>
                    <a:pPr>
                      <a:defRPr/>
                    </a:pPr>
                    <a:r>
                      <a:rPr lang="en-US" baseline="0"/>
                      <a:t>
R² = 0.9995</a:t>
                    </a:r>
                    <a:endParaRPr lang="en-US"/>
                  </a:p>
                </c:rich>
              </c:tx>
              <c:numFmt formatCode="General" sourceLinked="0"/>
            </c:trendlineLbl>
          </c:trendline>
          <c:xVal>
            <c:numRef>
              <c:f>'C:\Users\lenovo\Downloads\[SRS_2023_CPL_leaf &amp; cane.xlsx]CPL'!$O$6:$O$11</c:f>
              <c:numCache>
                <c:formatCode>General</c:formatCode>
                <c:ptCount val="6"/>
                <c:pt idx="0">
                  <c:v>5.0000000000000086E-2</c:v>
                </c:pt>
                <c:pt idx="1">
                  <c:v>0.1</c:v>
                </c:pt>
                <c:pt idx="2">
                  <c:v>0.25</c:v>
                </c:pt>
                <c:pt idx="3">
                  <c:v>0.5</c:v>
                </c:pt>
                <c:pt idx="4">
                  <c:v>0.75000000000000189</c:v>
                </c:pt>
                <c:pt idx="5">
                  <c:v>1</c:v>
                </c:pt>
              </c:numCache>
            </c:numRef>
          </c:xVal>
          <c:yVal>
            <c:numRef>
              <c:f>'C:\Users\lenovo\Downloads\[SRS_2023_CPL_leaf &amp; cane.xlsx]CPL'!$P$6:$P$11</c:f>
              <c:numCache>
                <c:formatCode>General</c:formatCode>
                <c:ptCount val="6"/>
                <c:pt idx="0">
                  <c:v>1306</c:v>
                </c:pt>
                <c:pt idx="1">
                  <c:v>3313.333333333353</c:v>
                </c:pt>
                <c:pt idx="2">
                  <c:v>8751</c:v>
                </c:pt>
                <c:pt idx="3">
                  <c:v>17586</c:v>
                </c:pt>
                <c:pt idx="4">
                  <c:v>25660.333333333296</c:v>
                </c:pt>
                <c:pt idx="5">
                  <c:v>35108</c:v>
                </c:pt>
              </c:numCache>
            </c:numRef>
          </c:yVal>
          <c:smooth val="0"/>
          <c:extLst>
            <c:ext xmlns:c16="http://schemas.microsoft.com/office/drawing/2014/chart" uri="{C3380CC4-5D6E-409C-BE32-E72D297353CC}">
              <c16:uniqueId val="{00000000-417E-4B59-9047-D0B09BBBBCEF}"/>
            </c:ext>
          </c:extLst>
        </c:ser>
        <c:dLbls>
          <c:showLegendKey val="0"/>
          <c:showVal val="0"/>
          <c:showCatName val="0"/>
          <c:showSerName val="0"/>
          <c:showPercent val="0"/>
          <c:showBubbleSize val="0"/>
        </c:dLbls>
        <c:axId val="74297728"/>
        <c:axId val="82605952"/>
      </c:scatterChart>
      <c:valAx>
        <c:axId val="74297728"/>
        <c:scaling>
          <c:orientation val="minMax"/>
        </c:scaling>
        <c:delete val="0"/>
        <c:axPos val="b"/>
        <c:title>
          <c:tx>
            <c:rich>
              <a:bodyPr/>
              <a:lstStyle/>
              <a:p>
                <a:pPr>
                  <a:defRPr/>
                </a:pPr>
                <a:r>
                  <a:rPr lang="en-US"/>
                  <a:t>Concentration in ppm</a:t>
                </a:r>
              </a:p>
            </c:rich>
          </c:tx>
          <c:overlay val="0"/>
        </c:title>
        <c:numFmt formatCode="General" sourceLinked="1"/>
        <c:majorTickMark val="out"/>
        <c:minorTickMark val="none"/>
        <c:tickLblPos val="nextTo"/>
        <c:crossAx val="82605952"/>
        <c:crosses val="autoZero"/>
        <c:crossBetween val="midCat"/>
      </c:valAx>
      <c:valAx>
        <c:axId val="82605952"/>
        <c:scaling>
          <c:orientation val="minMax"/>
        </c:scaling>
        <c:delete val="0"/>
        <c:axPos val="l"/>
        <c:title>
          <c:tx>
            <c:rich>
              <a:bodyPr/>
              <a:lstStyle/>
              <a:p>
                <a:pPr>
                  <a:defRPr/>
                </a:pPr>
                <a:r>
                  <a:rPr lang="en-US"/>
                  <a:t>Area</a:t>
                </a:r>
              </a:p>
            </c:rich>
          </c:tx>
          <c:overlay val="0"/>
        </c:title>
        <c:numFmt formatCode="General" sourceLinked="1"/>
        <c:majorTickMark val="out"/>
        <c:minorTickMark val="none"/>
        <c:tickLblPos val="nextTo"/>
        <c:crossAx val="74297728"/>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54418197725326"/>
          <c:y val="0.17640055409740482"/>
          <c:w val="0.7428239282589677"/>
          <c:h val="0.62796660834062412"/>
        </c:manualLayout>
      </c:layout>
      <c:scatterChart>
        <c:scatterStyle val="smoothMarker"/>
        <c:varyColors val="0"/>
        <c:ser>
          <c:idx val="0"/>
          <c:order val="0"/>
          <c:xVal>
            <c:numRef>
              <c:f>'Chlorantraniliprole 2022-23'!$A$2:$A$6</c:f>
              <c:numCache>
                <c:formatCode>General</c:formatCode>
                <c:ptCount val="5"/>
                <c:pt idx="0">
                  <c:v>0</c:v>
                </c:pt>
                <c:pt idx="1">
                  <c:v>1</c:v>
                </c:pt>
                <c:pt idx="2">
                  <c:v>3</c:v>
                </c:pt>
                <c:pt idx="3">
                  <c:v>5</c:v>
                </c:pt>
                <c:pt idx="4">
                  <c:v>7</c:v>
                </c:pt>
              </c:numCache>
            </c:numRef>
          </c:xVal>
          <c:yVal>
            <c:numRef>
              <c:f>'Chlorantraniliprole 2022-23'!$B$2:$B$6</c:f>
              <c:numCache>
                <c:formatCode>0.00</c:formatCode>
                <c:ptCount val="5"/>
                <c:pt idx="0">
                  <c:v>2.5399999999999987</c:v>
                </c:pt>
                <c:pt idx="1">
                  <c:v>1.5583333333333333</c:v>
                </c:pt>
                <c:pt idx="2">
                  <c:v>0.78333333333333333</c:v>
                </c:pt>
                <c:pt idx="3">
                  <c:v>0.23833333333333354</c:v>
                </c:pt>
                <c:pt idx="4">
                  <c:v>0.14166666666666669</c:v>
                </c:pt>
              </c:numCache>
            </c:numRef>
          </c:yVal>
          <c:smooth val="1"/>
          <c:extLst>
            <c:ext xmlns:c16="http://schemas.microsoft.com/office/drawing/2014/chart" uri="{C3380CC4-5D6E-409C-BE32-E72D297353CC}">
              <c16:uniqueId val="{00000000-EF02-4A53-977E-D786E29854F1}"/>
            </c:ext>
          </c:extLst>
        </c:ser>
        <c:dLbls>
          <c:showLegendKey val="0"/>
          <c:showVal val="0"/>
          <c:showCatName val="0"/>
          <c:showSerName val="0"/>
          <c:showPercent val="0"/>
          <c:showBubbleSize val="0"/>
        </c:dLbls>
        <c:axId val="82317312"/>
        <c:axId val="82319232"/>
      </c:scatterChart>
      <c:valAx>
        <c:axId val="82317312"/>
        <c:scaling>
          <c:orientation val="minMax"/>
        </c:scaling>
        <c:delete val="0"/>
        <c:axPos val="b"/>
        <c:majorGridlines/>
        <c:title>
          <c:tx>
            <c:rich>
              <a:bodyPr/>
              <a:lstStyle/>
              <a:p>
                <a:pPr>
                  <a:defRPr/>
                </a:pPr>
                <a:r>
                  <a:rPr lang="en-US"/>
                  <a:t>Days after application</a:t>
                </a:r>
              </a:p>
            </c:rich>
          </c:tx>
          <c:overlay val="0"/>
        </c:title>
        <c:numFmt formatCode="#,##0.00" sourceLinked="0"/>
        <c:majorTickMark val="out"/>
        <c:minorTickMark val="none"/>
        <c:tickLblPos val="nextTo"/>
        <c:crossAx val="82319232"/>
        <c:crosses val="autoZero"/>
        <c:crossBetween val="midCat"/>
        <c:majorUnit val="1"/>
      </c:valAx>
      <c:valAx>
        <c:axId val="82319232"/>
        <c:scaling>
          <c:orientation val="minMax"/>
        </c:scaling>
        <c:delete val="0"/>
        <c:axPos val="l"/>
        <c:majorGridlines/>
        <c:title>
          <c:tx>
            <c:rich>
              <a:bodyPr/>
              <a:lstStyle/>
              <a:p>
                <a:pPr>
                  <a:defRPr/>
                </a:pPr>
                <a:r>
                  <a:rPr lang="en-US"/>
                  <a:t>Residues mg/kg</a:t>
                </a:r>
              </a:p>
              <a:p>
                <a:pPr>
                  <a:defRPr/>
                </a:pPr>
                <a:endParaRPr lang="en-US"/>
              </a:p>
            </c:rich>
          </c:tx>
          <c:overlay val="0"/>
        </c:title>
        <c:numFmt formatCode="0.00" sourceLinked="1"/>
        <c:majorTickMark val="out"/>
        <c:minorTickMark val="none"/>
        <c:tickLblPos val="nextTo"/>
        <c:crossAx val="82317312"/>
        <c:crosses val="autoZero"/>
        <c:crossBetween val="midCat"/>
      </c:valAx>
    </c:plotArea>
    <c:plotVisOnly val="1"/>
    <c:dispBlanksAs val="gap"/>
    <c:showDLblsOverMax val="0"/>
  </c:chart>
  <c:txPr>
    <a:bodyPr/>
    <a:lstStyle/>
    <a:p>
      <a:pPr>
        <a:defRPr sz="1250">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0.12471</cdr:x>
      <cdr:y>0.04514</cdr:y>
    </cdr:from>
    <cdr:to>
      <cdr:x>0.94824</cdr:x>
      <cdr:y>0.11373</cdr:y>
    </cdr:to>
    <cdr:sp macro="" textlink="">
      <cdr:nvSpPr>
        <cdr:cNvPr id="2" name="TextBox 1"/>
        <cdr:cNvSpPr txBox="1"/>
      </cdr:nvSpPr>
      <cdr:spPr>
        <a:xfrm xmlns:a="http://schemas.openxmlformats.org/drawingml/2006/main">
          <a:off x="570156" y="123829"/>
          <a:ext cx="3765176" cy="1881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50" b="1">
              <a:latin typeface="Times New Roman" pitchFamily="18" charset="0"/>
              <a:cs typeface="Times New Roman" pitchFamily="18" charset="0"/>
            </a:rPr>
            <a:t> Dissipation of </a:t>
          </a:r>
          <a:r>
            <a:rPr lang="en-US" sz="1250" b="1" baseline="0">
              <a:latin typeface="Times New Roman" pitchFamily="18" charset="0"/>
              <a:cs typeface="Times New Roman" pitchFamily="18" charset="0"/>
            </a:rPr>
            <a:t>c</a:t>
          </a:r>
          <a:r>
            <a:rPr lang="en-US" sz="1250" b="1">
              <a:latin typeface="Times New Roman" pitchFamily="18" charset="0"/>
              <a:cs typeface="Times New Roman" pitchFamily="18" charset="0"/>
            </a:rPr>
            <a:t>hlorantraniliprole in pigeonpea</a:t>
          </a:r>
          <a:r>
            <a:rPr lang="en-US" sz="1250" b="1" baseline="0">
              <a:latin typeface="Times New Roman" pitchFamily="18" charset="0"/>
              <a:cs typeface="Times New Roman" pitchFamily="18" charset="0"/>
            </a:rPr>
            <a:t> pods</a:t>
          </a:r>
          <a:endParaRPr lang="en-US" sz="125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10</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UmaMahesh Bhutharaju</dc:creator>
  <cp:lastModifiedBy>SDI 1084</cp:lastModifiedBy>
  <cp:revision>7</cp:revision>
  <dcterms:created xsi:type="dcterms:W3CDTF">2026-02-26T08:53:00Z</dcterms:created>
  <dcterms:modified xsi:type="dcterms:W3CDTF">2026-02-26T14:05:00Z</dcterms:modified>
</cp:coreProperties>
</file>