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3F5F" w14:textId="77777777" w:rsidR="00170A81" w:rsidRDefault="00170A81">
      <w:pPr>
        <w:spacing w:line="360" w:lineRule="auto"/>
        <w:jc w:val="center"/>
        <w:rPr>
          <w:b/>
          <w:bCs/>
          <w:sz w:val="28"/>
          <w:szCs w:val="28"/>
          <w:lang w:val="en-US"/>
        </w:rPr>
      </w:pPr>
      <w:bookmarkStart w:id="0" w:name="_Hlk161780926"/>
      <w:r w:rsidRPr="00170A81">
        <w:rPr>
          <w:b/>
          <w:bCs/>
          <w:sz w:val="28"/>
          <w:szCs w:val="28"/>
          <w:lang w:val="en-US"/>
        </w:rPr>
        <w:t>Systematic Review</w:t>
      </w:r>
    </w:p>
    <w:p w14:paraId="09E89D17" w14:textId="77777777" w:rsidR="00170A81" w:rsidRDefault="00170A81">
      <w:pPr>
        <w:spacing w:line="360" w:lineRule="auto"/>
        <w:jc w:val="center"/>
        <w:rPr>
          <w:b/>
          <w:bCs/>
          <w:sz w:val="28"/>
          <w:szCs w:val="28"/>
          <w:lang w:val="en-US"/>
        </w:rPr>
      </w:pPr>
    </w:p>
    <w:p w14:paraId="3CE0F9DF" w14:textId="46280F88" w:rsidR="00347734" w:rsidRDefault="001F3B15">
      <w:pPr>
        <w:spacing w:line="360" w:lineRule="auto"/>
        <w:jc w:val="center"/>
        <w:rPr>
          <w:b/>
          <w:bCs/>
          <w:sz w:val="28"/>
          <w:szCs w:val="28"/>
          <w:lang w:val="en-US"/>
        </w:rPr>
      </w:pPr>
      <w:r>
        <w:rPr>
          <w:b/>
          <w:bCs/>
          <w:sz w:val="28"/>
          <w:szCs w:val="28"/>
          <w:lang w:val="en-US"/>
        </w:rPr>
        <w:t xml:space="preserve">Nationwide Evidence of </w:t>
      </w:r>
      <w:proofErr w:type="spellStart"/>
      <w:r>
        <w:rPr>
          <w:b/>
          <w:bCs/>
          <w:i/>
          <w:iCs/>
          <w:sz w:val="28"/>
          <w:szCs w:val="28"/>
          <w:lang w:val="en-US"/>
        </w:rPr>
        <w:t>bla</w:t>
      </w:r>
      <w:r>
        <w:rPr>
          <w:b/>
          <w:bCs/>
          <w:sz w:val="28"/>
          <w:szCs w:val="28"/>
          <w:vertAlign w:val="subscript"/>
          <w:lang w:val="en-US"/>
        </w:rPr>
        <w:t>KPC</w:t>
      </w:r>
      <w:proofErr w:type="spellEnd"/>
      <w:r>
        <w:rPr>
          <w:b/>
          <w:bCs/>
          <w:sz w:val="28"/>
          <w:szCs w:val="28"/>
          <w:lang w:val="en-US"/>
        </w:rPr>
        <w:t xml:space="preserve">-Positive </w:t>
      </w:r>
      <w:r>
        <w:rPr>
          <w:b/>
          <w:bCs/>
          <w:i/>
          <w:iCs/>
          <w:sz w:val="28"/>
          <w:szCs w:val="28"/>
          <w:lang w:val="en-US"/>
        </w:rPr>
        <w:t>Klebsiella pneumoniae</w:t>
      </w:r>
      <w:r>
        <w:rPr>
          <w:b/>
          <w:bCs/>
          <w:sz w:val="28"/>
          <w:szCs w:val="28"/>
          <w:lang w:val="en-US"/>
        </w:rPr>
        <w:t xml:space="preserve"> in Brazilian Clinical Isolates: A Systematic Review and Meta-Analysis</w:t>
      </w:r>
    </w:p>
    <w:p w14:paraId="1DDEBC53" w14:textId="77777777" w:rsidR="00347734" w:rsidRDefault="00347734">
      <w:pPr>
        <w:spacing w:line="360" w:lineRule="auto"/>
        <w:jc w:val="center"/>
        <w:rPr>
          <w:b/>
          <w:bCs/>
          <w:sz w:val="28"/>
          <w:szCs w:val="28"/>
          <w:lang w:val="en-US"/>
        </w:rPr>
      </w:pPr>
    </w:p>
    <w:p w14:paraId="2D708141" w14:textId="77777777" w:rsidR="00545AC4" w:rsidRDefault="00545AC4">
      <w:pPr>
        <w:jc w:val="both"/>
        <w:rPr>
          <w:sz w:val="20"/>
          <w:szCs w:val="20"/>
          <w:lang w:val="en-US"/>
        </w:rPr>
      </w:pPr>
    </w:p>
    <w:p w14:paraId="318313A2" w14:textId="77777777" w:rsidR="00347734" w:rsidRDefault="00347734">
      <w:pPr>
        <w:jc w:val="both"/>
        <w:rPr>
          <w:b/>
          <w:bCs/>
          <w:lang w:val="en-US"/>
        </w:rPr>
      </w:pPr>
    </w:p>
    <w:p w14:paraId="0C94FCC1" w14:textId="175AAAFF" w:rsidR="00347734" w:rsidRDefault="00170A81">
      <w:pPr>
        <w:jc w:val="both"/>
        <w:rPr>
          <w:lang w:val="en-US"/>
        </w:rPr>
      </w:pPr>
      <w:r>
        <w:rPr>
          <w:lang w:val="en-US"/>
        </w:rPr>
        <w:t>Abstract</w:t>
      </w:r>
    </w:p>
    <w:p w14:paraId="4AB135DB" w14:textId="77777777" w:rsidR="00347734" w:rsidRDefault="001F3B15">
      <w:pPr>
        <w:jc w:val="both"/>
        <w:rPr>
          <w:lang w:val="en-US"/>
        </w:rPr>
      </w:pPr>
      <w:r>
        <w:rPr>
          <w:lang w:val="en-US"/>
        </w:rPr>
        <w:t xml:space="preserve">The dissemination of </w:t>
      </w:r>
      <w:r>
        <w:rPr>
          <w:i/>
          <w:iCs/>
          <w:lang w:val="en-US"/>
        </w:rPr>
        <w:t>Klebsiella pneumoniae</w:t>
      </w:r>
      <w:r>
        <w:rPr>
          <w:lang w:val="en-US"/>
        </w:rPr>
        <w:t xml:space="preserve"> </w:t>
      </w:r>
      <w:proofErr w:type="spellStart"/>
      <w:r>
        <w:rPr>
          <w:lang w:val="en-US"/>
        </w:rPr>
        <w:t>carbapenemase</w:t>
      </w:r>
      <w:proofErr w:type="spellEnd"/>
      <w:r>
        <w:rPr>
          <w:lang w:val="en-US"/>
        </w:rPr>
        <w:t xml:space="preserve"> (KPC), encoded by the </w:t>
      </w:r>
      <w:proofErr w:type="spellStart"/>
      <w:r>
        <w:rPr>
          <w:i/>
          <w:iCs/>
          <w:lang w:val="en-US"/>
        </w:rPr>
        <w:t>bla</w:t>
      </w:r>
      <w:r>
        <w:rPr>
          <w:vertAlign w:val="subscript"/>
          <w:lang w:val="en-US"/>
        </w:rPr>
        <w:t>KPC</w:t>
      </w:r>
      <w:proofErr w:type="spellEnd"/>
      <w:r>
        <w:rPr>
          <w:lang w:val="en-US"/>
        </w:rPr>
        <w:t xml:space="preserve"> gene, has become a major challenge to antimicrobial therapy. In Brazil, evidence of </w:t>
      </w:r>
      <w:proofErr w:type="spellStart"/>
      <w:r>
        <w:rPr>
          <w:i/>
          <w:iCs/>
          <w:lang w:val="en-US"/>
        </w:rPr>
        <w:t>bla</w:t>
      </w:r>
      <w:r>
        <w:rPr>
          <w:vertAlign w:val="subscript"/>
          <w:lang w:val="en-US"/>
        </w:rPr>
        <w:t>KPC</w:t>
      </w:r>
      <w:proofErr w:type="spellEnd"/>
      <w:r>
        <w:rPr>
          <w:lang w:val="en-US"/>
        </w:rPr>
        <w:t xml:space="preserve">-positive </w:t>
      </w:r>
      <w:r>
        <w:rPr>
          <w:i/>
          <w:iCs/>
          <w:lang w:val="en-US"/>
        </w:rPr>
        <w:t>K. pneumoniae</w:t>
      </w:r>
      <w:r>
        <w:rPr>
          <w:lang w:val="en-US"/>
        </w:rPr>
        <w:t xml:space="preserve"> is extensive and fragmented. This study aims to systematically synthesize published data to characterize and quantify the prevalence of </w:t>
      </w:r>
      <w:proofErr w:type="spellStart"/>
      <w:r>
        <w:rPr>
          <w:i/>
          <w:iCs/>
          <w:lang w:val="en-US"/>
        </w:rPr>
        <w:t>bla</w:t>
      </w:r>
      <w:r>
        <w:rPr>
          <w:vertAlign w:val="subscript"/>
          <w:lang w:val="en-US"/>
        </w:rPr>
        <w:t>KPC</w:t>
      </w:r>
      <w:proofErr w:type="spellEnd"/>
      <w:r>
        <w:rPr>
          <w:lang w:val="en-US"/>
        </w:rPr>
        <w:t xml:space="preserve"> among clinical </w:t>
      </w:r>
      <w:r>
        <w:rPr>
          <w:i/>
          <w:iCs/>
          <w:lang w:val="en-US"/>
        </w:rPr>
        <w:t>K. pneumoniae</w:t>
      </w:r>
      <w:r>
        <w:rPr>
          <w:lang w:val="en-US"/>
        </w:rPr>
        <w:t xml:space="preserve"> isolates in Brazil. Following PRISMA guidelines, we performed a systematic review a</w:t>
      </w:r>
      <w:r>
        <w:rPr>
          <w:lang w:val="en-US"/>
        </w:rPr>
        <w:t xml:space="preserve">nd proportion meta-analysis of studies published from 2006–2024 reporting molecular detection of </w:t>
      </w:r>
      <w:proofErr w:type="spellStart"/>
      <w:r>
        <w:rPr>
          <w:i/>
          <w:iCs/>
          <w:lang w:val="en-US"/>
        </w:rPr>
        <w:t>bla</w:t>
      </w:r>
      <w:r>
        <w:rPr>
          <w:vertAlign w:val="subscript"/>
          <w:lang w:val="en-US"/>
        </w:rPr>
        <w:t>KPC</w:t>
      </w:r>
      <w:proofErr w:type="spellEnd"/>
      <w:r>
        <w:rPr>
          <w:lang w:val="en-US"/>
        </w:rPr>
        <w:t xml:space="preserve"> in clinical </w:t>
      </w:r>
      <w:r>
        <w:rPr>
          <w:i/>
          <w:iCs/>
          <w:lang w:val="en-US"/>
        </w:rPr>
        <w:t>K. pneumoniae</w:t>
      </w:r>
      <w:r>
        <w:rPr>
          <w:lang w:val="en-US"/>
        </w:rPr>
        <w:t xml:space="preserve"> isolates across Brazil. Searches in </w:t>
      </w:r>
      <w:proofErr w:type="spellStart"/>
      <w:r>
        <w:rPr>
          <w:lang w:val="en-US"/>
        </w:rPr>
        <w:t>SciELO</w:t>
      </w:r>
      <w:proofErr w:type="spellEnd"/>
      <w:r>
        <w:rPr>
          <w:lang w:val="en-US"/>
        </w:rPr>
        <w:t>, PubMed, ScienceDirect, and LILACS identified eligible cross-sectional and case-con</w:t>
      </w:r>
      <w:r>
        <w:rPr>
          <w:lang w:val="en-US"/>
        </w:rPr>
        <w:t>trol studies. Data was independently extracted data and appraised quality using Joanna Briggs Institute criteria. Random-effects models estimated pooled prevalence; heterogeneity, publication bias, and meta-regression were assessed. Thirty studies met incl</w:t>
      </w:r>
      <w:r>
        <w:rPr>
          <w:lang w:val="en-US"/>
        </w:rPr>
        <w:t xml:space="preserve">usion criteria, totaling 5,630 isolates, of which 4,175 were screened for </w:t>
      </w:r>
      <w:proofErr w:type="spellStart"/>
      <w:r>
        <w:rPr>
          <w:i/>
          <w:iCs/>
          <w:lang w:val="en-US"/>
        </w:rPr>
        <w:t>bla</w:t>
      </w:r>
      <w:r>
        <w:rPr>
          <w:vertAlign w:val="subscript"/>
          <w:lang w:val="en-US"/>
        </w:rPr>
        <w:t>KPC</w:t>
      </w:r>
      <w:proofErr w:type="spellEnd"/>
      <w:r>
        <w:rPr>
          <w:lang w:val="en-US"/>
        </w:rPr>
        <w:t xml:space="preserve"> and 1,488 were positive. The pooled </w:t>
      </w:r>
      <w:proofErr w:type="spellStart"/>
      <w:r>
        <w:rPr>
          <w:i/>
          <w:iCs/>
          <w:lang w:val="en-US"/>
        </w:rPr>
        <w:t>bla</w:t>
      </w:r>
      <w:r>
        <w:rPr>
          <w:vertAlign w:val="subscript"/>
          <w:lang w:val="en-US"/>
        </w:rPr>
        <w:t>KPC</w:t>
      </w:r>
      <w:proofErr w:type="spellEnd"/>
      <w:r>
        <w:rPr>
          <w:lang w:val="en-US"/>
        </w:rPr>
        <w:t xml:space="preserve"> prevalence was 44.3% (95% CI= 0.405–0.481; I² = 97.3%). Subgroup analyses revealed regional heterogeneity (36.5–85.5%), and meta-reg</w:t>
      </w:r>
      <w:r>
        <w:rPr>
          <w:lang w:val="en-US"/>
        </w:rPr>
        <w:t xml:space="preserve">ression showed a significant inverse association between study size and prevalence (p = 0.01). No publication bias was detected (Begg’s p = 0.40). </w:t>
      </w:r>
      <w:proofErr w:type="spellStart"/>
      <w:r>
        <w:rPr>
          <w:i/>
          <w:iCs/>
          <w:lang w:val="en-US"/>
        </w:rPr>
        <w:t>bla</w:t>
      </w:r>
      <w:r>
        <w:rPr>
          <w:vertAlign w:val="subscript"/>
          <w:lang w:val="en-US"/>
        </w:rPr>
        <w:t>KPC</w:t>
      </w:r>
      <w:proofErr w:type="spellEnd"/>
      <w:r>
        <w:rPr>
          <w:lang w:val="en-US"/>
        </w:rPr>
        <w:t xml:space="preserve">-harboring </w:t>
      </w:r>
      <w:r>
        <w:rPr>
          <w:i/>
          <w:iCs/>
          <w:lang w:val="en-US"/>
        </w:rPr>
        <w:t>K. pneumoniae</w:t>
      </w:r>
      <w:r>
        <w:rPr>
          <w:lang w:val="en-US"/>
        </w:rPr>
        <w:t xml:space="preserve"> is highly prevalent and geographically widespread in Brazil. Study design vari</w:t>
      </w:r>
      <w:r>
        <w:rPr>
          <w:lang w:val="en-US"/>
        </w:rPr>
        <w:t>ability and uneven surveillance likely explain observed heterogeneity, underscoring the need for standardized molecular monitoring and coordinated infection-control strategies.</w:t>
      </w:r>
    </w:p>
    <w:p w14:paraId="0B6BDFD0" w14:textId="77777777" w:rsidR="00347734" w:rsidRDefault="00347734">
      <w:pPr>
        <w:jc w:val="both"/>
        <w:rPr>
          <w:lang w:val="en-US"/>
        </w:rPr>
      </w:pPr>
    </w:p>
    <w:p w14:paraId="4218CF27" w14:textId="77777777" w:rsidR="00347734" w:rsidRDefault="00347734">
      <w:pPr>
        <w:jc w:val="both"/>
        <w:rPr>
          <w:lang w:val="en-US"/>
        </w:rPr>
      </w:pPr>
    </w:p>
    <w:p w14:paraId="4CCFE442" w14:textId="77777777" w:rsidR="00347734" w:rsidRDefault="001F3B15">
      <w:pPr>
        <w:jc w:val="both"/>
        <w:rPr>
          <w:lang w:val="en-US"/>
        </w:rPr>
      </w:pPr>
      <w:r>
        <w:rPr>
          <w:lang w:val="en-US"/>
        </w:rPr>
        <w:t xml:space="preserve">Keywords: Serino-beta-lactamases; Meta-analysis; Beta-lactamases; Brazil; </w:t>
      </w:r>
      <w:r>
        <w:rPr>
          <w:i/>
          <w:iCs/>
          <w:lang w:val="en-US"/>
        </w:rPr>
        <w:t>Kle</w:t>
      </w:r>
      <w:r>
        <w:rPr>
          <w:i/>
          <w:iCs/>
          <w:lang w:val="en-US"/>
        </w:rPr>
        <w:t>bsiella pneumoniae</w:t>
      </w:r>
      <w:r>
        <w:rPr>
          <w:lang w:val="en-US"/>
        </w:rPr>
        <w:t xml:space="preserve">; </w:t>
      </w:r>
      <w:proofErr w:type="spellStart"/>
      <w:r>
        <w:rPr>
          <w:lang w:val="en-US"/>
        </w:rPr>
        <w:t>Carbapenemases</w:t>
      </w:r>
      <w:proofErr w:type="spellEnd"/>
      <w:r>
        <w:rPr>
          <w:lang w:val="en-US"/>
        </w:rPr>
        <w:t>.</w:t>
      </w:r>
      <w:bookmarkEnd w:id="0"/>
    </w:p>
    <w:p w14:paraId="5E7490B1" w14:textId="77777777" w:rsidR="00347734" w:rsidRDefault="001F3B15">
      <w:pPr>
        <w:spacing w:after="240" w:line="480" w:lineRule="auto"/>
        <w:rPr>
          <w:b/>
          <w:lang w:val="en-US"/>
        </w:rPr>
      </w:pPr>
      <w:r>
        <w:rPr>
          <w:b/>
          <w:lang w:val="en-US"/>
        </w:rPr>
        <w:t xml:space="preserve">1. Introduction </w:t>
      </w:r>
    </w:p>
    <w:p w14:paraId="38DFB28A" w14:textId="77777777" w:rsidR="00347734" w:rsidRDefault="001F3B15">
      <w:pPr>
        <w:spacing w:line="480" w:lineRule="auto"/>
        <w:ind w:firstLine="708"/>
        <w:jc w:val="both"/>
        <w:rPr>
          <w:i/>
          <w:iCs/>
          <w:lang w:val="en-US"/>
        </w:rPr>
      </w:pPr>
      <w:r>
        <w:rPr>
          <w:i/>
          <w:iCs/>
          <w:lang w:val="en-US"/>
        </w:rPr>
        <w:t xml:space="preserve">Klebsiella pneumoniae </w:t>
      </w:r>
      <w:r>
        <w:rPr>
          <w:lang w:val="en-US"/>
        </w:rPr>
        <w:t>has rapidly evolved from a relatively benign commensal microorganism to one of the most problematic multidrug-resistant pathogens confronting global healthcare today [1]. This Gram-</w:t>
      </w:r>
      <w:r>
        <w:rPr>
          <w:lang w:val="en-US"/>
        </w:rPr>
        <w:t xml:space="preserve">negative bacterium has not only adapted effectively to a broad range of clinical environments, but presents enhanced capacity of acquiring resistance genes, often severely limiting therapeutic options. Its impressive genomic plasticity allows it </w:t>
      </w:r>
      <w:r>
        <w:rPr>
          <w:lang w:val="en-US"/>
        </w:rPr>
        <w:lastRenderedPageBreak/>
        <w:t>to swiftly</w:t>
      </w:r>
      <w:r>
        <w:rPr>
          <w:lang w:val="en-US"/>
        </w:rPr>
        <w:t xml:space="preserve"> respond to antimicrobial pressures, contributing significantly to morbidity, mortality, and healthcare-associated costs worldwide [2].</w:t>
      </w:r>
    </w:p>
    <w:p w14:paraId="78D1229C" w14:textId="77777777" w:rsidR="00347734" w:rsidRDefault="001F3B15">
      <w:pPr>
        <w:spacing w:line="480" w:lineRule="auto"/>
        <w:ind w:firstLine="708"/>
        <w:jc w:val="both"/>
        <w:rPr>
          <w:lang w:val="en-US"/>
        </w:rPr>
      </w:pPr>
      <w:r>
        <w:rPr>
          <w:lang w:val="en-US"/>
        </w:rPr>
        <w:t xml:space="preserve">At the center of the escalating antibiotic resistance crisis is the widespread dissemination of </w:t>
      </w:r>
      <w:proofErr w:type="spellStart"/>
      <w:r>
        <w:rPr>
          <w:lang w:val="en-US"/>
        </w:rPr>
        <w:t>carbapenemase</w:t>
      </w:r>
      <w:proofErr w:type="spellEnd"/>
      <w:r>
        <w:rPr>
          <w:lang w:val="en-US"/>
        </w:rPr>
        <w:t xml:space="preserve">-producing </w:t>
      </w:r>
      <w:r>
        <w:rPr>
          <w:lang w:val="en-US"/>
        </w:rPr>
        <w:t xml:space="preserve">strains, such as those carrying the </w:t>
      </w:r>
      <w:proofErr w:type="spellStart"/>
      <w:r>
        <w:rPr>
          <w:i/>
          <w:iCs/>
          <w:lang w:val="en-US"/>
        </w:rPr>
        <w:t>bla</w:t>
      </w:r>
      <w:r>
        <w:rPr>
          <w:vertAlign w:val="subscript"/>
          <w:lang w:val="en-US"/>
        </w:rPr>
        <w:t>KPC</w:t>
      </w:r>
      <w:proofErr w:type="spellEnd"/>
      <w:r>
        <w:rPr>
          <w:lang w:val="en-US"/>
        </w:rPr>
        <w:t xml:space="preserve"> gene. This gene encodes the </w:t>
      </w:r>
      <w:r>
        <w:rPr>
          <w:i/>
          <w:iCs/>
          <w:lang w:val="en-US"/>
        </w:rPr>
        <w:t>Klebsiella pneumoniae</w:t>
      </w:r>
      <w:r>
        <w:rPr>
          <w:lang w:val="en-US"/>
        </w:rPr>
        <w:t xml:space="preserve"> </w:t>
      </w:r>
      <w:proofErr w:type="spellStart"/>
      <w:r>
        <w:rPr>
          <w:lang w:val="en-US"/>
        </w:rPr>
        <w:t>carbapenemase</w:t>
      </w:r>
      <w:proofErr w:type="spellEnd"/>
      <w:r>
        <w:rPr>
          <w:lang w:val="en-US"/>
        </w:rPr>
        <w:t xml:space="preserve"> (KPC), an enzyme that confers resistance by hydrolyzing carbapenems—antibiotics traditionally reserved for treating severe multidrug-resistant infect</w:t>
      </w:r>
      <w:r>
        <w:rPr>
          <w:lang w:val="en-US"/>
        </w:rPr>
        <w:t xml:space="preserve">ions [3]. First identified in the United States in the late 1990s, </w:t>
      </w:r>
      <w:proofErr w:type="spellStart"/>
      <w:r>
        <w:rPr>
          <w:i/>
          <w:iCs/>
          <w:lang w:val="en-US"/>
        </w:rPr>
        <w:t>bla</w:t>
      </w:r>
      <w:r>
        <w:rPr>
          <w:vertAlign w:val="subscript"/>
          <w:lang w:val="en-US"/>
        </w:rPr>
        <w:t>KPC</w:t>
      </w:r>
      <w:proofErr w:type="spellEnd"/>
      <w:r>
        <w:rPr>
          <w:lang w:val="en-US"/>
        </w:rPr>
        <w:t xml:space="preserve"> variants rapidly spread across continents, becoming a global public health concern by severely limiting treatment options [4].</w:t>
      </w:r>
    </w:p>
    <w:p w14:paraId="0A29A9A5" w14:textId="77777777" w:rsidR="00347734" w:rsidRDefault="001F3B15">
      <w:pPr>
        <w:spacing w:line="480" w:lineRule="auto"/>
        <w:ind w:firstLine="708"/>
        <w:jc w:val="both"/>
        <w:rPr>
          <w:lang w:val="en-US"/>
        </w:rPr>
      </w:pPr>
      <w:r>
        <w:rPr>
          <w:lang w:val="en-US"/>
        </w:rPr>
        <w:t xml:space="preserve">Brazil's detection of </w:t>
      </w:r>
      <w:proofErr w:type="spellStart"/>
      <w:r>
        <w:rPr>
          <w:i/>
          <w:iCs/>
          <w:lang w:val="en-US"/>
        </w:rPr>
        <w:t>bla</w:t>
      </w:r>
      <w:r>
        <w:rPr>
          <w:vertAlign w:val="subscript"/>
          <w:lang w:val="en-US"/>
        </w:rPr>
        <w:t>KPC</w:t>
      </w:r>
      <w:proofErr w:type="spellEnd"/>
      <w:r>
        <w:rPr>
          <w:lang w:val="en-US"/>
        </w:rPr>
        <w:t xml:space="preserve">-positive </w:t>
      </w:r>
      <w:r>
        <w:rPr>
          <w:i/>
          <w:iCs/>
          <w:lang w:val="en-US"/>
        </w:rPr>
        <w:t>K. pneumoniae</w:t>
      </w:r>
      <w:r>
        <w:rPr>
          <w:lang w:val="en-US"/>
        </w:rPr>
        <w:t xml:space="preserve"> began in the early 2000s, marking a significant turning point in national antimicrobial resistance (AMR) epidemiology. What initially appeared as isolated events quickly transformed into persistent endemicity in several Brazilian hospitals and regions, wi</w:t>
      </w:r>
      <w:r>
        <w:rPr>
          <w:lang w:val="en-US"/>
        </w:rPr>
        <w:t xml:space="preserve">th some institutions reporting alarmingly high detection rates [5-7]. </w:t>
      </w:r>
    </w:p>
    <w:p w14:paraId="7B5DD2DD" w14:textId="77777777" w:rsidR="00347734" w:rsidRDefault="001F3B15">
      <w:pPr>
        <w:spacing w:line="480" w:lineRule="auto"/>
        <w:ind w:firstLine="708"/>
        <w:jc w:val="both"/>
        <w:rPr>
          <w:rStyle w:val="Emphasis"/>
          <w:i w:val="0"/>
          <w:iCs w:val="0"/>
          <w:lang w:val="en-US"/>
        </w:rPr>
      </w:pPr>
      <w:r>
        <w:rPr>
          <w:lang w:val="en-US"/>
        </w:rPr>
        <w:t xml:space="preserve">The fragmented nature of published research, primarily restricted to local or regional studies, has made it challenging to fully grasp the published evidence on KPC-producing </w:t>
      </w:r>
      <w:r>
        <w:rPr>
          <w:i/>
          <w:iCs/>
          <w:lang w:val="en-US"/>
        </w:rPr>
        <w:t>K. pneumon</w:t>
      </w:r>
      <w:r>
        <w:rPr>
          <w:i/>
          <w:iCs/>
          <w:lang w:val="en-US"/>
        </w:rPr>
        <w:t>iae</w:t>
      </w:r>
      <w:r>
        <w:rPr>
          <w:lang w:val="en-US"/>
        </w:rPr>
        <w:t xml:space="preserve">. Our study aims to systematically integrate existing prevalence data on the </w:t>
      </w:r>
      <w:proofErr w:type="spellStart"/>
      <w:r>
        <w:rPr>
          <w:i/>
          <w:iCs/>
          <w:lang w:val="en-US"/>
        </w:rPr>
        <w:t>bla</w:t>
      </w:r>
      <w:r>
        <w:rPr>
          <w:vertAlign w:val="subscript"/>
          <w:lang w:val="en-US"/>
        </w:rPr>
        <w:t>KPC</w:t>
      </w:r>
      <w:proofErr w:type="spellEnd"/>
      <w:r>
        <w:rPr>
          <w:lang w:val="en-US"/>
        </w:rPr>
        <w:t xml:space="preserve"> gene among Brazilian clinical </w:t>
      </w:r>
      <w:r>
        <w:rPr>
          <w:i/>
          <w:iCs/>
          <w:lang w:val="en-US"/>
        </w:rPr>
        <w:t>K. pneumoniae</w:t>
      </w:r>
      <w:r>
        <w:rPr>
          <w:lang w:val="en-US"/>
        </w:rPr>
        <w:t xml:space="preserve"> isolates based on published data. </w:t>
      </w:r>
    </w:p>
    <w:p w14:paraId="596F63C4" w14:textId="77777777" w:rsidR="00347734" w:rsidRDefault="001F3B15">
      <w:pPr>
        <w:spacing w:line="480" w:lineRule="auto"/>
        <w:jc w:val="both"/>
        <w:rPr>
          <w:b/>
          <w:lang w:val="en-US"/>
        </w:rPr>
      </w:pPr>
      <w:r>
        <w:rPr>
          <w:b/>
          <w:lang w:val="en-US"/>
        </w:rPr>
        <w:t>2. Material and Methods</w:t>
      </w:r>
    </w:p>
    <w:p w14:paraId="21533D3B" w14:textId="77777777" w:rsidR="00347734" w:rsidRDefault="001F3B15">
      <w:pPr>
        <w:spacing w:line="480" w:lineRule="auto"/>
        <w:jc w:val="both"/>
        <w:rPr>
          <w:i/>
          <w:lang w:val="en-US"/>
        </w:rPr>
      </w:pPr>
      <w:r>
        <w:rPr>
          <w:i/>
          <w:lang w:val="en-US"/>
        </w:rPr>
        <w:t>2.1 Study design</w:t>
      </w:r>
    </w:p>
    <w:p w14:paraId="1160D0E9" w14:textId="77777777" w:rsidR="00347734" w:rsidRDefault="001F3B15">
      <w:pPr>
        <w:spacing w:after="240" w:line="480" w:lineRule="auto"/>
        <w:ind w:firstLine="708"/>
        <w:jc w:val="both"/>
        <w:rPr>
          <w:lang w:val="en-US"/>
        </w:rPr>
      </w:pPr>
      <w:r>
        <w:rPr>
          <w:lang w:val="en-US"/>
        </w:rPr>
        <w:t>This is a systematic review and meta-analysis tha</w:t>
      </w:r>
      <w:r>
        <w:rPr>
          <w:lang w:val="en-US"/>
        </w:rPr>
        <w:t xml:space="preserve">t aims to investigate data on the molecular detection of </w:t>
      </w:r>
      <w:proofErr w:type="spellStart"/>
      <w:r>
        <w:rPr>
          <w:lang w:val="en-US"/>
        </w:rPr>
        <w:t>serino</w:t>
      </w:r>
      <w:proofErr w:type="spellEnd"/>
      <w:r>
        <w:rPr>
          <w:lang w:val="en-US"/>
        </w:rPr>
        <w:t xml:space="preserve">-beta-lactamase encoding gene </w:t>
      </w:r>
      <w:proofErr w:type="spellStart"/>
      <w:r>
        <w:rPr>
          <w:i/>
          <w:iCs/>
          <w:lang w:val="en-US"/>
        </w:rPr>
        <w:t>bla</w:t>
      </w:r>
      <w:r>
        <w:rPr>
          <w:vertAlign w:val="subscript"/>
          <w:lang w:val="en-US"/>
        </w:rPr>
        <w:t>KPC</w:t>
      </w:r>
      <w:proofErr w:type="spellEnd"/>
      <w:r>
        <w:rPr>
          <w:lang w:val="en-US"/>
        </w:rPr>
        <w:t xml:space="preserve"> in clinical-related </w:t>
      </w:r>
      <w:r>
        <w:rPr>
          <w:i/>
          <w:lang w:val="en-US"/>
        </w:rPr>
        <w:t>K. pneumoniae</w:t>
      </w:r>
      <w:r>
        <w:rPr>
          <w:lang w:val="en-US"/>
        </w:rPr>
        <w:t xml:space="preserve"> isolates in the Brazilian territory. This study followed the recommendations of the Preferred Report Items of a Systematic</w:t>
      </w:r>
      <w:r>
        <w:rPr>
          <w:lang w:val="en-US"/>
        </w:rPr>
        <w:t xml:space="preserve"> Review and Meta-Analyses (PRISMA) 2020 and </w:t>
      </w:r>
      <w:r>
        <w:rPr>
          <w:lang w:val="en-US"/>
        </w:rPr>
        <w:lastRenderedPageBreak/>
        <w:t>was registered with the International Prospective Register of Systematic Reviews (PROSPERO) under registration number CRD420251117220 [8-9]. A proportion meta-analysis was conducted in this study to investigate t</w:t>
      </w:r>
      <w:r>
        <w:rPr>
          <w:lang w:val="en-US"/>
        </w:rPr>
        <w:t xml:space="preserve">he prevalence of </w:t>
      </w:r>
      <w:proofErr w:type="spellStart"/>
      <w:r>
        <w:rPr>
          <w:i/>
          <w:iCs/>
          <w:lang w:val="en-US"/>
        </w:rPr>
        <w:t>bla</w:t>
      </w:r>
      <w:r>
        <w:rPr>
          <w:vertAlign w:val="subscript"/>
          <w:lang w:val="en-US"/>
        </w:rPr>
        <w:t>KPC</w:t>
      </w:r>
      <w:proofErr w:type="spellEnd"/>
      <w:r>
        <w:rPr>
          <w:lang w:val="en-US"/>
        </w:rPr>
        <w:t xml:space="preserve">. </w:t>
      </w:r>
    </w:p>
    <w:p w14:paraId="4A3B3144" w14:textId="77777777" w:rsidR="00347734" w:rsidRDefault="001F3B15">
      <w:pPr>
        <w:spacing w:line="480" w:lineRule="auto"/>
        <w:jc w:val="both"/>
        <w:rPr>
          <w:i/>
          <w:lang w:val="en-US"/>
        </w:rPr>
      </w:pPr>
      <w:r>
        <w:rPr>
          <w:i/>
          <w:lang w:val="en-US"/>
        </w:rPr>
        <w:t>2.2 Search strategy and eligibility criteria</w:t>
      </w:r>
    </w:p>
    <w:p w14:paraId="5BDDE780" w14:textId="77777777" w:rsidR="00347734" w:rsidRDefault="001F3B15">
      <w:pPr>
        <w:spacing w:line="480" w:lineRule="auto"/>
        <w:ind w:firstLine="708"/>
        <w:jc w:val="both"/>
        <w:rPr>
          <w:lang w:val="en-US"/>
        </w:rPr>
      </w:pPr>
      <w:r>
        <w:rPr>
          <w:lang w:val="en-US"/>
        </w:rPr>
        <w:t xml:space="preserve">The POT strategy was used to construct the guiding question for this systematic review, which consisted of the following: “What is the prevalence of </w:t>
      </w:r>
      <w:proofErr w:type="spellStart"/>
      <w:r>
        <w:rPr>
          <w:i/>
          <w:iCs/>
          <w:lang w:val="en-US"/>
        </w:rPr>
        <w:t>bla</w:t>
      </w:r>
      <w:r>
        <w:rPr>
          <w:vertAlign w:val="subscript"/>
          <w:lang w:val="en-US"/>
        </w:rPr>
        <w:t>KPC</w:t>
      </w:r>
      <w:proofErr w:type="spellEnd"/>
      <w:r>
        <w:rPr>
          <w:lang w:val="en-US"/>
        </w:rPr>
        <w:t xml:space="preserve"> gene in Brazilian clinical re</w:t>
      </w:r>
      <w:r>
        <w:rPr>
          <w:lang w:val="en-US"/>
        </w:rPr>
        <w:t xml:space="preserve">lated samples of </w:t>
      </w:r>
      <w:r>
        <w:rPr>
          <w:i/>
          <w:lang w:val="en-US"/>
        </w:rPr>
        <w:t>K. pneumoniae</w:t>
      </w:r>
      <w:r>
        <w:rPr>
          <w:lang w:val="en-US"/>
        </w:rPr>
        <w:t>?”. The anagram for its formation comprised “P” for problem (</w:t>
      </w:r>
      <w:proofErr w:type="spellStart"/>
      <w:r>
        <w:rPr>
          <w:lang w:val="en-US"/>
        </w:rPr>
        <w:t>Carbapenemases</w:t>
      </w:r>
      <w:proofErr w:type="spellEnd"/>
      <w:r>
        <w:rPr>
          <w:lang w:val="en-US"/>
        </w:rPr>
        <w:t xml:space="preserve">-CR-KP), “O” for outcome (frequency of </w:t>
      </w:r>
      <w:proofErr w:type="spellStart"/>
      <w:r>
        <w:rPr>
          <w:i/>
          <w:iCs/>
          <w:lang w:val="en-US"/>
        </w:rPr>
        <w:t>bla</w:t>
      </w:r>
      <w:r>
        <w:rPr>
          <w:vertAlign w:val="subscript"/>
          <w:lang w:val="en-US"/>
        </w:rPr>
        <w:t>KPC</w:t>
      </w:r>
      <w:proofErr w:type="spellEnd"/>
      <w:r>
        <w:rPr>
          <w:lang w:val="en-US"/>
        </w:rPr>
        <w:t xml:space="preserve"> in </w:t>
      </w:r>
      <w:r>
        <w:rPr>
          <w:i/>
          <w:iCs/>
          <w:lang w:val="en-US"/>
        </w:rPr>
        <w:t>K. pneumoniae</w:t>
      </w:r>
      <w:r>
        <w:rPr>
          <w:lang w:val="en-US"/>
        </w:rPr>
        <w:t xml:space="preserve"> in Brazil) and “T” for type of study (original studies). The keywords used to search the</w:t>
      </w:r>
      <w:r>
        <w:rPr>
          <w:lang w:val="en-US"/>
        </w:rPr>
        <w:t xml:space="preserve"> databases were: Beta-lactamases; Brazil; </w:t>
      </w:r>
      <w:proofErr w:type="spellStart"/>
      <w:r>
        <w:rPr>
          <w:i/>
          <w:iCs/>
          <w:lang w:val="en-US"/>
        </w:rPr>
        <w:t>bla</w:t>
      </w:r>
      <w:r>
        <w:rPr>
          <w:vertAlign w:val="subscript"/>
          <w:lang w:val="en-US"/>
        </w:rPr>
        <w:t>KPC</w:t>
      </w:r>
      <w:proofErr w:type="spellEnd"/>
      <w:r>
        <w:rPr>
          <w:lang w:val="en-US"/>
        </w:rPr>
        <w:t xml:space="preserve">; </w:t>
      </w:r>
      <w:r>
        <w:rPr>
          <w:i/>
          <w:lang w:val="en-US"/>
        </w:rPr>
        <w:t>Klebsiella pneumoniae</w:t>
      </w:r>
      <w:r>
        <w:rPr>
          <w:lang w:val="en-US"/>
        </w:rPr>
        <w:t xml:space="preserve">; </w:t>
      </w:r>
      <w:proofErr w:type="spellStart"/>
      <w:r>
        <w:rPr>
          <w:lang w:val="en-US"/>
        </w:rPr>
        <w:t>serino</w:t>
      </w:r>
      <w:proofErr w:type="spellEnd"/>
      <w:r>
        <w:rPr>
          <w:lang w:val="en-US"/>
        </w:rPr>
        <w:t xml:space="preserve">-beta-lactamases; Bacteria; </w:t>
      </w:r>
      <w:proofErr w:type="spellStart"/>
      <w:r>
        <w:rPr>
          <w:lang w:val="en-US"/>
        </w:rPr>
        <w:t>Carbapenemases</w:t>
      </w:r>
      <w:proofErr w:type="spellEnd"/>
      <w:r>
        <w:rPr>
          <w:lang w:val="en-US"/>
        </w:rPr>
        <w:t xml:space="preserve"> (AND) [10-11].</w:t>
      </w:r>
    </w:p>
    <w:p w14:paraId="6B07059F" w14:textId="77777777" w:rsidR="00347734" w:rsidRDefault="001F3B15">
      <w:pPr>
        <w:spacing w:after="240" w:line="480" w:lineRule="auto"/>
        <w:ind w:firstLine="708"/>
        <w:jc w:val="both"/>
        <w:rPr>
          <w:lang w:val="en-US"/>
        </w:rPr>
      </w:pPr>
      <w:r>
        <w:rPr>
          <w:lang w:val="en-US"/>
        </w:rPr>
        <w:t xml:space="preserve">Literature searches were performed in </w:t>
      </w:r>
      <w:proofErr w:type="spellStart"/>
      <w:r>
        <w:rPr>
          <w:lang w:val="en-US"/>
        </w:rPr>
        <w:t>SciELO</w:t>
      </w:r>
      <w:proofErr w:type="spellEnd"/>
      <w:r>
        <w:rPr>
          <w:lang w:val="en-US"/>
        </w:rPr>
        <w:t>, PubMed, ScienceDirect and LILACS—databases that together encompass most o</w:t>
      </w:r>
      <w:r>
        <w:rPr>
          <w:lang w:val="en-US"/>
        </w:rPr>
        <w:t>f the Brazilian scientific research. Primary studies published in Portuguese, English or Spanish from January 2006 through December 2024 were eligible if they employed analytical, case</w:t>
      </w:r>
      <w:r>
        <w:rPr>
          <w:lang w:val="en-US"/>
        </w:rPr>
        <w:noBreakHyphen/>
        <w:t>control, cohort or cross</w:t>
      </w:r>
      <w:r>
        <w:rPr>
          <w:lang w:val="en-US"/>
        </w:rPr>
        <w:noBreakHyphen/>
        <w:t>sectional designs. Short communications, lette</w:t>
      </w:r>
      <w:r>
        <w:rPr>
          <w:lang w:val="en-US"/>
        </w:rPr>
        <w:t>rs to the editor, editorials and any articles not freely available in full text were excluded.</w:t>
      </w:r>
    </w:p>
    <w:p w14:paraId="076F82BA" w14:textId="77777777" w:rsidR="00347734" w:rsidRDefault="001F3B15">
      <w:pPr>
        <w:spacing w:line="480" w:lineRule="auto"/>
        <w:jc w:val="both"/>
        <w:rPr>
          <w:i/>
          <w:lang w:val="en-US"/>
        </w:rPr>
      </w:pPr>
      <w:r>
        <w:rPr>
          <w:i/>
          <w:lang w:val="en-US"/>
        </w:rPr>
        <w:t>2.3 Data extraction and assessment of methodological quality</w:t>
      </w:r>
    </w:p>
    <w:p w14:paraId="5BF6C4A7" w14:textId="77777777" w:rsidR="00347734" w:rsidRDefault="001F3B15">
      <w:pPr>
        <w:spacing w:line="480" w:lineRule="auto"/>
        <w:ind w:firstLine="708"/>
        <w:jc w:val="both"/>
        <w:rPr>
          <w:lang w:val="en-US"/>
        </w:rPr>
      </w:pPr>
      <w:r>
        <w:rPr>
          <w:lang w:val="en-US"/>
        </w:rPr>
        <w:t>The data was collected from all the databases mentioned above and distributed in an organized form i</w:t>
      </w:r>
      <w:r>
        <w:rPr>
          <w:lang w:val="en-US"/>
        </w:rPr>
        <w:t>n a computer spreadsheet application (Microsoft Office Excel 365). The database search, collection, investigation, tabulation and data extraction were carried out independently by two authors (CSS and MJAS). Any inconsistencies between the analyses were re</w:t>
      </w:r>
      <w:r>
        <w:rPr>
          <w:lang w:val="en-US"/>
        </w:rPr>
        <w:t xml:space="preserve">solved with the help of a third researcher (YCR). The data extracted from the articles </w:t>
      </w:r>
      <w:r>
        <w:rPr>
          <w:lang w:val="en-US"/>
        </w:rPr>
        <w:lastRenderedPageBreak/>
        <w:t>were: authors, year of publication, title, source(s), methodology, sample type, Brazilian city/region, collection method, setting profile, gene identification method, pe</w:t>
      </w:r>
      <w:r>
        <w:rPr>
          <w:lang w:val="en-US"/>
        </w:rPr>
        <w:t xml:space="preserve">riod in which the </w:t>
      </w:r>
      <w:r>
        <w:rPr>
          <w:i/>
          <w:lang w:val="en-US"/>
        </w:rPr>
        <w:t>K. pneumoniae</w:t>
      </w:r>
      <w:r>
        <w:rPr>
          <w:lang w:val="en-US"/>
        </w:rPr>
        <w:t xml:space="preserve"> isolates were collected and the appropriate frequencies of </w:t>
      </w:r>
      <w:proofErr w:type="spellStart"/>
      <w:r>
        <w:rPr>
          <w:i/>
          <w:iCs/>
          <w:lang w:val="en-US"/>
        </w:rPr>
        <w:t>bla</w:t>
      </w:r>
      <w:r>
        <w:rPr>
          <w:vertAlign w:val="subscript"/>
          <w:lang w:val="en-US"/>
        </w:rPr>
        <w:t>KPC</w:t>
      </w:r>
      <w:proofErr w:type="spellEnd"/>
      <w:r>
        <w:rPr>
          <w:lang w:val="en-US"/>
        </w:rPr>
        <w:t xml:space="preserve">. Also, studies included in the present meta-analysis consisted of reports providing data on the molecular detection of </w:t>
      </w:r>
      <w:proofErr w:type="spellStart"/>
      <w:r>
        <w:rPr>
          <w:i/>
          <w:iCs/>
          <w:lang w:val="en-US"/>
        </w:rPr>
        <w:t>bla</w:t>
      </w:r>
      <w:r>
        <w:rPr>
          <w:vertAlign w:val="subscript"/>
          <w:lang w:val="en-US"/>
        </w:rPr>
        <w:t>KPC</w:t>
      </w:r>
      <w:proofErr w:type="spellEnd"/>
      <w:r>
        <w:rPr>
          <w:i/>
          <w:iCs/>
          <w:lang w:val="en-US"/>
        </w:rPr>
        <w:t xml:space="preserve"> </w:t>
      </w:r>
      <w:r>
        <w:rPr>
          <w:lang w:val="en-US"/>
        </w:rPr>
        <w:t xml:space="preserve">in </w:t>
      </w:r>
      <w:r>
        <w:rPr>
          <w:i/>
          <w:lang w:val="en-US"/>
        </w:rPr>
        <w:t xml:space="preserve">K. pneumoniae </w:t>
      </w:r>
      <w:r>
        <w:rPr>
          <w:lang w:val="en-US"/>
        </w:rPr>
        <w:t>isolates by PCR</w:t>
      </w:r>
      <w:r>
        <w:rPr>
          <w:lang w:val="en-US"/>
        </w:rPr>
        <w:t xml:space="preserve"> and/or WGS and describing the presence of at least two clinical isolates. </w:t>
      </w:r>
    </w:p>
    <w:p w14:paraId="24E32585" w14:textId="77777777" w:rsidR="00347734" w:rsidRDefault="001F3B15">
      <w:pPr>
        <w:spacing w:line="480" w:lineRule="auto"/>
        <w:ind w:firstLine="708"/>
        <w:jc w:val="both"/>
        <w:rPr>
          <w:lang w:val="en-US"/>
        </w:rPr>
      </w:pPr>
      <w:r>
        <w:rPr>
          <w:lang w:val="en-US"/>
        </w:rPr>
        <w:t>The quality assessment was carried out by two investigators (CSS and MJAS) using the Joanna Briggs Institute (JBI) critical appraisal checklist for analytical cross-sectional studi</w:t>
      </w:r>
      <w:r>
        <w:rPr>
          <w:lang w:val="en-US"/>
        </w:rPr>
        <w:t>es (0-8) and for case-control studies (0-10). Only when the conditional answer was “Yes” were the scores for completing the checklist questions considered [12-13].</w:t>
      </w:r>
    </w:p>
    <w:p w14:paraId="3923138B" w14:textId="77777777" w:rsidR="00347734" w:rsidRDefault="001F3B15">
      <w:pPr>
        <w:spacing w:before="240" w:line="480" w:lineRule="auto"/>
        <w:jc w:val="both"/>
        <w:rPr>
          <w:i/>
          <w:lang w:val="en-US"/>
        </w:rPr>
      </w:pPr>
      <w:r>
        <w:rPr>
          <w:i/>
          <w:lang w:val="en-US"/>
        </w:rPr>
        <w:t>2.4 Statistical analysis</w:t>
      </w:r>
    </w:p>
    <w:p w14:paraId="11B18621" w14:textId="77777777" w:rsidR="00347734" w:rsidRDefault="001F3B15">
      <w:pPr>
        <w:spacing w:after="240" w:line="480" w:lineRule="auto"/>
        <w:ind w:firstLine="708"/>
        <w:jc w:val="both"/>
        <w:rPr>
          <w:lang w:val="en-US"/>
        </w:rPr>
      </w:pPr>
      <w:r>
        <w:rPr>
          <w:lang w:val="en-US"/>
        </w:rPr>
        <w:t>The Comprehensive Meta-Analyses – CMA program, version 3.3 (</w:t>
      </w:r>
      <w:proofErr w:type="spellStart"/>
      <w:r>
        <w:rPr>
          <w:lang w:val="en-US"/>
        </w:rPr>
        <w:t>Biostat</w:t>
      </w:r>
      <w:proofErr w:type="spellEnd"/>
      <w:r>
        <w:rPr>
          <w:lang w:val="en-US"/>
        </w:rPr>
        <w:t xml:space="preserve">, Englewood, NJ, USA) and </w:t>
      </w:r>
      <w:proofErr w:type="spellStart"/>
      <w:r>
        <w:rPr>
          <w:lang w:val="en-US"/>
        </w:rPr>
        <w:t>OpenMeta</w:t>
      </w:r>
      <w:proofErr w:type="spellEnd"/>
      <w:r>
        <w:rPr>
          <w:lang w:val="en-US"/>
        </w:rPr>
        <w:t xml:space="preserve"> Analyst were used to carry out the statistical analysis of the meta-analysis [14]. The random effects model (Der-Simonian Laird – DL method) estimated the combined frequency of </w:t>
      </w:r>
      <w:r>
        <w:rPr>
          <w:i/>
          <w:iCs/>
          <w:lang w:val="en-US"/>
        </w:rPr>
        <w:t xml:space="preserve">K. pneumoniae </w:t>
      </w:r>
      <w:r>
        <w:rPr>
          <w:lang w:val="en-US"/>
        </w:rPr>
        <w:t xml:space="preserve">with 95% confidence intervals </w:t>
      </w:r>
      <w:r>
        <w:rPr>
          <w:lang w:val="en-US"/>
        </w:rPr>
        <w:t xml:space="preserve">(95% CI). A subgroup analysis was performed to determine the frequency of </w:t>
      </w:r>
      <w:proofErr w:type="spellStart"/>
      <w:r>
        <w:rPr>
          <w:i/>
          <w:iCs/>
          <w:lang w:val="en-US"/>
        </w:rPr>
        <w:t>bla</w:t>
      </w:r>
      <w:r>
        <w:rPr>
          <w:vertAlign w:val="subscript"/>
          <w:lang w:val="en-US"/>
        </w:rPr>
        <w:t>KPC</w:t>
      </w:r>
      <w:proofErr w:type="spellEnd"/>
      <w:r>
        <w:rPr>
          <w:lang w:val="en-US"/>
        </w:rPr>
        <w:t xml:space="preserve"> isolates according to Brazilian regions. The Chi-squared and I</w:t>
      </w:r>
      <w:r>
        <w:rPr>
          <w:vertAlign w:val="superscript"/>
          <w:lang w:val="en-US"/>
        </w:rPr>
        <w:t>2</w:t>
      </w:r>
      <w:r>
        <w:rPr>
          <w:lang w:val="en-US"/>
        </w:rPr>
        <w:t xml:space="preserve"> tests were used to determine the statistical difference groups (p&lt;0.05 was considered statistically significant). Egger and Begg’s rank correlation test and a funnel plot were used to examine the potential for publication bias (p&lt;0.05 was considered stati</w:t>
      </w:r>
      <w:r>
        <w:rPr>
          <w:lang w:val="en-US"/>
        </w:rPr>
        <w:t>stically significant). Sensitivity analysis, meta-regression and subgroup analysis based on study site were used to assess possible causes of variability, where applicable [15].</w:t>
      </w:r>
    </w:p>
    <w:p w14:paraId="6273502A" w14:textId="77777777" w:rsidR="00347734" w:rsidRDefault="001F3B15">
      <w:pPr>
        <w:spacing w:line="480" w:lineRule="auto"/>
        <w:jc w:val="both"/>
        <w:rPr>
          <w:b/>
          <w:lang w:val="en-US"/>
        </w:rPr>
      </w:pPr>
      <w:r>
        <w:rPr>
          <w:b/>
          <w:lang w:val="en-US"/>
        </w:rPr>
        <w:t>3. Results</w:t>
      </w:r>
    </w:p>
    <w:p w14:paraId="7CD75397" w14:textId="77777777" w:rsidR="00347734" w:rsidRDefault="001F3B15">
      <w:pPr>
        <w:spacing w:line="480" w:lineRule="auto"/>
        <w:jc w:val="both"/>
        <w:rPr>
          <w:i/>
          <w:lang w:val="en-US"/>
        </w:rPr>
      </w:pPr>
      <w:r>
        <w:rPr>
          <w:i/>
          <w:lang w:val="en-US"/>
        </w:rPr>
        <w:lastRenderedPageBreak/>
        <w:t>3.1 Literature Search</w:t>
      </w:r>
    </w:p>
    <w:p w14:paraId="6BAEBD1E" w14:textId="77777777" w:rsidR="00347734" w:rsidRDefault="001F3B15">
      <w:pPr>
        <w:spacing w:line="480" w:lineRule="auto"/>
        <w:ind w:firstLine="708"/>
        <w:jc w:val="both"/>
        <w:rPr>
          <w:rFonts w:eastAsia="Calibri"/>
          <w:lang w:val="en-US"/>
        </w:rPr>
      </w:pPr>
      <w:r>
        <w:rPr>
          <w:rFonts w:eastAsia="Calibri"/>
          <w:lang w:val="en-US"/>
        </w:rPr>
        <w:t xml:space="preserve">After the initial screening and application </w:t>
      </w:r>
      <w:r>
        <w:rPr>
          <w:rFonts w:eastAsia="Calibri"/>
          <w:lang w:val="en-US"/>
        </w:rPr>
        <w:t>of eligibility and inclusion criteria to the 393 records, 235 studies were excluded because their titles were not related to the topic and 105 were excluded as duplicates, editor’s letters, brief communications, or incomplete studies. Following full-text a</w:t>
      </w:r>
      <w:r>
        <w:rPr>
          <w:rFonts w:eastAsia="Calibri"/>
          <w:lang w:val="en-US"/>
        </w:rPr>
        <w:t>ssessment, 23 additional studies were excluded. The sampling process is depicted in Figure 1 below.</w:t>
      </w:r>
    </w:p>
    <w:p w14:paraId="299A0C14" w14:textId="77777777" w:rsidR="00347734" w:rsidRDefault="001F3B15">
      <w:pPr>
        <w:spacing w:line="480" w:lineRule="auto"/>
        <w:ind w:firstLine="708"/>
        <w:jc w:val="center"/>
        <w:rPr>
          <w:rFonts w:eastAsia="Calibri"/>
          <w:lang w:val="en-US"/>
        </w:rPr>
      </w:pPr>
      <w:r>
        <w:rPr>
          <w:noProof/>
        </w:rPr>
        <w:drawing>
          <wp:inline distT="0" distB="0" distL="0" distR="0" wp14:anchorId="2C5EA8E1" wp14:editId="46817B28">
            <wp:extent cx="3112135" cy="4149725"/>
            <wp:effectExtent l="0" t="0" r="0" b="0"/>
            <wp:docPr id="1" name="Imagem 5" descr="C:\Users\USER\OneDrive\Área de Trabalho\FLUXOGRAMA - CLASSE A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C:\Users\USER\OneDrive\Área de Trabalho\FLUXOGRAMA - CLASSE A - Copia.png"/>
                    <pic:cNvPicPr>
                      <a:picLocks noChangeAspect="1" noChangeArrowheads="1"/>
                    </pic:cNvPicPr>
                  </pic:nvPicPr>
                  <pic:blipFill>
                    <a:blip r:embed="rId8"/>
                    <a:stretch>
                      <a:fillRect/>
                    </a:stretch>
                  </pic:blipFill>
                  <pic:spPr bwMode="auto">
                    <a:xfrm>
                      <a:off x="0" y="0"/>
                      <a:ext cx="3112135" cy="4149725"/>
                    </a:xfrm>
                    <a:prstGeom prst="rect">
                      <a:avLst/>
                    </a:prstGeom>
                    <a:noFill/>
                  </pic:spPr>
                </pic:pic>
              </a:graphicData>
            </a:graphic>
          </wp:inline>
        </w:drawing>
      </w:r>
    </w:p>
    <w:p w14:paraId="15CE2F90" w14:textId="77777777" w:rsidR="00347734" w:rsidRDefault="001F3B15">
      <w:pPr>
        <w:jc w:val="both"/>
        <w:rPr>
          <w:rFonts w:eastAsia="Calibri"/>
          <w:b/>
          <w:bCs/>
          <w:lang w:val="en-US"/>
        </w:rPr>
      </w:pPr>
      <w:r>
        <w:rPr>
          <w:rFonts w:eastAsia="Calibri"/>
          <w:b/>
          <w:bCs/>
          <w:lang w:val="en-US"/>
        </w:rPr>
        <w:t xml:space="preserve">Figure 1 - Flowchart of the data collection and screening steps for </w:t>
      </w:r>
      <w:proofErr w:type="spellStart"/>
      <w:r>
        <w:rPr>
          <w:i/>
          <w:iCs/>
          <w:lang w:val="en-US"/>
        </w:rPr>
        <w:t>bla</w:t>
      </w:r>
      <w:r>
        <w:rPr>
          <w:vertAlign w:val="subscript"/>
          <w:lang w:val="en-US"/>
        </w:rPr>
        <w:t>KPC</w:t>
      </w:r>
      <w:proofErr w:type="spellEnd"/>
      <w:r>
        <w:rPr>
          <w:rFonts w:eastAsia="Calibri"/>
          <w:b/>
          <w:bCs/>
          <w:lang w:val="en-US"/>
        </w:rPr>
        <w:t xml:space="preserve"> studies.</w:t>
      </w:r>
    </w:p>
    <w:p w14:paraId="2203680D" w14:textId="77777777" w:rsidR="00347734" w:rsidRDefault="001F3B15">
      <w:pPr>
        <w:spacing w:after="240" w:line="480" w:lineRule="auto"/>
        <w:jc w:val="both"/>
        <w:rPr>
          <w:bCs/>
          <w:i/>
          <w:lang w:val="en-US"/>
        </w:rPr>
      </w:pPr>
      <w:r>
        <w:rPr>
          <w:bCs/>
          <w:i/>
          <w:lang w:val="en-US"/>
        </w:rPr>
        <w:t>3.2 Characterization of the included studies</w:t>
      </w:r>
    </w:p>
    <w:p w14:paraId="77BB9229" w14:textId="77777777" w:rsidR="00347734" w:rsidRDefault="001F3B15">
      <w:pPr>
        <w:spacing w:line="480" w:lineRule="auto"/>
        <w:jc w:val="both"/>
        <w:rPr>
          <w:bCs/>
          <w:lang w:val="en-US"/>
        </w:rPr>
      </w:pPr>
      <w:r>
        <w:rPr>
          <w:bCs/>
          <w:lang w:val="en-US"/>
        </w:rPr>
        <w:tab/>
        <w:t>Table 1 summarizes the 3</w:t>
      </w:r>
      <w:r>
        <w:rPr>
          <w:bCs/>
          <w:lang w:val="en-US"/>
        </w:rPr>
        <w:t>0 primary studies included in the quantitative synthesis [16-45]. Collectively, these investigations covered all Brazilian macro-regions (North, Northeast, Midwest, Southeast, and South), and two studies compiled isolates sampled from multiple regions with</w:t>
      </w:r>
      <w:r>
        <w:rPr>
          <w:bCs/>
          <w:lang w:val="en-US"/>
        </w:rPr>
        <w:t xml:space="preserve">in the country. Most studies used a retrospective cross-sectional design, with a </w:t>
      </w:r>
      <w:r>
        <w:rPr>
          <w:bCs/>
          <w:lang w:val="en-US"/>
        </w:rPr>
        <w:lastRenderedPageBreak/>
        <w:t xml:space="preserve">smaller subset adopting case-control approaches. Sampling periods spanned nearly two decades, from an earliest extended surveillance window (August 2003–February 2012) to the </w:t>
      </w:r>
      <w:r>
        <w:rPr>
          <w:bCs/>
          <w:lang w:val="en-US"/>
        </w:rPr>
        <w:t>most recent sampling period (2020–2023).</w:t>
      </w:r>
    </w:p>
    <w:p w14:paraId="71E32E1F" w14:textId="77777777" w:rsidR="00347734" w:rsidRDefault="001F3B15">
      <w:pPr>
        <w:spacing w:line="480" w:lineRule="auto"/>
        <w:jc w:val="both"/>
        <w:rPr>
          <w:bCs/>
          <w:lang w:val="en-US"/>
        </w:rPr>
      </w:pPr>
      <w:r>
        <w:rPr>
          <w:bCs/>
          <w:lang w:val="en-US"/>
        </w:rPr>
        <w:tab/>
        <w:t>Across studies, isolates were predominantly derived from hospital-based clinical settings, including tertiary-care hospitals, several multi-institution networks, ICUs, and pediatric or specialized services. In addi</w:t>
      </w:r>
      <w:r>
        <w:rPr>
          <w:bCs/>
          <w:lang w:val="en-US"/>
        </w:rPr>
        <w:t>tion, some datasets were generated through public health laboratory surveillance (LACEN). Isolate sources were heterogeneous, comprising urine, blood cultures, respiratory samples, wounds/secretions, catheter tips, cerebrospinal fluid, and other invasive s</w:t>
      </w:r>
      <w:r>
        <w:rPr>
          <w:bCs/>
          <w:lang w:val="en-US"/>
        </w:rPr>
        <w:t>pecimens; several studies also included colonization screening swabs, particularly rectal swabs (and, less frequently, oropharyngeal swabs).</w:t>
      </w:r>
    </w:p>
    <w:p w14:paraId="336D4596" w14:textId="77777777" w:rsidR="00347734" w:rsidRDefault="001F3B15">
      <w:pPr>
        <w:spacing w:line="480" w:lineRule="auto"/>
        <w:jc w:val="both"/>
        <w:rPr>
          <w:bCs/>
          <w:lang w:val="en-US"/>
        </w:rPr>
      </w:pPr>
      <w:r>
        <w:rPr>
          <w:bCs/>
          <w:lang w:val="en-US"/>
        </w:rPr>
        <w:tab/>
        <w:t xml:space="preserve">Study size varied markedly. The number of isolates tested for </w:t>
      </w:r>
      <w:proofErr w:type="spellStart"/>
      <w:r>
        <w:rPr>
          <w:bCs/>
          <w:i/>
          <w:iCs/>
          <w:lang w:val="en-US"/>
        </w:rPr>
        <w:t>bla</w:t>
      </w:r>
      <w:r>
        <w:rPr>
          <w:bCs/>
          <w:vertAlign w:val="subscript"/>
          <w:lang w:val="en-US"/>
        </w:rPr>
        <w:t>KPC</w:t>
      </w:r>
      <w:proofErr w:type="spellEnd"/>
      <w:r>
        <w:rPr>
          <w:bCs/>
          <w:lang w:val="en-US"/>
        </w:rPr>
        <w:t xml:space="preserve"> ranged from small series to large laboratory-</w:t>
      </w:r>
      <w:r>
        <w:rPr>
          <w:bCs/>
          <w:lang w:val="en-US"/>
        </w:rPr>
        <w:t xml:space="preserve">based datasets. Importantly, some investigations tested only a subset of all available </w:t>
      </w:r>
      <w:r>
        <w:rPr>
          <w:bCs/>
          <w:i/>
          <w:iCs/>
          <w:lang w:val="en-US"/>
        </w:rPr>
        <w:t>K. pneumoniae</w:t>
      </w:r>
      <w:r>
        <w:rPr>
          <w:bCs/>
          <w:lang w:val="en-US"/>
        </w:rPr>
        <w:t xml:space="preserve"> isolates during the study period (e.g., 21/1,076, 54/325, and 69/95), reflecting differences in inclusion criteria and sampling strategies across sites. Re</w:t>
      </w:r>
      <w:r>
        <w:rPr>
          <w:bCs/>
          <w:lang w:val="en-US"/>
        </w:rPr>
        <w:t xml:space="preserve">garding molecular detection, PCR was the most frequently employed method, while whole-genome sequencing (WGS) was applied in a subset of studies either alone or combined with PCR, particularly in genomic epidemiology and outbreak-focused investigations. </w:t>
      </w:r>
    </w:p>
    <w:p w14:paraId="02135BBF" w14:textId="77777777" w:rsidR="00347734" w:rsidRDefault="001F3B15">
      <w:pPr>
        <w:spacing w:line="480" w:lineRule="auto"/>
        <w:jc w:val="both"/>
        <w:rPr>
          <w:bCs/>
          <w:lang w:val="en-US"/>
        </w:rPr>
      </w:pPr>
      <w:r>
        <w:rPr>
          <w:bCs/>
          <w:lang w:val="en-US"/>
        </w:rPr>
        <w:tab/>
      </w:r>
      <w:r>
        <w:rPr>
          <w:bCs/>
          <w:lang w:val="en-US"/>
        </w:rPr>
        <w:t>Finally, methodological appraisal using Joanna Briggs Institute tools indicated generally moderate-to-high quality, with most cross-sectional studies scoring 7/8 or 8/8, and case-control studies typically achieving 9/10 or 10/10 when reported.</w:t>
      </w:r>
    </w:p>
    <w:p w14:paraId="3BB3501B" w14:textId="77777777" w:rsidR="00347734" w:rsidRDefault="00347734">
      <w:pPr>
        <w:spacing w:line="480" w:lineRule="auto"/>
        <w:jc w:val="both"/>
        <w:rPr>
          <w:bCs/>
          <w:lang w:val="en-US"/>
        </w:rPr>
        <w:sectPr w:rsidR="00347734">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0" w:footer="0" w:gutter="0"/>
          <w:cols w:space="720"/>
          <w:formProt w:val="0"/>
          <w:docGrid w:linePitch="360"/>
        </w:sectPr>
      </w:pPr>
    </w:p>
    <w:p w14:paraId="6914EB9B" w14:textId="77777777" w:rsidR="00347734" w:rsidRDefault="001F3B15">
      <w:pPr>
        <w:tabs>
          <w:tab w:val="left" w:pos="284"/>
        </w:tabs>
        <w:spacing w:before="240" w:line="480" w:lineRule="auto"/>
        <w:jc w:val="both"/>
        <w:rPr>
          <w:b/>
          <w:sz w:val="20"/>
          <w:szCs w:val="20"/>
          <w:lang w:val="en-US"/>
        </w:rPr>
      </w:pPr>
      <w:r>
        <w:rPr>
          <w:rFonts w:eastAsia="Calibri"/>
          <w:b/>
          <w:bCs/>
          <w:lang w:val="en-US"/>
        </w:rPr>
        <w:lastRenderedPageBreak/>
        <w:t xml:space="preserve">Table 1 - Summary of included studies: period, location, isolate, sources and </w:t>
      </w:r>
      <w:proofErr w:type="spellStart"/>
      <w:r>
        <w:rPr>
          <w:rFonts w:eastAsia="Calibri"/>
          <w:b/>
          <w:bCs/>
          <w:i/>
          <w:lang w:val="en-US"/>
        </w:rPr>
        <w:t>bla</w:t>
      </w:r>
      <w:r>
        <w:rPr>
          <w:rFonts w:eastAsia="Calibri"/>
          <w:b/>
          <w:bCs/>
          <w:vertAlign w:val="subscript"/>
          <w:lang w:val="en-US"/>
        </w:rPr>
        <w:t>KPC</w:t>
      </w:r>
      <w:proofErr w:type="spellEnd"/>
      <w:r>
        <w:rPr>
          <w:rFonts w:eastAsia="Calibri"/>
          <w:b/>
          <w:bCs/>
          <w:lang w:val="en-US"/>
        </w:rPr>
        <w:t xml:space="preserve"> frequency. </w:t>
      </w:r>
    </w:p>
    <w:tbl>
      <w:tblPr>
        <w:tblStyle w:val="TableGrid"/>
        <w:tblW w:w="5000" w:type="pct"/>
        <w:tblInd w:w="113" w:type="dxa"/>
        <w:tblLayout w:type="fixed"/>
        <w:tblLook w:val="04A0" w:firstRow="1" w:lastRow="0" w:firstColumn="1" w:lastColumn="0" w:noHBand="0" w:noVBand="1"/>
      </w:tblPr>
      <w:tblGrid>
        <w:gridCol w:w="601"/>
        <w:gridCol w:w="1211"/>
        <w:gridCol w:w="1666"/>
        <w:gridCol w:w="1801"/>
        <w:gridCol w:w="1686"/>
        <w:gridCol w:w="1573"/>
        <w:gridCol w:w="1861"/>
        <w:gridCol w:w="1219"/>
        <w:gridCol w:w="1761"/>
        <w:gridCol w:w="841"/>
      </w:tblGrid>
      <w:tr w:rsidR="00347734" w14:paraId="0E94A004" w14:textId="77777777">
        <w:trPr>
          <w:trHeight w:val="1044"/>
        </w:trPr>
        <w:tc>
          <w:tcPr>
            <w:tcW w:w="592" w:type="dxa"/>
            <w:vAlign w:val="center"/>
          </w:tcPr>
          <w:p w14:paraId="629F9B4F" w14:textId="77777777" w:rsidR="00347734" w:rsidRDefault="001F3B15">
            <w:pPr>
              <w:jc w:val="center"/>
              <w:rPr>
                <w:b/>
                <w:bCs/>
                <w:color w:val="000000"/>
                <w:sz w:val="20"/>
                <w:szCs w:val="20"/>
                <w:lang w:val="en-US"/>
              </w:rPr>
            </w:pPr>
            <w:r>
              <w:rPr>
                <w:b/>
                <w:bCs/>
                <w:color w:val="000000"/>
                <w:sz w:val="20"/>
                <w:szCs w:val="20"/>
                <w:lang w:val="en-US"/>
              </w:rPr>
              <w:t>Nº</w:t>
            </w:r>
          </w:p>
        </w:tc>
        <w:tc>
          <w:tcPr>
            <w:tcW w:w="1193" w:type="dxa"/>
            <w:vAlign w:val="center"/>
          </w:tcPr>
          <w:p w14:paraId="20160529" w14:textId="77777777" w:rsidR="00347734" w:rsidRDefault="001F3B15">
            <w:pPr>
              <w:jc w:val="center"/>
              <w:rPr>
                <w:b/>
                <w:bCs/>
                <w:color w:val="000000"/>
                <w:sz w:val="20"/>
                <w:szCs w:val="20"/>
                <w:lang w:val="en-US"/>
              </w:rPr>
            </w:pPr>
            <w:r>
              <w:rPr>
                <w:b/>
                <w:bCs/>
                <w:color w:val="000000"/>
                <w:sz w:val="20"/>
                <w:szCs w:val="20"/>
                <w:lang w:val="en-US"/>
              </w:rPr>
              <w:t>Authors/ Year</w:t>
            </w:r>
          </w:p>
        </w:tc>
        <w:tc>
          <w:tcPr>
            <w:tcW w:w="1641" w:type="dxa"/>
            <w:vAlign w:val="center"/>
          </w:tcPr>
          <w:p w14:paraId="07D0B91C" w14:textId="77777777" w:rsidR="00347734" w:rsidRDefault="001F3B15">
            <w:pPr>
              <w:jc w:val="center"/>
              <w:rPr>
                <w:b/>
                <w:bCs/>
                <w:color w:val="000000"/>
                <w:sz w:val="20"/>
                <w:szCs w:val="20"/>
                <w:lang w:val="en-US"/>
              </w:rPr>
            </w:pPr>
            <w:r>
              <w:rPr>
                <w:b/>
                <w:bCs/>
                <w:color w:val="000000"/>
                <w:sz w:val="20"/>
                <w:szCs w:val="20"/>
                <w:lang w:val="en-US"/>
              </w:rPr>
              <w:t>Type of study/ Sample period</w:t>
            </w:r>
          </w:p>
        </w:tc>
        <w:tc>
          <w:tcPr>
            <w:tcW w:w="1774" w:type="dxa"/>
            <w:vAlign w:val="center"/>
          </w:tcPr>
          <w:p w14:paraId="6D5A1806" w14:textId="77777777" w:rsidR="00347734" w:rsidRDefault="001F3B15">
            <w:pPr>
              <w:jc w:val="center"/>
              <w:rPr>
                <w:b/>
                <w:bCs/>
                <w:color w:val="000000"/>
                <w:sz w:val="20"/>
                <w:szCs w:val="20"/>
                <w:lang w:val="en-US"/>
              </w:rPr>
            </w:pPr>
            <w:r>
              <w:rPr>
                <w:b/>
                <w:bCs/>
                <w:color w:val="000000"/>
                <w:sz w:val="20"/>
                <w:szCs w:val="20"/>
                <w:lang w:val="en-US"/>
              </w:rPr>
              <w:t>Location/Region</w:t>
            </w:r>
          </w:p>
        </w:tc>
        <w:tc>
          <w:tcPr>
            <w:tcW w:w="1660" w:type="dxa"/>
            <w:vAlign w:val="center"/>
          </w:tcPr>
          <w:p w14:paraId="34588881" w14:textId="77777777" w:rsidR="00347734" w:rsidRDefault="001F3B15">
            <w:pPr>
              <w:jc w:val="center"/>
              <w:rPr>
                <w:b/>
                <w:bCs/>
                <w:color w:val="000000"/>
                <w:sz w:val="20"/>
                <w:szCs w:val="20"/>
                <w:lang w:val="en-US"/>
              </w:rPr>
            </w:pPr>
            <w:r>
              <w:rPr>
                <w:b/>
                <w:bCs/>
                <w:color w:val="000000"/>
                <w:sz w:val="20"/>
                <w:szCs w:val="20"/>
                <w:lang w:val="en-US"/>
              </w:rPr>
              <w:t>Setting profile</w:t>
            </w:r>
          </w:p>
        </w:tc>
        <w:tc>
          <w:tcPr>
            <w:tcW w:w="1549" w:type="dxa"/>
            <w:vAlign w:val="center"/>
          </w:tcPr>
          <w:p w14:paraId="43798D1D" w14:textId="77777777" w:rsidR="00347734" w:rsidRDefault="001F3B15">
            <w:pPr>
              <w:jc w:val="center"/>
              <w:rPr>
                <w:b/>
                <w:bCs/>
                <w:color w:val="000000"/>
                <w:sz w:val="20"/>
                <w:szCs w:val="20"/>
                <w:lang w:val="en-US"/>
              </w:rPr>
            </w:pPr>
            <w:r>
              <w:rPr>
                <w:b/>
                <w:bCs/>
                <w:color w:val="000000"/>
                <w:sz w:val="20"/>
                <w:szCs w:val="20"/>
                <w:lang w:val="en-US"/>
              </w:rPr>
              <w:t xml:space="preserve"> Nº isolates tested for </w:t>
            </w:r>
            <w:proofErr w:type="spellStart"/>
            <w:r>
              <w:rPr>
                <w:b/>
                <w:bCs/>
                <w:i/>
                <w:color w:val="000000"/>
                <w:sz w:val="20"/>
                <w:szCs w:val="20"/>
                <w:lang w:val="en-US"/>
              </w:rPr>
              <w:t>bla</w:t>
            </w:r>
            <w:r>
              <w:rPr>
                <w:b/>
                <w:bCs/>
                <w:color w:val="000000"/>
                <w:sz w:val="20"/>
                <w:szCs w:val="20"/>
                <w:vertAlign w:val="subscript"/>
                <w:lang w:val="en-US"/>
              </w:rPr>
              <w:t>KPC</w:t>
            </w:r>
            <w:proofErr w:type="spellEnd"/>
            <w:r>
              <w:rPr>
                <w:b/>
                <w:bCs/>
                <w:color w:val="000000"/>
                <w:sz w:val="20"/>
                <w:szCs w:val="20"/>
                <w:lang w:val="en-US"/>
              </w:rPr>
              <w:t xml:space="preserve"> / Nº of total </w:t>
            </w:r>
            <w:proofErr w:type="spellStart"/>
            <w:r>
              <w:rPr>
                <w:b/>
                <w:bCs/>
                <w:color w:val="000000"/>
                <w:sz w:val="20"/>
                <w:szCs w:val="20"/>
                <w:lang w:val="en-US"/>
              </w:rPr>
              <w:t>Kp</w:t>
            </w:r>
            <w:proofErr w:type="spellEnd"/>
            <w:r>
              <w:rPr>
                <w:b/>
                <w:bCs/>
                <w:color w:val="000000"/>
                <w:sz w:val="20"/>
                <w:szCs w:val="20"/>
                <w:lang w:val="en-US"/>
              </w:rPr>
              <w:t xml:space="preserve"> isolates</w:t>
            </w:r>
          </w:p>
        </w:tc>
        <w:tc>
          <w:tcPr>
            <w:tcW w:w="1833" w:type="dxa"/>
            <w:vAlign w:val="center"/>
          </w:tcPr>
          <w:p w14:paraId="2927599E" w14:textId="77777777" w:rsidR="00347734" w:rsidRDefault="001F3B15">
            <w:pPr>
              <w:jc w:val="center"/>
              <w:rPr>
                <w:b/>
                <w:bCs/>
                <w:color w:val="000000"/>
                <w:sz w:val="20"/>
                <w:szCs w:val="20"/>
                <w:lang w:val="en-US"/>
              </w:rPr>
            </w:pPr>
            <w:r>
              <w:rPr>
                <w:b/>
                <w:bCs/>
                <w:color w:val="000000"/>
                <w:sz w:val="20"/>
                <w:szCs w:val="20"/>
                <w:lang w:val="en-US"/>
              </w:rPr>
              <w:t>Isolates</w:t>
            </w:r>
          </w:p>
          <w:p w14:paraId="65A5D232" w14:textId="77777777" w:rsidR="00347734" w:rsidRDefault="001F3B15">
            <w:pPr>
              <w:jc w:val="center"/>
              <w:rPr>
                <w:b/>
                <w:bCs/>
                <w:color w:val="000000"/>
                <w:sz w:val="20"/>
                <w:szCs w:val="20"/>
                <w:lang w:val="en-US"/>
              </w:rPr>
            </w:pPr>
            <w:r>
              <w:rPr>
                <w:b/>
                <w:bCs/>
                <w:color w:val="000000"/>
                <w:sz w:val="20"/>
                <w:szCs w:val="20"/>
                <w:lang w:val="en-US"/>
              </w:rPr>
              <w:t>source</w:t>
            </w:r>
          </w:p>
        </w:tc>
        <w:tc>
          <w:tcPr>
            <w:tcW w:w="1200" w:type="dxa"/>
            <w:vAlign w:val="center"/>
          </w:tcPr>
          <w:p w14:paraId="257DB32A" w14:textId="77777777" w:rsidR="00347734" w:rsidRDefault="001F3B15">
            <w:pPr>
              <w:jc w:val="center"/>
              <w:rPr>
                <w:b/>
                <w:bCs/>
                <w:color w:val="000000"/>
                <w:sz w:val="20"/>
                <w:szCs w:val="20"/>
                <w:lang w:val="en-US"/>
              </w:rPr>
            </w:pPr>
            <w:r>
              <w:rPr>
                <w:b/>
                <w:bCs/>
                <w:color w:val="000000"/>
                <w:sz w:val="20"/>
                <w:szCs w:val="20"/>
                <w:lang w:val="en-US"/>
              </w:rPr>
              <w:t>Results (</w:t>
            </w:r>
            <w:proofErr w:type="spellStart"/>
            <w:r>
              <w:rPr>
                <w:b/>
                <w:bCs/>
                <w:i/>
                <w:iCs/>
                <w:color w:val="000000"/>
                <w:sz w:val="20"/>
                <w:szCs w:val="20"/>
                <w:lang w:val="en-US"/>
              </w:rPr>
              <w:t>bla</w:t>
            </w:r>
            <w:r>
              <w:rPr>
                <w:b/>
                <w:bCs/>
                <w:color w:val="000000"/>
                <w:sz w:val="20"/>
                <w:szCs w:val="20"/>
                <w:vertAlign w:val="subscript"/>
                <w:lang w:val="en-US"/>
              </w:rPr>
              <w:t>KPC</w:t>
            </w:r>
            <w:proofErr w:type="spellEnd"/>
            <w:r>
              <w:rPr>
                <w:b/>
                <w:bCs/>
                <w:color w:val="000000"/>
                <w:sz w:val="20"/>
                <w:szCs w:val="20"/>
                <w:lang w:val="en-US"/>
              </w:rPr>
              <w:t>)</w:t>
            </w:r>
          </w:p>
        </w:tc>
        <w:tc>
          <w:tcPr>
            <w:tcW w:w="1734" w:type="dxa"/>
            <w:vAlign w:val="center"/>
          </w:tcPr>
          <w:p w14:paraId="624F146B" w14:textId="77777777" w:rsidR="00347734" w:rsidRDefault="001F3B15">
            <w:pPr>
              <w:jc w:val="center"/>
              <w:rPr>
                <w:b/>
                <w:bCs/>
                <w:color w:val="000000"/>
                <w:sz w:val="20"/>
                <w:szCs w:val="20"/>
                <w:lang w:val="en-US"/>
              </w:rPr>
            </w:pPr>
            <w:proofErr w:type="spellStart"/>
            <w:r>
              <w:rPr>
                <w:b/>
                <w:bCs/>
                <w:color w:val="000000"/>
                <w:sz w:val="20"/>
                <w:szCs w:val="20"/>
                <w:lang w:val="en-US"/>
              </w:rPr>
              <w:t>Carbapenemases</w:t>
            </w:r>
            <w:proofErr w:type="spellEnd"/>
          </w:p>
          <w:p w14:paraId="0ECF35A0" w14:textId="77777777" w:rsidR="00347734" w:rsidRDefault="001F3B15">
            <w:pPr>
              <w:jc w:val="center"/>
              <w:rPr>
                <w:b/>
                <w:bCs/>
                <w:color w:val="000000"/>
                <w:sz w:val="20"/>
                <w:szCs w:val="20"/>
                <w:lang w:val="en-US"/>
              </w:rPr>
            </w:pPr>
            <w:r>
              <w:rPr>
                <w:b/>
                <w:bCs/>
                <w:color w:val="000000"/>
                <w:sz w:val="20"/>
                <w:szCs w:val="20"/>
                <w:lang w:val="en-US"/>
              </w:rPr>
              <w:t>detection</w:t>
            </w:r>
          </w:p>
        </w:tc>
        <w:tc>
          <w:tcPr>
            <w:tcW w:w="828" w:type="dxa"/>
            <w:vAlign w:val="center"/>
          </w:tcPr>
          <w:p w14:paraId="3E48EC0E" w14:textId="77777777" w:rsidR="00347734" w:rsidRDefault="001F3B15">
            <w:pPr>
              <w:jc w:val="center"/>
              <w:rPr>
                <w:b/>
                <w:bCs/>
                <w:color w:val="000000"/>
                <w:sz w:val="20"/>
                <w:szCs w:val="20"/>
                <w:lang w:val="en-US"/>
              </w:rPr>
            </w:pPr>
            <w:r>
              <w:rPr>
                <w:b/>
                <w:bCs/>
                <w:color w:val="000000"/>
                <w:sz w:val="20"/>
                <w:szCs w:val="20"/>
                <w:lang w:val="en-US"/>
              </w:rPr>
              <w:t>JBI Score</w:t>
            </w:r>
          </w:p>
        </w:tc>
      </w:tr>
      <w:tr w:rsidR="00347734" w14:paraId="7BC6B1DF" w14:textId="77777777">
        <w:trPr>
          <w:trHeight w:val="936"/>
        </w:trPr>
        <w:tc>
          <w:tcPr>
            <w:tcW w:w="592" w:type="dxa"/>
            <w:tcBorders>
              <w:top w:val="nil"/>
            </w:tcBorders>
            <w:vAlign w:val="center"/>
          </w:tcPr>
          <w:p w14:paraId="76CB8581" w14:textId="77777777" w:rsidR="00347734" w:rsidRDefault="001F3B15">
            <w:pPr>
              <w:jc w:val="center"/>
              <w:rPr>
                <w:color w:val="000000"/>
                <w:sz w:val="20"/>
                <w:szCs w:val="20"/>
                <w:lang w:val="en-US"/>
              </w:rPr>
            </w:pPr>
            <w:r>
              <w:rPr>
                <w:color w:val="000000"/>
                <w:sz w:val="20"/>
                <w:szCs w:val="20"/>
                <w:lang w:val="en-US"/>
              </w:rPr>
              <w:t>1</w:t>
            </w:r>
          </w:p>
        </w:tc>
        <w:tc>
          <w:tcPr>
            <w:tcW w:w="1193" w:type="dxa"/>
            <w:tcBorders>
              <w:top w:val="nil"/>
            </w:tcBorders>
            <w:vAlign w:val="center"/>
          </w:tcPr>
          <w:p w14:paraId="78CD8DB6" w14:textId="77777777" w:rsidR="00347734" w:rsidRDefault="001F3B15">
            <w:pPr>
              <w:jc w:val="center"/>
              <w:rPr>
                <w:lang w:val="en-US"/>
              </w:rPr>
            </w:pPr>
            <w:r>
              <w:rPr>
                <w:color w:val="000000"/>
                <w:sz w:val="20"/>
                <w:szCs w:val="20"/>
                <w:lang w:val="en-US"/>
              </w:rPr>
              <w:t xml:space="preserve">Cabral </w:t>
            </w:r>
            <w:r>
              <w:rPr>
                <w:i/>
                <w:iCs/>
                <w:color w:val="000000"/>
                <w:sz w:val="20"/>
                <w:szCs w:val="20"/>
                <w:lang w:val="en-US"/>
              </w:rPr>
              <w:t>et al</w:t>
            </w:r>
            <w:r>
              <w:rPr>
                <w:color w:val="000000"/>
                <w:sz w:val="20"/>
                <w:szCs w:val="20"/>
                <w:lang w:val="en-US"/>
              </w:rPr>
              <w:t>. 2012</w:t>
            </w:r>
          </w:p>
        </w:tc>
        <w:tc>
          <w:tcPr>
            <w:tcW w:w="1641" w:type="dxa"/>
            <w:tcBorders>
              <w:top w:val="nil"/>
            </w:tcBorders>
            <w:vAlign w:val="center"/>
          </w:tcPr>
          <w:p w14:paraId="00C27608" w14:textId="77777777" w:rsidR="00347734" w:rsidRDefault="001F3B15">
            <w:pPr>
              <w:jc w:val="center"/>
              <w:rPr>
                <w:color w:val="000000"/>
                <w:sz w:val="20"/>
                <w:szCs w:val="20"/>
                <w:lang w:val="en-US"/>
              </w:rPr>
            </w:pPr>
            <w:r>
              <w:rPr>
                <w:color w:val="000000"/>
                <w:sz w:val="20"/>
                <w:szCs w:val="20"/>
                <w:lang w:val="en-US"/>
              </w:rPr>
              <w:t>Retrospective cross-sectional / 2007-2008</w:t>
            </w:r>
          </w:p>
        </w:tc>
        <w:tc>
          <w:tcPr>
            <w:tcW w:w="1774" w:type="dxa"/>
            <w:tcBorders>
              <w:top w:val="nil"/>
            </w:tcBorders>
            <w:vAlign w:val="center"/>
          </w:tcPr>
          <w:p w14:paraId="3F36CE93" w14:textId="77777777" w:rsidR="00347734" w:rsidRDefault="001F3B15">
            <w:pPr>
              <w:jc w:val="center"/>
              <w:rPr>
                <w:color w:val="000000"/>
                <w:sz w:val="20"/>
                <w:szCs w:val="20"/>
                <w:lang w:val="en-US"/>
              </w:rPr>
            </w:pPr>
            <w:r>
              <w:rPr>
                <w:color w:val="000000"/>
                <w:sz w:val="20"/>
                <w:szCs w:val="20"/>
                <w:lang w:val="en-US"/>
              </w:rPr>
              <w:t>Recife, Pernambuco State / Northeast region</w:t>
            </w:r>
          </w:p>
        </w:tc>
        <w:tc>
          <w:tcPr>
            <w:tcW w:w="1660" w:type="dxa"/>
            <w:tcBorders>
              <w:top w:val="nil"/>
            </w:tcBorders>
            <w:vAlign w:val="center"/>
          </w:tcPr>
          <w:p w14:paraId="349FA3B0" w14:textId="77777777" w:rsidR="00347734" w:rsidRDefault="001F3B15">
            <w:pPr>
              <w:jc w:val="center"/>
              <w:rPr>
                <w:color w:val="000000"/>
                <w:sz w:val="20"/>
                <w:szCs w:val="20"/>
                <w:lang w:val="en-US"/>
              </w:rPr>
            </w:pPr>
            <w:r>
              <w:rPr>
                <w:color w:val="000000"/>
                <w:sz w:val="20"/>
                <w:szCs w:val="20"/>
                <w:lang w:val="en-US"/>
              </w:rPr>
              <w:t>Clinical – Public and private hospitals</w:t>
            </w:r>
          </w:p>
        </w:tc>
        <w:tc>
          <w:tcPr>
            <w:tcW w:w="1549" w:type="dxa"/>
            <w:tcBorders>
              <w:top w:val="nil"/>
            </w:tcBorders>
            <w:vAlign w:val="center"/>
          </w:tcPr>
          <w:p w14:paraId="6B576469" w14:textId="77777777" w:rsidR="00347734" w:rsidRDefault="001F3B15">
            <w:pPr>
              <w:jc w:val="center"/>
              <w:rPr>
                <w:color w:val="000000"/>
                <w:sz w:val="20"/>
                <w:szCs w:val="20"/>
                <w:lang w:val="en-US"/>
              </w:rPr>
            </w:pPr>
            <w:r>
              <w:rPr>
                <w:color w:val="000000"/>
                <w:sz w:val="20"/>
                <w:szCs w:val="20"/>
                <w:lang w:val="en-US"/>
              </w:rPr>
              <w:t>24/24</w:t>
            </w:r>
          </w:p>
        </w:tc>
        <w:tc>
          <w:tcPr>
            <w:tcW w:w="1833" w:type="dxa"/>
            <w:tcBorders>
              <w:top w:val="nil"/>
            </w:tcBorders>
            <w:vAlign w:val="center"/>
          </w:tcPr>
          <w:p w14:paraId="12B4094F" w14:textId="77777777" w:rsidR="00347734" w:rsidRDefault="001F3B15">
            <w:pPr>
              <w:jc w:val="center"/>
              <w:rPr>
                <w:color w:val="000000"/>
                <w:sz w:val="20"/>
                <w:szCs w:val="20"/>
                <w:lang w:val="en-US"/>
              </w:rPr>
            </w:pPr>
            <w:r>
              <w:rPr>
                <w:color w:val="000000"/>
                <w:sz w:val="20"/>
                <w:szCs w:val="20"/>
                <w:lang w:val="en-US"/>
              </w:rPr>
              <w:t xml:space="preserve">Urine, blood, tracheal secretion, </w:t>
            </w:r>
            <w:r>
              <w:rPr>
                <w:color w:val="000000"/>
                <w:sz w:val="20"/>
                <w:szCs w:val="20"/>
                <w:lang w:val="en-US"/>
              </w:rPr>
              <w:t>bone fragment, abscess secretion and catheter tip</w:t>
            </w:r>
          </w:p>
        </w:tc>
        <w:tc>
          <w:tcPr>
            <w:tcW w:w="1200" w:type="dxa"/>
            <w:tcBorders>
              <w:top w:val="nil"/>
            </w:tcBorders>
            <w:vAlign w:val="center"/>
          </w:tcPr>
          <w:p w14:paraId="1FD5C43D"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(10/24)</w:t>
            </w:r>
          </w:p>
        </w:tc>
        <w:tc>
          <w:tcPr>
            <w:tcW w:w="1734" w:type="dxa"/>
            <w:tcBorders>
              <w:top w:val="nil"/>
            </w:tcBorders>
            <w:vAlign w:val="center"/>
          </w:tcPr>
          <w:p w14:paraId="66D615E6" w14:textId="77777777" w:rsidR="00347734" w:rsidRDefault="001F3B15">
            <w:pPr>
              <w:jc w:val="center"/>
              <w:rPr>
                <w:color w:val="000000"/>
                <w:sz w:val="20"/>
                <w:szCs w:val="20"/>
                <w:lang w:val="en-US"/>
              </w:rPr>
            </w:pPr>
            <w:r>
              <w:rPr>
                <w:color w:val="000000"/>
                <w:sz w:val="20"/>
                <w:szCs w:val="20"/>
                <w:lang w:val="en-US"/>
              </w:rPr>
              <w:t>PCR</w:t>
            </w:r>
          </w:p>
        </w:tc>
        <w:tc>
          <w:tcPr>
            <w:tcW w:w="828" w:type="dxa"/>
            <w:tcBorders>
              <w:top w:val="nil"/>
            </w:tcBorders>
            <w:vAlign w:val="center"/>
          </w:tcPr>
          <w:p w14:paraId="3E130C2B" w14:textId="77777777" w:rsidR="00347734" w:rsidRDefault="001F3B15">
            <w:pPr>
              <w:jc w:val="center"/>
              <w:rPr>
                <w:color w:val="000000"/>
                <w:sz w:val="20"/>
                <w:szCs w:val="20"/>
                <w:lang w:val="en-US"/>
              </w:rPr>
            </w:pPr>
            <w:r>
              <w:rPr>
                <w:color w:val="000000"/>
                <w:sz w:val="20"/>
                <w:szCs w:val="20"/>
                <w:lang w:val="en-US"/>
              </w:rPr>
              <w:t>(8/8)</w:t>
            </w:r>
          </w:p>
        </w:tc>
      </w:tr>
      <w:tr w:rsidR="00347734" w14:paraId="41FDF45A" w14:textId="77777777">
        <w:trPr>
          <w:trHeight w:val="936"/>
        </w:trPr>
        <w:tc>
          <w:tcPr>
            <w:tcW w:w="592" w:type="dxa"/>
            <w:vAlign w:val="center"/>
          </w:tcPr>
          <w:p w14:paraId="10A2B991" w14:textId="77777777" w:rsidR="00347734" w:rsidRDefault="001F3B15">
            <w:pPr>
              <w:jc w:val="center"/>
              <w:rPr>
                <w:color w:val="000000"/>
                <w:sz w:val="20"/>
                <w:szCs w:val="20"/>
                <w:lang w:val="en-US"/>
              </w:rPr>
            </w:pPr>
            <w:r>
              <w:rPr>
                <w:color w:val="000000"/>
                <w:sz w:val="20"/>
                <w:szCs w:val="20"/>
                <w:lang w:val="en-US"/>
              </w:rPr>
              <w:t>2</w:t>
            </w:r>
          </w:p>
        </w:tc>
        <w:tc>
          <w:tcPr>
            <w:tcW w:w="1193" w:type="dxa"/>
            <w:vAlign w:val="center"/>
          </w:tcPr>
          <w:p w14:paraId="4DB5A566" w14:textId="77777777" w:rsidR="00347734" w:rsidRDefault="001F3B15">
            <w:pPr>
              <w:jc w:val="center"/>
              <w:rPr>
                <w:lang w:val="en-US"/>
              </w:rPr>
            </w:pPr>
            <w:r>
              <w:rPr>
                <w:sz w:val="20"/>
                <w:szCs w:val="20"/>
                <w:lang w:val="en-US"/>
              </w:rPr>
              <w:t xml:space="preserve">Pinto </w:t>
            </w:r>
            <w:r>
              <w:rPr>
                <w:i/>
                <w:iCs/>
                <w:sz w:val="20"/>
                <w:szCs w:val="20"/>
                <w:lang w:val="en-US"/>
              </w:rPr>
              <w:t>et al</w:t>
            </w:r>
            <w:r>
              <w:rPr>
                <w:sz w:val="20"/>
                <w:szCs w:val="20"/>
                <w:lang w:val="en-US"/>
              </w:rPr>
              <w:t>. 2014</w:t>
            </w:r>
          </w:p>
        </w:tc>
        <w:tc>
          <w:tcPr>
            <w:tcW w:w="1641" w:type="dxa"/>
            <w:vAlign w:val="center"/>
          </w:tcPr>
          <w:p w14:paraId="4C971CF6" w14:textId="77777777" w:rsidR="00347734" w:rsidRDefault="001F3B15">
            <w:pPr>
              <w:jc w:val="center"/>
              <w:rPr>
                <w:color w:val="000000"/>
                <w:sz w:val="20"/>
                <w:szCs w:val="20"/>
                <w:lang w:val="en-US"/>
              </w:rPr>
            </w:pPr>
            <w:r>
              <w:rPr>
                <w:color w:val="000000"/>
                <w:sz w:val="20"/>
                <w:szCs w:val="20"/>
                <w:lang w:val="en-US"/>
              </w:rPr>
              <w:t>Retrospective cross-sectional / April – December 2013</w:t>
            </w:r>
          </w:p>
        </w:tc>
        <w:tc>
          <w:tcPr>
            <w:tcW w:w="1774" w:type="dxa"/>
            <w:vAlign w:val="center"/>
          </w:tcPr>
          <w:p w14:paraId="5C3EDA37" w14:textId="77777777" w:rsidR="00347734" w:rsidRDefault="001F3B15">
            <w:pPr>
              <w:jc w:val="center"/>
              <w:rPr>
                <w:color w:val="000000"/>
                <w:sz w:val="20"/>
                <w:szCs w:val="20"/>
                <w:lang w:val="en-US"/>
              </w:rPr>
            </w:pPr>
            <w:r>
              <w:rPr>
                <w:color w:val="000000"/>
                <w:sz w:val="20"/>
                <w:szCs w:val="20"/>
                <w:lang w:val="en-US"/>
              </w:rPr>
              <w:t>Porto Alegre, Rio Grande do Sul State, South region</w:t>
            </w:r>
          </w:p>
        </w:tc>
        <w:tc>
          <w:tcPr>
            <w:tcW w:w="1660" w:type="dxa"/>
            <w:vAlign w:val="center"/>
          </w:tcPr>
          <w:p w14:paraId="72464971" w14:textId="77777777" w:rsidR="00347734" w:rsidRDefault="001F3B15">
            <w:pPr>
              <w:jc w:val="center"/>
              <w:rPr>
                <w:color w:val="000000"/>
                <w:sz w:val="20"/>
                <w:szCs w:val="20"/>
                <w:lang w:val="en-US"/>
              </w:rPr>
            </w:pPr>
            <w:r>
              <w:rPr>
                <w:color w:val="000000"/>
                <w:sz w:val="20"/>
                <w:szCs w:val="20"/>
                <w:lang w:val="en-US"/>
              </w:rPr>
              <w:t>Clinical – Four tertiary care hospitals</w:t>
            </w:r>
          </w:p>
        </w:tc>
        <w:tc>
          <w:tcPr>
            <w:tcW w:w="1549" w:type="dxa"/>
            <w:vAlign w:val="center"/>
          </w:tcPr>
          <w:p w14:paraId="0D7C6F9C" w14:textId="77777777" w:rsidR="00347734" w:rsidRDefault="001F3B15">
            <w:pPr>
              <w:jc w:val="center"/>
              <w:rPr>
                <w:color w:val="000000"/>
                <w:sz w:val="20"/>
                <w:szCs w:val="20"/>
                <w:lang w:val="en-US"/>
              </w:rPr>
            </w:pPr>
            <w:r>
              <w:rPr>
                <w:color w:val="000000"/>
                <w:sz w:val="20"/>
                <w:szCs w:val="20"/>
                <w:lang w:val="en-US"/>
              </w:rPr>
              <w:t>326/326</w:t>
            </w:r>
          </w:p>
        </w:tc>
        <w:tc>
          <w:tcPr>
            <w:tcW w:w="1833" w:type="dxa"/>
            <w:vAlign w:val="center"/>
          </w:tcPr>
          <w:p w14:paraId="79D27B60" w14:textId="77777777" w:rsidR="00347734" w:rsidRDefault="001F3B15">
            <w:pPr>
              <w:jc w:val="center"/>
              <w:rPr>
                <w:color w:val="000000"/>
                <w:sz w:val="20"/>
                <w:szCs w:val="20"/>
                <w:lang w:val="en-US"/>
              </w:rPr>
            </w:pPr>
            <w:r>
              <w:rPr>
                <w:color w:val="000000"/>
                <w:sz w:val="20"/>
                <w:szCs w:val="20"/>
                <w:lang w:val="en-US"/>
              </w:rPr>
              <w:t>Rectal swabs, urine, blood, soft tissue, peritoneal and pleural fluid</w:t>
            </w:r>
          </w:p>
        </w:tc>
        <w:tc>
          <w:tcPr>
            <w:tcW w:w="1200" w:type="dxa"/>
            <w:vAlign w:val="center"/>
          </w:tcPr>
          <w:p w14:paraId="1AD40B90"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(223/326)</w:t>
            </w:r>
          </w:p>
        </w:tc>
        <w:tc>
          <w:tcPr>
            <w:tcW w:w="1734" w:type="dxa"/>
            <w:vAlign w:val="center"/>
          </w:tcPr>
          <w:p w14:paraId="53CC4630"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5EAD8616" w14:textId="77777777" w:rsidR="00347734" w:rsidRDefault="001F3B15">
            <w:pPr>
              <w:jc w:val="center"/>
              <w:rPr>
                <w:color w:val="000000"/>
                <w:sz w:val="20"/>
                <w:szCs w:val="20"/>
                <w:lang w:val="en-US"/>
              </w:rPr>
            </w:pPr>
            <w:r>
              <w:rPr>
                <w:color w:val="000000"/>
                <w:sz w:val="20"/>
                <w:szCs w:val="20"/>
                <w:lang w:val="en-US"/>
              </w:rPr>
              <w:t>(7/8)</w:t>
            </w:r>
          </w:p>
        </w:tc>
      </w:tr>
      <w:tr w:rsidR="00347734" w14:paraId="5F07073E" w14:textId="77777777">
        <w:trPr>
          <w:trHeight w:val="936"/>
        </w:trPr>
        <w:tc>
          <w:tcPr>
            <w:tcW w:w="592" w:type="dxa"/>
            <w:vAlign w:val="center"/>
          </w:tcPr>
          <w:p w14:paraId="4693EBEC" w14:textId="77777777" w:rsidR="00347734" w:rsidRDefault="001F3B15">
            <w:pPr>
              <w:jc w:val="center"/>
              <w:rPr>
                <w:color w:val="000000"/>
                <w:sz w:val="20"/>
                <w:szCs w:val="20"/>
                <w:lang w:val="en-US"/>
              </w:rPr>
            </w:pPr>
            <w:r>
              <w:rPr>
                <w:color w:val="000000"/>
                <w:sz w:val="20"/>
                <w:szCs w:val="20"/>
                <w:lang w:val="en-US"/>
              </w:rPr>
              <w:t>3</w:t>
            </w:r>
          </w:p>
        </w:tc>
        <w:tc>
          <w:tcPr>
            <w:tcW w:w="1193" w:type="dxa"/>
            <w:vAlign w:val="center"/>
          </w:tcPr>
          <w:p w14:paraId="33CEA4A9" w14:textId="77777777" w:rsidR="00347734" w:rsidRDefault="001F3B15">
            <w:pPr>
              <w:jc w:val="center"/>
              <w:rPr>
                <w:lang w:val="en-US"/>
              </w:rPr>
            </w:pPr>
            <w:r>
              <w:rPr>
                <w:rFonts w:eastAsiaTheme="minorHAnsi"/>
                <w:sz w:val="20"/>
                <w:szCs w:val="17"/>
                <w:lang w:val="en-US"/>
              </w:rPr>
              <w:t xml:space="preserve">Andrade </w:t>
            </w:r>
            <w:r>
              <w:rPr>
                <w:rFonts w:eastAsiaTheme="minorHAnsi"/>
                <w:i/>
                <w:sz w:val="20"/>
                <w:szCs w:val="17"/>
                <w:lang w:val="en-US"/>
              </w:rPr>
              <w:t xml:space="preserve">et al., </w:t>
            </w:r>
            <w:r>
              <w:rPr>
                <w:rFonts w:eastAsiaTheme="minorHAnsi"/>
                <w:sz w:val="20"/>
                <w:szCs w:val="17"/>
                <w:lang w:val="en-US"/>
              </w:rPr>
              <w:t>2014</w:t>
            </w:r>
          </w:p>
        </w:tc>
        <w:tc>
          <w:tcPr>
            <w:tcW w:w="1641" w:type="dxa"/>
            <w:vAlign w:val="center"/>
          </w:tcPr>
          <w:p w14:paraId="198FBEC3" w14:textId="77777777" w:rsidR="00347734" w:rsidRDefault="001F3B15">
            <w:pPr>
              <w:jc w:val="center"/>
              <w:rPr>
                <w:color w:val="000000"/>
                <w:sz w:val="20"/>
                <w:szCs w:val="20"/>
                <w:lang w:val="en-US"/>
              </w:rPr>
            </w:pPr>
            <w:r>
              <w:rPr>
                <w:color w:val="000000"/>
                <w:sz w:val="20"/>
                <w:szCs w:val="20"/>
                <w:lang w:val="en-US"/>
              </w:rPr>
              <w:t>Retrospective case-control / 2012 - 2013</w:t>
            </w:r>
          </w:p>
        </w:tc>
        <w:tc>
          <w:tcPr>
            <w:tcW w:w="1774" w:type="dxa"/>
            <w:vAlign w:val="center"/>
          </w:tcPr>
          <w:p w14:paraId="3A9610BD" w14:textId="77777777" w:rsidR="00347734" w:rsidRDefault="001F3B15">
            <w:pPr>
              <w:jc w:val="center"/>
              <w:rPr>
                <w:color w:val="000000"/>
                <w:sz w:val="20"/>
                <w:szCs w:val="20"/>
                <w:highlight w:val="yellow"/>
                <w:lang w:val="en-US"/>
              </w:rPr>
            </w:pPr>
            <w:proofErr w:type="spellStart"/>
            <w:r>
              <w:rPr>
                <w:color w:val="000000"/>
                <w:sz w:val="20"/>
                <w:szCs w:val="20"/>
                <w:lang w:val="en-US"/>
              </w:rPr>
              <w:t>Ribeirão</w:t>
            </w:r>
            <w:proofErr w:type="spellEnd"/>
            <w:r>
              <w:rPr>
                <w:color w:val="000000"/>
                <w:sz w:val="20"/>
                <w:szCs w:val="20"/>
                <w:lang w:val="en-US"/>
              </w:rPr>
              <w:t xml:space="preserve"> Preto / São Paulo</w:t>
            </w:r>
          </w:p>
        </w:tc>
        <w:tc>
          <w:tcPr>
            <w:tcW w:w="1660" w:type="dxa"/>
            <w:vAlign w:val="center"/>
          </w:tcPr>
          <w:p w14:paraId="2A0CEA98" w14:textId="77777777" w:rsidR="00347734" w:rsidRDefault="001F3B15">
            <w:pPr>
              <w:jc w:val="center"/>
              <w:rPr>
                <w:color w:val="000000"/>
                <w:sz w:val="20"/>
                <w:szCs w:val="20"/>
                <w:highlight w:val="yellow"/>
                <w:lang w:val="en-US"/>
              </w:rPr>
            </w:pPr>
            <w:r>
              <w:rPr>
                <w:color w:val="000000"/>
                <w:sz w:val="20"/>
                <w:szCs w:val="20"/>
                <w:lang w:val="en-US"/>
              </w:rPr>
              <w:t>Clinical – Tertiary care hospital</w:t>
            </w:r>
          </w:p>
        </w:tc>
        <w:tc>
          <w:tcPr>
            <w:tcW w:w="1549" w:type="dxa"/>
            <w:vAlign w:val="center"/>
          </w:tcPr>
          <w:p w14:paraId="4C908B15" w14:textId="77777777" w:rsidR="00347734" w:rsidRDefault="001F3B15">
            <w:pPr>
              <w:jc w:val="center"/>
              <w:rPr>
                <w:color w:val="000000"/>
                <w:sz w:val="20"/>
                <w:szCs w:val="20"/>
                <w:lang w:val="en-US"/>
              </w:rPr>
            </w:pPr>
            <w:r>
              <w:rPr>
                <w:color w:val="000000"/>
                <w:sz w:val="20"/>
                <w:szCs w:val="20"/>
                <w:lang w:val="en-US"/>
              </w:rPr>
              <w:t>7/7</w:t>
            </w:r>
          </w:p>
        </w:tc>
        <w:tc>
          <w:tcPr>
            <w:tcW w:w="1833" w:type="dxa"/>
            <w:vAlign w:val="center"/>
          </w:tcPr>
          <w:p w14:paraId="60347181" w14:textId="77777777" w:rsidR="00347734" w:rsidRDefault="001F3B15">
            <w:pPr>
              <w:jc w:val="center"/>
              <w:rPr>
                <w:rFonts w:eastAsiaTheme="minorHAnsi"/>
                <w:sz w:val="20"/>
                <w:szCs w:val="14"/>
                <w:lang w:val="en-US"/>
              </w:rPr>
            </w:pPr>
            <w:r>
              <w:rPr>
                <w:rFonts w:eastAsiaTheme="minorHAnsi"/>
                <w:sz w:val="20"/>
                <w:szCs w:val="14"/>
                <w:lang w:val="en-US"/>
              </w:rPr>
              <w:t xml:space="preserve">urine, </w:t>
            </w:r>
            <w:r>
              <w:rPr>
                <w:rFonts w:eastAsiaTheme="minorHAnsi"/>
                <w:sz w:val="20"/>
                <w:szCs w:val="14"/>
                <w:lang w:val="en-US"/>
              </w:rPr>
              <w:t>tracheal</w:t>
            </w:r>
          </w:p>
          <w:p w14:paraId="56F349A3" w14:textId="77777777" w:rsidR="00347734" w:rsidRDefault="001F3B15">
            <w:pPr>
              <w:jc w:val="center"/>
              <w:rPr>
                <w:rFonts w:eastAsiaTheme="minorHAnsi"/>
                <w:sz w:val="20"/>
                <w:szCs w:val="14"/>
                <w:lang w:val="en-US"/>
              </w:rPr>
            </w:pPr>
            <w:r>
              <w:rPr>
                <w:rFonts w:eastAsiaTheme="minorHAnsi"/>
                <w:sz w:val="20"/>
                <w:szCs w:val="14"/>
                <w:lang w:val="en-US"/>
              </w:rPr>
              <w:t>secretion, blood, venous</w:t>
            </w:r>
          </w:p>
          <w:p w14:paraId="4E5CE202" w14:textId="77777777" w:rsidR="00347734" w:rsidRDefault="001F3B15">
            <w:pPr>
              <w:jc w:val="center"/>
              <w:rPr>
                <w:rFonts w:eastAsiaTheme="minorHAnsi"/>
                <w:sz w:val="20"/>
                <w:lang w:val="en-US"/>
              </w:rPr>
            </w:pPr>
            <w:r>
              <w:rPr>
                <w:rFonts w:eastAsiaTheme="minorHAnsi"/>
                <w:sz w:val="20"/>
                <w:szCs w:val="14"/>
                <w:lang w:val="en-US"/>
              </w:rPr>
              <w:t>catheter</w:t>
            </w:r>
          </w:p>
        </w:tc>
        <w:tc>
          <w:tcPr>
            <w:tcW w:w="1200" w:type="dxa"/>
            <w:vAlign w:val="center"/>
          </w:tcPr>
          <w:p w14:paraId="5C5740DD" w14:textId="77777777" w:rsidR="00347734" w:rsidRDefault="001F3B15">
            <w:pPr>
              <w:jc w:val="center"/>
              <w:rPr>
                <w:iCs/>
                <w:color w:val="000000"/>
                <w:sz w:val="20"/>
                <w:szCs w:val="20"/>
                <w:lang w:val="en-US"/>
              </w:rPr>
            </w:pPr>
            <w:r>
              <w:rPr>
                <w:iCs/>
                <w:color w:val="000000"/>
                <w:sz w:val="20"/>
                <w:szCs w:val="20"/>
                <w:lang w:val="en-US"/>
              </w:rPr>
              <w:t>bla</w:t>
            </w:r>
            <w:r>
              <w:rPr>
                <w:iCs/>
                <w:color w:val="000000"/>
                <w:sz w:val="20"/>
                <w:szCs w:val="20"/>
                <w:vertAlign w:val="subscript"/>
                <w:lang w:val="en-US"/>
              </w:rPr>
              <w:t xml:space="preserve">KPC-2 </w:t>
            </w:r>
            <w:r>
              <w:rPr>
                <w:iCs/>
                <w:color w:val="000000"/>
                <w:sz w:val="20"/>
                <w:szCs w:val="20"/>
                <w:lang w:val="en-US"/>
              </w:rPr>
              <w:t>positive (7/7)</w:t>
            </w:r>
          </w:p>
        </w:tc>
        <w:tc>
          <w:tcPr>
            <w:tcW w:w="1734" w:type="dxa"/>
            <w:vAlign w:val="center"/>
          </w:tcPr>
          <w:p w14:paraId="1A604BD5"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7B49F348" w14:textId="77777777" w:rsidR="00347734" w:rsidRDefault="001F3B15">
            <w:pPr>
              <w:jc w:val="center"/>
              <w:rPr>
                <w:color w:val="000000"/>
                <w:sz w:val="20"/>
                <w:szCs w:val="20"/>
                <w:lang w:val="en-US"/>
              </w:rPr>
            </w:pPr>
            <w:r>
              <w:rPr>
                <w:color w:val="000000"/>
                <w:sz w:val="20"/>
                <w:szCs w:val="20"/>
                <w:lang w:val="en-US"/>
              </w:rPr>
              <w:t>(9/10)</w:t>
            </w:r>
          </w:p>
        </w:tc>
      </w:tr>
      <w:tr w:rsidR="00347734" w14:paraId="71AE4CFA" w14:textId="77777777">
        <w:trPr>
          <w:trHeight w:val="936"/>
        </w:trPr>
        <w:tc>
          <w:tcPr>
            <w:tcW w:w="592" w:type="dxa"/>
            <w:tcBorders>
              <w:top w:val="nil"/>
            </w:tcBorders>
            <w:vAlign w:val="center"/>
          </w:tcPr>
          <w:p w14:paraId="2BADB98E" w14:textId="77777777" w:rsidR="00347734" w:rsidRDefault="001F3B15">
            <w:pPr>
              <w:jc w:val="center"/>
              <w:rPr>
                <w:color w:val="000000"/>
                <w:sz w:val="20"/>
                <w:szCs w:val="20"/>
                <w:lang w:val="en-US"/>
              </w:rPr>
            </w:pPr>
            <w:r>
              <w:rPr>
                <w:color w:val="000000"/>
                <w:sz w:val="20"/>
                <w:szCs w:val="20"/>
                <w:lang w:val="en-US"/>
              </w:rPr>
              <w:t>4</w:t>
            </w:r>
          </w:p>
        </w:tc>
        <w:tc>
          <w:tcPr>
            <w:tcW w:w="1193" w:type="dxa"/>
            <w:tcBorders>
              <w:top w:val="nil"/>
            </w:tcBorders>
            <w:vAlign w:val="center"/>
          </w:tcPr>
          <w:p w14:paraId="42B442DE" w14:textId="77777777" w:rsidR="00347734" w:rsidRDefault="001F3B15">
            <w:pPr>
              <w:jc w:val="center"/>
              <w:rPr>
                <w:sz w:val="20"/>
                <w:szCs w:val="20"/>
                <w:lang w:val="en-US"/>
              </w:rPr>
            </w:pPr>
            <w:proofErr w:type="spellStart"/>
            <w:r>
              <w:rPr>
                <w:rFonts w:ascii="TimesNewRoman" w:eastAsiaTheme="minorHAnsi" w:hAnsi="TimesNewRoman" w:cs="TimesNewRoman"/>
                <w:sz w:val="20"/>
                <w:szCs w:val="20"/>
                <w:lang w:val="en-US"/>
              </w:rPr>
              <w:t>Biberg</w:t>
            </w:r>
            <w:proofErr w:type="spellEnd"/>
            <w:r>
              <w:rPr>
                <w:rFonts w:ascii="TimesNewRoman" w:eastAsiaTheme="minorHAnsi" w:hAnsi="TimesNewRoman" w:cs="TimesNewRoman"/>
                <w:sz w:val="20"/>
                <w:szCs w:val="20"/>
                <w:lang w:val="en-US"/>
              </w:rPr>
              <w:t xml:space="preserve"> </w:t>
            </w:r>
            <w:r>
              <w:rPr>
                <w:rFonts w:ascii="TimesNewRoman" w:eastAsiaTheme="minorHAnsi" w:hAnsi="TimesNewRoman" w:cs="TimesNewRoman"/>
                <w:i/>
                <w:sz w:val="20"/>
                <w:szCs w:val="20"/>
                <w:lang w:val="en-US"/>
              </w:rPr>
              <w:t xml:space="preserve">et al., </w:t>
            </w:r>
            <w:r>
              <w:rPr>
                <w:rFonts w:ascii="TimesNewRoman" w:eastAsiaTheme="minorHAnsi" w:hAnsi="TimesNewRoman" w:cs="TimesNewRoman"/>
                <w:sz w:val="20"/>
                <w:szCs w:val="20"/>
                <w:lang w:val="en-US"/>
              </w:rPr>
              <w:t>2015</w:t>
            </w:r>
          </w:p>
        </w:tc>
        <w:tc>
          <w:tcPr>
            <w:tcW w:w="1641" w:type="dxa"/>
            <w:tcBorders>
              <w:top w:val="nil"/>
            </w:tcBorders>
            <w:vAlign w:val="center"/>
          </w:tcPr>
          <w:p w14:paraId="18762707" w14:textId="77777777" w:rsidR="00347734" w:rsidRDefault="001F3B15">
            <w:pPr>
              <w:jc w:val="center"/>
              <w:rPr>
                <w:color w:val="000000"/>
                <w:sz w:val="20"/>
                <w:szCs w:val="20"/>
                <w:lang w:val="en-US"/>
              </w:rPr>
            </w:pPr>
            <w:r>
              <w:rPr>
                <w:color w:val="000000"/>
                <w:sz w:val="20"/>
                <w:szCs w:val="20"/>
                <w:lang w:val="en-US"/>
              </w:rPr>
              <w:t>Retrospective case-control / 2009 - 2010</w:t>
            </w:r>
          </w:p>
        </w:tc>
        <w:tc>
          <w:tcPr>
            <w:tcW w:w="1774" w:type="dxa"/>
            <w:tcBorders>
              <w:top w:val="nil"/>
            </w:tcBorders>
            <w:vAlign w:val="center"/>
          </w:tcPr>
          <w:p w14:paraId="07C3EBFF" w14:textId="77777777" w:rsidR="00347734" w:rsidRDefault="001F3B15">
            <w:pPr>
              <w:jc w:val="center"/>
              <w:rPr>
                <w:color w:val="000000"/>
                <w:sz w:val="20"/>
                <w:szCs w:val="20"/>
                <w:lang w:val="en-US"/>
              </w:rPr>
            </w:pPr>
            <w:r>
              <w:rPr>
                <w:color w:val="000000"/>
                <w:sz w:val="20"/>
                <w:szCs w:val="20"/>
                <w:lang w:val="en-US"/>
              </w:rPr>
              <w:t>Mato Grosso do Sul / Centro Oeste</w:t>
            </w:r>
          </w:p>
        </w:tc>
        <w:tc>
          <w:tcPr>
            <w:tcW w:w="1660" w:type="dxa"/>
            <w:tcBorders>
              <w:top w:val="nil"/>
            </w:tcBorders>
            <w:vAlign w:val="center"/>
          </w:tcPr>
          <w:p w14:paraId="02414ED0" w14:textId="77777777" w:rsidR="00347734" w:rsidRDefault="001F3B15">
            <w:pPr>
              <w:jc w:val="center"/>
              <w:rPr>
                <w:color w:val="000000"/>
                <w:sz w:val="20"/>
                <w:szCs w:val="20"/>
                <w:lang w:val="en-US"/>
              </w:rPr>
            </w:pPr>
            <w:r>
              <w:rPr>
                <w:color w:val="000000"/>
                <w:sz w:val="20"/>
                <w:szCs w:val="20"/>
                <w:lang w:val="en-US"/>
              </w:rPr>
              <w:t>Clinical – Regional care hospital</w:t>
            </w:r>
          </w:p>
        </w:tc>
        <w:tc>
          <w:tcPr>
            <w:tcW w:w="1549" w:type="dxa"/>
            <w:tcBorders>
              <w:top w:val="nil"/>
            </w:tcBorders>
            <w:vAlign w:val="center"/>
          </w:tcPr>
          <w:p w14:paraId="1E792561" w14:textId="77777777" w:rsidR="00347734" w:rsidRDefault="001F3B15">
            <w:pPr>
              <w:jc w:val="center"/>
              <w:rPr>
                <w:color w:val="000000"/>
                <w:sz w:val="20"/>
                <w:szCs w:val="20"/>
                <w:lang w:val="en-US"/>
              </w:rPr>
            </w:pPr>
            <w:r>
              <w:rPr>
                <w:color w:val="000000"/>
                <w:sz w:val="20"/>
                <w:szCs w:val="20"/>
                <w:lang w:val="en-US"/>
              </w:rPr>
              <w:t>44/44</w:t>
            </w:r>
          </w:p>
        </w:tc>
        <w:tc>
          <w:tcPr>
            <w:tcW w:w="1833" w:type="dxa"/>
            <w:tcBorders>
              <w:top w:val="nil"/>
            </w:tcBorders>
            <w:vAlign w:val="center"/>
          </w:tcPr>
          <w:p w14:paraId="289BCD56" w14:textId="77777777" w:rsidR="00347734" w:rsidRDefault="001F3B15">
            <w:pPr>
              <w:jc w:val="center"/>
              <w:rPr>
                <w:color w:val="000000"/>
                <w:sz w:val="20"/>
                <w:szCs w:val="20"/>
                <w:lang w:val="en-US"/>
              </w:rPr>
            </w:pPr>
            <w:r>
              <w:rPr>
                <w:color w:val="000000"/>
                <w:sz w:val="20"/>
                <w:szCs w:val="20"/>
                <w:lang w:val="en-US"/>
              </w:rPr>
              <w:t>urine, blood,</w:t>
            </w:r>
          </w:p>
          <w:p w14:paraId="7C213794" w14:textId="77777777" w:rsidR="00347734" w:rsidRDefault="001F3B15">
            <w:pPr>
              <w:jc w:val="center"/>
              <w:rPr>
                <w:color w:val="000000"/>
                <w:sz w:val="20"/>
                <w:szCs w:val="20"/>
                <w:lang w:val="en-US"/>
              </w:rPr>
            </w:pPr>
            <w:r>
              <w:rPr>
                <w:color w:val="000000"/>
                <w:sz w:val="20"/>
                <w:szCs w:val="20"/>
                <w:lang w:val="en-US"/>
              </w:rPr>
              <w:t xml:space="preserve">surgical wound exudates, </w:t>
            </w:r>
            <w:r>
              <w:rPr>
                <w:color w:val="000000"/>
                <w:sz w:val="20"/>
                <w:szCs w:val="20"/>
                <w:lang w:val="en-US"/>
              </w:rPr>
              <w:t>catheter tips, tracheal aspirates</w:t>
            </w:r>
          </w:p>
          <w:p w14:paraId="215E12B7" w14:textId="77777777" w:rsidR="00347734" w:rsidRDefault="001F3B15">
            <w:pPr>
              <w:jc w:val="center"/>
              <w:rPr>
                <w:color w:val="000000"/>
                <w:sz w:val="20"/>
                <w:szCs w:val="20"/>
                <w:lang w:val="en-US"/>
              </w:rPr>
            </w:pPr>
            <w:r>
              <w:rPr>
                <w:color w:val="000000"/>
                <w:sz w:val="20"/>
                <w:szCs w:val="20"/>
                <w:lang w:val="en-US"/>
              </w:rPr>
              <w:t>and spinal cerebrospinal fluid samples.</w:t>
            </w:r>
          </w:p>
        </w:tc>
        <w:tc>
          <w:tcPr>
            <w:tcW w:w="1200" w:type="dxa"/>
            <w:tcBorders>
              <w:top w:val="nil"/>
            </w:tcBorders>
            <w:vAlign w:val="center"/>
          </w:tcPr>
          <w:p w14:paraId="3100CA54" w14:textId="77777777" w:rsidR="00347734" w:rsidRDefault="001F3B15">
            <w:pPr>
              <w:jc w:val="center"/>
              <w:rPr>
                <w:iCs/>
                <w:color w:val="000000"/>
                <w:sz w:val="20"/>
                <w:szCs w:val="20"/>
                <w:lang w:val="en-US"/>
              </w:rPr>
            </w:pPr>
            <w:r>
              <w:rPr>
                <w:iCs/>
                <w:color w:val="000000"/>
                <w:sz w:val="20"/>
                <w:szCs w:val="20"/>
                <w:lang w:val="en-US"/>
              </w:rPr>
              <w:t>bla</w:t>
            </w:r>
            <w:r>
              <w:rPr>
                <w:iCs/>
                <w:color w:val="000000"/>
                <w:sz w:val="20"/>
                <w:szCs w:val="20"/>
                <w:vertAlign w:val="subscript"/>
                <w:lang w:val="en-US"/>
              </w:rPr>
              <w:t xml:space="preserve">KPC-2 </w:t>
            </w:r>
            <w:r>
              <w:rPr>
                <w:iCs/>
                <w:color w:val="000000"/>
                <w:sz w:val="20"/>
                <w:szCs w:val="20"/>
                <w:lang w:val="en-US"/>
              </w:rPr>
              <w:t>positive</w:t>
            </w:r>
            <w:r>
              <w:rPr>
                <w:iCs/>
                <w:color w:val="000000"/>
                <w:sz w:val="20"/>
                <w:szCs w:val="20"/>
                <w:lang w:val="en-US"/>
              </w:rPr>
              <w:br/>
              <w:t>(36/44)</w:t>
            </w:r>
          </w:p>
        </w:tc>
        <w:tc>
          <w:tcPr>
            <w:tcW w:w="1734" w:type="dxa"/>
            <w:tcBorders>
              <w:top w:val="nil"/>
            </w:tcBorders>
            <w:vAlign w:val="center"/>
          </w:tcPr>
          <w:p w14:paraId="065EB5D0" w14:textId="77777777" w:rsidR="00347734" w:rsidRDefault="001F3B15">
            <w:pPr>
              <w:jc w:val="center"/>
              <w:rPr>
                <w:color w:val="000000"/>
                <w:sz w:val="20"/>
                <w:szCs w:val="20"/>
                <w:lang w:val="en-US"/>
              </w:rPr>
            </w:pPr>
            <w:r>
              <w:rPr>
                <w:color w:val="000000"/>
                <w:sz w:val="20"/>
                <w:szCs w:val="20"/>
                <w:lang w:val="en-US"/>
              </w:rPr>
              <w:t>PCR</w:t>
            </w:r>
          </w:p>
        </w:tc>
        <w:tc>
          <w:tcPr>
            <w:tcW w:w="828" w:type="dxa"/>
            <w:tcBorders>
              <w:top w:val="nil"/>
            </w:tcBorders>
            <w:vAlign w:val="center"/>
          </w:tcPr>
          <w:p w14:paraId="7A719000" w14:textId="77777777" w:rsidR="00347734" w:rsidRDefault="001F3B15">
            <w:pPr>
              <w:jc w:val="center"/>
              <w:rPr>
                <w:color w:val="000000"/>
                <w:sz w:val="20"/>
                <w:szCs w:val="20"/>
                <w:lang w:val="en-US"/>
              </w:rPr>
            </w:pPr>
            <w:r>
              <w:rPr>
                <w:color w:val="000000"/>
                <w:sz w:val="20"/>
                <w:szCs w:val="20"/>
                <w:lang w:val="en-US"/>
              </w:rPr>
              <w:t>(10/10)</w:t>
            </w:r>
          </w:p>
        </w:tc>
      </w:tr>
      <w:tr w:rsidR="00347734" w14:paraId="7F696AB2" w14:textId="77777777">
        <w:trPr>
          <w:trHeight w:val="936"/>
        </w:trPr>
        <w:tc>
          <w:tcPr>
            <w:tcW w:w="592" w:type="dxa"/>
            <w:tcBorders>
              <w:top w:val="nil"/>
            </w:tcBorders>
            <w:vAlign w:val="center"/>
          </w:tcPr>
          <w:p w14:paraId="46CC1220" w14:textId="77777777" w:rsidR="00347734" w:rsidRDefault="001F3B15">
            <w:pPr>
              <w:jc w:val="center"/>
              <w:rPr>
                <w:color w:val="000000"/>
                <w:sz w:val="20"/>
                <w:szCs w:val="20"/>
                <w:lang w:val="en-US"/>
              </w:rPr>
            </w:pPr>
            <w:r>
              <w:rPr>
                <w:color w:val="000000"/>
                <w:sz w:val="20"/>
                <w:szCs w:val="20"/>
                <w:lang w:val="en-US"/>
              </w:rPr>
              <w:t>5</w:t>
            </w:r>
          </w:p>
        </w:tc>
        <w:tc>
          <w:tcPr>
            <w:tcW w:w="1193" w:type="dxa"/>
            <w:tcBorders>
              <w:top w:val="nil"/>
            </w:tcBorders>
            <w:vAlign w:val="center"/>
          </w:tcPr>
          <w:p w14:paraId="1DE0207B" w14:textId="77777777" w:rsidR="00347734" w:rsidRDefault="001F3B15">
            <w:pPr>
              <w:jc w:val="center"/>
              <w:rPr>
                <w:lang w:val="en-US"/>
              </w:rPr>
            </w:pPr>
            <w:r>
              <w:rPr>
                <w:color w:val="000000"/>
                <w:sz w:val="20"/>
                <w:szCs w:val="20"/>
                <w:lang w:val="en-US"/>
              </w:rPr>
              <w:t xml:space="preserve">Ribeiro </w:t>
            </w:r>
            <w:r>
              <w:rPr>
                <w:i/>
                <w:iCs/>
                <w:color w:val="000000"/>
                <w:sz w:val="20"/>
                <w:szCs w:val="20"/>
                <w:lang w:val="en-US"/>
              </w:rPr>
              <w:t xml:space="preserve">et al. </w:t>
            </w:r>
            <w:r>
              <w:rPr>
                <w:color w:val="000000"/>
                <w:sz w:val="20"/>
                <w:szCs w:val="20"/>
                <w:lang w:val="en-US"/>
              </w:rPr>
              <w:t>2016</w:t>
            </w:r>
          </w:p>
        </w:tc>
        <w:tc>
          <w:tcPr>
            <w:tcW w:w="1641" w:type="dxa"/>
            <w:tcBorders>
              <w:top w:val="nil"/>
            </w:tcBorders>
            <w:vAlign w:val="center"/>
          </w:tcPr>
          <w:p w14:paraId="3A4AD3C5" w14:textId="77777777" w:rsidR="00347734" w:rsidRDefault="001F3B15">
            <w:pPr>
              <w:jc w:val="center"/>
              <w:rPr>
                <w:color w:val="000000"/>
                <w:sz w:val="20"/>
                <w:szCs w:val="20"/>
                <w:lang w:val="en-US"/>
              </w:rPr>
            </w:pPr>
            <w:r>
              <w:rPr>
                <w:color w:val="000000"/>
                <w:sz w:val="20"/>
                <w:szCs w:val="20"/>
                <w:lang w:val="en-US"/>
              </w:rPr>
              <w:t>Retrospective cross-sectional / June 2012 - July 2013</w:t>
            </w:r>
          </w:p>
        </w:tc>
        <w:tc>
          <w:tcPr>
            <w:tcW w:w="1774" w:type="dxa"/>
            <w:tcBorders>
              <w:top w:val="nil"/>
            </w:tcBorders>
            <w:vAlign w:val="center"/>
          </w:tcPr>
          <w:p w14:paraId="63AAF22C" w14:textId="77777777" w:rsidR="00347734" w:rsidRDefault="001F3B15">
            <w:pPr>
              <w:jc w:val="center"/>
              <w:rPr>
                <w:color w:val="000000"/>
                <w:sz w:val="20"/>
                <w:szCs w:val="20"/>
                <w:lang w:val="en-US"/>
              </w:rPr>
            </w:pPr>
            <w:r>
              <w:rPr>
                <w:color w:val="000000"/>
                <w:sz w:val="20"/>
                <w:szCs w:val="20"/>
                <w:lang w:val="en-US"/>
              </w:rPr>
              <w:t>São Luis, Maranhão State / Northeast region</w:t>
            </w:r>
          </w:p>
        </w:tc>
        <w:tc>
          <w:tcPr>
            <w:tcW w:w="1660" w:type="dxa"/>
            <w:tcBorders>
              <w:top w:val="nil"/>
            </w:tcBorders>
            <w:vAlign w:val="center"/>
          </w:tcPr>
          <w:p w14:paraId="3019785F" w14:textId="77777777" w:rsidR="00347734" w:rsidRDefault="001F3B15">
            <w:pPr>
              <w:jc w:val="center"/>
              <w:rPr>
                <w:color w:val="000000"/>
                <w:sz w:val="20"/>
                <w:szCs w:val="20"/>
                <w:lang w:val="en-US"/>
              </w:rPr>
            </w:pPr>
            <w:r>
              <w:rPr>
                <w:color w:val="000000"/>
                <w:sz w:val="20"/>
                <w:szCs w:val="20"/>
                <w:lang w:val="en-US"/>
              </w:rPr>
              <w:t xml:space="preserve">Clinical – Public and </w:t>
            </w:r>
            <w:r>
              <w:rPr>
                <w:color w:val="000000"/>
                <w:sz w:val="20"/>
                <w:szCs w:val="20"/>
                <w:lang w:val="en-US"/>
              </w:rPr>
              <w:t>private hospitals</w:t>
            </w:r>
          </w:p>
        </w:tc>
        <w:tc>
          <w:tcPr>
            <w:tcW w:w="1549" w:type="dxa"/>
            <w:tcBorders>
              <w:top w:val="nil"/>
            </w:tcBorders>
            <w:vAlign w:val="center"/>
          </w:tcPr>
          <w:p w14:paraId="5C2BAE0D" w14:textId="77777777" w:rsidR="00347734" w:rsidRDefault="001F3B15">
            <w:pPr>
              <w:jc w:val="center"/>
              <w:rPr>
                <w:color w:val="000000"/>
                <w:sz w:val="20"/>
                <w:szCs w:val="20"/>
                <w:lang w:val="en-US"/>
              </w:rPr>
            </w:pPr>
            <w:r>
              <w:rPr>
                <w:color w:val="000000"/>
                <w:sz w:val="20"/>
                <w:szCs w:val="20"/>
                <w:lang w:val="en-US"/>
              </w:rPr>
              <w:t>75/75</w:t>
            </w:r>
          </w:p>
        </w:tc>
        <w:tc>
          <w:tcPr>
            <w:tcW w:w="1833" w:type="dxa"/>
            <w:tcBorders>
              <w:top w:val="nil"/>
            </w:tcBorders>
            <w:vAlign w:val="center"/>
          </w:tcPr>
          <w:p w14:paraId="12C104E3" w14:textId="77777777" w:rsidR="00347734" w:rsidRDefault="001F3B15">
            <w:pPr>
              <w:jc w:val="center"/>
              <w:rPr>
                <w:color w:val="000000"/>
                <w:sz w:val="20"/>
                <w:szCs w:val="20"/>
                <w:lang w:val="en-US"/>
              </w:rPr>
            </w:pPr>
            <w:r>
              <w:rPr>
                <w:color w:val="000000"/>
                <w:sz w:val="20"/>
                <w:szCs w:val="20"/>
                <w:lang w:val="en-US"/>
              </w:rPr>
              <w:t xml:space="preserve">Fluid abscess, rectal swab, blood, catheter tip, </w:t>
            </w:r>
            <w:proofErr w:type="spellStart"/>
            <w:r>
              <w:rPr>
                <w:color w:val="000000"/>
                <w:sz w:val="20"/>
                <w:szCs w:val="20"/>
                <w:lang w:val="en-US"/>
              </w:rPr>
              <w:t>drenage</w:t>
            </w:r>
            <w:proofErr w:type="spellEnd"/>
            <w:r>
              <w:rPr>
                <w:color w:val="000000"/>
                <w:sz w:val="20"/>
                <w:szCs w:val="20"/>
                <w:lang w:val="en-US"/>
              </w:rPr>
              <w:t xml:space="preserve"> secretion, nasal swab, surgical wound, tracheal secretion and urine</w:t>
            </w:r>
          </w:p>
        </w:tc>
        <w:tc>
          <w:tcPr>
            <w:tcW w:w="1200" w:type="dxa"/>
            <w:tcBorders>
              <w:top w:val="nil"/>
            </w:tcBorders>
            <w:vAlign w:val="center"/>
          </w:tcPr>
          <w:p w14:paraId="11E53BFA"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(60/75)</w:t>
            </w:r>
          </w:p>
        </w:tc>
        <w:tc>
          <w:tcPr>
            <w:tcW w:w="1734" w:type="dxa"/>
            <w:tcBorders>
              <w:top w:val="nil"/>
            </w:tcBorders>
            <w:vAlign w:val="center"/>
          </w:tcPr>
          <w:p w14:paraId="223AB28D" w14:textId="77777777" w:rsidR="00347734" w:rsidRDefault="001F3B15">
            <w:pPr>
              <w:jc w:val="center"/>
              <w:rPr>
                <w:color w:val="000000"/>
                <w:sz w:val="20"/>
                <w:szCs w:val="20"/>
                <w:lang w:val="en-US"/>
              </w:rPr>
            </w:pPr>
            <w:r>
              <w:rPr>
                <w:color w:val="000000"/>
                <w:sz w:val="20"/>
                <w:szCs w:val="20"/>
                <w:lang w:val="en-US"/>
              </w:rPr>
              <w:t>PCR</w:t>
            </w:r>
          </w:p>
        </w:tc>
        <w:tc>
          <w:tcPr>
            <w:tcW w:w="828" w:type="dxa"/>
            <w:tcBorders>
              <w:top w:val="nil"/>
            </w:tcBorders>
            <w:vAlign w:val="center"/>
          </w:tcPr>
          <w:p w14:paraId="40E07EB3" w14:textId="77777777" w:rsidR="00347734" w:rsidRDefault="001F3B15">
            <w:pPr>
              <w:jc w:val="center"/>
              <w:rPr>
                <w:color w:val="000000"/>
                <w:sz w:val="20"/>
                <w:szCs w:val="20"/>
                <w:lang w:val="en-US"/>
              </w:rPr>
            </w:pPr>
            <w:r>
              <w:rPr>
                <w:color w:val="000000"/>
                <w:sz w:val="20"/>
                <w:szCs w:val="20"/>
                <w:lang w:val="en-US"/>
              </w:rPr>
              <w:t>(8/8)</w:t>
            </w:r>
          </w:p>
        </w:tc>
      </w:tr>
      <w:tr w:rsidR="00347734" w14:paraId="66C3F852" w14:textId="77777777">
        <w:trPr>
          <w:trHeight w:val="936"/>
        </w:trPr>
        <w:tc>
          <w:tcPr>
            <w:tcW w:w="592" w:type="dxa"/>
            <w:vAlign w:val="center"/>
          </w:tcPr>
          <w:p w14:paraId="0A2F2E6C" w14:textId="77777777" w:rsidR="00347734" w:rsidRDefault="001F3B15">
            <w:pPr>
              <w:jc w:val="center"/>
              <w:rPr>
                <w:color w:val="000000"/>
                <w:sz w:val="20"/>
                <w:szCs w:val="20"/>
                <w:lang w:val="en-US"/>
              </w:rPr>
            </w:pPr>
            <w:r>
              <w:rPr>
                <w:color w:val="000000"/>
                <w:sz w:val="20"/>
                <w:szCs w:val="20"/>
                <w:lang w:val="en-US"/>
              </w:rPr>
              <w:lastRenderedPageBreak/>
              <w:t>6</w:t>
            </w:r>
          </w:p>
        </w:tc>
        <w:tc>
          <w:tcPr>
            <w:tcW w:w="1193" w:type="dxa"/>
            <w:vAlign w:val="center"/>
          </w:tcPr>
          <w:p w14:paraId="4F148D2C" w14:textId="77777777" w:rsidR="00347734" w:rsidRDefault="001F3B15">
            <w:pPr>
              <w:jc w:val="center"/>
              <w:rPr>
                <w:lang w:val="en-US"/>
              </w:rPr>
            </w:pPr>
            <w:r>
              <w:rPr>
                <w:color w:val="000000"/>
                <w:sz w:val="20"/>
                <w:szCs w:val="20"/>
                <w:lang w:val="en-US"/>
              </w:rPr>
              <w:t xml:space="preserve">Pereira </w:t>
            </w:r>
            <w:r>
              <w:rPr>
                <w:i/>
                <w:iCs/>
                <w:color w:val="000000"/>
                <w:sz w:val="20"/>
                <w:szCs w:val="20"/>
                <w:lang w:val="en-US"/>
              </w:rPr>
              <w:t>et al.,</w:t>
            </w:r>
            <w:r>
              <w:rPr>
                <w:color w:val="000000"/>
                <w:sz w:val="20"/>
                <w:szCs w:val="20"/>
                <w:lang w:val="en-US"/>
              </w:rPr>
              <w:t xml:space="preserve"> 2016</w:t>
            </w:r>
          </w:p>
        </w:tc>
        <w:tc>
          <w:tcPr>
            <w:tcW w:w="1641" w:type="dxa"/>
            <w:vAlign w:val="center"/>
          </w:tcPr>
          <w:p w14:paraId="6278A3B4" w14:textId="77777777" w:rsidR="00347734" w:rsidRDefault="001F3B15">
            <w:pPr>
              <w:jc w:val="center"/>
              <w:rPr>
                <w:color w:val="000000"/>
                <w:sz w:val="20"/>
                <w:szCs w:val="20"/>
                <w:lang w:val="en-US"/>
              </w:rPr>
            </w:pPr>
            <w:r>
              <w:rPr>
                <w:color w:val="000000"/>
                <w:sz w:val="20"/>
                <w:szCs w:val="20"/>
                <w:lang w:val="en-US"/>
              </w:rPr>
              <w:t xml:space="preserve">Retrospective cross-sectional / January – </w:t>
            </w:r>
            <w:r>
              <w:rPr>
                <w:color w:val="000000"/>
                <w:sz w:val="20"/>
                <w:szCs w:val="20"/>
                <w:lang w:val="en-US"/>
              </w:rPr>
              <w:t>December 2012</w:t>
            </w:r>
          </w:p>
          <w:p w14:paraId="492D1E9C" w14:textId="77777777" w:rsidR="00347734" w:rsidRDefault="00347734">
            <w:pPr>
              <w:jc w:val="center"/>
              <w:rPr>
                <w:color w:val="000000"/>
                <w:sz w:val="20"/>
                <w:szCs w:val="20"/>
                <w:lang w:val="en-US"/>
              </w:rPr>
            </w:pPr>
          </w:p>
        </w:tc>
        <w:tc>
          <w:tcPr>
            <w:tcW w:w="1774" w:type="dxa"/>
            <w:vAlign w:val="center"/>
          </w:tcPr>
          <w:p w14:paraId="62FC27ED" w14:textId="77777777" w:rsidR="00347734" w:rsidRDefault="001F3B15">
            <w:pPr>
              <w:jc w:val="center"/>
              <w:rPr>
                <w:color w:val="000000"/>
                <w:sz w:val="20"/>
                <w:szCs w:val="20"/>
                <w:lang w:val="en-US"/>
              </w:rPr>
            </w:pPr>
            <w:r>
              <w:rPr>
                <w:color w:val="000000"/>
                <w:sz w:val="20"/>
                <w:szCs w:val="20"/>
                <w:lang w:val="en-US"/>
              </w:rPr>
              <w:t>Juiz de Fora, Minas Gerais State / Southeast region</w:t>
            </w:r>
          </w:p>
        </w:tc>
        <w:tc>
          <w:tcPr>
            <w:tcW w:w="1660" w:type="dxa"/>
            <w:vAlign w:val="center"/>
          </w:tcPr>
          <w:p w14:paraId="7E94A674" w14:textId="77777777" w:rsidR="00347734" w:rsidRDefault="001F3B15">
            <w:pPr>
              <w:jc w:val="center"/>
              <w:rPr>
                <w:color w:val="000000"/>
                <w:sz w:val="20"/>
                <w:szCs w:val="20"/>
                <w:lang w:val="en-US"/>
              </w:rPr>
            </w:pPr>
            <w:r>
              <w:rPr>
                <w:color w:val="000000"/>
                <w:sz w:val="20"/>
                <w:szCs w:val="20"/>
                <w:lang w:val="en-US"/>
              </w:rPr>
              <w:t>Clinical –one tertiary care hospital</w:t>
            </w:r>
          </w:p>
        </w:tc>
        <w:tc>
          <w:tcPr>
            <w:tcW w:w="1549" w:type="dxa"/>
            <w:vAlign w:val="center"/>
          </w:tcPr>
          <w:p w14:paraId="27C2BDE8" w14:textId="77777777" w:rsidR="00347734" w:rsidRDefault="001F3B15">
            <w:pPr>
              <w:jc w:val="center"/>
              <w:rPr>
                <w:color w:val="000000"/>
                <w:sz w:val="20"/>
                <w:szCs w:val="20"/>
                <w:lang w:val="en-US"/>
              </w:rPr>
            </w:pPr>
            <w:r>
              <w:rPr>
                <w:color w:val="000000"/>
                <w:sz w:val="20"/>
                <w:szCs w:val="20"/>
                <w:lang w:val="en-US"/>
              </w:rPr>
              <w:t>21/1.076</w:t>
            </w:r>
          </w:p>
        </w:tc>
        <w:tc>
          <w:tcPr>
            <w:tcW w:w="1833" w:type="dxa"/>
            <w:vAlign w:val="center"/>
          </w:tcPr>
          <w:p w14:paraId="74FC3A3B" w14:textId="77777777" w:rsidR="00347734" w:rsidRDefault="001F3B15">
            <w:pPr>
              <w:jc w:val="center"/>
              <w:rPr>
                <w:color w:val="000000"/>
                <w:sz w:val="20"/>
                <w:szCs w:val="20"/>
                <w:lang w:val="en-US"/>
              </w:rPr>
            </w:pPr>
            <w:r>
              <w:rPr>
                <w:color w:val="000000"/>
                <w:sz w:val="20"/>
                <w:szCs w:val="20"/>
                <w:lang w:val="en-US"/>
              </w:rPr>
              <w:t>Urine, blood, tracheal secretion, bronchoalveolar lavage, and catheter tip</w:t>
            </w:r>
          </w:p>
        </w:tc>
        <w:tc>
          <w:tcPr>
            <w:tcW w:w="1200" w:type="dxa"/>
            <w:vAlign w:val="center"/>
          </w:tcPr>
          <w:p w14:paraId="0B52D82E"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(20/21)</w:t>
            </w:r>
          </w:p>
        </w:tc>
        <w:tc>
          <w:tcPr>
            <w:tcW w:w="1734" w:type="dxa"/>
            <w:vAlign w:val="center"/>
          </w:tcPr>
          <w:p w14:paraId="043C222C"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11F7B413" w14:textId="77777777" w:rsidR="00347734" w:rsidRDefault="001F3B15">
            <w:pPr>
              <w:jc w:val="center"/>
              <w:rPr>
                <w:color w:val="000000"/>
                <w:sz w:val="20"/>
                <w:szCs w:val="20"/>
                <w:lang w:val="en-US"/>
              </w:rPr>
            </w:pPr>
            <w:r>
              <w:rPr>
                <w:color w:val="000000"/>
                <w:sz w:val="20"/>
                <w:szCs w:val="20"/>
                <w:lang w:val="en-US"/>
              </w:rPr>
              <w:t>(8/8)</w:t>
            </w:r>
          </w:p>
        </w:tc>
      </w:tr>
      <w:tr w:rsidR="00347734" w14:paraId="148F4CF5" w14:textId="77777777">
        <w:trPr>
          <w:trHeight w:val="936"/>
        </w:trPr>
        <w:tc>
          <w:tcPr>
            <w:tcW w:w="592" w:type="dxa"/>
            <w:vAlign w:val="center"/>
          </w:tcPr>
          <w:p w14:paraId="071A3D35" w14:textId="77777777" w:rsidR="00347734" w:rsidRDefault="001F3B15">
            <w:pPr>
              <w:jc w:val="center"/>
              <w:rPr>
                <w:color w:val="000000"/>
                <w:sz w:val="20"/>
                <w:szCs w:val="20"/>
                <w:lang w:val="en-US"/>
              </w:rPr>
            </w:pPr>
            <w:r>
              <w:rPr>
                <w:color w:val="000000"/>
                <w:sz w:val="20"/>
                <w:szCs w:val="20"/>
                <w:lang w:val="en-US"/>
              </w:rPr>
              <w:t>7</w:t>
            </w:r>
          </w:p>
        </w:tc>
        <w:tc>
          <w:tcPr>
            <w:tcW w:w="1193" w:type="dxa"/>
            <w:vAlign w:val="center"/>
          </w:tcPr>
          <w:p w14:paraId="14AABE72" w14:textId="77777777" w:rsidR="00347734" w:rsidRDefault="001F3B15">
            <w:pPr>
              <w:jc w:val="center"/>
              <w:rPr>
                <w:lang w:val="en-US"/>
              </w:rPr>
            </w:pPr>
            <w:r>
              <w:rPr>
                <w:color w:val="000000"/>
                <w:sz w:val="20"/>
                <w:szCs w:val="20"/>
                <w:lang w:val="en-US"/>
              </w:rPr>
              <w:t xml:space="preserve">Aires </w:t>
            </w:r>
            <w:r>
              <w:rPr>
                <w:i/>
                <w:iCs/>
                <w:color w:val="000000"/>
                <w:sz w:val="20"/>
                <w:szCs w:val="20"/>
                <w:lang w:val="en-US"/>
              </w:rPr>
              <w:t xml:space="preserve">et al., </w:t>
            </w:r>
            <w:r>
              <w:rPr>
                <w:color w:val="000000"/>
                <w:sz w:val="20"/>
                <w:szCs w:val="20"/>
                <w:lang w:val="en-US"/>
              </w:rPr>
              <w:t>2017</w:t>
            </w:r>
          </w:p>
        </w:tc>
        <w:tc>
          <w:tcPr>
            <w:tcW w:w="1641" w:type="dxa"/>
            <w:vAlign w:val="center"/>
          </w:tcPr>
          <w:p w14:paraId="7558EAFC" w14:textId="77777777" w:rsidR="00347734" w:rsidRDefault="001F3B15">
            <w:pPr>
              <w:jc w:val="center"/>
              <w:rPr>
                <w:color w:val="000000"/>
                <w:sz w:val="20"/>
                <w:szCs w:val="20"/>
                <w:lang w:val="en-US"/>
              </w:rPr>
            </w:pPr>
            <w:r>
              <w:rPr>
                <w:color w:val="000000"/>
                <w:sz w:val="20"/>
                <w:szCs w:val="20"/>
                <w:lang w:val="en-US"/>
              </w:rPr>
              <w:t>Retrospective cross-sectional / July 2013 – November 2014</w:t>
            </w:r>
          </w:p>
        </w:tc>
        <w:tc>
          <w:tcPr>
            <w:tcW w:w="1774" w:type="dxa"/>
            <w:vAlign w:val="center"/>
          </w:tcPr>
          <w:p w14:paraId="6F3BC200" w14:textId="77777777" w:rsidR="00347734" w:rsidRDefault="001F3B15">
            <w:pPr>
              <w:jc w:val="center"/>
              <w:rPr>
                <w:color w:val="000000"/>
                <w:sz w:val="20"/>
                <w:szCs w:val="20"/>
                <w:lang w:val="en-US"/>
              </w:rPr>
            </w:pPr>
            <w:r>
              <w:rPr>
                <w:color w:val="000000"/>
                <w:sz w:val="20"/>
                <w:szCs w:val="20"/>
                <w:lang w:val="en-US"/>
              </w:rPr>
              <w:t xml:space="preserve">Rio de Janeiro, </w:t>
            </w:r>
            <w:proofErr w:type="spellStart"/>
            <w:r>
              <w:rPr>
                <w:color w:val="000000"/>
                <w:sz w:val="20"/>
                <w:szCs w:val="20"/>
                <w:lang w:val="en-US"/>
              </w:rPr>
              <w:t>Niterói</w:t>
            </w:r>
            <w:proofErr w:type="spellEnd"/>
            <w:r>
              <w:rPr>
                <w:color w:val="000000"/>
                <w:sz w:val="20"/>
                <w:szCs w:val="20"/>
                <w:lang w:val="en-US"/>
              </w:rPr>
              <w:t xml:space="preserve">, Campos dos </w:t>
            </w:r>
            <w:proofErr w:type="spellStart"/>
            <w:r>
              <w:rPr>
                <w:color w:val="000000"/>
                <w:sz w:val="20"/>
                <w:szCs w:val="20"/>
                <w:lang w:val="en-US"/>
              </w:rPr>
              <w:t>Goytacazes</w:t>
            </w:r>
            <w:proofErr w:type="spellEnd"/>
            <w:r>
              <w:rPr>
                <w:color w:val="000000"/>
                <w:sz w:val="20"/>
                <w:szCs w:val="20"/>
                <w:lang w:val="en-US"/>
              </w:rPr>
              <w:t xml:space="preserve"> Rio de Janeiro State / Southeast region</w:t>
            </w:r>
          </w:p>
        </w:tc>
        <w:tc>
          <w:tcPr>
            <w:tcW w:w="1660" w:type="dxa"/>
            <w:vAlign w:val="center"/>
          </w:tcPr>
          <w:p w14:paraId="628E6EF6" w14:textId="77777777" w:rsidR="00347734" w:rsidRDefault="001F3B15">
            <w:pPr>
              <w:jc w:val="center"/>
              <w:rPr>
                <w:color w:val="000000"/>
                <w:sz w:val="20"/>
                <w:szCs w:val="20"/>
                <w:lang w:val="en-US"/>
              </w:rPr>
            </w:pPr>
            <w:r>
              <w:rPr>
                <w:color w:val="000000"/>
                <w:sz w:val="20"/>
                <w:szCs w:val="20"/>
                <w:lang w:val="en-US"/>
              </w:rPr>
              <w:t>Clinical / Eight healthcare institutions</w:t>
            </w:r>
          </w:p>
        </w:tc>
        <w:tc>
          <w:tcPr>
            <w:tcW w:w="1549" w:type="dxa"/>
            <w:vAlign w:val="center"/>
          </w:tcPr>
          <w:p w14:paraId="0D43C20A" w14:textId="77777777" w:rsidR="00347734" w:rsidRDefault="001F3B15">
            <w:pPr>
              <w:jc w:val="center"/>
              <w:rPr>
                <w:color w:val="000000"/>
                <w:sz w:val="20"/>
                <w:szCs w:val="20"/>
                <w:lang w:val="en-US"/>
              </w:rPr>
            </w:pPr>
            <w:r>
              <w:rPr>
                <w:color w:val="000000"/>
                <w:sz w:val="20"/>
                <w:szCs w:val="20"/>
                <w:lang w:val="en-US"/>
              </w:rPr>
              <w:t>16/16</w:t>
            </w:r>
          </w:p>
        </w:tc>
        <w:tc>
          <w:tcPr>
            <w:tcW w:w="1833" w:type="dxa"/>
            <w:vAlign w:val="center"/>
          </w:tcPr>
          <w:p w14:paraId="7B77B7F8" w14:textId="77777777" w:rsidR="00347734" w:rsidRDefault="001F3B15">
            <w:pPr>
              <w:jc w:val="center"/>
              <w:rPr>
                <w:color w:val="000000"/>
                <w:sz w:val="20"/>
                <w:szCs w:val="20"/>
                <w:lang w:val="en-US"/>
              </w:rPr>
            </w:pPr>
            <w:r>
              <w:rPr>
                <w:color w:val="000000"/>
                <w:sz w:val="20"/>
                <w:szCs w:val="20"/>
                <w:lang w:val="en-US"/>
              </w:rPr>
              <w:t>Rectal swabs, urine, blood, catheter tip and CSF</w:t>
            </w:r>
          </w:p>
        </w:tc>
        <w:tc>
          <w:tcPr>
            <w:tcW w:w="1200" w:type="dxa"/>
            <w:vAlign w:val="center"/>
          </w:tcPr>
          <w:p w14:paraId="3AD9AA18" w14:textId="77777777" w:rsidR="00347734" w:rsidRDefault="001F3B15">
            <w:pPr>
              <w:jc w:val="center"/>
              <w:rPr>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w:t>
            </w:r>
            <w:r>
              <w:rPr>
                <w:color w:val="000000"/>
                <w:sz w:val="20"/>
                <w:szCs w:val="20"/>
                <w:lang w:val="en-US"/>
              </w:rPr>
              <w:t xml:space="preserve"> (2/16)</w:t>
            </w:r>
          </w:p>
        </w:tc>
        <w:tc>
          <w:tcPr>
            <w:tcW w:w="1734" w:type="dxa"/>
            <w:vAlign w:val="center"/>
          </w:tcPr>
          <w:p w14:paraId="4B5F1E14"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1B11CA6C" w14:textId="77777777" w:rsidR="00347734" w:rsidRDefault="001F3B15">
            <w:pPr>
              <w:jc w:val="center"/>
              <w:rPr>
                <w:color w:val="000000"/>
                <w:sz w:val="20"/>
                <w:szCs w:val="20"/>
                <w:lang w:val="en-US"/>
              </w:rPr>
            </w:pPr>
            <w:r>
              <w:rPr>
                <w:color w:val="000000"/>
                <w:sz w:val="20"/>
                <w:szCs w:val="20"/>
                <w:lang w:val="en-US"/>
              </w:rPr>
              <w:t>(8/8)</w:t>
            </w:r>
          </w:p>
        </w:tc>
      </w:tr>
      <w:tr w:rsidR="00347734" w14:paraId="6DDDAE66" w14:textId="77777777">
        <w:trPr>
          <w:trHeight w:val="936"/>
        </w:trPr>
        <w:tc>
          <w:tcPr>
            <w:tcW w:w="592" w:type="dxa"/>
            <w:vAlign w:val="center"/>
          </w:tcPr>
          <w:p w14:paraId="5887FD90" w14:textId="77777777" w:rsidR="00347734" w:rsidRDefault="001F3B15">
            <w:pPr>
              <w:jc w:val="center"/>
              <w:rPr>
                <w:color w:val="000000"/>
                <w:sz w:val="20"/>
                <w:szCs w:val="20"/>
                <w:lang w:val="en-US"/>
              </w:rPr>
            </w:pPr>
            <w:r>
              <w:rPr>
                <w:color w:val="000000"/>
                <w:sz w:val="20"/>
                <w:szCs w:val="20"/>
                <w:lang w:val="en-US"/>
              </w:rPr>
              <w:t>8</w:t>
            </w:r>
          </w:p>
        </w:tc>
        <w:tc>
          <w:tcPr>
            <w:tcW w:w="1193" w:type="dxa"/>
            <w:vAlign w:val="center"/>
          </w:tcPr>
          <w:p w14:paraId="74175DBE" w14:textId="77777777" w:rsidR="00347734" w:rsidRDefault="001F3B15">
            <w:pPr>
              <w:jc w:val="center"/>
              <w:rPr>
                <w:lang w:val="en-US"/>
              </w:rPr>
            </w:pPr>
            <w:r>
              <w:rPr>
                <w:color w:val="000000"/>
                <w:sz w:val="20"/>
                <w:szCs w:val="20"/>
                <w:lang w:val="en-US"/>
              </w:rPr>
              <w:t xml:space="preserve">Vivian </w:t>
            </w:r>
            <w:r>
              <w:rPr>
                <w:i/>
                <w:iCs/>
                <w:color w:val="000000"/>
                <w:sz w:val="20"/>
                <w:szCs w:val="20"/>
                <w:lang w:val="en-US"/>
              </w:rPr>
              <w:t xml:space="preserve">et al. </w:t>
            </w:r>
            <w:r>
              <w:rPr>
                <w:color w:val="000000"/>
                <w:sz w:val="20"/>
                <w:szCs w:val="20"/>
                <w:lang w:val="en-US"/>
              </w:rPr>
              <w:t>2017</w:t>
            </w:r>
          </w:p>
        </w:tc>
        <w:tc>
          <w:tcPr>
            <w:tcW w:w="1641" w:type="dxa"/>
            <w:vAlign w:val="center"/>
          </w:tcPr>
          <w:p w14:paraId="3F743976" w14:textId="77777777" w:rsidR="00347734" w:rsidRDefault="001F3B15">
            <w:pPr>
              <w:jc w:val="center"/>
              <w:rPr>
                <w:color w:val="000000"/>
                <w:sz w:val="20"/>
                <w:szCs w:val="20"/>
                <w:lang w:val="en-US"/>
              </w:rPr>
            </w:pPr>
            <w:r>
              <w:rPr>
                <w:color w:val="000000"/>
                <w:sz w:val="20"/>
                <w:szCs w:val="20"/>
                <w:lang w:val="en-US"/>
              </w:rPr>
              <w:t>Retrospective cross-sectional / July 2009 - 2010</w:t>
            </w:r>
          </w:p>
        </w:tc>
        <w:tc>
          <w:tcPr>
            <w:tcW w:w="1774" w:type="dxa"/>
            <w:vAlign w:val="center"/>
          </w:tcPr>
          <w:p w14:paraId="68CD2C05" w14:textId="77777777" w:rsidR="00347734" w:rsidRDefault="001F3B15">
            <w:pPr>
              <w:jc w:val="center"/>
              <w:rPr>
                <w:color w:val="000000"/>
                <w:sz w:val="20"/>
                <w:szCs w:val="20"/>
                <w:lang w:val="en-US"/>
              </w:rPr>
            </w:pPr>
            <w:r>
              <w:rPr>
                <w:color w:val="000000"/>
                <w:sz w:val="20"/>
                <w:szCs w:val="20"/>
                <w:lang w:val="en-US"/>
              </w:rPr>
              <w:t>Londrina, Paraná State, South region</w:t>
            </w:r>
          </w:p>
        </w:tc>
        <w:tc>
          <w:tcPr>
            <w:tcW w:w="1660" w:type="dxa"/>
            <w:vAlign w:val="center"/>
          </w:tcPr>
          <w:p w14:paraId="221EB8F3" w14:textId="77777777" w:rsidR="00347734" w:rsidRDefault="001F3B15">
            <w:pPr>
              <w:jc w:val="center"/>
              <w:rPr>
                <w:color w:val="000000"/>
                <w:sz w:val="20"/>
                <w:szCs w:val="20"/>
                <w:lang w:val="en-US"/>
              </w:rPr>
            </w:pPr>
            <w:r>
              <w:rPr>
                <w:color w:val="000000"/>
                <w:sz w:val="20"/>
                <w:szCs w:val="20"/>
                <w:lang w:val="en-US"/>
              </w:rPr>
              <w:t>Clinical / Hospital microbiology laboratory</w:t>
            </w:r>
          </w:p>
        </w:tc>
        <w:tc>
          <w:tcPr>
            <w:tcW w:w="1549" w:type="dxa"/>
            <w:vAlign w:val="center"/>
          </w:tcPr>
          <w:p w14:paraId="0FAA02CB" w14:textId="77777777" w:rsidR="00347734" w:rsidRDefault="001F3B15">
            <w:pPr>
              <w:jc w:val="center"/>
              <w:rPr>
                <w:color w:val="000000"/>
                <w:sz w:val="20"/>
                <w:szCs w:val="20"/>
                <w:lang w:val="en-US"/>
              </w:rPr>
            </w:pPr>
            <w:r>
              <w:rPr>
                <w:color w:val="000000"/>
                <w:sz w:val="20"/>
                <w:szCs w:val="20"/>
                <w:lang w:val="en-US"/>
              </w:rPr>
              <w:t>54/325</w:t>
            </w:r>
          </w:p>
        </w:tc>
        <w:tc>
          <w:tcPr>
            <w:tcW w:w="1833" w:type="dxa"/>
            <w:vAlign w:val="center"/>
          </w:tcPr>
          <w:p w14:paraId="0839E849" w14:textId="77777777" w:rsidR="00347734" w:rsidRDefault="001F3B15">
            <w:pPr>
              <w:jc w:val="center"/>
              <w:rPr>
                <w:color w:val="000000"/>
                <w:sz w:val="20"/>
                <w:szCs w:val="20"/>
                <w:lang w:val="en-US"/>
              </w:rPr>
            </w:pPr>
            <w:r>
              <w:rPr>
                <w:color w:val="000000"/>
                <w:sz w:val="20"/>
                <w:szCs w:val="20"/>
                <w:lang w:val="en-US"/>
              </w:rPr>
              <w:t xml:space="preserve">Urinary tract, </w:t>
            </w:r>
            <w:proofErr w:type="gramStart"/>
            <w:r>
              <w:rPr>
                <w:color w:val="000000"/>
                <w:sz w:val="20"/>
                <w:szCs w:val="20"/>
                <w:lang w:val="en-US"/>
              </w:rPr>
              <w:t>lower  respiratory</w:t>
            </w:r>
            <w:proofErr w:type="gramEnd"/>
            <w:r>
              <w:rPr>
                <w:color w:val="000000"/>
                <w:sz w:val="20"/>
                <w:szCs w:val="20"/>
                <w:lang w:val="en-US"/>
              </w:rPr>
              <w:t xml:space="preserve"> tract, bloodstream and central venous catheter, skin and  soft  tissue   and  abdomen  or  peritoneum</w:t>
            </w:r>
          </w:p>
        </w:tc>
        <w:tc>
          <w:tcPr>
            <w:tcW w:w="1200" w:type="dxa"/>
            <w:vAlign w:val="center"/>
          </w:tcPr>
          <w:p w14:paraId="3090F763"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(54/54)</w:t>
            </w:r>
          </w:p>
        </w:tc>
        <w:tc>
          <w:tcPr>
            <w:tcW w:w="1734" w:type="dxa"/>
            <w:vAlign w:val="center"/>
          </w:tcPr>
          <w:p w14:paraId="446F53A7"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7DE8FA77" w14:textId="77777777" w:rsidR="00347734" w:rsidRDefault="001F3B15">
            <w:pPr>
              <w:jc w:val="center"/>
              <w:rPr>
                <w:color w:val="000000"/>
                <w:sz w:val="20"/>
                <w:szCs w:val="20"/>
                <w:highlight w:val="yellow"/>
                <w:lang w:val="en-US"/>
              </w:rPr>
            </w:pPr>
            <w:r>
              <w:rPr>
                <w:color w:val="000000"/>
                <w:sz w:val="20"/>
                <w:szCs w:val="20"/>
                <w:lang w:val="en-US"/>
              </w:rPr>
              <w:t>(6/8)</w:t>
            </w:r>
          </w:p>
        </w:tc>
      </w:tr>
      <w:tr w:rsidR="00347734" w14:paraId="175ED02D" w14:textId="77777777">
        <w:trPr>
          <w:trHeight w:val="936"/>
        </w:trPr>
        <w:tc>
          <w:tcPr>
            <w:tcW w:w="592" w:type="dxa"/>
            <w:vAlign w:val="center"/>
          </w:tcPr>
          <w:p w14:paraId="6C7872F7" w14:textId="77777777" w:rsidR="00347734" w:rsidRDefault="001F3B15">
            <w:pPr>
              <w:jc w:val="center"/>
              <w:rPr>
                <w:color w:val="000000"/>
                <w:sz w:val="20"/>
                <w:szCs w:val="20"/>
                <w:lang w:val="en-US"/>
              </w:rPr>
            </w:pPr>
            <w:r>
              <w:rPr>
                <w:color w:val="000000"/>
                <w:sz w:val="20"/>
                <w:szCs w:val="20"/>
                <w:lang w:val="en-US"/>
              </w:rPr>
              <w:t>9</w:t>
            </w:r>
          </w:p>
        </w:tc>
        <w:tc>
          <w:tcPr>
            <w:tcW w:w="1193" w:type="dxa"/>
            <w:vAlign w:val="center"/>
          </w:tcPr>
          <w:p w14:paraId="63DF6DEE" w14:textId="77777777" w:rsidR="00347734" w:rsidRDefault="001F3B15">
            <w:pPr>
              <w:jc w:val="center"/>
              <w:rPr>
                <w:lang w:val="en-US"/>
              </w:rPr>
            </w:pPr>
            <w:r>
              <w:rPr>
                <w:color w:val="000000"/>
                <w:sz w:val="20"/>
                <w:szCs w:val="20"/>
                <w:lang w:val="en-US"/>
              </w:rPr>
              <w:t xml:space="preserve">Leite </w:t>
            </w:r>
            <w:r>
              <w:rPr>
                <w:i/>
                <w:iCs/>
                <w:color w:val="000000"/>
                <w:sz w:val="20"/>
                <w:szCs w:val="20"/>
                <w:lang w:val="en-US"/>
              </w:rPr>
              <w:t xml:space="preserve">et al. </w:t>
            </w:r>
            <w:r>
              <w:rPr>
                <w:color w:val="000000"/>
                <w:sz w:val="20"/>
                <w:szCs w:val="20"/>
                <w:lang w:val="en-US"/>
              </w:rPr>
              <w:t>2017</w:t>
            </w:r>
          </w:p>
        </w:tc>
        <w:tc>
          <w:tcPr>
            <w:tcW w:w="1641" w:type="dxa"/>
            <w:vAlign w:val="center"/>
          </w:tcPr>
          <w:p w14:paraId="0D893B93" w14:textId="77777777" w:rsidR="00347734" w:rsidRDefault="001F3B15">
            <w:pPr>
              <w:jc w:val="center"/>
              <w:rPr>
                <w:color w:val="000000"/>
                <w:sz w:val="20"/>
                <w:szCs w:val="20"/>
                <w:lang w:val="en-US"/>
              </w:rPr>
            </w:pPr>
            <w:r>
              <w:rPr>
                <w:color w:val="000000"/>
                <w:sz w:val="20"/>
                <w:szCs w:val="20"/>
                <w:lang w:val="en-US"/>
              </w:rPr>
              <w:t>Retrospective cross-sectional / 2012 - 2013</w:t>
            </w:r>
          </w:p>
        </w:tc>
        <w:tc>
          <w:tcPr>
            <w:tcW w:w="1774" w:type="dxa"/>
            <w:vAlign w:val="center"/>
          </w:tcPr>
          <w:p w14:paraId="64BF3065" w14:textId="77777777" w:rsidR="00347734" w:rsidRDefault="001F3B15">
            <w:pPr>
              <w:jc w:val="center"/>
              <w:rPr>
                <w:color w:val="000000"/>
                <w:sz w:val="20"/>
                <w:szCs w:val="20"/>
                <w:lang w:val="en-US"/>
              </w:rPr>
            </w:pPr>
            <w:r>
              <w:rPr>
                <w:color w:val="000000"/>
                <w:sz w:val="20"/>
                <w:szCs w:val="20"/>
                <w:lang w:val="en-US"/>
              </w:rPr>
              <w:t>Maringa, Paraná State, South region</w:t>
            </w:r>
          </w:p>
        </w:tc>
        <w:tc>
          <w:tcPr>
            <w:tcW w:w="1660" w:type="dxa"/>
            <w:vAlign w:val="center"/>
          </w:tcPr>
          <w:p w14:paraId="15B08329" w14:textId="77777777" w:rsidR="00347734" w:rsidRDefault="001F3B15">
            <w:pPr>
              <w:jc w:val="center"/>
              <w:rPr>
                <w:color w:val="000000"/>
                <w:sz w:val="20"/>
                <w:szCs w:val="20"/>
                <w:lang w:val="en-US"/>
              </w:rPr>
            </w:pPr>
            <w:r>
              <w:rPr>
                <w:color w:val="000000"/>
                <w:sz w:val="20"/>
                <w:szCs w:val="20"/>
                <w:lang w:val="en-US"/>
              </w:rPr>
              <w:t xml:space="preserve">Clinical – Single </w:t>
            </w:r>
            <w:r>
              <w:rPr>
                <w:color w:val="000000"/>
                <w:sz w:val="20"/>
                <w:szCs w:val="20"/>
                <w:lang w:val="en-US"/>
              </w:rPr>
              <w:t>hospital</w:t>
            </w:r>
          </w:p>
        </w:tc>
        <w:tc>
          <w:tcPr>
            <w:tcW w:w="1549" w:type="dxa"/>
            <w:vAlign w:val="center"/>
          </w:tcPr>
          <w:p w14:paraId="2FA48806" w14:textId="77777777" w:rsidR="00347734" w:rsidRDefault="001F3B15">
            <w:pPr>
              <w:jc w:val="center"/>
              <w:rPr>
                <w:color w:val="000000"/>
                <w:sz w:val="20"/>
                <w:szCs w:val="20"/>
                <w:lang w:val="en-US"/>
              </w:rPr>
            </w:pPr>
            <w:r>
              <w:rPr>
                <w:color w:val="000000"/>
                <w:sz w:val="20"/>
                <w:szCs w:val="20"/>
                <w:lang w:val="en-US"/>
              </w:rPr>
              <w:t>26/26</w:t>
            </w:r>
          </w:p>
        </w:tc>
        <w:tc>
          <w:tcPr>
            <w:tcW w:w="1833" w:type="dxa"/>
            <w:vAlign w:val="center"/>
          </w:tcPr>
          <w:p w14:paraId="560316A2" w14:textId="77777777" w:rsidR="00347734" w:rsidRDefault="001F3B15">
            <w:pPr>
              <w:jc w:val="center"/>
              <w:rPr>
                <w:color w:val="000000"/>
                <w:sz w:val="20"/>
                <w:szCs w:val="20"/>
                <w:lang w:val="en-US"/>
              </w:rPr>
            </w:pPr>
            <w:r>
              <w:rPr>
                <w:color w:val="000000"/>
                <w:sz w:val="20"/>
                <w:szCs w:val="20"/>
                <w:lang w:val="en-US"/>
              </w:rPr>
              <w:t>Not reported</w:t>
            </w:r>
          </w:p>
        </w:tc>
        <w:tc>
          <w:tcPr>
            <w:tcW w:w="1200" w:type="dxa"/>
            <w:vAlign w:val="center"/>
          </w:tcPr>
          <w:p w14:paraId="4F88377E"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(13/26)</w:t>
            </w:r>
          </w:p>
        </w:tc>
        <w:tc>
          <w:tcPr>
            <w:tcW w:w="1734" w:type="dxa"/>
            <w:vAlign w:val="center"/>
          </w:tcPr>
          <w:p w14:paraId="37C5B32B"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36773CA8" w14:textId="77777777" w:rsidR="00347734" w:rsidRDefault="001F3B15">
            <w:pPr>
              <w:jc w:val="center"/>
              <w:rPr>
                <w:color w:val="000000"/>
                <w:sz w:val="20"/>
                <w:szCs w:val="20"/>
                <w:lang w:val="en-US"/>
              </w:rPr>
            </w:pPr>
            <w:r>
              <w:rPr>
                <w:color w:val="000000"/>
                <w:sz w:val="20"/>
                <w:szCs w:val="20"/>
                <w:lang w:val="en-US"/>
              </w:rPr>
              <w:t>(8/8)</w:t>
            </w:r>
          </w:p>
        </w:tc>
      </w:tr>
      <w:tr w:rsidR="00347734" w14:paraId="668D7B28" w14:textId="77777777">
        <w:trPr>
          <w:trHeight w:val="936"/>
        </w:trPr>
        <w:tc>
          <w:tcPr>
            <w:tcW w:w="592" w:type="dxa"/>
            <w:vAlign w:val="center"/>
          </w:tcPr>
          <w:p w14:paraId="2B650B57" w14:textId="77777777" w:rsidR="00347734" w:rsidRDefault="001F3B15">
            <w:pPr>
              <w:jc w:val="center"/>
              <w:rPr>
                <w:color w:val="000000"/>
                <w:sz w:val="20"/>
                <w:szCs w:val="20"/>
                <w:lang w:val="en-US"/>
              </w:rPr>
            </w:pPr>
            <w:r>
              <w:rPr>
                <w:color w:val="000000"/>
                <w:sz w:val="20"/>
                <w:szCs w:val="20"/>
                <w:lang w:val="en-US"/>
              </w:rPr>
              <w:t>10</w:t>
            </w:r>
          </w:p>
        </w:tc>
        <w:tc>
          <w:tcPr>
            <w:tcW w:w="1193" w:type="dxa"/>
            <w:vAlign w:val="center"/>
          </w:tcPr>
          <w:p w14:paraId="5E70DCE6" w14:textId="77777777" w:rsidR="00347734" w:rsidRDefault="001F3B15">
            <w:pPr>
              <w:jc w:val="center"/>
              <w:rPr>
                <w:lang w:val="en-US"/>
              </w:rPr>
            </w:pPr>
            <w:r>
              <w:rPr>
                <w:sz w:val="20"/>
                <w:szCs w:val="20"/>
                <w:lang w:val="en-US"/>
              </w:rPr>
              <w:t xml:space="preserve">Dalmolin </w:t>
            </w:r>
            <w:r>
              <w:rPr>
                <w:i/>
                <w:iCs/>
                <w:sz w:val="20"/>
                <w:szCs w:val="20"/>
                <w:lang w:val="en-US"/>
              </w:rPr>
              <w:t>et al.</w:t>
            </w:r>
            <w:r>
              <w:rPr>
                <w:sz w:val="20"/>
                <w:szCs w:val="20"/>
                <w:lang w:val="en-US"/>
              </w:rPr>
              <w:t xml:space="preserve"> 2017</w:t>
            </w:r>
          </w:p>
        </w:tc>
        <w:tc>
          <w:tcPr>
            <w:tcW w:w="1641" w:type="dxa"/>
            <w:vAlign w:val="center"/>
          </w:tcPr>
          <w:p w14:paraId="2AD74AA8" w14:textId="77777777" w:rsidR="00347734" w:rsidRDefault="001F3B15">
            <w:pPr>
              <w:jc w:val="center"/>
              <w:rPr>
                <w:color w:val="000000"/>
                <w:sz w:val="20"/>
                <w:szCs w:val="20"/>
                <w:lang w:val="en-US"/>
              </w:rPr>
            </w:pPr>
            <w:r>
              <w:rPr>
                <w:color w:val="000000"/>
                <w:sz w:val="20"/>
                <w:szCs w:val="20"/>
                <w:lang w:val="en-US"/>
              </w:rPr>
              <w:t>Retrospective cross-sectional / July 2013 - August 2014</w:t>
            </w:r>
          </w:p>
        </w:tc>
        <w:tc>
          <w:tcPr>
            <w:tcW w:w="1774" w:type="dxa"/>
            <w:vAlign w:val="center"/>
          </w:tcPr>
          <w:p w14:paraId="2057E67A" w14:textId="77777777" w:rsidR="00347734" w:rsidRDefault="001F3B15">
            <w:pPr>
              <w:jc w:val="center"/>
              <w:rPr>
                <w:color w:val="000000"/>
                <w:sz w:val="20"/>
                <w:szCs w:val="20"/>
                <w:lang w:val="en-US"/>
              </w:rPr>
            </w:pPr>
            <w:r>
              <w:rPr>
                <w:color w:val="000000"/>
                <w:sz w:val="20"/>
                <w:szCs w:val="20"/>
                <w:lang w:val="en-US"/>
              </w:rPr>
              <w:t>Santa Maria, Rio Grande do Sul State / South region</w:t>
            </w:r>
          </w:p>
        </w:tc>
        <w:tc>
          <w:tcPr>
            <w:tcW w:w="1660" w:type="dxa"/>
            <w:vAlign w:val="center"/>
          </w:tcPr>
          <w:p w14:paraId="673188D2" w14:textId="77777777" w:rsidR="00347734" w:rsidRDefault="001F3B15">
            <w:pPr>
              <w:jc w:val="center"/>
              <w:rPr>
                <w:color w:val="000000"/>
                <w:sz w:val="20"/>
                <w:szCs w:val="20"/>
                <w:lang w:val="en-US"/>
              </w:rPr>
            </w:pPr>
            <w:r>
              <w:rPr>
                <w:color w:val="000000"/>
                <w:sz w:val="20"/>
                <w:szCs w:val="20"/>
                <w:lang w:val="en-US"/>
              </w:rPr>
              <w:t>Clinical – Single hospital</w:t>
            </w:r>
          </w:p>
        </w:tc>
        <w:tc>
          <w:tcPr>
            <w:tcW w:w="1549" w:type="dxa"/>
            <w:vAlign w:val="center"/>
          </w:tcPr>
          <w:p w14:paraId="725ACA76" w14:textId="77777777" w:rsidR="00347734" w:rsidRDefault="001F3B15">
            <w:pPr>
              <w:jc w:val="center"/>
              <w:rPr>
                <w:color w:val="000000"/>
                <w:sz w:val="20"/>
                <w:szCs w:val="20"/>
                <w:lang w:val="en-US"/>
              </w:rPr>
            </w:pPr>
            <w:r>
              <w:rPr>
                <w:color w:val="000000"/>
                <w:sz w:val="20"/>
                <w:szCs w:val="20"/>
                <w:lang w:val="en-US"/>
              </w:rPr>
              <w:t>27/27</w:t>
            </w:r>
          </w:p>
        </w:tc>
        <w:tc>
          <w:tcPr>
            <w:tcW w:w="1833" w:type="dxa"/>
            <w:vAlign w:val="center"/>
          </w:tcPr>
          <w:p w14:paraId="2015F978" w14:textId="77777777" w:rsidR="00347734" w:rsidRDefault="001F3B15">
            <w:pPr>
              <w:jc w:val="center"/>
              <w:rPr>
                <w:color w:val="000000"/>
                <w:sz w:val="20"/>
                <w:szCs w:val="20"/>
                <w:lang w:val="en-US"/>
              </w:rPr>
            </w:pPr>
            <w:r>
              <w:rPr>
                <w:color w:val="000000"/>
                <w:sz w:val="20"/>
                <w:szCs w:val="20"/>
                <w:lang w:val="en-US"/>
              </w:rPr>
              <w:t xml:space="preserve">Peritoneal fluid, urine, </w:t>
            </w:r>
            <w:r>
              <w:rPr>
                <w:color w:val="000000"/>
                <w:sz w:val="20"/>
                <w:szCs w:val="20"/>
                <w:lang w:val="en-US"/>
              </w:rPr>
              <w:t>blood, stool, recta swab, wound, sputum, tracheal aspirates88</w:t>
            </w:r>
          </w:p>
        </w:tc>
        <w:tc>
          <w:tcPr>
            <w:tcW w:w="1200" w:type="dxa"/>
            <w:vAlign w:val="center"/>
          </w:tcPr>
          <w:p w14:paraId="061039F4"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(24/27)</w:t>
            </w:r>
          </w:p>
        </w:tc>
        <w:tc>
          <w:tcPr>
            <w:tcW w:w="1734" w:type="dxa"/>
            <w:vAlign w:val="center"/>
          </w:tcPr>
          <w:p w14:paraId="378BF273"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0EE0F115" w14:textId="77777777" w:rsidR="00347734" w:rsidRDefault="001F3B15">
            <w:pPr>
              <w:jc w:val="center"/>
              <w:rPr>
                <w:color w:val="000000"/>
                <w:sz w:val="20"/>
                <w:szCs w:val="20"/>
                <w:lang w:val="en-US"/>
              </w:rPr>
            </w:pPr>
            <w:r>
              <w:rPr>
                <w:color w:val="000000"/>
                <w:sz w:val="20"/>
                <w:szCs w:val="20"/>
                <w:lang w:val="en-US"/>
              </w:rPr>
              <w:t>(8/8)</w:t>
            </w:r>
          </w:p>
        </w:tc>
      </w:tr>
      <w:tr w:rsidR="00347734" w14:paraId="75271553" w14:textId="77777777">
        <w:trPr>
          <w:trHeight w:val="936"/>
        </w:trPr>
        <w:tc>
          <w:tcPr>
            <w:tcW w:w="592" w:type="dxa"/>
            <w:vAlign w:val="center"/>
          </w:tcPr>
          <w:p w14:paraId="5CBAA723" w14:textId="77777777" w:rsidR="00347734" w:rsidRDefault="001F3B15">
            <w:pPr>
              <w:jc w:val="center"/>
              <w:rPr>
                <w:color w:val="000000"/>
                <w:sz w:val="20"/>
                <w:szCs w:val="20"/>
                <w:lang w:val="en-US"/>
              </w:rPr>
            </w:pPr>
            <w:r>
              <w:rPr>
                <w:color w:val="000000"/>
                <w:sz w:val="20"/>
                <w:szCs w:val="20"/>
                <w:lang w:val="en-US"/>
              </w:rPr>
              <w:t>11</w:t>
            </w:r>
          </w:p>
        </w:tc>
        <w:tc>
          <w:tcPr>
            <w:tcW w:w="1193" w:type="dxa"/>
            <w:vAlign w:val="center"/>
          </w:tcPr>
          <w:p w14:paraId="7FAAE259" w14:textId="77777777" w:rsidR="00347734" w:rsidRDefault="001F3B15">
            <w:pPr>
              <w:jc w:val="center"/>
              <w:rPr>
                <w:lang w:val="en-US"/>
              </w:rPr>
            </w:pPr>
            <w:r>
              <w:rPr>
                <w:color w:val="000000"/>
                <w:sz w:val="20"/>
                <w:szCs w:val="20"/>
                <w:lang w:val="en-US"/>
              </w:rPr>
              <w:t xml:space="preserve">Tolentino </w:t>
            </w:r>
            <w:r>
              <w:rPr>
                <w:i/>
                <w:iCs/>
                <w:color w:val="000000"/>
                <w:sz w:val="20"/>
                <w:szCs w:val="20"/>
                <w:lang w:val="en-US"/>
              </w:rPr>
              <w:t xml:space="preserve">et al. </w:t>
            </w:r>
            <w:r>
              <w:rPr>
                <w:color w:val="000000"/>
                <w:sz w:val="20"/>
                <w:szCs w:val="20"/>
                <w:lang w:val="en-US"/>
              </w:rPr>
              <w:t>2019</w:t>
            </w:r>
          </w:p>
        </w:tc>
        <w:tc>
          <w:tcPr>
            <w:tcW w:w="1641" w:type="dxa"/>
            <w:vAlign w:val="center"/>
          </w:tcPr>
          <w:p w14:paraId="59BA5B1B" w14:textId="77777777" w:rsidR="00347734" w:rsidRDefault="001F3B15">
            <w:pPr>
              <w:jc w:val="center"/>
              <w:rPr>
                <w:color w:val="000000"/>
                <w:sz w:val="20"/>
                <w:szCs w:val="20"/>
                <w:lang w:val="en-US"/>
              </w:rPr>
            </w:pPr>
            <w:r>
              <w:rPr>
                <w:color w:val="000000"/>
                <w:sz w:val="20"/>
                <w:szCs w:val="20"/>
                <w:lang w:val="en-US"/>
              </w:rPr>
              <w:t>Retrospective cross-sectional / 2011 - 2014</w:t>
            </w:r>
          </w:p>
        </w:tc>
        <w:tc>
          <w:tcPr>
            <w:tcW w:w="1774" w:type="dxa"/>
            <w:vAlign w:val="center"/>
          </w:tcPr>
          <w:p w14:paraId="5D45EE81" w14:textId="77777777" w:rsidR="00347734" w:rsidRDefault="001F3B15">
            <w:pPr>
              <w:jc w:val="center"/>
              <w:rPr>
                <w:color w:val="000000"/>
                <w:sz w:val="20"/>
                <w:szCs w:val="20"/>
                <w:lang w:val="en-US"/>
              </w:rPr>
            </w:pPr>
            <w:r>
              <w:rPr>
                <w:color w:val="000000"/>
                <w:sz w:val="20"/>
                <w:szCs w:val="20"/>
                <w:lang w:val="en-US"/>
              </w:rPr>
              <w:t>São Paulo, São Paulo State / Southeast region</w:t>
            </w:r>
          </w:p>
        </w:tc>
        <w:tc>
          <w:tcPr>
            <w:tcW w:w="1660" w:type="dxa"/>
            <w:vAlign w:val="center"/>
          </w:tcPr>
          <w:p w14:paraId="5EDBA094" w14:textId="77777777" w:rsidR="00347734" w:rsidRDefault="001F3B15">
            <w:pPr>
              <w:jc w:val="center"/>
              <w:rPr>
                <w:color w:val="000000"/>
                <w:sz w:val="20"/>
                <w:szCs w:val="20"/>
                <w:lang w:val="en-US"/>
              </w:rPr>
            </w:pPr>
            <w:r>
              <w:rPr>
                <w:color w:val="000000"/>
                <w:sz w:val="20"/>
                <w:szCs w:val="20"/>
                <w:lang w:val="en-US"/>
              </w:rPr>
              <w:t>Clinical – Single tertiary care hospital</w:t>
            </w:r>
          </w:p>
        </w:tc>
        <w:tc>
          <w:tcPr>
            <w:tcW w:w="1549" w:type="dxa"/>
            <w:vAlign w:val="center"/>
          </w:tcPr>
          <w:p w14:paraId="2AAC462D" w14:textId="77777777" w:rsidR="00347734" w:rsidRDefault="001F3B15">
            <w:pPr>
              <w:jc w:val="center"/>
              <w:rPr>
                <w:color w:val="000000"/>
                <w:sz w:val="20"/>
                <w:szCs w:val="20"/>
                <w:lang w:val="en-US"/>
              </w:rPr>
            </w:pPr>
            <w:r>
              <w:rPr>
                <w:color w:val="000000"/>
                <w:sz w:val="20"/>
                <w:szCs w:val="20"/>
                <w:lang w:val="en-US"/>
              </w:rPr>
              <w:t>48/48</w:t>
            </w:r>
          </w:p>
        </w:tc>
        <w:tc>
          <w:tcPr>
            <w:tcW w:w="1833" w:type="dxa"/>
            <w:vAlign w:val="center"/>
          </w:tcPr>
          <w:p w14:paraId="2E0D0238" w14:textId="77777777" w:rsidR="00347734" w:rsidRDefault="001F3B15">
            <w:pPr>
              <w:jc w:val="center"/>
              <w:rPr>
                <w:color w:val="000000"/>
                <w:sz w:val="20"/>
                <w:szCs w:val="20"/>
                <w:lang w:val="en-US"/>
              </w:rPr>
            </w:pPr>
            <w:r>
              <w:rPr>
                <w:color w:val="000000"/>
                <w:sz w:val="20"/>
                <w:szCs w:val="20"/>
                <w:lang w:val="en-US"/>
              </w:rPr>
              <w:t xml:space="preserve">Urinary tract infection, Lower respiratory tract infection, Skin and soft tissue </w:t>
            </w:r>
            <w:proofErr w:type="gramStart"/>
            <w:r>
              <w:rPr>
                <w:color w:val="000000"/>
                <w:sz w:val="20"/>
                <w:szCs w:val="20"/>
                <w:lang w:val="en-US"/>
              </w:rPr>
              <w:t>infection,  Primary</w:t>
            </w:r>
            <w:proofErr w:type="gramEnd"/>
            <w:r>
              <w:rPr>
                <w:color w:val="000000"/>
                <w:sz w:val="20"/>
                <w:szCs w:val="20"/>
                <w:lang w:val="en-US"/>
              </w:rPr>
              <w:t xml:space="preserve"> bacteremia, Catheter infection, Intra-abdominal </w:t>
            </w:r>
            <w:r>
              <w:rPr>
                <w:color w:val="000000"/>
                <w:sz w:val="20"/>
                <w:szCs w:val="20"/>
                <w:lang w:val="en-US"/>
              </w:rPr>
              <w:lastRenderedPageBreak/>
              <w:t>infection, Bone infection, Intravascular infection, Surgical wound infection</w:t>
            </w:r>
          </w:p>
        </w:tc>
        <w:tc>
          <w:tcPr>
            <w:tcW w:w="1200" w:type="dxa"/>
            <w:vAlign w:val="center"/>
          </w:tcPr>
          <w:p w14:paraId="441AD7F7" w14:textId="77777777" w:rsidR="00347734" w:rsidRDefault="001F3B15">
            <w:pPr>
              <w:jc w:val="center"/>
              <w:rPr>
                <w:i/>
                <w:iCs/>
                <w:color w:val="000000"/>
                <w:sz w:val="20"/>
                <w:szCs w:val="20"/>
                <w:lang w:val="en-US"/>
              </w:rPr>
            </w:pPr>
            <w:proofErr w:type="spellStart"/>
            <w:r>
              <w:rPr>
                <w:i/>
                <w:iCs/>
                <w:color w:val="000000"/>
                <w:sz w:val="20"/>
                <w:szCs w:val="20"/>
                <w:lang w:val="en-US"/>
              </w:rPr>
              <w:lastRenderedPageBreak/>
              <w:t>bla</w:t>
            </w:r>
            <w:r>
              <w:rPr>
                <w:color w:val="000000"/>
                <w:sz w:val="20"/>
                <w:szCs w:val="20"/>
                <w:vertAlign w:val="subscript"/>
                <w:lang w:val="en-US"/>
              </w:rPr>
              <w:t>KPC</w:t>
            </w:r>
            <w:proofErr w:type="spellEnd"/>
            <w:r>
              <w:rPr>
                <w:color w:val="000000"/>
                <w:sz w:val="20"/>
                <w:szCs w:val="20"/>
                <w:lang w:val="en-US"/>
              </w:rPr>
              <w:t xml:space="preserve"> positive (48/48)</w:t>
            </w:r>
          </w:p>
        </w:tc>
        <w:tc>
          <w:tcPr>
            <w:tcW w:w="1734" w:type="dxa"/>
            <w:vAlign w:val="center"/>
          </w:tcPr>
          <w:p w14:paraId="54DBEC5B"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14073FCB" w14:textId="77777777" w:rsidR="00347734" w:rsidRDefault="001F3B15">
            <w:pPr>
              <w:jc w:val="center"/>
              <w:rPr>
                <w:color w:val="000000"/>
                <w:sz w:val="20"/>
                <w:szCs w:val="20"/>
                <w:lang w:val="en-US"/>
              </w:rPr>
            </w:pPr>
            <w:r>
              <w:rPr>
                <w:color w:val="000000"/>
                <w:sz w:val="20"/>
                <w:szCs w:val="20"/>
                <w:lang w:val="en-US"/>
              </w:rPr>
              <w:t>(7/8)</w:t>
            </w:r>
          </w:p>
        </w:tc>
      </w:tr>
      <w:tr w:rsidR="00347734" w14:paraId="5C737F48" w14:textId="77777777">
        <w:trPr>
          <w:trHeight w:val="936"/>
        </w:trPr>
        <w:tc>
          <w:tcPr>
            <w:tcW w:w="592" w:type="dxa"/>
            <w:vAlign w:val="center"/>
          </w:tcPr>
          <w:p w14:paraId="776A1566" w14:textId="77777777" w:rsidR="00347734" w:rsidRDefault="001F3B15">
            <w:pPr>
              <w:jc w:val="center"/>
              <w:rPr>
                <w:color w:val="000000"/>
                <w:sz w:val="20"/>
                <w:szCs w:val="20"/>
                <w:lang w:val="en-US"/>
              </w:rPr>
            </w:pPr>
            <w:r>
              <w:rPr>
                <w:color w:val="000000"/>
                <w:sz w:val="20"/>
                <w:szCs w:val="20"/>
                <w:lang w:val="en-US"/>
              </w:rPr>
              <w:t>12</w:t>
            </w:r>
          </w:p>
        </w:tc>
        <w:tc>
          <w:tcPr>
            <w:tcW w:w="1193" w:type="dxa"/>
            <w:vAlign w:val="center"/>
          </w:tcPr>
          <w:p w14:paraId="3BC3DAD3" w14:textId="77777777" w:rsidR="00347734" w:rsidRDefault="001F3B15">
            <w:pPr>
              <w:jc w:val="center"/>
              <w:rPr>
                <w:lang w:val="en-US"/>
              </w:rPr>
            </w:pPr>
            <w:r>
              <w:rPr>
                <w:sz w:val="20"/>
                <w:szCs w:val="20"/>
                <w:lang w:val="en-US"/>
              </w:rPr>
              <w:t xml:space="preserve">Ferreira </w:t>
            </w:r>
            <w:r>
              <w:rPr>
                <w:i/>
                <w:iCs/>
                <w:sz w:val="20"/>
                <w:szCs w:val="20"/>
                <w:lang w:val="en-US"/>
              </w:rPr>
              <w:t>et al</w:t>
            </w:r>
            <w:r>
              <w:rPr>
                <w:sz w:val="20"/>
                <w:szCs w:val="20"/>
                <w:lang w:val="en-US"/>
              </w:rPr>
              <w:t>. 2019</w:t>
            </w:r>
          </w:p>
        </w:tc>
        <w:tc>
          <w:tcPr>
            <w:tcW w:w="1641" w:type="dxa"/>
            <w:vAlign w:val="center"/>
          </w:tcPr>
          <w:p w14:paraId="63AE925D" w14:textId="77777777" w:rsidR="00347734" w:rsidRDefault="001F3B15">
            <w:pPr>
              <w:jc w:val="center"/>
              <w:rPr>
                <w:color w:val="000000"/>
                <w:sz w:val="20"/>
                <w:szCs w:val="20"/>
                <w:lang w:val="en-US"/>
              </w:rPr>
            </w:pPr>
            <w:r>
              <w:rPr>
                <w:color w:val="000000"/>
                <w:sz w:val="20"/>
                <w:szCs w:val="20"/>
                <w:lang w:val="en-US"/>
              </w:rPr>
              <w:t xml:space="preserve">Retrospective cross-sectional / January 2014 </w:t>
            </w:r>
            <w:proofErr w:type="gramStart"/>
            <w:r>
              <w:rPr>
                <w:color w:val="000000"/>
                <w:sz w:val="20"/>
                <w:szCs w:val="20"/>
                <w:lang w:val="en-US"/>
              </w:rPr>
              <w:t>-  May</w:t>
            </w:r>
            <w:proofErr w:type="gramEnd"/>
            <w:r>
              <w:rPr>
                <w:color w:val="000000"/>
                <w:sz w:val="20"/>
                <w:szCs w:val="20"/>
                <w:lang w:val="en-US"/>
              </w:rPr>
              <w:t xml:space="preserve"> 2015</w:t>
            </w:r>
          </w:p>
        </w:tc>
        <w:tc>
          <w:tcPr>
            <w:tcW w:w="1774" w:type="dxa"/>
            <w:vAlign w:val="center"/>
          </w:tcPr>
          <w:p w14:paraId="3B31DF17" w14:textId="77777777" w:rsidR="00347734" w:rsidRDefault="001F3B15">
            <w:pPr>
              <w:jc w:val="center"/>
              <w:rPr>
                <w:color w:val="000000"/>
                <w:sz w:val="20"/>
                <w:szCs w:val="20"/>
                <w:lang w:val="en-US"/>
              </w:rPr>
            </w:pPr>
            <w:r>
              <w:rPr>
                <w:color w:val="000000"/>
                <w:sz w:val="20"/>
                <w:szCs w:val="20"/>
                <w:lang w:val="en-US"/>
              </w:rPr>
              <w:t>Tocantins State / North region</w:t>
            </w:r>
          </w:p>
        </w:tc>
        <w:tc>
          <w:tcPr>
            <w:tcW w:w="1660" w:type="dxa"/>
            <w:vAlign w:val="center"/>
          </w:tcPr>
          <w:p w14:paraId="03483F04" w14:textId="77777777" w:rsidR="00347734" w:rsidRDefault="001F3B15">
            <w:pPr>
              <w:jc w:val="center"/>
              <w:rPr>
                <w:color w:val="000000"/>
                <w:sz w:val="20"/>
                <w:szCs w:val="20"/>
                <w:lang w:val="en-US"/>
              </w:rPr>
            </w:pPr>
            <w:r>
              <w:rPr>
                <w:color w:val="000000"/>
                <w:sz w:val="20"/>
                <w:szCs w:val="20"/>
                <w:lang w:val="en-US"/>
              </w:rPr>
              <w:t>Clinical / Central public health laboratory (LACEN)</w:t>
            </w:r>
          </w:p>
        </w:tc>
        <w:tc>
          <w:tcPr>
            <w:tcW w:w="1549" w:type="dxa"/>
            <w:vAlign w:val="center"/>
          </w:tcPr>
          <w:p w14:paraId="05A61EC6" w14:textId="77777777" w:rsidR="00347734" w:rsidRDefault="001F3B15">
            <w:pPr>
              <w:jc w:val="center"/>
              <w:rPr>
                <w:color w:val="000000"/>
                <w:sz w:val="20"/>
                <w:szCs w:val="20"/>
                <w:lang w:val="en-US"/>
              </w:rPr>
            </w:pPr>
            <w:r>
              <w:rPr>
                <w:color w:val="000000"/>
                <w:sz w:val="20"/>
                <w:szCs w:val="20"/>
                <w:lang w:val="en-US"/>
              </w:rPr>
              <w:t>25/25</w:t>
            </w:r>
          </w:p>
        </w:tc>
        <w:tc>
          <w:tcPr>
            <w:tcW w:w="1833" w:type="dxa"/>
            <w:vAlign w:val="center"/>
          </w:tcPr>
          <w:p w14:paraId="50F74CC0" w14:textId="77777777" w:rsidR="00347734" w:rsidRDefault="001F3B15">
            <w:pPr>
              <w:jc w:val="center"/>
              <w:rPr>
                <w:color w:val="000000"/>
                <w:sz w:val="20"/>
                <w:szCs w:val="20"/>
                <w:lang w:val="en-US"/>
              </w:rPr>
            </w:pPr>
            <w:r>
              <w:rPr>
                <w:color w:val="000000"/>
                <w:sz w:val="20"/>
                <w:szCs w:val="20"/>
                <w:lang w:val="en-US"/>
              </w:rPr>
              <w:t xml:space="preserve">Rectal swab, tracheal aspirate, urine, cerebrospinal fluid, wound, sputum, </w:t>
            </w:r>
            <w:r>
              <w:rPr>
                <w:color w:val="000000"/>
                <w:sz w:val="20"/>
                <w:szCs w:val="20"/>
                <w:lang w:val="en-US"/>
              </w:rPr>
              <w:t>abscess, surgical drain and catheter tip.</w:t>
            </w:r>
          </w:p>
        </w:tc>
        <w:tc>
          <w:tcPr>
            <w:tcW w:w="1200" w:type="dxa"/>
            <w:vAlign w:val="center"/>
          </w:tcPr>
          <w:p w14:paraId="3A4842C6"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(25/25)</w:t>
            </w:r>
          </w:p>
        </w:tc>
        <w:tc>
          <w:tcPr>
            <w:tcW w:w="1734" w:type="dxa"/>
            <w:vAlign w:val="center"/>
          </w:tcPr>
          <w:p w14:paraId="0136791B"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21D0A5C0" w14:textId="77777777" w:rsidR="00347734" w:rsidRDefault="001F3B15">
            <w:pPr>
              <w:jc w:val="center"/>
              <w:rPr>
                <w:color w:val="000000"/>
                <w:sz w:val="20"/>
                <w:szCs w:val="20"/>
                <w:lang w:val="en-US"/>
              </w:rPr>
            </w:pPr>
            <w:r>
              <w:rPr>
                <w:color w:val="000000"/>
                <w:sz w:val="20"/>
                <w:szCs w:val="20"/>
                <w:lang w:val="en-US"/>
              </w:rPr>
              <w:t>(8/8)</w:t>
            </w:r>
          </w:p>
        </w:tc>
      </w:tr>
      <w:tr w:rsidR="00347734" w14:paraId="71282290" w14:textId="77777777">
        <w:trPr>
          <w:trHeight w:val="936"/>
        </w:trPr>
        <w:tc>
          <w:tcPr>
            <w:tcW w:w="592" w:type="dxa"/>
            <w:vAlign w:val="center"/>
          </w:tcPr>
          <w:p w14:paraId="55E6CBE7" w14:textId="77777777" w:rsidR="00347734" w:rsidRDefault="001F3B15">
            <w:pPr>
              <w:jc w:val="center"/>
              <w:rPr>
                <w:color w:val="000000"/>
                <w:sz w:val="20"/>
                <w:szCs w:val="20"/>
                <w:lang w:val="en-US"/>
              </w:rPr>
            </w:pPr>
            <w:r>
              <w:rPr>
                <w:color w:val="000000"/>
                <w:sz w:val="20"/>
                <w:szCs w:val="20"/>
                <w:lang w:val="en-US"/>
              </w:rPr>
              <w:t>13</w:t>
            </w:r>
          </w:p>
        </w:tc>
        <w:tc>
          <w:tcPr>
            <w:tcW w:w="1193" w:type="dxa"/>
            <w:vAlign w:val="center"/>
          </w:tcPr>
          <w:p w14:paraId="12293DE1" w14:textId="77777777" w:rsidR="00347734" w:rsidRDefault="001F3B15">
            <w:pPr>
              <w:jc w:val="center"/>
              <w:rPr>
                <w:lang w:val="en-US"/>
              </w:rPr>
            </w:pPr>
            <w:r>
              <w:rPr>
                <w:sz w:val="20"/>
                <w:szCs w:val="20"/>
                <w:lang w:val="en-US"/>
              </w:rPr>
              <w:t xml:space="preserve">Longo </w:t>
            </w:r>
            <w:r>
              <w:rPr>
                <w:i/>
                <w:iCs/>
                <w:sz w:val="20"/>
                <w:szCs w:val="20"/>
                <w:lang w:val="en-US"/>
              </w:rPr>
              <w:t xml:space="preserve">et al. </w:t>
            </w:r>
            <w:r>
              <w:rPr>
                <w:sz w:val="20"/>
                <w:szCs w:val="20"/>
                <w:lang w:val="en-US"/>
              </w:rPr>
              <w:t>2019</w:t>
            </w:r>
          </w:p>
        </w:tc>
        <w:tc>
          <w:tcPr>
            <w:tcW w:w="1641" w:type="dxa"/>
            <w:vAlign w:val="center"/>
          </w:tcPr>
          <w:p w14:paraId="533795DD" w14:textId="77777777" w:rsidR="00347734" w:rsidRDefault="001F3B15">
            <w:pPr>
              <w:jc w:val="center"/>
              <w:rPr>
                <w:color w:val="000000"/>
                <w:sz w:val="20"/>
                <w:szCs w:val="20"/>
                <w:lang w:val="en-US"/>
              </w:rPr>
            </w:pPr>
            <w:r>
              <w:rPr>
                <w:color w:val="000000"/>
                <w:sz w:val="20"/>
                <w:szCs w:val="20"/>
                <w:lang w:val="en-US"/>
              </w:rPr>
              <w:t xml:space="preserve">Retrospective cross-sectional / November 2016 </w:t>
            </w:r>
            <w:proofErr w:type="gramStart"/>
            <w:r>
              <w:rPr>
                <w:color w:val="000000"/>
                <w:sz w:val="20"/>
                <w:szCs w:val="20"/>
                <w:lang w:val="en-US"/>
              </w:rPr>
              <w:t>-  June</w:t>
            </w:r>
            <w:proofErr w:type="gramEnd"/>
            <w:r>
              <w:rPr>
                <w:color w:val="000000"/>
                <w:sz w:val="20"/>
                <w:szCs w:val="20"/>
                <w:lang w:val="en-US"/>
              </w:rPr>
              <w:t xml:space="preserve"> 2017.</w:t>
            </w:r>
          </w:p>
        </w:tc>
        <w:tc>
          <w:tcPr>
            <w:tcW w:w="1774" w:type="dxa"/>
            <w:vAlign w:val="center"/>
          </w:tcPr>
          <w:p w14:paraId="167D10CF" w14:textId="77777777" w:rsidR="00347734" w:rsidRDefault="001F3B15">
            <w:pPr>
              <w:jc w:val="center"/>
              <w:rPr>
                <w:color w:val="000000"/>
                <w:sz w:val="20"/>
                <w:szCs w:val="20"/>
                <w:lang w:val="en-US"/>
              </w:rPr>
            </w:pPr>
            <w:r>
              <w:rPr>
                <w:color w:val="000000"/>
                <w:sz w:val="20"/>
                <w:szCs w:val="20"/>
                <w:lang w:val="en-US"/>
              </w:rPr>
              <w:t>Rio de Janeiro State / Southeast region</w:t>
            </w:r>
          </w:p>
        </w:tc>
        <w:tc>
          <w:tcPr>
            <w:tcW w:w="1660" w:type="dxa"/>
            <w:vAlign w:val="center"/>
          </w:tcPr>
          <w:p w14:paraId="56FAA0A7" w14:textId="77777777" w:rsidR="00347734" w:rsidRDefault="001F3B15">
            <w:pPr>
              <w:jc w:val="center"/>
              <w:rPr>
                <w:color w:val="000000"/>
                <w:sz w:val="20"/>
                <w:szCs w:val="20"/>
                <w:lang w:val="en-US"/>
              </w:rPr>
            </w:pPr>
            <w:r>
              <w:rPr>
                <w:color w:val="000000"/>
                <w:sz w:val="20"/>
                <w:szCs w:val="20"/>
                <w:lang w:val="en-US"/>
              </w:rPr>
              <w:t>Clinical – Two hospitals</w:t>
            </w:r>
          </w:p>
        </w:tc>
        <w:tc>
          <w:tcPr>
            <w:tcW w:w="1549" w:type="dxa"/>
            <w:vAlign w:val="center"/>
          </w:tcPr>
          <w:p w14:paraId="67F1FD22" w14:textId="77777777" w:rsidR="00347734" w:rsidRDefault="001F3B15">
            <w:pPr>
              <w:jc w:val="center"/>
              <w:rPr>
                <w:color w:val="000000"/>
                <w:sz w:val="20"/>
                <w:szCs w:val="20"/>
                <w:lang w:val="en-US"/>
              </w:rPr>
            </w:pPr>
            <w:r>
              <w:rPr>
                <w:color w:val="000000"/>
                <w:sz w:val="20"/>
                <w:szCs w:val="20"/>
                <w:lang w:val="en-US"/>
              </w:rPr>
              <w:t>23/23</w:t>
            </w:r>
          </w:p>
        </w:tc>
        <w:tc>
          <w:tcPr>
            <w:tcW w:w="1833" w:type="dxa"/>
            <w:vAlign w:val="center"/>
          </w:tcPr>
          <w:p w14:paraId="4988F2B8" w14:textId="77777777" w:rsidR="00347734" w:rsidRDefault="001F3B15">
            <w:pPr>
              <w:jc w:val="center"/>
              <w:rPr>
                <w:color w:val="000000"/>
                <w:sz w:val="20"/>
                <w:szCs w:val="20"/>
                <w:lang w:val="en-US"/>
              </w:rPr>
            </w:pPr>
            <w:r>
              <w:rPr>
                <w:color w:val="000000"/>
                <w:sz w:val="20"/>
                <w:szCs w:val="20"/>
                <w:lang w:val="en-US"/>
              </w:rPr>
              <w:t>Rectal and oropharynx scree</w:t>
            </w:r>
            <w:r>
              <w:rPr>
                <w:color w:val="000000"/>
                <w:sz w:val="20"/>
                <w:szCs w:val="20"/>
                <w:lang w:val="en-US"/>
              </w:rPr>
              <w:t>ning swabs, urine and blood specimens</w:t>
            </w:r>
          </w:p>
        </w:tc>
        <w:tc>
          <w:tcPr>
            <w:tcW w:w="1200" w:type="dxa"/>
            <w:vAlign w:val="center"/>
          </w:tcPr>
          <w:p w14:paraId="25D44FDE"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(6/23)</w:t>
            </w:r>
          </w:p>
        </w:tc>
        <w:tc>
          <w:tcPr>
            <w:tcW w:w="1734" w:type="dxa"/>
            <w:vAlign w:val="center"/>
          </w:tcPr>
          <w:p w14:paraId="5D08B503" w14:textId="77777777" w:rsidR="00347734" w:rsidRDefault="001F3B15">
            <w:pPr>
              <w:jc w:val="center"/>
              <w:rPr>
                <w:color w:val="000000"/>
                <w:sz w:val="20"/>
                <w:szCs w:val="20"/>
                <w:lang w:val="en-US"/>
              </w:rPr>
            </w:pPr>
            <w:r>
              <w:rPr>
                <w:color w:val="000000"/>
                <w:sz w:val="20"/>
                <w:szCs w:val="20"/>
                <w:lang w:val="en-US"/>
              </w:rPr>
              <w:t>WGS</w:t>
            </w:r>
          </w:p>
        </w:tc>
        <w:tc>
          <w:tcPr>
            <w:tcW w:w="828" w:type="dxa"/>
            <w:vAlign w:val="center"/>
          </w:tcPr>
          <w:p w14:paraId="32152B3A" w14:textId="77777777" w:rsidR="00347734" w:rsidRDefault="001F3B15">
            <w:pPr>
              <w:jc w:val="center"/>
              <w:rPr>
                <w:color w:val="000000"/>
                <w:sz w:val="20"/>
                <w:szCs w:val="20"/>
                <w:lang w:val="en-US"/>
              </w:rPr>
            </w:pPr>
            <w:r>
              <w:rPr>
                <w:color w:val="000000"/>
                <w:sz w:val="20"/>
                <w:szCs w:val="20"/>
                <w:lang w:val="en-US"/>
              </w:rPr>
              <w:t>(7/8)</w:t>
            </w:r>
          </w:p>
        </w:tc>
      </w:tr>
      <w:tr w:rsidR="00347734" w14:paraId="561C1585" w14:textId="77777777">
        <w:trPr>
          <w:trHeight w:val="936"/>
        </w:trPr>
        <w:tc>
          <w:tcPr>
            <w:tcW w:w="592" w:type="dxa"/>
            <w:vAlign w:val="center"/>
          </w:tcPr>
          <w:p w14:paraId="2BC2EDFE" w14:textId="77777777" w:rsidR="00347734" w:rsidRDefault="001F3B15">
            <w:pPr>
              <w:jc w:val="center"/>
              <w:rPr>
                <w:color w:val="000000"/>
                <w:sz w:val="20"/>
                <w:szCs w:val="20"/>
                <w:lang w:val="en-US"/>
              </w:rPr>
            </w:pPr>
            <w:r>
              <w:rPr>
                <w:color w:val="000000"/>
                <w:sz w:val="20"/>
                <w:szCs w:val="20"/>
                <w:lang w:val="en-US"/>
              </w:rPr>
              <w:t>14</w:t>
            </w:r>
          </w:p>
        </w:tc>
        <w:tc>
          <w:tcPr>
            <w:tcW w:w="1193" w:type="dxa"/>
            <w:vAlign w:val="center"/>
          </w:tcPr>
          <w:p w14:paraId="7030F087" w14:textId="77777777" w:rsidR="00347734" w:rsidRDefault="001F3B15">
            <w:pPr>
              <w:jc w:val="center"/>
              <w:rPr>
                <w:lang w:val="en-US"/>
              </w:rPr>
            </w:pPr>
            <w:r>
              <w:rPr>
                <w:sz w:val="20"/>
                <w:szCs w:val="20"/>
                <w:lang w:val="en-US"/>
              </w:rPr>
              <w:t xml:space="preserve">Palmeiro </w:t>
            </w:r>
            <w:r>
              <w:rPr>
                <w:i/>
                <w:iCs/>
                <w:sz w:val="20"/>
                <w:szCs w:val="20"/>
                <w:lang w:val="en-US"/>
              </w:rPr>
              <w:t xml:space="preserve">et al. </w:t>
            </w:r>
            <w:r>
              <w:rPr>
                <w:sz w:val="20"/>
                <w:szCs w:val="20"/>
                <w:lang w:val="en-US"/>
              </w:rPr>
              <w:t>2019</w:t>
            </w:r>
          </w:p>
        </w:tc>
        <w:tc>
          <w:tcPr>
            <w:tcW w:w="1641" w:type="dxa"/>
            <w:vAlign w:val="center"/>
          </w:tcPr>
          <w:p w14:paraId="20886148" w14:textId="77777777" w:rsidR="00347734" w:rsidRDefault="001F3B15">
            <w:pPr>
              <w:jc w:val="center"/>
              <w:rPr>
                <w:color w:val="000000"/>
                <w:sz w:val="20"/>
                <w:szCs w:val="20"/>
                <w:lang w:val="en-US"/>
              </w:rPr>
            </w:pPr>
            <w:r>
              <w:rPr>
                <w:color w:val="000000"/>
                <w:sz w:val="20"/>
                <w:szCs w:val="20"/>
                <w:lang w:val="en-US"/>
              </w:rPr>
              <w:t>Retrospective cross-sectional / August 2003 - February 2012</w:t>
            </w:r>
          </w:p>
        </w:tc>
        <w:tc>
          <w:tcPr>
            <w:tcW w:w="1774" w:type="dxa"/>
            <w:vAlign w:val="center"/>
          </w:tcPr>
          <w:p w14:paraId="2B08D2E9" w14:textId="77777777" w:rsidR="00347734" w:rsidRDefault="001F3B15">
            <w:pPr>
              <w:jc w:val="center"/>
              <w:rPr>
                <w:color w:val="000000"/>
                <w:sz w:val="20"/>
                <w:szCs w:val="20"/>
                <w:lang w:val="en-US"/>
              </w:rPr>
            </w:pPr>
            <w:r>
              <w:rPr>
                <w:color w:val="000000"/>
                <w:sz w:val="20"/>
                <w:szCs w:val="20"/>
                <w:lang w:val="en-US"/>
              </w:rPr>
              <w:t>Curitiba, Paraná State / South region</w:t>
            </w:r>
          </w:p>
        </w:tc>
        <w:tc>
          <w:tcPr>
            <w:tcW w:w="1660" w:type="dxa"/>
            <w:vAlign w:val="center"/>
          </w:tcPr>
          <w:p w14:paraId="0C9000A0" w14:textId="77777777" w:rsidR="00347734" w:rsidRDefault="001F3B15">
            <w:pPr>
              <w:jc w:val="center"/>
              <w:rPr>
                <w:color w:val="000000"/>
                <w:sz w:val="20"/>
                <w:szCs w:val="20"/>
                <w:lang w:val="en-US"/>
              </w:rPr>
            </w:pPr>
            <w:r>
              <w:rPr>
                <w:color w:val="000000"/>
                <w:sz w:val="20"/>
                <w:szCs w:val="20"/>
                <w:lang w:val="en-US"/>
              </w:rPr>
              <w:t>Clinical – Hospital complex</w:t>
            </w:r>
          </w:p>
        </w:tc>
        <w:tc>
          <w:tcPr>
            <w:tcW w:w="1549" w:type="dxa"/>
            <w:vAlign w:val="center"/>
          </w:tcPr>
          <w:p w14:paraId="0B74B4A6" w14:textId="77777777" w:rsidR="00347734" w:rsidRDefault="001F3B15">
            <w:pPr>
              <w:jc w:val="center"/>
              <w:rPr>
                <w:color w:val="000000"/>
                <w:sz w:val="20"/>
                <w:szCs w:val="20"/>
                <w:lang w:val="en-US"/>
              </w:rPr>
            </w:pPr>
            <w:r>
              <w:rPr>
                <w:color w:val="000000"/>
                <w:sz w:val="20"/>
                <w:szCs w:val="20"/>
                <w:lang w:val="en-US"/>
              </w:rPr>
              <w:t>43/43</w:t>
            </w:r>
          </w:p>
        </w:tc>
        <w:tc>
          <w:tcPr>
            <w:tcW w:w="1833" w:type="dxa"/>
            <w:vAlign w:val="center"/>
          </w:tcPr>
          <w:p w14:paraId="1742F277" w14:textId="77777777" w:rsidR="00347734" w:rsidRDefault="001F3B15">
            <w:pPr>
              <w:jc w:val="center"/>
              <w:rPr>
                <w:color w:val="000000"/>
                <w:sz w:val="20"/>
                <w:szCs w:val="20"/>
                <w:lang w:val="en-US"/>
              </w:rPr>
            </w:pPr>
            <w:r>
              <w:rPr>
                <w:color w:val="000000"/>
                <w:sz w:val="20"/>
                <w:szCs w:val="20"/>
                <w:lang w:val="en-US"/>
              </w:rPr>
              <w:t>Various sites</w:t>
            </w:r>
          </w:p>
        </w:tc>
        <w:tc>
          <w:tcPr>
            <w:tcW w:w="1200" w:type="dxa"/>
            <w:vAlign w:val="center"/>
          </w:tcPr>
          <w:p w14:paraId="7E5C6E82"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(18/43)</w:t>
            </w:r>
          </w:p>
        </w:tc>
        <w:tc>
          <w:tcPr>
            <w:tcW w:w="1734" w:type="dxa"/>
            <w:vAlign w:val="center"/>
          </w:tcPr>
          <w:p w14:paraId="3B0862AB" w14:textId="77777777" w:rsidR="00347734" w:rsidRDefault="001F3B15">
            <w:pPr>
              <w:jc w:val="center"/>
              <w:rPr>
                <w:color w:val="000000"/>
                <w:sz w:val="20"/>
                <w:szCs w:val="20"/>
                <w:lang w:val="en-US"/>
              </w:rPr>
            </w:pPr>
            <w:r>
              <w:rPr>
                <w:color w:val="000000"/>
                <w:sz w:val="20"/>
                <w:szCs w:val="20"/>
                <w:lang w:val="en-US"/>
              </w:rPr>
              <w:t>PCR and WGS</w:t>
            </w:r>
          </w:p>
        </w:tc>
        <w:tc>
          <w:tcPr>
            <w:tcW w:w="828" w:type="dxa"/>
            <w:vAlign w:val="center"/>
          </w:tcPr>
          <w:p w14:paraId="4BBE1442" w14:textId="77777777" w:rsidR="00347734" w:rsidRDefault="001F3B15">
            <w:pPr>
              <w:jc w:val="center"/>
              <w:rPr>
                <w:color w:val="000000"/>
                <w:sz w:val="20"/>
                <w:szCs w:val="20"/>
                <w:lang w:val="en-US"/>
              </w:rPr>
            </w:pPr>
            <w:r>
              <w:rPr>
                <w:color w:val="000000"/>
                <w:sz w:val="20"/>
                <w:szCs w:val="20"/>
                <w:lang w:val="en-US"/>
              </w:rPr>
              <w:t>(8/8)</w:t>
            </w:r>
          </w:p>
        </w:tc>
      </w:tr>
      <w:tr w:rsidR="00347734" w14:paraId="6E1AFECD" w14:textId="77777777">
        <w:trPr>
          <w:trHeight w:val="936"/>
        </w:trPr>
        <w:tc>
          <w:tcPr>
            <w:tcW w:w="592" w:type="dxa"/>
            <w:tcBorders>
              <w:top w:val="nil"/>
            </w:tcBorders>
            <w:vAlign w:val="center"/>
          </w:tcPr>
          <w:p w14:paraId="0E727E97" w14:textId="77777777" w:rsidR="00347734" w:rsidRDefault="001F3B15">
            <w:pPr>
              <w:jc w:val="center"/>
              <w:rPr>
                <w:color w:val="000000"/>
                <w:sz w:val="20"/>
                <w:szCs w:val="20"/>
                <w:lang w:val="en-US"/>
              </w:rPr>
            </w:pPr>
            <w:r>
              <w:rPr>
                <w:color w:val="000000"/>
                <w:sz w:val="20"/>
                <w:szCs w:val="20"/>
                <w:lang w:val="en-US"/>
              </w:rPr>
              <w:t>15</w:t>
            </w:r>
          </w:p>
        </w:tc>
        <w:tc>
          <w:tcPr>
            <w:tcW w:w="1193" w:type="dxa"/>
            <w:tcBorders>
              <w:top w:val="nil"/>
            </w:tcBorders>
            <w:vAlign w:val="center"/>
          </w:tcPr>
          <w:p w14:paraId="596F1037" w14:textId="77777777" w:rsidR="00347734" w:rsidRDefault="001F3B15">
            <w:pPr>
              <w:jc w:val="center"/>
              <w:rPr>
                <w:lang w:val="en-US"/>
              </w:rPr>
            </w:pPr>
            <w:r>
              <w:rPr>
                <w:color w:val="000000"/>
                <w:sz w:val="20"/>
                <w:szCs w:val="20"/>
                <w:lang w:val="en-US"/>
              </w:rPr>
              <w:t>Flores</w:t>
            </w:r>
            <w:r>
              <w:rPr>
                <w:i/>
                <w:iCs/>
                <w:color w:val="000000"/>
                <w:sz w:val="20"/>
                <w:szCs w:val="20"/>
                <w:lang w:val="en-US"/>
              </w:rPr>
              <w:t xml:space="preserve"> et al.</w:t>
            </w:r>
            <w:r>
              <w:rPr>
                <w:color w:val="000000"/>
                <w:sz w:val="20"/>
                <w:szCs w:val="20"/>
                <w:lang w:val="en-US"/>
              </w:rPr>
              <w:t xml:space="preserve">, </w:t>
            </w:r>
            <w:r>
              <w:rPr>
                <w:color w:val="000000" w:themeColor="text1"/>
                <w:sz w:val="20"/>
                <w:szCs w:val="20"/>
                <w:lang w:val="en-US"/>
              </w:rPr>
              <w:t>2019</w:t>
            </w:r>
          </w:p>
        </w:tc>
        <w:tc>
          <w:tcPr>
            <w:tcW w:w="1641" w:type="dxa"/>
            <w:tcBorders>
              <w:top w:val="nil"/>
            </w:tcBorders>
            <w:vAlign w:val="center"/>
          </w:tcPr>
          <w:p w14:paraId="14CDF203" w14:textId="77777777" w:rsidR="00347734" w:rsidRDefault="001F3B15">
            <w:pPr>
              <w:jc w:val="center"/>
              <w:rPr>
                <w:color w:val="000000"/>
                <w:sz w:val="20"/>
                <w:szCs w:val="20"/>
                <w:lang w:val="en-US"/>
              </w:rPr>
            </w:pPr>
            <w:r>
              <w:rPr>
                <w:color w:val="000000"/>
                <w:sz w:val="20"/>
                <w:szCs w:val="20"/>
                <w:lang w:val="en-US"/>
              </w:rPr>
              <w:t>Retrospective cross-sectional / March 2016 – March 2017</w:t>
            </w:r>
          </w:p>
        </w:tc>
        <w:tc>
          <w:tcPr>
            <w:tcW w:w="1774" w:type="dxa"/>
            <w:tcBorders>
              <w:top w:val="nil"/>
            </w:tcBorders>
            <w:vAlign w:val="center"/>
          </w:tcPr>
          <w:p w14:paraId="3BCA2360" w14:textId="77777777" w:rsidR="00347734" w:rsidRDefault="001F3B15">
            <w:pPr>
              <w:jc w:val="center"/>
              <w:rPr>
                <w:color w:val="000000"/>
                <w:sz w:val="20"/>
                <w:szCs w:val="20"/>
                <w:lang w:val="en-US"/>
              </w:rPr>
            </w:pPr>
            <w:r>
              <w:rPr>
                <w:color w:val="000000"/>
                <w:sz w:val="20"/>
                <w:szCs w:val="20"/>
                <w:lang w:val="en-US"/>
              </w:rPr>
              <w:t>Rio de Janeiro State / Southeast region</w:t>
            </w:r>
          </w:p>
        </w:tc>
        <w:tc>
          <w:tcPr>
            <w:tcW w:w="1660" w:type="dxa"/>
            <w:tcBorders>
              <w:top w:val="nil"/>
            </w:tcBorders>
            <w:vAlign w:val="center"/>
          </w:tcPr>
          <w:p w14:paraId="54BBDBE3" w14:textId="77777777" w:rsidR="00347734" w:rsidRDefault="001F3B15">
            <w:pPr>
              <w:jc w:val="center"/>
              <w:rPr>
                <w:color w:val="000000"/>
                <w:sz w:val="20"/>
                <w:szCs w:val="20"/>
                <w:lang w:val="en-US"/>
              </w:rPr>
            </w:pPr>
            <w:r>
              <w:rPr>
                <w:color w:val="000000"/>
                <w:sz w:val="20"/>
                <w:szCs w:val="20"/>
                <w:lang w:val="en-US"/>
              </w:rPr>
              <w:t>Clinical / Tertiary care hospital ICU</w:t>
            </w:r>
          </w:p>
        </w:tc>
        <w:tc>
          <w:tcPr>
            <w:tcW w:w="1549" w:type="dxa"/>
            <w:tcBorders>
              <w:top w:val="nil"/>
            </w:tcBorders>
            <w:vAlign w:val="center"/>
          </w:tcPr>
          <w:p w14:paraId="45EF6E47" w14:textId="77777777" w:rsidR="00347734" w:rsidRDefault="001F3B15">
            <w:pPr>
              <w:jc w:val="center"/>
              <w:rPr>
                <w:color w:val="000000"/>
                <w:sz w:val="20"/>
                <w:szCs w:val="20"/>
                <w:lang w:val="en-US"/>
              </w:rPr>
            </w:pPr>
            <w:r>
              <w:rPr>
                <w:color w:val="000000"/>
                <w:sz w:val="20"/>
                <w:szCs w:val="20"/>
                <w:lang w:val="en-US"/>
              </w:rPr>
              <w:t>103/103</w:t>
            </w:r>
          </w:p>
        </w:tc>
        <w:tc>
          <w:tcPr>
            <w:tcW w:w="1833" w:type="dxa"/>
            <w:tcBorders>
              <w:top w:val="nil"/>
            </w:tcBorders>
            <w:vAlign w:val="center"/>
          </w:tcPr>
          <w:p w14:paraId="0D667954" w14:textId="77777777" w:rsidR="00347734" w:rsidRDefault="001F3B15">
            <w:pPr>
              <w:jc w:val="center"/>
              <w:rPr>
                <w:color w:val="000000"/>
                <w:sz w:val="20"/>
                <w:szCs w:val="20"/>
                <w:lang w:val="en-US"/>
              </w:rPr>
            </w:pPr>
            <w:r>
              <w:rPr>
                <w:color w:val="000000"/>
                <w:sz w:val="20"/>
                <w:szCs w:val="20"/>
                <w:lang w:val="en-US"/>
              </w:rPr>
              <w:t>Rectal Swabs</w:t>
            </w:r>
          </w:p>
        </w:tc>
        <w:tc>
          <w:tcPr>
            <w:tcW w:w="1200" w:type="dxa"/>
            <w:tcBorders>
              <w:top w:val="nil"/>
            </w:tcBorders>
            <w:vAlign w:val="center"/>
          </w:tcPr>
          <w:p w14:paraId="2F4955B2" w14:textId="77777777" w:rsidR="00347734" w:rsidRDefault="001F3B15">
            <w:pPr>
              <w:jc w:val="center"/>
              <w:rPr>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w:t>
            </w:r>
          </w:p>
          <w:p w14:paraId="2B6960C3" w14:textId="77777777" w:rsidR="00347734" w:rsidRDefault="001F3B15">
            <w:pPr>
              <w:jc w:val="center"/>
              <w:rPr>
                <w:color w:val="000000"/>
                <w:sz w:val="20"/>
                <w:szCs w:val="20"/>
                <w:lang w:val="en-US"/>
              </w:rPr>
            </w:pPr>
            <w:r>
              <w:rPr>
                <w:color w:val="000000"/>
                <w:sz w:val="20"/>
                <w:szCs w:val="20"/>
                <w:lang w:val="en-US"/>
              </w:rPr>
              <w:t>(8/103)</w:t>
            </w:r>
          </w:p>
        </w:tc>
        <w:tc>
          <w:tcPr>
            <w:tcW w:w="1734" w:type="dxa"/>
            <w:tcBorders>
              <w:top w:val="nil"/>
            </w:tcBorders>
            <w:vAlign w:val="center"/>
          </w:tcPr>
          <w:p w14:paraId="04B1DD2E" w14:textId="77777777" w:rsidR="00347734" w:rsidRDefault="001F3B15">
            <w:pPr>
              <w:jc w:val="center"/>
              <w:rPr>
                <w:color w:val="000000"/>
                <w:sz w:val="20"/>
                <w:szCs w:val="20"/>
                <w:lang w:val="en-US"/>
              </w:rPr>
            </w:pPr>
            <w:r>
              <w:rPr>
                <w:color w:val="000000"/>
                <w:sz w:val="20"/>
                <w:szCs w:val="20"/>
                <w:lang w:val="en-US"/>
              </w:rPr>
              <w:t>PCR</w:t>
            </w:r>
          </w:p>
          <w:p w14:paraId="367ED400" w14:textId="77777777" w:rsidR="00347734" w:rsidRDefault="00347734">
            <w:pPr>
              <w:jc w:val="center"/>
              <w:rPr>
                <w:color w:val="000000"/>
                <w:sz w:val="20"/>
                <w:szCs w:val="20"/>
                <w:lang w:val="en-US"/>
              </w:rPr>
            </w:pPr>
          </w:p>
        </w:tc>
        <w:tc>
          <w:tcPr>
            <w:tcW w:w="828" w:type="dxa"/>
            <w:tcBorders>
              <w:top w:val="nil"/>
            </w:tcBorders>
            <w:vAlign w:val="center"/>
          </w:tcPr>
          <w:p w14:paraId="3A97D6DF" w14:textId="77777777" w:rsidR="00347734" w:rsidRDefault="001F3B15">
            <w:pPr>
              <w:jc w:val="center"/>
              <w:rPr>
                <w:color w:val="000000"/>
                <w:sz w:val="20"/>
                <w:szCs w:val="20"/>
                <w:lang w:val="en-US"/>
              </w:rPr>
            </w:pPr>
            <w:r>
              <w:rPr>
                <w:color w:val="000000"/>
                <w:sz w:val="20"/>
                <w:szCs w:val="20"/>
                <w:lang w:val="en-US"/>
              </w:rPr>
              <w:t>(7/8)</w:t>
            </w:r>
          </w:p>
        </w:tc>
      </w:tr>
      <w:tr w:rsidR="00347734" w14:paraId="7E7117C9" w14:textId="77777777">
        <w:trPr>
          <w:trHeight w:val="936"/>
        </w:trPr>
        <w:tc>
          <w:tcPr>
            <w:tcW w:w="592" w:type="dxa"/>
            <w:tcBorders>
              <w:top w:val="nil"/>
            </w:tcBorders>
            <w:vAlign w:val="center"/>
          </w:tcPr>
          <w:p w14:paraId="1CADFDDA" w14:textId="77777777" w:rsidR="00347734" w:rsidRDefault="001F3B15">
            <w:pPr>
              <w:jc w:val="center"/>
              <w:rPr>
                <w:color w:val="000000"/>
                <w:sz w:val="20"/>
                <w:szCs w:val="20"/>
                <w:lang w:val="en-US"/>
              </w:rPr>
            </w:pPr>
            <w:r>
              <w:rPr>
                <w:color w:val="000000"/>
                <w:sz w:val="20"/>
                <w:szCs w:val="20"/>
                <w:lang w:val="en-US"/>
              </w:rPr>
              <w:t>16</w:t>
            </w:r>
          </w:p>
        </w:tc>
        <w:tc>
          <w:tcPr>
            <w:tcW w:w="1193" w:type="dxa"/>
            <w:tcBorders>
              <w:top w:val="nil"/>
            </w:tcBorders>
            <w:vAlign w:val="center"/>
          </w:tcPr>
          <w:p w14:paraId="59F065F1" w14:textId="77777777" w:rsidR="00347734" w:rsidRDefault="001F3B15">
            <w:pPr>
              <w:jc w:val="center"/>
              <w:rPr>
                <w:lang w:val="en-US"/>
              </w:rPr>
            </w:pPr>
            <w:proofErr w:type="spellStart"/>
            <w:r>
              <w:rPr>
                <w:color w:val="000000"/>
                <w:sz w:val="20"/>
                <w:szCs w:val="20"/>
                <w:lang w:val="en-US"/>
              </w:rPr>
              <w:t>Raro</w:t>
            </w:r>
            <w:proofErr w:type="spellEnd"/>
            <w:r>
              <w:rPr>
                <w:color w:val="000000"/>
                <w:sz w:val="20"/>
                <w:szCs w:val="20"/>
                <w:lang w:val="en-US"/>
              </w:rPr>
              <w:t xml:space="preserve"> </w:t>
            </w:r>
            <w:r>
              <w:rPr>
                <w:i/>
                <w:iCs/>
                <w:color w:val="000000"/>
                <w:sz w:val="20"/>
                <w:szCs w:val="20"/>
                <w:lang w:val="en-US"/>
              </w:rPr>
              <w:t>et al.,</w:t>
            </w:r>
            <w:r>
              <w:rPr>
                <w:color w:val="000000"/>
                <w:sz w:val="20"/>
                <w:szCs w:val="20"/>
                <w:lang w:val="en-US"/>
              </w:rPr>
              <w:t xml:space="preserve"> 2020</w:t>
            </w:r>
          </w:p>
        </w:tc>
        <w:tc>
          <w:tcPr>
            <w:tcW w:w="1641" w:type="dxa"/>
            <w:tcBorders>
              <w:top w:val="nil"/>
            </w:tcBorders>
            <w:vAlign w:val="center"/>
          </w:tcPr>
          <w:p w14:paraId="7683AEE8" w14:textId="77777777" w:rsidR="00347734" w:rsidRDefault="001F3B15">
            <w:pPr>
              <w:jc w:val="center"/>
              <w:rPr>
                <w:color w:val="000000"/>
                <w:sz w:val="20"/>
                <w:szCs w:val="20"/>
                <w:lang w:val="en-US"/>
              </w:rPr>
            </w:pPr>
            <w:r>
              <w:rPr>
                <w:color w:val="000000"/>
                <w:sz w:val="20"/>
                <w:szCs w:val="20"/>
                <w:lang w:val="en-US"/>
              </w:rPr>
              <w:t>Retrospective cross-sectional / 2017 - 2018</w:t>
            </w:r>
          </w:p>
        </w:tc>
        <w:tc>
          <w:tcPr>
            <w:tcW w:w="1774" w:type="dxa"/>
            <w:tcBorders>
              <w:top w:val="nil"/>
            </w:tcBorders>
            <w:vAlign w:val="center"/>
          </w:tcPr>
          <w:p w14:paraId="34D9EAC0" w14:textId="77777777" w:rsidR="00347734" w:rsidRDefault="001F3B15">
            <w:pPr>
              <w:jc w:val="center"/>
              <w:rPr>
                <w:color w:val="000000"/>
                <w:sz w:val="20"/>
                <w:szCs w:val="20"/>
                <w:lang w:val="en-US"/>
              </w:rPr>
            </w:pPr>
            <w:r>
              <w:rPr>
                <w:color w:val="000000"/>
                <w:sz w:val="20"/>
                <w:szCs w:val="20"/>
                <w:lang w:val="en-US"/>
              </w:rPr>
              <w:t>Porto Alegre, Rio Grande do Sul State, South region</w:t>
            </w:r>
          </w:p>
        </w:tc>
        <w:tc>
          <w:tcPr>
            <w:tcW w:w="1660" w:type="dxa"/>
            <w:tcBorders>
              <w:top w:val="nil"/>
            </w:tcBorders>
            <w:vAlign w:val="center"/>
          </w:tcPr>
          <w:p w14:paraId="270F93F4" w14:textId="77777777" w:rsidR="00347734" w:rsidRDefault="001F3B15">
            <w:pPr>
              <w:jc w:val="center"/>
              <w:rPr>
                <w:color w:val="000000"/>
                <w:sz w:val="20"/>
                <w:szCs w:val="20"/>
                <w:lang w:val="en-US"/>
              </w:rPr>
            </w:pPr>
            <w:r>
              <w:rPr>
                <w:color w:val="000000"/>
                <w:sz w:val="20"/>
                <w:szCs w:val="20"/>
                <w:lang w:val="en-US"/>
              </w:rPr>
              <w:t>Clinical / 1.000 bed hospital complex</w:t>
            </w:r>
          </w:p>
        </w:tc>
        <w:tc>
          <w:tcPr>
            <w:tcW w:w="1549" w:type="dxa"/>
            <w:tcBorders>
              <w:top w:val="nil"/>
            </w:tcBorders>
            <w:vAlign w:val="center"/>
          </w:tcPr>
          <w:p w14:paraId="1BABC711" w14:textId="77777777" w:rsidR="00347734" w:rsidRDefault="001F3B15">
            <w:pPr>
              <w:jc w:val="center"/>
              <w:rPr>
                <w:color w:val="000000"/>
                <w:sz w:val="20"/>
                <w:szCs w:val="20"/>
                <w:lang w:val="en-US"/>
              </w:rPr>
            </w:pPr>
            <w:r>
              <w:rPr>
                <w:color w:val="000000"/>
                <w:sz w:val="20"/>
                <w:szCs w:val="20"/>
                <w:lang w:val="en-US"/>
              </w:rPr>
              <w:t>80/80</w:t>
            </w:r>
          </w:p>
        </w:tc>
        <w:tc>
          <w:tcPr>
            <w:tcW w:w="1833" w:type="dxa"/>
            <w:tcBorders>
              <w:top w:val="nil"/>
            </w:tcBorders>
            <w:vAlign w:val="center"/>
          </w:tcPr>
          <w:p w14:paraId="28009F55" w14:textId="77777777" w:rsidR="00347734" w:rsidRDefault="001F3B15">
            <w:pPr>
              <w:jc w:val="center"/>
              <w:rPr>
                <w:color w:val="000000"/>
                <w:sz w:val="20"/>
                <w:szCs w:val="20"/>
                <w:lang w:val="en-US"/>
              </w:rPr>
            </w:pPr>
            <w:r>
              <w:rPr>
                <w:color w:val="000000"/>
                <w:sz w:val="20"/>
                <w:szCs w:val="20"/>
                <w:lang w:val="en-US"/>
              </w:rPr>
              <w:t>Rectal swabs</w:t>
            </w:r>
          </w:p>
        </w:tc>
        <w:tc>
          <w:tcPr>
            <w:tcW w:w="1200" w:type="dxa"/>
            <w:tcBorders>
              <w:top w:val="nil"/>
            </w:tcBorders>
            <w:vAlign w:val="center"/>
          </w:tcPr>
          <w:p w14:paraId="3AED56A6" w14:textId="77777777" w:rsidR="00347734" w:rsidRDefault="001F3B15">
            <w:pPr>
              <w:jc w:val="center"/>
              <w:rPr>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w:t>
            </w:r>
          </w:p>
          <w:p w14:paraId="3E21DED2" w14:textId="77777777" w:rsidR="00347734" w:rsidRDefault="001F3B15">
            <w:pPr>
              <w:jc w:val="center"/>
              <w:rPr>
                <w:i/>
                <w:iCs/>
                <w:color w:val="000000"/>
                <w:sz w:val="20"/>
                <w:szCs w:val="20"/>
                <w:lang w:val="en-US"/>
              </w:rPr>
            </w:pPr>
            <w:r>
              <w:rPr>
                <w:color w:val="000000"/>
                <w:sz w:val="20"/>
                <w:szCs w:val="20"/>
                <w:lang w:val="en-US"/>
              </w:rPr>
              <w:t>(71/80)</w:t>
            </w:r>
          </w:p>
        </w:tc>
        <w:tc>
          <w:tcPr>
            <w:tcW w:w="1734" w:type="dxa"/>
            <w:tcBorders>
              <w:top w:val="nil"/>
            </w:tcBorders>
            <w:vAlign w:val="center"/>
          </w:tcPr>
          <w:p w14:paraId="346DE0D4" w14:textId="77777777" w:rsidR="00347734" w:rsidRDefault="001F3B15">
            <w:pPr>
              <w:jc w:val="center"/>
              <w:rPr>
                <w:color w:val="000000"/>
                <w:sz w:val="20"/>
                <w:szCs w:val="20"/>
                <w:lang w:val="en-US"/>
              </w:rPr>
            </w:pPr>
            <w:r>
              <w:rPr>
                <w:color w:val="000000"/>
                <w:sz w:val="20"/>
                <w:szCs w:val="20"/>
                <w:lang w:val="en-US"/>
              </w:rPr>
              <w:t>WGS</w:t>
            </w:r>
          </w:p>
        </w:tc>
        <w:tc>
          <w:tcPr>
            <w:tcW w:w="828" w:type="dxa"/>
            <w:tcBorders>
              <w:top w:val="nil"/>
            </w:tcBorders>
            <w:vAlign w:val="center"/>
          </w:tcPr>
          <w:p w14:paraId="7656E3E1" w14:textId="77777777" w:rsidR="00347734" w:rsidRDefault="001F3B15">
            <w:pPr>
              <w:jc w:val="center"/>
              <w:rPr>
                <w:color w:val="000000"/>
                <w:sz w:val="20"/>
                <w:szCs w:val="20"/>
                <w:lang w:val="en-US"/>
              </w:rPr>
            </w:pPr>
            <w:r>
              <w:rPr>
                <w:color w:val="000000"/>
                <w:sz w:val="20"/>
                <w:szCs w:val="20"/>
                <w:lang w:val="en-US"/>
              </w:rPr>
              <w:t>(8/8)</w:t>
            </w:r>
          </w:p>
        </w:tc>
      </w:tr>
      <w:tr w:rsidR="00347734" w14:paraId="37395798" w14:textId="77777777">
        <w:trPr>
          <w:trHeight w:val="936"/>
        </w:trPr>
        <w:tc>
          <w:tcPr>
            <w:tcW w:w="592" w:type="dxa"/>
            <w:vAlign w:val="center"/>
          </w:tcPr>
          <w:p w14:paraId="53AA6D55" w14:textId="77777777" w:rsidR="00347734" w:rsidRDefault="001F3B15">
            <w:pPr>
              <w:jc w:val="center"/>
              <w:rPr>
                <w:color w:val="000000"/>
                <w:sz w:val="20"/>
                <w:szCs w:val="20"/>
                <w:lang w:val="en-US"/>
              </w:rPr>
            </w:pPr>
            <w:r>
              <w:rPr>
                <w:color w:val="000000"/>
                <w:sz w:val="20"/>
                <w:szCs w:val="20"/>
                <w:lang w:val="en-US"/>
              </w:rPr>
              <w:t>17</w:t>
            </w:r>
          </w:p>
        </w:tc>
        <w:tc>
          <w:tcPr>
            <w:tcW w:w="1193" w:type="dxa"/>
            <w:vAlign w:val="center"/>
          </w:tcPr>
          <w:p w14:paraId="4C3144B3" w14:textId="77777777" w:rsidR="00347734" w:rsidRDefault="001F3B15">
            <w:pPr>
              <w:jc w:val="center"/>
              <w:rPr>
                <w:lang w:val="en-US"/>
              </w:rPr>
            </w:pPr>
            <w:r>
              <w:rPr>
                <w:color w:val="000000"/>
                <w:sz w:val="20"/>
                <w:szCs w:val="20"/>
                <w:lang w:val="en-US"/>
              </w:rPr>
              <w:t xml:space="preserve">Firmo </w:t>
            </w:r>
            <w:r>
              <w:rPr>
                <w:i/>
                <w:iCs/>
                <w:color w:val="000000"/>
                <w:sz w:val="20"/>
                <w:szCs w:val="20"/>
                <w:lang w:val="en-US"/>
              </w:rPr>
              <w:t>et al.,</w:t>
            </w:r>
            <w:r>
              <w:rPr>
                <w:color w:val="000000"/>
                <w:sz w:val="20"/>
                <w:szCs w:val="20"/>
                <w:lang w:val="en-US"/>
              </w:rPr>
              <w:t xml:space="preserve"> 2020</w:t>
            </w:r>
          </w:p>
        </w:tc>
        <w:tc>
          <w:tcPr>
            <w:tcW w:w="1641" w:type="dxa"/>
            <w:vAlign w:val="center"/>
          </w:tcPr>
          <w:p w14:paraId="1925534F" w14:textId="77777777" w:rsidR="00347734" w:rsidRDefault="001F3B15">
            <w:pPr>
              <w:jc w:val="center"/>
              <w:rPr>
                <w:color w:val="000000"/>
                <w:sz w:val="20"/>
                <w:szCs w:val="20"/>
                <w:lang w:val="en-US"/>
              </w:rPr>
            </w:pPr>
            <w:r>
              <w:rPr>
                <w:color w:val="000000"/>
                <w:sz w:val="20"/>
                <w:szCs w:val="20"/>
                <w:lang w:val="en-US"/>
              </w:rPr>
              <w:t xml:space="preserve">Retrospective </w:t>
            </w:r>
            <w:r>
              <w:rPr>
                <w:color w:val="000000"/>
                <w:sz w:val="20"/>
                <w:szCs w:val="20"/>
                <w:lang w:val="en-US"/>
              </w:rPr>
              <w:t>cross-sectional / 2016 – 2018</w:t>
            </w:r>
          </w:p>
        </w:tc>
        <w:tc>
          <w:tcPr>
            <w:tcW w:w="1774" w:type="dxa"/>
            <w:vAlign w:val="center"/>
          </w:tcPr>
          <w:p w14:paraId="47F9ADBA" w14:textId="77777777" w:rsidR="00347734" w:rsidRDefault="001F3B15">
            <w:pPr>
              <w:jc w:val="center"/>
              <w:rPr>
                <w:color w:val="000000"/>
                <w:sz w:val="20"/>
                <w:szCs w:val="20"/>
                <w:lang w:val="en-US"/>
              </w:rPr>
            </w:pPr>
            <w:r>
              <w:rPr>
                <w:color w:val="000000"/>
                <w:sz w:val="20"/>
                <w:szCs w:val="20"/>
                <w:lang w:val="en-US"/>
              </w:rPr>
              <w:t>Recife, Pernambuco State / Northeast region</w:t>
            </w:r>
          </w:p>
        </w:tc>
        <w:tc>
          <w:tcPr>
            <w:tcW w:w="1660" w:type="dxa"/>
            <w:vAlign w:val="center"/>
          </w:tcPr>
          <w:p w14:paraId="508AA2F8" w14:textId="77777777" w:rsidR="00347734" w:rsidRDefault="001F3B15">
            <w:pPr>
              <w:jc w:val="center"/>
              <w:rPr>
                <w:color w:val="000000"/>
                <w:sz w:val="20"/>
                <w:szCs w:val="20"/>
                <w:lang w:val="en-US"/>
              </w:rPr>
            </w:pPr>
            <w:r>
              <w:rPr>
                <w:color w:val="000000"/>
                <w:sz w:val="20"/>
                <w:szCs w:val="20"/>
                <w:lang w:val="en-US"/>
              </w:rPr>
              <w:t>Clinical / Three public and private hospitals</w:t>
            </w:r>
          </w:p>
        </w:tc>
        <w:tc>
          <w:tcPr>
            <w:tcW w:w="1549" w:type="dxa"/>
            <w:vAlign w:val="center"/>
          </w:tcPr>
          <w:p w14:paraId="719ADB3C" w14:textId="77777777" w:rsidR="00347734" w:rsidRDefault="001F3B15">
            <w:pPr>
              <w:jc w:val="center"/>
              <w:rPr>
                <w:color w:val="000000"/>
                <w:sz w:val="20"/>
                <w:szCs w:val="20"/>
                <w:lang w:val="en-US"/>
              </w:rPr>
            </w:pPr>
            <w:r>
              <w:rPr>
                <w:color w:val="000000"/>
                <w:sz w:val="20"/>
                <w:szCs w:val="20"/>
                <w:lang w:val="en-US"/>
              </w:rPr>
              <w:t>16/16</w:t>
            </w:r>
          </w:p>
        </w:tc>
        <w:tc>
          <w:tcPr>
            <w:tcW w:w="1833" w:type="dxa"/>
            <w:vAlign w:val="center"/>
          </w:tcPr>
          <w:p w14:paraId="5CD97026" w14:textId="77777777" w:rsidR="00347734" w:rsidRDefault="001F3B15">
            <w:pPr>
              <w:jc w:val="center"/>
              <w:rPr>
                <w:color w:val="000000"/>
                <w:sz w:val="20"/>
                <w:szCs w:val="20"/>
                <w:lang w:val="en-US"/>
              </w:rPr>
            </w:pPr>
            <w:r>
              <w:rPr>
                <w:color w:val="000000"/>
                <w:sz w:val="20"/>
                <w:szCs w:val="20"/>
                <w:lang w:val="en-US"/>
              </w:rPr>
              <w:t>Urine, Surgical wound, Tracheal aspirate, Rectal swab</w:t>
            </w:r>
          </w:p>
          <w:p w14:paraId="1CB05C9D" w14:textId="77777777" w:rsidR="00347734" w:rsidRDefault="001F3B15">
            <w:pPr>
              <w:jc w:val="center"/>
              <w:rPr>
                <w:color w:val="000000"/>
                <w:sz w:val="20"/>
                <w:szCs w:val="20"/>
                <w:lang w:val="en-US"/>
              </w:rPr>
            </w:pPr>
            <w:r>
              <w:rPr>
                <w:color w:val="000000"/>
                <w:sz w:val="20"/>
                <w:szCs w:val="20"/>
                <w:lang w:val="en-US"/>
              </w:rPr>
              <w:t>Blood, CSF, Bone</w:t>
            </w:r>
          </w:p>
        </w:tc>
        <w:tc>
          <w:tcPr>
            <w:tcW w:w="1200" w:type="dxa"/>
            <w:vAlign w:val="center"/>
          </w:tcPr>
          <w:p w14:paraId="34DDC1B6"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(15/16)</w:t>
            </w:r>
          </w:p>
        </w:tc>
        <w:tc>
          <w:tcPr>
            <w:tcW w:w="1734" w:type="dxa"/>
            <w:vAlign w:val="center"/>
          </w:tcPr>
          <w:p w14:paraId="3A5D3251" w14:textId="77777777" w:rsidR="00347734" w:rsidRDefault="001F3B15">
            <w:pPr>
              <w:jc w:val="center"/>
              <w:rPr>
                <w:color w:val="000000"/>
                <w:sz w:val="20"/>
                <w:szCs w:val="20"/>
                <w:lang w:val="en-US"/>
              </w:rPr>
            </w:pPr>
            <w:r>
              <w:rPr>
                <w:color w:val="000000"/>
                <w:sz w:val="20"/>
                <w:szCs w:val="20"/>
                <w:lang w:val="en-US"/>
              </w:rPr>
              <w:t>PCR</w:t>
            </w:r>
          </w:p>
          <w:p w14:paraId="2460270B" w14:textId="77777777" w:rsidR="00347734" w:rsidRDefault="00347734">
            <w:pPr>
              <w:jc w:val="center"/>
              <w:rPr>
                <w:color w:val="000000"/>
                <w:sz w:val="20"/>
                <w:szCs w:val="20"/>
                <w:lang w:val="en-US"/>
              </w:rPr>
            </w:pPr>
          </w:p>
        </w:tc>
        <w:tc>
          <w:tcPr>
            <w:tcW w:w="828" w:type="dxa"/>
            <w:vAlign w:val="center"/>
          </w:tcPr>
          <w:p w14:paraId="17C68DC4" w14:textId="77777777" w:rsidR="00347734" w:rsidRDefault="001F3B15">
            <w:pPr>
              <w:jc w:val="center"/>
              <w:rPr>
                <w:color w:val="000000"/>
                <w:sz w:val="20"/>
                <w:szCs w:val="20"/>
                <w:lang w:val="en-US"/>
              </w:rPr>
            </w:pPr>
            <w:r>
              <w:rPr>
                <w:color w:val="000000"/>
                <w:sz w:val="20"/>
                <w:szCs w:val="20"/>
                <w:lang w:val="en-US"/>
              </w:rPr>
              <w:t>(8/8)</w:t>
            </w:r>
          </w:p>
        </w:tc>
      </w:tr>
      <w:tr w:rsidR="00347734" w14:paraId="0FAB1199" w14:textId="77777777">
        <w:trPr>
          <w:trHeight w:val="936"/>
        </w:trPr>
        <w:tc>
          <w:tcPr>
            <w:tcW w:w="592" w:type="dxa"/>
            <w:vAlign w:val="center"/>
          </w:tcPr>
          <w:p w14:paraId="2DE22F52" w14:textId="77777777" w:rsidR="00347734" w:rsidRDefault="001F3B15">
            <w:pPr>
              <w:jc w:val="center"/>
              <w:rPr>
                <w:color w:val="000000"/>
                <w:sz w:val="20"/>
                <w:szCs w:val="20"/>
                <w:lang w:val="en-US"/>
              </w:rPr>
            </w:pPr>
            <w:r>
              <w:rPr>
                <w:color w:val="000000"/>
                <w:sz w:val="20"/>
                <w:szCs w:val="20"/>
                <w:lang w:val="en-US"/>
              </w:rPr>
              <w:lastRenderedPageBreak/>
              <w:t>18</w:t>
            </w:r>
          </w:p>
        </w:tc>
        <w:tc>
          <w:tcPr>
            <w:tcW w:w="1193" w:type="dxa"/>
            <w:vAlign w:val="center"/>
          </w:tcPr>
          <w:p w14:paraId="593E331B" w14:textId="77777777" w:rsidR="00347734" w:rsidRDefault="001F3B15">
            <w:pPr>
              <w:jc w:val="center"/>
              <w:rPr>
                <w:lang w:val="en-US"/>
              </w:rPr>
            </w:pPr>
            <w:r>
              <w:rPr>
                <w:color w:val="000000"/>
                <w:sz w:val="20"/>
                <w:szCs w:val="20"/>
                <w:lang w:val="en-US"/>
              </w:rPr>
              <w:t xml:space="preserve">Vivas </w:t>
            </w:r>
            <w:r>
              <w:rPr>
                <w:i/>
                <w:iCs/>
                <w:color w:val="000000"/>
                <w:sz w:val="20"/>
                <w:szCs w:val="20"/>
                <w:lang w:val="en-US"/>
              </w:rPr>
              <w:t xml:space="preserve">et al., </w:t>
            </w:r>
            <w:r>
              <w:rPr>
                <w:color w:val="000000"/>
                <w:sz w:val="20"/>
                <w:szCs w:val="20"/>
                <w:lang w:val="en-US"/>
              </w:rPr>
              <w:t>2020</w:t>
            </w:r>
          </w:p>
        </w:tc>
        <w:tc>
          <w:tcPr>
            <w:tcW w:w="1641" w:type="dxa"/>
            <w:vAlign w:val="center"/>
          </w:tcPr>
          <w:p w14:paraId="423B763D" w14:textId="77777777" w:rsidR="00347734" w:rsidRDefault="001F3B15">
            <w:pPr>
              <w:jc w:val="center"/>
              <w:rPr>
                <w:color w:val="000000"/>
                <w:sz w:val="20"/>
                <w:szCs w:val="20"/>
                <w:lang w:val="en-US"/>
              </w:rPr>
            </w:pPr>
            <w:r>
              <w:rPr>
                <w:color w:val="000000"/>
                <w:sz w:val="20"/>
                <w:szCs w:val="20"/>
                <w:lang w:val="en-US"/>
              </w:rPr>
              <w:t>Retrospective cross-sectional</w:t>
            </w:r>
          </w:p>
        </w:tc>
        <w:tc>
          <w:tcPr>
            <w:tcW w:w="1774" w:type="dxa"/>
            <w:vAlign w:val="center"/>
          </w:tcPr>
          <w:p w14:paraId="7E33DD6B" w14:textId="77777777" w:rsidR="00347734" w:rsidRDefault="001F3B15">
            <w:pPr>
              <w:jc w:val="center"/>
              <w:rPr>
                <w:color w:val="000000"/>
                <w:sz w:val="20"/>
                <w:szCs w:val="20"/>
                <w:lang w:val="en-US"/>
              </w:rPr>
            </w:pPr>
            <w:r>
              <w:rPr>
                <w:color w:val="000000"/>
                <w:sz w:val="20"/>
                <w:szCs w:val="20"/>
                <w:lang w:val="en-US"/>
              </w:rPr>
              <w:t>Aracaju, Sergipe State / Northeast region</w:t>
            </w:r>
          </w:p>
        </w:tc>
        <w:tc>
          <w:tcPr>
            <w:tcW w:w="1660" w:type="dxa"/>
            <w:vAlign w:val="center"/>
          </w:tcPr>
          <w:p w14:paraId="26C25B37" w14:textId="77777777" w:rsidR="00347734" w:rsidRDefault="001F3B15">
            <w:pPr>
              <w:jc w:val="center"/>
              <w:rPr>
                <w:color w:val="000000"/>
                <w:sz w:val="20"/>
                <w:szCs w:val="20"/>
                <w:lang w:val="en-US"/>
              </w:rPr>
            </w:pPr>
            <w:r>
              <w:rPr>
                <w:color w:val="000000"/>
                <w:sz w:val="20"/>
                <w:szCs w:val="20"/>
                <w:lang w:val="en-US"/>
              </w:rPr>
              <w:t>Clinical / Hospital microbiology laboratory</w:t>
            </w:r>
          </w:p>
        </w:tc>
        <w:tc>
          <w:tcPr>
            <w:tcW w:w="1549" w:type="dxa"/>
            <w:vAlign w:val="center"/>
          </w:tcPr>
          <w:p w14:paraId="093224E0" w14:textId="77777777" w:rsidR="00347734" w:rsidRDefault="001F3B15">
            <w:pPr>
              <w:jc w:val="center"/>
              <w:rPr>
                <w:color w:val="000000"/>
                <w:sz w:val="20"/>
                <w:szCs w:val="20"/>
                <w:lang w:val="en-US"/>
              </w:rPr>
            </w:pPr>
            <w:r>
              <w:rPr>
                <w:color w:val="000000"/>
                <w:sz w:val="20"/>
                <w:szCs w:val="20"/>
                <w:lang w:val="en-US"/>
              </w:rPr>
              <w:t>147/147</w:t>
            </w:r>
          </w:p>
        </w:tc>
        <w:tc>
          <w:tcPr>
            <w:tcW w:w="1833" w:type="dxa"/>
            <w:vAlign w:val="center"/>
          </w:tcPr>
          <w:p w14:paraId="63BD5B52" w14:textId="77777777" w:rsidR="00347734" w:rsidRDefault="001F3B15">
            <w:pPr>
              <w:jc w:val="center"/>
              <w:rPr>
                <w:color w:val="000000"/>
                <w:sz w:val="20"/>
                <w:szCs w:val="20"/>
                <w:lang w:val="en-US"/>
              </w:rPr>
            </w:pPr>
            <w:r>
              <w:rPr>
                <w:color w:val="000000"/>
                <w:sz w:val="20"/>
                <w:szCs w:val="20"/>
                <w:lang w:val="en-US"/>
              </w:rPr>
              <w:t>Not described</w:t>
            </w:r>
          </w:p>
        </w:tc>
        <w:tc>
          <w:tcPr>
            <w:tcW w:w="1200" w:type="dxa"/>
            <w:vAlign w:val="center"/>
          </w:tcPr>
          <w:p w14:paraId="72655099"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(9/147)</w:t>
            </w:r>
          </w:p>
        </w:tc>
        <w:tc>
          <w:tcPr>
            <w:tcW w:w="1734" w:type="dxa"/>
            <w:vAlign w:val="center"/>
          </w:tcPr>
          <w:p w14:paraId="33D1E86E"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16CE9EB4" w14:textId="77777777" w:rsidR="00347734" w:rsidRDefault="001F3B15">
            <w:pPr>
              <w:jc w:val="center"/>
              <w:rPr>
                <w:color w:val="000000"/>
                <w:sz w:val="20"/>
                <w:szCs w:val="20"/>
                <w:lang w:val="en-US"/>
              </w:rPr>
            </w:pPr>
            <w:r>
              <w:rPr>
                <w:color w:val="000000"/>
                <w:sz w:val="20"/>
                <w:szCs w:val="20"/>
                <w:lang w:val="en-US"/>
              </w:rPr>
              <w:t>(8/8)</w:t>
            </w:r>
          </w:p>
        </w:tc>
      </w:tr>
      <w:tr w:rsidR="00347734" w14:paraId="51CC681B" w14:textId="77777777">
        <w:trPr>
          <w:trHeight w:val="936"/>
        </w:trPr>
        <w:tc>
          <w:tcPr>
            <w:tcW w:w="592" w:type="dxa"/>
            <w:vAlign w:val="center"/>
          </w:tcPr>
          <w:p w14:paraId="30CEC285" w14:textId="77777777" w:rsidR="00347734" w:rsidRDefault="001F3B15">
            <w:pPr>
              <w:jc w:val="center"/>
              <w:rPr>
                <w:color w:val="000000"/>
                <w:sz w:val="20"/>
                <w:szCs w:val="20"/>
                <w:lang w:val="en-US"/>
              </w:rPr>
            </w:pPr>
            <w:r>
              <w:rPr>
                <w:color w:val="000000"/>
                <w:sz w:val="20"/>
                <w:szCs w:val="20"/>
                <w:lang w:val="en-US"/>
              </w:rPr>
              <w:t>19</w:t>
            </w:r>
          </w:p>
        </w:tc>
        <w:tc>
          <w:tcPr>
            <w:tcW w:w="1193" w:type="dxa"/>
            <w:vAlign w:val="center"/>
          </w:tcPr>
          <w:p w14:paraId="07093B0B" w14:textId="77777777" w:rsidR="00347734" w:rsidRDefault="001F3B15">
            <w:pPr>
              <w:jc w:val="center"/>
              <w:rPr>
                <w:lang w:val="en-US"/>
              </w:rPr>
            </w:pPr>
            <w:r>
              <w:rPr>
                <w:color w:val="000000"/>
                <w:sz w:val="20"/>
                <w:szCs w:val="20"/>
                <w:lang w:val="en-US"/>
              </w:rPr>
              <w:t xml:space="preserve">de Oliveira </w:t>
            </w:r>
            <w:r>
              <w:rPr>
                <w:i/>
                <w:iCs/>
                <w:color w:val="000000"/>
                <w:sz w:val="20"/>
                <w:szCs w:val="20"/>
                <w:lang w:val="en-US"/>
              </w:rPr>
              <w:t xml:space="preserve">et al., </w:t>
            </w:r>
            <w:r>
              <w:rPr>
                <w:color w:val="000000"/>
                <w:sz w:val="20"/>
                <w:szCs w:val="20"/>
                <w:lang w:val="en-US"/>
              </w:rPr>
              <w:t>2020</w:t>
            </w:r>
          </w:p>
        </w:tc>
        <w:tc>
          <w:tcPr>
            <w:tcW w:w="1641" w:type="dxa"/>
            <w:vAlign w:val="center"/>
          </w:tcPr>
          <w:p w14:paraId="082AB67E" w14:textId="77777777" w:rsidR="00347734" w:rsidRDefault="001F3B15">
            <w:pPr>
              <w:jc w:val="center"/>
              <w:rPr>
                <w:color w:val="000000"/>
                <w:sz w:val="20"/>
                <w:szCs w:val="20"/>
                <w:lang w:val="en-US"/>
              </w:rPr>
            </w:pPr>
            <w:r>
              <w:rPr>
                <w:color w:val="000000"/>
                <w:sz w:val="20"/>
                <w:szCs w:val="20"/>
                <w:lang w:val="en-US"/>
              </w:rPr>
              <w:t>Retrospective cross-sectional / 2017 - 2018</w:t>
            </w:r>
          </w:p>
        </w:tc>
        <w:tc>
          <w:tcPr>
            <w:tcW w:w="1774" w:type="dxa"/>
            <w:vAlign w:val="center"/>
          </w:tcPr>
          <w:p w14:paraId="69A7BAAA" w14:textId="77777777" w:rsidR="00347734" w:rsidRDefault="001F3B15">
            <w:pPr>
              <w:jc w:val="center"/>
              <w:rPr>
                <w:color w:val="000000"/>
                <w:sz w:val="20"/>
                <w:szCs w:val="20"/>
                <w:lang w:val="en-US"/>
              </w:rPr>
            </w:pPr>
            <w:r>
              <w:rPr>
                <w:color w:val="000000"/>
                <w:sz w:val="20"/>
                <w:szCs w:val="20"/>
                <w:lang w:val="en-US"/>
              </w:rPr>
              <w:t xml:space="preserve">Recife, </w:t>
            </w:r>
            <w:r>
              <w:rPr>
                <w:color w:val="000000"/>
                <w:sz w:val="20"/>
                <w:szCs w:val="20"/>
                <w:lang w:val="en-US"/>
              </w:rPr>
              <w:t>Pernambuco state / Northeast region</w:t>
            </w:r>
          </w:p>
        </w:tc>
        <w:tc>
          <w:tcPr>
            <w:tcW w:w="1660" w:type="dxa"/>
            <w:vAlign w:val="center"/>
          </w:tcPr>
          <w:p w14:paraId="62B1031E" w14:textId="77777777" w:rsidR="00347734" w:rsidRDefault="001F3B15">
            <w:pPr>
              <w:jc w:val="center"/>
              <w:rPr>
                <w:color w:val="000000"/>
                <w:sz w:val="20"/>
                <w:szCs w:val="20"/>
                <w:lang w:val="en-US"/>
              </w:rPr>
            </w:pPr>
            <w:r>
              <w:rPr>
                <w:color w:val="000000"/>
                <w:sz w:val="20"/>
                <w:szCs w:val="20"/>
                <w:lang w:val="en-US"/>
              </w:rPr>
              <w:t>Clinical / Public hospital</w:t>
            </w:r>
          </w:p>
        </w:tc>
        <w:tc>
          <w:tcPr>
            <w:tcW w:w="1549" w:type="dxa"/>
            <w:vAlign w:val="center"/>
          </w:tcPr>
          <w:p w14:paraId="3BD17D4D" w14:textId="77777777" w:rsidR="00347734" w:rsidRDefault="001F3B15">
            <w:pPr>
              <w:jc w:val="center"/>
              <w:rPr>
                <w:color w:val="000000"/>
                <w:sz w:val="20"/>
                <w:szCs w:val="20"/>
                <w:lang w:val="en-US"/>
              </w:rPr>
            </w:pPr>
            <w:r>
              <w:rPr>
                <w:color w:val="000000"/>
                <w:sz w:val="20"/>
                <w:szCs w:val="20"/>
                <w:lang w:val="en-US"/>
              </w:rPr>
              <w:t>27/27</w:t>
            </w:r>
          </w:p>
        </w:tc>
        <w:tc>
          <w:tcPr>
            <w:tcW w:w="1833" w:type="dxa"/>
            <w:vAlign w:val="center"/>
          </w:tcPr>
          <w:p w14:paraId="6EC0BFEC" w14:textId="77777777" w:rsidR="00347734" w:rsidRDefault="001F3B15">
            <w:pPr>
              <w:jc w:val="center"/>
              <w:rPr>
                <w:color w:val="000000"/>
                <w:sz w:val="20"/>
                <w:szCs w:val="20"/>
                <w:lang w:val="en-US"/>
              </w:rPr>
            </w:pPr>
            <w:r>
              <w:rPr>
                <w:color w:val="000000"/>
                <w:sz w:val="20"/>
                <w:szCs w:val="20"/>
                <w:lang w:val="en-US"/>
              </w:rPr>
              <w:t>Different sites on infection and colonization</w:t>
            </w:r>
          </w:p>
        </w:tc>
        <w:tc>
          <w:tcPr>
            <w:tcW w:w="1200" w:type="dxa"/>
            <w:vAlign w:val="center"/>
          </w:tcPr>
          <w:p w14:paraId="738FAF7A" w14:textId="77777777" w:rsidR="00347734" w:rsidRDefault="00347734">
            <w:pPr>
              <w:rPr>
                <w:color w:val="000000"/>
                <w:sz w:val="20"/>
                <w:szCs w:val="20"/>
                <w:lang w:val="en-US"/>
              </w:rPr>
            </w:pPr>
          </w:p>
          <w:p w14:paraId="6A4BC724"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(24/27)</w:t>
            </w:r>
          </w:p>
        </w:tc>
        <w:tc>
          <w:tcPr>
            <w:tcW w:w="1734" w:type="dxa"/>
            <w:vAlign w:val="center"/>
          </w:tcPr>
          <w:p w14:paraId="7823989A"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08A234B3" w14:textId="77777777" w:rsidR="00347734" w:rsidRDefault="001F3B15">
            <w:pPr>
              <w:jc w:val="center"/>
              <w:rPr>
                <w:color w:val="000000"/>
                <w:sz w:val="20"/>
                <w:szCs w:val="20"/>
                <w:lang w:val="en-US"/>
              </w:rPr>
            </w:pPr>
            <w:r>
              <w:rPr>
                <w:color w:val="000000"/>
                <w:sz w:val="20"/>
                <w:szCs w:val="20"/>
                <w:lang w:val="en-US"/>
              </w:rPr>
              <w:t>(8/8)</w:t>
            </w:r>
          </w:p>
        </w:tc>
      </w:tr>
      <w:tr w:rsidR="00347734" w14:paraId="26AAB710" w14:textId="77777777">
        <w:trPr>
          <w:trHeight w:val="936"/>
        </w:trPr>
        <w:tc>
          <w:tcPr>
            <w:tcW w:w="592" w:type="dxa"/>
            <w:vAlign w:val="center"/>
          </w:tcPr>
          <w:p w14:paraId="29C2ACAD" w14:textId="77777777" w:rsidR="00347734" w:rsidRDefault="001F3B15">
            <w:pPr>
              <w:jc w:val="center"/>
              <w:rPr>
                <w:color w:val="000000"/>
                <w:sz w:val="20"/>
                <w:szCs w:val="20"/>
                <w:lang w:val="en-US"/>
              </w:rPr>
            </w:pPr>
            <w:r>
              <w:rPr>
                <w:color w:val="000000"/>
                <w:sz w:val="20"/>
                <w:szCs w:val="20"/>
                <w:lang w:val="en-US"/>
              </w:rPr>
              <w:t>20</w:t>
            </w:r>
          </w:p>
        </w:tc>
        <w:tc>
          <w:tcPr>
            <w:tcW w:w="1193" w:type="dxa"/>
            <w:vAlign w:val="center"/>
          </w:tcPr>
          <w:p w14:paraId="2C672CA9" w14:textId="77777777" w:rsidR="00347734" w:rsidRDefault="001F3B15">
            <w:pPr>
              <w:jc w:val="center"/>
              <w:rPr>
                <w:lang w:val="en-US"/>
              </w:rPr>
            </w:pPr>
            <w:r>
              <w:rPr>
                <w:color w:val="000000"/>
                <w:sz w:val="20"/>
                <w:szCs w:val="20"/>
                <w:lang w:val="en-US"/>
              </w:rPr>
              <w:t xml:space="preserve">Rodrigues </w:t>
            </w:r>
            <w:r>
              <w:rPr>
                <w:i/>
                <w:iCs/>
                <w:color w:val="000000"/>
                <w:sz w:val="20"/>
                <w:szCs w:val="20"/>
                <w:lang w:val="en-US"/>
              </w:rPr>
              <w:t>et al.,</w:t>
            </w:r>
            <w:r>
              <w:rPr>
                <w:color w:val="000000"/>
                <w:sz w:val="20"/>
                <w:szCs w:val="20"/>
                <w:lang w:val="en-US"/>
              </w:rPr>
              <w:t xml:space="preserve"> 2021</w:t>
            </w:r>
          </w:p>
        </w:tc>
        <w:tc>
          <w:tcPr>
            <w:tcW w:w="1641" w:type="dxa"/>
            <w:vAlign w:val="center"/>
          </w:tcPr>
          <w:p w14:paraId="0D2911A2" w14:textId="77777777" w:rsidR="00347734" w:rsidRDefault="001F3B15">
            <w:pPr>
              <w:jc w:val="center"/>
              <w:rPr>
                <w:color w:val="000000"/>
                <w:sz w:val="20"/>
                <w:szCs w:val="20"/>
                <w:lang w:val="en-US"/>
              </w:rPr>
            </w:pPr>
            <w:r>
              <w:rPr>
                <w:color w:val="000000"/>
                <w:sz w:val="20"/>
                <w:szCs w:val="20"/>
                <w:lang w:val="en-US"/>
              </w:rPr>
              <w:t>Retrospective cross-sectional / 2018 - 2021</w:t>
            </w:r>
          </w:p>
        </w:tc>
        <w:tc>
          <w:tcPr>
            <w:tcW w:w="1774" w:type="dxa"/>
            <w:vAlign w:val="center"/>
          </w:tcPr>
          <w:p w14:paraId="7B963D34" w14:textId="77777777" w:rsidR="00347734" w:rsidRDefault="001F3B15">
            <w:pPr>
              <w:jc w:val="center"/>
              <w:rPr>
                <w:color w:val="000000"/>
                <w:sz w:val="20"/>
                <w:szCs w:val="20"/>
                <w:lang w:val="en-US"/>
              </w:rPr>
            </w:pPr>
            <w:r>
              <w:rPr>
                <w:color w:val="000000"/>
                <w:sz w:val="20"/>
                <w:szCs w:val="20"/>
                <w:lang w:val="en-US"/>
              </w:rPr>
              <w:t>Belém, Pará State / North region</w:t>
            </w:r>
          </w:p>
        </w:tc>
        <w:tc>
          <w:tcPr>
            <w:tcW w:w="1660" w:type="dxa"/>
            <w:vAlign w:val="center"/>
          </w:tcPr>
          <w:p w14:paraId="4DB6ED6C" w14:textId="77777777" w:rsidR="00347734" w:rsidRDefault="001F3B15">
            <w:pPr>
              <w:jc w:val="center"/>
              <w:rPr>
                <w:color w:val="000000"/>
                <w:sz w:val="20"/>
                <w:szCs w:val="20"/>
                <w:lang w:val="en-US"/>
              </w:rPr>
            </w:pPr>
            <w:r>
              <w:rPr>
                <w:color w:val="000000"/>
                <w:sz w:val="20"/>
                <w:szCs w:val="20"/>
                <w:lang w:val="en-US"/>
              </w:rPr>
              <w:t>Clinical / Nine different healthcare institutions in the region</w:t>
            </w:r>
          </w:p>
        </w:tc>
        <w:tc>
          <w:tcPr>
            <w:tcW w:w="1549" w:type="dxa"/>
            <w:vAlign w:val="center"/>
          </w:tcPr>
          <w:p w14:paraId="7DBF3A0C" w14:textId="77777777" w:rsidR="00347734" w:rsidRDefault="001F3B15">
            <w:pPr>
              <w:jc w:val="center"/>
              <w:rPr>
                <w:color w:val="000000"/>
                <w:sz w:val="20"/>
                <w:szCs w:val="20"/>
                <w:lang w:val="en-US"/>
              </w:rPr>
            </w:pPr>
            <w:r>
              <w:rPr>
                <w:color w:val="000000"/>
                <w:sz w:val="20"/>
                <w:szCs w:val="20"/>
                <w:lang w:val="en-US"/>
              </w:rPr>
              <w:t>23/23</w:t>
            </w:r>
          </w:p>
        </w:tc>
        <w:tc>
          <w:tcPr>
            <w:tcW w:w="1833" w:type="dxa"/>
            <w:vAlign w:val="center"/>
          </w:tcPr>
          <w:p w14:paraId="2C22DB31" w14:textId="77777777" w:rsidR="00347734" w:rsidRDefault="001F3B15">
            <w:pPr>
              <w:jc w:val="center"/>
              <w:rPr>
                <w:color w:val="000000"/>
                <w:sz w:val="20"/>
                <w:szCs w:val="20"/>
                <w:lang w:val="en-US"/>
              </w:rPr>
            </w:pPr>
            <w:r>
              <w:rPr>
                <w:color w:val="000000"/>
                <w:sz w:val="20"/>
                <w:szCs w:val="20"/>
                <w:lang w:val="en-US"/>
              </w:rPr>
              <w:t>Urine, blood, tracheal secretion, rectal swab, bronchoalveolar lavage, abdominal abscess secretion, wound secretion, nasopharyngeal secretion, soft-tissue secretion, and peritoneal fluid</w:t>
            </w:r>
          </w:p>
        </w:tc>
        <w:tc>
          <w:tcPr>
            <w:tcW w:w="1200" w:type="dxa"/>
            <w:vAlign w:val="center"/>
          </w:tcPr>
          <w:p w14:paraId="503FB1F4"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(4/23)</w:t>
            </w:r>
          </w:p>
        </w:tc>
        <w:tc>
          <w:tcPr>
            <w:tcW w:w="1734" w:type="dxa"/>
            <w:vAlign w:val="center"/>
          </w:tcPr>
          <w:p w14:paraId="369ABE99"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698ECF11" w14:textId="77777777" w:rsidR="00347734" w:rsidRDefault="001F3B15">
            <w:pPr>
              <w:jc w:val="center"/>
              <w:rPr>
                <w:color w:val="000000"/>
                <w:sz w:val="20"/>
                <w:szCs w:val="20"/>
                <w:lang w:val="en-US"/>
              </w:rPr>
            </w:pPr>
            <w:r>
              <w:rPr>
                <w:color w:val="000000"/>
                <w:sz w:val="20"/>
                <w:szCs w:val="20"/>
                <w:lang w:val="en-US"/>
              </w:rPr>
              <w:t>(8/8)</w:t>
            </w:r>
          </w:p>
        </w:tc>
      </w:tr>
      <w:tr w:rsidR="00347734" w14:paraId="71D7FEED" w14:textId="77777777">
        <w:trPr>
          <w:trHeight w:val="936"/>
        </w:trPr>
        <w:tc>
          <w:tcPr>
            <w:tcW w:w="592" w:type="dxa"/>
            <w:vAlign w:val="center"/>
          </w:tcPr>
          <w:p w14:paraId="7E3DAC43" w14:textId="77777777" w:rsidR="00347734" w:rsidRDefault="001F3B15">
            <w:pPr>
              <w:jc w:val="center"/>
              <w:rPr>
                <w:color w:val="000000"/>
                <w:sz w:val="20"/>
                <w:szCs w:val="20"/>
                <w:lang w:val="en-US"/>
              </w:rPr>
            </w:pPr>
            <w:r>
              <w:rPr>
                <w:color w:val="000000"/>
                <w:sz w:val="20"/>
                <w:szCs w:val="20"/>
                <w:lang w:val="en-US"/>
              </w:rPr>
              <w:t>21</w:t>
            </w:r>
          </w:p>
        </w:tc>
        <w:tc>
          <w:tcPr>
            <w:tcW w:w="1193" w:type="dxa"/>
            <w:vAlign w:val="center"/>
          </w:tcPr>
          <w:p w14:paraId="1F06832C" w14:textId="77777777" w:rsidR="00347734" w:rsidRDefault="001F3B15">
            <w:pPr>
              <w:jc w:val="center"/>
              <w:rPr>
                <w:lang w:val="en-US"/>
              </w:rPr>
            </w:pPr>
            <w:r>
              <w:rPr>
                <w:color w:val="000000"/>
                <w:sz w:val="20"/>
                <w:szCs w:val="20"/>
                <w:lang w:val="en-US"/>
              </w:rPr>
              <w:t xml:space="preserve">Lee </w:t>
            </w:r>
            <w:r>
              <w:rPr>
                <w:i/>
                <w:iCs/>
                <w:color w:val="000000"/>
                <w:sz w:val="20"/>
                <w:szCs w:val="20"/>
                <w:lang w:val="en-US"/>
              </w:rPr>
              <w:t>et al</w:t>
            </w:r>
            <w:r>
              <w:rPr>
                <w:color w:val="000000"/>
                <w:sz w:val="20"/>
                <w:szCs w:val="20"/>
                <w:lang w:val="en-US"/>
              </w:rPr>
              <w:t>., 2021</w:t>
            </w:r>
          </w:p>
        </w:tc>
        <w:tc>
          <w:tcPr>
            <w:tcW w:w="1641" w:type="dxa"/>
            <w:vAlign w:val="center"/>
          </w:tcPr>
          <w:p w14:paraId="57E2FA23" w14:textId="77777777" w:rsidR="00347734" w:rsidRDefault="001F3B15">
            <w:pPr>
              <w:jc w:val="center"/>
              <w:rPr>
                <w:color w:val="000000"/>
                <w:sz w:val="20"/>
                <w:szCs w:val="20"/>
                <w:lang w:val="en-US"/>
              </w:rPr>
            </w:pPr>
            <w:r>
              <w:rPr>
                <w:color w:val="000000"/>
                <w:sz w:val="20"/>
                <w:szCs w:val="20"/>
                <w:lang w:val="en-US"/>
              </w:rPr>
              <w:t>Retrospective cross-sectional / 2010 - 2014</w:t>
            </w:r>
          </w:p>
        </w:tc>
        <w:tc>
          <w:tcPr>
            <w:tcW w:w="1774" w:type="dxa"/>
            <w:vAlign w:val="center"/>
          </w:tcPr>
          <w:p w14:paraId="39A2F1AC" w14:textId="77777777" w:rsidR="00347734" w:rsidRDefault="001F3B15">
            <w:pPr>
              <w:jc w:val="center"/>
              <w:rPr>
                <w:color w:val="000000"/>
                <w:sz w:val="20"/>
                <w:szCs w:val="20"/>
                <w:lang w:val="en-US"/>
              </w:rPr>
            </w:pPr>
            <w:r>
              <w:rPr>
                <w:color w:val="000000"/>
                <w:sz w:val="20"/>
                <w:szCs w:val="20"/>
                <w:lang w:val="en-US"/>
              </w:rPr>
              <w:t>Brasília, Distrito Federal, Mid-west region</w:t>
            </w:r>
          </w:p>
        </w:tc>
        <w:tc>
          <w:tcPr>
            <w:tcW w:w="1660" w:type="dxa"/>
            <w:vAlign w:val="center"/>
          </w:tcPr>
          <w:p w14:paraId="3B1E2EF9" w14:textId="77777777" w:rsidR="00347734" w:rsidRDefault="001F3B15">
            <w:pPr>
              <w:jc w:val="center"/>
              <w:rPr>
                <w:color w:val="000000"/>
                <w:sz w:val="20"/>
                <w:szCs w:val="20"/>
                <w:lang w:val="en-US"/>
              </w:rPr>
            </w:pPr>
            <w:r>
              <w:rPr>
                <w:color w:val="000000"/>
                <w:sz w:val="20"/>
                <w:szCs w:val="20"/>
                <w:lang w:val="en-US"/>
              </w:rPr>
              <w:t>Clinical / 12 hospitals</w:t>
            </w:r>
          </w:p>
        </w:tc>
        <w:tc>
          <w:tcPr>
            <w:tcW w:w="1549" w:type="dxa"/>
            <w:vAlign w:val="center"/>
          </w:tcPr>
          <w:p w14:paraId="0FFCD7FB" w14:textId="77777777" w:rsidR="00347734" w:rsidRDefault="001F3B15">
            <w:pPr>
              <w:jc w:val="center"/>
              <w:rPr>
                <w:color w:val="000000"/>
                <w:sz w:val="20"/>
                <w:szCs w:val="20"/>
                <w:lang w:val="en-US"/>
              </w:rPr>
            </w:pPr>
            <w:r>
              <w:rPr>
                <w:color w:val="000000"/>
                <w:sz w:val="20"/>
                <w:szCs w:val="20"/>
                <w:lang w:val="en-US"/>
              </w:rPr>
              <w:t>69/95</w:t>
            </w:r>
          </w:p>
        </w:tc>
        <w:tc>
          <w:tcPr>
            <w:tcW w:w="1833" w:type="dxa"/>
            <w:vAlign w:val="center"/>
          </w:tcPr>
          <w:p w14:paraId="71F683A2" w14:textId="77777777" w:rsidR="00347734" w:rsidRDefault="001F3B15">
            <w:pPr>
              <w:jc w:val="center"/>
              <w:rPr>
                <w:color w:val="000000"/>
                <w:sz w:val="20"/>
                <w:szCs w:val="20"/>
                <w:lang w:val="en-US"/>
              </w:rPr>
            </w:pPr>
            <w:r>
              <w:rPr>
                <w:color w:val="000000"/>
                <w:sz w:val="20"/>
                <w:szCs w:val="20"/>
                <w:lang w:val="en-US"/>
              </w:rPr>
              <w:t>Not described</w:t>
            </w:r>
          </w:p>
        </w:tc>
        <w:tc>
          <w:tcPr>
            <w:tcW w:w="1200" w:type="dxa"/>
            <w:vAlign w:val="center"/>
          </w:tcPr>
          <w:p w14:paraId="1924DAAF" w14:textId="77777777" w:rsidR="00347734" w:rsidRDefault="001F3B15">
            <w:pPr>
              <w:jc w:val="center"/>
              <w:rPr>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w:t>
            </w:r>
          </w:p>
          <w:p w14:paraId="35E636BA" w14:textId="77777777" w:rsidR="00347734" w:rsidRDefault="001F3B15">
            <w:pPr>
              <w:jc w:val="center"/>
              <w:rPr>
                <w:color w:val="000000"/>
                <w:sz w:val="20"/>
                <w:szCs w:val="20"/>
                <w:lang w:val="en-US"/>
              </w:rPr>
            </w:pPr>
            <w:r>
              <w:rPr>
                <w:color w:val="000000"/>
                <w:sz w:val="20"/>
                <w:szCs w:val="20"/>
                <w:lang w:val="en-US"/>
              </w:rPr>
              <w:t>(61/69)</w:t>
            </w:r>
          </w:p>
        </w:tc>
        <w:tc>
          <w:tcPr>
            <w:tcW w:w="1734" w:type="dxa"/>
            <w:vAlign w:val="center"/>
          </w:tcPr>
          <w:p w14:paraId="5BCE5E87" w14:textId="77777777" w:rsidR="00347734" w:rsidRDefault="001F3B15">
            <w:pPr>
              <w:jc w:val="center"/>
              <w:rPr>
                <w:color w:val="000000"/>
                <w:sz w:val="20"/>
                <w:szCs w:val="20"/>
                <w:lang w:val="en-US"/>
              </w:rPr>
            </w:pPr>
            <w:r>
              <w:rPr>
                <w:color w:val="000000"/>
                <w:sz w:val="20"/>
                <w:szCs w:val="20"/>
                <w:lang w:val="en-US"/>
              </w:rPr>
              <w:t>WGS</w:t>
            </w:r>
          </w:p>
        </w:tc>
        <w:tc>
          <w:tcPr>
            <w:tcW w:w="828" w:type="dxa"/>
            <w:vAlign w:val="center"/>
          </w:tcPr>
          <w:p w14:paraId="170D3C89" w14:textId="77777777" w:rsidR="00347734" w:rsidRDefault="001F3B15">
            <w:pPr>
              <w:jc w:val="center"/>
              <w:rPr>
                <w:color w:val="000000"/>
                <w:sz w:val="20"/>
                <w:szCs w:val="20"/>
                <w:lang w:val="en-US"/>
              </w:rPr>
            </w:pPr>
            <w:r>
              <w:rPr>
                <w:color w:val="000000"/>
                <w:sz w:val="20"/>
                <w:szCs w:val="20"/>
                <w:lang w:val="en-US"/>
              </w:rPr>
              <w:t>(8/8)</w:t>
            </w:r>
          </w:p>
        </w:tc>
      </w:tr>
      <w:tr w:rsidR="00347734" w14:paraId="2A8D2D94" w14:textId="77777777">
        <w:trPr>
          <w:trHeight w:val="936"/>
        </w:trPr>
        <w:tc>
          <w:tcPr>
            <w:tcW w:w="592" w:type="dxa"/>
            <w:vAlign w:val="center"/>
          </w:tcPr>
          <w:p w14:paraId="065BBBEB" w14:textId="77777777" w:rsidR="00347734" w:rsidRDefault="001F3B15">
            <w:pPr>
              <w:jc w:val="center"/>
              <w:rPr>
                <w:color w:val="000000"/>
                <w:sz w:val="20"/>
                <w:szCs w:val="20"/>
                <w:lang w:val="en-US"/>
              </w:rPr>
            </w:pPr>
            <w:r>
              <w:rPr>
                <w:color w:val="000000"/>
                <w:sz w:val="20"/>
                <w:szCs w:val="20"/>
                <w:lang w:val="en-US"/>
              </w:rPr>
              <w:t>22</w:t>
            </w:r>
          </w:p>
        </w:tc>
        <w:tc>
          <w:tcPr>
            <w:tcW w:w="1193" w:type="dxa"/>
            <w:vAlign w:val="center"/>
          </w:tcPr>
          <w:p w14:paraId="0844D68E" w14:textId="77777777" w:rsidR="00347734" w:rsidRDefault="001F3B15">
            <w:pPr>
              <w:jc w:val="center"/>
              <w:rPr>
                <w:lang w:val="en-US"/>
              </w:rPr>
            </w:pPr>
            <w:r>
              <w:rPr>
                <w:color w:val="000000"/>
                <w:sz w:val="20"/>
                <w:szCs w:val="20"/>
                <w:lang w:val="en-US"/>
              </w:rPr>
              <w:t xml:space="preserve">Silveira </w:t>
            </w:r>
            <w:r>
              <w:rPr>
                <w:i/>
                <w:iCs/>
                <w:color w:val="000000"/>
                <w:sz w:val="20"/>
                <w:szCs w:val="20"/>
                <w:lang w:val="en-US"/>
              </w:rPr>
              <w:t xml:space="preserve">et al., </w:t>
            </w:r>
            <w:r>
              <w:rPr>
                <w:color w:val="000000"/>
                <w:sz w:val="20"/>
                <w:szCs w:val="20"/>
                <w:lang w:val="en-US"/>
              </w:rPr>
              <w:t>2021</w:t>
            </w:r>
          </w:p>
        </w:tc>
        <w:tc>
          <w:tcPr>
            <w:tcW w:w="1641" w:type="dxa"/>
            <w:vAlign w:val="center"/>
          </w:tcPr>
          <w:p w14:paraId="53E7B131" w14:textId="77777777" w:rsidR="00347734" w:rsidRDefault="001F3B15">
            <w:pPr>
              <w:jc w:val="center"/>
              <w:rPr>
                <w:color w:val="000000"/>
                <w:sz w:val="20"/>
                <w:szCs w:val="20"/>
                <w:lang w:val="en-US"/>
              </w:rPr>
            </w:pPr>
            <w:r>
              <w:rPr>
                <w:color w:val="000000"/>
                <w:sz w:val="20"/>
                <w:szCs w:val="20"/>
                <w:lang w:val="en-US"/>
              </w:rPr>
              <w:t>Retrospective cross-sectional / 2019 - 2020</w:t>
            </w:r>
          </w:p>
        </w:tc>
        <w:tc>
          <w:tcPr>
            <w:tcW w:w="1774" w:type="dxa"/>
            <w:vAlign w:val="center"/>
          </w:tcPr>
          <w:p w14:paraId="7A859A0F" w14:textId="77777777" w:rsidR="00347734" w:rsidRDefault="001F3B15">
            <w:pPr>
              <w:jc w:val="center"/>
              <w:rPr>
                <w:color w:val="000000"/>
                <w:sz w:val="20"/>
                <w:szCs w:val="20"/>
                <w:lang w:val="en-US"/>
              </w:rPr>
            </w:pPr>
            <w:r>
              <w:rPr>
                <w:color w:val="000000"/>
                <w:sz w:val="20"/>
                <w:szCs w:val="20"/>
                <w:lang w:val="en-US"/>
              </w:rPr>
              <w:t>Several locations / Northeast, North, Southeast and Mid-west regions</w:t>
            </w:r>
          </w:p>
        </w:tc>
        <w:tc>
          <w:tcPr>
            <w:tcW w:w="1660" w:type="dxa"/>
            <w:vAlign w:val="center"/>
          </w:tcPr>
          <w:p w14:paraId="72743BEA" w14:textId="77777777" w:rsidR="00347734" w:rsidRDefault="001F3B15">
            <w:pPr>
              <w:jc w:val="center"/>
              <w:rPr>
                <w:color w:val="000000"/>
                <w:sz w:val="20"/>
                <w:szCs w:val="20"/>
                <w:lang w:val="en-US"/>
              </w:rPr>
            </w:pPr>
            <w:r>
              <w:rPr>
                <w:color w:val="000000"/>
                <w:sz w:val="20"/>
                <w:szCs w:val="20"/>
                <w:lang w:val="en-US"/>
              </w:rPr>
              <w:t>Clinical / Hospitals</w:t>
            </w:r>
          </w:p>
          <w:p w14:paraId="702B739F" w14:textId="77777777" w:rsidR="00347734" w:rsidRDefault="00347734">
            <w:pPr>
              <w:jc w:val="center"/>
              <w:rPr>
                <w:color w:val="000000"/>
                <w:sz w:val="20"/>
                <w:szCs w:val="20"/>
                <w:lang w:val="en-US"/>
              </w:rPr>
            </w:pPr>
          </w:p>
        </w:tc>
        <w:tc>
          <w:tcPr>
            <w:tcW w:w="1549" w:type="dxa"/>
            <w:vAlign w:val="center"/>
          </w:tcPr>
          <w:p w14:paraId="4DFF7F17" w14:textId="77777777" w:rsidR="00347734" w:rsidRDefault="001F3B15">
            <w:pPr>
              <w:jc w:val="center"/>
              <w:rPr>
                <w:color w:val="000000"/>
                <w:sz w:val="20"/>
                <w:szCs w:val="20"/>
                <w:lang w:val="en-US"/>
              </w:rPr>
            </w:pPr>
            <w:r>
              <w:rPr>
                <w:color w:val="000000"/>
                <w:sz w:val="20"/>
                <w:szCs w:val="20"/>
                <w:lang w:val="en-US"/>
              </w:rPr>
              <w:t>205/205</w:t>
            </w:r>
          </w:p>
        </w:tc>
        <w:tc>
          <w:tcPr>
            <w:tcW w:w="1833" w:type="dxa"/>
            <w:vAlign w:val="center"/>
          </w:tcPr>
          <w:p w14:paraId="5DBB7796" w14:textId="77777777" w:rsidR="00347734" w:rsidRDefault="001F3B15">
            <w:pPr>
              <w:jc w:val="center"/>
              <w:rPr>
                <w:color w:val="000000"/>
                <w:sz w:val="20"/>
                <w:szCs w:val="20"/>
                <w:lang w:val="en-US"/>
              </w:rPr>
            </w:pPr>
            <w:r>
              <w:rPr>
                <w:color w:val="000000"/>
                <w:sz w:val="20"/>
                <w:szCs w:val="20"/>
                <w:lang w:val="en-US"/>
              </w:rPr>
              <w:t>Blood and catheter tip</w:t>
            </w:r>
          </w:p>
        </w:tc>
        <w:tc>
          <w:tcPr>
            <w:tcW w:w="1200" w:type="dxa"/>
            <w:vAlign w:val="center"/>
          </w:tcPr>
          <w:p w14:paraId="7BE79459" w14:textId="77777777" w:rsidR="00347734" w:rsidRDefault="001F3B15">
            <w:pPr>
              <w:jc w:val="center"/>
              <w:rPr>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w:t>
            </w:r>
          </w:p>
          <w:p w14:paraId="7E3318E2" w14:textId="77777777" w:rsidR="00347734" w:rsidRDefault="001F3B15">
            <w:pPr>
              <w:jc w:val="center"/>
              <w:rPr>
                <w:color w:val="000000"/>
                <w:sz w:val="20"/>
                <w:szCs w:val="20"/>
                <w:lang w:val="en-US"/>
              </w:rPr>
            </w:pPr>
            <w:r>
              <w:rPr>
                <w:color w:val="000000"/>
                <w:sz w:val="20"/>
                <w:szCs w:val="20"/>
                <w:lang w:val="en-US"/>
              </w:rPr>
              <w:t>(142/205)</w:t>
            </w:r>
          </w:p>
        </w:tc>
        <w:tc>
          <w:tcPr>
            <w:tcW w:w="1734" w:type="dxa"/>
            <w:vAlign w:val="center"/>
          </w:tcPr>
          <w:p w14:paraId="094E8E5D" w14:textId="77777777" w:rsidR="00347734" w:rsidRDefault="001F3B15">
            <w:pPr>
              <w:jc w:val="center"/>
              <w:rPr>
                <w:i/>
                <w:color w:val="000000"/>
                <w:sz w:val="20"/>
                <w:szCs w:val="20"/>
                <w:lang w:val="en-US"/>
              </w:rPr>
            </w:pPr>
            <w:r>
              <w:rPr>
                <w:color w:val="000000"/>
                <w:sz w:val="20"/>
                <w:szCs w:val="20"/>
                <w:lang w:val="en-US"/>
              </w:rPr>
              <w:t>WGS and PCR</w:t>
            </w:r>
          </w:p>
        </w:tc>
        <w:tc>
          <w:tcPr>
            <w:tcW w:w="828" w:type="dxa"/>
            <w:vAlign w:val="center"/>
          </w:tcPr>
          <w:p w14:paraId="25B84DCB" w14:textId="77777777" w:rsidR="00347734" w:rsidRDefault="001F3B15">
            <w:pPr>
              <w:jc w:val="center"/>
              <w:rPr>
                <w:color w:val="000000"/>
                <w:sz w:val="20"/>
                <w:szCs w:val="20"/>
                <w:lang w:val="en-US"/>
              </w:rPr>
            </w:pPr>
            <w:r>
              <w:rPr>
                <w:color w:val="000000"/>
                <w:sz w:val="20"/>
                <w:szCs w:val="20"/>
                <w:lang w:val="en-US"/>
              </w:rPr>
              <w:t>(8/8)</w:t>
            </w:r>
          </w:p>
        </w:tc>
      </w:tr>
      <w:tr w:rsidR="00347734" w14:paraId="346AB2DB" w14:textId="77777777">
        <w:trPr>
          <w:trHeight w:val="936"/>
        </w:trPr>
        <w:tc>
          <w:tcPr>
            <w:tcW w:w="592" w:type="dxa"/>
            <w:vAlign w:val="center"/>
          </w:tcPr>
          <w:p w14:paraId="051A4F86" w14:textId="77777777" w:rsidR="00347734" w:rsidRDefault="001F3B15">
            <w:pPr>
              <w:jc w:val="center"/>
              <w:rPr>
                <w:color w:val="000000"/>
                <w:sz w:val="20"/>
                <w:szCs w:val="20"/>
                <w:lang w:val="en-US"/>
              </w:rPr>
            </w:pPr>
            <w:r>
              <w:rPr>
                <w:color w:val="000000"/>
                <w:sz w:val="20"/>
                <w:szCs w:val="20"/>
                <w:lang w:val="en-US"/>
              </w:rPr>
              <w:t>23</w:t>
            </w:r>
          </w:p>
        </w:tc>
        <w:tc>
          <w:tcPr>
            <w:tcW w:w="1193" w:type="dxa"/>
            <w:vAlign w:val="center"/>
          </w:tcPr>
          <w:p w14:paraId="5D698977" w14:textId="77777777" w:rsidR="00347734" w:rsidRDefault="001F3B15">
            <w:pPr>
              <w:jc w:val="center"/>
              <w:rPr>
                <w:lang w:val="en-US"/>
              </w:rPr>
            </w:pPr>
            <w:r>
              <w:rPr>
                <w:rFonts w:eastAsiaTheme="minorHAnsi"/>
                <w:bCs/>
                <w:sz w:val="20"/>
                <w:szCs w:val="20"/>
                <w:lang w:val="en-US"/>
              </w:rPr>
              <w:t xml:space="preserve">Migliorini </w:t>
            </w:r>
            <w:r>
              <w:rPr>
                <w:rFonts w:eastAsiaTheme="minorHAnsi"/>
                <w:bCs/>
                <w:i/>
                <w:sz w:val="20"/>
                <w:szCs w:val="20"/>
                <w:lang w:val="en-US"/>
              </w:rPr>
              <w:t xml:space="preserve">et al., </w:t>
            </w:r>
            <w:r>
              <w:rPr>
                <w:rFonts w:eastAsiaTheme="minorHAnsi"/>
                <w:bCs/>
                <w:sz w:val="20"/>
                <w:szCs w:val="20"/>
                <w:lang w:val="en-US"/>
              </w:rPr>
              <w:t>2021</w:t>
            </w:r>
          </w:p>
        </w:tc>
        <w:tc>
          <w:tcPr>
            <w:tcW w:w="1641" w:type="dxa"/>
            <w:vAlign w:val="center"/>
          </w:tcPr>
          <w:p w14:paraId="34CB8681" w14:textId="77777777" w:rsidR="00347734" w:rsidRDefault="001F3B15">
            <w:pPr>
              <w:jc w:val="center"/>
              <w:rPr>
                <w:color w:val="000000"/>
                <w:sz w:val="20"/>
                <w:szCs w:val="20"/>
                <w:lang w:val="en-US"/>
              </w:rPr>
            </w:pPr>
            <w:r>
              <w:rPr>
                <w:color w:val="000000"/>
                <w:sz w:val="20"/>
                <w:szCs w:val="20"/>
                <w:lang w:val="en-US"/>
              </w:rPr>
              <w:t xml:space="preserve">Retrospective </w:t>
            </w:r>
            <w:r>
              <w:rPr>
                <w:color w:val="000000"/>
                <w:sz w:val="20"/>
                <w:szCs w:val="20"/>
                <w:lang w:val="en-US"/>
              </w:rPr>
              <w:t>case-control / 2011 - 2017</w:t>
            </w:r>
          </w:p>
        </w:tc>
        <w:tc>
          <w:tcPr>
            <w:tcW w:w="1774" w:type="dxa"/>
            <w:vAlign w:val="center"/>
          </w:tcPr>
          <w:p w14:paraId="7EF3C865" w14:textId="77777777" w:rsidR="00347734" w:rsidRDefault="001F3B15">
            <w:pPr>
              <w:jc w:val="center"/>
              <w:rPr>
                <w:color w:val="000000"/>
                <w:sz w:val="20"/>
                <w:szCs w:val="20"/>
                <w:lang w:val="en-US"/>
              </w:rPr>
            </w:pPr>
            <w:r>
              <w:rPr>
                <w:color w:val="000000"/>
                <w:sz w:val="20"/>
                <w:szCs w:val="20"/>
                <w:lang w:val="en-US"/>
              </w:rPr>
              <w:t>São Paulo, São Paulo State / Southeast region</w:t>
            </w:r>
          </w:p>
        </w:tc>
        <w:tc>
          <w:tcPr>
            <w:tcW w:w="1660" w:type="dxa"/>
            <w:vAlign w:val="center"/>
          </w:tcPr>
          <w:p w14:paraId="695BBA1C" w14:textId="77777777" w:rsidR="00347734" w:rsidRDefault="001F3B15">
            <w:pPr>
              <w:jc w:val="center"/>
              <w:rPr>
                <w:color w:val="000000"/>
                <w:sz w:val="20"/>
                <w:szCs w:val="20"/>
                <w:lang w:val="en-US"/>
              </w:rPr>
            </w:pPr>
            <w:r>
              <w:rPr>
                <w:color w:val="000000"/>
                <w:sz w:val="20"/>
                <w:szCs w:val="20"/>
                <w:lang w:val="en-US"/>
              </w:rPr>
              <w:t>Clinical / Tertiary care hospital</w:t>
            </w:r>
          </w:p>
        </w:tc>
        <w:tc>
          <w:tcPr>
            <w:tcW w:w="1549" w:type="dxa"/>
            <w:vAlign w:val="center"/>
          </w:tcPr>
          <w:p w14:paraId="7EFFA1E7" w14:textId="77777777" w:rsidR="00347734" w:rsidRDefault="001F3B15">
            <w:pPr>
              <w:jc w:val="center"/>
              <w:rPr>
                <w:color w:val="000000"/>
                <w:sz w:val="20"/>
                <w:szCs w:val="20"/>
                <w:lang w:val="en-US"/>
              </w:rPr>
            </w:pPr>
            <w:r>
              <w:rPr>
                <w:color w:val="000000"/>
                <w:sz w:val="20"/>
                <w:szCs w:val="20"/>
                <w:lang w:val="en-US"/>
              </w:rPr>
              <w:t>18/18</w:t>
            </w:r>
          </w:p>
        </w:tc>
        <w:tc>
          <w:tcPr>
            <w:tcW w:w="1833" w:type="dxa"/>
            <w:vAlign w:val="center"/>
          </w:tcPr>
          <w:p w14:paraId="2FF3240A" w14:textId="77777777" w:rsidR="00347734" w:rsidRDefault="001F3B15">
            <w:pPr>
              <w:jc w:val="center"/>
              <w:rPr>
                <w:rFonts w:eastAsiaTheme="minorHAnsi"/>
                <w:sz w:val="20"/>
                <w:lang w:val="en-US"/>
              </w:rPr>
            </w:pPr>
            <w:r>
              <w:rPr>
                <w:rFonts w:eastAsiaTheme="minorHAnsi"/>
                <w:sz w:val="20"/>
                <w:lang w:val="en-US"/>
              </w:rPr>
              <w:t>blood, abdominal</w:t>
            </w:r>
          </w:p>
          <w:p w14:paraId="1DBA56B2" w14:textId="77777777" w:rsidR="00347734" w:rsidRDefault="001F3B15">
            <w:pPr>
              <w:jc w:val="center"/>
              <w:rPr>
                <w:rFonts w:eastAsiaTheme="minorHAnsi"/>
                <w:sz w:val="20"/>
                <w:lang w:val="en-US"/>
              </w:rPr>
            </w:pPr>
            <w:r>
              <w:rPr>
                <w:rFonts w:eastAsiaTheme="minorHAnsi"/>
                <w:sz w:val="20"/>
                <w:lang w:val="en-US"/>
              </w:rPr>
              <w:t>abscess, urine, bronchoalveolar</w:t>
            </w:r>
          </w:p>
          <w:p w14:paraId="109CB3F2" w14:textId="77777777" w:rsidR="00347734" w:rsidRDefault="001F3B15">
            <w:pPr>
              <w:jc w:val="center"/>
              <w:rPr>
                <w:rFonts w:eastAsiaTheme="minorHAnsi"/>
                <w:sz w:val="20"/>
                <w:lang w:val="en-US"/>
              </w:rPr>
            </w:pPr>
            <w:r>
              <w:rPr>
                <w:rFonts w:eastAsiaTheme="minorHAnsi"/>
                <w:sz w:val="20"/>
                <w:lang w:val="en-US"/>
              </w:rPr>
              <w:t>lavage, ascitic fluid, rectal</w:t>
            </w:r>
          </w:p>
          <w:p w14:paraId="66B0171D" w14:textId="77777777" w:rsidR="00347734" w:rsidRDefault="001F3B15">
            <w:pPr>
              <w:jc w:val="center"/>
              <w:rPr>
                <w:color w:val="000000"/>
                <w:sz w:val="20"/>
                <w:szCs w:val="20"/>
                <w:lang w:val="en-US"/>
              </w:rPr>
            </w:pPr>
            <w:r>
              <w:rPr>
                <w:rFonts w:eastAsiaTheme="minorHAnsi"/>
                <w:sz w:val="20"/>
                <w:lang w:val="en-US"/>
              </w:rPr>
              <w:t>surveillance, swabs.</w:t>
            </w:r>
          </w:p>
        </w:tc>
        <w:tc>
          <w:tcPr>
            <w:tcW w:w="1200" w:type="dxa"/>
            <w:vAlign w:val="center"/>
          </w:tcPr>
          <w:p w14:paraId="0C73A953" w14:textId="77777777" w:rsidR="00347734" w:rsidRDefault="001F3B15">
            <w:pPr>
              <w:jc w:val="center"/>
              <w:rPr>
                <w:iCs/>
                <w:color w:val="000000"/>
                <w:sz w:val="20"/>
                <w:szCs w:val="20"/>
                <w:lang w:val="en-US"/>
              </w:rPr>
            </w:pPr>
            <w:r>
              <w:rPr>
                <w:iCs/>
                <w:color w:val="000000"/>
                <w:sz w:val="20"/>
                <w:szCs w:val="20"/>
                <w:lang w:val="en-US"/>
              </w:rPr>
              <w:t>bla</w:t>
            </w:r>
            <w:r>
              <w:rPr>
                <w:iCs/>
                <w:color w:val="000000"/>
                <w:sz w:val="20"/>
                <w:szCs w:val="20"/>
                <w:vertAlign w:val="subscript"/>
                <w:lang w:val="en-US"/>
              </w:rPr>
              <w:t>KPC-30</w:t>
            </w:r>
            <w:r>
              <w:rPr>
                <w:iCs/>
                <w:color w:val="000000"/>
                <w:sz w:val="20"/>
                <w:szCs w:val="20"/>
                <w:lang w:val="en-US"/>
              </w:rPr>
              <w:t xml:space="preserve"> positive (1/18)</w:t>
            </w:r>
          </w:p>
          <w:p w14:paraId="4C339D4F" w14:textId="77777777" w:rsidR="00347734" w:rsidRDefault="001F3B15">
            <w:pPr>
              <w:jc w:val="center"/>
              <w:rPr>
                <w:iCs/>
                <w:color w:val="000000"/>
                <w:sz w:val="20"/>
                <w:szCs w:val="20"/>
                <w:lang w:val="en-US"/>
              </w:rPr>
            </w:pPr>
            <w:r>
              <w:rPr>
                <w:iCs/>
                <w:color w:val="000000"/>
                <w:sz w:val="20"/>
                <w:szCs w:val="20"/>
                <w:lang w:val="en-US"/>
              </w:rPr>
              <w:t>bla</w:t>
            </w:r>
            <w:r>
              <w:rPr>
                <w:iCs/>
                <w:color w:val="000000"/>
                <w:sz w:val="20"/>
                <w:szCs w:val="20"/>
                <w:vertAlign w:val="subscript"/>
                <w:lang w:val="en-US"/>
              </w:rPr>
              <w:t>KPC-3</w:t>
            </w:r>
            <w:r>
              <w:rPr>
                <w:iCs/>
                <w:color w:val="000000"/>
                <w:sz w:val="20"/>
                <w:szCs w:val="20"/>
                <w:lang w:val="en-US"/>
              </w:rPr>
              <w:t xml:space="preserve"> positive (1/18)</w:t>
            </w:r>
          </w:p>
          <w:p w14:paraId="7326B677" w14:textId="77777777" w:rsidR="00347734" w:rsidRDefault="001F3B15">
            <w:pPr>
              <w:jc w:val="center"/>
              <w:rPr>
                <w:iCs/>
                <w:color w:val="000000"/>
                <w:sz w:val="20"/>
                <w:szCs w:val="20"/>
                <w:lang w:val="en-US"/>
              </w:rPr>
            </w:pPr>
            <w:r>
              <w:rPr>
                <w:iCs/>
                <w:color w:val="000000"/>
                <w:sz w:val="20"/>
                <w:szCs w:val="20"/>
                <w:lang w:val="en-US"/>
              </w:rPr>
              <w:t>bla</w:t>
            </w:r>
            <w:r>
              <w:rPr>
                <w:iCs/>
                <w:color w:val="000000"/>
                <w:sz w:val="20"/>
                <w:szCs w:val="20"/>
                <w:vertAlign w:val="subscript"/>
                <w:lang w:val="en-US"/>
              </w:rPr>
              <w:t>KPC-2</w:t>
            </w:r>
            <w:r>
              <w:rPr>
                <w:iCs/>
                <w:color w:val="000000"/>
                <w:sz w:val="20"/>
                <w:szCs w:val="20"/>
                <w:lang w:val="en-US"/>
              </w:rPr>
              <w:t xml:space="preserve"> positive (16/18)</w:t>
            </w:r>
          </w:p>
        </w:tc>
        <w:tc>
          <w:tcPr>
            <w:tcW w:w="1734" w:type="dxa"/>
            <w:vAlign w:val="center"/>
          </w:tcPr>
          <w:p w14:paraId="2F32DA1C" w14:textId="77777777" w:rsidR="00347734" w:rsidRDefault="001F3B15">
            <w:pPr>
              <w:jc w:val="center"/>
              <w:rPr>
                <w:color w:val="000000"/>
                <w:sz w:val="20"/>
                <w:szCs w:val="20"/>
                <w:lang w:val="en-US"/>
              </w:rPr>
            </w:pPr>
            <w:r>
              <w:rPr>
                <w:color w:val="000000"/>
                <w:sz w:val="20"/>
                <w:szCs w:val="20"/>
                <w:lang w:val="en-US"/>
              </w:rPr>
              <w:t>WSG</w:t>
            </w:r>
          </w:p>
        </w:tc>
        <w:tc>
          <w:tcPr>
            <w:tcW w:w="828" w:type="dxa"/>
            <w:vAlign w:val="center"/>
          </w:tcPr>
          <w:p w14:paraId="4CE626C8" w14:textId="77777777" w:rsidR="00347734" w:rsidRDefault="001F3B15">
            <w:pPr>
              <w:jc w:val="center"/>
              <w:rPr>
                <w:color w:val="000000"/>
                <w:sz w:val="20"/>
                <w:szCs w:val="20"/>
                <w:lang w:val="en-US"/>
              </w:rPr>
            </w:pPr>
            <w:r>
              <w:rPr>
                <w:color w:val="000000"/>
                <w:sz w:val="20"/>
                <w:szCs w:val="20"/>
                <w:lang w:val="en-US"/>
              </w:rPr>
              <w:t>(10/10)</w:t>
            </w:r>
          </w:p>
        </w:tc>
      </w:tr>
      <w:tr w:rsidR="00347734" w14:paraId="60EECDB2" w14:textId="77777777">
        <w:trPr>
          <w:trHeight w:val="936"/>
        </w:trPr>
        <w:tc>
          <w:tcPr>
            <w:tcW w:w="592" w:type="dxa"/>
            <w:tcBorders>
              <w:top w:val="nil"/>
            </w:tcBorders>
            <w:vAlign w:val="center"/>
          </w:tcPr>
          <w:p w14:paraId="7C5C3A1F" w14:textId="77777777" w:rsidR="00347734" w:rsidRDefault="001F3B15">
            <w:pPr>
              <w:jc w:val="center"/>
              <w:rPr>
                <w:color w:val="000000"/>
                <w:sz w:val="20"/>
                <w:szCs w:val="20"/>
                <w:lang w:val="en-US"/>
              </w:rPr>
            </w:pPr>
            <w:r>
              <w:rPr>
                <w:color w:val="000000"/>
                <w:sz w:val="20"/>
                <w:szCs w:val="20"/>
                <w:lang w:val="en-US"/>
              </w:rPr>
              <w:lastRenderedPageBreak/>
              <w:t>24</w:t>
            </w:r>
          </w:p>
        </w:tc>
        <w:tc>
          <w:tcPr>
            <w:tcW w:w="1193" w:type="dxa"/>
            <w:tcBorders>
              <w:top w:val="nil"/>
            </w:tcBorders>
            <w:vAlign w:val="center"/>
          </w:tcPr>
          <w:p w14:paraId="792EAACC" w14:textId="77777777" w:rsidR="00347734" w:rsidRDefault="001F3B15">
            <w:pPr>
              <w:jc w:val="center"/>
              <w:rPr>
                <w:lang w:val="en-US"/>
              </w:rPr>
            </w:pPr>
            <w:r>
              <w:rPr>
                <w:rFonts w:eastAsiaTheme="minorHAnsi"/>
                <w:sz w:val="20"/>
                <w:szCs w:val="17"/>
                <w:lang w:val="en-US"/>
              </w:rPr>
              <w:t xml:space="preserve">Sampaio </w:t>
            </w:r>
            <w:r>
              <w:rPr>
                <w:rFonts w:eastAsiaTheme="minorHAnsi"/>
                <w:i/>
                <w:sz w:val="20"/>
                <w:szCs w:val="17"/>
                <w:lang w:val="en-US"/>
              </w:rPr>
              <w:t xml:space="preserve">et al., </w:t>
            </w:r>
            <w:r>
              <w:rPr>
                <w:rFonts w:eastAsiaTheme="minorHAnsi"/>
                <w:sz w:val="20"/>
                <w:szCs w:val="17"/>
                <w:lang w:val="en-US"/>
              </w:rPr>
              <w:t>2021</w:t>
            </w:r>
          </w:p>
        </w:tc>
        <w:tc>
          <w:tcPr>
            <w:tcW w:w="1641" w:type="dxa"/>
            <w:tcBorders>
              <w:top w:val="nil"/>
            </w:tcBorders>
            <w:vAlign w:val="center"/>
          </w:tcPr>
          <w:p w14:paraId="0E5B57E9" w14:textId="77777777" w:rsidR="00347734" w:rsidRDefault="001F3B15">
            <w:pPr>
              <w:jc w:val="center"/>
              <w:rPr>
                <w:color w:val="000000"/>
                <w:sz w:val="20"/>
                <w:szCs w:val="20"/>
                <w:lang w:val="en-US"/>
              </w:rPr>
            </w:pPr>
            <w:r>
              <w:rPr>
                <w:color w:val="000000"/>
                <w:sz w:val="20"/>
                <w:szCs w:val="20"/>
                <w:lang w:val="en-US"/>
              </w:rPr>
              <w:t>Retrospective case-control / 2015 - 2017</w:t>
            </w:r>
          </w:p>
        </w:tc>
        <w:tc>
          <w:tcPr>
            <w:tcW w:w="1774" w:type="dxa"/>
            <w:tcBorders>
              <w:top w:val="nil"/>
            </w:tcBorders>
            <w:vAlign w:val="center"/>
          </w:tcPr>
          <w:p w14:paraId="61484C9A" w14:textId="77777777" w:rsidR="00347734" w:rsidRDefault="001F3B15">
            <w:pPr>
              <w:jc w:val="center"/>
              <w:rPr>
                <w:color w:val="000000"/>
                <w:sz w:val="20"/>
                <w:szCs w:val="20"/>
                <w:lang w:val="en-US"/>
              </w:rPr>
            </w:pPr>
            <w:r>
              <w:rPr>
                <w:color w:val="000000"/>
                <w:sz w:val="20"/>
                <w:szCs w:val="20"/>
                <w:lang w:val="en-US"/>
              </w:rPr>
              <w:t>São Paulo, São Paulo State / Southeast region</w:t>
            </w:r>
          </w:p>
        </w:tc>
        <w:tc>
          <w:tcPr>
            <w:tcW w:w="1660" w:type="dxa"/>
            <w:tcBorders>
              <w:top w:val="nil"/>
            </w:tcBorders>
            <w:vAlign w:val="center"/>
          </w:tcPr>
          <w:p w14:paraId="2DAF8A4F" w14:textId="77777777" w:rsidR="00347734" w:rsidRDefault="001F3B15">
            <w:pPr>
              <w:jc w:val="center"/>
              <w:rPr>
                <w:color w:val="000000"/>
                <w:sz w:val="20"/>
                <w:szCs w:val="20"/>
                <w:lang w:val="en-US"/>
              </w:rPr>
            </w:pPr>
            <w:r>
              <w:rPr>
                <w:color w:val="000000"/>
                <w:sz w:val="20"/>
                <w:szCs w:val="20"/>
                <w:lang w:val="en-US"/>
              </w:rPr>
              <w:t>Santa Casa de São Paulo</w:t>
            </w:r>
          </w:p>
        </w:tc>
        <w:tc>
          <w:tcPr>
            <w:tcW w:w="1549" w:type="dxa"/>
            <w:tcBorders>
              <w:top w:val="nil"/>
            </w:tcBorders>
            <w:vAlign w:val="center"/>
          </w:tcPr>
          <w:p w14:paraId="4259D4C9" w14:textId="77777777" w:rsidR="00347734" w:rsidRDefault="001F3B15">
            <w:pPr>
              <w:jc w:val="center"/>
              <w:rPr>
                <w:color w:val="000000"/>
                <w:sz w:val="20"/>
                <w:szCs w:val="20"/>
                <w:lang w:val="en-US"/>
              </w:rPr>
            </w:pPr>
            <w:r>
              <w:rPr>
                <w:color w:val="000000"/>
                <w:sz w:val="20"/>
                <w:szCs w:val="20"/>
                <w:lang w:val="en-US"/>
              </w:rPr>
              <w:t>51/51</w:t>
            </w:r>
          </w:p>
        </w:tc>
        <w:tc>
          <w:tcPr>
            <w:tcW w:w="1833" w:type="dxa"/>
            <w:tcBorders>
              <w:top w:val="nil"/>
            </w:tcBorders>
            <w:vAlign w:val="center"/>
          </w:tcPr>
          <w:p w14:paraId="0B4505EE" w14:textId="77777777" w:rsidR="00347734" w:rsidRDefault="001F3B15">
            <w:pPr>
              <w:jc w:val="center"/>
              <w:rPr>
                <w:rFonts w:eastAsiaTheme="minorHAnsi"/>
                <w:sz w:val="20"/>
                <w:szCs w:val="14"/>
                <w:lang w:val="en-US"/>
              </w:rPr>
            </w:pPr>
            <w:r>
              <w:rPr>
                <w:rFonts w:eastAsiaTheme="minorHAnsi"/>
                <w:sz w:val="20"/>
                <w:szCs w:val="14"/>
                <w:lang w:val="en-US"/>
              </w:rPr>
              <w:t>clinical samples</w:t>
            </w:r>
          </w:p>
        </w:tc>
        <w:tc>
          <w:tcPr>
            <w:tcW w:w="1200" w:type="dxa"/>
            <w:tcBorders>
              <w:top w:val="nil"/>
            </w:tcBorders>
            <w:vAlign w:val="center"/>
          </w:tcPr>
          <w:p w14:paraId="720125F1" w14:textId="77777777" w:rsidR="00347734" w:rsidRDefault="001F3B15">
            <w:pPr>
              <w:jc w:val="center"/>
              <w:rPr>
                <w:iCs/>
                <w:color w:val="000000"/>
                <w:sz w:val="20"/>
                <w:szCs w:val="20"/>
                <w:lang w:val="en-US"/>
              </w:rPr>
            </w:pPr>
            <w:proofErr w:type="spellStart"/>
            <w:r>
              <w:rPr>
                <w:iCs/>
                <w:color w:val="000000"/>
                <w:sz w:val="20"/>
                <w:szCs w:val="20"/>
                <w:lang w:val="en-US"/>
              </w:rPr>
              <w:t>bla</w:t>
            </w:r>
            <w:r>
              <w:rPr>
                <w:iCs/>
                <w:color w:val="000000"/>
                <w:sz w:val="20"/>
                <w:szCs w:val="20"/>
                <w:vertAlign w:val="subscript"/>
                <w:lang w:val="en-US"/>
              </w:rPr>
              <w:t>KPC</w:t>
            </w:r>
            <w:proofErr w:type="spellEnd"/>
            <w:r>
              <w:rPr>
                <w:iCs/>
                <w:color w:val="000000"/>
                <w:sz w:val="20"/>
                <w:szCs w:val="20"/>
                <w:vertAlign w:val="subscript"/>
                <w:lang w:val="en-US"/>
              </w:rPr>
              <w:t xml:space="preserve"> </w:t>
            </w:r>
            <w:r>
              <w:rPr>
                <w:iCs/>
                <w:color w:val="000000"/>
                <w:sz w:val="20"/>
                <w:szCs w:val="20"/>
                <w:lang w:val="en-US"/>
              </w:rPr>
              <w:t>positive</w:t>
            </w:r>
            <w:r>
              <w:rPr>
                <w:iCs/>
                <w:color w:val="000000"/>
                <w:sz w:val="20"/>
                <w:szCs w:val="20"/>
                <w:vertAlign w:val="subscript"/>
                <w:lang w:val="en-US"/>
              </w:rPr>
              <w:t xml:space="preserve"> </w:t>
            </w:r>
            <w:r>
              <w:rPr>
                <w:iCs/>
                <w:color w:val="000000"/>
                <w:sz w:val="20"/>
                <w:szCs w:val="20"/>
                <w:lang w:val="en-US"/>
              </w:rPr>
              <w:t>(51/51)</w:t>
            </w:r>
          </w:p>
        </w:tc>
        <w:tc>
          <w:tcPr>
            <w:tcW w:w="1734" w:type="dxa"/>
            <w:tcBorders>
              <w:top w:val="nil"/>
            </w:tcBorders>
            <w:vAlign w:val="center"/>
          </w:tcPr>
          <w:p w14:paraId="31198E61" w14:textId="77777777" w:rsidR="00347734" w:rsidRDefault="001F3B15">
            <w:pPr>
              <w:jc w:val="center"/>
              <w:rPr>
                <w:color w:val="000000"/>
                <w:sz w:val="20"/>
                <w:szCs w:val="20"/>
                <w:lang w:val="en-US"/>
              </w:rPr>
            </w:pPr>
            <w:r>
              <w:rPr>
                <w:color w:val="000000"/>
                <w:sz w:val="20"/>
                <w:szCs w:val="20"/>
                <w:lang w:val="en-US"/>
              </w:rPr>
              <w:t>PCR</w:t>
            </w:r>
          </w:p>
        </w:tc>
        <w:tc>
          <w:tcPr>
            <w:tcW w:w="828" w:type="dxa"/>
            <w:tcBorders>
              <w:top w:val="nil"/>
            </w:tcBorders>
            <w:vAlign w:val="center"/>
          </w:tcPr>
          <w:p w14:paraId="3C77F495" w14:textId="77777777" w:rsidR="00347734" w:rsidRDefault="001F3B15">
            <w:pPr>
              <w:jc w:val="center"/>
              <w:rPr>
                <w:color w:val="000000"/>
                <w:sz w:val="20"/>
                <w:szCs w:val="20"/>
                <w:lang w:val="en-US"/>
              </w:rPr>
            </w:pPr>
            <w:r>
              <w:rPr>
                <w:color w:val="000000"/>
                <w:sz w:val="20"/>
                <w:szCs w:val="20"/>
                <w:lang w:val="en-US"/>
              </w:rPr>
              <w:t>(9/10)</w:t>
            </w:r>
          </w:p>
        </w:tc>
      </w:tr>
      <w:tr w:rsidR="00347734" w14:paraId="6FF0DA0A" w14:textId="77777777">
        <w:trPr>
          <w:trHeight w:val="936"/>
        </w:trPr>
        <w:tc>
          <w:tcPr>
            <w:tcW w:w="592" w:type="dxa"/>
            <w:tcBorders>
              <w:top w:val="nil"/>
            </w:tcBorders>
            <w:vAlign w:val="center"/>
          </w:tcPr>
          <w:p w14:paraId="44561023" w14:textId="77777777" w:rsidR="00347734" w:rsidRDefault="001F3B15">
            <w:pPr>
              <w:jc w:val="center"/>
              <w:rPr>
                <w:color w:val="000000"/>
                <w:sz w:val="20"/>
                <w:szCs w:val="20"/>
                <w:lang w:val="en-US"/>
              </w:rPr>
            </w:pPr>
            <w:r>
              <w:rPr>
                <w:color w:val="000000"/>
                <w:sz w:val="20"/>
                <w:szCs w:val="20"/>
                <w:lang w:val="en-US"/>
              </w:rPr>
              <w:t>25</w:t>
            </w:r>
          </w:p>
        </w:tc>
        <w:tc>
          <w:tcPr>
            <w:tcW w:w="1193" w:type="dxa"/>
            <w:tcBorders>
              <w:top w:val="nil"/>
            </w:tcBorders>
            <w:vAlign w:val="center"/>
          </w:tcPr>
          <w:p w14:paraId="34B5ECD3" w14:textId="77777777" w:rsidR="00347734" w:rsidRDefault="001F3B15">
            <w:pPr>
              <w:jc w:val="center"/>
              <w:rPr>
                <w:lang w:val="en-US"/>
              </w:rPr>
            </w:pPr>
            <w:r>
              <w:rPr>
                <w:rFonts w:eastAsiaTheme="minorHAnsi"/>
                <w:sz w:val="20"/>
                <w:szCs w:val="17"/>
                <w:lang w:val="en-US"/>
              </w:rPr>
              <w:t xml:space="preserve">Gaspar </w:t>
            </w:r>
            <w:r>
              <w:rPr>
                <w:rFonts w:eastAsiaTheme="minorHAnsi"/>
                <w:i/>
                <w:sz w:val="20"/>
                <w:szCs w:val="17"/>
                <w:lang w:val="en-US"/>
              </w:rPr>
              <w:t xml:space="preserve">et al., </w:t>
            </w:r>
            <w:r>
              <w:rPr>
                <w:rFonts w:eastAsiaTheme="minorHAnsi"/>
                <w:sz w:val="20"/>
                <w:szCs w:val="17"/>
                <w:lang w:val="en-US"/>
              </w:rPr>
              <w:t>2022</w:t>
            </w:r>
          </w:p>
        </w:tc>
        <w:tc>
          <w:tcPr>
            <w:tcW w:w="1641" w:type="dxa"/>
            <w:tcBorders>
              <w:top w:val="nil"/>
            </w:tcBorders>
            <w:vAlign w:val="center"/>
          </w:tcPr>
          <w:p w14:paraId="424B39E3" w14:textId="77777777" w:rsidR="00347734" w:rsidRDefault="001F3B15">
            <w:pPr>
              <w:jc w:val="center"/>
              <w:rPr>
                <w:color w:val="000000"/>
                <w:sz w:val="20"/>
                <w:szCs w:val="20"/>
                <w:lang w:val="en-US"/>
              </w:rPr>
            </w:pPr>
            <w:r>
              <w:rPr>
                <w:color w:val="000000"/>
                <w:sz w:val="20"/>
                <w:szCs w:val="20"/>
                <w:lang w:val="en-US"/>
              </w:rPr>
              <w:t>Case-control</w:t>
            </w:r>
          </w:p>
        </w:tc>
        <w:tc>
          <w:tcPr>
            <w:tcW w:w="1774" w:type="dxa"/>
            <w:tcBorders>
              <w:top w:val="nil"/>
            </w:tcBorders>
            <w:vAlign w:val="center"/>
          </w:tcPr>
          <w:p w14:paraId="5AF88E22" w14:textId="77777777" w:rsidR="00347734" w:rsidRDefault="001F3B15">
            <w:pPr>
              <w:jc w:val="center"/>
              <w:rPr>
                <w:color w:val="000000"/>
                <w:sz w:val="20"/>
                <w:szCs w:val="20"/>
                <w:lang w:val="en-US"/>
              </w:rPr>
            </w:pPr>
            <w:proofErr w:type="spellStart"/>
            <w:r>
              <w:rPr>
                <w:color w:val="000000"/>
                <w:sz w:val="20"/>
                <w:szCs w:val="20"/>
                <w:lang w:val="en-US"/>
              </w:rPr>
              <w:t>Ribeirão</w:t>
            </w:r>
            <w:proofErr w:type="spellEnd"/>
            <w:r>
              <w:rPr>
                <w:color w:val="000000"/>
                <w:sz w:val="20"/>
                <w:szCs w:val="20"/>
                <w:lang w:val="en-US"/>
              </w:rPr>
              <w:t xml:space="preserve"> Preto / São Paulo</w:t>
            </w:r>
          </w:p>
        </w:tc>
        <w:tc>
          <w:tcPr>
            <w:tcW w:w="1660" w:type="dxa"/>
            <w:tcBorders>
              <w:top w:val="nil"/>
            </w:tcBorders>
            <w:vAlign w:val="center"/>
          </w:tcPr>
          <w:p w14:paraId="0C7191EF" w14:textId="77777777" w:rsidR="00347734" w:rsidRDefault="001F3B15">
            <w:pPr>
              <w:jc w:val="center"/>
              <w:rPr>
                <w:color w:val="000000"/>
                <w:sz w:val="20"/>
                <w:szCs w:val="20"/>
                <w:lang w:val="en-US"/>
              </w:rPr>
            </w:pPr>
            <w:r>
              <w:rPr>
                <w:color w:val="000000"/>
                <w:sz w:val="20"/>
                <w:szCs w:val="20"/>
                <w:lang w:val="en-US"/>
              </w:rPr>
              <w:t>Clinical / Tertiary care hospital</w:t>
            </w:r>
          </w:p>
        </w:tc>
        <w:tc>
          <w:tcPr>
            <w:tcW w:w="1549" w:type="dxa"/>
            <w:tcBorders>
              <w:top w:val="nil"/>
            </w:tcBorders>
            <w:vAlign w:val="center"/>
          </w:tcPr>
          <w:p w14:paraId="7BF840A8" w14:textId="77777777" w:rsidR="00347734" w:rsidRDefault="001F3B15">
            <w:pPr>
              <w:jc w:val="center"/>
              <w:rPr>
                <w:color w:val="000000"/>
                <w:sz w:val="20"/>
                <w:szCs w:val="20"/>
                <w:lang w:val="en-US"/>
              </w:rPr>
            </w:pPr>
            <w:r>
              <w:rPr>
                <w:color w:val="000000"/>
                <w:sz w:val="20"/>
                <w:szCs w:val="20"/>
                <w:lang w:val="en-US"/>
              </w:rPr>
              <w:t>26/26</w:t>
            </w:r>
          </w:p>
        </w:tc>
        <w:tc>
          <w:tcPr>
            <w:tcW w:w="1833" w:type="dxa"/>
            <w:tcBorders>
              <w:top w:val="nil"/>
            </w:tcBorders>
            <w:vAlign w:val="center"/>
          </w:tcPr>
          <w:p w14:paraId="7DD56E21" w14:textId="77777777" w:rsidR="00347734" w:rsidRDefault="001F3B15">
            <w:pPr>
              <w:jc w:val="center"/>
              <w:rPr>
                <w:rFonts w:eastAsiaTheme="minorHAnsi"/>
                <w:sz w:val="20"/>
                <w:szCs w:val="14"/>
                <w:lang w:val="en-US"/>
              </w:rPr>
            </w:pPr>
            <w:r>
              <w:rPr>
                <w:rFonts w:eastAsiaTheme="minorHAnsi"/>
                <w:sz w:val="20"/>
                <w:szCs w:val="14"/>
                <w:lang w:val="en-US"/>
              </w:rPr>
              <w:t>blood, tracheal secretion, urine, peritoneal fluid, and</w:t>
            </w:r>
          </w:p>
          <w:p w14:paraId="7FEEE6FD" w14:textId="77777777" w:rsidR="00347734" w:rsidRDefault="001F3B15">
            <w:pPr>
              <w:jc w:val="center"/>
              <w:rPr>
                <w:rFonts w:eastAsiaTheme="minorHAnsi"/>
                <w:sz w:val="20"/>
                <w:szCs w:val="14"/>
                <w:lang w:val="en-US"/>
              </w:rPr>
            </w:pPr>
            <w:r>
              <w:rPr>
                <w:rFonts w:eastAsiaTheme="minorHAnsi"/>
                <w:sz w:val="20"/>
                <w:szCs w:val="14"/>
                <w:lang w:val="en-US"/>
              </w:rPr>
              <w:t>surgical wound.</w:t>
            </w:r>
          </w:p>
        </w:tc>
        <w:tc>
          <w:tcPr>
            <w:tcW w:w="1200" w:type="dxa"/>
            <w:tcBorders>
              <w:top w:val="nil"/>
            </w:tcBorders>
            <w:vAlign w:val="center"/>
          </w:tcPr>
          <w:p w14:paraId="0B20739F" w14:textId="77777777" w:rsidR="00347734" w:rsidRDefault="001F3B15">
            <w:pPr>
              <w:jc w:val="center"/>
              <w:rPr>
                <w:iCs/>
                <w:color w:val="000000"/>
                <w:sz w:val="20"/>
                <w:szCs w:val="20"/>
                <w:lang w:val="en-US"/>
              </w:rPr>
            </w:pPr>
            <w:r>
              <w:rPr>
                <w:iCs/>
                <w:color w:val="000000"/>
                <w:sz w:val="20"/>
                <w:szCs w:val="20"/>
                <w:lang w:val="en-US"/>
              </w:rPr>
              <w:t>bla</w:t>
            </w:r>
            <w:r>
              <w:rPr>
                <w:iCs/>
                <w:color w:val="000000"/>
                <w:sz w:val="20"/>
                <w:szCs w:val="20"/>
                <w:vertAlign w:val="subscript"/>
                <w:lang w:val="en-US"/>
              </w:rPr>
              <w:t xml:space="preserve">KPC-2 </w:t>
            </w:r>
            <w:r>
              <w:rPr>
                <w:iCs/>
                <w:color w:val="000000"/>
                <w:sz w:val="20"/>
                <w:szCs w:val="20"/>
                <w:lang w:val="en-US"/>
              </w:rPr>
              <w:t>positive (24/26)</w:t>
            </w:r>
          </w:p>
        </w:tc>
        <w:tc>
          <w:tcPr>
            <w:tcW w:w="1734" w:type="dxa"/>
            <w:tcBorders>
              <w:top w:val="nil"/>
            </w:tcBorders>
            <w:vAlign w:val="center"/>
          </w:tcPr>
          <w:p w14:paraId="77004A0A" w14:textId="77777777" w:rsidR="00347734" w:rsidRDefault="001F3B15">
            <w:pPr>
              <w:jc w:val="center"/>
              <w:rPr>
                <w:color w:val="000000"/>
                <w:sz w:val="20"/>
                <w:szCs w:val="20"/>
                <w:lang w:val="en-US"/>
              </w:rPr>
            </w:pPr>
            <w:r>
              <w:rPr>
                <w:color w:val="000000"/>
                <w:sz w:val="20"/>
                <w:szCs w:val="20"/>
                <w:lang w:val="en-US"/>
              </w:rPr>
              <w:t>WGS</w:t>
            </w:r>
          </w:p>
        </w:tc>
        <w:tc>
          <w:tcPr>
            <w:tcW w:w="828" w:type="dxa"/>
            <w:tcBorders>
              <w:top w:val="nil"/>
            </w:tcBorders>
            <w:vAlign w:val="center"/>
          </w:tcPr>
          <w:p w14:paraId="61255313" w14:textId="77777777" w:rsidR="00347734" w:rsidRDefault="001F3B15">
            <w:pPr>
              <w:jc w:val="center"/>
              <w:rPr>
                <w:color w:val="000000"/>
                <w:sz w:val="20"/>
                <w:szCs w:val="20"/>
                <w:lang w:val="en-US"/>
              </w:rPr>
            </w:pPr>
            <w:r>
              <w:rPr>
                <w:color w:val="000000"/>
                <w:sz w:val="20"/>
                <w:szCs w:val="20"/>
                <w:lang w:val="en-US"/>
              </w:rPr>
              <w:t>(10/10)</w:t>
            </w:r>
          </w:p>
        </w:tc>
      </w:tr>
      <w:tr w:rsidR="00347734" w14:paraId="310D7F18" w14:textId="77777777">
        <w:trPr>
          <w:trHeight w:val="936"/>
        </w:trPr>
        <w:tc>
          <w:tcPr>
            <w:tcW w:w="592" w:type="dxa"/>
            <w:tcBorders>
              <w:top w:val="nil"/>
            </w:tcBorders>
            <w:vAlign w:val="center"/>
          </w:tcPr>
          <w:p w14:paraId="05E99F2F" w14:textId="77777777" w:rsidR="00347734" w:rsidRDefault="001F3B15">
            <w:pPr>
              <w:jc w:val="center"/>
              <w:rPr>
                <w:color w:val="000000"/>
                <w:sz w:val="20"/>
                <w:szCs w:val="20"/>
                <w:lang w:val="en-US"/>
              </w:rPr>
            </w:pPr>
            <w:r>
              <w:rPr>
                <w:color w:val="000000"/>
                <w:sz w:val="20"/>
                <w:szCs w:val="20"/>
                <w:lang w:val="en-US"/>
              </w:rPr>
              <w:t>26</w:t>
            </w:r>
          </w:p>
        </w:tc>
        <w:tc>
          <w:tcPr>
            <w:tcW w:w="1193" w:type="dxa"/>
            <w:tcBorders>
              <w:top w:val="nil"/>
            </w:tcBorders>
            <w:vAlign w:val="center"/>
          </w:tcPr>
          <w:p w14:paraId="6E8C70C3" w14:textId="77777777" w:rsidR="00347734" w:rsidRDefault="001F3B15">
            <w:pPr>
              <w:jc w:val="center"/>
              <w:rPr>
                <w:lang w:val="en-US"/>
              </w:rPr>
            </w:pPr>
            <w:r>
              <w:rPr>
                <w:color w:val="000000"/>
                <w:sz w:val="20"/>
                <w:szCs w:val="20"/>
                <w:lang w:val="en-US"/>
              </w:rPr>
              <w:t xml:space="preserve">Rocha </w:t>
            </w:r>
            <w:r>
              <w:rPr>
                <w:i/>
                <w:iCs/>
                <w:color w:val="000000"/>
                <w:sz w:val="20"/>
                <w:szCs w:val="20"/>
                <w:lang w:val="en-US"/>
              </w:rPr>
              <w:t>et al.,</w:t>
            </w:r>
            <w:r>
              <w:rPr>
                <w:color w:val="000000"/>
                <w:sz w:val="20"/>
                <w:szCs w:val="20"/>
                <w:lang w:val="en-US"/>
              </w:rPr>
              <w:t xml:space="preserve"> 2022</w:t>
            </w:r>
          </w:p>
        </w:tc>
        <w:tc>
          <w:tcPr>
            <w:tcW w:w="1641" w:type="dxa"/>
            <w:tcBorders>
              <w:top w:val="nil"/>
            </w:tcBorders>
            <w:vAlign w:val="center"/>
          </w:tcPr>
          <w:p w14:paraId="1CCEECDE" w14:textId="77777777" w:rsidR="00347734" w:rsidRDefault="001F3B15">
            <w:pPr>
              <w:jc w:val="center"/>
              <w:rPr>
                <w:color w:val="000000"/>
                <w:sz w:val="20"/>
                <w:szCs w:val="20"/>
                <w:lang w:val="en-US"/>
              </w:rPr>
            </w:pPr>
            <w:r>
              <w:rPr>
                <w:color w:val="000000"/>
                <w:sz w:val="20"/>
                <w:szCs w:val="20"/>
                <w:lang w:val="en-US"/>
              </w:rPr>
              <w:t xml:space="preserve">Retrospective </w:t>
            </w:r>
            <w:r>
              <w:rPr>
                <w:color w:val="000000"/>
                <w:sz w:val="20"/>
                <w:szCs w:val="20"/>
                <w:lang w:val="en-US"/>
              </w:rPr>
              <w:t>cross-sectional / 2016 - 2018</w:t>
            </w:r>
          </w:p>
        </w:tc>
        <w:tc>
          <w:tcPr>
            <w:tcW w:w="1774" w:type="dxa"/>
            <w:tcBorders>
              <w:top w:val="nil"/>
            </w:tcBorders>
            <w:vAlign w:val="center"/>
          </w:tcPr>
          <w:p w14:paraId="4961B639" w14:textId="77777777" w:rsidR="00347734" w:rsidRDefault="001F3B15">
            <w:pPr>
              <w:jc w:val="center"/>
              <w:rPr>
                <w:color w:val="000000"/>
                <w:sz w:val="20"/>
                <w:szCs w:val="20"/>
                <w:lang w:val="en-US"/>
              </w:rPr>
            </w:pPr>
            <w:r>
              <w:rPr>
                <w:color w:val="000000"/>
                <w:sz w:val="20"/>
                <w:szCs w:val="20"/>
                <w:lang w:val="en-US"/>
              </w:rPr>
              <w:t>Bahia state / Northeast region</w:t>
            </w:r>
          </w:p>
        </w:tc>
        <w:tc>
          <w:tcPr>
            <w:tcW w:w="1660" w:type="dxa"/>
            <w:tcBorders>
              <w:top w:val="nil"/>
            </w:tcBorders>
            <w:vAlign w:val="center"/>
          </w:tcPr>
          <w:p w14:paraId="44987DAD" w14:textId="77777777" w:rsidR="00347734" w:rsidRDefault="001F3B15">
            <w:pPr>
              <w:jc w:val="center"/>
              <w:rPr>
                <w:color w:val="000000"/>
                <w:sz w:val="20"/>
                <w:szCs w:val="20"/>
                <w:lang w:val="en-US"/>
              </w:rPr>
            </w:pPr>
            <w:r>
              <w:rPr>
                <w:color w:val="000000"/>
                <w:sz w:val="20"/>
                <w:szCs w:val="20"/>
                <w:lang w:val="en-US"/>
              </w:rPr>
              <w:t>Clinical / Tertiary care hospital</w:t>
            </w:r>
          </w:p>
        </w:tc>
        <w:tc>
          <w:tcPr>
            <w:tcW w:w="1549" w:type="dxa"/>
            <w:tcBorders>
              <w:top w:val="nil"/>
            </w:tcBorders>
            <w:vAlign w:val="center"/>
          </w:tcPr>
          <w:p w14:paraId="291A2EF0" w14:textId="77777777" w:rsidR="00347734" w:rsidRDefault="001F3B15">
            <w:pPr>
              <w:jc w:val="center"/>
              <w:rPr>
                <w:color w:val="000000"/>
                <w:sz w:val="20"/>
                <w:szCs w:val="20"/>
                <w:lang w:val="en-US"/>
              </w:rPr>
            </w:pPr>
            <w:r>
              <w:rPr>
                <w:color w:val="000000"/>
                <w:sz w:val="20"/>
                <w:szCs w:val="20"/>
                <w:lang w:val="en-US"/>
              </w:rPr>
              <w:t>56 /56</w:t>
            </w:r>
          </w:p>
        </w:tc>
        <w:tc>
          <w:tcPr>
            <w:tcW w:w="1833" w:type="dxa"/>
            <w:tcBorders>
              <w:top w:val="nil"/>
            </w:tcBorders>
            <w:vAlign w:val="center"/>
          </w:tcPr>
          <w:p w14:paraId="6C8785E6" w14:textId="77777777" w:rsidR="00347734" w:rsidRDefault="001F3B15">
            <w:pPr>
              <w:jc w:val="center"/>
              <w:rPr>
                <w:color w:val="000000"/>
                <w:sz w:val="20"/>
                <w:szCs w:val="20"/>
                <w:lang w:val="en-US"/>
              </w:rPr>
            </w:pPr>
            <w:r>
              <w:rPr>
                <w:color w:val="000000"/>
                <w:sz w:val="20"/>
                <w:szCs w:val="20"/>
                <w:lang w:val="en-US"/>
              </w:rPr>
              <w:t>Rectal swab; blood culture; catheter tip; intraoperative secretion; tracheal secretion; and urine culture.</w:t>
            </w:r>
          </w:p>
        </w:tc>
        <w:tc>
          <w:tcPr>
            <w:tcW w:w="1200" w:type="dxa"/>
            <w:tcBorders>
              <w:top w:val="nil"/>
            </w:tcBorders>
            <w:vAlign w:val="center"/>
          </w:tcPr>
          <w:p w14:paraId="2628CB28" w14:textId="77777777" w:rsidR="00347734" w:rsidRDefault="00347734">
            <w:pPr>
              <w:rPr>
                <w:color w:val="000000"/>
                <w:sz w:val="20"/>
                <w:szCs w:val="20"/>
                <w:lang w:val="en-US"/>
              </w:rPr>
            </w:pPr>
          </w:p>
          <w:p w14:paraId="06068817" w14:textId="77777777" w:rsidR="00347734" w:rsidRDefault="001F3B15">
            <w:pPr>
              <w:jc w:val="center"/>
              <w:rPr>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(53/56)</w:t>
            </w:r>
          </w:p>
        </w:tc>
        <w:tc>
          <w:tcPr>
            <w:tcW w:w="1734" w:type="dxa"/>
            <w:tcBorders>
              <w:top w:val="nil"/>
            </w:tcBorders>
            <w:vAlign w:val="center"/>
          </w:tcPr>
          <w:p w14:paraId="439F8391" w14:textId="77777777" w:rsidR="00347734" w:rsidRDefault="001F3B15">
            <w:pPr>
              <w:jc w:val="center"/>
              <w:rPr>
                <w:color w:val="000000"/>
                <w:sz w:val="20"/>
                <w:szCs w:val="20"/>
                <w:lang w:val="en-US"/>
              </w:rPr>
            </w:pPr>
            <w:r>
              <w:rPr>
                <w:color w:val="000000"/>
                <w:sz w:val="20"/>
                <w:szCs w:val="20"/>
                <w:lang w:val="en-US"/>
              </w:rPr>
              <w:t>PCR and WGS</w:t>
            </w:r>
          </w:p>
        </w:tc>
        <w:tc>
          <w:tcPr>
            <w:tcW w:w="828" w:type="dxa"/>
            <w:tcBorders>
              <w:top w:val="nil"/>
            </w:tcBorders>
            <w:vAlign w:val="center"/>
          </w:tcPr>
          <w:p w14:paraId="598727C4" w14:textId="77777777" w:rsidR="00347734" w:rsidRDefault="001F3B15">
            <w:pPr>
              <w:jc w:val="center"/>
              <w:rPr>
                <w:color w:val="000000"/>
                <w:sz w:val="20"/>
                <w:szCs w:val="20"/>
                <w:lang w:val="en-US"/>
              </w:rPr>
            </w:pPr>
            <w:r>
              <w:rPr>
                <w:color w:val="000000"/>
                <w:sz w:val="20"/>
                <w:szCs w:val="20"/>
                <w:lang w:val="en-US"/>
              </w:rPr>
              <w:t>(8/8)</w:t>
            </w:r>
          </w:p>
        </w:tc>
      </w:tr>
      <w:tr w:rsidR="00347734" w14:paraId="11DE4710" w14:textId="77777777">
        <w:trPr>
          <w:trHeight w:val="936"/>
        </w:trPr>
        <w:tc>
          <w:tcPr>
            <w:tcW w:w="592" w:type="dxa"/>
            <w:vAlign w:val="center"/>
          </w:tcPr>
          <w:p w14:paraId="6DD17CFB" w14:textId="77777777" w:rsidR="00347734" w:rsidRDefault="001F3B15">
            <w:pPr>
              <w:jc w:val="center"/>
              <w:rPr>
                <w:color w:val="000000"/>
                <w:sz w:val="20"/>
                <w:szCs w:val="20"/>
                <w:lang w:val="en-US"/>
              </w:rPr>
            </w:pPr>
            <w:r>
              <w:rPr>
                <w:color w:val="000000"/>
                <w:sz w:val="20"/>
                <w:szCs w:val="20"/>
                <w:lang w:val="en-US"/>
              </w:rPr>
              <w:t>27</w:t>
            </w:r>
          </w:p>
        </w:tc>
        <w:tc>
          <w:tcPr>
            <w:tcW w:w="1193" w:type="dxa"/>
            <w:vAlign w:val="center"/>
          </w:tcPr>
          <w:p w14:paraId="18B48B0B" w14:textId="77777777" w:rsidR="00347734" w:rsidRDefault="001F3B15">
            <w:pPr>
              <w:jc w:val="center"/>
              <w:rPr>
                <w:lang w:val="en-US"/>
              </w:rPr>
            </w:pPr>
            <w:r>
              <w:rPr>
                <w:sz w:val="20"/>
                <w:szCs w:val="20"/>
                <w:lang w:val="en-US"/>
              </w:rPr>
              <w:t xml:space="preserve">Neto </w:t>
            </w:r>
            <w:r>
              <w:rPr>
                <w:i/>
                <w:iCs/>
                <w:sz w:val="20"/>
                <w:szCs w:val="20"/>
                <w:lang w:val="en-US"/>
              </w:rPr>
              <w:t>et al.,</w:t>
            </w:r>
            <w:r>
              <w:rPr>
                <w:sz w:val="20"/>
                <w:szCs w:val="20"/>
                <w:lang w:val="en-US"/>
              </w:rPr>
              <w:t xml:space="preserve"> 2022</w:t>
            </w:r>
          </w:p>
        </w:tc>
        <w:tc>
          <w:tcPr>
            <w:tcW w:w="1641" w:type="dxa"/>
            <w:vAlign w:val="center"/>
          </w:tcPr>
          <w:p w14:paraId="6146E129" w14:textId="77777777" w:rsidR="00347734" w:rsidRDefault="001F3B15">
            <w:pPr>
              <w:jc w:val="center"/>
              <w:rPr>
                <w:color w:val="000000"/>
                <w:sz w:val="20"/>
                <w:szCs w:val="20"/>
                <w:lang w:val="en-US"/>
              </w:rPr>
            </w:pPr>
            <w:r>
              <w:rPr>
                <w:color w:val="000000"/>
                <w:sz w:val="20"/>
                <w:szCs w:val="20"/>
                <w:lang w:val="en-US"/>
              </w:rPr>
              <w:t>Retrospective cross-sectional /</w:t>
            </w:r>
          </w:p>
        </w:tc>
        <w:tc>
          <w:tcPr>
            <w:tcW w:w="1774" w:type="dxa"/>
            <w:vAlign w:val="center"/>
          </w:tcPr>
          <w:p w14:paraId="7738DCA0" w14:textId="77777777" w:rsidR="00347734" w:rsidRDefault="001F3B15">
            <w:pPr>
              <w:jc w:val="center"/>
              <w:rPr>
                <w:color w:val="000000"/>
                <w:sz w:val="20"/>
                <w:szCs w:val="20"/>
                <w:lang w:val="en-US"/>
              </w:rPr>
            </w:pPr>
            <w:r>
              <w:rPr>
                <w:color w:val="000000"/>
                <w:sz w:val="20"/>
                <w:szCs w:val="20"/>
                <w:lang w:val="en-US"/>
              </w:rPr>
              <w:t>Several locations / Northeast, Mid-west, Southeast and South regions</w:t>
            </w:r>
          </w:p>
        </w:tc>
        <w:tc>
          <w:tcPr>
            <w:tcW w:w="1660" w:type="dxa"/>
            <w:vAlign w:val="center"/>
          </w:tcPr>
          <w:p w14:paraId="5B74D431" w14:textId="77777777" w:rsidR="00347734" w:rsidRDefault="001F3B15">
            <w:pPr>
              <w:jc w:val="center"/>
              <w:rPr>
                <w:color w:val="000000"/>
                <w:sz w:val="20"/>
                <w:szCs w:val="20"/>
                <w:lang w:val="en-US"/>
              </w:rPr>
            </w:pPr>
            <w:r>
              <w:rPr>
                <w:color w:val="000000"/>
                <w:sz w:val="20"/>
                <w:szCs w:val="20"/>
                <w:lang w:val="en-US"/>
              </w:rPr>
              <w:t>Clinical / Hospitals</w:t>
            </w:r>
          </w:p>
        </w:tc>
        <w:tc>
          <w:tcPr>
            <w:tcW w:w="1549" w:type="dxa"/>
            <w:vAlign w:val="center"/>
          </w:tcPr>
          <w:p w14:paraId="2BFD5590" w14:textId="77777777" w:rsidR="00347734" w:rsidRDefault="001F3B15">
            <w:pPr>
              <w:jc w:val="center"/>
              <w:rPr>
                <w:color w:val="000000"/>
                <w:sz w:val="20"/>
                <w:szCs w:val="20"/>
                <w:lang w:val="en-US"/>
              </w:rPr>
            </w:pPr>
            <w:r>
              <w:rPr>
                <w:color w:val="000000"/>
                <w:sz w:val="20"/>
                <w:szCs w:val="20"/>
                <w:lang w:val="en-US"/>
              </w:rPr>
              <w:t>502/502</w:t>
            </w:r>
          </w:p>
        </w:tc>
        <w:tc>
          <w:tcPr>
            <w:tcW w:w="1833" w:type="dxa"/>
            <w:vAlign w:val="center"/>
          </w:tcPr>
          <w:p w14:paraId="30C82F29" w14:textId="77777777" w:rsidR="00347734" w:rsidRDefault="001F3B15">
            <w:pPr>
              <w:jc w:val="center"/>
              <w:rPr>
                <w:color w:val="000000"/>
                <w:sz w:val="20"/>
                <w:szCs w:val="20"/>
                <w:lang w:val="en-US"/>
              </w:rPr>
            </w:pPr>
            <w:r>
              <w:rPr>
                <w:color w:val="000000"/>
                <w:sz w:val="20"/>
                <w:szCs w:val="20"/>
                <w:lang w:val="en-US"/>
              </w:rPr>
              <w:t>Blood, urine, tracheal aspirate, rectal swab, catheter tip, sputum, tissue fragment and wound</w:t>
            </w:r>
          </w:p>
        </w:tc>
        <w:tc>
          <w:tcPr>
            <w:tcW w:w="1200" w:type="dxa"/>
            <w:vAlign w:val="center"/>
          </w:tcPr>
          <w:p w14:paraId="0AC5F411" w14:textId="77777777" w:rsidR="00347734" w:rsidRDefault="001F3B15">
            <w:pPr>
              <w:jc w:val="center"/>
              <w:rPr>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w:t>
            </w:r>
            <w:r>
              <w:rPr>
                <w:color w:val="000000"/>
                <w:sz w:val="20"/>
                <w:szCs w:val="20"/>
                <w:lang w:val="en-US"/>
              </w:rPr>
              <w:t>e</w:t>
            </w:r>
          </w:p>
          <w:p w14:paraId="6730DE2E" w14:textId="77777777" w:rsidR="00347734" w:rsidRDefault="001F3B15">
            <w:pPr>
              <w:jc w:val="center"/>
              <w:rPr>
                <w:i/>
                <w:iCs/>
                <w:color w:val="000000"/>
                <w:sz w:val="20"/>
                <w:szCs w:val="20"/>
                <w:lang w:val="en-US"/>
              </w:rPr>
            </w:pPr>
            <w:r>
              <w:rPr>
                <w:color w:val="000000"/>
                <w:sz w:val="20"/>
                <w:szCs w:val="20"/>
                <w:lang w:val="en-US"/>
              </w:rPr>
              <w:t>(122/502)</w:t>
            </w:r>
          </w:p>
        </w:tc>
        <w:tc>
          <w:tcPr>
            <w:tcW w:w="1734" w:type="dxa"/>
            <w:vAlign w:val="center"/>
          </w:tcPr>
          <w:p w14:paraId="58C878C8"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1DCE63FB" w14:textId="77777777" w:rsidR="00347734" w:rsidRDefault="001F3B15">
            <w:pPr>
              <w:jc w:val="center"/>
              <w:rPr>
                <w:color w:val="000000"/>
                <w:sz w:val="20"/>
                <w:szCs w:val="20"/>
                <w:lang w:val="en-US"/>
              </w:rPr>
            </w:pPr>
            <w:r>
              <w:rPr>
                <w:color w:val="000000"/>
                <w:sz w:val="20"/>
                <w:szCs w:val="20"/>
                <w:lang w:val="en-US"/>
              </w:rPr>
              <w:t>(8/8)</w:t>
            </w:r>
          </w:p>
        </w:tc>
      </w:tr>
      <w:tr w:rsidR="00347734" w14:paraId="71DB0434" w14:textId="77777777">
        <w:trPr>
          <w:trHeight w:val="936"/>
        </w:trPr>
        <w:tc>
          <w:tcPr>
            <w:tcW w:w="592" w:type="dxa"/>
            <w:vAlign w:val="center"/>
          </w:tcPr>
          <w:p w14:paraId="1758F11B" w14:textId="77777777" w:rsidR="00347734" w:rsidRDefault="001F3B15">
            <w:pPr>
              <w:jc w:val="center"/>
              <w:rPr>
                <w:color w:val="000000"/>
                <w:sz w:val="20"/>
                <w:szCs w:val="20"/>
                <w:lang w:val="en-US"/>
              </w:rPr>
            </w:pPr>
            <w:r>
              <w:rPr>
                <w:color w:val="000000"/>
                <w:sz w:val="20"/>
                <w:szCs w:val="20"/>
                <w:lang w:val="en-US"/>
              </w:rPr>
              <w:t>28</w:t>
            </w:r>
          </w:p>
        </w:tc>
        <w:tc>
          <w:tcPr>
            <w:tcW w:w="1193" w:type="dxa"/>
            <w:vAlign w:val="center"/>
          </w:tcPr>
          <w:p w14:paraId="4A264671" w14:textId="77777777" w:rsidR="00347734" w:rsidRDefault="001F3B15">
            <w:pPr>
              <w:jc w:val="center"/>
              <w:rPr>
                <w:lang w:val="en-US"/>
              </w:rPr>
            </w:pPr>
            <w:r>
              <w:rPr>
                <w:sz w:val="20"/>
                <w:szCs w:val="20"/>
                <w:lang w:val="en-US"/>
              </w:rPr>
              <w:t xml:space="preserve">Barroso </w:t>
            </w:r>
            <w:r>
              <w:rPr>
                <w:i/>
                <w:sz w:val="20"/>
                <w:szCs w:val="20"/>
                <w:lang w:val="en-US"/>
              </w:rPr>
              <w:t xml:space="preserve">et al. </w:t>
            </w:r>
            <w:r>
              <w:rPr>
                <w:sz w:val="20"/>
                <w:szCs w:val="20"/>
                <w:lang w:val="en-US"/>
              </w:rPr>
              <w:t>2023</w:t>
            </w:r>
          </w:p>
        </w:tc>
        <w:tc>
          <w:tcPr>
            <w:tcW w:w="1641" w:type="dxa"/>
            <w:vAlign w:val="center"/>
          </w:tcPr>
          <w:p w14:paraId="39692848" w14:textId="77777777" w:rsidR="00347734" w:rsidRDefault="001F3B15">
            <w:pPr>
              <w:jc w:val="center"/>
              <w:rPr>
                <w:color w:val="000000"/>
                <w:sz w:val="20"/>
                <w:szCs w:val="20"/>
                <w:lang w:val="en-US"/>
              </w:rPr>
            </w:pPr>
            <w:r>
              <w:rPr>
                <w:color w:val="000000"/>
                <w:sz w:val="20"/>
                <w:szCs w:val="20"/>
                <w:lang w:val="en-US"/>
              </w:rPr>
              <w:t>Retrospective cross-sectional / 2016 - 2021</w:t>
            </w:r>
          </w:p>
        </w:tc>
        <w:tc>
          <w:tcPr>
            <w:tcW w:w="1774" w:type="dxa"/>
            <w:vAlign w:val="center"/>
          </w:tcPr>
          <w:p w14:paraId="123B13B9" w14:textId="77777777" w:rsidR="00347734" w:rsidRDefault="001F3B15">
            <w:pPr>
              <w:jc w:val="center"/>
              <w:rPr>
                <w:color w:val="000000"/>
                <w:sz w:val="20"/>
                <w:szCs w:val="20"/>
                <w:lang w:val="en-US"/>
              </w:rPr>
            </w:pPr>
            <w:r>
              <w:rPr>
                <w:color w:val="000000"/>
                <w:sz w:val="20"/>
                <w:szCs w:val="20"/>
                <w:lang w:val="en-US"/>
              </w:rPr>
              <w:t>São Paulo, São Paulo State / Southeast region</w:t>
            </w:r>
          </w:p>
        </w:tc>
        <w:tc>
          <w:tcPr>
            <w:tcW w:w="1660" w:type="dxa"/>
            <w:vAlign w:val="center"/>
          </w:tcPr>
          <w:p w14:paraId="7F705135" w14:textId="77777777" w:rsidR="00347734" w:rsidRDefault="001F3B15">
            <w:pPr>
              <w:jc w:val="center"/>
              <w:rPr>
                <w:color w:val="000000"/>
                <w:sz w:val="20"/>
                <w:szCs w:val="20"/>
                <w:lang w:val="en-US"/>
              </w:rPr>
            </w:pPr>
            <w:r>
              <w:rPr>
                <w:color w:val="000000"/>
                <w:sz w:val="20"/>
                <w:szCs w:val="20"/>
                <w:lang w:val="en-US"/>
              </w:rPr>
              <w:t>Clinical / Pediatric care hospital</w:t>
            </w:r>
          </w:p>
        </w:tc>
        <w:tc>
          <w:tcPr>
            <w:tcW w:w="1549" w:type="dxa"/>
            <w:vAlign w:val="center"/>
          </w:tcPr>
          <w:p w14:paraId="12E85684" w14:textId="77777777" w:rsidR="00347734" w:rsidRDefault="001F3B15">
            <w:pPr>
              <w:jc w:val="center"/>
              <w:rPr>
                <w:color w:val="000000"/>
                <w:sz w:val="20"/>
                <w:szCs w:val="20"/>
                <w:lang w:val="en-US"/>
              </w:rPr>
            </w:pPr>
            <w:r>
              <w:rPr>
                <w:color w:val="000000"/>
                <w:sz w:val="20"/>
                <w:szCs w:val="20"/>
                <w:lang w:val="en-US"/>
              </w:rPr>
              <w:t>36/36</w:t>
            </w:r>
          </w:p>
        </w:tc>
        <w:tc>
          <w:tcPr>
            <w:tcW w:w="1833" w:type="dxa"/>
            <w:vAlign w:val="center"/>
          </w:tcPr>
          <w:p w14:paraId="764BCDF5" w14:textId="77777777" w:rsidR="00347734" w:rsidRDefault="001F3B15">
            <w:pPr>
              <w:jc w:val="center"/>
              <w:rPr>
                <w:color w:val="000000"/>
                <w:sz w:val="20"/>
                <w:szCs w:val="20"/>
                <w:lang w:val="en-US"/>
              </w:rPr>
            </w:pPr>
            <w:r>
              <w:rPr>
                <w:color w:val="000000"/>
                <w:sz w:val="20"/>
                <w:szCs w:val="20"/>
                <w:lang w:val="en-US"/>
              </w:rPr>
              <w:t>Blood, urine, rectal swab, wound</w:t>
            </w:r>
          </w:p>
        </w:tc>
        <w:tc>
          <w:tcPr>
            <w:tcW w:w="1200" w:type="dxa"/>
            <w:vAlign w:val="center"/>
          </w:tcPr>
          <w:p w14:paraId="55291F32" w14:textId="77777777" w:rsidR="00347734" w:rsidRDefault="001F3B15">
            <w:pPr>
              <w:jc w:val="center"/>
              <w:rPr>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w:t>
            </w:r>
          </w:p>
          <w:p w14:paraId="259EB049" w14:textId="77777777" w:rsidR="00347734" w:rsidRDefault="001F3B15">
            <w:pPr>
              <w:jc w:val="center"/>
              <w:rPr>
                <w:i/>
                <w:iCs/>
                <w:color w:val="000000"/>
                <w:sz w:val="20"/>
                <w:szCs w:val="20"/>
                <w:lang w:val="en-US"/>
              </w:rPr>
            </w:pPr>
            <w:r>
              <w:rPr>
                <w:color w:val="000000"/>
                <w:sz w:val="20"/>
                <w:szCs w:val="20"/>
                <w:lang w:val="en-US"/>
              </w:rPr>
              <w:t>(26/36)</w:t>
            </w:r>
          </w:p>
        </w:tc>
        <w:tc>
          <w:tcPr>
            <w:tcW w:w="1734" w:type="dxa"/>
            <w:vAlign w:val="center"/>
          </w:tcPr>
          <w:p w14:paraId="53DDA24E"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78A8769B" w14:textId="77777777" w:rsidR="00347734" w:rsidRDefault="001F3B15">
            <w:pPr>
              <w:jc w:val="center"/>
              <w:rPr>
                <w:color w:val="000000"/>
                <w:sz w:val="20"/>
                <w:szCs w:val="20"/>
                <w:lang w:val="en-US"/>
              </w:rPr>
            </w:pPr>
            <w:r>
              <w:rPr>
                <w:color w:val="000000"/>
                <w:sz w:val="20"/>
                <w:szCs w:val="20"/>
                <w:lang w:val="en-US"/>
              </w:rPr>
              <w:t>(7/8)</w:t>
            </w:r>
          </w:p>
        </w:tc>
      </w:tr>
      <w:tr w:rsidR="00347734" w14:paraId="3030C494" w14:textId="77777777">
        <w:trPr>
          <w:trHeight w:val="936"/>
        </w:trPr>
        <w:tc>
          <w:tcPr>
            <w:tcW w:w="592" w:type="dxa"/>
            <w:vAlign w:val="center"/>
          </w:tcPr>
          <w:p w14:paraId="7A3D2E4E" w14:textId="77777777" w:rsidR="00347734" w:rsidRDefault="001F3B15">
            <w:pPr>
              <w:jc w:val="center"/>
              <w:rPr>
                <w:color w:val="000000"/>
                <w:sz w:val="20"/>
                <w:szCs w:val="20"/>
                <w:lang w:val="en-US"/>
              </w:rPr>
            </w:pPr>
            <w:r>
              <w:rPr>
                <w:color w:val="000000"/>
                <w:sz w:val="20"/>
                <w:szCs w:val="20"/>
                <w:lang w:val="en-US"/>
              </w:rPr>
              <w:t>29</w:t>
            </w:r>
          </w:p>
        </w:tc>
        <w:tc>
          <w:tcPr>
            <w:tcW w:w="1193" w:type="dxa"/>
            <w:vAlign w:val="center"/>
          </w:tcPr>
          <w:p w14:paraId="18266A70" w14:textId="77777777" w:rsidR="00347734" w:rsidRDefault="001F3B15">
            <w:pPr>
              <w:jc w:val="center"/>
              <w:rPr>
                <w:lang w:val="en-US"/>
              </w:rPr>
            </w:pPr>
            <w:r>
              <w:rPr>
                <w:sz w:val="20"/>
                <w:szCs w:val="20"/>
                <w:lang w:val="en-US"/>
              </w:rPr>
              <w:t xml:space="preserve">dos Santos </w:t>
            </w:r>
            <w:r>
              <w:rPr>
                <w:i/>
                <w:iCs/>
                <w:sz w:val="20"/>
                <w:szCs w:val="20"/>
                <w:lang w:val="en-US"/>
              </w:rPr>
              <w:t>et al.,</w:t>
            </w:r>
            <w:r>
              <w:rPr>
                <w:sz w:val="20"/>
                <w:szCs w:val="20"/>
                <w:lang w:val="en-US"/>
              </w:rPr>
              <w:t xml:space="preserve"> 2024</w:t>
            </w:r>
          </w:p>
        </w:tc>
        <w:tc>
          <w:tcPr>
            <w:tcW w:w="1641" w:type="dxa"/>
            <w:vAlign w:val="center"/>
          </w:tcPr>
          <w:p w14:paraId="14CE0728" w14:textId="77777777" w:rsidR="00347734" w:rsidRDefault="001F3B15">
            <w:pPr>
              <w:jc w:val="center"/>
              <w:rPr>
                <w:color w:val="000000"/>
                <w:sz w:val="20"/>
                <w:szCs w:val="20"/>
                <w:lang w:val="en-US"/>
              </w:rPr>
            </w:pPr>
            <w:r>
              <w:rPr>
                <w:color w:val="000000"/>
                <w:sz w:val="20"/>
                <w:szCs w:val="20"/>
                <w:lang w:val="en-US"/>
              </w:rPr>
              <w:t>Retrospective cross-sectional /</w:t>
            </w:r>
          </w:p>
        </w:tc>
        <w:tc>
          <w:tcPr>
            <w:tcW w:w="1774" w:type="dxa"/>
            <w:vAlign w:val="center"/>
          </w:tcPr>
          <w:p w14:paraId="3EF55369" w14:textId="77777777" w:rsidR="00347734" w:rsidRDefault="001F3B15">
            <w:pPr>
              <w:jc w:val="center"/>
              <w:rPr>
                <w:color w:val="000000"/>
                <w:sz w:val="20"/>
                <w:szCs w:val="20"/>
                <w:lang w:val="en-US"/>
              </w:rPr>
            </w:pPr>
            <w:r>
              <w:rPr>
                <w:color w:val="000000"/>
                <w:sz w:val="20"/>
                <w:szCs w:val="20"/>
                <w:lang w:val="en-US"/>
              </w:rPr>
              <w:t>Rondônia State / North region</w:t>
            </w:r>
          </w:p>
        </w:tc>
        <w:tc>
          <w:tcPr>
            <w:tcW w:w="1660" w:type="dxa"/>
            <w:vAlign w:val="center"/>
          </w:tcPr>
          <w:p w14:paraId="648DC0BA" w14:textId="77777777" w:rsidR="00347734" w:rsidRDefault="001F3B15">
            <w:pPr>
              <w:jc w:val="center"/>
              <w:rPr>
                <w:color w:val="000000"/>
                <w:sz w:val="20"/>
                <w:szCs w:val="20"/>
                <w:lang w:val="en-US"/>
              </w:rPr>
            </w:pPr>
            <w:r>
              <w:rPr>
                <w:color w:val="000000"/>
                <w:sz w:val="20"/>
                <w:szCs w:val="20"/>
                <w:lang w:val="en-US"/>
              </w:rPr>
              <w:t>Clinical / Central public health laboratory (LACEN/RO)</w:t>
            </w:r>
          </w:p>
        </w:tc>
        <w:tc>
          <w:tcPr>
            <w:tcW w:w="1549" w:type="dxa"/>
            <w:vAlign w:val="center"/>
          </w:tcPr>
          <w:p w14:paraId="2D279AC1" w14:textId="77777777" w:rsidR="00347734" w:rsidRDefault="001F3B15">
            <w:pPr>
              <w:jc w:val="center"/>
              <w:rPr>
                <w:color w:val="000000"/>
                <w:sz w:val="20"/>
                <w:szCs w:val="20"/>
                <w:lang w:val="en-US"/>
              </w:rPr>
            </w:pPr>
            <w:r>
              <w:rPr>
                <w:color w:val="000000"/>
                <w:sz w:val="20"/>
                <w:szCs w:val="20"/>
                <w:lang w:val="en-US"/>
              </w:rPr>
              <w:t>2.109 / 2.109</w:t>
            </w:r>
          </w:p>
        </w:tc>
        <w:tc>
          <w:tcPr>
            <w:tcW w:w="1833" w:type="dxa"/>
            <w:vAlign w:val="center"/>
          </w:tcPr>
          <w:p w14:paraId="6368A944" w14:textId="77777777" w:rsidR="00347734" w:rsidRDefault="001F3B15">
            <w:pPr>
              <w:jc w:val="center"/>
              <w:rPr>
                <w:color w:val="000000"/>
                <w:sz w:val="20"/>
                <w:szCs w:val="20"/>
                <w:lang w:val="en-US"/>
              </w:rPr>
            </w:pPr>
            <w:r>
              <w:rPr>
                <w:color w:val="000000"/>
                <w:sz w:val="20"/>
                <w:szCs w:val="20"/>
                <w:lang w:val="en-US"/>
              </w:rPr>
              <w:t>Not described</w:t>
            </w:r>
          </w:p>
        </w:tc>
        <w:tc>
          <w:tcPr>
            <w:tcW w:w="1200" w:type="dxa"/>
            <w:vAlign w:val="center"/>
          </w:tcPr>
          <w:p w14:paraId="413276A9"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(272/2.109)</w:t>
            </w:r>
          </w:p>
        </w:tc>
        <w:tc>
          <w:tcPr>
            <w:tcW w:w="1734" w:type="dxa"/>
            <w:vAlign w:val="center"/>
          </w:tcPr>
          <w:p w14:paraId="47FF0CE2"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1E9E0BA0" w14:textId="77777777" w:rsidR="00347734" w:rsidRDefault="001F3B15">
            <w:pPr>
              <w:jc w:val="center"/>
              <w:rPr>
                <w:color w:val="000000"/>
                <w:sz w:val="20"/>
                <w:szCs w:val="20"/>
                <w:lang w:val="en-US"/>
              </w:rPr>
            </w:pPr>
            <w:r>
              <w:rPr>
                <w:color w:val="000000"/>
                <w:sz w:val="20"/>
                <w:szCs w:val="20"/>
                <w:lang w:val="en-US"/>
              </w:rPr>
              <w:t>(8/8)</w:t>
            </w:r>
          </w:p>
        </w:tc>
      </w:tr>
      <w:tr w:rsidR="00347734" w14:paraId="7C933922" w14:textId="77777777">
        <w:trPr>
          <w:trHeight w:val="936"/>
        </w:trPr>
        <w:tc>
          <w:tcPr>
            <w:tcW w:w="592" w:type="dxa"/>
            <w:vAlign w:val="center"/>
          </w:tcPr>
          <w:p w14:paraId="59F2383B" w14:textId="77777777" w:rsidR="00347734" w:rsidRDefault="001F3B15">
            <w:pPr>
              <w:jc w:val="center"/>
              <w:rPr>
                <w:color w:val="000000"/>
                <w:sz w:val="20"/>
                <w:szCs w:val="20"/>
                <w:lang w:val="en-US"/>
              </w:rPr>
            </w:pPr>
            <w:r>
              <w:rPr>
                <w:color w:val="000000"/>
                <w:sz w:val="20"/>
                <w:szCs w:val="20"/>
                <w:lang w:val="en-US"/>
              </w:rPr>
              <w:t>30</w:t>
            </w:r>
          </w:p>
        </w:tc>
        <w:tc>
          <w:tcPr>
            <w:tcW w:w="1193" w:type="dxa"/>
            <w:vAlign w:val="center"/>
          </w:tcPr>
          <w:p w14:paraId="3C6420CD" w14:textId="77777777" w:rsidR="00347734" w:rsidRDefault="001F3B15">
            <w:pPr>
              <w:jc w:val="center"/>
              <w:rPr>
                <w:lang w:val="en-US"/>
              </w:rPr>
            </w:pPr>
            <w:r>
              <w:rPr>
                <w:sz w:val="20"/>
                <w:lang w:val="en-US"/>
              </w:rPr>
              <w:t>Silva</w:t>
            </w:r>
            <w:r>
              <w:rPr>
                <w:i/>
                <w:iCs/>
                <w:sz w:val="20"/>
                <w:szCs w:val="20"/>
                <w:lang w:val="en-US"/>
              </w:rPr>
              <w:t xml:space="preserve"> et al.,</w:t>
            </w:r>
            <w:r>
              <w:rPr>
                <w:sz w:val="20"/>
                <w:szCs w:val="20"/>
                <w:lang w:val="en-US"/>
              </w:rPr>
              <w:t xml:space="preserve"> 2024</w:t>
            </w:r>
          </w:p>
        </w:tc>
        <w:tc>
          <w:tcPr>
            <w:tcW w:w="1641" w:type="dxa"/>
            <w:vAlign w:val="center"/>
          </w:tcPr>
          <w:p w14:paraId="684B2B7E" w14:textId="77777777" w:rsidR="00347734" w:rsidRDefault="001F3B15">
            <w:pPr>
              <w:jc w:val="center"/>
              <w:rPr>
                <w:color w:val="000000"/>
                <w:sz w:val="20"/>
                <w:szCs w:val="20"/>
                <w:lang w:val="en-US"/>
              </w:rPr>
            </w:pPr>
            <w:r>
              <w:rPr>
                <w:color w:val="000000"/>
                <w:sz w:val="20"/>
                <w:szCs w:val="20"/>
                <w:lang w:val="en-US"/>
              </w:rPr>
              <w:t xml:space="preserve">Retrospective </w:t>
            </w:r>
            <w:r>
              <w:rPr>
                <w:color w:val="000000"/>
                <w:sz w:val="20"/>
                <w:szCs w:val="20"/>
                <w:lang w:val="en-US"/>
              </w:rPr>
              <w:t>cross-sectional / 2020 - 2023</w:t>
            </w:r>
          </w:p>
        </w:tc>
        <w:tc>
          <w:tcPr>
            <w:tcW w:w="1774" w:type="dxa"/>
            <w:vAlign w:val="center"/>
          </w:tcPr>
          <w:p w14:paraId="26D06481" w14:textId="77777777" w:rsidR="00347734" w:rsidRDefault="001F3B15">
            <w:pPr>
              <w:jc w:val="center"/>
              <w:rPr>
                <w:color w:val="000000"/>
                <w:sz w:val="20"/>
                <w:szCs w:val="20"/>
                <w:lang w:val="en-US"/>
              </w:rPr>
            </w:pPr>
            <w:r>
              <w:rPr>
                <w:color w:val="000000"/>
                <w:sz w:val="20"/>
                <w:szCs w:val="20"/>
                <w:lang w:val="en-US"/>
              </w:rPr>
              <w:t>Juiz de Fora, Minas Gerais State / Southeast region</w:t>
            </w:r>
          </w:p>
        </w:tc>
        <w:tc>
          <w:tcPr>
            <w:tcW w:w="1660" w:type="dxa"/>
            <w:vAlign w:val="center"/>
          </w:tcPr>
          <w:p w14:paraId="23AC79A3" w14:textId="77777777" w:rsidR="00347734" w:rsidRDefault="001F3B15">
            <w:pPr>
              <w:jc w:val="center"/>
              <w:rPr>
                <w:color w:val="000000"/>
                <w:sz w:val="20"/>
                <w:szCs w:val="20"/>
                <w:lang w:val="en-US"/>
              </w:rPr>
            </w:pPr>
            <w:r>
              <w:rPr>
                <w:color w:val="000000"/>
                <w:sz w:val="20"/>
                <w:szCs w:val="20"/>
                <w:lang w:val="en-US"/>
              </w:rPr>
              <w:t>Clinical / University Hospital</w:t>
            </w:r>
          </w:p>
        </w:tc>
        <w:tc>
          <w:tcPr>
            <w:tcW w:w="1549" w:type="dxa"/>
            <w:vAlign w:val="center"/>
          </w:tcPr>
          <w:p w14:paraId="2AC334B6" w14:textId="77777777" w:rsidR="00347734" w:rsidRDefault="001F3B15">
            <w:pPr>
              <w:jc w:val="center"/>
              <w:rPr>
                <w:color w:val="000000"/>
                <w:sz w:val="20"/>
                <w:szCs w:val="20"/>
                <w:lang w:val="en-US"/>
              </w:rPr>
            </w:pPr>
            <w:r>
              <w:rPr>
                <w:color w:val="000000"/>
                <w:sz w:val="20"/>
                <w:szCs w:val="20"/>
                <w:lang w:val="en-US"/>
              </w:rPr>
              <w:t>51/51</w:t>
            </w:r>
          </w:p>
        </w:tc>
        <w:tc>
          <w:tcPr>
            <w:tcW w:w="1833" w:type="dxa"/>
            <w:vAlign w:val="center"/>
          </w:tcPr>
          <w:p w14:paraId="1DCA036F" w14:textId="77777777" w:rsidR="00347734" w:rsidRDefault="001F3B15">
            <w:pPr>
              <w:jc w:val="center"/>
              <w:rPr>
                <w:color w:val="000000"/>
                <w:sz w:val="20"/>
                <w:szCs w:val="20"/>
                <w:lang w:val="en-US"/>
              </w:rPr>
            </w:pPr>
            <w:r>
              <w:rPr>
                <w:color w:val="000000"/>
                <w:sz w:val="20"/>
                <w:szCs w:val="20"/>
                <w:lang w:val="en-US"/>
              </w:rPr>
              <w:t>Tracheal aspirate cultures</w:t>
            </w:r>
          </w:p>
        </w:tc>
        <w:tc>
          <w:tcPr>
            <w:tcW w:w="1200" w:type="dxa"/>
            <w:vAlign w:val="center"/>
          </w:tcPr>
          <w:p w14:paraId="69F28094" w14:textId="77777777" w:rsidR="00347734" w:rsidRDefault="001F3B15">
            <w:pPr>
              <w:jc w:val="center"/>
              <w:rPr>
                <w:i/>
                <w:iCs/>
                <w:color w:val="000000"/>
                <w:sz w:val="20"/>
                <w:szCs w:val="20"/>
                <w:lang w:val="en-US"/>
              </w:rPr>
            </w:pPr>
            <w:proofErr w:type="spellStart"/>
            <w:r>
              <w:rPr>
                <w:i/>
                <w:iCs/>
                <w:color w:val="000000"/>
                <w:sz w:val="20"/>
                <w:szCs w:val="20"/>
                <w:lang w:val="en-US"/>
              </w:rPr>
              <w:t>bla</w:t>
            </w:r>
            <w:r>
              <w:rPr>
                <w:color w:val="000000"/>
                <w:sz w:val="20"/>
                <w:szCs w:val="20"/>
                <w:vertAlign w:val="subscript"/>
                <w:lang w:val="en-US"/>
              </w:rPr>
              <w:t>KPC</w:t>
            </w:r>
            <w:proofErr w:type="spellEnd"/>
            <w:r>
              <w:rPr>
                <w:color w:val="000000"/>
                <w:sz w:val="20"/>
                <w:szCs w:val="20"/>
                <w:lang w:val="en-US"/>
              </w:rPr>
              <w:t xml:space="preserve"> positive (44/51)</w:t>
            </w:r>
          </w:p>
        </w:tc>
        <w:tc>
          <w:tcPr>
            <w:tcW w:w="1734" w:type="dxa"/>
            <w:vAlign w:val="center"/>
          </w:tcPr>
          <w:p w14:paraId="173BA401" w14:textId="77777777" w:rsidR="00347734" w:rsidRDefault="001F3B15">
            <w:pPr>
              <w:jc w:val="center"/>
              <w:rPr>
                <w:color w:val="000000"/>
                <w:sz w:val="20"/>
                <w:szCs w:val="20"/>
                <w:lang w:val="en-US"/>
              </w:rPr>
            </w:pPr>
            <w:r>
              <w:rPr>
                <w:color w:val="000000"/>
                <w:sz w:val="20"/>
                <w:szCs w:val="20"/>
                <w:lang w:val="en-US"/>
              </w:rPr>
              <w:t>PCR</w:t>
            </w:r>
          </w:p>
        </w:tc>
        <w:tc>
          <w:tcPr>
            <w:tcW w:w="828" w:type="dxa"/>
            <w:vAlign w:val="center"/>
          </w:tcPr>
          <w:p w14:paraId="660F85F7" w14:textId="77777777" w:rsidR="00347734" w:rsidRDefault="001F3B15">
            <w:pPr>
              <w:jc w:val="center"/>
              <w:rPr>
                <w:color w:val="000000"/>
                <w:sz w:val="20"/>
                <w:szCs w:val="20"/>
                <w:lang w:val="en-US"/>
              </w:rPr>
            </w:pPr>
            <w:r>
              <w:rPr>
                <w:color w:val="000000"/>
                <w:sz w:val="20"/>
                <w:szCs w:val="20"/>
                <w:lang w:val="en-US"/>
              </w:rPr>
              <w:t>(8/8)</w:t>
            </w:r>
          </w:p>
        </w:tc>
      </w:tr>
    </w:tbl>
    <w:p w14:paraId="3703B67A" w14:textId="77777777" w:rsidR="00347734" w:rsidRDefault="001F3B15">
      <w:pPr>
        <w:tabs>
          <w:tab w:val="left" w:pos="284"/>
        </w:tabs>
        <w:spacing w:before="240" w:line="480" w:lineRule="auto"/>
        <w:jc w:val="both"/>
        <w:rPr>
          <w:rFonts w:eastAsia="Calibri"/>
          <w:sz w:val="20"/>
          <w:szCs w:val="20"/>
          <w:lang w:val="en-US"/>
        </w:rPr>
        <w:sectPr w:rsidR="00347734">
          <w:pgSz w:w="16838" w:h="11906" w:orient="landscape"/>
          <w:pgMar w:top="1701" w:right="1417" w:bottom="1701" w:left="1417" w:header="0" w:footer="0" w:gutter="0"/>
          <w:cols w:space="720"/>
          <w:formProt w:val="0"/>
          <w:docGrid w:linePitch="360"/>
        </w:sectPr>
      </w:pPr>
      <w:r>
        <w:rPr>
          <w:rFonts w:eastAsia="Calibri"/>
          <w:sz w:val="20"/>
          <w:szCs w:val="20"/>
          <w:lang w:val="en-US"/>
        </w:rPr>
        <w:t xml:space="preserve">Legend: </w:t>
      </w:r>
      <w:proofErr w:type="spellStart"/>
      <w:r>
        <w:rPr>
          <w:rFonts w:eastAsia="Calibri"/>
          <w:sz w:val="20"/>
          <w:szCs w:val="20"/>
          <w:lang w:val="en-US"/>
        </w:rPr>
        <w:t>Kp</w:t>
      </w:r>
      <w:proofErr w:type="spellEnd"/>
      <w:r>
        <w:rPr>
          <w:rFonts w:eastAsia="Calibri"/>
          <w:sz w:val="20"/>
          <w:szCs w:val="20"/>
          <w:lang w:val="en-US"/>
        </w:rPr>
        <w:t xml:space="preserve">: </w:t>
      </w:r>
      <w:r>
        <w:rPr>
          <w:rFonts w:eastAsia="Calibri"/>
          <w:i/>
          <w:iCs/>
          <w:sz w:val="20"/>
          <w:szCs w:val="20"/>
          <w:lang w:val="en-US"/>
        </w:rPr>
        <w:t xml:space="preserve">Klebsiella </w:t>
      </w:r>
      <w:proofErr w:type="gramStart"/>
      <w:r>
        <w:rPr>
          <w:rFonts w:eastAsia="Calibri"/>
          <w:i/>
          <w:iCs/>
          <w:sz w:val="20"/>
          <w:szCs w:val="20"/>
          <w:lang w:val="en-US"/>
        </w:rPr>
        <w:t>pneumoniae</w:t>
      </w:r>
      <w:r>
        <w:rPr>
          <w:rFonts w:eastAsia="Calibri"/>
          <w:sz w:val="20"/>
          <w:szCs w:val="20"/>
          <w:lang w:val="en-US"/>
        </w:rPr>
        <w:t xml:space="preserve">;   </w:t>
      </w:r>
      <w:proofErr w:type="gramEnd"/>
      <w:r>
        <w:rPr>
          <w:rFonts w:eastAsia="Calibri"/>
          <w:sz w:val="20"/>
          <w:szCs w:val="20"/>
          <w:lang w:val="en-US"/>
        </w:rPr>
        <w:t xml:space="preserve">PCR: Polymerase </w:t>
      </w:r>
      <w:r>
        <w:rPr>
          <w:rFonts w:eastAsia="Calibri"/>
          <w:sz w:val="20"/>
          <w:szCs w:val="20"/>
          <w:lang w:val="en-US"/>
        </w:rPr>
        <w:t xml:space="preserve"> chain reaction; WGS: Whole-genome sequencing. </w:t>
      </w:r>
    </w:p>
    <w:p w14:paraId="247C3A2B" w14:textId="77777777" w:rsidR="00347734" w:rsidRDefault="001F3B15">
      <w:pPr>
        <w:spacing w:line="480" w:lineRule="auto"/>
        <w:jc w:val="both"/>
        <w:rPr>
          <w:i/>
          <w:lang w:val="en-US"/>
        </w:rPr>
      </w:pPr>
      <w:r>
        <w:rPr>
          <w:i/>
          <w:lang w:val="en-US"/>
        </w:rPr>
        <w:lastRenderedPageBreak/>
        <w:t xml:space="preserve">3.3. Prevalence of </w:t>
      </w:r>
      <w:proofErr w:type="spellStart"/>
      <w:r>
        <w:rPr>
          <w:i/>
          <w:lang w:val="en-US"/>
        </w:rPr>
        <w:t>bla</w:t>
      </w:r>
      <w:r>
        <w:rPr>
          <w:iCs/>
          <w:vertAlign w:val="subscript"/>
          <w:lang w:val="en-US"/>
        </w:rPr>
        <w:t>KPC</w:t>
      </w:r>
      <w:proofErr w:type="spellEnd"/>
      <w:r>
        <w:rPr>
          <w:i/>
          <w:lang w:val="en-US"/>
        </w:rPr>
        <w:t xml:space="preserve"> harboring isolates, results and publication bias of proportion meta-analysis </w:t>
      </w:r>
    </w:p>
    <w:p w14:paraId="4CD040E9" w14:textId="77777777" w:rsidR="00347734" w:rsidRDefault="001F3B15">
      <w:pPr>
        <w:spacing w:line="480" w:lineRule="auto"/>
        <w:ind w:firstLine="708"/>
        <w:jc w:val="both"/>
        <w:rPr>
          <w:lang w:val="en-US"/>
        </w:rPr>
      </w:pPr>
      <w:r>
        <w:rPr>
          <w:lang w:val="en-US"/>
        </w:rPr>
        <w:t xml:space="preserve">Across the 30 included studies, among a total of </w:t>
      </w:r>
      <w:r>
        <w:rPr>
          <w:color w:val="000000" w:themeColor="text1"/>
          <w:lang w:val="en-US"/>
        </w:rPr>
        <w:t>5.630</w:t>
      </w:r>
      <w:r>
        <w:rPr>
          <w:lang w:val="en-US"/>
        </w:rPr>
        <w:t xml:space="preserve"> </w:t>
      </w:r>
      <w:r>
        <w:rPr>
          <w:i/>
          <w:iCs/>
          <w:lang w:val="en-US"/>
        </w:rPr>
        <w:t xml:space="preserve">K. pneumoniae, </w:t>
      </w:r>
      <w:r>
        <w:rPr>
          <w:color w:val="000000" w:themeColor="text1"/>
          <w:lang w:val="en-US"/>
        </w:rPr>
        <w:t>4.175</w:t>
      </w:r>
      <w:r>
        <w:rPr>
          <w:i/>
          <w:iCs/>
          <w:lang w:val="en-US"/>
        </w:rPr>
        <w:t xml:space="preserve"> </w:t>
      </w:r>
      <w:r>
        <w:rPr>
          <w:lang w:val="en-US"/>
        </w:rPr>
        <w:t>isolates were screened for</w:t>
      </w:r>
      <w:r>
        <w:rPr>
          <w:i/>
          <w:lang w:val="en-US"/>
        </w:rPr>
        <w:t xml:space="preserve"> </w:t>
      </w:r>
      <w:proofErr w:type="spellStart"/>
      <w:r>
        <w:rPr>
          <w:i/>
          <w:lang w:val="en-US"/>
        </w:rPr>
        <w:t>bla</w:t>
      </w:r>
      <w:r>
        <w:rPr>
          <w:i/>
          <w:vertAlign w:val="subscript"/>
          <w:lang w:val="en-US"/>
        </w:rPr>
        <w:t>KPC</w:t>
      </w:r>
      <w:proofErr w:type="spellEnd"/>
      <w:r>
        <w:rPr>
          <w:lang w:val="en-US"/>
        </w:rPr>
        <w:t xml:space="preserve"> genes, of which 1.488 (35.6%) tested positive. Under a random-effects model, the pooled </w:t>
      </w:r>
      <w:proofErr w:type="spellStart"/>
      <w:r>
        <w:rPr>
          <w:i/>
          <w:lang w:val="en-US"/>
        </w:rPr>
        <w:t>bla</w:t>
      </w:r>
      <w:r>
        <w:rPr>
          <w:i/>
          <w:vertAlign w:val="subscript"/>
          <w:lang w:val="en-US"/>
        </w:rPr>
        <w:t>KPC</w:t>
      </w:r>
      <w:proofErr w:type="spellEnd"/>
      <w:r>
        <w:rPr>
          <w:lang w:val="en-US"/>
        </w:rPr>
        <w:t xml:space="preserve"> prevalence was 44.3% or 0.443 (95% CI= 0.405-0.481; Q = 1096.43, df = 29, p &lt; 0.001; I² = 97.35%), reflecting extreme between-study heterogeneity (Figure </w:t>
      </w:r>
      <w:r>
        <w:rPr>
          <w:lang w:val="en-US"/>
        </w:rPr>
        <w:t>2). Begg’s rank correlation test showed no evidence of publication bias (p = 0.40), corroborated by a symmetrical funnel plot (Figure 3).</w:t>
      </w:r>
    </w:p>
    <w:p w14:paraId="6C571ACF" w14:textId="77777777" w:rsidR="00347734" w:rsidRDefault="001F3B15">
      <w:pPr>
        <w:spacing w:line="480" w:lineRule="auto"/>
        <w:jc w:val="center"/>
        <w:rPr>
          <w:lang w:val="en-US"/>
        </w:rPr>
      </w:pPr>
      <w:r>
        <w:rPr>
          <w:noProof/>
        </w:rPr>
        <w:drawing>
          <wp:inline distT="0" distB="0" distL="0" distR="0" wp14:anchorId="705E88F1" wp14:editId="75B87677">
            <wp:extent cx="5400040" cy="2980055"/>
            <wp:effectExtent l="0" t="0" r="0" b="0"/>
            <wp:docPr id="2" name="Imagem 1" descr="Uma imagem contendo Tabela  O conteúdo gerado por IA pode estar incorreto."/>
            <wp:cNvGraphicFramePr/>
            <a:graphic xmlns:a="http://schemas.openxmlformats.org/drawingml/2006/main">
              <a:graphicData uri="http://schemas.openxmlformats.org/drawingml/2006/picture">
                <pic:pic xmlns:pic="http://schemas.openxmlformats.org/drawingml/2006/picture">
                  <pic:nvPicPr>
                    <pic:cNvPr id="3" name="Imagem 1" descr="Uma imagem contendo Tabela  O conteúdo gerado por IA pode estar incorreto."/>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pic:blipFill>
                  <pic:spPr>
                    <a:xfrm>
                      <a:off x="0" y="0"/>
                      <a:ext cx="5400000" cy="2980080"/>
                    </a:xfrm>
                    <a:prstGeom prst="rect">
                      <a:avLst/>
                    </a:prstGeom>
                    <a:noFill/>
                    <a:ln w="0">
                      <a:noFill/>
                    </a:ln>
                  </pic:spPr>
                </pic:pic>
              </a:graphicData>
            </a:graphic>
          </wp:inline>
        </w:drawing>
      </w:r>
    </w:p>
    <w:p w14:paraId="64AC742D" w14:textId="77777777" w:rsidR="00347734" w:rsidRDefault="001F3B15">
      <w:pPr>
        <w:spacing w:before="240" w:line="360" w:lineRule="auto"/>
        <w:jc w:val="both"/>
        <w:rPr>
          <w:b/>
          <w:bCs/>
          <w:lang w:val="en-US"/>
        </w:rPr>
      </w:pPr>
      <w:r>
        <w:rPr>
          <w:b/>
          <w:bCs/>
          <w:lang w:val="en-US"/>
        </w:rPr>
        <w:t xml:space="preserve">Figure 2 – Forest plot of </w:t>
      </w:r>
      <w:proofErr w:type="spellStart"/>
      <w:r>
        <w:rPr>
          <w:b/>
          <w:bCs/>
          <w:i/>
          <w:lang w:val="en-US"/>
        </w:rPr>
        <w:t>bla</w:t>
      </w:r>
      <w:r>
        <w:rPr>
          <w:b/>
          <w:bCs/>
          <w:i/>
          <w:vertAlign w:val="subscript"/>
          <w:lang w:val="en-US"/>
        </w:rPr>
        <w:t>KPC</w:t>
      </w:r>
      <w:proofErr w:type="spellEnd"/>
      <w:r>
        <w:rPr>
          <w:b/>
          <w:bCs/>
          <w:lang w:val="en-US"/>
        </w:rPr>
        <w:t xml:space="preserve"> prevalence among </w:t>
      </w:r>
      <w:r>
        <w:rPr>
          <w:b/>
          <w:bCs/>
          <w:i/>
          <w:iCs/>
          <w:lang w:val="en-US"/>
        </w:rPr>
        <w:t>K. pneumoniae</w:t>
      </w:r>
      <w:r>
        <w:rPr>
          <w:b/>
          <w:bCs/>
          <w:lang w:val="en-US"/>
        </w:rPr>
        <w:t xml:space="preserve"> clinical isolates in Brazil, stratified by Brazilian</w:t>
      </w:r>
      <w:r>
        <w:rPr>
          <w:b/>
          <w:bCs/>
          <w:lang w:val="en-US"/>
        </w:rPr>
        <w:t xml:space="preserve"> macro</w:t>
      </w:r>
      <w:r>
        <w:rPr>
          <w:b/>
          <w:bCs/>
          <w:lang w:val="en-US"/>
        </w:rPr>
        <w:noBreakHyphen/>
        <w:t>regions.</w:t>
      </w:r>
    </w:p>
    <w:p w14:paraId="46F1E1A7" w14:textId="77777777" w:rsidR="00347734" w:rsidRDefault="001F3B15">
      <w:pPr>
        <w:spacing w:before="240" w:line="360" w:lineRule="auto"/>
        <w:jc w:val="both"/>
        <w:rPr>
          <w:sz w:val="20"/>
          <w:szCs w:val="20"/>
          <w:lang w:val="en-US"/>
        </w:rPr>
      </w:pPr>
      <w:r>
        <w:rPr>
          <w:sz w:val="20"/>
          <w:szCs w:val="20"/>
          <w:lang w:val="en-US"/>
        </w:rPr>
        <w:t xml:space="preserve">Legend:  Forest plot of </w:t>
      </w:r>
      <w:proofErr w:type="spellStart"/>
      <w:r>
        <w:rPr>
          <w:i/>
          <w:sz w:val="20"/>
          <w:szCs w:val="20"/>
          <w:lang w:val="en-US"/>
        </w:rPr>
        <w:t>bla</w:t>
      </w:r>
      <w:r>
        <w:rPr>
          <w:i/>
          <w:sz w:val="20"/>
          <w:szCs w:val="20"/>
          <w:vertAlign w:val="subscript"/>
          <w:lang w:val="en-US"/>
        </w:rPr>
        <w:t>KPC</w:t>
      </w:r>
      <w:proofErr w:type="spellEnd"/>
      <w:r>
        <w:rPr>
          <w:sz w:val="20"/>
          <w:szCs w:val="20"/>
          <w:lang w:val="en-US"/>
        </w:rPr>
        <w:t xml:space="preserve"> prevalence among </w:t>
      </w:r>
      <w:r>
        <w:rPr>
          <w:i/>
          <w:iCs/>
          <w:sz w:val="20"/>
          <w:szCs w:val="20"/>
          <w:lang w:val="en-US"/>
        </w:rPr>
        <w:t>K. pneumoniae</w:t>
      </w:r>
      <w:r>
        <w:rPr>
          <w:sz w:val="20"/>
          <w:szCs w:val="20"/>
          <w:lang w:val="en-US"/>
        </w:rPr>
        <w:t xml:space="preserve"> clinical isolates in Brazil, stratified by Brazilian macro-regions. Legend: Diamonds represent pooled prevalence estimates with 95% confidence intervals (CI). Squares indicate </w:t>
      </w:r>
      <w:r>
        <w:rPr>
          <w:sz w:val="20"/>
          <w:szCs w:val="20"/>
          <w:lang w:val="en-US"/>
        </w:rPr>
        <w:t>point estimates from individual studies, with the size proportional to study weight in the meta-analysis. Horizontal lines show the 95% CI for each study.</w:t>
      </w:r>
    </w:p>
    <w:p w14:paraId="486A8E72" w14:textId="77777777" w:rsidR="00347734" w:rsidRDefault="001F3B15">
      <w:pPr>
        <w:spacing w:line="480" w:lineRule="auto"/>
        <w:jc w:val="both"/>
        <w:rPr>
          <w:lang w:val="en-US"/>
        </w:rPr>
      </w:pPr>
      <w:r>
        <w:rPr>
          <w:noProof/>
        </w:rPr>
        <w:lastRenderedPageBreak/>
        <w:drawing>
          <wp:inline distT="0" distB="0" distL="0" distR="0" wp14:anchorId="40A5A93E" wp14:editId="2E5A8CA9">
            <wp:extent cx="5400040" cy="2905760"/>
            <wp:effectExtent l="0" t="0" r="0" b="0"/>
            <wp:docPr id="4" name="Imagem 1" descr="Gráfico, Gráfico de dispersão  O conteúdo gerado por IA pode estar incorreto."/>
            <wp:cNvGraphicFramePr/>
            <a:graphic xmlns:a="http://schemas.openxmlformats.org/drawingml/2006/main">
              <a:graphicData uri="http://schemas.openxmlformats.org/drawingml/2006/picture">
                <pic:pic xmlns:pic="http://schemas.openxmlformats.org/drawingml/2006/picture">
                  <pic:nvPicPr>
                    <pic:cNvPr id="5" name="Imagem 1" descr="Gráfico, Gráfico de dispersão  O conteúdo gerado por IA pode estar incorreto."/>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Lst>
                    </a:blip>
                    <a:stretch/>
                  </pic:blipFill>
                  <pic:spPr>
                    <a:xfrm>
                      <a:off x="0" y="0"/>
                      <a:ext cx="5400000" cy="2905920"/>
                    </a:xfrm>
                    <a:prstGeom prst="rect">
                      <a:avLst/>
                    </a:prstGeom>
                    <a:noFill/>
                    <a:ln w="0">
                      <a:noFill/>
                    </a:ln>
                  </pic:spPr>
                </pic:pic>
              </a:graphicData>
            </a:graphic>
          </wp:inline>
        </w:drawing>
      </w:r>
    </w:p>
    <w:p w14:paraId="3AE78FE5" w14:textId="77777777" w:rsidR="00347734" w:rsidRDefault="001F3B15">
      <w:pPr>
        <w:spacing w:line="360" w:lineRule="auto"/>
        <w:jc w:val="both"/>
        <w:rPr>
          <w:b/>
          <w:bCs/>
          <w:lang w:val="en-US"/>
        </w:rPr>
      </w:pPr>
      <w:r>
        <w:rPr>
          <w:b/>
          <w:bCs/>
          <w:lang w:val="en-US"/>
        </w:rPr>
        <w:t>Figure 3 – Funnel plot assessing publication bias among studies included in the meta</w:t>
      </w:r>
      <w:r>
        <w:rPr>
          <w:b/>
          <w:bCs/>
          <w:lang w:val="en-US"/>
        </w:rPr>
        <w:noBreakHyphen/>
        <w:t xml:space="preserve">analysis of </w:t>
      </w:r>
      <w:proofErr w:type="spellStart"/>
      <w:r>
        <w:rPr>
          <w:b/>
          <w:bCs/>
          <w:i/>
          <w:lang w:val="en-US"/>
        </w:rPr>
        <w:t>bl</w:t>
      </w:r>
      <w:r>
        <w:rPr>
          <w:b/>
          <w:bCs/>
          <w:i/>
          <w:lang w:val="en-US"/>
        </w:rPr>
        <w:t>a</w:t>
      </w:r>
      <w:r>
        <w:rPr>
          <w:b/>
          <w:bCs/>
          <w:i/>
          <w:vertAlign w:val="subscript"/>
          <w:lang w:val="en-US"/>
        </w:rPr>
        <w:t>KPC</w:t>
      </w:r>
      <w:proofErr w:type="spellEnd"/>
      <w:r>
        <w:rPr>
          <w:b/>
          <w:bCs/>
          <w:lang w:val="en-US"/>
        </w:rPr>
        <w:t xml:space="preserve"> prevalence in </w:t>
      </w:r>
      <w:r>
        <w:rPr>
          <w:b/>
          <w:bCs/>
          <w:i/>
          <w:iCs/>
          <w:lang w:val="en-US"/>
        </w:rPr>
        <w:t>K. pneumoniae</w:t>
      </w:r>
      <w:r>
        <w:rPr>
          <w:b/>
          <w:bCs/>
          <w:lang w:val="en-US"/>
        </w:rPr>
        <w:t xml:space="preserve"> isolates.</w:t>
      </w:r>
    </w:p>
    <w:p w14:paraId="60880DEB" w14:textId="77777777" w:rsidR="00347734" w:rsidRDefault="001F3B15">
      <w:pPr>
        <w:spacing w:after="240" w:line="276" w:lineRule="auto"/>
        <w:jc w:val="both"/>
        <w:rPr>
          <w:sz w:val="20"/>
          <w:szCs w:val="20"/>
          <w:lang w:val="en-US"/>
        </w:rPr>
      </w:pPr>
      <w:r>
        <w:rPr>
          <w:sz w:val="20"/>
          <w:szCs w:val="20"/>
          <w:lang w:val="en-US"/>
        </w:rPr>
        <w:t xml:space="preserve">Legend: The included published studies are shown as circles, which should be evenly spaced around the overall effect to form an inverted funnel. The most precise studies appear in the narrowest part of the funnel </w:t>
      </w:r>
      <w:r>
        <w:rPr>
          <w:sz w:val="20"/>
          <w:szCs w:val="20"/>
          <w:lang w:val="en-US"/>
        </w:rPr>
        <w:t>and lie closest to the true value. The standard error—plotted on the Y</w:t>
      </w:r>
      <w:r>
        <w:rPr>
          <w:sz w:val="20"/>
          <w:szCs w:val="20"/>
          <w:lang w:val="en-US"/>
        </w:rPr>
        <w:noBreakHyphen/>
        <w:t>axis as a measure of dispersion—is influenced by each study’s sample size; the larger the standard error, the more imprecise the study. The central line of the plot, marked on the X</w:t>
      </w:r>
      <w:r>
        <w:rPr>
          <w:sz w:val="20"/>
          <w:szCs w:val="20"/>
          <w:lang w:val="en-US"/>
        </w:rPr>
        <w:noBreakHyphen/>
        <w:t>axi</w:t>
      </w:r>
      <w:r>
        <w:rPr>
          <w:sz w:val="20"/>
          <w:szCs w:val="20"/>
          <w:lang w:val="en-US"/>
        </w:rPr>
        <w:t>s by a diamond, represents the effect measure result examined in the meta</w:t>
      </w:r>
      <w:r>
        <w:rPr>
          <w:sz w:val="20"/>
          <w:szCs w:val="20"/>
          <w:lang w:val="en-US"/>
        </w:rPr>
        <w:noBreakHyphen/>
        <w:t>analysis. The lines outlining the funnel correspond to the 95% confidence intervals.</w:t>
      </w:r>
    </w:p>
    <w:p w14:paraId="5E8AE662" w14:textId="77777777" w:rsidR="00347734" w:rsidRDefault="001F3B15">
      <w:pPr>
        <w:spacing w:before="240" w:after="240" w:line="480" w:lineRule="auto"/>
        <w:ind w:firstLine="708"/>
        <w:jc w:val="both"/>
        <w:rPr>
          <w:lang w:val="en-US"/>
        </w:rPr>
      </w:pPr>
      <w:r>
        <w:rPr>
          <w:lang w:val="en-US"/>
        </w:rPr>
        <w:t>Subgroup analyses were performed by Brazilian macro-region, revealing marked geographic heterogen</w:t>
      </w:r>
      <w:r>
        <w:rPr>
          <w:lang w:val="en-US"/>
        </w:rPr>
        <w:t xml:space="preserve">eity in the prevalence of </w:t>
      </w:r>
      <w:r>
        <w:rPr>
          <w:i/>
          <w:iCs/>
          <w:lang w:val="en-US"/>
        </w:rPr>
        <w:t xml:space="preserve">K. pneumoniae </w:t>
      </w:r>
      <w:r>
        <w:rPr>
          <w:lang w:val="en-US"/>
        </w:rPr>
        <w:t xml:space="preserve">harboring </w:t>
      </w:r>
      <w:proofErr w:type="spellStart"/>
      <w:r>
        <w:rPr>
          <w:i/>
          <w:lang w:val="en-US"/>
        </w:rPr>
        <w:t>bla</w:t>
      </w:r>
      <w:r>
        <w:rPr>
          <w:iCs/>
          <w:vertAlign w:val="subscript"/>
          <w:lang w:val="en-US"/>
        </w:rPr>
        <w:t>KPC</w:t>
      </w:r>
      <w:proofErr w:type="spellEnd"/>
      <w:r>
        <w:rPr>
          <w:lang w:val="en-US"/>
        </w:rPr>
        <w:t xml:space="preserve"> genes. In the Southeast (eleven studies), the pooled prevalence was 70.5% or 0.705 (95% CI= 0.383-0.902); the South (six studies), the pooled prevalence was 75.1% or 0.751 (95% CI= 0.569-0.873); the Northeast (six studies), the pooled prevalence was 71.7%</w:t>
      </w:r>
      <w:r>
        <w:rPr>
          <w:lang w:val="en-US"/>
        </w:rPr>
        <w:t xml:space="preserve"> or 0.717 (95% CI= 0.287-0.941); the North (three studies), the pooled prevalence was 36.5% or 0.365 (95% CI= 0.086-0.778); the Midwest (two studies), the pooled prevalence was 85.5% or 0.855 (95% CI= 0.777-0.910); the Northeast, Midwest, Southeast and Sou</w:t>
      </w:r>
      <w:r>
        <w:rPr>
          <w:lang w:val="en-US"/>
        </w:rPr>
        <w:t>th Regions (one study), the pooled prevalence was 24.3% or 0.243 (95% CI= 0.207-0.282); the Northeast, North, Southeast and Midwest Regions (one study), the pooled prevalence was 69.3% or 0.693 (95% CI= 0.626-0.752).</w:t>
      </w:r>
    </w:p>
    <w:p w14:paraId="11B51AAA" w14:textId="77777777" w:rsidR="00347734" w:rsidRDefault="001F3B15">
      <w:pPr>
        <w:spacing w:line="480" w:lineRule="auto"/>
        <w:jc w:val="both"/>
        <w:rPr>
          <w:i/>
          <w:lang w:val="en-US"/>
        </w:rPr>
      </w:pPr>
      <w:r>
        <w:rPr>
          <w:i/>
          <w:lang w:val="en-US"/>
        </w:rPr>
        <w:lastRenderedPageBreak/>
        <w:t>3.5 Meta-regression Demonstrating the I</w:t>
      </w:r>
      <w:r>
        <w:rPr>
          <w:i/>
          <w:lang w:val="en-US"/>
        </w:rPr>
        <w:t xml:space="preserve">mpact of Study Size on </w:t>
      </w:r>
      <w:proofErr w:type="spellStart"/>
      <w:r>
        <w:rPr>
          <w:i/>
          <w:lang w:val="en-US"/>
        </w:rPr>
        <w:t>bla</w:t>
      </w:r>
      <w:r>
        <w:rPr>
          <w:i/>
          <w:vertAlign w:val="subscript"/>
          <w:lang w:val="en-US"/>
        </w:rPr>
        <w:t>KPC</w:t>
      </w:r>
      <w:proofErr w:type="spellEnd"/>
      <w:r>
        <w:rPr>
          <w:i/>
          <w:lang w:val="en-US"/>
        </w:rPr>
        <w:t xml:space="preserve"> Prevalence</w:t>
      </w:r>
    </w:p>
    <w:p w14:paraId="6BCCB629" w14:textId="77777777" w:rsidR="00347734" w:rsidRDefault="001F3B15">
      <w:pPr>
        <w:spacing w:before="240" w:line="480" w:lineRule="auto"/>
        <w:ind w:firstLine="708"/>
        <w:jc w:val="both"/>
        <w:rPr>
          <w:iCs/>
          <w:lang w:val="en-US"/>
        </w:rPr>
      </w:pPr>
      <w:r>
        <w:rPr>
          <w:iCs/>
          <w:lang w:val="en-US"/>
        </w:rPr>
        <w:t xml:space="preserve">Meta-regression in this article was employed as an advanced exploratory analysis to investigate possible sources of heterogeneity observed in the meta-analysis of </w:t>
      </w:r>
      <w:proofErr w:type="spellStart"/>
      <w:r>
        <w:rPr>
          <w:i/>
          <w:lang w:val="en-US"/>
        </w:rPr>
        <w:t>bla</w:t>
      </w:r>
      <w:r>
        <w:rPr>
          <w:i/>
          <w:vertAlign w:val="subscript"/>
          <w:lang w:val="en-US"/>
        </w:rPr>
        <w:t>KPC</w:t>
      </w:r>
      <w:proofErr w:type="spellEnd"/>
      <w:r>
        <w:rPr>
          <w:iCs/>
          <w:lang w:val="en-US"/>
        </w:rPr>
        <w:t xml:space="preserve"> gene prevalence in clinical isolates of </w:t>
      </w:r>
      <w:r>
        <w:rPr>
          <w:i/>
          <w:lang w:val="en-US"/>
        </w:rPr>
        <w:t>K.  p</w:t>
      </w:r>
      <w:r>
        <w:rPr>
          <w:i/>
          <w:lang w:val="en-US"/>
        </w:rPr>
        <w:t>neumoniae</w:t>
      </w:r>
      <w:r>
        <w:rPr>
          <w:iCs/>
          <w:lang w:val="en-US"/>
        </w:rPr>
        <w:t xml:space="preserve"> in Brazil. Given the extremely high degree of heterogeneity among the included studies (I² ≈ 98%), it became methodologically necessary to assess whether study characteristics could explain some of this variability, going beyond simply estimating</w:t>
      </w:r>
      <w:r>
        <w:rPr>
          <w:iCs/>
          <w:lang w:val="en-US"/>
        </w:rPr>
        <w:t xml:space="preserve"> the combined effect.</w:t>
      </w:r>
    </w:p>
    <w:p w14:paraId="27752AE6" w14:textId="77777777" w:rsidR="00347734" w:rsidRDefault="001F3B15">
      <w:pPr>
        <w:spacing w:line="480" w:lineRule="auto"/>
        <w:ind w:firstLine="708"/>
        <w:jc w:val="both"/>
        <w:rPr>
          <w:iCs/>
          <w:lang w:val="en-US"/>
        </w:rPr>
      </w:pPr>
      <w:r>
        <w:rPr>
          <w:iCs/>
          <w:lang w:val="en-US"/>
        </w:rPr>
        <w:t xml:space="preserve">Specifically, meta-regression assessed the association between the sample size of each study (number of isolates tested) and the reported prevalence of </w:t>
      </w:r>
      <w:proofErr w:type="spellStart"/>
      <w:r>
        <w:rPr>
          <w:i/>
          <w:lang w:val="en-US"/>
        </w:rPr>
        <w:t>bla</w:t>
      </w:r>
      <w:r>
        <w:rPr>
          <w:i/>
          <w:vertAlign w:val="subscript"/>
          <w:lang w:val="en-US"/>
        </w:rPr>
        <w:t>KPC</w:t>
      </w:r>
      <w:proofErr w:type="spellEnd"/>
      <w:r>
        <w:rPr>
          <w:iCs/>
          <w:lang w:val="en-US"/>
        </w:rPr>
        <w:t>, using the logit-transformed event rate as the dependent variable. The meta</w:t>
      </w:r>
      <w:r>
        <w:rPr>
          <w:iCs/>
          <w:lang w:val="en-US"/>
        </w:rPr>
        <w:t xml:space="preserve">-regression results demonstrated a statistically significant inverse association between study size and reported </w:t>
      </w:r>
      <w:proofErr w:type="spellStart"/>
      <w:r>
        <w:rPr>
          <w:i/>
          <w:lang w:val="en-US"/>
        </w:rPr>
        <w:t>bla</w:t>
      </w:r>
      <w:r>
        <w:rPr>
          <w:i/>
          <w:vertAlign w:val="subscript"/>
          <w:lang w:val="en-US"/>
        </w:rPr>
        <w:t>KPC</w:t>
      </w:r>
      <w:proofErr w:type="spellEnd"/>
      <w:r>
        <w:rPr>
          <w:iCs/>
          <w:lang w:val="en-US"/>
        </w:rPr>
        <w:t xml:space="preserve"> prevalence (p = 0.01). In practical terms, this indicates that studies with fewer isolates tend to report higher prevalences, while larg</w:t>
      </w:r>
      <w:r>
        <w:rPr>
          <w:iCs/>
          <w:lang w:val="en-US"/>
        </w:rPr>
        <w:t>er studies present more moderate estimates (Figure 4).</w:t>
      </w:r>
    </w:p>
    <w:p w14:paraId="54FB7186" w14:textId="77777777" w:rsidR="00347734" w:rsidRDefault="001F3B15">
      <w:pPr>
        <w:spacing w:line="480" w:lineRule="auto"/>
        <w:jc w:val="center"/>
        <w:rPr>
          <w:iCs/>
          <w:lang w:val="en-US"/>
        </w:rPr>
      </w:pPr>
      <w:r>
        <w:rPr>
          <w:noProof/>
        </w:rPr>
        <w:drawing>
          <wp:inline distT="0" distB="0" distL="0" distR="0" wp14:anchorId="62D300C4" wp14:editId="53D14315">
            <wp:extent cx="4506595" cy="1896745"/>
            <wp:effectExtent l="0" t="0" r="0" b="0"/>
            <wp:docPr id="6" name="Imagem 1" descr="Gráfico  O conteúdo gerado por IA pode estar incorreto."/>
            <wp:cNvGraphicFramePr/>
            <a:graphic xmlns:a="http://schemas.openxmlformats.org/drawingml/2006/main">
              <a:graphicData uri="http://schemas.openxmlformats.org/drawingml/2006/picture">
                <pic:pic xmlns:pic="http://schemas.openxmlformats.org/drawingml/2006/picture">
                  <pic:nvPicPr>
                    <pic:cNvPr id="7" name="Imagem 1" descr="Gráfico  O conteúdo gerado por IA pode estar incorreto."/>
                    <pic:cNvPicPr/>
                  </pic:nvPicPr>
                  <pic:blipFill>
                    <a:blip r:embed="rId19">
                      <a:extLst>
                        <a:ext uri="{BEBA8EAE-BF5A-486C-A8C5-ECC9F3942E4B}">
                          <a14:imgProps xmlns:a14="http://schemas.microsoft.com/office/drawing/2010/main">
                            <a14:imgLayer r:embed="rId20">
                              <a14:imgEffect>
                                <a14:sharpenSoften amount="25000"/>
                              </a14:imgEffect>
                            </a14:imgLayer>
                          </a14:imgProps>
                        </a:ext>
                      </a:extLst>
                    </a:blip>
                    <a:stretch/>
                  </pic:blipFill>
                  <pic:spPr>
                    <a:xfrm>
                      <a:off x="0" y="0"/>
                      <a:ext cx="4506480" cy="1896840"/>
                    </a:xfrm>
                    <a:prstGeom prst="rect">
                      <a:avLst/>
                    </a:prstGeom>
                    <a:noFill/>
                    <a:ln w="0">
                      <a:noFill/>
                    </a:ln>
                  </pic:spPr>
                </pic:pic>
              </a:graphicData>
            </a:graphic>
          </wp:inline>
        </w:drawing>
      </w:r>
    </w:p>
    <w:p w14:paraId="4D3F15D1" w14:textId="77777777" w:rsidR="00347734" w:rsidRDefault="001F3B15">
      <w:pPr>
        <w:spacing w:after="240" w:line="360" w:lineRule="auto"/>
        <w:jc w:val="both"/>
        <w:rPr>
          <w:b/>
          <w:bCs/>
          <w:lang w:val="en-US"/>
        </w:rPr>
      </w:pPr>
      <w:r>
        <w:rPr>
          <w:b/>
          <w:bCs/>
          <w:lang w:val="en-US"/>
        </w:rPr>
        <w:t xml:space="preserve">Figure 4 – Scatterplot of the meta-regression of the logit-transformed </w:t>
      </w:r>
      <w:proofErr w:type="spellStart"/>
      <w:r>
        <w:rPr>
          <w:b/>
          <w:bCs/>
          <w:i/>
          <w:lang w:val="en-US"/>
        </w:rPr>
        <w:t>bla</w:t>
      </w:r>
      <w:r>
        <w:rPr>
          <w:b/>
          <w:bCs/>
          <w:i/>
          <w:vertAlign w:val="subscript"/>
          <w:lang w:val="en-US"/>
        </w:rPr>
        <w:t>KPC</w:t>
      </w:r>
      <w:proofErr w:type="spellEnd"/>
      <w:r>
        <w:rPr>
          <w:b/>
          <w:bCs/>
          <w:lang w:val="en-US"/>
        </w:rPr>
        <w:t xml:space="preserve"> event rate against study sample size (n = number of isolates per study).</w:t>
      </w:r>
    </w:p>
    <w:p w14:paraId="0834E199" w14:textId="77777777" w:rsidR="00347734" w:rsidRDefault="001F3B15">
      <w:pPr>
        <w:spacing w:line="360" w:lineRule="auto"/>
        <w:jc w:val="both"/>
        <w:rPr>
          <w:sz w:val="20"/>
          <w:szCs w:val="20"/>
          <w:lang w:val="en-US"/>
        </w:rPr>
      </w:pPr>
      <w:r>
        <w:rPr>
          <w:sz w:val="20"/>
          <w:szCs w:val="20"/>
          <w:lang w:val="en-US"/>
        </w:rPr>
        <w:t>Legend: Scatterplot of the meta-regression of th</w:t>
      </w:r>
      <w:r>
        <w:rPr>
          <w:sz w:val="20"/>
          <w:szCs w:val="20"/>
          <w:lang w:val="en-US"/>
        </w:rPr>
        <w:t xml:space="preserve">e logit-transformed </w:t>
      </w:r>
      <w:proofErr w:type="spellStart"/>
      <w:r>
        <w:rPr>
          <w:i/>
          <w:sz w:val="20"/>
          <w:szCs w:val="20"/>
          <w:lang w:val="en-US"/>
        </w:rPr>
        <w:t>bla</w:t>
      </w:r>
      <w:r>
        <w:rPr>
          <w:i/>
          <w:sz w:val="20"/>
          <w:szCs w:val="20"/>
          <w:vertAlign w:val="subscript"/>
          <w:lang w:val="en-US"/>
        </w:rPr>
        <w:t>KPC</w:t>
      </w:r>
      <w:proofErr w:type="spellEnd"/>
      <w:r>
        <w:rPr>
          <w:sz w:val="20"/>
          <w:szCs w:val="20"/>
          <w:lang w:val="en-US"/>
        </w:rPr>
        <w:t xml:space="preserve"> event rate against study sample size (n = number of isolates per study). Legend: Bubble areas are inversely proportional to each study’s variance (larger bubbles = greater weight). The solid line represents the fitted regression </w:t>
      </w:r>
      <w:r>
        <w:rPr>
          <w:sz w:val="20"/>
          <w:szCs w:val="20"/>
          <w:lang w:val="en-US"/>
        </w:rPr>
        <w:t>(β = −0.0035 per isolate; </w:t>
      </w:r>
      <w:r>
        <w:rPr>
          <w:i/>
          <w:iCs/>
          <w:sz w:val="20"/>
          <w:szCs w:val="20"/>
          <w:lang w:val="en-US"/>
        </w:rPr>
        <w:t>p</w:t>
      </w:r>
      <w:r>
        <w:rPr>
          <w:sz w:val="20"/>
          <w:szCs w:val="20"/>
          <w:lang w:val="en-US"/>
        </w:rPr>
        <w:t xml:space="preserve"> &lt; 0.001), demonstrating that smaller studies tend to report higher logit event rates of </w:t>
      </w:r>
      <w:proofErr w:type="spellStart"/>
      <w:r>
        <w:rPr>
          <w:i/>
          <w:sz w:val="20"/>
          <w:szCs w:val="20"/>
          <w:lang w:val="en-US"/>
        </w:rPr>
        <w:t>bla</w:t>
      </w:r>
      <w:r>
        <w:rPr>
          <w:i/>
          <w:sz w:val="20"/>
          <w:szCs w:val="20"/>
          <w:vertAlign w:val="subscript"/>
          <w:lang w:val="en-US"/>
        </w:rPr>
        <w:t>KPC</w:t>
      </w:r>
      <w:proofErr w:type="spellEnd"/>
      <w:r>
        <w:rPr>
          <w:sz w:val="20"/>
          <w:szCs w:val="20"/>
          <w:lang w:val="en-US"/>
        </w:rPr>
        <w:t>.</w:t>
      </w:r>
    </w:p>
    <w:p w14:paraId="6FBF68EB" w14:textId="77777777" w:rsidR="00347734" w:rsidRDefault="00347734">
      <w:pPr>
        <w:spacing w:line="360" w:lineRule="auto"/>
        <w:jc w:val="both"/>
        <w:rPr>
          <w:sz w:val="20"/>
          <w:szCs w:val="20"/>
          <w:lang w:val="en-US"/>
        </w:rPr>
      </w:pPr>
    </w:p>
    <w:p w14:paraId="1D29045F" w14:textId="77777777" w:rsidR="00347734" w:rsidRDefault="001F3B15">
      <w:pPr>
        <w:spacing w:after="240" w:line="480" w:lineRule="auto"/>
        <w:jc w:val="both"/>
        <w:rPr>
          <w:lang w:val="en-US"/>
        </w:rPr>
      </w:pPr>
      <w:r>
        <w:rPr>
          <w:b/>
          <w:bCs/>
          <w:lang w:val="en-US"/>
        </w:rPr>
        <w:lastRenderedPageBreak/>
        <w:t>4. Discussion</w:t>
      </w:r>
    </w:p>
    <w:p w14:paraId="499973DF" w14:textId="77777777" w:rsidR="00347734" w:rsidRDefault="001F3B15">
      <w:pPr>
        <w:spacing w:line="480" w:lineRule="auto"/>
        <w:jc w:val="both"/>
        <w:rPr>
          <w:bCs/>
          <w:lang w:val="en-US"/>
        </w:rPr>
      </w:pPr>
      <w:r>
        <w:rPr>
          <w:bCs/>
          <w:lang w:val="en-US"/>
        </w:rPr>
        <w:tab/>
        <w:t>This systematic review and proportion meta-analysis consolidates published national evidence on the molecular detect</w:t>
      </w:r>
      <w:r>
        <w:rPr>
          <w:bCs/>
          <w:lang w:val="en-US"/>
        </w:rPr>
        <w:t xml:space="preserve">ion of </w:t>
      </w:r>
      <w:proofErr w:type="spellStart"/>
      <w:r>
        <w:rPr>
          <w:bCs/>
          <w:i/>
          <w:iCs/>
          <w:lang w:val="en-US"/>
        </w:rPr>
        <w:t>bla</w:t>
      </w:r>
      <w:r>
        <w:rPr>
          <w:bCs/>
          <w:vertAlign w:val="subscript"/>
          <w:lang w:val="en-US"/>
        </w:rPr>
        <w:t>KPC</w:t>
      </w:r>
      <w:proofErr w:type="spellEnd"/>
      <w:r>
        <w:rPr>
          <w:bCs/>
          <w:lang w:val="en-US"/>
        </w:rPr>
        <w:t xml:space="preserve"> in Brazilian clinical </w:t>
      </w:r>
      <w:r>
        <w:rPr>
          <w:bCs/>
          <w:i/>
          <w:iCs/>
          <w:lang w:val="en-US"/>
        </w:rPr>
        <w:t>K. pneumoniae</w:t>
      </w:r>
      <w:r>
        <w:rPr>
          <w:bCs/>
          <w:lang w:val="en-US"/>
        </w:rPr>
        <w:t xml:space="preserve"> isolates and demonstrate that KPC remains a widespread AMR threat across the country. These findings also support the notion that, after early detections in the 2000s, </w:t>
      </w:r>
      <w:proofErr w:type="spellStart"/>
      <w:r>
        <w:rPr>
          <w:bCs/>
          <w:i/>
          <w:iCs/>
          <w:lang w:val="en-US"/>
        </w:rPr>
        <w:t>bla</w:t>
      </w:r>
      <w:r>
        <w:rPr>
          <w:bCs/>
          <w:vertAlign w:val="subscript"/>
          <w:lang w:val="en-US"/>
        </w:rPr>
        <w:t>KPC</w:t>
      </w:r>
      <w:proofErr w:type="spellEnd"/>
      <w:r>
        <w:rPr>
          <w:bCs/>
          <w:lang w:val="en-US"/>
        </w:rPr>
        <w:t xml:space="preserve"> dissemination evolved into endemic and sustained circulation across Brazilian healthcare settings rather than remaining confined to isolated outbreaks.</w:t>
      </w:r>
    </w:p>
    <w:p w14:paraId="1EFF172B" w14:textId="77777777" w:rsidR="00347734" w:rsidRDefault="001F3B15">
      <w:pPr>
        <w:spacing w:line="480" w:lineRule="auto"/>
        <w:jc w:val="both"/>
        <w:rPr>
          <w:bCs/>
          <w:lang w:val="en-US"/>
        </w:rPr>
      </w:pPr>
      <w:r>
        <w:rPr>
          <w:bCs/>
          <w:lang w:val="en-US"/>
        </w:rPr>
        <w:tab/>
        <w:t xml:space="preserve">Brazil’s pooled </w:t>
      </w:r>
      <w:proofErr w:type="spellStart"/>
      <w:r>
        <w:rPr>
          <w:bCs/>
          <w:i/>
          <w:iCs/>
          <w:lang w:val="en-US"/>
        </w:rPr>
        <w:t>bla</w:t>
      </w:r>
      <w:r>
        <w:rPr>
          <w:bCs/>
          <w:vertAlign w:val="subscript"/>
          <w:lang w:val="en-US"/>
        </w:rPr>
        <w:t>KPC</w:t>
      </w:r>
      <w:proofErr w:type="spellEnd"/>
      <w:r>
        <w:rPr>
          <w:bCs/>
          <w:lang w:val="en-US"/>
        </w:rPr>
        <w:t xml:space="preserve"> estimate in our meta-analysis suggests that KPC remains a central driver of car</w:t>
      </w:r>
      <w:r>
        <w:rPr>
          <w:bCs/>
          <w:lang w:val="en-US"/>
        </w:rPr>
        <w:t xml:space="preserve">bapenem resistance in Brazilian clinical </w:t>
      </w:r>
      <w:r>
        <w:rPr>
          <w:bCs/>
          <w:i/>
          <w:iCs/>
          <w:lang w:val="en-US"/>
        </w:rPr>
        <w:t>K. pneumoniae</w:t>
      </w:r>
      <w:r>
        <w:rPr>
          <w:bCs/>
          <w:lang w:val="en-US"/>
        </w:rPr>
        <w:t xml:space="preserve">, a pattern that contrasts with several regions where other </w:t>
      </w:r>
      <w:proofErr w:type="spellStart"/>
      <w:r>
        <w:rPr>
          <w:bCs/>
          <w:lang w:val="en-US"/>
        </w:rPr>
        <w:t>carbapenemases</w:t>
      </w:r>
      <w:proofErr w:type="spellEnd"/>
      <w:r>
        <w:rPr>
          <w:bCs/>
          <w:lang w:val="en-US"/>
        </w:rPr>
        <w:t xml:space="preserve"> predominate. For example, a recent systematic review and meta-analysis focused on Africa reported a much lower pooled prevalenc</w:t>
      </w:r>
      <w:r>
        <w:rPr>
          <w:bCs/>
          <w:lang w:val="en-US"/>
        </w:rPr>
        <w:t xml:space="preserve">e of </w:t>
      </w:r>
      <w:proofErr w:type="spellStart"/>
      <w:r>
        <w:rPr>
          <w:bCs/>
          <w:i/>
          <w:iCs/>
          <w:lang w:val="en-US"/>
        </w:rPr>
        <w:t>bla</w:t>
      </w:r>
      <w:r>
        <w:rPr>
          <w:bCs/>
          <w:vertAlign w:val="subscript"/>
          <w:lang w:val="en-US"/>
        </w:rPr>
        <w:t>KPC</w:t>
      </w:r>
      <w:proofErr w:type="spellEnd"/>
      <w:r>
        <w:rPr>
          <w:bCs/>
          <w:lang w:val="en-US"/>
        </w:rPr>
        <w:t xml:space="preserve"> (4.87%; 95% CI 3.01–6.73%) among clinical </w:t>
      </w:r>
      <w:r>
        <w:rPr>
          <w:bCs/>
          <w:i/>
          <w:iCs/>
          <w:lang w:val="en-US"/>
        </w:rPr>
        <w:t>K. pneumoniae</w:t>
      </w:r>
      <w:r>
        <w:rPr>
          <w:bCs/>
          <w:lang w:val="en-US"/>
        </w:rPr>
        <w:t xml:space="preserve"> isolates, while </w:t>
      </w:r>
      <w:r>
        <w:rPr>
          <w:bCs/>
          <w:i/>
          <w:iCs/>
          <w:lang w:val="en-US"/>
        </w:rPr>
        <w:t>bla</w:t>
      </w:r>
      <w:r>
        <w:rPr>
          <w:bCs/>
          <w:vertAlign w:val="subscript"/>
          <w:lang w:val="en-US"/>
        </w:rPr>
        <w:t>NDM-1</w:t>
      </w:r>
      <w:r>
        <w:rPr>
          <w:bCs/>
          <w:lang w:val="en-US"/>
        </w:rPr>
        <w:t xml:space="preserve"> and </w:t>
      </w:r>
      <w:r>
        <w:rPr>
          <w:bCs/>
          <w:i/>
          <w:iCs/>
          <w:lang w:val="en-US"/>
        </w:rPr>
        <w:t>bla</w:t>
      </w:r>
      <w:r>
        <w:rPr>
          <w:bCs/>
          <w:vertAlign w:val="subscript"/>
          <w:lang w:val="en-US"/>
        </w:rPr>
        <w:t>OXA-48</w:t>
      </w:r>
      <w:r>
        <w:rPr>
          <w:bCs/>
          <w:lang w:val="en-US"/>
        </w:rPr>
        <w:t xml:space="preserve"> were more prominent [46]. Similarly, Nasiri et al. [47] reported a pooled carbapenem resistance prevalence of ~24% among </w:t>
      </w:r>
      <w:r>
        <w:rPr>
          <w:bCs/>
          <w:i/>
          <w:iCs/>
          <w:lang w:val="en-US"/>
        </w:rPr>
        <w:t>K. pneumoniae</w:t>
      </w:r>
      <w:r>
        <w:rPr>
          <w:bCs/>
          <w:lang w:val="en-US"/>
        </w:rPr>
        <w:t xml:space="preserve"> and highlighte</w:t>
      </w:r>
      <w:r>
        <w:rPr>
          <w:bCs/>
          <w:lang w:val="en-US"/>
        </w:rPr>
        <w:t xml:space="preserve">d </w:t>
      </w:r>
      <w:r>
        <w:rPr>
          <w:bCs/>
          <w:i/>
          <w:iCs/>
          <w:lang w:val="en-US"/>
        </w:rPr>
        <w:t>bla</w:t>
      </w:r>
      <w:r>
        <w:rPr>
          <w:bCs/>
          <w:vertAlign w:val="subscript"/>
          <w:lang w:val="en-US"/>
        </w:rPr>
        <w:t>OXA-48</w:t>
      </w:r>
      <w:r>
        <w:rPr>
          <w:bCs/>
          <w:lang w:val="en-US"/>
        </w:rPr>
        <w:t xml:space="preserve"> as a leading mechanism in Iran. </w:t>
      </w:r>
    </w:p>
    <w:p w14:paraId="3B288857" w14:textId="77777777" w:rsidR="00347734" w:rsidRDefault="001F3B15">
      <w:pPr>
        <w:spacing w:line="480" w:lineRule="auto"/>
        <w:jc w:val="both"/>
        <w:rPr>
          <w:bCs/>
          <w:lang w:val="en-US"/>
        </w:rPr>
      </w:pPr>
      <w:r>
        <w:rPr>
          <w:bCs/>
          <w:lang w:val="en-US"/>
        </w:rPr>
        <w:tab/>
        <w:t xml:space="preserve">In contrast, data from higher-income settings show that KPC can still be a dominant </w:t>
      </w:r>
      <w:proofErr w:type="spellStart"/>
      <w:r>
        <w:rPr>
          <w:bCs/>
          <w:lang w:val="en-US"/>
        </w:rPr>
        <w:t>carbapenemase</w:t>
      </w:r>
      <w:proofErr w:type="spellEnd"/>
      <w:r>
        <w:rPr>
          <w:bCs/>
          <w:lang w:val="en-US"/>
        </w:rPr>
        <w:t xml:space="preserve">. A large US multicenter surveillance study of carbapenem-resistant </w:t>
      </w:r>
      <w:proofErr w:type="spellStart"/>
      <w:r>
        <w:rPr>
          <w:bCs/>
          <w:lang w:val="en-US"/>
        </w:rPr>
        <w:t>Enterobacterales</w:t>
      </w:r>
      <w:proofErr w:type="spellEnd"/>
      <w:r>
        <w:rPr>
          <w:bCs/>
          <w:lang w:val="en-US"/>
        </w:rPr>
        <w:t xml:space="preserve"> (CRE) found KPC as the most </w:t>
      </w:r>
      <w:r>
        <w:rPr>
          <w:bCs/>
          <w:lang w:val="en-US"/>
        </w:rPr>
        <w:t xml:space="preserve">common </w:t>
      </w:r>
      <w:proofErr w:type="spellStart"/>
      <w:r>
        <w:rPr>
          <w:bCs/>
          <w:lang w:val="en-US"/>
        </w:rPr>
        <w:t>carbapenemase</w:t>
      </w:r>
      <w:proofErr w:type="spellEnd"/>
      <w:r>
        <w:rPr>
          <w:bCs/>
          <w:lang w:val="en-US"/>
        </w:rPr>
        <w:t xml:space="preserve"> (65.5% of CRE) [48]. Finally, even within high-risk subpopulations, </w:t>
      </w:r>
      <w:proofErr w:type="spellStart"/>
      <w:r>
        <w:rPr>
          <w:bCs/>
          <w:i/>
          <w:iCs/>
          <w:lang w:val="en-US"/>
        </w:rPr>
        <w:t>bla</w:t>
      </w:r>
      <w:r>
        <w:rPr>
          <w:bCs/>
          <w:vertAlign w:val="subscript"/>
          <w:lang w:val="en-US"/>
        </w:rPr>
        <w:t>KPC</w:t>
      </w:r>
      <w:proofErr w:type="spellEnd"/>
      <w:r>
        <w:rPr>
          <w:bCs/>
          <w:lang w:val="en-US"/>
        </w:rPr>
        <w:t xml:space="preserve"> remains frequent internationally: a 2025 meta-analysis in carbapenem-resistant hypervirulent </w:t>
      </w:r>
      <w:r>
        <w:rPr>
          <w:bCs/>
          <w:i/>
          <w:iCs/>
          <w:lang w:val="en-US"/>
        </w:rPr>
        <w:t>K. pneumoniae</w:t>
      </w:r>
      <w:r>
        <w:rPr>
          <w:bCs/>
          <w:lang w:val="en-US"/>
        </w:rPr>
        <w:t xml:space="preserve"> estimated </w:t>
      </w:r>
      <w:proofErr w:type="spellStart"/>
      <w:r>
        <w:rPr>
          <w:bCs/>
          <w:i/>
          <w:iCs/>
          <w:lang w:val="en-US"/>
        </w:rPr>
        <w:t>bla</w:t>
      </w:r>
      <w:r>
        <w:rPr>
          <w:bCs/>
          <w:vertAlign w:val="subscript"/>
          <w:lang w:val="en-US"/>
        </w:rPr>
        <w:t>KPC</w:t>
      </w:r>
      <w:proofErr w:type="spellEnd"/>
      <w:r>
        <w:rPr>
          <w:bCs/>
          <w:lang w:val="en-US"/>
        </w:rPr>
        <w:t xml:space="preserve"> prevalence of 58.8% (95% CI 47.8–68.</w:t>
      </w:r>
      <w:r>
        <w:rPr>
          <w:bCs/>
          <w:lang w:val="en-US"/>
        </w:rPr>
        <w:t>9%), reinforcing that KPC continues to play a major role in clinically important lineages worldwide [49].</w:t>
      </w:r>
    </w:p>
    <w:p w14:paraId="1D034288" w14:textId="77777777" w:rsidR="00347734" w:rsidRDefault="001F3B15">
      <w:pPr>
        <w:spacing w:line="480" w:lineRule="auto"/>
        <w:jc w:val="both"/>
        <w:rPr>
          <w:bCs/>
          <w:lang w:val="en-US"/>
        </w:rPr>
      </w:pPr>
      <w:r>
        <w:rPr>
          <w:bCs/>
          <w:lang w:val="en-US"/>
        </w:rPr>
        <w:tab/>
        <w:t xml:space="preserve">Regional surveillance data from Latin America and the Caribbean help contextualize our Brazilian estimates and suggest that </w:t>
      </w:r>
      <w:proofErr w:type="spellStart"/>
      <w:r>
        <w:rPr>
          <w:bCs/>
          <w:i/>
          <w:iCs/>
          <w:lang w:val="en-US"/>
        </w:rPr>
        <w:t>bla</w:t>
      </w:r>
      <w:r>
        <w:rPr>
          <w:bCs/>
          <w:vertAlign w:val="subscript"/>
          <w:lang w:val="en-US"/>
        </w:rPr>
        <w:t>KPC</w:t>
      </w:r>
      <w:proofErr w:type="spellEnd"/>
      <w:r>
        <w:rPr>
          <w:bCs/>
          <w:lang w:val="en-US"/>
        </w:rPr>
        <w:t xml:space="preserve"> remains highly pre</w:t>
      </w:r>
      <w:r>
        <w:rPr>
          <w:bCs/>
          <w:lang w:val="en-US"/>
        </w:rPr>
        <w:t xml:space="preserve">valent in the region, but within a shifting </w:t>
      </w:r>
      <w:proofErr w:type="spellStart"/>
      <w:r>
        <w:rPr>
          <w:bCs/>
          <w:lang w:val="en-US"/>
        </w:rPr>
        <w:t>carbapenemase</w:t>
      </w:r>
      <w:proofErr w:type="spellEnd"/>
      <w:r>
        <w:rPr>
          <w:bCs/>
          <w:lang w:val="en-US"/>
        </w:rPr>
        <w:t xml:space="preserve"> landscape. In the CARBA-LAC </w:t>
      </w:r>
      <w:r>
        <w:rPr>
          <w:bCs/>
          <w:lang w:val="en-US"/>
        </w:rPr>
        <w:lastRenderedPageBreak/>
        <w:t xml:space="preserve">(PAHO-linked) </w:t>
      </w:r>
      <w:proofErr w:type="spellStart"/>
      <w:r>
        <w:rPr>
          <w:bCs/>
          <w:lang w:val="en-US"/>
        </w:rPr>
        <w:t>multicountry</w:t>
      </w:r>
      <w:proofErr w:type="spellEnd"/>
      <w:r>
        <w:rPr>
          <w:bCs/>
          <w:lang w:val="en-US"/>
        </w:rPr>
        <w:t xml:space="preserve"> surveillance (2015–2020), </w:t>
      </w:r>
      <w:proofErr w:type="spellStart"/>
      <w:r>
        <w:rPr>
          <w:bCs/>
          <w:i/>
          <w:iCs/>
          <w:lang w:val="en-US"/>
        </w:rPr>
        <w:t>bla</w:t>
      </w:r>
      <w:r>
        <w:rPr>
          <w:bCs/>
          <w:vertAlign w:val="subscript"/>
          <w:lang w:val="en-US"/>
        </w:rPr>
        <w:t>KPC</w:t>
      </w:r>
      <w:proofErr w:type="spellEnd"/>
      <w:r>
        <w:rPr>
          <w:bCs/>
          <w:lang w:val="en-US"/>
        </w:rPr>
        <w:t xml:space="preserve"> was the most frequently detected </w:t>
      </w:r>
      <w:proofErr w:type="spellStart"/>
      <w:r>
        <w:rPr>
          <w:bCs/>
          <w:lang w:val="en-US"/>
        </w:rPr>
        <w:t>carbapenemase</w:t>
      </w:r>
      <w:proofErr w:type="spellEnd"/>
      <w:r>
        <w:rPr>
          <w:bCs/>
          <w:lang w:val="en-US"/>
        </w:rPr>
        <w:t xml:space="preserve"> among CRE, accounting for 78.67% (24,569/31,230) of detected ge</w:t>
      </w:r>
      <w:r>
        <w:rPr>
          <w:bCs/>
          <w:lang w:val="en-US"/>
        </w:rPr>
        <w:t xml:space="preserve">nes, and the temporal trend of </w:t>
      </w:r>
      <w:proofErr w:type="spellStart"/>
      <w:r>
        <w:rPr>
          <w:bCs/>
          <w:i/>
          <w:iCs/>
          <w:lang w:val="en-US"/>
        </w:rPr>
        <w:t>bla</w:t>
      </w:r>
      <w:r>
        <w:rPr>
          <w:bCs/>
          <w:vertAlign w:val="subscript"/>
          <w:lang w:val="en-US"/>
        </w:rPr>
        <w:t>KPC</w:t>
      </w:r>
      <w:proofErr w:type="spellEnd"/>
      <w:r>
        <w:rPr>
          <w:bCs/>
          <w:lang w:val="en-US"/>
        </w:rPr>
        <w:t xml:space="preserve"> gene density remained stationary across bacterial groups over the study period, whereas </w:t>
      </w:r>
      <w:proofErr w:type="spellStart"/>
      <w:r>
        <w:rPr>
          <w:bCs/>
          <w:i/>
          <w:iCs/>
          <w:lang w:val="en-US"/>
        </w:rPr>
        <w:t>bla</w:t>
      </w:r>
      <w:r>
        <w:rPr>
          <w:bCs/>
          <w:vertAlign w:val="subscript"/>
          <w:lang w:val="en-US"/>
        </w:rPr>
        <w:t>NDM</w:t>
      </w:r>
      <w:proofErr w:type="spellEnd"/>
      <w:r>
        <w:rPr>
          <w:bCs/>
          <w:lang w:val="en-US"/>
        </w:rPr>
        <w:t xml:space="preserve"> density increased markedly, consistent with an expanding regional footprint of NDM enzymes [50]. In Brazil specifically, na</w:t>
      </w:r>
      <w:r>
        <w:rPr>
          <w:bCs/>
          <w:lang w:val="en-US"/>
        </w:rPr>
        <w:t xml:space="preserve">tional molecular surveillance (SISLAB, 2015–2022) indicates a declining </w:t>
      </w:r>
      <w:proofErr w:type="spellStart"/>
      <w:r>
        <w:rPr>
          <w:bCs/>
          <w:lang w:val="en-US"/>
        </w:rPr>
        <w:t>Enterobacterales</w:t>
      </w:r>
      <w:proofErr w:type="spellEnd"/>
      <w:r>
        <w:rPr>
          <w:bCs/>
          <w:lang w:val="en-US"/>
        </w:rPr>
        <w:t xml:space="preserve"> detection rate for </w:t>
      </w:r>
      <w:proofErr w:type="spellStart"/>
      <w:r>
        <w:rPr>
          <w:bCs/>
          <w:i/>
          <w:iCs/>
          <w:lang w:val="en-US"/>
        </w:rPr>
        <w:t>bla</w:t>
      </w:r>
      <w:r>
        <w:rPr>
          <w:bCs/>
          <w:vertAlign w:val="subscript"/>
          <w:lang w:val="en-US"/>
        </w:rPr>
        <w:t>KPC</w:t>
      </w:r>
      <w:proofErr w:type="spellEnd"/>
      <w:r>
        <w:rPr>
          <w:bCs/>
          <w:lang w:val="en-US"/>
        </w:rPr>
        <w:t xml:space="preserve"> (from 74.5% in 2015 to 55.1% in 2022) alongside a steep increase in </w:t>
      </w:r>
      <w:proofErr w:type="spellStart"/>
      <w:r>
        <w:rPr>
          <w:bCs/>
          <w:i/>
          <w:iCs/>
          <w:lang w:val="en-US"/>
        </w:rPr>
        <w:t>bla</w:t>
      </w:r>
      <w:r>
        <w:rPr>
          <w:bCs/>
          <w:vertAlign w:val="subscript"/>
          <w:lang w:val="en-US"/>
        </w:rPr>
        <w:t>NDM</w:t>
      </w:r>
      <w:proofErr w:type="spellEnd"/>
      <w:r>
        <w:rPr>
          <w:bCs/>
          <w:lang w:val="en-US"/>
        </w:rPr>
        <w:t xml:space="preserve"> (from 4.1% to 39.4%), reinforcing the interpretation of an epidemi</w:t>
      </w:r>
      <w:r>
        <w:rPr>
          <w:bCs/>
          <w:lang w:val="en-US"/>
        </w:rPr>
        <w:t xml:space="preserve">ological transition in which KPC dominance is progressively challenged by NDM dissemination [51-52]. </w:t>
      </w:r>
    </w:p>
    <w:p w14:paraId="211C157A" w14:textId="77777777" w:rsidR="00347734" w:rsidRDefault="001F3B15">
      <w:pPr>
        <w:spacing w:line="480" w:lineRule="auto"/>
        <w:jc w:val="both"/>
        <w:rPr>
          <w:bCs/>
          <w:lang w:val="en-US"/>
        </w:rPr>
      </w:pPr>
      <w:r>
        <w:rPr>
          <w:bCs/>
          <w:lang w:val="en-US"/>
        </w:rPr>
        <w:tab/>
        <w:t xml:space="preserve">Most included studies relied on </w:t>
      </w:r>
      <w:r>
        <w:rPr>
          <w:lang w:val="en-US"/>
        </w:rPr>
        <w:t>PCR-based detection</w:t>
      </w:r>
      <w:r>
        <w:rPr>
          <w:bCs/>
          <w:lang w:val="en-US"/>
        </w:rPr>
        <w:t>, which generally reports</w:t>
      </w:r>
      <w:r>
        <w:rPr>
          <w:bCs/>
          <w:i/>
          <w:iCs/>
          <w:lang w:val="en-US"/>
        </w:rPr>
        <w:t xml:space="preserve"> </w:t>
      </w:r>
      <w:proofErr w:type="spellStart"/>
      <w:r>
        <w:rPr>
          <w:bCs/>
          <w:i/>
          <w:iCs/>
          <w:lang w:val="en-US"/>
        </w:rPr>
        <w:t>bla</w:t>
      </w:r>
      <w:r>
        <w:rPr>
          <w:bCs/>
          <w:vertAlign w:val="subscript"/>
          <w:lang w:val="en-US"/>
        </w:rPr>
        <w:t>KPC</w:t>
      </w:r>
      <w:proofErr w:type="spellEnd"/>
      <w:r>
        <w:rPr>
          <w:bCs/>
          <w:lang w:val="en-US"/>
        </w:rPr>
        <w:t xml:space="preserve"> as a binary finding and therefore limits inference about the diversity of circulating KPC variants. Even so, when variant information was available, mainly in studies using </w:t>
      </w:r>
      <w:r>
        <w:rPr>
          <w:lang w:val="en-US"/>
        </w:rPr>
        <w:t>WGS</w:t>
      </w:r>
      <w:r>
        <w:rPr>
          <w:bCs/>
          <w:lang w:val="en-US"/>
        </w:rPr>
        <w:t xml:space="preserve"> or combined approaches, </w:t>
      </w:r>
      <w:r>
        <w:rPr>
          <w:bCs/>
          <w:i/>
          <w:iCs/>
          <w:lang w:val="en-US"/>
        </w:rPr>
        <w:t>bla</w:t>
      </w:r>
      <w:r>
        <w:rPr>
          <w:bCs/>
          <w:vertAlign w:val="subscript"/>
          <w:lang w:val="en-US"/>
        </w:rPr>
        <w:t>KPC-2</w:t>
      </w:r>
      <w:r>
        <w:rPr>
          <w:bCs/>
          <w:lang w:val="en-US"/>
        </w:rPr>
        <w:t xml:space="preserve"> emerged as the predominant allele in Brazilia</w:t>
      </w:r>
      <w:r>
        <w:rPr>
          <w:bCs/>
          <w:lang w:val="en-US"/>
        </w:rPr>
        <w:t xml:space="preserve">n clinical-related </w:t>
      </w:r>
      <w:r>
        <w:rPr>
          <w:bCs/>
          <w:i/>
          <w:iCs/>
          <w:lang w:val="en-US"/>
        </w:rPr>
        <w:t>K. pneumoniae</w:t>
      </w:r>
      <w:r>
        <w:rPr>
          <w:bCs/>
          <w:lang w:val="en-US"/>
        </w:rPr>
        <w:t xml:space="preserve"> [19,26,32]. Sporadic identification of </w:t>
      </w:r>
      <w:r>
        <w:rPr>
          <w:bCs/>
          <w:i/>
          <w:iCs/>
          <w:lang w:val="en-US"/>
        </w:rPr>
        <w:t>bla</w:t>
      </w:r>
      <w:r>
        <w:rPr>
          <w:bCs/>
          <w:vertAlign w:val="subscript"/>
          <w:lang w:val="en-US"/>
        </w:rPr>
        <w:t>KPC-3</w:t>
      </w:r>
      <w:r>
        <w:rPr>
          <w:lang w:val="en-US"/>
        </w:rPr>
        <w:t xml:space="preserve"> and </w:t>
      </w:r>
      <w:r>
        <w:rPr>
          <w:bCs/>
          <w:i/>
          <w:iCs/>
          <w:lang w:val="en-US"/>
        </w:rPr>
        <w:t>bla</w:t>
      </w:r>
      <w:r>
        <w:rPr>
          <w:bCs/>
          <w:vertAlign w:val="subscript"/>
          <w:lang w:val="en-US"/>
        </w:rPr>
        <w:t>KPC-30</w:t>
      </w:r>
      <w:r>
        <w:rPr>
          <w:lang w:val="en-US"/>
        </w:rPr>
        <w:t xml:space="preserve"> was also reported, indicating that Brazil’s KPC landscape is not monolithic and may include multiple introduction events and/or local diversification over time [</w:t>
      </w:r>
      <w:r>
        <w:rPr>
          <w:lang w:val="en-US"/>
        </w:rPr>
        <w:t>38].  This variant heterogeneity has practical implications: different alleles may be associated with distinct lineages and mobile genetic elements, influencing transmission dynamics and outbreak persistence. Consequently, broader incorporation of WGS-base</w:t>
      </w:r>
      <w:r>
        <w:rPr>
          <w:lang w:val="en-US"/>
        </w:rPr>
        <w:t>d surveillance alongside routine PCR screening would strengthen resolution of variant circulation, support more precise outbreak investigation, and improve comparability of molecular epidemiology across regions and time [28,36,37,38].</w:t>
      </w:r>
    </w:p>
    <w:p w14:paraId="4D70BA64" w14:textId="77777777" w:rsidR="00347734" w:rsidRDefault="001F3B15">
      <w:pPr>
        <w:spacing w:line="480" w:lineRule="auto"/>
        <w:jc w:val="both"/>
        <w:rPr>
          <w:bCs/>
          <w:lang w:val="en-US"/>
        </w:rPr>
      </w:pPr>
      <w:r>
        <w:rPr>
          <w:bCs/>
          <w:lang w:val="en-US"/>
        </w:rPr>
        <w:lastRenderedPageBreak/>
        <w:tab/>
        <w:t>A key contribution o</w:t>
      </w:r>
      <w:r>
        <w:rPr>
          <w:bCs/>
          <w:lang w:val="en-US"/>
        </w:rPr>
        <w:t xml:space="preserve">f this synthesis is the demonstration of </w:t>
      </w:r>
      <w:r>
        <w:rPr>
          <w:lang w:val="en-US"/>
        </w:rPr>
        <w:t>marked geographic variability</w:t>
      </w:r>
      <w:r>
        <w:rPr>
          <w:bCs/>
          <w:lang w:val="en-US"/>
        </w:rPr>
        <w:t xml:space="preserve"> in pooled estimates, consistent with the heterogeneous Brazilian healthcare landscape and uneven intensity of surveillance. Subgroup analyses by macro-region indicated higher pooled pre</w:t>
      </w:r>
      <w:r>
        <w:rPr>
          <w:bCs/>
          <w:lang w:val="en-US"/>
        </w:rPr>
        <w:t xml:space="preserve">valence in the </w:t>
      </w:r>
      <w:r>
        <w:rPr>
          <w:lang w:val="en-US"/>
        </w:rPr>
        <w:t>Midwest (85.5%), South (75.1%), Northeast (71.7%), and Southeast (70.5%), while the North showed a lower pooled estimate (36.5%)</w:t>
      </w:r>
      <w:r>
        <w:rPr>
          <w:bCs/>
          <w:lang w:val="en-US"/>
        </w:rPr>
        <w:t xml:space="preserve">. These contrasts likely reflect differences in patient populations, hospital complexity (e.g., tertiary centers </w:t>
      </w:r>
      <w:r>
        <w:rPr>
          <w:bCs/>
          <w:lang w:val="en-US"/>
        </w:rPr>
        <w:t>vs. mixed networks), local transmission dynamics, and laboratory capacity, as well as whether studies were conducted during endemic periods or during intensified control efforts. The included literature spans multiple settings (ICUs, tertiary hospitals, an</w:t>
      </w:r>
      <w:r>
        <w:rPr>
          <w:bCs/>
          <w:lang w:val="en-US"/>
        </w:rPr>
        <w:t>d public health laboratories), and isolates originate from both invasive clinical specimens and surveillance samples, all of which can shift observed frequencies upward or downward (Table 1).</w:t>
      </w:r>
    </w:p>
    <w:p w14:paraId="78AB7CB2" w14:textId="77777777" w:rsidR="00347734" w:rsidRDefault="001F3B15">
      <w:pPr>
        <w:spacing w:line="480" w:lineRule="auto"/>
        <w:jc w:val="both"/>
        <w:rPr>
          <w:bCs/>
          <w:lang w:val="en-US"/>
        </w:rPr>
      </w:pPr>
      <w:r>
        <w:rPr>
          <w:bCs/>
          <w:lang w:val="en-US"/>
        </w:rPr>
        <w:tab/>
        <w:t xml:space="preserve">The </w:t>
      </w:r>
      <w:r>
        <w:rPr>
          <w:lang w:val="en-US"/>
        </w:rPr>
        <w:t xml:space="preserve">meta-regression </w:t>
      </w:r>
      <w:r>
        <w:rPr>
          <w:bCs/>
          <w:lang w:val="en-US"/>
        </w:rPr>
        <w:t xml:space="preserve">provides additional insight into why prevalence estimates differ so dramatically between studies. Specifically, a statistically significant </w:t>
      </w:r>
      <w:r>
        <w:rPr>
          <w:lang w:val="en-US"/>
        </w:rPr>
        <w:t xml:space="preserve">inverse association between study size and reported </w:t>
      </w:r>
      <w:proofErr w:type="spellStart"/>
      <w:r>
        <w:rPr>
          <w:bCs/>
          <w:i/>
          <w:iCs/>
          <w:lang w:val="en-US"/>
        </w:rPr>
        <w:t>bla</w:t>
      </w:r>
      <w:r>
        <w:rPr>
          <w:bCs/>
          <w:vertAlign w:val="subscript"/>
          <w:lang w:val="en-US"/>
        </w:rPr>
        <w:t>KPC</w:t>
      </w:r>
      <w:proofErr w:type="spellEnd"/>
      <w:r>
        <w:rPr>
          <w:lang w:val="en-US"/>
        </w:rPr>
        <w:t xml:space="preserve"> prevalence (p = 0.01)</w:t>
      </w:r>
      <w:r>
        <w:rPr>
          <w:bCs/>
          <w:lang w:val="en-US"/>
        </w:rPr>
        <w:t xml:space="preserve"> suggests that smaller investigation</w:t>
      </w:r>
      <w:r>
        <w:rPr>
          <w:bCs/>
          <w:lang w:val="en-US"/>
        </w:rPr>
        <w:t>s tend to report higher proportions, whereas larger datasets yield more moderate estimates. In practice, this pattern is compatible with the inclusion of outbreak-focused reports, highly selected cohorts, or single-ward/ICU series among smaller studies — c</w:t>
      </w:r>
      <w:r>
        <w:rPr>
          <w:bCs/>
          <w:lang w:val="en-US"/>
        </w:rPr>
        <w:t xml:space="preserve">ontexts in which transmission is concentrated and </w:t>
      </w:r>
      <w:proofErr w:type="spellStart"/>
      <w:r>
        <w:rPr>
          <w:bCs/>
          <w:i/>
          <w:iCs/>
          <w:lang w:val="en-US"/>
        </w:rPr>
        <w:t>bla</w:t>
      </w:r>
      <w:r>
        <w:rPr>
          <w:bCs/>
          <w:vertAlign w:val="subscript"/>
          <w:lang w:val="en-US"/>
        </w:rPr>
        <w:t>KPC</w:t>
      </w:r>
      <w:proofErr w:type="spellEnd"/>
      <w:r>
        <w:rPr>
          <w:bCs/>
          <w:lang w:val="en-US"/>
        </w:rPr>
        <w:t xml:space="preserve"> frequencies can be inflated relative to broader hospital or regional surveillance (Figure 4).</w:t>
      </w:r>
    </w:p>
    <w:p w14:paraId="65DBA7DB" w14:textId="77777777" w:rsidR="00347734" w:rsidRDefault="001F3B15">
      <w:pPr>
        <w:spacing w:line="480" w:lineRule="auto"/>
        <w:jc w:val="both"/>
        <w:rPr>
          <w:bCs/>
          <w:lang w:val="en-US"/>
        </w:rPr>
      </w:pPr>
      <w:r>
        <w:rPr>
          <w:bCs/>
          <w:lang w:val="en-US"/>
        </w:rPr>
        <w:tab/>
        <w:t xml:space="preserve">Despite these complexities, the overall message is clear: </w:t>
      </w:r>
      <w:proofErr w:type="spellStart"/>
      <w:r>
        <w:rPr>
          <w:bCs/>
          <w:lang w:val="en-US"/>
        </w:rPr>
        <w:t>blaKPC</w:t>
      </w:r>
      <w:proofErr w:type="spellEnd"/>
      <w:r>
        <w:rPr>
          <w:bCs/>
          <w:lang w:val="en-US"/>
        </w:rPr>
        <w:t xml:space="preserve">-producing </w:t>
      </w:r>
      <w:r>
        <w:rPr>
          <w:bCs/>
          <w:i/>
          <w:iCs/>
          <w:lang w:val="en-US"/>
        </w:rPr>
        <w:t>K. pneumoniae</w:t>
      </w:r>
      <w:r>
        <w:rPr>
          <w:bCs/>
          <w:lang w:val="en-US"/>
        </w:rPr>
        <w:t xml:space="preserve"> is broadly dist</w:t>
      </w:r>
      <w:r>
        <w:rPr>
          <w:bCs/>
          <w:lang w:val="en-US"/>
        </w:rPr>
        <w:t>ributed and commonly detected in Brazilian clinical contexts, demanding sustained and coordinated responses. The findings reinforce the importance of (</w:t>
      </w:r>
      <w:proofErr w:type="spellStart"/>
      <w:r>
        <w:rPr>
          <w:bCs/>
          <w:lang w:val="en-US"/>
        </w:rPr>
        <w:t>i</w:t>
      </w:r>
      <w:proofErr w:type="spellEnd"/>
      <w:r>
        <w:rPr>
          <w:bCs/>
          <w:lang w:val="en-US"/>
        </w:rPr>
        <w:t xml:space="preserve">) robust infection prevention and control measures in high-risk wards, (ii) targeted </w:t>
      </w:r>
      <w:r>
        <w:rPr>
          <w:bCs/>
          <w:lang w:val="en-US"/>
        </w:rPr>
        <w:lastRenderedPageBreak/>
        <w:t xml:space="preserve">screening policies </w:t>
      </w:r>
      <w:r>
        <w:rPr>
          <w:bCs/>
          <w:lang w:val="en-US"/>
        </w:rPr>
        <w:t>aligned with local epidemiology, and (iii) expansion of molecular and genomic surveillance capacity to promptly detect introductions, track dissemination, and support outbreak containment.</w:t>
      </w:r>
    </w:p>
    <w:p w14:paraId="36C36BAE" w14:textId="77777777" w:rsidR="00347734" w:rsidRDefault="001F3B15">
      <w:pPr>
        <w:spacing w:line="480" w:lineRule="auto"/>
        <w:jc w:val="both"/>
        <w:rPr>
          <w:bCs/>
          <w:lang w:val="en-US"/>
        </w:rPr>
      </w:pPr>
      <w:r>
        <w:rPr>
          <w:bCs/>
          <w:lang w:val="en-US"/>
        </w:rPr>
        <w:tab/>
        <w:t>Our results should be interpreted considering several important li</w:t>
      </w:r>
      <w:r>
        <w:rPr>
          <w:bCs/>
          <w:lang w:val="en-US"/>
        </w:rPr>
        <w:t xml:space="preserve">mitations. First, study size appears to be a major contributor to variability: smaller, single-center or ward-based reports often yielded very high prevalences, whereas larger datasets tended to produce more moderate estimates. Second, even accounting for </w:t>
      </w:r>
      <w:r>
        <w:rPr>
          <w:bCs/>
          <w:lang w:val="en-US"/>
        </w:rPr>
        <w:t>sample size, heterogeneity remained substantial, indicating that other factors—such as sampling period, healthcare context (ICU, general wards, or screening cohorts), isolate source, and molecular approach (PCR vs. WGS)—likely also shape the observed frequ</w:t>
      </w:r>
      <w:r>
        <w:rPr>
          <w:bCs/>
          <w:lang w:val="en-US"/>
        </w:rPr>
        <w:t>encies. Third, restricting eligibility to full original articles (excluding brief communications and letters) may have reduced capture of early outbreak signals and unusual local peaks. Fourth, although the search strategy was designed to be sensitive, rel</w:t>
      </w:r>
      <w:r>
        <w:rPr>
          <w:bCs/>
          <w:lang w:val="en-US"/>
        </w:rPr>
        <w:t xml:space="preserve">iance on a defined set of keywords and database indexing practices means that some relevant studies may have been missed. Despite these constraints, this work provides a comprehensive synthesis of published evidence on </w:t>
      </w:r>
      <w:proofErr w:type="spellStart"/>
      <w:r>
        <w:rPr>
          <w:bCs/>
          <w:i/>
          <w:iCs/>
          <w:lang w:val="en-US"/>
        </w:rPr>
        <w:t>bla</w:t>
      </w:r>
      <w:r>
        <w:rPr>
          <w:bCs/>
          <w:vertAlign w:val="subscript"/>
          <w:lang w:val="en-US"/>
        </w:rPr>
        <w:t>KPC</w:t>
      </w:r>
      <w:proofErr w:type="spellEnd"/>
      <w:r>
        <w:rPr>
          <w:bCs/>
          <w:lang w:val="en-US"/>
        </w:rPr>
        <w:t xml:space="preserve"> in Brazilian clinical-related </w:t>
      </w:r>
      <w:r>
        <w:rPr>
          <w:bCs/>
          <w:i/>
          <w:iCs/>
          <w:lang w:val="en-US"/>
        </w:rPr>
        <w:t>K. pneumoniae</w:t>
      </w:r>
      <w:r>
        <w:rPr>
          <w:bCs/>
          <w:lang w:val="en-US"/>
        </w:rPr>
        <w:t xml:space="preserve"> across all macro-regions. The review followed PRISMA guidance, applied independent screening and extraction, incorporated standardized quality appraisal, and used subgroup and meta-regression analyses to explore potential sources of heterogen</w:t>
      </w:r>
      <w:r>
        <w:rPr>
          <w:bCs/>
          <w:lang w:val="en-US"/>
        </w:rPr>
        <w:t>eity, strengthening the rigor and transparency of the conclusions.</w:t>
      </w:r>
    </w:p>
    <w:p w14:paraId="0206B401" w14:textId="77777777" w:rsidR="00347734" w:rsidRDefault="001F3B15">
      <w:pPr>
        <w:spacing w:before="240" w:line="480" w:lineRule="auto"/>
        <w:jc w:val="both"/>
        <w:rPr>
          <w:b/>
          <w:lang w:val="en-US"/>
        </w:rPr>
      </w:pPr>
      <w:r>
        <w:rPr>
          <w:b/>
          <w:lang w:val="en-US"/>
        </w:rPr>
        <w:t>5. Conclusions</w:t>
      </w:r>
    </w:p>
    <w:p w14:paraId="563429E8" w14:textId="77777777" w:rsidR="00347734" w:rsidRDefault="001F3B15">
      <w:pPr>
        <w:spacing w:after="240" w:line="480" w:lineRule="auto"/>
        <w:jc w:val="both"/>
        <w:rPr>
          <w:lang w:val="en-US"/>
        </w:rPr>
      </w:pPr>
      <w:r>
        <w:rPr>
          <w:lang w:val="en-US"/>
        </w:rPr>
        <w:tab/>
        <w:t xml:space="preserve">This systematic review and proportion meta-analysis shows that </w:t>
      </w:r>
      <w:proofErr w:type="spellStart"/>
      <w:r>
        <w:rPr>
          <w:i/>
          <w:iCs/>
          <w:lang w:val="en-US"/>
        </w:rPr>
        <w:t>bla</w:t>
      </w:r>
      <w:r>
        <w:rPr>
          <w:vertAlign w:val="subscript"/>
          <w:lang w:val="en-US"/>
        </w:rPr>
        <w:t>KPC</w:t>
      </w:r>
      <w:proofErr w:type="spellEnd"/>
      <w:r>
        <w:rPr>
          <w:lang w:val="en-US"/>
        </w:rPr>
        <w:t xml:space="preserve"> is widely detected in clinical-related </w:t>
      </w:r>
      <w:r>
        <w:rPr>
          <w:i/>
          <w:iCs/>
          <w:lang w:val="en-US"/>
        </w:rPr>
        <w:t>K. pneumoniae</w:t>
      </w:r>
      <w:r>
        <w:rPr>
          <w:lang w:val="en-US"/>
        </w:rPr>
        <w:t xml:space="preserve"> isolates in Brazil, with a pooled prevalence of 44</w:t>
      </w:r>
      <w:r>
        <w:rPr>
          <w:lang w:val="en-US"/>
        </w:rPr>
        <w:t xml:space="preserve">.3% and very high heterogeneity, indicating substantial variation across regions, settings, and study designs. Subgroup analyses revealed marked geographic differences, </w:t>
      </w:r>
      <w:r>
        <w:rPr>
          <w:lang w:val="en-US"/>
        </w:rPr>
        <w:lastRenderedPageBreak/>
        <w:t>and meta-regression identified an inverse association between study size and prevalence</w:t>
      </w:r>
      <w:r>
        <w:rPr>
          <w:lang w:val="en-US"/>
        </w:rPr>
        <w:t xml:space="preserve">, suggesting that sampling strategy and outbreak-driven datasets can inflate estimates in smaller studies. Collectively, these findings confirm </w:t>
      </w:r>
      <w:proofErr w:type="spellStart"/>
      <w:r>
        <w:rPr>
          <w:i/>
          <w:iCs/>
          <w:lang w:val="en-US"/>
        </w:rPr>
        <w:t>bla</w:t>
      </w:r>
      <w:r>
        <w:rPr>
          <w:vertAlign w:val="subscript"/>
          <w:lang w:val="en-US"/>
        </w:rPr>
        <w:t>KPC</w:t>
      </w:r>
      <w:proofErr w:type="spellEnd"/>
      <w:r>
        <w:rPr>
          <w:lang w:val="en-US"/>
        </w:rPr>
        <w:t xml:space="preserve"> among </w:t>
      </w:r>
      <w:r>
        <w:rPr>
          <w:i/>
          <w:iCs/>
          <w:lang w:val="en-US"/>
        </w:rPr>
        <w:t>K. pneumoniae</w:t>
      </w:r>
      <w:r>
        <w:rPr>
          <w:lang w:val="en-US"/>
        </w:rPr>
        <w:t xml:space="preserve"> as a persistent national AMR threat and highlight the need for standardized molecular</w:t>
      </w:r>
      <w:r>
        <w:rPr>
          <w:lang w:val="en-US"/>
        </w:rPr>
        <w:t xml:space="preserve"> surveillance, improved reporting of denominators and clinical context (infection vs. colonization), and multicenter studies that better represent under-sampled regions. Expanding integration of genomic surveillance (WGS) with routine PCR screening and epi</w:t>
      </w:r>
      <w:r>
        <w:rPr>
          <w:lang w:val="en-US"/>
        </w:rPr>
        <w:t>demiologic metadata will be essential to track variant circulation, support outbreak investigation, and inform targeted infection-control and antimicrobial-stewardship interventions across Brazil.</w:t>
      </w:r>
    </w:p>
    <w:p w14:paraId="6287C22F" w14:textId="77777777" w:rsidR="00347734" w:rsidRDefault="001F3B15">
      <w:pPr>
        <w:spacing w:line="480" w:lineRule="auto"/>
        <w:jc w:val="both"/>
        <w:rPr>
          <w:b/>
          <w:bCs/>
          <w:lang w:val="en-US"/>
        </w:rPr>
      </w:pPr>
      <w:bookmarkStart w:id="1" w:name="_GoBack"/>
      <w:bookmarkEnd w:id="1"/>
      <w:r>
        <w:rPr>
          <w:b/>
          <w:bCs/>
          <w:lang w:val="en-US"/>
        </w:rPr>
        <w:t>Data Availability St</w:t>
      </w:r>
      <w:r>
        <w:rPr>
          <w:b/>
          <w:bCs/>
          <w:lang w:val="en-US"/>
        </w:rPr>
        <w:t>atement</w:t>
      </w:r>
    </w:p>
    <w:p w14:paraId="0D315F71" w14:textId="77777777" w:rsidR="00347734" w:rsidRDefault="001F3B15">
      <w:pPr>
        <w:spacing w:after="240" w:line="480" w:lineRule="auto"/>
        <w:jc w:val="both"/>
        <w:rPr>
          <w:lang w:val="en-US"/>
        </w:rPr>
      </w:pPr>
      <w:r>
        <w:rPr>
          <w:lang w:val="en-US"/>
        </w:rPr>
        <w:t>The original contributions presented in the study are included in the article further inquiries can be directed to the corresponding authors.</w:t>
      </w:r>
    </w:p>
    <w:p w14:paraId="3A2727C6" w14:textId="77777777" w:rsidR="00347734" w:rsidRDefault="001F3B15">
      <w:pPr>
        <w:spacing w:after="240" w:line="480" w:lineRule="auto"/>
        <w:jc w:val="both"/>
        <w:rPr>
          <w:b/>
          <w:bCs/>
          <w:lang w:val="en-US"/>
        </w:rPr>
      </w:pPr>
      <w:r>
        <w:rPr>
          <w:b/>
          <w:bCs/>
          <w:lang w:val="en-US"/>
        </w:rPr>
        <w:t>Conflicts of Interest</w:t>
      </w:r>
    </w:p>
    <w:p w14:paraId="0B2DB9D7" w14:textId="77777777" w:rsidR="00347734" w:rsidRDefault="001F3B15">
      <w:pPr>
        <w:spacing w:after="240" w:line="480" w:lineRule="auto"/>
        <w:jc w:val="both"/>
        <w:rPr>
          <w:lang w:val="en-US"/>
        </w:rPr>
      </w:pPr>
      <w:r>
        <w:rPr>
          <w:lang w:val="en-US"/>
        </w:rPr>
        <w:t>The authors declare no conflicts of interest.</w:t>
      </w:r>
    </w:p>
    <w:p w14:paraId="743F1796" w14:textId="77777777" w:rsidR="00347734" w:rsidRDefault="001F3B15">
      <w:pPr>
        <w:jc w:val="both"/>
        <w:rPr>
          <w:b/>
          <w:bCs/>
          <w:lang w:val="en-US"/>
        </w:rPr>
      </w:pPr>
      <w:r>
        <w:rPr>
          <w:b/>
          <w:bCs/>
          <w:lang w:val="en-US"/>
        </w:rPr>
        <w:t>6. References</w:t>
      </w:r>
    </w:p>
    <w:p w14:paraId="3378D552" w14:textId="77777777" w:rsidR="00347734" w:rsidRDefault="00347734">
      <w:pPr>
        <w:jc w:val="both"/>
        <w:rPr>
          <w:b/>
          <w:bCs/>
          <w:lang w:val="en-US"/>
        </w:rPr>
      </w:pPr>
    </w:p>
    <w:p w14:paraId="3D9C8022" w14:textId="77777777" w:rsidR="00347734" w:rsidRDefault="001F3B15">
      <w:pPr>
        <w:jc w:val="both"/>
        <w:rPr>
          <w:lang w:val="en-US"/>
        </w:rPr>
      </w:pPr>
      <w:r>
        <w:rPr>
          <w:lang w:val="en-US"/>
        </w:rPr>
        <w:t xml:space="preserve">1. Huang, X., Yao, X., </w:t>
      </w:r>
      <w:r>
        <w:rPr>
          <w:lang w:val="en-US"/>
        </w:rPr>
        <w:t>Hou, Y. </w:t>
      </w:r>
      <w:r>
        <w:rPr>
          <w:i/>
          <w:iCs/>
          <w:lang w:val="en-US"/>
        </w:rPr>
        <w:t>et al.</w:t>
      </w:r>
      <w:r>
        <w:rPr>
          <w:lang w:val="en-US"/>
        </w:rPr>
        <w:t> Global trends of antimicrobial resistance and virulence of </w:t>
      </w:r>
      <w:r>
        <w:rPr>
          <w:i/>
          <w:iCs/>
          <w:lang w:val="en-US"/>
        </w:rPr>
        <w:t>Klebsiella pneumoniae</w:t>
      </w:r>
      <w:r>
        <w:rPr>
          <w:lang w:val="en-US"/>
        </w:rPr>
        <w:t> from different host sources. </w:t>
      </w:r>
      <w:r>
        <w:rPr>
          <w:i/>
          <w:iCs/>
          <w:lang w:val="en-US"/>
        </w:rPr>
        <w:t>Commun Med</w:t>
      </w:r>
      <w:r>
        <w:rPr>
          <w:lang w:val="en-US"/>
        </w:rPr>
        <w:t> </w:t>
      </w:r>
      <w:r>
        <w:rPr>
          <w:b/>
          <w:bCs/>
          <w:lang w:val="en-US"/>
        </w:rPr>
        <w:t>5</w:t>
      </w:r>
      <w:r>
        <w:rPr>
          <w:lang w:val="en-US"/>
        </w:rPr>
        <w:t>, 383 (2025). https://doi.org/10.1038/s43856-025-01112-1</w:t>
      </w:r>
    </w:p>
    <w:p w14:paraId="37EC6DEC" w14:textId="77777777" w:rsidR="00347734" w:rsidRDefault="00347734">
      <w:pPr>
        <w:jc w:val="both"/>
        <w:rPr>
          <w:lang w:val="en-US"/>
        </w:rPr>
      </w:pPr>
    </w:p>
    <w:p w14:paraId="0441BAD9" w14:textId="77777777" w:rsidR="00347734" w:rsidRDefault="001F3B15">
      <w:pPr>
        <w:jc w:val="both"/>
        <w:rPr>
          <w:lang w:val="en-US"/>
        </w:rPr>
      </w:pPr>
      <w:r>
        <w:rPr>
          <w:lang w:val="en-US"/>
        </w:rPr>
        <w:t xml:space="preserve">2. </w:t>
      </w:r>
      <w:proofErr w:type="spellStart"/>
      <w:r>
        <w:rPr>
          <w:lang w:val="en-US"/>
        </w:rPr>
        <w:t>Zdarska</w:t>
      </w:r>
      <w:proofErr w:type="spellEnd"/>
      <w:r>
        <w:rPr>
          <w:lang w:val="en-US"/>
        </w:rPr>
        <w:t xml:space="preserve">, V., Arcari, G., Kolar, M., &amp; </w:t>
      </w:r>
      <w:proofErr w:type="spellStart"/>
      <w:r>
        <w:rPr>
          <w:lang w:val="en-US"/>
        </w:rPr>
        <w:t>Mlynarcik</w:t>
      </w:r>
      <w:proofErr w:type="spellEnd"/>
      <w:r>
        <w:rPr>
          <w:lang w:val="en-US"/>
        </w:rPr>
        <w:t>, P. (2026)</w:t>
      </w:r>
      <w:r>
        <w:rPr>
          <w:lang w:val="en-US"/>
        </w:rPr>
        <w:t xml:space="preserve">. Antibiotic Resistance in Klebsiella pneumoniae and Related </w:t>
      </w:r>
      <w:proofErr w:type="spellStart"/>
      <w:r>
        <w:rPr>
          <w:lang w:val="en-US"/>
        </w:rPr>
        <w:t>Enterobacterales</w:t>
      </w:r>
      <w:proofErr w:type="spellEnd"/>
      <w:r>
        <w:rPr>
          <w:lang w:val="en-US"/>
        </w:rPr>
        <w:t>: Molecular Mechanisms, Mobile Elements, and Therapeutic Challenges. Antibiotics, 15(1), 37. https://doi.org/10.3390/antibiotics15010037</w:t>
      </w:r>
    </w:p>
    <w:p w14:paraId="68A9CE94" w14:textId="77777777" w:rsidR="00347734" w:rsidRDefault="00347734">
      <w:pPr>
        <w:jc w:val="both"/>
        <w:rPr>
          <w:lang w:val="en-US"/>
        </w:rPr>
      </w:pPr>
    </w:p>
    <w:p w14:paraId="5566E300" w14:textId="77777777" w:rsidR="00347734" w:rsidRDefault="001F3B15">
      <w:pPr>
        <w:jc w:val="both"/>
        <w:rPr>
          <w:lang w:val="en-US"/>
        </w:rPr>
      </w:pPr>
      <w:r>
        <w:rPr>
          <w:lang w:val="en-US"/>
        </w:rPr>
        <w:t xml:space="preserve">3. Bassetti M, </w:t>
      </w:r>
      <w:proofErr w:type="spellStart"/>
      <w:r>
        <w:rPr>
          <w:lang w:val="en-US"/>
        </w:rPr>
        <w:t>Giacobbe</w:t>
      </w:r>
      <w:proofErr w:type="spellEnd"/>
      <w:r>
        <w:rPr>
          <w:lang w:val="en-US"/>
        </w:rPr>
        <w:t xml:space="preserve"> DR, </w:t>
      </w:r>
      <w:proofErr w:type="spellStart"/>
      <w:r>
        <w:rPr>
          <w:lang w:val="en-US"/>
        </w:rPr>
        <w:t>Giamarellou</w:t>
      </w:r>
      <w:proofErr w:type="spellEnd"/>
      <w:r>
        <w:rPr>
          <w:lang w:val="en-US"/>
        </w:rPr>
        <w:t xml:space="preserve"> H</w:t>
      </w:r>
      <w:r>
        <w:rPr>
          <w:lang w:val="en-US"/>
        </w:rPr>
        <w:t xml:space="preserve">, </w:t>
      </w:r>
      <w:proofErr w:type="spellStart"/>
      <w:r>
        <w:rPr>
          <w:lang w:val="en-US"/>
        </w:rPr>
        <w:t>Viscoli</w:t>
      </w:r>
      <w:proofErr w:type="spellEnd"/>
      <w:r>
        <w:rPr>
          <w:lang w:val="en-US"/>
        </w:rPr>
        <w:t xml:space="preserve"> C, </w:t>
      </w:r>
      <w:proofErr w:type="spellStart"/>
      <w:r>
        <w:rPr>
          <w:lang w:val="en-US"/>
        </w:rPr>
        <w:t>Daikos</w:t>
      </w:r>
      <w:proofErr w:type="spellEnd"/>
      <w:r>
        <w:rPr>
          <w:lang w:val="en-US"/>
        </w:rPr>
        <w:t xml:space="preserve"> GL, </w:t>
      </w:r>
      <w:proofErr w:type="spellStart"/>
      <w:r>
        <w:rPr>
          <w:lang w:val="en-US"/>
        </w:rPr>
        <w:t>Dimopoulos</w:t>
      </w:r>
      <w:proofErr w:type="spellEnd"/>
      <w:r>
        <w:rPr>
          <w:lang w:val="en-US"/>
        </w:rPr>
        <w:t xml:space="preserve"> G, De Rosa FG, </w:t>
      </w:r>
      <w:proofErr w:type="spellStart"/>
      <w:r>
        <w:rPr>
          <w:lang w:val="en-US"/>
        </w:rPr>
        <w:t>Giamarellos-Bourboulis</w:t>
      </w:r>
      <w:proofErr w:type="spellEnd"/>
      <w:r>
        <w:rPr>
          <w:lang w:val="en-US"/>
        </w:rPr>
        <w:t xml:space="preserve"> EJ, </w:t>
      </w:r>
      <w:proofErr w:type="spellStart"/>
      <w:r>
        <w:rPr>
          <w:lang w:val="en-US"/>
        </w:rPr>
        <w:t>Rossolini</w:t>
      </w:r>
      <w:proofErr w:type="spellEnd"/>
      <w:r>
        <w:rPr>
          <w:lang w:val="en-US"/>
        </w:rPr>
        <w:t xml:space="preserve"> GM, Righi E, Karaiskos I, Tumbarello M, Nicolau DP, </w:t>
      </w:r>
      <w:proofErr w:type="spellStart"/>
      <w:r>
        <w:rPr>
          <w:lang w:val="en-US"/>
        </w:rPr>
        <w:t>Viale</w:t>
      </w:r>
      <w:proofErr w:type="spellEnd"/>
      <w:r>
        <w:rPr>
          <w:lang w:val="en-US"/>
        </w:rPr>
        <w:t xml:space="preserve"> PL, </w:t>
      </w:r>
      <w:proofErr w:type="spellStart"/>
      <w:r>
        <w:rPr>
          <w:lang w:val="en-US"/>
        </w:rPr>
        <w:t>Poulakou</w:t>
      </w:r>
      <w:proofErr w:type="spellEnd"/>
      <w:r>
        <w:rPr>
          <w:lang w:val="en-US"/>
        </w:rPr>
        <w:t xml:space="preserve"> G; Critically Ill Patients Study Group of the European Society of Clinical Microbiology and Infect</w:t>
      </w:r>
      <w:r>
        <w:rPr>
          <w:lang w:val="en-US"/>
        </w:rPr>
        <w:t xml:space="preserve">ious Disease (ESCMID); Hellenic Society of Chemotherapy (HSC) and </w:t>
      </w:r>
      <w:proofErr w:type="spellStart"/>
      <w:r>
        <w:rPr>
          <w:lang w:val="en-US"/>
        </w:rPr>
        <w:t>Società</w:t>
      </w:r>
      <w:proofErr w:type="spellEnd"/>
      <w:r>
        <w:rPr>
          <w:lang w:val="en-US"/>
        </w:rPr>
        <w:t xml:space="preserve"> </w:t>
      </w:r>
      <w:proofErr w:type="spellStart"/>
      <w:r>
        <w:rPr>
          <w:lang w:val="en-US"/>
        </w:rPr>
        <w:t>Italiana</w:t>
      </w:r>
      <w:proofErr w:type="spellEnd"/>
      <w:r>
        <w:rPr>
          <w:lang w:val="en-US"/>
        </w:rPr>
        <w:t xml:space="preserve"> di </w:t>
      </w:r>
      <w:proofErr w:type="spellStart"/>
      <w:r>
        <w:rPr>
          <w:lang w:val="en-US"/>
        </w:rPr>
        <w:t>Terapia</w:t>
      </w:r>
      <w:proofErr w:type="spellEnd"/>
      <w:r>
        <w:rPr>
          <w:lang w:val="en-US"/>
        </w:rPr>
        <w:t xml:space="preserve"> </w:t>
      </w:r>
      <w:proofErr w:type="spellStart"/>
      <w:r>
        <w:rPr>
          <w:lang w:val="en-US"/>
        </w:rPr>
        <w:t>Antinfettiva</w:t>
      </w:r>
      <w:proofErr w:type="spellEnd"/>
      <w:r>
        <w:rPr>
          <w:lang w:val="en-US"/>
        </w:rPr>
        <w:t xml:space="preserve"> (SITA). Management of KPC-producing Klebsiella pneumoniae infections. Clin Microbiol </w:t>
      </w:r>
      <w:r>
        <w:rPr>
          <w:lang w:val="en-US"/>
        </w:rPr>
        <w:lastRenderedPageBreak/>
        <w:t xml:space="preserve">Infect. 2018 Feb;24(2):133-144. </w:t>
      </w:r>
      <w:proofErr w:type="spellStart"/>
      <w:r>
        <w:rPr>
          <w:lang w:val="en-US"/>
        </w:rPr>
        <w:t>doi</w:t>
      </w:r>
      <w:proofErr w:type="spellEnd"/>
      <w:r>
        <w:rPr>
          <w:lang w:val="en-US"/>
        </w:rPr>
        <w:t xml:space="preserve">: 10.1016/j.cmi.2017.08.030. </w:t>
      </w:r>
      <w:proofErr w:type="spellStart"/>
      <w:r>
        <w:rPr>
          <w:lang w:val="en-US"/>
        </w:rPr>
        <w:t>Epub</w:t>
      </w:r>
      <w:proofErr w:type="spellEnd"/>
      <w:r>
        <w:rPr>
          <w:lang w:val="en-US"/>
        </w:rPr>
        <w:t xml:space="preserve"> 2017 Sep 9. PMID: 28893689.</w:t>
      </w:r>
    </w:p>
    <w:p w14:paraId="671F4BAB" w14:textId="77777777" w:rsidR="00347734" w:rsidRDefault="00347734">
      <w:pPr>
        <w:jc w:val="both"/>
        <w:rPr>
          <w:lang w:val="en-US"/>
        </w:rPr>
      </w:pPr>
    </w:p>
    <w:p w14:paraId="36A6C2B4" w14:textId="77777777" w:rsidR="00347734" w:rsidRDefault="001F3B15">
      <w:pPr>
        <w:jc w:val="both"/>
        <w:rPr>
          <w:lang w:val="en-US"/>
        </w:rPr>
      </w:pPr>
      <w:r>
        <w:rPr>
          <w:lang w:val="en-US"/>
        </w:rPr>
        <w:t xml:space="preserve">4. Yigit, H., Queenan, A. M., Anderson, G. J., Domenech-Sanchez, A., Biddle, J. W., Steward, C. D., ... &amp; </w:t>
      </w:r>
      <w:proofErr w:type="spellStart"/>
      <w:r>
        <w:rPr>
          <w:lang w:val="en-US"/>
        </w:rPr>
        <w:t>Tenover</w:t>
      </w:r>
      <w:proofErr w:type="spellEnd"/>
      <w:r>
        <w:rPr>
          <w:lang w:val="en-US"/>
        </w:rPr>
        <w:t>, F. C. (2001). Novel carbapenem-hydrolyzing β-lactamase, KPC-1, from a carbapenem-resistant strain of Klebsi</w:t>
      </w:r>
      <w:r>
        <w:rPr>
          <w:lang w:val="en-US"/>
        </w:rPr>
        <w:t>ella pneumoniae. </w:t>
      </w:r>
      <w:r>
        <w:rPr>
          <w:i/>
          <w:iCs/>
          <w:lang w:val="en-US"/>
        </w:rPr>
        <w:t>Antimicrobial agents and chemotherapy</w:t>
      </w:r>
      <w:r>
        <w:rPr>
          <w:lang w:val="en-US"/>
        </w:rPr>
        <w:t>, </w:t>
      </w:r>
      <w:r>
        <w:rPr>
          <w:i/>
          <w:iCs/>
          <w:lang w:val="en-US"/>
        </w:rPr>
        <w:t>45</w:t>
      </w:r>
      <w:r>
        <w:rPr>
          <w:lang w:val="en-US"/>
        </w:rPr>
        <w:t>(4), 1151-1161</w:t>
      </w:r>
    </w:p>
    <w:p w14:paraId="3688363A" w14:textId="77777777" w:rsidR="00347734" w:rsidRDefault="00347734">
      <w:pPr>
        <w:jc w:val="both"/>
        <w:rPr>
          <w:lang w:val="en-US"/>
        </w:rPr>
      </w:pPr>
    </w:p>
    <w:p w14:paraId="229529D0" w14:textId="77777777" w:rsidR="00347734" w:rsidRDefault="001F3B15">
      <w:pPr>
        <w:jc w:val="both"/>
        <w:rPr>
          <w:lang w:val="en-US"/>
        </w:rPr>
      </w:pPr>
      <w:r>
        <w:rPr>
          <w:lang w:val="en-US"/>
        </w:rPr>
        <w:t xml:space="preserve">5. Monteiro J, Santos AF, </w:t>
      </w:r>
      <w:proofErr w:type="spellStart"/>
      <w:r>
        <w:rPr>
          <w:lang w:val="en-US"/>
        </w:rPr>
        <w:t>Asensi</w:t>
      </w:r>
      <w:proofErr w:type="spellEnd"/>
      <w:r>
        <w:rPr>
          <w:lang w:val="en-US"/>
        </w:rPr>
        <w:t xml:space="preserve"> MD, </w:t>
      </w:r>
      <w:proofErr w:type="spellStart"/>
      <w:r>
        <w:rPr>
          <w:lang w:val="en-US"/>
        </w:rPr>
        <w:t>Peirano</w:t>
      </w:r>
      <w:proofErr w:type="spellEnd"/>
      <w:r>
        <w:rPr>
          <w:lang w:val="en-US"/>
        </w:rPr>
        <w:t xml:space="preserve"> G, Gales AC. First report of KPC-2-producing Klebsiella pneumoniae strains in Brazil. </w:t>
      </w:r>
      <w:proofErr w:type="spellStart"/>
      <w:r>
        <w:rPr>
          <w:lang w:val="en-US"/>
        </w:rPr>
        <w:t>Antimicrob</w:t>
      </w:r>
      <w:proofErr w:type="spellEnd"/>
      <w:r>
        <w:rPr>
          <w:lang w:val="en-US"/>
        </w:rPr>
        <w:t xml:space="preserve"> Agents Chemother. 2009 Jan;53(1):333-4. </w:t>
      </w:r>
      <w:proofErr w:type="spellStart"/>
      <w:r>
        <w:rPr>
          <w:lang w:val="en-US"/>
        </w:rPr>
        <w:t>doi</w:t>
      </w:r>
      <w:proofErr w:type="spellEnd"/>
      <w:r>
        <w:rPr>
          <w:lang w:val="en-US"/>
        </w:rPr>
        <w:t xml:space="preserve">: 10.1128/AAC.00736-08. </w:t>
      </w:r>
      <w:proofErr w:type="spellStart"/>
      <w:r>
        <w:rPr>
          <w:lang w:val="en-US"/>
        </w:rPr>
        <w:t>Epub</w:t>
      </w:r>
      <w:proofErr w:type="spellEnd"/>
      <w:r>
        <w:rPr>
          <w:lang w:val="en-US"/>
        </w:rPr>
        <w:t xml:space="preserve"> 2008 Nov 17. PMID: 19015350; PMCID: PMC2612176.</w:t>
      </w:r>
    </w:p>
    <w:p w14:paraId="4F71C2C4" w14:textId="77777777" w:rsidR="00347734" w:rsidRDefault="00347734">
      <w:pPr>
        <w:jc w:val="both"/>
        <w:rPr>
          <w:lang w:val="en-US"/>
        </w:rPr>
      </w:pPr>
    </w:p>
    <w:p w14:paraId="5A49A780" w14:textId="77777777" w:rsidR="00347734" w:rsidRDefault="001F3B15">
      <w:pPr>
        <w:jc w:val="both"/>
        <w:rPr>
          <w:lang w:val="en-US"/>
        </w:rPr>
      </w:pPr>
      <w:r>
        <w:rPr>
          <w:lang w:val="en-US"/>
        </w:rPr>
        <w:t>6.</w:t>
      </w:r>
      <w:r>
        <w:rPr>
          <w:rFonts w:ascii="Arial" w:hAnsi="Arial" w:cs="Arial"/>
          <w:color w:val="222222"/>
          <w:sz w:val="20"/>
          <w:szCs w:val="20"/>
          <w:shd w:val="clear" w:color="auto" w:fill="FFFFFF"/>
          <w:lang w:val="en-US"/>
        </w:rPr>
        <w:t xml:space="preserve"> </w:t>
      </w:r>
      <w:proofErr w:type="spellStart"/>
      <w:r>
        <w:rPr>
          <w:lang w:val="en-US"/>
        </w:rPr>
        <w:t>Pillonetto</w:t>
      </w:r>
      <w:proofErr w:type="spellEnd"/>
      <w:r>
        <w:rPr>
          <w:lang w:val="en-US"/>
        </w:rPr>
        <w:t xml:space="preserve">, M., Wink, P. L., Melano, R. G., Jiménez-Pearson, M. A., Touchet, N. L. M., Rojas, S. Y. S., ... &amp; Helen, C. (2025). </w:t>
      </w:r>
      <w:proofErr w:type="spellStart"/>
      <w:r>
        <w:rPr>
          <w:lang w:val="en-US"/>
        </w:rPr>
        <w:t>Carbapenemases</w:t>
      </w:r>
      <w:proofErr w:type="spellEnd"/>
      <w:r>
        <w:rPr>
          <w:lang w:val="en-US"/>
        </w:rPr>
        <w:t xml:space="preserve"> producing gram-negative bacte</w:t>
      </w:r>
      <w:r>
        <w:rPr>
          <w:lang w:val="en-US"/>
        </w:rPr>
        <w:t xml:space="preserve">ria surveillance in Latin America and the </w:t>
      </w:r>
      <w:proofErr w:type="spellStart"/>
      <w:r>
        <w:rPr>
          <w:lang w:val="en-US"/>
        </w:rPr>
        <w:t>caribbean</w:t>
      </w:r>
      <w:proofErr w:type="spellEnd"/>
      <w:r>
        <w:rPr>
          <w:lang w:val="en-US"/>
        </w:rPr>
        <w:t>: a retrospective observational study from 2015 to 2020. </w:t>
      </w:r>
      <w:r>
        <w:rPr>
          <w:i/>
          <w:iCs/>
          <w:lang w:val="en-US"/>
        </w:rPr>
        <w:t>The Lancet Regional Health–Americas</w:t>
      </w:r>
      <w:r>
        <w:rPr>
          <w:lang w:val="en-US"/>
        </w:rPr>
        <w:t>, </w:t>
      </w:r>
      <w:r>
        <w:rPr>
          <w:i/>
          <w:iCs/>
          <w:lang w:val="en-US"/>
        </w:rPr>
        <w:t>49</w:t>
      </w:r>
      <w:r>
        <w:rPr>
          <w:lang w:val="en-US"/>
        </w:rPr>
        <w:t>.</w:t>
      </w:r>
    </w:p>
    <w:p w14:paraId="56ABD295" w14:textId="77777777" w:rsidR="00347734" w:rsidRDefault="00347734">
      <w:pPr>
        <w:jc w:val="both"/>
        <w:rPr>
          <w:lang w:val="en-US"/>
        </w:rPr>
      </w:pPr>
    </w:p>
    <w:p w14:paraId="18BA8C5A" w14:textId="77777777" w:rsidR="00347734" w:rsidRDefault="001F3B15">
      <w:pPr>
        <w:jc w:val="both"/>
        <w:rPr>
          <w:lang w:val="en-US"/>
        </w:rPr>
      </w:pPr>
      <w:r>
        <w:rPr>
          <w:lang w:val="en-US"/>
        </w:rPr>
        <w:t xml:space="preserve">7. Kiffer, C. R., Rezende, T. F., Costa-Nobre, D. T., </w:t>
      </w:r>
      <w:proofErr w:type="spellStart"/>
      <w:r>
        <w:rPr>
          <w:lang w:val="en-US"/>
        </w:rPr>
        <w:t>Marinonio</w:t>
      </w:r>
      <w:proofErr w:type="spellEnd"/>
      <w:r>
        <w:rPr>
          <w:lang w:val="en-US"/>
        </w:rPr>
        <w:t xml:space="preserve">, A. S. S., </w:t>
      </w:r>
      <w:proofErr w:type="spellStart"/>
      <w:r>
        <w:rPr>
          <w:lang w:val="en-US"/>
        </w:rPr>
        <w:t>Shiguenaga</w:t>
      </w:r>
      <w:proofErr w:type="spellEnd"/>
      <w:r>
        <w:rPr>
          <w:lang w:val="en-US"/>
        </w:rPr>
        <w:t>, L. H., Kulek, D. N.</w:t>
      </w:r>
      <w:r>
        <w:rPr>
          <w:lang w:val="en-US"/>
        </w:rPr>
        <w:t xml:space="preserve"> O., ... &amp; </w:t>
      </w:r>
      <w:proofErr w:type="spellStart"/>
      <w:r>
        <w:rPr>
          <w:lang w:val="en-US"/>
        </w:rPr>
        <w:t>Pillonetto</w:t>
      </w:r>
      <w:proofErr w:type="spellEnd"/>
      <w:r>
        <w:rPr>
          <w:lang w:val="en-US"/>
        </w:rPr>
        <w:t xml:space="preserve">, M. (2023). A 7-year Brazilian national perspective on plasmid-mediated carbapenem resistance in </w:t>
      </w:r>
      <w:proofErr w:type="spellStart"/>
      <w:r>
        <w:rPr>
          <w:lang w:val="en-US"/>
        </w:rPr>
        <w:t>Enterobacterales</w:t>
      </w:r>
      <w:proofErr w:type="spellEnd"/>
      <w:r>
        <w:rPr>
          <w:lang w:val="en-US"/>
        </w:rPr>
        <w:t xml:space="preserve">, Pseudomonas aeruginosa, and Acinetobacter baumannii complex and the impact of the coronavirus disease 2019 pandemic on </w:t>
      </w:r>
      <w:r>
        <w:rPr>
          <w:lang w:val="en-US"/>
        </w:rPr>
        <w:t>their occurrence. </w:t>
      </w:r>
      <w:r>
        <w:rPr>
          <w:i/>
          <w:iCs/>
          <w:lang w:val="en-US"/>
        </w:rPr>
        <w:t>Clinical Infectious Diseases</w:t>
      </w:r>
      <w:r>
        <w:rPr>
          <w:lang w:val="en-US"/>
        </w:rPr>
        <w:t>, </w:t>
      </w:r>
      <w:r>
        <w:rPr>
          <w:i/>
          <w:iCs/>
          <w:lang w:val="en-US"/>
        </w:rPr>
        <w:t>77</w:t>
      </w:r>
      <w:r>
        <w:rPr>
          <w:lang w:val="en-US"/>
        </w:rPr>
        <w:t>(Supplement_1), S29-S37.</w:t>
      </w:r>
    </w:p>
    <w:p w14:paraId="47A71397" w14:textId="77777777" w:rsidR="00347734" w:rsidRDefault="00347734">
      <w:pPr>
        <w:jc w:val="both"/>
        <w:rPr>
          <w:lang w:val="en-US"/>
        </w:rPr>
      </w:pPr>
    </w:p>
    <w:p w14:paraId="6FA758DA" w14:textId="77777777" w:rsidR="00347734" w:rsidRDefault="001F3B15">
      <w:pPr>
        <w:jc w:val="both"/>
        <w:rPr>
          <w:lang w:val="en-US"/>
        </w:rPr>
      </w:pPr>
      <w:r>
        <w:rPr>
          <w:lang w:val="en-US"/>
        </w:rPr>
        <w:t xml:space="preserve">8. Page, M.J.; McKenzie, J.E.; </w:t>
      </w:r>
      <w:proofErr w:type="spellStart"/>
      <w:r>
        <w:rPr>
          <w:lang w:val="en-US"/>
        </w:rPr>
        <w:t>Bossuyt</w:t>
      </w:r>
      <w:proofErr w:type="spellEnd"/>
      <w:r>
        <w:rPr>
          <w:lang w:val="en-US"/>
        </w:rPr>
        <w:t xml:space="preserve">, P.M.; </w:t>
      </w:r>
      <w:proofErr w:type="spellStart"/>
      <w:r>
        <w:rPr>
          <w:lang w:val="en-US"/>
        </w:rPr>
        <w:t>Boutron</w:t>
      </w:r>
      <w:proofErr w:type="spellEnd"/>
      <w:r>
        <w:rPr>
          <w:lang w:val="en-US"/>
        </w:rPr>
        <w:t xml:space="preserve">, I.; Hoffmann, T.C.; Mulrow, C.D.; </w:t>
      </w:r>
      <w:proofErr w:type="spellStart"/>
      <w:r>
        <w:rPr>
          <w:lang w:val="en-US"/>
        </w:rPr>
        <w:t>Shamseer</w:t>
      </w:r>
      <w:proofErr w:type="spellEnd"/>
      <w:r>
        <w:rPr>
          <w:lang w:val="en-US"/>
        </w:rPr>
        <w:t>, L.; Tetzlaff, J.M.; Akl, E.A.; Brennan, S.E.; et al. The PRISMA 2020 statement: A</w:t>
      </w:r>
      <w:r>
        <w:rPr>
          <w:lang w:val="en-US"/>
        </w:rPr>
        <w:t>n updated guideline for reporting systematic reviews. </w:t>
      </w:r>
      <w:r>
        <w:rPr>
          <w:i/>
          <w:iCs/>
          <w:lang w:val="en-US"/>
        </w:rPr>
        <w:t>BMJ</w:t>
      </w:r>
      <w:r>
        <w:rPr>
          <w:lang w:val="en-US"/>
        </w:rPr>
        <w:t> </w:t>
      </w:r>
      <w:r>
        <w:rPr>
          <w:b/>
          <w:bCs/>
          <w:lang w:val="en-US"/>
        </w:rPr>
        <w:t>2021</w:t>
      </w:r>
      <w:r>
        <w:rPr>
          <w:lang w:val="en-US"/>
        </w:rPr>
        <w:t>, </w:t>
      </w:r>
      <w:r>
        <w:rPr>
          <w:i/>
          <w:iCs/>
          <w:lang w:val="en-US"/>
        </w:rPr>
        <w:t>372</w:t>
      </w:r>
      <w:r>
        <w:rPr>
          <w:lang w:val="en-US"/>
        </w:rPr>
        <w:t>, 71.</w:t>
      </w:r>
    </w:p>
    <w:p w14:paraId="02088A9A" w14:textId="77777777" w:rsidR="00347734" w:rsidRDefault="00347734">
      <w:pPr>
        <w:jc w:val="both"/>
        <w:rPr>
          <w:lang w:val="en-US"/>
        </w:rPr>
      </w:pPr>
    </w:p>
    <w:p w14:paraId="1CB9DC89" w14:textId="77777777" w:rsidR="00347734" w:rsidRDefault="001F3B15">
      <w:pPr>
        <w:jc w:val="both"/>
        <w:rPr>
          <w:lang w:val="en-US"/>
        </w:rPr>
      </w:pPr>
      <w:r>
        <w:rPr>
          <w:lang w:val="en-US"/>
        </w:rPr>
        <w:t xml:space="preserve">9. </w:t>
      </w:r>
      <w:r>
        <w:t>Carolynne Silva dos Santos, Yan Corrêa Rodrigues, Marcos Jessé Abrahão Silva. Nationwide Burden of blaKPC Gene in Brazilian Clinical Klebsiella pneumoniae Isolates: A Systematic R</w:t>
      </w:r>
      <w:r>
        <w:t>eview and Meta-Analysis. PROSPERO 2025 CRD420251117220. Available from </w:t>
      </w:r>
      <w:r>
        <w:fldChar w:fldCharType="begin"/>
      </w:r>
      <w:r>
        <w:instrText>HYPERLINK "https://www.crd.york.ac.uk/PROSPERO/view/CRD420251117220" \h</w:instrText>
      </w:r>
      <w:r>
        <w:fldChar w:fldCharType="separate"/>
      </w:r>
      <w:r>
        <w:rPr>
          <w:rStyle w:val="Hyperlink"/>
        </w:rPr>
        <w:t>https://www.crd.york.ac.uk/PROSPERO/view/CRD420251117220</w:t>
      </w:r>
      <w:r>
        <w:fldChar w:fldCharType="end"/>
      </w:r>
      <w:r>
        <w:t>.</w:t>
      </w:r>
    </w:p>
    <w:p w14:paraId="214E3C28" w14:textId="77777777" w:rsidR="00347734" w:rsidRDefault="00347734">
      <w:pPr>
        <w:jc w:val="both"/>
        <w:rPr>
          <w:lang w:val="en-US"/>
        </w:rPr>
      </w:pPr>
    </w:p>
    <w:p w14:paraId="5166807B" w14:textId="77777777" w:rsidR="00347734" w:rsidRDefault="001F3B15">
      <w:pPr>
        <w:tabs>
          <w:tab w:val="left" w:pos="720"/>
        </w:tabs>
        <w:jc w:val="both"/>
        <w:rPr>
          <w:lang w:val="en-US"/>
        </w:rPr>
      </w:pPr>
      <w:r>
        <w:rPr>
          <w:lang w:val="en-US"/>
        </w:rPr>
        <w:t xml:space="preserve">10. </w:t>
      </w:r>
      <w:proofErr w:type="spellStart"/>
      <w:r>
        <w:rPr>
          <w:lang w:val="en-US"/>
        </w:rPr>
        <w:t>Vireque</w:t>
      </w:r>
      <w:proofErr w:type="spellEnd"/>
      <w:r>
        <w:rPr>
          <w:lang w:val="en-US"/>
        </w:rPr>
        <w:t xml:space="preserve">, A.; </w:t>
      </w:r>
      <w:proofErr w:type="spellStart"/>
      <w:r>
        <w:rPr>
          <w:lang w:val="en-US"/>
        </w:rPr>
        <w:t>Stolakis</w:t>
      </w:r>
      <w:proofErr w:type="spellEnd"/>
      <w:r>
        <w:rPr>
          <w:lang w:val="en-US"/>
        </w:rPr>
        <w:t xml:space="preserve">, V.; </w:t>
      </w:r>
      <w:proofErr w:type="spellStart"/>
      <w:r>
        <w:rPr>
          <w:lang w:val="en-US"/>
        </w:rPr>
        <w:t>Berteli</w:t>
      </w:r>
      <w:proofErr w:type="spellEnd"/>
      <w:r>
        <w:rPr>
          <w:lang w:val="en-US"/>
        </w:rPr>
        <w:t>, T.; Bertero,</w:t>
      </w:r>
      <w:r>
        <w:rPr>
          <w:lang w:val="en-US"/>
        </w:rPr>
        <w:t xml:space="preserve"> M.; </w:t>
      </w:r>
      <w:proofErr w:type="spellStart"/>
      <w:r>
        <w:rPr>
          <w:lang w:val="en-US"/>
        </w:rPr>
        <w:t>Kofinas</w:t>
      </w:r>
      <w:proofErr w:type="spellEnd"/>
      <w:r>
        <w:rPr>
          <w:lang w:val="en-US"/>
        </w:rPr>
        <w:t>, J. Search strategies for systematic reviews in reproductive medicine: A narrative review and practical guide. </w:t>
      </w:r>
      <w:r>
        <w:rPr>
          <w:i/>
          <w:iCs/>
          <w:lang w:val="en-US"/>
        </w:rPr>
        <w:t xml:space="preserve">J. Assist. </w:t>
      </w:r>
      <w:proofErr w:type="spellStart"/>
      <w:r>
        <w:rPr>
          <w:i/>
          <w:iCs/>
          <w:lang w:val="en-US"/>
        </w:rPr>
        <w:t>Reprod</w:t>
      </w:r>
      <w:proofErr w:type="spellEnd"/>
      <w:r>
        <w:rPr>
          <w:i/>
          <w:iCs/>
          <w:lang w:val="en-US"/>
        </w:rPr>
        <w:t>. Genet.</w:t>
      </w:r>
      <w:r>
        <w:rPr>
          <w:lang w:val="en-US"/>
        </w:rPr>
        <w:t> </w:t>
      </w:r>
      <w:r>
        <w:rPr>
          <w:b/>
          <w:bCs/>
          <w:lang w:val="en-US"/>
        </w:rPr>
        <w:t>2025</w:t>
      </w:r>
      <w:r>
        <w:rPr>
          <w:lang w:val="en-US"/>
        </w:rPr>
        <w:t>, </w:t>
      </w:r>
      <w:r>
        <w:rPr>
          <w:i/>
          <w:iCs/>
          <w:lang w:val="en-US"/>
        </w:rPr>
        <w:t>42</w:t>
      </w:r>
      <w:r>
        <w:rPr>
          <w:lang w:val="en-US"/>
        </w:rPr>
        <w:t>, 2155–2165.</w:t>
      </w:r>
    </w:p>
    <w:p w14:paraId="645BC021" w14:textId="77777777" w:rsidR="00347734" w:rsidRDefault="00347734">
      <w:pPr>
        <w:tabs>
          <w:tab w:val="left" w:pos="720"/>
        </w:tabs>
        <w:jc w:val="both"/>
        <w:rPr>
          <w:lang w:val="en-US"/>
        </w:rPr>
      </w:pPr>
    </w:p>
    <w:p w14:paraId="2EE69CD6" w14:textId="77777777" w:rsidR="00347734" w:rsidRDefault="001F3B15">
      <w:pPr>
        <w:tabs>
          <w:tab w:val="left" w:pos="720"/>
        </w:tabs>
        <w:jc w:val="both"/>
        <w:rPr>
          <w:lang w:val="en-US"/>
        </w:rPr>
      </w:pPr>
      <w:r>
        <w:rPr>
          <w:lang w:val="en-US"/>
        </w:rPr>
        <w:t xml:space="preserve">11.Galvão, T.F.; Pereira, M.G. </w:t>
      </w:r>
      <w:proofErr w:type="spellStart"/>
      <w:r>
        <w:rPr>
          <w:lang w:val="en-US"/>
        </w:rPr>
        <w:t>Revisões</w:t>
      </w:r>
      <w:proofErr w:type="spellEnd"/>
      <w:r>
        <w:rPr>
          <w:lang w:val="en-US"/>
        </w:rPr>
        <w:t xml:space="preserve"> </w:t>
      </w:r>
      <w:proofErr w:type="spellStart"/>
      <w:r>
        <w:rPr>
          <w:lang w:val="en-US"/>
        </w:rPr>
        <w:t>sistemáticas</w:t>
      </w:r>
      <w:proofErr w:type="spellEnd"/>
      <w:r>
        <w:rPr>
          <w:lang w:val="en-US"/>
        </w:rPr>
        <w:t xml:space="preserve"> da </w:t>
      </w:r>
      <w:proofErr w:type="spellStart"/>
      <w:r>
        <w:rPr>
          <w:lang w:val="en-US"/>
        </w:rPr>
        <w:t>literatura</w:t>
      </w:r>
      <w:proofErr w:type="spellEnd"/>
      <w:r>
        <w:rPr>
          <w:lang w:val="en-US"/>
        </w:rPr>
        <w:t xml:space="preserve">: </w:t>
      </w:r>
      <w:proofErr w:type="spellStart"/>
      <w:r>
        <w:rPr>
          <w:lang w:val="en-US"/>
        </w:rPr>
        <w:t>Passos</w:t>
      </w:r>
      <w:proofErr w:type="spellEnd"/>
      <w:r>
        <w:rPr>
          <w:lang w:val="en-US"/>
        </w:rPr>
        <w:t xml:space="preserve"> para </w:t>
      </w:r>
      <w:proofErr w:type="spellStart"/>
      <w:r>
        <w:rPr>
          <w:lang w:val="en-US"/>
        </w:rPr>
        <w:t>sua</w:t>
      </w:r>
      <w:proofErr w:type="spellEnd"/>
      <w:r>
        <w:rPr>
          <w:lang w:val="en-US"/>
        </w:rPr>
        <w:t xml:space="preserve"> </w:t>
      </w:r>
      <w:proofErr w:type="spellStart"/>
      <w:r>
        <w:rPr>
          <w:lang w:val="en-US"/>
        </w:rPr>
        <w:t>elaboração</w:t>
      </w:r>
      <w:proofErr w:type="spellEnd"/>
      <w:r>
        <w:rPr>
          <w:lang w:val="en-US"/>
        </w:rPr>
        <w:t>. </w:t>
      </w:r>
      <w:proofErr w:type="spellStart"/>
      <w:r>
        <w:rPr>
          <w:i/>
          <w:iCs/>
          <w:lang w:val="en-US"/>
        </w:rPr>
        <w:t>Epidemiologia</w:t>
      </w:r>
      <w:proofErr w:type="spellEnd"/>
      <w:r>
        <w:rPr>
          <w:i/>
          <w:iCs/>
          <w:lang w:val="en-US"/>
        </w:rPr>
        <w:t xml:space="preserve"> E Serv. Saude</w:t>
      </w:r>
      <w:r>
        <w:rPr>
          <w:lang w:val="en-US"/>
        </w:rPr>
        <w:t> </w:t>
      </w:r>
      <w:r>
        <w:rPr>
          <w:b/>
          <w:bCs/>
          <w:lang w:val="en-US"/>
        </w:rPr>
        <w:t>2014</w:t>
      </w:r>
      <w:r>
        <w:rPr>
          <w:lang w:val="en-US"/>
        </w:rPr>
        <w:t>, </w:t>
      </w:r>
      <w:r>
        <w:rPr>
          <w:i/>
          <w:iCs/>
          <w:lang w:val="en-US"/>
        </w:rPr>
        <w:t>23</w:t>
      </w:r>
      <w:r>
        <w:rPr>
          <w:lang w:val="en-US"/>
        </w:rPr>
        <w:t xml:space="preserve">, 183–184. </w:t>
      </w:r>
    </w:p>
    <w:p w14:paraId="601B9854" w14:textId="77777777" w:rsidR="00347734" w:rsidRDefault="00347734">
      <w:pPr>
        <w:tabs>
          <w:tab w:val="left" w:pos="720"/>
        </w:tabs>
        <w:jc w:val="both"/>
        <w:rPr>
          <w:lang w:val="en-US"/>
        </w:rPr>
      </w:pPr>
    </w:p>
    <w:p w14:paraId="1DAFBF83" w14:textId="77777777" w:rsidR="00347734" w:rsidRDefault="001F3B15">
      <w:pPr>
        <w:tabs>
          <w:tab w:val="left" w:pos="720"/>
        </w:tabs>
        <w:jc w:val="both"/>
        <w:rPr>
          <w:lang w:val="en-US"/>
        </w:rPr>
      </w:pPr>
      <w:r>
        <w:rPr>
          <w:lang w:val="en-US"/>
        </w:rPr>
        <w:t xml:space="preserve">12. </w:t>
      </w:r>
      <w:proofErr w:type="spellStart"/>
      <w:r>
        <w:rPr>
          <w:lang w:val="en-US"/>
        </w:rPr>
        <w:t>Aromataris</w:t>
      </w:r>
      <w:proofErr w:type="spellEnd"/>
      <w:r>
        <w:rPr>
          <w:lang w:val="en-US"/>
        </w:rPr>
        <w:t>, E.; Munn, Z. </w:t>
      </w:r>
      <w:r>
        <w:rPr>
          <w:i/>
          <w:iCs/>
          <w:lang w:val="en-US"/>
        </w:rPr>
        <w:t>JBI Manual for Evidence Synthesis</w:t>
      </w:r>
      <w:r>
        <w:rPr>
          <w:lang w:val="en-US"/>
        </w:rPr>
        <w:t>; Joanna Briggs Institute: Adelaide, Australia, 2020. [</w:t>
      </w:r>
      <w:hyperlink r:id="rId21" w:tgtFrame="_blank">
        <w:r>
          <w:rPr>
            <w:rStyle w:val="Hyperlink"/>
            <w:lang w:val="en-US"/>
          </w:rPr>
          <w:t>Google Scholar</w:t>
        </w:r>
      </w:hyperlink>
      <w:r>
        <w:rPr>
          <w:lang w:val="en-US"/>
        </w:rPr>
        <w:t>]</w:t>
      </w:r>
    </w:p>
    <w:p w14:paraId="7A52B4C4" w14:textId="77777777" w:rsidR="00347734" w:rsidRDefault="00347734">
      <w:pPr>
        <w:tabs>
          <w:tab w:val="left" w:pos="720"/>
        </w:tabs>
        <w:jc w:val="both"/>
        <w:rPr>
          <w:lang w:val="en-US"/>
        </w:rPr>
      </w:pPr>
    </w:p>
    <w:p w14:paraId="51EDBB8A" w14:textId="77777777" w:rsidR="00347734" w:rsidRDefault="001F3B15">
      <w:pPr>
        <w:tabs>
          <w:tab w:val="left" w:pos="720"/>
        </w:tabs>
        <w:jc w:val="both"/>
        <w:rPr>
          <w:lang w:val="en-US"/>
        </w:rPr>
      </w:pPr>
      <w:r>
        <w:rPr>
          <w:lang w:val="en-US"/>
        </w:rPr>
        <w:t xml:space="preserve">13. Munn, Z.; </w:t>
      </w:r>
      <w:proofErr w:type="spellStart"/>
      <w:r>
        <w:rPr>
          <w:lang w:val="en-US"/>
        </w:rPr>
        <w:t>Aromataris</w:t>
      </w:r>
      <w:proofErr w:type="spellEnd"/>
      <w:r>
        <w:rPr>
          <w:lang w:val="en-US"/>
        </w:rPr>
        <w:t xml:space="preserve">, E.; </w:t>
      </w:r>
      <w:proofErr w:type="spellStart"/>
      <w:r>
        <w:rPr>
          <w:lang w:val="en-US"/>
        </w:rPr>
        <w:t>Tufanaru</w:t>
      </w:r>
      <w:proofErr w:type="spellEnd"/>
      <w:r>
        <w:rPr>
          <w:lang w:val="en-US"/>
        </w:rPr>
        <w:t xml:space="preserve">, C.; Stern, C.; Porritt, K.; Farrow, J.; Lockwood, C.; Stephenson, M.; Moola, S.; </w:t>
      </w:r>
      <w:proofErr w:type="spellStart"/>
      <w:r>
        <w:rPr>
          <w:lang w:val="en-US"/>
        </w:rPr>
        <w:t>Lizarondo</w:t>
      </w:r>
      <w:proofErr w:type="spellEnd"/>
      <w:r>
        <w:rPr>
          <w:lang w:val="en-US"/>
        </w:rPr>
        <w:t>, L.; et al. T</w:t>
      </w:r>
      <w:r>
        <w:rPr>
          <w:lang w:val="en-US"/>
        </w:rPr>
        <w:t>he development of software to support multiple systematic review types: The Joanna Briggs Institute System for the Unified Management, Assessment and Review of Information (JBI SUMARI). </w:t>
      </w:r>
      <w:r>
        <w:rPr>
          <w:i/>
          <w:iCs/>
          <w:lang w:val="en-US"/>
        </w:rPr>
        <w:t xml:space="preserve">Int. J. Evid. Based </w:t>
      </w:r>
      <w:proofErr w:type="spellStart"/>
      <w:r>
        <w:rPr>
          <w:i/>
          <w:iCs/>
          <w:lang w:val="en-US"/>
        </w:rPr>
        <w:t>Healthc</w:t>
      </w:r>
      <w:proofErr w:type="spellEnd"/>
      <w:r>
        <w:rPr>
          <w:i/>
          <w:iCs/>
          <w:lang w:val="en-US"/>
        </w:rPr>
        <w:t>.</w:t>
      </w:r>
      <w:r>
        <w:rPr>
          <w:lang w:val="en-US"/>
        </w:rPr>
        <w:t> </w:t>
      </w:r>
      <w:r>
        <w:rPr>
          <w:b/>
          <w:bCs/>
          <w:lang w:val="en-US"/>
        </w:rPr>
        <w:t>2019</w:t>
      </w:r>
      <w:r>
        <w:rPr>
          <w:lang w:val="en-US"/>
        </w:rPr>
        <w:t>, </w:t>
      </w:r>
      <w:r>
        <w:rPr>
          <w:i/>
          <w:iCs/>
          <w:lang w:val="en-US"/>
        </w:rPr>
        <w:t>17</w:t>
      </w:r>
      <w:r>
        <w:rPr>
          <w:lang w:val="en-US"/>
        </w:rPr>
        <w:t>, 36–43. [</w:t>
      </w:r>
      <w:hyperlink r:id="rId22" w:tgtFrame="_blank">
        <w:r>
          <w:rPr>
            <w:rStyle w:val="Hyperlink"/>
            <w:lang w:val="en-US"/>
          </w:rPr>
          <w:t>Google Scholar</w:t>
        </w:r>
      </w:hyperlink>
      <w:r>
        <w:rPr>
          <w:lang w:val="en-US"/>
        </w:rPr>
        <w:t>] [</w:t>
      </w:r>
      <w:proofErr w:type="spellStart"/>
      <w:r>
        <w:fldChar w:fldCharType="begin"/>
      </w:r>
      <w:r>
        <w:instrText>HYPERLINK "https://doi.org/10.1097/XEB.0000000000000152" \t "_blank" \h</w:instrText>
      </w:r>
      <w:r>
        <w:fldChar w:fldCharType="separate"/>
      </w:r>
      <w:r>
        <w:rPr>
          <w:rStyle w:val="Hyperlink"/>
          <w:lang w:val="en-US"/>
        </w:rPr>
        <w:t>CrossRef</w:t>
      </w:r>
      <w:proofErr w:type="spellEnd"/>
      <w:r>
        <w:fldChar w:fldCharType="end"/>
      </w:r>
      <w:r>
        <w:rPr>
          <w:lang w:val="en-US"/>
        </w:rPr>
        <w:t>]</w:t>
      </w:r>
    </w:p>
    <w:p w14:paraId="28406C2F" w14:textId="77777777" w:rsidR="00347734" w:rsidRDefault="00347734">
      <w:pPr>
        <w:tabs>
          <w:tab w:val="left" w:pos="720"/>
        </w:tabs>
        <w:jc w:val="both"/>
        <w:rPr>
          <w:lang w:val="en-US"/>
        </w:rPr>
      </w:pPr>
    </w:p>
    <w:p w14:paraId="4A8312C0" w14:textId="77777777" w:rsidR="00347734" w:rsidRDefault="001F3B15">
      <w:pPr>
        <w:tabs>
          <w:tab w:val="left" w:pos="720"/>
        </w:tabs>
        <w:jc w:val="both"/>
        <w:rPr>
          <w:lang w:val="en-US"/>
        </w:rPr>
      </w:pPr>
      <w:r>
        <w:rPr>
          <w:lang w:val="en-US"/>
        </w:rPr>
        <w:t xml:space="preserve">14. </w:t>
      </w:r>
      <w:proofErr w:type="spellStart"/>
      <w:r>
        <w:rPr>
          <w:lang w:val="en-US"/>
        </w:rPr>
        <w:t>Viechtbauer</w:t>
      </w:r>
      <w:proofErr w:type="spellEnd"/>
      <w:r>
        <w:rPr>
          <w:lang w:val="en-US"/>
        </w:rPr>
        <w:t xml:space="preserve">, W. Conducting meta-analyses in R with the </w:t>
      </w:r>
      <w:proofErr w:type="spellStart"/>
      <w:r>
        <w:rPr>
          <w:lang w:val="en-US"/>
        </w:rPr>
        <w:t>metafor</w:t>
      </w:r>
      <w:proofErr w:type="spellEnd"/>
      <w:r>
        <w:rPr>
          <w:lang w:val="en-US"/>
        </w:rPr>
        <w:t xml:space="preserve"> package. </w:t>
      </w:r>
      <w:r>
        <w:rPr>
          <w:i/>
          <w:iCs/>
          <w:lang w:val="en-US"/>
        </w:rPr>
        <w:t xml:space="preserve">J. Stat. </w:t>
      </w:r>
      <w:proofErr w:type="spellStart"/>
      <w:r>
        <w:rPr>
          <w:i/>
          <w:iCs/>
          <w:lang w:val="en-US"/>
        </w:rPr>
        <w:t>Softw</w:t>
      </w:r>
      <w:proofErr w:type="spellEnd"/>
      <w:r>
        <w:rPr>
          <w:i/>
          <w:iCs/>
          <w:lang w:val="en-US"/>
        </w:rPr>
        <w:t>.</w:t>
      </w:r>
      <w:r>
        <w:rPr>
          <w:lang w:val="en-US"/>
        </w:rPr>
        <w:t> </w:t>
      </w:r>
      <w:r>
        <w:rPr>
          <w:b/>
          <w:bCs/>
          <w:lang w:val="en-US"/>
        </w:rPr>
        <w:t>2010</w:t>
      </w:r>
      <w:r>
        <w:rPr>
          <w:lang w:val="en-US"/>
        </w:rPr>
        <w:t>, </w:t>
      </w:r>
      <w:r>
        <w:rPr>
          <w:i/>
          <w:iCs/>
          <w:lang w:val="en-US"/>
        </w:rPr>
        <w:t>36</w:t>
      </w:r>
      <w:r>
        <w:rPr>
          <w:lang w:val="en-US"/>
        </w:rPr>
        <w:t xml:space="preserve">, </w:t>
      </w:r>
      <w:r>
        <w:rPr>
          <w:lang w:val="en-US"/>
        </w:rPr>
        <w:t>1–48. [</w:t>
      </w:r>
      <w:hyperlink r:id="rId23" w:tgtFrame="_blank">
        <w:r>
          <w:rPr>
            <w:rStyle w:val="Hyperlink"/>
            <w:lang w:val="en-US"/>
          </w:rPr>
          <w:t>Google Scholar</w:t>
        </w:r>
      </w:hyperlink>
      <w:r>
        <w:rPr>
          <w:lang w:val="en-US"/>
        </w:rPr>
        <w:t>] [</w:t>
      </w:r>
      <w:proofErr w:type="spellStart"/>
      <w:r>
        <w:fldChar w:fldCharType="begin"/>
      </w:r>
      <w:r>
        <w:instrText>HYPERLINK "https://doi.org/10.18637/jss.v036.i03" \t "_blank" \h</w:instrText>
      </w:r>
      <w:r>
        <w:fldChar w:fldCharType="separate"/>
      </w:r>
      <w:r>
        <w:rPr>
          <w:rStyle w:val="Hyperlink"/>
          <w:lang w:val="en-US"/>
        </w:rPr>
        <w:t>CrossRef</w:t>
      </w:r>
      <w:proofErr w:type="spellEnd"/>
      <w:r>
        <w:fldChar w:fldCharType="end"/>
      </w:r>
      <w:r>
        <w:rPr>
          <w:lang w:val="en-US"/>
        </w:rPr>
        <w:t>]</w:t>
      </w:r>
    </w:p>
    <w:p w14:paraId="21733B20" w14:textId="77777777" w:rsidR="00347734" w:rsidRDefault="00347734">
      <w:pPr>
        <w:tabs>
          <w:tab w:val="left" w:pos="720"/>
        </w:tabs>
        <w:jc w:val="both"/>
        <w:rPr>
          <w:lang w:val="en-US"/>
        </w:rPr>
      </w:pPr>
    </w:p>
    <w:p w14:paraId="5CAFF943" w14:textId="77777777" w:rsidR="00347734" w:rsidRDefault="001F3B15">
      <w:pPr>
        <w:tabs>
          <w:tab w:val="left" w:pos="720"/>
        </w:tabs>
        <w:jc w:val="both"/>
        <w:rPr>
          <w:lang w:val="en-US"/>
        </w:rPr>
      </w:pPr>
      <w:r>
        <w:rPr>
          <w:lang w:val="en-US"/>
        </w:rPr>
        <w:t>15. Tang, J.-L.; Liu, J.L. Misleading funnel plot for detection of bias in meta-analysis. </w:t>
      </w:r>
      <w:r>
        <w:rPr>
          <w:i/>
          <w:iCs/>
          <w:lang w:val="en-US"/>
        </w:rPr>
        <w:t>J. Clin. Epidemiol.</w:t>
      </w:r>
      <w:r>
        <w:rPr>
          <w:lang w:val="en-US"/>
        </w:rPr>
        <w:t> </w:t>
      </w:r>
      <w:r>
        <w:rPr>
          <w:b/>
          <w:bCs/>
          <w:lang w:val="en-US"/>
        </w:rPr>
        <w:t>2000</w:t>
      </w:r>
      <w:r>
        <w:rPr>
          <w:lang w:val="en-US"/>
        </w:rPr>
        <w:t>, </w:t>
      </w:r>
      <w:r>
        <w:rPr>
          <w:i/>
          <w:iCs/>
          <w:lang w:val="en-US"/>
        </w:rPr>
        <w:t>53</w:t>
      </w:r>
      <w:r>
        <w:rPr>
          <w:lang w:val="en-US"/>
        </w:rPr>
        <w:t>, 477–484. [</w:t>
      </w:r>
      <w:hyperlink r:id="rId24" w:tgtFrame="_blank">
        <w:r>
          <w:rPr>
            <w:rStyle w:val="Hyperlink"/>
            <w:lang w:val="en-US"/>
          </w:rPr>
          <w:t>G</w:t>
        </w:r>
        <w:r>
          <w:rPr>
            <w:rStyle w:val="Hyperlink"/>
            <w:lang w:val="en-US"/>
          </w:rPr>
          <w:t>oogle Scholar</w:t>
        </w:r>
      </w:hyperlink>
      <w:r>
        <w:rPr>
          <w:lang w:val="en-US"/>
        </w:rPr>
        <w:t>] [</w:t>
      </w:r>
      <w:proofErr w:type="spellStart"/>
      <w:r>
        <w:fldChar w:fldCharType="begin"/>
      </w:r>
      <w:r>
        <w:instrText>HYPERLINK "https://doi.org/10.1016/S0895-4356(99)00204-8" \t "_blank" \h</w:instrText>
      </w:r>
      <w:r>
        <w:fldChar w:fldCharType="separate"/>
      </w:r>
      <w:r>
        <w:rPr>
          <w:rStyle w:val="Hyperlink"/>
          <w:lang w:val="en-US"/>
        </w:rPr>
        <w:t>CrossRef</w:t>
      </w:r>
      <w:proofErr w:type="spellEnd"/>
      <w:r>
        <w:fldChar w:fldCharType="end"/>
      </w:r>
      <w:r>
        <w:rPr>
          <w:lang w:val="en-US"/>
        </w:rPr>
        <w:t>]</w:t>
      </w:r>
    </w:p>
    <w:p w14:paraId="65FA79D8" w14:textId="77777777" w:rsidR="00347734" w:rsidRDefault="00347734">
      <w:pPr>
        <w:tabs>
          <w:tab w:val="left" w:pos="720"/>
        </w:tabs>
        <w:jc w:val="both"/>
        <w:rPr>
          <w:lang w:val="en-US"/>
        </w:rPr>
      </w:pPr>
    </w:p>
    <w:p w14:paraId="552152FF" w14:textId="77777777" w:rsidR="00347734" w:rsidRDefault="001F3B15">
      <w:pPr>
        <w:jc w:val="both"/>
        <w:rPr>
          <w:lang w:val="en-US"/>
        </w:rPr>
      </w:pPr>
      <w:r>
        <w:rPr>
          <w:lang w:val="en-US"/>
        </w:rPr>
        <w:t>16.</w:t>
      </w:r>
      <w:r>
        <w:rPr>
          <w:rFonts w:ascii="Segoe UI" w:hAnsi="Segoe UI" w:cs="Segoe UI"/>
          <w:color w:val="212121"/>
          <w:shd w:val="clear" w:color="auto" w:fill="FFFFFF"/>
          <w:lang w:val="en-US"/>
        </w:rPr>
        <w:t xml:space="preserve"> </w:t>
      </w:r>
      <w:r>
        <w:rPr>
          <w:lang w:val="en-US"/>
        </w:rPr>
        <w:t xml:space="preserve">Cabral, A. B., Melo, R. de C., Maciel, M. A., &amp; Lopes, A. C. (2012). Multidrug resistance genes, including </w:t>
      </w:r>
      <w:proofErr w:type="spellStart"/>
      <w:proofErr w:type="gramStart"/>
      <w:r>
        <w:rPr>
          <w:lang w:val="en-US"/>
        </w:rPr>
        <w:t>bla</w:t>
      </w:r>
      <w:proofErr w:type="spellEnd"/>
      <w:r>
        <w:rPr>
          <w:lang w:val="en-US"/>
        </w:rPr>
        <w:t>(</w:t>
      </w:r>
      <w:proofErr w:type="gramEnd"/>
      <w:r>
        <w:rPr>
          <w:lang w:val="en-US"/>
        </w:rPr>
        <w:t xml:space="preserve">KPC) and </w:t>
      </w:r>
      <w:proofErr w:type="spellStart"/>
      <w:r>
        <w:rPr>
          <w:lang w:val="en-US"/>
        </w:rPr>
        <w:t>bla</w:t>
      </w:r>
      <w:proofErr w:type="spellEnd"/>
      <w:r>
        <w:rPr>
          <w:lang w:val="en-US"/>
        </w:rPr>
        <w:t>(CTX)-M-2, among Klebsiella</w:t>
      </w:r>
      <w:r>
        <w:rPr>
          <w:lang w:val="en-US"/>
        </w:rPr>
        <w:t xml:space="preserve"> pneumoniae isolated in Recife, Brazil. </w:t>
      </w:r>
      <w:proofErr w:type="spellStart"/>
      <w:r>
        <w:rPr>
          <w:i/>
          <w:iCs/>
          <w:lang w:val="en-US"/>
        </w:rPr>
        <w:t>Revista</w:t>
      </w:r>
      <w:proofErr w:type="spellEnd"/>
      <w:r>
        <w:rPr>
          <w:i/>
          <w:iCs/>
          <w:lang w:val="en-US"/>
        </w:rPr>
        <w:t xml:space="preserve"> da </w:t>
      </w:r>
      <w:proofErr w:type="spellStart"/>
      <w:r>
        <w:rPr>
          <w:i/>
          <w:iCs/>
          <w:lang w:val="en-US"/>
        </w:rPr>
        <w:t>Sociedade</w:t>
      </w:r>
      <w:proofErr w:type="spellEnd"/>
      <w:r>
        <w:rPr>
          <w:i/>
          <w:iCs/>
          <w:lang w:val="en-US"/>
        </w:rPr>
        <w:t xml:space="preserve"> </w:t>
      </w:r>
      <w:proofErr w:type="spellStart"/>
      <w:r>
        <w:rPr>
          <w:i/>
          <w:iCs/>
          <w:lang w:val="en-US"/>
        </w:rPr>
        <w:t>Brasileira</w:t>
      </w:r>
      <w:proofErr w:type="spellEnd"/>
      <w:r>
        <w:rPr>
          <w:i/>
          <w:iCs/>
          <w:lang w:val="en-US"/>
        </w:rPr>
        <w:t xml:space="preserve"> de Medicina Tropical</w:t>
      </w:r>
      <w:r>
        <w:rPr>
          <w:lang w:val="en-US"/>
        </w:rPr>
        <w:t>, </w:t>
      </w:r>
      <w:r>
        <w:rPr>
          <w:i/>
          <w:iCs/>
          <w:lang w:val="en-US"/>
        </w:rPr>
        <w:t>45</w:t>
      </w:r>
      <w:r>
        <w:rPr>
          <w:lang w:val="en-US"/>
        </w:rPr>
        <w:t>(5), 572–578. https://doi.org/10.1590/s0037-86822012000500007</w:t>
      </w:r>
    </w:p>
    <w:p w14:paraId="7A79E051" w14:textId="77777777" w:rsidR="00347734" w:rsidRDefault="00347734">
      <w:pPr>
        <w:jc w:val="both"/>
        <w:rPr>
          <w:lang w:val="en-US"/>
        </w:rPr>
      </w:pPr>
    </w:p>
    <w:p w14:paraId="309F81E8" w14:textId="77777777" w:rsidR="00347734" w:rsidRDefault="001F3B15">
      <w:pPr>
        <w:jc w:val="both"/>
        <w:rPr>
          <w:i/>
          <w:iCs/>
          <w:lang w:val="en-US"/>
        </w:rPr>
      </w:pPr>
      <w:r>
        <w:rPr>
          <w:lang w:val="en-US"/>
        </w:rPr>
        <w:t>17. Pinto, F. de M., Simas, D. M., Baldin, C. P.</w:t>
      </w:r>
      <w:proofErr w:type="gramStart"/>
      <w:r>
        <w:rPr>
          <w:lang w:val="en-US"/>
        </w:rPr>
        <w:t>,  Limberger</w:t>
      </w:r>
      <w:proofErr w:type="gramEnd"/>
      <w:r>
        <w:rPr>
          <w:lang w:val="en-US"/>
        </w:rPr>
        <w:t xml:space="preserve">, I. I., da Silva, R. C. F., </w:t>
      </w:r>
      <w:proofErr w:type="spellStart"/>
      <w:r>
        <w:rPr>
          <w:lang w:val="en-US"/>
        </w:rPr>
        <w:t>Antochev</w:t>
      </w:r>
      <w:r>
        <w:rPr>
          <w:lang w:val="en-US"/>
        </w:rPr>
        <w:t>is</w:t>
      </w:r>
      <w:proofErr w:type="spellEnd"/>
      <w:r>
        <w:rPr>
          <w:lang w:val="en-US"/>
        </w:rPr>
        <w:t xml:space="preserve">, L. C., Vieira, F. J., Ribeiro, V. B., </w:t>
      </w:r>
      <w:proofErr w:type="spellStart"/>
      <w:r>
        <w:rPr>
          <w:lang w:val="en-US"/>
        </w:rPr>
        <w:t>Magagnin</w:t>
      </w:r>
      <w:proofErr w:type="spellEnd"/>
      <w:r>
        <w:rPr>
          <w:lang w:val="en-US"/>
        </w:rPr>
        <w:t xml:space="preserve">, C. M., Rozales, F. P., Falci, D. R. (2014). </w:t>
      </w:r>
      <w:proofErr w:type="spellStart"/>
      <w:r>
        <w:rPr>
          <w:lang w:val="en-US"/>
        </w:rPr>
        <w:t>Prevalência</w:t>
      </w:r>
      <w:proofErr w:type="spellEnd"/>
      <w:r>
        <w:rPr>
          <w:lang w:val="en-US"/>
        </w:rPr>
        <w:t xml:space="preserve"> de </w:t>
      </w:r>
      <w:proofErr w:type="spellStart"/>
      <w:r>
        <w:rPr>
          <w:lang w:val="en-US"/>
        </w:rPr>
        <w:t>carbapenemases</w:t>
      </w:r>
      <w:proofErr w:type="spellEnd"/>
      <w:r>
        <w:rPr>
          <w:lang w:val="en-US"/>
        </w:rPr>
        <w:t xml:space="preserve"> </w:t>
      </w:r>
      <w:proofErr w:type="spellStart"/>
      <w:r>
        <w:rPr>
          <w:lang w:val="en-US"/>
        </w:rPr>
        <w:t>em</w:t>
      </w:r>
      <w:proofErr w:type="spellEnd"/>
      <w:r>
        <w:rPr>
          <w:lang w:val="en-US"/>
        </w:rPr>
        <w:t xml:space="preserve"> </w:t>
      </w:r>
      <w:proofErr w:type="spellStart"/>
      <w:r>
        <w:rPr>
          <w:lang w:val="en-US"/>
        </w:rPr>
        <w:t>enterobactérias</w:t>
      </w:r>
      <w:proofErr w:type="spellEnd"/>
      <w:r>
        <w:rPr>
          <w:lang w:val="en-US"/>
        </w:rPr>
        <w:t xml:space="preserve"> </w:t>
      </w:r>
      <w:proofErr w:type="spellStart"/>
      <w:r>
        <w:rPr>
          <w:lang w:val="en-US"/>
        </w:rPr>
        <w:t>resistentes</w:t>
      </w:r>
      <w:proofErr w:type="spellEnd"/>
      <w:r>
        <w:rPr>
          <w:lang w:val="en-US"/>
        </w:rPr>
        <w:t xml:space="preserve"> a </w:t>
      </w:r>
      <w:proofErr w:type="spellStart"/>
      <w:r>
        <w:rPr>
          <w:lang w:val="en-US"/>
        </w:rPr>
        <w:t>carbapenêmicos</w:t>
      </w:r>
      <w:proofErr w:type="spellEnd"/>
      <w:r>
        <w:rPr>
          <w:lang w:val="en-US"/>
        </w:rPr>
        <w:t xml:space="preserve"> </w:t>
      </w:r>
      <w:proofErr w:type="spellStart"/>
      <w:r>
        <w:rPr>
          <w:lang w:val="en-US"/>
        </w:rPr>
        <w:t>em</w:t>
      </w:r>
      <w:proofErr w:type="spellEnd"/>
      <w:r>
        <w:rPr>
          <w:lang w:val="en-US"/>
        </w:rPr>
        <w:t xml:space="preserve"> </w:t>
      </w:r>
      <w:proofErr w:type="spellStart"/>
      <w:r>
        <w:rPr>
          <w:lang w:val="en-US"/>
        </w:rPr>
        <w:t>quatro</w:t>
      </w:r>
      <w:proofErr w:type="spellEnd"/>
      <w:r>
        <w:rPr>
          <w:lang w:val="en-US"/>
        </w:rPr>
        <w:t xml:space="preserve"> </w:t>
      </w:r>
      <w:proofErr w:type="spellStart"/>
      <w:r>
        <w:rPr>
          <w:lang w:val="en-US"/>
        </w:rPr>
        <w:t>hospitais</w:t>
      </w:r>
      <w:proofErr w:type="spellEnd"/>
      <w:r>
        <w:rPr>
          <w:lang w:val="en-US"/>
        </w:rPr>
        <w:t xml:space="preserve"> </w:t>
      </w:r>
      <w:proofErr w:type="spellStart"/>
      <w:r>
        <w:rPr>
          <w:lang w:val="en-US"/>
        </w:rPr>
        <w:t>terciários</w:t>
      </w:r>
      <w:proofErr w:type="spellEnd"/>
      <w:r>
        <w:rPr>
          <w:lang w:val="en-US"/>
        </w:rPr>
        <w:t xml:space="preserve"> de Porto Alegre. </w:t>
      </w:r>
      <w:r>
        <w:rPr>
          <w:i/>
          <w:iCs/>
          <w:lang w:val="en-US"/>
        </w:rPr>
        <w:t xml:space="preserve">Clin Biomed Res., </w:t>
      </w:r>
      <w:r>
        <w:rPr>
          <w:lang w:val="en-US"/>
        </w:rPr>
        <w:t>34(1), 47-52. ht</w:t>
      </w:r>
      <w:r>
        <w:rPr>
          <w:lang w:val="en-US"/>
        </w:rPr>
        <w:t>tp://hdl.handle.net/10183/158869.</w:t>
      </w:r>
    </w:p>
    <w:p w14:paraId="72476C22" w14:textId="77777777" w:rsidR="00347734" w:rsidRDefault="00347734">
      <w:pPr>
        <w:jc w:val="both"/>
        <w:rPr>
          <w:lang w:val="en-US"/>
        </w:rPr>
      </w:pPr>
    </w:p>
    <w:p w14:paraId="390C3FCD" w14:textId="77777777" w:rsidR="00347734" w:rsidRDefault="001F3B15">
      <w:pPr>
        <w:jc w:val="both"/>
        <w:rPr>
          <w:lang w:val="en-US"/>
        </w:rPr>
      </w:pPr>
      <w:r>
        <w:rPr>
          <w:lang w:val="en-US"/>
        </w:rPr>
        <w:t>18. Andrade, N. L., Vitali, L. Gaspar, G. G., Bellissimo-Rodrigues, F.</w:t>
      </w:r>
      <w:proofErr w:type="gramStart"/>
      <w:r>
        <w:rPr>
          <w:lang w:val="en-US"/>
        </w:rPr>
        <w:t>,  Martinez</w:t>
      </w:r>
      <w:proofErr w:type="gramEnd"/>
      <w:r>
        <w:rPr>
          <w:lang w:val="en-US"/>
        </w:rPr>
        <w:t>, R. Darini, A. L. C. (2014). Expansion and Evolution of a Virulent, Extensively Drug-Resistant (Polymyxin B-Resistant), QnrS1-, CTX-M-2-, a</w:t>
      </w:r>
      <w:r>
        <w:rPr>
          <w:lang w:val="en-US"/>
        </w:rPr>
        <w:t xml:space="preserve">nd KPC-2-Producing Klebsiella pneumoniae ST11 International High-Risk Clone. </w:t>
      </w:r>
      <w:r>
        <w:rPr>
          <w:i/>
          <w:iCs/>
          <w:lang w:val="en-US"/>
        </w:rPr>
        <w:t>Journal of Clinical Microbiology</w:t>
      </w:r>
      <w:r>
        <w:rPr>
          <w:lang w:val="en-US"/>
        </w:rPr>
        <w:t xml:space="preserve">, 52(7), 2530-2535. </w:t>
      </w:r>
      <w:hyperlink r:id="rId25">
        <w:r>
          <w:rPr>
            <w:rStyle w:val="Hyperlink"/>
            <w:lang w:val="en-US"/>
          </w:rPr>
          <w:t>https://doi.org/10.1128/jcm.00088-14</w:t>
        </w:r>
      </w:hyperlink>
      <w:r>
        <w:rPr>
          <w:lang w:val="en-US"/>
        </w:rPr>
        <w:t>.</w:t>
      </w:r>
    </w:p>
    <w:p w14:paraId="25F8613C" w14:textId="77777777" w:rsidR="00347734" w:rsidRDefault="00347734">
      <w:pPr>
        <w:jc w:val="both"/>
        <w:rPr>
          <w:lang w:val="en-US"/>
        </w:rPr>
      </w:pPr>
    </w:p>
    <w:p w14:paraId="44B6F265" w14:textId="77777777" w:rsidR="00347734" w:rsidRDefault="001F3B15">
      <w:pPr>
        <w:jc w:val="both"/>
        <w:rPr>
          <w:lang w:val="en-US"/>
        </w:rPr>
      </w:pPr>
      <w:r>
        <w:rPr>
          <w:lang w:val="en-US"/>
        </w:rPr>
        <w:t xml:space="preserve">19. </w:t>
      </w:r>
      <w:proofErr w:type="spellStart"/>
      <w:r>
        <w:rPr>
          <w:lang w:val="en-US"/>
        </w:rPr>
        <w:t>Biberg</w:t>
      </w:r>
      <w:proofErr w:type="spellEnd"/>
      <w:r>
        <w:rPr>
          <w:lang w:val="en-US"/>
        </w:rPr>
        <w:t xml:space="preserve">, C. A., Rodrigues, A. C. S., do Carmo S. F., Chaves, C. E. V., Gales, A. C., Chang, M. R. (2015). KPC-2-producing Klebsiella pneumoniae in a hospital in the Midwest region of Brazil. </w:t>
      </w:r>
      <w:proofErr w:type="spellStart"/>
      <w:r>
        <w:rPr>
          <w:i/>
          <w:iCs/>
          <w:lang w:val="en-US"/>
        </w:rPr>
        <w:t>Sociedade</w:t>
      </w:r>
      <w:proofErr w:type="spellEnd"/>
      <w:r>
        <w:rPr>
          <w:i/>
          <w:iCs/>
          <w:lang w:val="en-US"/>
        </w:rPr>
        <w:t xml:space="preserve"> </w:t>
      </w:r>
      <w:proofErr w:type="spellStart"/>
      <w:r>
        <w:rPr>
          <w:i/>
          <w:iCs/>
          <w:lang w:val="en-US"/>
        </w:rPr>
        <w:t>Brasileira</w:t>
      </w:r>
      <w:proofErr w:type="spellEnd"/>
      <w:r>
        <w:rPr>
          <w:i/>
          <w:iCs/>
          <w:lang w:val="en-US"/>
        </w:rPr>
        <w:t xml:space="preserve"> de </w:t>
      </w:r>
      <w:proofErr w:type="spellStart"/>
      <w:r>
        <w:rPr>
          <w:i/>
          <w:iCs/>
          <w:lang w:val="en-US"/>
        </w:rPr>
        <w:t>Microbiologia</w:t>
      </w:r>
      <w:proofErr w:type="spellEnd"/>
      <w:r>
        <w:rPr>
          <w:lang w:val="en-US"/>
        </w:rPr>
        <w:t xml:space="preserve">, 46(2), 501-504. </w:t>
      </w:r>
      <w:hyperlink r:id="rId26">
        <w:r>
          <w:rPr>
            <w:rStyle w:val="Hyperlink"/>
            <w:lang w:val="en-US"/>
          </w:rPr>
          <w:t>https://doi.org/10.1590/S1517-838246246220140174</w:t>
        </w:r>
      </w:hyperlink>
      <w:r>
        <w:rPr>
          <w:lang w:val="en-US"/>
        </w:rPr>
        <w:t>.</w:t>
      </w:r>
    </w:p>
    <w:p w14:paraId="397DDDFD" w14:textId="77777777" w:rsidR="00347734" w:rsidRDefault="00347734">
      <w:pPr>
        <w:jc w:val="both"/>
        <w:rPr>
          <w:lang w:val="en-US"/>
        </w:rPr>
      </w:pPr>
    </w:p>
    <w:p w14:paraId="2CBA0FD3" w14:textId="77777777" w:rsidR="00347734" w:rsidRDefault="001F3B15">
      <w:pPr>
        <w:jc w:val="both"/>
        <w:rPr>
          <w:lang w:val="en-US"/>
        </w:rPr>
      </w:pPr>
      <w:r>
        <w:rPr>
          <w:lang w:val="en-US"/>
        </w:rPr>
        <w:t>20. Ribeiro, P. C. S., Monteiro, A. S., Marques, S. G., Monteiro, S. G., Monteiro-Neto, V., Coqueiro, M. M. M., Marques, A. C. G., Turri, de J. G. R., San</w:t>
      </w:r>
      <w:r>
        <w:rPr>
          <w:lang w:val="en-US"/>
        </w:rPr>
        <w:t xml:space="preserve">tos, S. G., Bomfim. M. R. Q. (2016). Phenotypic and molecular detection of the </w:t>
      </w:r>
      <w:proofErr w:type="spellStart"/>
      <w:r>
        <w:rPr>
          <w:lang w:val="en-US"/>
        </w:rPr>
        <w:t>blaKPC</w:t>
      </w:r>
      <w:proofErr w:type="spellEnd"/>
      <w:r>
        <w:rPr>
          <w:lang w:val="en-US"/>
        </w:rPr>
        <w:t xml:space="preserve"> gene in clinical isolates from inpatients at hospitals in São Luis, MA, Brazil. </w:t>
      </w:r>
      <w:r>
        <w:rPr>
          <w:i/>
          <w:iCs/>
          <w:lang w:val="en-US"/>
        </w:rPr>
        <w:t>BMC Infectious Diseases</w:t>
      </w:r>
      <w:r>
        <w:rPr>
          <w:lang w:val="en-US"/>
        </w:rPr>
        <w:t xml:space="preserve">, 16(1), 737. </w:t>
      </w:r>
      <w:hyperlink r:id="rId27">
        <w:r>
          <w:rPr>
            <w:rStyle w:val="Hyperlink"/>
            <w:lang w:val="en-US"/>
          </w:rPr>
          <w:t>https://doi.org/10.1186/s12879-016-2072-3</w:t>
        </w:r>
      </w:hyperlink>
      <w:r>
        <w:rPr>
          <w:lang w:val="en-US"/>
        </w:rPr>
        <w:t>.</w:t>
      </w:r>
    </w:p>
    <w:p w14:paraId="78FDCE1E" w14:textId="77777777" w:rsidR="00347734" w:rsidRDefault="00347734">
      <w:pPr>
        <w:jc w:val="both"/>
        <w:rPr>
          <w:lang w:val="en-US"/>
        </w:rPr>
      </w:pPr>
    </w:p>
    <w:p w14:paraId="3BD94524" w14:textId="77777777" w:rsidR="00347734" w:rsidRDefault="001F3B15">
      <w:pPr>
        <w:jc w:val="both"/>
        <w:rPr>
          <w:lang w:val="en-US"/>
        </w:rPr>
      </w:pPr>
      <w:r>
        <w:rPr>
          <w:lang w:val="en-US"/>
        </w:rPr>
        <w:t>21. Pereira, R. S., Dias, V. C., Ferreira-Machado, A. B., Resende, J. A., Bastos, A. N., Bastos, L. Q. de A., Bastos, V. Q. de A., Bastos, V. R., da Silva, V. L., Diniz, C. G. (2016). Physiological and mo</w:t>
      </w:r>
      <w:r>
        <w:rPr>
          <w:lang w:val="en-US"/>
        </w:rPr>
        <w:t xml:space="preserve">lecular characteristics of carbapenem resistance in Klebsiella pneumoniae and Enterobacter aerogenes. </w:t>
      </w:r>
      <w:r>
        <w:rPr>
          <w:i/>
          <w:iCs/>
          <w:lang w:val="en-US"/>
        </w:rPr>
        <w:t xml:space="preserve">J Infect Dev </w:t>
      </w:r>
      <w:proofErr w:type="spellStart"/>
      <w:r>
        <w:rPr>
          <w:i/>
          <w:iCs/>
          <w:lang w:val="en-US"/>
        </w:rPr>
        <w:t>Ctries</w:t>
      </w:r>
      <w:proofErr w:type="spellEnd"/>
      <w:r>
        <w:rPr>
          <w:i/>
          <w:iCs/>
          <w:lang w:val="en-US"/>
        </w:rPr>
        <w:t xml:space="preserve">, </w:t>
      </w:r>
      <w:r>
        <w:rPr>
          <w:lang w:val="en-US"/>
        </w:rPr>
        <w:t>10(6), 592-599. https://doi.org:10.3855/jidc.6821.</w:t>
      </w:r>
    </w:p>
    <w:p w14:paraId="193E53D1" w14:textId="77777777" w:rsidR="00347734" w:rsidRDefault="00347734">
      <w:pPr>
        <w:jc w:val="both"/>
        <w:rPr>
          <w:lang w:val="en-US"/>
        </w:rPr>
      </w:pPr>
    </w:p>
    <w:p w14:paraId="07223552" w14:textId="77777777" w:rsidR="00347734" w:rsidRDefault="001F3B15">
      <w:pPr>
        <w:jc w:val="both"/>
        <w:rPr>
          <w:lang w:val="en-US"/>
        </w:rPr>
      </w:pPr>
      <w:r>
        <w:rPr>
          <w:lang w:val="en-US"/>
        </w:rPr>
        <w:t xml:space="preserve">22. Aires, C. A. M., Pereira, P. S., de Araújo, C. F. M., Chagas, T. P. G., Oliveira, J. C. R., </w:t>
      </w:r>
      <w:proofErr w:type="spellStart"/>
      <w:r>
        <w:rPr>
          <w:lang w:val="en-US"/>
        </w:rPr>
        <w:t>Buonora</w:t>
      </w:r>
      <w:proofErr w:type="spellEnd"/>
      <w:r>
        <w:rPr>
          <w:lang w:val="en-US"/>
        </w:rPr>
        <w:t xml:space="preserve">, S. N., Albano, R. M., Carvalho-Assef, A. P. D., </w:t>
      </w:r>
      <w:proofErr w:type="spellStart"/>
      <w:r>
        <w:rPr>
          <w:lang w:val="en-US"/>
        </w:rPr>
        <w:t>Asensi</w:t>
      </w:r>
      <w:proofErr w:type="spellEnd"/>
      <w:r>
        <w:rPr>
          <w:lang w:val="en-US"/>
        </w:rPr>
        <w:t>, M. D. (2017). Multiclonal Expansion of Klebsiella pneumoniae Isolates Producing NDM-1 in Rio de</w:t>
      </w:r>
      <w:r>
        <w:rPr>
          <w:lang w:val="en-US"/>
        </w:rPr>
        <w:t xml:space="preserve"> Janeiro, Brazil. </w:t>
      </w:r>
      <w:proofErr w:type="spellStart"/>
      <w:r>
        <w:rPr>
          <w:i/>
          <w:iCs/>
          <w:lang w:val="en-US"/>
        </w:rPr>
        <w:t>Antimicrob</w:t>
      </w:r>
      <w:proofErr w:type="spellEnd"/>
      <w:r>
        <w:rPr>
          <w:i/>
          <w:iCs/>
          <w:lang w:val="en-US"/>
        </w:rPr>
        <w:t xml:space="preserve"> Agents Chemother</w:t>
      </w:r>
      <w:r>
        <w:rPr>
          <w:lang w:val="en-US"/>
        </w:rPr>
        <w:t xml:space="preserve">, 61(1), 01048-16. </w:t>
      </w:r>
      <w:hyperlink r:id="rId28">
        <w:r>
          <w:rPr>
            <w:rStyle w:val="Hyperlink"/>
            <w:lang w:val="en-US"/>
          </w:rPr>
          <w:t>https://doi.org/10.1128/AAC.01048-16</w:t>
        </w:r>
      </w:hyperlink>
      <w:r>
        <w:rPr>
          <w:lang w:val="en-US"/>
        </w:rPr>
        <w:t>.</w:t>
      </w:r>
    </w:p>
    <w:p w14:paraId="46644DB3" w14:textId="77777777" w:rsidR="00347734" w:rsidRDefault="00347734">
      <w:pPr>
        <w:jc w:val="both"/>
        <w:rPr>
          <w:lang w:val="en-US"/>
        </w:rPr>
      </w:pPr>
    </w:p>
    <w:p w14:paraId="1105ADBD" w14:textId="77777777" w:rsidR="00347734" w:rsidRDefault="001F3B15">
      <w:pPr>
        <w:jc w:val="both"/>
        <w:rPr>
          <w:lang w:val="en-US"/>
        </w:rPr>
      </w:pPr>
      <w:r>
        <w:rPr>
          <w:lang w:val="en-US"/>
        </w:rPr>
        <w:t>23. Vivian, A. C. P., Rosa, J. F., Rizek, C. F., Pelisson, M., Costa, S. F., Hungria, M., Kobayas</w:t>
      </w:r>
      <w:r>
        <w:rPr>
          <w:lang w:val="en-US"/>
        </w:rPr>
        <w:t xml:space="preserve">hi, R. K. T., </w:t>
      </w:r>
      <w:proofErr w:type="spellStart"/>
      <w:r>
        <w:rPr>
          <w:lang w:val="en-US"/>
        </w:rPr>
        <w:t>Vespero</w:t>
      </w:r>
      <w:proofErr w:type="spellEnd"/>
      <w:r>
        <w:rPr>
          <w:lang w:val="en-US"/>
        </w:rPr>
        <w:t>, E. C. (2017). Molecular characterization of carbapenem-</w:t>
      </w:r>
      <w:r>
        <w:rPr>
          <w:lang w:val="en-US"/>
        </w:rPr>
        <w:lastRenderedPageBreak/>
        <w:t xml:space="preserve">resistant Klebsiella pneumoniae isolates from a university hospital in Brazil. </w:t>
      </w:r>
      <w:r>
        <w:rPr>
          <w:i/>
          <w:iCs/>
          <w:lang w:val="en-US"/>
        </w:rPr>
        <w:t xml:space="preserve">J Infect Dev </w:t>
      </w:r>
      <w:proofErr w:type="spellStart"/>
      <w:r>
        <w:rPr>
          <w:i/>
          <w:iCs/>
          <w:lang w:val="en-US"/>
        </w:rPr>
        <w:t>Ctries</w:t>
      </w:r>
      <w:proofErr w:type="spellEnd"/>
      <w:r>
        <w:rPr>
          <w:lang w:val="en-US"/>
        </w:rPr>
        <w:t xml:space="preserve">, 11(5), 379-386. </w:t>
      </w:r>
      <w:hyperlink r:id="rId29">
        <w:r>
          <w:rPr>
            <w:rStyle w:val="Hyperlink"/>
            <w:lang w:val="en-US"/>
          </w:rPr>
          <w:t>https://d</w:t>
        </w:r>
        <w:r>
          <w:rPr>
            <w:rStyle w:val="Hyperlink"/>
            <w:lang w:val="en-US"/>
          </w:rPr>
          <w:t>oi.org/10.3855/jidc.8614</w:t>
        </w:r>
      </w:hyperlink>
      <w:r>
        <w:rPr>
          <w:lang w:val="en-US"/>
        </w:rPr>
        <w:t>.</w:t>
      </w:r>
    </w:p>
    <w:p w14:paraId="21E6D9BE" w14:textId="77777777" w:rsidR="00347734" w:rsidRDefault="00347734">
      <w:pPr>
        <w:jc w:val="both"/>
        <w:rPr>
          <w:lang w:val="en-US"/>
        </w:rPr>
      </w:pPr>
    </w:p>
    <w:p w14:paraId="303C1CB3" w14:textId="77777777" w:rsidR="00347734" w:rsidRDefault="001F3B15">
      <w:pPr>
        <w:jc w:val="both"/>
        <w:rPr>
          <w:lang w:val="en-US"/>
        </w:rPr>
      </w:pPr>
      <w:r>
        <w:rPr>
          <w:lang w:val="en-US"/>
        </w:rPr>
        <w:t xml:space="preserve">24. Leite, C. A. K., </w:t>
      </w:r>
      <w:proofErr w:type="spellStart"/>
      <w:r>
        <w:rPr>
          <w:lang w:val="en-US"/>
        </w:rPr>
        <w:t>Oizumi</w:t>
      </w:r>
      <w:proofErr w:type="spellEnd"/>
      <w:r>
        <w:rPr>
          <w:lang w:val="en-US"/>
        </w:rPr>
        <w:t xml:space="preserve">, K. Y., </w:t>
      </w:r>
      <w:proofErr w:type="spellStart"/>
      <w:r>
        <w:rPr>
          <w:lang w:val="en-US"/>
        </w:rPr>
        <w:t>Caleffi-Ferracioli</w:t>
      </w:r>
      <w:proofErr w:type="spellEnd"/>
      <w:r>
        <w:rPr>
          <w:lang w:val="en-US"/>
        </w:rPr>
        <w:t xml:space="preserve">, K. R., </w:t>
      </w:r>
      <w:proofErr w:type="spellStart"/>
      <w:r>
        <w:rPr>
          <w:lang w:val="en-US"/>
        </w:rPr>
        <w:t>Scodro</w:t>
      </w:r>
      <w:proofErr w:type="spellEnd"/>
      <w:r>
        <w:rPr>
          <w:lang w:val="en-US"/>
        </w:rPr>
        <w:t xml:space="preserve">, R. B. de L., de Pádua, R. A. F., Cardoso R. F., Pires, C. T. A., Siqueira, V. L. C. (2017). β-lactamase-producing Gram-negative bacteria in an intensive care </w:t>
      </w:r>
      <w:r>
        <w:rPr>
          <w:lang w:val="en-US"/>
        </w:rPr>
        <w:t xml:space="preserve">unit in southern Brazil. </w:t>
      </w:r>
      <w:r>
        <w:rPr>
          <w:i/>
          <w:iCs/>
          <w:lang w:val="en-US"/>
        </w:rPr>
        <w:t>Braz. J. Pharm. Sci.,</w:t>
      </w:r>
      <w:r>
        <w:rPr>
          <w:lang w:val="en-US"/>
        </w:rPr>
        <w:t xml:space="preserve"> 53(2), 16111. </w:t>
      </w:r>
      <w:hyperlink r:id="rId30">
        <w:r>
          <w:rPr>
            <w:rStyle w:val="Hyperlink"/>
            <w:lang w:val="en-US"/>
          </w:rPr>
          <w:t>http://dx.doi.org/10.1590/s2175-97902017000216111</w:t>
        </w:r>
      </w:hyperlink>
      <w:r>
        <w:rPr>
          <w:lang w:val="en-US"/>
        </w:rPr>
        <w:t>.</w:t>
      </w:r>
    </w:p>
    <w:p w14:paraId="0D25CE3B" w14:textId="77777777" w:rsidR="00347734" w:rsidRDefault="00347734">
      <w:pPr>
        <w:jc w:val="both"/>
        <w:rPr>
          <w:lang w:val="en-US"/>
        </w:rPr>
      </w:pPr>
    </w:p>
    <w:p w14:paraId="7E6560AE" w14:textId="77777777" w:rsidR="00347734" w:rsidRDefault="001F3B15">
      <w:pPr>
        <w:jc w:val="both"/>
        <w:rPr>
          <w:lang w:val="en-US"/>
        </w:rPr>
      </w:pPr>
      <w:r>
        <w:rPr>
          <w:lang w:val="en-US"/>
        </w:rPr>
        <w:t xml:space="preserve">25. Dalmolin, T. V., Bianchini, B. V., Rossi, G. G., Ramos, A. C., Gales, </w:t>
      </w:r>
      <w:r>
        <w:rPr>
          <w:lang w:val="en-US"/>
        </w:rPr>
        <w:t xml:space="preserve">A. C., Trindade, P. de A., de Campos, M. M. A. (2017). Detection and analysis of different interactions between resistance mechanisms and carbapenems in clinical isolates of Klebsiella pneumoniae. </w:t>
      </w:r>
      <w:r>
        <w:rPr>
          <w:i/>
          <w:iCs/>
          <w:lang w:val="en-US"/>
        </w:rPr>
        <w:t>Brazilian Journal of Microbiology</w:t>
      </w:r>
      <w:r>
        <w:rPr>
          <w:lang w:val="en-US"/>
        </w:rPr>
        <w:t xml:space="preserve">, 48, 493-498. </w:t>
      </w:r>
      <w:hyperlink r:id="rId31">
        <w:r>
          <w:rPr>
            <w:rStyle w:val="Hyperlink"/>
            <w:lang w:val="en-US"/>
          </w:rPr>
          <w:t>http://dx.doi.org/10.1016/j.bjm.2017.01.003</w:t>
        </w:r>
      </w:hyperlink>
      <w:r>
        <w:rPr>
          <w:lang w:val="en-US"/>
        </w:rPr>
        <w:t>.</w:t>
      </w:r>
    </w:p>
    <w:p w14:paraId="123AFCB5" w14:textId="77777777" w:rsidR="00347734" w:rsidRDefault="00347734">
      <w:pPr>
        <w:jc w:val="both"/>
        <w:rPr>
          <w:lang w:val="en-US"/>
        </w:rPr>
      </w:pPr>
    </w:p>
    <w:p w14:paraId="7BFD6B37" w14:textId="77777777" w:rsidR="00347734" w:rsidRDefault="001F3B15">
      <w:pPr>
        <w:jc w:val="both"/>
        <w:rPr>
          <w:vertAlign w:val="subscript"/>
          <w:lang w:val="en-US"/>
        </w:rPr>
      </w:pPr>
      <w:r>
        <w:rPr>
          <w:lang w:val="en-US"/>
        </w:rPr>
        <w:t>26. Tolentino, F. M., Bueno, M. F. C., Franscisco, G. R., Barcelos, D. D. de P., Lobo, S. M., Tomaz, F. M. M. B., da Silva, N. S., de Andrade, L. N., Casella,</w:t>
      </w:r>
      <w:r>
        <w:rPr>
          <w:lang w:val="en-US"/>
        </w:rPr>
        <w:t xml:space="preserve"> T., Darini, A. L. da C., </w:t>
      </w:r>
      <w:proofErr w:type="spellStart"/>
      <w:r>
        <w:rPr>
          <w:lang w:val="en-US"/>
        </w:rPr>
        <w:t>Polotto</w:t>
      </w:r>
      <w:proofErr w:type="spellEnd"/>
      <w:r>
        <w:rPr>
          <w:lang w:val="en-US"/>
        </w:rPr>
        <w:t xml:space="preserve">, M., Garcia, D. de O., Nogueira, M. C. L. (2019). Endemicity of the High-Risk Clone Klebsiella pneumoniae ST340 Coproducing </w:t>
      </w:r>
      <w:proofErr w:type="spellStart"/>
      <w:r>
        <w:rPr>
          <w:lang w:val="en-US"/>
        </w:rPr>
        <w:t>QnrB</w:t>
      </w:r>
      <w:proofErr w:type="spellEnd"/>
      <w:r>
        <w:rPr>
          <w:lang w:val="en-US"/>
        </w:rPr>
        <w:t xml:space="preserve">, CTX-M-15, and KPC-2 in a Brazilian Hospital. </w:t>
      </w:r>
      <w:r>
        <w:rPr>
          <w:i/>
          <w:iCs/>
          <w:lang w:val="en-US"/>
        </w:rPr>
        <w:t xml:space="preserve">Microbial Drug Resistance, </w:t>
      </w:r>
      <w:r>
        <w:rPr>
          <w:lang w:val="en-US"/>
        </w:rPr>
        <w:t>25(4), 528-537. http</w:t>
      </w:r>
      <w:r>
        <w:rPr>
          <w:lang w:val="en-US"/>
        </w:rPr>
        <w:t>://dx.doi.org/10.1089/mdr.2018.0006.</w:t>
      </w:r>
    </w:p>
    <w:p w14:paraId="4407176A" w14:textId="77777777" w:rsidR="00347734" w:rsidRDefault="00347734">
      <w:pPr>
        <w:jc w:val="both"/>
        <w:rPr>
          <w:vertAlign w:val="subscript"/>
          <w:lang w:val="en-US"/>
        </w:rPr>
      </w:pPr>
    </w:p>
    <w:p w14:paraId="5F1A0FDA" w14:textId="77777777" w:rsidR="00347734" w:rsidRDefault="001F3B15">
      <w:pPr>
        <w:jc w:val="both"/>
        <w:rPr>
          <w:lang w:val="en-US"/>
        </w:rPr>
      </w:pPr>
      <w:r>
        <w:rPr>
          <w:lang w:val="en-US"/>
        </w:rPr>
        <w:t>27. Ferreira, R. L., da Silva, B. C. M., Rezende, G. S., Nakamura-Silva, R., Pitondo-Silva, A., Campanini, E. B., Brito, M. C. A., da Silva, E. M. L., Freire, C. C. M., Cunha, A. F., Pranchevicius, M. C. (2019). High P</w:t>
      </w:r>
      <w:r>
        <w:rPr>
          <w:lang w:val="en-US"/>
        </w:rPr>
        <w:t xml:space="preserve">revalence of Multidrug-Resistant Klebsiella pneumoniae Harboring Several Virulence and β-Lactamase Encoding Genes in a Brazilian Intensive Care Unit. </w:t>
      </w:r>
      <w:r>
        <w:rPr>
          <w:i/>
          <w:iCs/>
          <w:lang w:val="en-US"/>
        </w:rPr>
        <w:t xml:space="preserve">Unit. Front. Microbiol, </w:t>
      </w:r>
      <w:r>
        <w:rPr>
          <w:lang w:val="en-US"/>
        </w:rPr>
        <w:t xml:space="preserve">9(1), 3198. </w:t>
      </w:r>
      <w:hyperlink r:id="rId32">
        <w:r>
          <w:rPr>
            <w:rStyle w:val="Hyperlink"/>
            <w:lang w:val="en-US"/>
          </w:rPr>
          <w:t>https://do</w:t>
        </w:r>
        <w:r>
          <w:rPr>
            <w:rStyle w:val="Hyperlink"/>
            <w:lang w:val="en-US"/>
          </w:rPr>
          <w:t>i.org/10.3389/fmicb.2018.03198</w:t>
        </w:r>
      </w:hyperlink>
      <w:r>
        <w:rPr>
          <w:lang w:val="en-US"/>
        </w:rPr>
        <w:t>.</w:t>
      </w:r>
    </w:p>
    <w:p w14:paraId="05DF0FF1" w14:textId="77777777" w:rsidR="00347734" w:rsidRDefault="00347734">
      <w:pPr>
        <w:jc w:val="both"/>
        <w:rPr>
          <w:lang w:val="en-US"/>
        </w:rPr>
      </w:pPr>
    </w:p>
    <w:p w14:paraId="597339AF" w14:textId="77777777" w:rsidR="00347734" w:rsidRDefault="001F3B15">
      <w:pPr>
        <w:jc w:val="both"/>
        <w:rPr>
          <w:lang w:val="en-US"/>
        </w:rPr>
      </w:pPr>
      <w:r>
        <w:rPr>
          <w:lang w:val="en-US"/>
        </w:rPr>
        <w:t xml:space="preserve">28. Longo, L. G. A., de Souza, V. S., </w:t>
      </w:r>
      <w:proofErr w:type="spellStart"/>
      <w:r>
        <w:rPr>
          <w:lang w:val="en-US"/>
        </w:rPr>
        <w:t>Kraychete</w:t>
      </w:r>
      <w:proofErr w:type="spellEnd"/>
      <w:r>
        <w:rPr>
          <w:lang w:val="en-US"/>
        </w:rPr>
        <w:t xml:space="preserve">, G. B., Justo-da-Silva, L. H., Rocha, J. A., </w:t>
      </w:r>
      <w:proofErr w:type="spellStart"/>
      <w:r>
        <w:rPr>
          <w:lang w:val="en-US"/>
        </w:rPr>
        <w:t>Superti</w:t>
      </w:r>
      <w:proofErr w:type="spellEnd"/>
      <w:r>
        <w:rPr>
          <w:lang w:val="en-US"/>
        </w:rPr>
        <w:t xml:space="preserve">, S. V., Bonelli, R. R., Martins, I. S., Moreira, B. M. (2019). Colistin resistance emerges in </w:t>
      </w:r>
      <w:proofErr w:type="spellStart"/>
      <w:r>
        <w:rPr>
          <w:lang w:val="en-US"/>
        </w:rPr>
        <w:t>pandrug</w:t>
      </w:r>
      <w:proofErr w:type="spellEnd"/>
      <w:r>
        <w:rPr>
          <w:lang w:val="en-US"/>
        </w:rPr>
        <w:t>-resistant Klebsiella</w:t>
      </w:r>
      <w:r>
        <w:rPr>
          <w:lang w:val="en-US"/>
        </w:rPr>
        <w:t xml:space="preserve"> pneumoniae epidemic clones in Rio de Janeiro, Brazil. </w:t>
      </w:r>
      <w:r>
        <w:rPr>
          <w:i/>
          <w:iCs/>
          <w:lang w:val="en-US"/>
        </w:rPr>
        <w:t xml:space="preserve">International Journal of Antimicrobial </w:t>
      </w:r>
      <w:r>
        <w:rPr>
          <w:lang w:val="en-US"/>
        </w:rPr>
        <w:t xml:space="preserve">Agents, 54(1), 579–586. </w:t>
      </w:r>
      <w:hyperlink r:id="rId33">
        <w:r>
          <w:rPr>
            <w:rStyle w:val="Hyperlink"/>
            <w:lang w:val="en-US"/>
          </w:rPr>
          <w:t>https://doi.org/10.1016/j.ijantimicag.2019.08.017</w:t>
        </w:r>
      </w:hyperlink>
      <w:r>
        <w:rPr>
          <w:lang w:val="en-US"/>
        </w:rPr>
        <w:t>.</w:t>
      </w:r>
    </w:p>
    <w:p w14:paraId="3478E410" w14:textId="77777777" w:rsidR="00347734" w:rsidRDefault="00347734">
      <w:pPr>
        <w:jc w:val="both"/>
        <w:rPr>
          <w:lang w:val="en-US"/>
        </w:rPr>
      </w:pPr>
    </w:p>
    <w:p w14:paraId="1CD20C76" w14:textId="77777777" w:rsidR="00347734" w:rsidRDefault="001F3B15">
      <w:pPr>
        <w:jc w:val="both"/>
        <w:rPr>
          <w:lang w:val="en-US"/>
        </w:rPr>
      </w:pPr>
      <w:r>
        <w:rPr>
          <w:lang w:val="en-US"/>
        </w:rPr>
        <w:t xml:space="preserve">29. Palmeiro, J. </w:t>
      </w:r>
      <w:r>
        <w:rPr>
          <w:lang w:val="en-US"/>
        </w:rPr>
        <w:t xml:space="preserve">K., de Souza, R. F., Schörner, M. A., Passarelli-Araujo, H., </w:t>
      </w:r>
      <w:proofErr w:type="spellStart"/>
      <w:r>
        <w:rPr>
          <w:lang w:val="en-US"/>
        </w:rPr>
        <w:t>Grazziotin</w:t>
      </w:r>
      <w:proofErr w:type="spellEnd"/>
      <w:r>
        <w:rPr>
          <w:lang w:val="en-US"/>
        </w:rPr>
        <w:t xml:space="preserve">, A. L., Vidal, N. M., Venancio, T. M., Dalla-Costa, L. M. (2019). Molecular Epidemiology of Multidrug-Resistant Klebsiella pneumoniae Isolates in a Brazilian Tertiary Hospital. </w:t>
      </w:r>
      <w:r>
        <w:rPr>
          <w:i/>
          <w:iCs/>
          <w:lang w:val="en-US"/>
        </w:rPr>
        <w:t xml:space="preserve">Front. </w:t>
      </w:r>
      <w:r>
        <w:rPr>
          <w:i/>
          <w:iCs/>
          <w:lang w:val="en-US"/>
        </w:rPr>
        <w:t>Microbiol.,</w:t>
      </w:r>
      <w:r>
        <w:rPr>
          <w:lang w:val="en-US"/>
        </w:rPr>
        <w:t xml:space="preserve"> 10(1), </w:t>
      </w:r>
      <w:hyperlink r:id="rId34">
        <w:r>
          <w:rPr>
            <w:rStyle w:val="Hyperlink"/>
            <w:lang w:val="en-US"/>
          </w:rPr>
          <w:t>https://doi.org/10.3389/fmicb.2019.01669</w:t>
        </w:r>
      </w:hyperlink>
      <w:r>
        <w:rPr>
          <w:lang w:val="en-US"/>
        </w:rPr>
        <w:t>.</w:t>
      </w:r>
    </w:p>
    <w:p w14:paraId="4134CBC1" w14:textId="77777777" w:rsidR="00347734" w:rsidRDefault="00347734">
      <w:pPr>
        <w:jc w:val="both"/>
        <w:rPr>
          <w:lang w:val="en-US"/>
        </w:rPr>
      </w:pPr>
    </w:p>
    <w:p w14:paraId="2179907E" w14:textId="77777777" w:rsidR="00347734" w:rsidRDefault="001F3B15">
      <w:pPr>
        <w:jc w:val="both"/>
        <w:rPr>
          <w:lang w:val="en-US"/>
        </w:rPr>
      </w:pPr>
      <w:r>
        <w:rPr>
          <w:lang w:val="en-US"/>
        </w:rPr>
        <w:t>30. Flores, C., Biano, K., de Filippis, I., Clementino, M. M., Romão, C. M. C. P. A. (2020). Genetic Relatedness of NDM-Producing Kleb</w:t>
      </w:r>
      <w:r>
        <w:rPr>
          <w:lang w:val="en-US"/>
        </w:rPr>
        <w:t xml:space="preserve">siella pneumoniae Co-Occurring VIM, KPC, and OXA-48 Enzymes from Surveillance Cultures from an Intensive Care Unit. </w:t>
      </w:r>
      <w:r>
        <w:rPr>
          <w:i/>
          <w:iCs/>
          <w:lang w:val="en-US"/>
        </w:rPr>
        <w:t xml:space="preserve">Microbial Drug </w:t>
      </w:r>
      <w:r>
        <w:rPr>
          <w:lang w:val="en-US"/>
        </w:rPr>
        <w:t xml:space="preserve">Resistance, 26(10), 1219-1226. </w:t>
      </w:r>
      <w:hyperlink r:id="rId35">
        <w:r>
          <w:rPr>
            <w:rStyle w:val="Hyperlink"/>
            <w:lang w:val="en-US"/>
          </w:rPr>
          <w:t>https://doi.org/10.1089/mdr.2019.0483</w:t>
        </w:r>
      </w:hyperlink>
      <w:r>
        <w:rPr>
          <w:lang w:val="en-US"/>
        </w:rPr>
        <w:t>.</w:t>
      </w:r>
    </w:p>
    <w:p w14:paraId="4FA90265" w14:textId="77777777" w:rsidR="00347734" w:rsidRDefault="00347734">
      <w:pPr>
        <w:jc w:val="both"/>
        <w:rPr>
          <w:lang w:val="en-US"/>
        </w:rPr>
      </w:pPr>
    </w:p>
    <w:p w14:paraId="21CDC79E" w14:textId="77777777" w:rsidR="00347734" w:rsidRDefault="001F3B15">
      <w:pPr>
        <w:jc w:val="both"/>
        <w:rPr>
          <w:lang w:val="en-US"/>
        </w:rPr>
      </w:pPr>
      <w:r>
        <w:rPr>
          <w:lang w:val="en-US"/>
        </w:rPr>
        <w:t xml:space="preserve">31. </w:t>
      </w:r>
      <w:proofErr w:type="spellStart"/>
      <w:r>
        <w:rPr>
          <w:lang w:val="en-US"/>
        </w:rPr>
        <w:t>Raro</w:t>
      </w:r>
      <w:proofErr w:type="spellEnd"/>
      <w:r>
        <w:rPr>
          <w:lang w:val="en-US"/>
        </w:rPr>
        <w:t xml:space="preserve">, O. H. F., da Silva, R. M. C., Filho-Rodrigues, E. M., Sukiennik, T. C. T., Stadnik, C., Dias, C. A. G., Iglesias, J. O., Vázquez-Pérez, M. (2020). </w:t>
      </w:r>
      <w:proofErr w:type="spellStart"/>
      <w:r>
        <w:rPr>
          <w:lang w:val="en-US"/>
        </w:rPr>
        <w:t>Carbapenemase</w:t>
      </w:r>
      <w:proofErr w:type="spellEnd"/>
      <w:r>
        <w:rPr>
          <w:lang w:val="en-US"/>
        </w:rPr>
        <w:t xml:space="preserve">-Producing Klebsiella pneumoniae From Transplanted Patients in Brazil: Phylogeny, </w:t>
      </w:r>
      <w:proofErr w:type="spellStart"/>
      <w:r>
        <w:rPr>
          <w:lang w:val="en-US"/>
        </w:rPr>
        <w:t>R</w:t>
      </w:r>
      <w:r>
        <w:rPr>
          <w:lang w:val="en-US"/>
        </w:rPr>
        <w:t>esistome</w:t>
      </w:r>
      <w:proofErr w:type="spellEnd"/>
      <w:r>
        <w:rPr>
          <w:lang w:val="en-US"/>
        </w:rPr>
        <w:t xml:space="preserve">, Virulome and Mobile Genetic Elements Harboring blaKPC-2 or blaNDM-1. </w:t>
      </w:r>
      <w:r>
        <w:rPr>
          <w:i/>
          <w:iCs/>
          <w:lang w:val="en-US"/>
        </w:rPr>
        <w:t>Front. Microbiol</w:t>
      </w:r>
      <w:r>
        <w:rPr>
          <w:lang w:val="en-US"/>
        </w:rPr>
        <w:t xml:space="preserve">. 11(1), 1563. </w:t>
      </w:r>
      <w:hyperlink r:id="rId36">
        <w:r>
          <w:rPr>
            <w:rStyle w:val="Hyperlink"/>
            <w:lang w:val="en-US"/>
          </w:rPr>
          <w:t>https://doi.org/10.3389/fmicb.2020.01563</w:t>
        </w:r>
      </w:hyperlink>
      <w:r>
        <w:rPr>
          <w:lang w:val="en-US"/>
        </w:rPr>
        <w:t>.</w:t>
      </w:r>
    </w:p>
    <w:p w14:paraId="6E6FB397" w14:textId="77777777" w:rsidR="00347734" w:rsidRDefault="00347734">
      <w:pPr>
        <w:jc w:val="both"/>
        <w:rPr>
          <w:lang w:val="en-US"/>
        </w:rPr>
      </w:pPr>
    </w:p>
    <w:p w14:paraId="4E4994BA" w14:textId="77777777" w:rsidR="00347734" w:rsidRDefault="001F3B15">
      <w:pPr>
        <w:jc w:val="both"/>
        <w:rPr>
          <w:lang w:val="en-US"/>
        </w:rPr>
      </w:pPr>
      <w:r>
        <w:rPr>
          <w:lang w:val="en-US"/>
        </w:rPr>
        <w:t xml:space="preserve">32. Firmo, E. F., Beltrão, E. M. B., da Silva, F. R. F., Alves, L. C., Brayner, F. A., Veras, D. L., Lopes, A. C. S. (2020). Association of blaNDM-1 with blaKPC-2 and aminoglycoside-modifying enzyme genes among Klebsiella pneumoniae, Proteus mirabilis and </w:t>
      </w:r>
      <w:r>
        <w:rPr>
          <w:lang w:val="en-US"/>
        </w:rPr>
        <w:t xml:space="preserve">Serratia marcescens clinical isolates in Brazil. </w:t>
      </w:r>
      <w:r>
        <w:rPr>
          <w:i/>
          <w:iCs/>
          <w:lang w:val="en-US"/>
        </w:rPr>
        <w:t>International Society for Antimicrobial Chemotherapy</w:t>
      </w:r>
      <w:r>
        <w:rPr>
          <w:lang w:val="en-US"/>
        </w:rPr>
        <w:t xml:space="preserve">, 21(1), 255-261. </w:t>
      </w:r>
      <w:hyperlink r:id="rId37">
        <w:r>
          <w:rPr>
            <w:rStyle w:val="Hyperlink"/>
            <w:lang w:val="en-US"/>
          </w:rPr>
          <w:t>http://dx.doi.org/10.1016/j.jgar.2019.08.026</w:t>
        </w:r>
      </w:hyperlink>
      <w:r>
        <w:rPr>
          <w:lang w:val="en-US"/>
        </w:rPr>
        <w:t>.</w:t>
      </w:r>
    </w:p>
    <w:p w14:paraId="77DB7A8F" w14:textId="77777777" w:rsidR="00347734" w:rsidRDefault="00347734">
      <w:pPr>
        <w:jc w:val="both"/>
        <w:rPr>
          <w:lang w:val="en-US"/>
        </w:rPr>
      </w:pPr>
    </w:p>
    <w:p w14:paraId="39F9BBBB" w14:textId="77777777" w:rsidR="00347734" w:rsidRDefault="001F3B15">
      <w:pPr>
        <w:jc w:val="both"/>
        <w:rPr>
          <w:lang w:val="en-US"/>
        </w:rPr>
      </w:pPr>
      <w:r>
        <w:rPr>
          <w:lang w:val="en-US"/>
        </w:rPr>
        <w:t xml:space="preserve">33. Vivas, R., Dolabella, </w:t>
      </w:r>
      <w:r>
        <w:rPr>
          <w:lang w:val="en-US"/>
        </w:rPr>
        <w:t xml:space="preserve">S. S., Barbosa, A. A. T., Jain, S. (2020). Prevalence of Klebsiella pneumoniae </w:t>
      </w:r>
      <w:proofErr w:type="spellStart"/>
      <w:r>
        <w:rPr>
          <w:lang w:val="en-US"/>
        </w:rPr>
        <w:t>carbapenemase</w:t>
      </w:r>
      <w:proofErr w:type="spellEnd"/>
      <w:r>
        <w:rPr>
          <w:lang w:val="en-US"/>
        </w:rPr>
        <w:t xml:space="preserve"> - and New Delhi metallo-beta-lactamase-positive K. pneumoniae in Sergipe, Brazil, and combination therapy as a potential treatment option. </w:t>
      </w:r>
      <w:r>
        <w:rPr>
          <w:i/>
          <w:iCs/>
          <w:lang w:val="en-US"/>
        </w:rPr>
        <w:t>Journal of the Brazilian</w:t>
      </w:r>
      <w:r>
        <w:rPr>
          <w:i/>
          <w:iCs/>
          <w:lang w:val="en-US"/>
        </w:rPr>
        <w:t xml:space="preserve"> Society of Tropical Medicine</w:t>
      </w:r>
      <w:r>
        <w:rPr>
          <w:lang w:val="en-US"/>
        </w:rPr>
        <w:t xml:space="preserve">, 52(1), 20200064. </w:t>
      </w:r>
      <w:hyperlink r:id="rId38">
        <w:r>
          <w:rPr>
            <w:rStyle w:val="Hyperlink"/>
            <w:lang w:val="en-US"/>
          </w:rPr>
          <w:t>https://doi.org/10.1590/0037-8682-0064-2020</w:t>
        </w:r>
      </w:hyperlink>
      <w:r>
        <w:rPr>
          <w:lang w:val="en-US"/>
        </w:rPr>
        <w:t>.</w:t>
      </w:r>
    </w:p>
    <w:p w14:paraId="3CA3D178" w14:textId="77777777" w:rsidR="00347734" w:rsidRDefault="00347734">
      <w:pPr>
        <w:jc w:val="both"/>
        <w:rPr>
          <w:lang w:val="en-US"/>
        </w:rPr>
      </w:pPr>
    </w:p>
    <w:p w14:paraId="73A7CEF1" w14:textId="77777777" w:rsidR="00347734" w:rsidRDefault="001F3B15">
      <w:pPr>
        <w:jc w:val="both"/>
        <w:rPr>
          <w:lang w:val="en-US"/>
        </w:rPr>
      </w:pPr>
      <w:r>
        <w:rPr>
          <w:lang w:val="en-US"/>
        </w:rPr>
        <w:t xml:space="preserve">34. de Oliveira, E. M., Beltrão, E. M. P. Scavavuzzi, A. M. L., Barros, J. F., Lopes. A. C. S. (2020). High plasmid variability, and the presence of </w:t>
      </w:r>
      <w:proofErr w:type="spellStart"/>
      <w:r>
        <w:rPr>
          <w:lang w:val="en-US"/>
        </w:rPr>
        <w:t>IncFIB</w:t>
      </w:r>
      <w:proofErr w:type="spellEnd"/>
      <w:r>
        <w:rPr>
          <w:lang w:val="en-US"/>
        </w:rPr>
        <w:t xml:space="preserve">, </w:t>
      </w:r>
      <w:proofErr w:type="spellStart"/>
      <w:r>
        <w:rPr>
          <w:lang w:val="en-US"/>
        </w:rPr>
        <w:t>IncQ</w:t>
      </w:r>
      <w:proofErr w:type="spellEnd"/>
      <w:r>
        <w:rPr>
          <w:lang w:val="en-US"/>
        </w:rPr>
        <w:t xml:space="preserve">, </w:t>
      </w:r>
      <w:proofErr w:type="spellStart"/>
      <w:r>
        <w:rPr>
          <w:lang w:val="en-US"/>
        </w:rPr>
        <w:t>IncA</w:t>
      </w:r>
      <w:proofErr w:type="spellEnd"/>
      <w:r>
        <w:rPr>
          <w:lang w:val="en-US"/>
        </w:rPr>
        <w:t xml:space="preserve">/C, IncHI1B, and </w:t>
      </w:r>
      <w:proofErr w:type="spellStart"/>
      <w:r>
        <w:rPr>
          <w:lang w:val="en-US"/>
        </w:rPr>
        <w:t>IncL</w:t>
      </w:r>
      <w:proofErr w:type="spellEnd"/>
      <w:r>
        <w:rPr>
          <w:lang w:val="en-US"/>
        </w:rPr>
        <w:t xml:space="preserve">/M in clinical isolates of Klebsiella pneumoniae with </w:t>
      </w:r>
      <w:proofErr w:type="spellStart"/>
      <w:r>
        <w:rPr>
          <w:lang w:val="en-US"/>
        </w:rPr>
        <w:t>blaKPC</w:t>
      </w:r>
      <w:proofErr w:type="spellEnd"/>
      <w:r>
        <w:rPr>
          <w:lang w:val="en-US"/>
        </w:rPr>
        <w:t xml:space="preserve"> and </w:t>
      </w:r>
      <w:proofErr w:type="spellStart"/>
      <w:r>
        <w:rPr>
          <w:lang w:val="en-US"/>
        </w:rPr>
        <w:t>bla</w:t>
      </w:r>
      <w:r>
        <w:rPr>
          <w:lang w:val="en-US"/>
        </w:rPr>
        <w:t>NDM</w:t>
      </w:r>
      <w:proofErr w:type="spellEnd"/>
      <w:r>
        <w:rPr>
          <w:lang w:val="en-US"/>
        </w:rPr>
        <w:t xml:space="preserve"> from patients at a public hospital in Brazil. </w:t>
      </w:r>
      <w:r>
        <w:rPr>
          <w:i/>
          <w:iCs/>
          <w:lang w:val="en-US"/>
        </w:rPr>
        <w:t>Journal of the Brazilian Society of Tropical Medicine</w:t>
      </w:r>
      <w:r>
        <w:rPr>
          <w:lang w:val="en-US"/>
        </w:rPr>
        <w:t xml:space="preserve">, 53(1), 20200397. </w:t>
      </w:r>
      <w:hyperlink r:id="rId39">
        <w:r>
          <w:rPr>
            <w:rStyle w:val="Hyperlink"/>
            <w:lang w:val="en-US"/>
          </w:rPr>
          <w:t>https://doi.org/10.1590/0037-8682-0397-2020</w:t>
        </w:r>
      </w:hyperlink>
      <w:r>
        <w:rPr>
          <w:lang w:val="en-US"/>
        </w:rPr>
        <w:t>.</w:t>
      </w:r>
    </w:p>
    <w:p w14:paraId="07BAF867" w14:textId="77777777" w:rsidR="00347734" w:rsidRDefault="00347734">
      <w:pPr>
        <w:jc w:val="both"/>
        <w:rPr>
          <w:lang w:val="en-US"/>
        </w:rPr>
      </w:pPr>
    </w:p>
    <w:p w14:paraId="2AD83CD8" w14:textId="77777777" w:rsidR="00347734" w:rsidRDefault="001F3B15">
      <w:pPr>
        <w:jc w:val="both"/>
        <w:rPr>
          <w:lang w:val="en-US"/>
        </w:rPr>
      </w:pPr>
      <w:r>
        <w:rPr>
          <w:lang w:val="en-US"/>
        </w:rPr>
        <w:t>35. Rodrigues, Y. C., Lob</w:t>
      </w:r>
      <w:r>
        <w:rPr>
          <w:lang w:val="en-US"/>
        </w:rPr>
        <w:t>ato, A. R. F., Quaresma, A. J. P. G.; Guerra, L. M. G. D.; Brasiliense, D. M. (2021). The Spread of NDM-1 and NDM-7-Producing Klebsiella pneumoniae Is Driven by Multiclonal Expansion of High-Risk Clones in Healthcare Institutions in the State of Pará, Braz</w:t>
      </w:r>
      <w:r>
        <w:rPr>
          <w:lang w:val="en-US"/>
        </w:rPr>
        <w:t xml:space="preserve">ilian Amazon Region. </w:t>
      </w:r>
      <w:r>
        <w:rPr>
          <w:i/>
          <w:iCs/>
          <w:lang w:val="en-US"/>
        </w:rPr>
        <w:t>Antibiotics</w:t>
      </w:r>
      <w:r>
        <w:rPr>
          <w:lang w:val="en-US"/>
        </w:rPr>
        <w:t xml:space="preserve">, 10(1), 1527. </w:t>
      </w:r>
      <w:hyperlink r:id="rId40">
        <w:r>
          <w:rPr>
            <w:rStyle w:val="Hyperlink"/>
            <w:lang w:val="en-US"/>
          </w:rPr>
          <w:t>https://doi.org/10.3390/antibiotics10121527</w:t>
        </w:r>
      </w:hyperlink>
      <w:r>
        <w:rPr>
          <w:lang w:val="en-US"/>
        </w:rPr>
        <w:t>.</w:t>
      </w:r>
    </w:p>
    <w:p w14:paraId="44A2F180" w14:textId="77777777" w:rsidR="00347734" w:rsidRDefault="00347734">
      <w:pPr>
        <w:jc w:val="both"/>
        <w:rPr>
          <w:lang w:val="en-US"/>
        </w:rPr>
      </w:pPr>
    </w:p>
    <w:p w14:paraId="3A179CD5" w14:textId="77777777" w:rsidR="00347734" w:rsidRDefault="001F3B15">
      <w:pPr>
        <w:jc w:val="both"/>
        <w:rPr>
          <w:lang w:val="en-US"/>
        </w:rPr>
      </w:pPr>
      <w:r>
        <w:rPr>
          <w:lang w:val="en-US"/>
        </w:rPr>
        <w:t>36. Lee, A. H. Y., Porto, W. F.</w:t>
      </w:r>
      <w:proofErr w:type="gramStart"/>
      <w:r>
        <w:rPr>
          <w:lang w:val="en-US"/>
        </w:rPr>
        <w:t>,  Jr</w:t>
      </w:r>
      <w:proofErr w:type="gramEnd"/>
      <w:r>
        <w:rPr>
          <w:lang w:val="en-US"/>
        </w:rPr>
        <w:t>, C. de F., Dias, S. C., Alencar, S. A., Pickard, D. J., Hancock</w:t>
      </w:r>
      <w:r>
        <w:rPr>
          <w:lang w:val="en-US"/>
        </w:rPr>
        <w:t xml:space="preserve">, R. E. W., Franco, O. L. (2021). Genomic insights into the diversity, virulence and resistance of Klebsiella pneumoniae extensively drug resistant clinical isolates. </w:t>
      </w:r>
      <w:r>
        <w:rPr>
          <w:i/>
          <w:iCs/>
          <w:lang w:val="en-US"/>
        </w:rPr>
        <w:t>Microbial Genomics</w:t>
      </w:r>
      <w:r>
        <w:rPr>
          <w:lang w:val="en-US"/>
        </w:rPr>
        <w:t xml:space="preserve">, 7(1), 000613. </w:t>
      </w:r>
      <w:hyperlink r:id="rId41">
        <w:r>
          <w:rPr>
            <w:rStyle w:val="Hyperlink"/>
            <w:lang w:val="en-US"/>
          </w:rPr>
          <w:t>https://doi.org/10.1099/mgen.0.000613</w:t>
        </w:r>
      </w:hyperlink>
      <w:r>
        <w:rPr>
          <w:lang w:val="en-US"/>
        </w:rPr>
        <w:t>.</w:t>
      </w:r>
    </w:p>
    <w:p w14:paraId="36E86F58" w14:textId="77777777" w:rsidR="00347734" w:rsidRDefault="00347734">
      <w:pPr>
        <w:jc w:val="both"/>
        <w:rPr>
          <w:lang w:val="en-US"/>
        </w:rPr>
      </w:pPr>
    </w:p>
    <w:p w14:paraId="0E046641" w14:textId="77777777" w:rsidR="00347734" w:rsidRDefault="001F3B15">
      <w:pPr>
        <w:jc w:val="both"/>
        <w:rPr>
          <w:lang w:val="en-US"/>
        </w:rPr>
      </w:pPr>
      <w:r>
        <w:rPr>
          <w:lang w:val="en-US"/>
        </w:rPr>
        <w:t xml:space="preserve">37. Silveira, M. C., Rocha-de-Souza, C. M., Santos, I. C. de O., Pontes, L. da S., Oliveira, T. R. T., Tavares-Teixeira, C. B., </w:t>
      </w:r>
      <w:proofErr w:type="spellStart"/>
      <w:r>
        <w:rPr>
          <w:lang w:val="en-US"/>
        </w:rPr>
        <w:t>Cossatis</w:t>
      </w:r>
      <w:proofErr w:type="spellEnd"/>
      <w:r>
        <w:rPr>
          <w:lang w:val="en-US"/>
        </w:rPr>
        <w:t>, N. de A., Pereira, N. F., Conceição-Neto, O. C., da Costa, B. S., Rodrigues.</w:t>
      </w:r>
      <w:r>
        <w:rPr>
          <w:lang w:val="en-US"/>
        </w:rPr>
        <w:t xml:space="preserve"> D. C. S., Albano, R. M., da Silva, F. A. B., Marques, E. A., Leão. R. S., Carvalho-Assef. A. P. D. (2021). Genetic Basis of Antimicrobial Resistant Gram-Negative Bacteria Isolated </w:t>
      </w:r>
      <w:proofErr w:type="gramStart"/>
      <w:r>
        <w:rPr>
          <w:lang w:val="en-US"/>
        </w:rPr>
        <w:t>From</w:t>
      </w:r>
      <w:proofErr w:type="gramEnd"/>
      <w:r>
        <w:rPr>
          <w:lang w:val="en-US"/>
        </w:rPr>
        <w:t xml:space="preserve"> Bloodstream in Brazil. </w:t>
      </w:r>
      <w:r>
        <w:rPr>
          <w:i/>
          <w:iCs/>
          <w:lang w:val="en-US"/>
        </w:rPr>
        <w:t>Front. Med.</w:t>
      </w:r>
      <w:r>
        <w:rPr>
          <w:lang w:val="en-US"/>
        </w:rPr>
        <w:t xml:space="preserve">, 8(1), 635206. </w:t>
      </w:r>
      <w:hyperlink r:id="rId42">
        <w:r>
          <w:rPr>
            <w:rStyle w:val="Hyperlink"/>
            <w:lang w:val="en-US"/>
          </w:rPr>
          <w:t>https://doi.org/10.3389/fmed.2021.635206</w:t>
        </w:r>
      </w:hyperlink>
      <w:r>
        <w:rPr>
          <w:lang w:val="en-US"/>
        </w:rPr>
        <w:t>.</w:t>
      </w:r>
    </w:p>
    <w:p w14:paraId="59D37293" w14:textId="77777777" w:rsidR="00347734" w:rsidRDefault="00347734">
      <w:pPr>
        <w:jc w:val="both"/>
        <w:rPr>
          <w:lang w:val="en-US"/>
        </w:rPr>
      </w:pPr>
    </w:p>
    <w:p w14:paraId="1FDF5CA1" w14:textId="77777777" w:rsidR="00347734" w:rsidRDefault="001F3B15">
      <w:pPr>
        <w:jc w:val="both"/>
        <w:rPr>
          <w:lang w:val="en-US"/>
        </w:rPr>
      </w:pPr>
      <w:r>
        <w:rPr>
          <w:lang w:val="en-US"/>
        </w:rPr>
        <w:t xml:space="preserve">38. Migliorini, L. B., de Sales, R. O., Koga, P. C. M., Doi, A. M., Poehlein, A.; Toniolo, A. R., Menezes, F. G., Martino, M. D. V., Gales, A. C., Brüggemann, H., Severino, </w:t>
      </w:r>
      <w:r>
        <w:rPr>
          <w:lang w:val="en-US"/>
        </w:rPr>
        <w:t xml:space="preserve">P. (2021). Prevalence of blaKPC-2, blaKPC-3 and blaKPC-30—Carrying Plasmids in Klebsiella pneumoniae Isolated in a Brazilian Hospital. </w:t>
      </w:r>
      <w:r>
        <w:rPr>
          <w:i/>
          <w:iCs/>
          <w:lang w:val="en-US"/>
        </w:rPr>
        <w:t>Pathogens</w:t>
      </w:r>
      <w:r>
        <w:rPr>
          <w:lang w:val="en-US"/>
        </w:rPr>
        <w:t xml:space="preserve">, 10(1), 332. </w:t>
      </w:r>
      <w:hyperlink r:id="rId43">
        <w:r>
          <w:rPr>
            <w:rStyle w:val="Hyperlink"/>
            <w:lang w:val="en-US"/>
          </w:rPr>
          <w:t>https://doi.org/10.3390/pathogens1003</w:t>
        </w:r>
        <w:r>
          <w:rPr>
            <w:rStyle w:val="Hyperlink"/>
            <w:lang w:val="en-US"/>
          </w:rPr>
          <w:t>0332</w:t>
        </w:r>
      </w:hyperlink>
      <w:r>
        <w:rPr>
          <w:lang w:val="en-US"/>
        </w:rPr>
        <w:t>.</w:t>
      </w:r>
    </w:p>
    <w:p w14:paraId="56F13D31" w14:textId="77777777" w:rsidR="00347734" w:rsidRDefault="00347734">
      <w:pPr>
        <w:jc w:val="both"/>
        <w:rPr>
          <w:lang w:val="en-US"/>
        </w:rPr>
      </w:pPr>
    </w:p>
    <w:p w14:paraId="7FC55D2F" w14:textId="77777777" w:rsidR="00347734" w:rsidRDefault="001F3B15">
      <w:pPr>
        <w:jc w:val="both"/>
        <w:rPr>
          <w:lang w:val="en-US"/>
        </w:rPr>
      </w:pPr>
      <w:r>
        <w:rPr>
          <w:lang w:val="en-US"/>
        </w:rPr>
        <w:t>39. Sampaio, S. C. F., Carvalho, R. de L. B., Mimica, M. J., da Silva, C. B., Mimica, L. M. J., de Lima, A. V., Lima, K. de O., Rocha, D. A. da C., Sampaio, J. L. M. (2021). Genotyping of paired KPC</w:t>
      </w:r>
      <w:r>
        <w:rPr>
          <w:lang w:val="en-US"/>
        </w:rPr>
        <w:noBreakHyphen/>
        <w:t xml:space="preserve">producing Klebsiella pneumoniae isolates with and </w:t>
      </w:r>
      <w:r>
        <w:rPr>
          <w:lang w:val="en-US"/>
        </w:rPr>
        <w:t>without divergent polymyxin B susceptibility profiles.</w:t>
      </w:r>
      <w:r>
        <w:rPr>
          <w:i/>
          <w:iCs/>
          <w:lang w:val="en-US"/>
        </w:rPr>
        <w:t xml:space="preserve"> Brazilian Journal of Microbiology, </w:t>
      </w:r>
      <w:r>
        <w:rPr>
          <w:lang w:val="en-US"/>
        </w:rPr>
        <w:t xml:space="preserve">52(1), 1981–1989. </w:t>
      </w:r>
      <w:hyperlink r:id="rId44">
        <w:r>
          <w:rPr>
            <w:rStyle w:val="Hyperlink"/>
            <w:lang w:val="en-US"/>
          </w:rPr>
          <w:t>https://doi.org/10.1007/s42770-021-00600-5</w:t>
        </w:r>
      </w:hyperlink>
      <w:r>
        <w:rPr>
          <w:lang w:val="en-US"/>
        </w:rPr>
        <w:t>.</w:t>
      </w:r>
    </w:p>
    <w:p w14:paraId="5194D2DA" w14:textId="77777777" w:rsidR="00347734" w:rsidRDefault="00347734">
      <w:pPr>
        <w:jc w:val="both"/>
        <w:rPr>
          <w:lang w:val="en-US"/>
        </w:rPr>
      </w:pPr>
    </w:p>
    <w:p w14:paraId="5569DBEC" w14:textId="77777777" w:rsidR="00347734" w:rsidRDefault="001F3B15">
      <w:pPr>
        <w:jc w:val="both"/>
        <w:rPr>
          <w:lang w:val="en-US"/>
        </w:rPr>
      </w:pPr>
      <w:r>
        <w:rPr>
          <w:lang w:val="en-US"/>
        </w:rPr>
        <w:lastRenderedPageBreak/>
        <w:t xml:space="preserve">40. Gaspar, G. G., </w:t>
      </w:r>
      <w:proofErr w:type="spellStart"/>
      <w:r>
        <w:rPr>
          <w:lang w:val="en-US"/>
        </w:rPr>
        <w:t>Tamasco</w:t>
      </w:r>
      <w:proofErr w:type="spellEnd"/>
      <w:r>
        <w:rPr>
          <w:lang w:val="en-US"/>
        </w:rPr>
        <w:t xml:space="preserve">, G., </w:t>
      </w:r>
      <w:proofErr w:type="spellStart"/>
      <w:r>
        <w:rPr>
          <w:lang w:val="en-US"/>
        </w:rPr>
        <w:t>Abichabki</w:t>
      </w:r>
      <w:proofErr w:type="spellEnd"/>
      <w:r>
        <w:rPr>
          <w:lang w:val="en-US"/>
        </w:rPr>
        <w:t xml:space="preserve">, N., </w:t>
      </w:r>
      <w:proofErr w:type="spellStart"/>
      <w:r>
        <w:rPr>
          <w:lang w:val="en-US"/>
        </w:rPr>
        <w:t>Scaranello</w:t>
      </w:r>
      <w:proofErr w:type="spellEnd"/>
      <w:r>
        <w:rPr>
          <w:lang w:val="en-US"/>
        </w:rPr>
        <w:t xml:space="preserve">, A. F. T., Auxiliadora-Martins, M., Pocente, R., Andrade, L. N., </w:t>
      </w:r>
      <w:proofErr w:type="spellStart"/>
      <w:r>
        <w:rPr>
          <w:lang w:val="en-US"/>
        </w:rPr>
        <w:t>Guazzaroni</w:t>
      </w:r>
      <w:proofErr w:type="spellEnd"/>
      <w:r>
        <w:rPr>
          <w:lang w:val="en-US"/>
        </w:rPr>
        <w:t xml:space="preserve">, M. E., Silva-Rocha, R., </w:t>
      </w:r>
      <w:proofErr w:type="spellStart"/>
      <w:r>
        <w:rPr>
          <w:lang w:val="en-US"/>
        </w:rPr>
        <w:t>Bollela</w:t>
      </w:r>
      <w:proofErr w:type="spellEnd"/>
      <w:r>
        <w:rPr>
          <w:lang w:val="en-US"/>
        </w:rPr>
        <w:t>, V. R. (2022). Nosocomial Outbreak of Extensively Drug-Resistant (Polymyxin B and Carbapenem) Klebsiella pneumoniae in a Collapsed</w:t>
      </w:r>
      <w:r>
        <w:rPr>
          <w:lang w:val="en-US"/>
        </w:rPr>
        <w:t xml:space="preserve"> University Hospital Due to COVID-19 Pandemic. </w:t>
      </w:r>
      <w:r>
        <w:rPr>
          <w:i/>
          <w:iCs/>
          <w:lang w:val="en-US"/>
        </w:rPr>
        <w:t>Antibiotics</w:t>
      </w:r>
      <w:r>
        <w:rPr>
          <w:lang w:val="en-US"/>
        </w:rPr>
        <w:t xml:space="preserve">, 11(1), 814. </w:t>
      </w:r>
      <w:hyperlink r:id="rId45">
        <w:r>
          <w:rPr>
            <w:rStyle w:val="Hyperlink"/>
            <w:lang w:val="en-US"/>
          </w:rPr>
          <w:t>https://doi.org/10.3390/antibiotics11060814</w:t>
        </w:r>
      </w:hyperlink>
      <w:r>
        <w:rPr>
          <w:lang w:val="en-US"/>
        </w:rPr>
        <w:t>.</w:t>
      </w:r>
    </w:p>
    <w:p w14:paraId="5926C7B2" w14:textId="77777777" w:rsidR="00347734" w:rsidRDefault="00347734">
      <w:pPr>
        <w:jc w:val="both"/>
        <w:rPr>
          <w:lang w:val="en-US"/>
        </w:rPr>
      </w:pPr>
    </w:p>
    <w:p w14:paraId="3FC7E522" w14:textId="77777777" w:rsidR="00347734" w:rsidRDefault="001F3B15">
      <w:pPr>
        <w:jc w:val="both"/>
        <w:rPr>
          <w:lang w:val="en-US"/>
        </w:rPr>
      </w:pPr>
      <w:r>
        <w:rPr>
          <w:lang w:val="en-US"/>
        </w:rPr>
        <w:t>41. Rocha, V. F. D., Barbosa, M. S., Leal, H. F., Silva, G. E. O., Sales, N</w:t>
      </w:r>
      <w:r>
        <w:rPr>
          <w:lang w:val="en-US"/>
        </w:rPr>
        <w:t>. M. M. D., Monteiro, A. S. S., Azevedo. J., Malheiros. A. R. X., Ataide. L. A., Moreira, B. M., Reis, M. G., Bahia, F. M. M., Reis, J. N. (2022). Prolonged Outbreak of Carbapenem and Colistin-Resistant Klebsiella pneumoniae at a Large Tertiary Hospital in</w:t>
      </w:r>
      <w:r>
        <w:rPr>
          <w:lang w:val="en-US"/>
        </w:rPr>
        <w:t xml:space="preserve"> Brazil. </w:t>
      </w:r>
      <w:r>
        <w:rPr>
          <w:i/>
          <w:iCs/>
          <w:lang w:val="en-US"/>
        </w:rPr>
        <w:t>Front. Microbiol.</w:t>
      </w:r>
      <w:r>
        <w:rPr>
          <w:lang w:val="en-US"/>
        </w:rPr>
        <w:t xml:space="preserve">, 13(1), 831770. </w:t>
      </w:r>
      <w:hyperlink r:id="rId46">
        <w:r>
          <w:rPr>
            <w:rStyle w:val="Hyperlink"/>
            <w:lang w:val="en-US"/>
          </w:rPr>
          <w:t>https://doi.org/10.3389/fmicb.2022.831770</w:t>
        </w:r>
      </w:hyperlink>
      <w:r>
        <w:rPr>
          <w:lang w:val="en-US"/>
        </w:rPr>
        <w:t>.</w:t>
      </w:r>
    </w:p>
    <w:p w14:paraId="72AE31A6" w14:textId="77777777" w:rsidR="00347734" w:rsidRDefault="00347734">
      <w:pPr>
        <w:jc w:val="both"/>
        <w:rPr>
          <w:lang w:val="en-US"/>
        </w:rPr>
      </w:pPr>
    </w:p>
    <w:p w14:paraId="1FB3A784" w14:textId="77777777" w:rsidR="00347734" w:rsidRDefault="001F3B15">
      <w:pPr>
        <w:jc w:val="both"/>
        <w:rPr>
          <w:lang w:val="en-US"/>
        </w:rPr>
      </w:pPr>
      <w:r>
        <w:rPr>
          <w:lang w:val="en-US"/>
        </w:rPr>
        <w:t>42. Neto, O. C. C., da Costa, B. S., Pontes, L. da S., Silveira, M. C., Justo-da-Silva, L. H., Santos, I. C. de O., Teixeira, C. B. T., Tavares e Oliveira, T. R., Hermes, F. S., Galvão, T. C., Antunes, L. C. M., Rocha-de-Souza, C. M., Carvalho-Assef, A. P.</w:t>
      </w:r>
      <w:r>
        <w:rPr>
          <w:lang w:val="en-US"/>
        </w:rPr>
        <w:t xml:space="preserve"> D (2022). Polymyxin Resistance in Clinical Isolates of K. pneumoniae in Brazil: Update on Molecular Mechanisms, Clonal Dissemination and Relationship With KPC-Producing Strains. </w:t>
      </w:r>
      <w:r>
        <w:rPr>
          <w:i/>
          <w:iCs/>
          <w:lang w:val="en-US"/>
        </w:rPr>
        <w:t>Front. Cell. Infect. Microbiol.</w:t>
      </w:r>
      <w:r>
        <w:rPr>
          <w:lang w:val="en-US"/>
        </w:rPr>
        <w:t xml:space="preserve"> 12(1), 898125. </w:t>
      </w:r>
      <w:hyperlink r:id="rId47">
        <w:r>
          <w:rPr>
            <w:rStyle w:val="Hyperlink"/>
            <w:lang w:val="en-US"/>
          </w:rPr>
          <w:t>https://doi.org/10.3389/fcimb.2022.898125</w:t>
        </w:r>
      </w:hyperlink>
      <w:r>
        <w:rPr>
          <w:lang w:val="en-US"/>
        </w:rPr>
        <w:t>.</w:t>
      </w:r>
    </w:p>
    <w:p w14:paraId="4A2E3052" w14:textId="77777777" w:rsidR="00347734" w:rsidRDefault="00347734">
      <w:pPr>
        <w:jc w:val="both"/>
        <w:rPr>
          <w:lang w:val="en-US"/>
        </w:rPr>
      </w:pPr>
    </w:p>
    <w:p w14:paraId="69008A8F" w14:textId="77777777" w:rsidR="00347734" w:rsidRDefault="001F3B15">
      <w:pPr>
        <w:jc w:val="both"/>
        <w:rPr>
          <w:i/>
          <w:iCs/>
          <w:lang w:val="en-US"/>
        </w:rPr>
      </w:pPr>
      <w:r>
        <w:rPr>
          <w:lang w:val="en-US"/>
        </w:rPr>
        <w:t xml:space="preserve">43. Barroso, M. do V., da Silva, C. R., Benfatti, L. R., </w:t>
      </w:r>
      <w:proofErr w:type="spellStart"/>
      <w:r>
        <w:rPr>
          <w:lang w:val="en-US"/>
        </w:rPr>
        <w:t>Gozi</w:t>
      </w:r>
      <w:proofErr w:type="spellEnd"/>
      <w:r>
        <w:rPr>
          <w:lang w:val="en-US"/>
        </w:rPr>
        <w:t xml:space="preserve">, K. S., de Andrade, L. K., Andrade, L. N., </w:t>
      </w:r>
      <w:proofErr w:type="spellStart"/>
      <w:r>
        <w:rPr>
          <w:lang w:val="en-US"/>
        </w:rPr>
        <w:t>Estofolete</w:t>
      </w:r>
      <w:proofErr w:type="spellEnd"/>
      <w:r>
        <w:rPr>
          <w:lang w:val="en-US"/>
        </w:rPr>
        <w:t xml:space="preserve">, C. F., Nogueira, M. C. L., Casella, T. (2023). Characterization </w:t>
      </w:r>
      <w:r>
        <w:rPr>
          <w:lang w:val="en-US"/>
        </w:rPr>
        <w:t xml:space="preserve">of KPC-2-producing Klebsiella pneumoniae and affected patients of a pediatric hospital in Brazil. </w:t>
      </w:r>
      <w:r>
        <w:rPr>
          <w:i/>
          <w:iCs/>
          <w:lang w:val="en-US"/>
        </w:rPr>
        <w:t>Diagnostic Microbiology and Infectious Disease</w:t>
      </w:r>
      <w:r>
        <w:rPr>
          <w:lang w:val="en-US"/>
        </w:rPr>
        <w:t xml:space="preserve">, 106(2), 115932. </w:t>
      </w:r>
      <w:hyperlink r:id="rId48">
        <w:r>
          <w:rPr>
            <w:rStyle w:val="Hyperlink"/>
            <w:lang w:val="en-US"/>
          </w:rPr>
          <w:t>https://doi.org/10.1016/</w:t>
        </w:r>
        <w:r>
          <w:rPr>
            <w:rStyle w:val="Hyperlink"/>
            <w:lang w:val="en-US"/>
          </w:rPr>
          <w:t>j.diagmicrobio.2023.115932</w:t>
        </w:r>
      </w:hyperlink>
      <w:r>
        <w:rPr>
          <w:lang w:val="en-US"/>
        </w:rPr>
        <w:t>.</w:t>
      </w:r>
    </w:p>
    <w:p w14:paraId="54D088CF" w14:textId="77777777" w:rsidR="00347734" w:rsidRDefault="00347734">
      <w:pPr>
        <w:jc w:val="both"/>
        <w:rPr>
          <w:i/>
          <w:iCs/>
          <w:lang w:val="en-US"/>
        </w:rPr>
      </w:pPr>
    </w:p>
    <w:p w14:paraId="5F1D4683" w14:textId="77777777" w:rsidR="00347734" w:rsidRDefault="001F3B15">
      <w:pPr>
        <w:jc w:val="both"/>
        <w:rPr>
          <w:lang w:val="en-US"/>
        </w:rPr>
      </w:pPr>
      <w:r>
        <w:rPr>
          <w:lang w:val="en-US"/>
        </w:rPr>
        <w:t xml:space="preserve">44. dos Santos, L. A. </w:t>
      </w:r>
      <w:proofErr w:type="spellStart"/>
      <w:r>
        <w:rPr>
          <w:lang w:val="en-US"/>
        </w:rPr>
        <w:t>Cayô</w:t>
      </w:r>
      <w:proofErr w:type="spellEnd"/>
      <w:r>
        <w:rPr>
          <w:lang w:val="en-US"/>
        </w:rPr>
        <w:t xml:space="preserve">, R., Valiatti, T. B., Gales, A. C., de Araújo, L. F. B., Rodrigues, F. M., de Carvalho, F. M., Vaz, M. A. B., </w:t>
      </w:r>
      <w:proofErr w:type="spellStart"/>
      <w:r>
        <w:rPr>
          <w:lang w:val="en-US"/>
        </w:rPr>
        <w:t>Campanharo</w:t>
      </w:r>
      <w:proofErr w:type="spellEnd"/>
      <w:r>
        <w:rPr>
          <w:lang w:val="en-US"/>
        </w:rPr>
        <w:t>, M. (2024). Biodiversity of carbapenem</w:t>
      </w:r>
      <w:r>
        <w:rPr>
          <w:lang w:val="en-US"/>
        </w:rPr>
        <w:noBreakHyphen/>
        <w:t>resistant bacteria in clinical samples f</w:t>
      </w:r>
      <w:r>
        <w:rPr>
          <w:lang w:val="en-US"/>
        </w:rPr>
        <w:t xml:space="preserve">rom the Southwest Amazon region (Rondônia/Brazil). </w:t>
      </w:r>
      <w:r>
        <w:rPr>
          <w:i/>
          <w:iCs/>
          <w:lang w:val="en-US"/>
        </w:rPr>
        <w:t>Scientific Reports</w:t>
      </w:r>
      <w:r>
        <w:rPr>
          <w:lang w:val="en-US"/>
        </w:rPr>
        <w:t xml:space="preserve">, 14(1), 9383. </w:t>
      </w:r>
      <w:hyperlink r:id="rId49">
        <w:r>
          <w:rPr>
            <w:rStyle w:val="Hyperlink"/>
            <w:lang w:val="en-US"/>
          </w:rPr>
          <w:t>https://doi.org/10.1038/s41598-024-59733-w</w:t>
        </w:r>
      </w:hyperlink>
      <w:r>
        <w:rPr>
          <w:lang w:val="en-US"/>
        </w:rPr>
        <w:t>.</w:t>
      </w:r>
    </w:p>
    <w:p w14:paraId="0126FD37" w14:textId="77777777" w:rsidR="00347734" w:rsidRDefault="00347734">
      <w:pPr>
        <w:jc w:val="both"/>
        <w:rPr>
          <w:lang w:val="en-US"/>
        </w:rPr>
      </w:pPr>
    </w:p>
    <w:p w14:paraId="4FCCD07D" w14:textId="77777777" w:rsidR="00347734" w:rsidRDefault="001F3B15">
      <w:pPr>
        <w:jc w:val="both"/>
        <w:rPr>
          <w:rStyle w:val="Hyperlink"/>
          <w:lang w:val="en-US"/>
        </w:rPr>
      </w:pPr>
      <w:r>
        <w:rPr>
          <w:lang w:val="en-US"/>
        </w:rPr>
        <w:t>45. Silva, M. R. C., Meurer, I. R., Vicenti, C. M., Junqueira, M.</w:t>
      </w:r>
      <w:r>
        <w:rPr>
          <w:lang w:val="en-US"/>
        </w:rPr>
        <w:t xml:space="preserve"> de L., </w:t>
      </w:r>
      <w:proofErr w:type="spellStart"/>
      <w:r>
        <w:rPr>
          <w:lang w:val="en-US"/>
        </w:rPr>
        <w:t>Fochat</w:t>
      </w:r>
      <w:proofErr w:type="spellEnd"/>
      <w:r>
        <w:rPr>
          <w:lang w:val="en-US"/>
        </w:rPr>
        <w:t xml:space="preserve">, R. C., de Souza, B. M., Silva, M. R., Garcia, P. G. (2024). </w:t>
      </w:r>
      <w:proofErr w:type="spellStart"/>
      <w:r>
        <w:rPr>
          <w:lang w:val="en-US"/>
        </w:rPr>
        <w:t>Prevalência</w:t>
      </w:r>
      <w:proofErr w:type="spellEnd"/>
      <w:r>
        <w:rPr>
          <w:lang w:val="en-US"/>
        </w:rPr>
        <w:t xml:space="preserve"> e </w:t>
      </w:r>
      <w:proofErr w:type="spellStart"/>
      <w:r>
        <w:rPr>
          <w:lang w:val="en-US"/>
        </w:rPr>
        <w:t>perfil</w:t>
      </w:r>
      <w:proofErr w:type="spellEnd"/>
      <w:r>
        <w:rPr>
          <w:lang w:val="en-US"/>
        </w:rPr>
        <w:t xml:space="preserve"> de </w:t>
      </w:r>
      <w:proofErr w:type="spellStart"/>
      <w:r>
        <w:rPr>
          <w:lang w:val="en-US"/>
        </w:rPr>
        <w:t>resistência</w:t>
      </w:r>
      <w:proofErr w:type="spellEnd"/>
      <w:r>
        <w:rPr>
          <w:lang w:val="en-US"/>
        </w:rPr>
        <w:t xml:space="preserve"> </w:t>
      </w:r>
      <w:proofErr w:type="spellStart"/>
      <w:r>
        <w:rPr>
          <w:lang w:val="en-US"/>
        </w:rPr>
        <w:t>aos</w:t>
      </w:r>
      <w:proofErr w:type="spellEnd"/>
      <w:r>
        <w:rPr>
          <w:lang w:val="en-US"/>
        </w:rPr>
        <w:t xml:space="preserve"> </w:t>
      </w:r>
      <w:proofErr w:type="spellStart"/>
      <w:r>
        <w:rPr>
          <w:lang w:val="en-US"/>
        </w:rPr>
        <w:t>carbapenêmicos</w:t>
      </w:r>
      <w:proofErr w:type="spellEnd"/>
      <w:r>
        <w:rPr>
          <w:lang w:val="en-US"/>
        </w:rPr>
        <w:t xml:space="preserve"> de </w:t>
      </w:r>
      <w:proofErr w:type="spellStart"/>
      <w:r>
        <w:rPr>
          <w:lang w:val="en-US"/>
        </w:rPr>
        <w:t>Enterobacterales</w:t>
      </w:r>
      <w:proofErr w:type="spellEnd"/>
      <w:r>
        <w:rPr>
          <w:lang w:val="en-US"/>
        </w:rPr>
        <w:t xml:space="preserve"> </w:t>
      </w:r>
      <w:proofErr w:type="spellStart"/>
      <w:r>
        <w:rPr>
          <w:lang w:val="en-US"/>
        </w:rPr>
        <w:t>isoladas</w:t>
      </w:r>
      <w:proofErr w:type="spellEnd"/>
      <w:r>
        <w:rPr>
          <w:lang w:val="en-US"/>
        </w:rPr>
        <w:t xml:space="preserve"> de </w:t>
      </w:r>
      <w:proofErr w:type="spellStart"/>
      <w:r>
        <w:rPr>
          <w:lang w:val="en-US"/>
        </w:rPr>
        <w:t>aspirado</w:t>
      </w:r>
      <w:proofErr w:type="spellEnd"/>
      <w:r>
        <w:rPr>
          <w:lang w:val="en-US"/>
        </w:rPr>
        <w:t xml:space="preserve"> </w:t>
      </w:r>
      <w:proofErr w:type="spellStart"/>
      <w:r>
        <w:rPr>
          <w:lang w:val="en-US"/>
        </w:rPr>
        <w:t>traqueal</w:t>
      </w:r>
      <w:proofErr w:type="spellEnd"/>
      <w:r>
        <w:rPr>
          <w:lang w:val="en-US"/>
        </w:rPr>
        <w:t xml:space="preserve"> de </w:t>
      </w:r>
      <w:proofErr w:type="spellStart"/>
      <w:r>
        <w:rPr>
          <w:lang w:val="en-US"/>
        </w:rPr>
        <w:t>pacientes</w:t>
      </w:r>
      <w:proofErr w:type="spellEnd"/>
      <w:r>
        <w:rPr>
          <w:lang w:val="en-US"/>
        </w:rPr>
        <w:t xml:space="preserve"> </w:t>
      </w:r>
      <w:proofErr w:type="spellStart"/>
      <w:r>
        <w:rPr>
          <w:lang w:val="en-US"/>
        </w:rPr>
        <w:t>internados</w:t>
      </w:r>
      <w:proofErr w:type="spellEnd"/>
      <w:r>
        <w:rPr>
          <w:lang w:val="en-US"/>
        </w:rPr>
        <w:t xml:space="preserve"> </w:t>
      </w:r>
      <w:proofErr w:type="spellStart"/>
      <w:r>
        <w:rPr>
          <w:lang w:val="en-US"/>
        </w:rPr>
        <w:t>em</w:t>
      </w:r>
      <w:proofErr w:type="spellEnd"/>
      <w:r>
        <w:rPr>
          <w:lang w:val="en-US"/>
        </w:rPr>
        <w:t xml:space="preserve"> um hospital </w:t>
      </w:r>
      <w:proofErr w:type="spellStart"/>
      <w:r>
        <w:rPr>
          <w:lang w:val="en-US"/>
        </w:rPr>
        <w:t>universitário</w:t>
      </w:r>
      <w:proofErr w:type="spellEnd"/>
      <w:r>
        <w:rPr>
          <w:lang w:val="en-US"/>
        </w:rPr>
        <w:t xml:space="preserve">. </w:t>
      </w:r>
      <w:proofErr w:type="spellStart"/>
      <w:r>
        <w:rPr>
          <w:i/>
          <w:iCs/>
          <w:lang w:val="en-US"/>
        </w:rPr>
        <w:t>Eletronic</w:t>
      </w:r>
      <w:proofErr w:type="spellEnd"/>
      <w:r>
        <w:rPr>
          <w:i/>
          <w:iCs/>
          <w:lang w:val="en-US"/>
        </w:rPr>
        <w:t xml:space="preserve"> Journal Col</w:t>
      </w:r>
      <w:r>
        <w:rPr>
          <w:i/>
          <w:iCs/>
          <w:lang w:val="en-US"/>
        </w:rPr>
        <w:t xml:space="preserve">lection Health, </w:t>
      </w:r>
      <w:r>
        <w:rPr>
          <w:lang w:val="en-US"/>
        </w:rPr>
        <w:t xml:space="preserve">24(1). </w:t>
      </w:r>
      <w:hyperlink r:id="rId50">
        <w:r>
          <w:rPr>
            <w:rStyle w:val="Hyperlink"/>
            <w:lang w:val="en-US"/>
          </w:rPr>
          <w:t>https://doi.org/10.25248/REAS.e14830.2024</w:t>
        </w:r>
      </w:hyperlink>
    </w:p>
    <w:p w14:paraId="7F673D60" w14:textId="77777777" w:rsidR="00347734" w:rsidRDefault="00347734">
      <w:pPr>
        <w:jc w:val="both"/>
        <w:rPr>
          <w:rStyle w:val="Hyperlink"/>
          <w:lang w:val="en-US"/>
        </w:rPr>
      </w:pPr>
    </w:p>
    <w:p w14:paraId="36AA7BBE" w14:textId="77777777" w:rsidR="00347734" w:rsidRDefault="001F3B15">
      <w:pPr>
        <w:jc w:val="both"/>
        <w:rPr>
          <w:lang w:val="en-US"/>
        </w:rPr>
      </w:pPr>
      <w:r>
        <w:rPr>
          <w:lang w:val="en-US"/>
        </w:rPr>
        <w:t xml:space="preserve">46. Sisay, A., Kumie, G., Gashaw, Y., </w:t>
      </w:r>
      <w:proofErr w:type="spellStart"/>
      <w:r>
        <w:rPr>
          <w:lang w:val="en-US"/>
        </w:rPr>
        <w:t>Nigatie</w:t>
      </w:r>
      <w:proofErr w:type="spellEnd"/>
      <w:r>
        <w:rPr>
          <w:lang w:val="en-US"/>
        </w:rPr>
        <w:t>, M., Gebray, H. M., &amp; Reta, M. A. (2025). Prevalence of genes encoding carbapenem-r</w:t>
      </w:r>
      <w:r>
        <w:rPr>
          <w:lang w:val="en-US"/>
        </w:rPr>
        <w:t>esistance in Klebsiella pneumoniae recovered from clinical samples in Africa: systematic review and meta-analysis. </w:t>
      </w:r>
      <w:r>
        <w:rPr>
          <w:i/>
          <w:iCs/>
          <w:lang w:val="en-US"/>
        </w:rPr>
        <w:t>BMC Infectious Diseases</w:t>
      </w:r>
      <w:r>
        <w:rPr>
          <w:lang w:val="en-US"/>
        </w:rPr>
        <w:t>, </w:t>
      </w:r>
      <w:r>
        <w:rPr>
          <w:i/>
          <w:iCs/>
          <w:lang w:val="en-US"/>
        </w:rPr>
        <w:t>25</w:t>
      </w:r>
      <w:r>
        <w:rPr>
          <w:lang w:val="en-US"/>
        </w:rPr>
        <w:t>(1), 1-22.</w:t>
      </w:r>
    </w:p>
    <w:p w14:paraId="455A0935" w14:textId="77777777" w:rsidR="00347734" w:rsidRDefault="00347734">
      <w:pPr>
        <w:jc w:val="both"/>
        <w:rPr>
          <w:lang w:val="en-US"/>
        </w:rPr>
      </w:pPr>
    </w:p>
    <w:p w14:paraId="2A200049" w14:textId="77777777" w:rsidR="00347734" w:rsidRDefault="001F3B15">
      <w:pPr>
        <w:jc w:val="both"/>
        <w:rPr>
          <w:lang w:val="en-US"/>
        </w:rPr>
      </w:pPr>
      <w:r>
        <w:rPr>
          <w:lang w:val="en-US"/>
        </w:rPr>
        <w:t xml:space="preserve">47. Nasiri, M. J., </w:t>
      </w:r>
      <w:proofErr w:type="spellStart"/>
      <w:r>
        <w:rPr>
          <w:lang w:val="en-US"/>
        </w:rPr>
        <w:t>Mirsaeidi</w:t>
      </w:r>
      <w:proofErr w:type="spellEnd"/>
      <w:r>
        <w:rPr>
          <w:lang w:val="en-US"/>
        </w:rPr>
        <w:t xml:space="preserve">, M., Mousavi, S. M. J., Arshadi, M., </w:t>
      </w:r>
      <w:proofErr w:type="spellStart"/>
      <w:r>
        <w:rPr>
          <w:lang w:val="en-US"/>
        </w:rPr>
        <w:t>Fardsanei</w:t>
      </w:r>
      <w:proofErr w:type="spellEnd"/>
      <w:r>
        <w:rPr>
          <w:lang w:val="en-US"/>
        </w:rPr>
        <w:t xml:space="preserve">, F., </w:t>
      </w:r>
      <w:proofErr w:type="spellStart"/>
      <w:r>
        <w:rPr>
          <w:lang w:val="en-US"/>
        </w:rPr>
        <w:t>Deihim</w:t>
      </w:r>
      <w:proofErr w:type="spellEnd"/>
      <w:r>
        <w:rPr>
          <w:lang w:val="en-US"/>
        </w:rPr>
        <w:t xml:space="preserve">, B., ... &amp; </w:t>
      </w:r>
      <w:proofErr w:type="spellStart"/>
      <w:r>
        <w:rPr>
          <w:lang w:val="en-US"/>
        </w:rPr>
        <w:t>Tab</w:t>
      </w:r>
      <w:r>
        <w:rPr>
          <w:lang w:val="en-US"/>
        </w:rPr>
        <w:t>arsi</w:t>
      </w:r>
      <w:proofErr w:type="spellEnd"/>
      <w:r>
        <w:rPr>
          <w:lang w:val="en-US"/>
        </w:rPr>
        <w:t>, P. (2020). Prevalence and mechanisms of carbapenem resistance in Klebsiella pneumoniae and Escherichia coli: a systematic review and meta-analysis of cross-sectional studies from Iran. </w:t>
      </w:r>
      <w:r>
        <w:rPr>
          <w:i/>
          <w:iCs/>
          <w:lang w:val="en-US"/>
        </w:rPr>
        <w:t>Microbial Drug Resistance</w:t>
      </w:r>
      <w:r>
        <w:rPr>
          <w:lang w:val="en-US"/>
        </w:rPr>
        <w:t>, </w:t>
      </w:r>
      <w:r>
        <w:rPr>
          <w:i/>
          <w:iCs/>
          <w:lang w:val="en-US"/>
        </w:rPr>
        <w:t>26</w:t>
      </w:r>
      <w:r>
        <w:rPr>
          <w:lang w:val="en-US"/>
        </w:rPr>
        <w:t>(12), 1491-1502.</w:t>
      </w:r>
    </w:p>
    <w:p w14:paraId="28B7B5AE" w14:textId="77777777" w:rsidR="00347734" w:rsidRDefault="00347734">
      <w:pPr>
        <w:jc w:val="both"/>
        <w:rPr>
          <w:lang w:val="en-US"/>
        </w:rPr>
      </w:pPr>
    </w:p>
    <w:p w14:paraId="2AC1A0CA" w14:textId="77777777" w:rsidR="00347734" w:rsidRDefault="001F3B15">
      <w:pPr>
        <w:jc w:val="both"/>
        <w:rPr>
          <w:lang w:val="en-US"/>
        </w:rPr>
      </w:pPr>
      <w:r>
        <w:rPr>
          <w:lang w:val="en-US"/>
        </w:rPr>
        <w:lastRenderedPageBreak/>
        <w:t xml:space="preserve">48. Sader, H. S., Mendes, R. E., </w:t>
      </w:r>
      <w:proofErr w:type="spellStart"/>
      <w:r>
        <w:rPr>
          <w:lang w:val="en-US"/>
        </w:rPr>
        <w:t>Carvalhaes</w:t>
      </w:r>
      <w:proofErr w:type="spellEnd"/>
      <w:r>
        <w:rPr>
          <w:lang w:val="en-US"/>
        </w:rPr>
        <w:t xml:space="preserve">, C. G., Kimbrough, J. H., &amp; Castanheira, M. (2023). Changing Epidemiology of </w:t>
      </w:r>
      <w:proofErr w:type="spellStart"/>
      <w:r>
        <w:rPr>
          <w:lang w:val="en-US"/>
        </w:rPr>
        <w:t>Carbapenemases</w:t>
      </w:r>
      <w:proofErr w:type="spellEnd"/>
      <w:r>
        <w:rPr>
          <w:lang w:val="en-US"/>
        </w:rPr>
        <w:t xml:space="preserve"> Among Carbapenem-Resistant </w:t>
      </w:r>
      <w:proofErr w:type="spellStart"/>
      <w:r>
        <w:rPr>
          <w:lang w:val="en-US"/>
        </w:rPr>
        <w:t>Enterobacterales</w:t>
      </w:r>
      <w:proofErr w:type="spellEnd"/>
      <w:r>
        <w:rPr>
          <w:lang w:val="en-US"/>
        </w:rPr>
        <w:t xml:space="preserve"> From United States Hospitals and the Activity of Aztreonam-Avibactam Against</w:t>
      </w:r>
      <w:r>
        <w:rPr>
          <w:lang w:val="en-US"/>
        </w:rPr>
        <w:t xml:space="preserve"> Contemporary </w:t>
      </w:r>
      <w:proofErr w:type="spellStart"/>
      <w:r>
        <w:rPr>
          <w:lang w:val="en-US"/>
        </w:rPr>
        <w:t>Enterobacterales</w:t>
      </w:r>
      <w:proofErr w:type="spellEnd"/>
      <w:r>
        <w:rPr>
          <w:lang w:val="en-US"/>
        </w:rPr>
        <w:t xml:space="preserve"> (2019-2021). </w:t>
      </w:r>
      <w:r>
        <w:rPr>
          <w:i/>
          <w:iCs/>
          <w:lang w:val="en-US"/>
        </w:rPr>
        <w:t>Open forum infectious diseases</w:t>
      </w:r>
      <w:r>
        <w:rPr>
          <w:lang w:val="en-US"/>
        </w:rPr>
        <w:t>, </w:t>
      </w:r>
      <w:r>
        <w:rPr>
          <w:i/>
          <w:iCs/>
          <w:lang w:val="en-US"/>
        </w:rPr>
        <w:t>10</w:t>
      </w:r>
      <w:r>
        <w:rPr>
          <w:lang w:val="en-US"/>
        </w:rPr>
        <w:t>(2), ofad046. https://doi.org/10.1093/ofid/ofad046</w:t>
      </w:r>
    </w:p>
    <w:p w14:paraId="61423149" w14:textId="77777777" w:rsidR="00347734" w:rsidRDefault="00347734">
      <w:pPr>
        <w:jc w:val="both"/>
        <w:rPr>
          <w:lang w:val="en-US"/>
        </w:rPr>
      </w:pPr>
    </w:p>
    <w:p w14:paraId="4369976F" w14:textId="77777777" w:rsidR="00347734" w:rsidRDefault="001F3B15">
      <w:pPr>
        <w:jc w:val="both"/>
        <w:rPr>
          <w:lang w:val="en-US"/>
        </w:rPr>
      </w:pPr>
      <w:r>
        <w:rPr>
          <w:lang w:val="en-US"/>
        </w:rPr>
        <w:t>49.</w:t>
      </w:r>
      <w:r>
        <w:rPr>
          <w:rFonts w:ascii="Segoe UI" w:hAnsi="Segoe UI" w:cs="Segoe UI"/>
          <w:color w:val="212121"/>
          <w:shd w:val="clear" w:color="auto" w:fill="FFFFFF"/>
          <w:lang w:val="en-US"/>
        </w:rPr>
        <w:t xml:space="preserve"> </w:t>
      </w:r>
      <w:r>
        <w:rPr>
          <w:lang w:val="en-US"/>
        </w:rPr>
        <w:t xml:space="preserve">Qala Nou, M. S., Amirian, Z., Dehghani, F., </w:t>
      </w:r>
      <w:proofErr w:type="spellStart"/>
      <w:r>
        <w:rPr>
          <w:lang w:val="en-US"/>
        </w:rPr>
        <w:t>Vejdan</w:t>
      </w:r>
      <w:proofErr w:type="spellEnd"/>
      <w:r>
        <w:rPr>
          <w:lang w:val="en-US"/>
        </w:rPr>
        <w:t xml:space="preserve">, A. K., </w:t>
      </w:r>
      <w:proofErr w:type="spellStart"/>
      <w:r>
        <w:rPr>
          <w:lang w:val="en-US"/>
        </w:rPr>
        <w:t>Rooin</w:t>
      </w:r>
      <w:proofErr w:type="spellEnd"/>
      <w:r>
        <w:rPr>
          <w:lang w:val="en-US"/>
        </w:rPr>
        <w:t xml:space="preserve">, R., &amp; </w:t>
      </w:r>
      <w:proofErr w:type="spellStart"/>
      <w:r>
        <w:rPr>
          <w:lang w:val="en-US"/>
        </w:rPr>
        <w:t>Dehghanmehr</w:t>
      </w:r>
      <w:proofErr w:type="spellEnd"/>
      <w:r>
        <w:rPr>
          <w:lang w:val="en-US"/>
        </w:rPr>
        <w:t>, S. (2025). Systematic review and meta</w:t>
      </w:r>
      <w:r>
        <w:rPr>
          <w:lang w:val="en-US"/>
        </w:rPr>
        <w:t>-analysis on the carbapenem-resistant hypervirulent Klebsiella pneumoniae isolates. </w:t>
      </w:r>
      <w:r>
        <w:rPr>
          <w:i/>
          <w:iCs/>
          <w:lang w:val="en-US"/>
        </w:rPr>
        <w:t>BMC pharmacology &amp; toxicology</w:t>
      </w:r>
      <w:r>
        <w:rPr>
          <w:lang w:val="en-US"/>
        </w:rPr>
        <w:t>, </w:t>
      </w:r>
      <w:r>
        <w:rPr>
          <w:i/>
          <w:iCs/>
          <w:lang w:val="en-US"/>
        </w:rPr>
        <w:t>26</w:t>
      </w:r>
      <w:r>
        <w:rPr>
          <w:lang w:val="en-US"/>
        </w:rPr>
        <w:t>(1), 25. https://doi.org/10.1186/s40360-025-00857-8</w:t>
      </w:r>
    </w:p>
    <w:p w14:paraId="44E355F7" w14:textId="77777777" w:rsidR="00347734" w:rsidRDefault="00347734">
      <w:pPr>
        <w:jc w:val="both"/>
        <w:rPr>
          <w:lang w:val="en-US"/>
        </w:rPr>
      </w:pPr>
    </w:p>
    <w:p w14:paraId="6065B9FF" w14:textId="77777777" w:rsidR="00347734" w:rsidRDefault="001F3B15">
      <w:pPr>
        <w:jc w:val="both"/>
        <w:rPr>
          <w:lang w:val="en-US"/>
        </w:rPr>
      </w:pPr>
      <w:r>
        <w:rPr>
          <w:lang w:val="en-US"/>
        </w:rPr>
        <w:t xml:space="preserve">50. </w:t>
      </w:r>
      <w:proofErr w:type="spellStart"/>
      <w:r>
        <w:rPr>
          <w:lang w:val="en-US"/>
        </w:rPr>
        <w:t>Pillonetto</w:t>
      </w:r>
      <w:proofErr w:type="spellEnd"/>
      <w:r>
        <w:rPr>
          <w:lang w:val="en-US"/>
        </w:rPr>
        <w:t>, M., Wink, P. L., Melano, R. G., Jiménez-Pearson, M. A., Touchet, N. L.</w:t>
      </w:r>
      <w:r>
        <w:rPr>
          <w:lang w:val="en-US"/>
        </w:rPr>
        <w:t xml:space="preserve"> M., Rojas, S. Y. S., ... &amp; Helen, C. (2025). </w:t>
      </w:r>
      <w:proofErr w:type="spellStart"/>
      <w:r>
        <w:rPr>
          <w:lang w:val="en-US"/>
        </w:rPr>
        <w:t>Carbapenemases</w:t>
      </w:r>
      <w:proofErr w:type="spellEnd"/>
      <w:r>
        <w:rPr>
          <w:lang w:val="en-US"/>
        </w:rPr>
        <w:t xml:space="preserve"> producing gram-negative bacteria surveillance in Latin America and the </w:t>
      </w:r>
      <w:proofErr w:type="spellStart"/>
      <w:r>
        <w:rPr>
          <w:lang w:val="en-US"/>
        </w:rPr>
        <w:t>caribbean</w:t>
      </w:r>
      <w:proofErr w:type="spellEnd"/>
      <w:r>
        <w:rPr>
          <w:lang w:val="en-US"/>
        </w:rPr>
        <w:t>: a retrospective observational study from 2015 to 2020. </w:t>
      </w:r>
      <w:r>
        <w:rPr>
          <w:i/>
          <w:iCs/>
          <w:lang w:val="en-US"/>
        </w:rPr>
        <w:t>The Lancet Regional Health–Americas</w:t>
      </w:r>
      <w:r>
        <w:rPr>
          <w:lang w:val="en-US"/>
        </w:rPr>
        <w:t>, </w:t>
      </w:r>
      <w:r>
        <w:rPr>
          <w:i/>
          <w:iCs/>
          <w:lang w:val="en-US"/>
        </w:rPr>
        <w:t>49</w:t>
      </w:r>
      <w:r>
        <w:rPr>
          <w:lang w:val="en-US"/>
        </w:rPr>
        <w:t>.</w:t>
      </w:r>
    </w:p>
    <w:p w14:paraId="399D609A" w14:textId="77777777" w:rsidR="00347734" w:rsidRDefault="00347734">
      <w:pPr>
        <w:jc w:val="both"/>
        <w:rPr>
          <w:lang w:val="en-US"/>
        </w:rPr>
      </w:pPr>
    </w:p>
    <w:p w14:paraId="658FBC2D" w14:textId="77777777" w:rsidR="00347734" w:rsidRDefault="001F3B15">
      <w:pPr>
        <w:jc w:val="both"/>
        <w:rPr>
          <w:lang w:val="en-US"/>
        </w:rPr>
      </w:pPr>
      <w:r>
        <w:rPr>
          <w:lang w:val="en-US"/>
        </w:rPr>
        <w:t>51.</w:t>
      </w:r>
      <w:r>
        <w:rPr>
          <w:rFonts w:ascii="Arial" w:hAnsi="Arial" w:cs="Arial"/>
          <w:color w:val="222222"/>
          <w:sz w:val="20"/>
          <w:szCs w:val="20"/>
          <w:shd w:val="clear" w:color="auto" w:fill="FFFFFF"/>
          <w:lang w:val="en-US"/>
        </w:rPr>
        <w:t xml:space="preserve"> </w:t>
      </w:r>
      <w:r>
        <w:rPr>
          <w:lang w:val="en-US"/>
        </w:rPr>
        <w:t xml:space="preserve">Kiffer, C. R., Rezende, T. F., Costa-Nobre, D. T., </w:t>
      </w:r>
      <w:proofErr w:type="spellStart"/>
      <w:r>
        <w:rPr>
          <w:lang w:val="en-US"/>
        </w:rPr>
        <w:t>Marinonio</w:t>
      </w:r>
      <w:proofErr w:type="spellEnd"/>
      <w:r>
        <w:rPr>
          <w:lang w:val="en-US"/>
        </w:rPr>
        <w:t xml:space="preserve">, A. S. S., </w:t>
      </w:r>
      <w:proofErr w:type="spellStart"/>
      <w:r>
        <w:rPr>
          <w:lang w:val="en-US"/>
        </w:rPr>
        <w:t>Shiguenaga</w:t>
      </w:r>
      <w:proofErr w:type="spellEnd"/>
      <w:r>
        <w:rPr>
          <w:lang w:val="en-US"/>
        </w:rPr>
        <w:t xml:space="preserve">, L. H., Kulek, D. N. O., ... &amp; </w:t>
      </w:r>
      <w:proofErr w:type="spellStart"/>
      <w:r>
        <w:rPr>
          <w:lang w:val="en-US"/>
        </w:rPr>
        <w:t>Pillonetto</w:t>
      </w:r>
      <w:proofErr w:type="spellEnd"/>
      <w:r>
        <w:rPr>
          <w:lang w:val="en-US"/>
        </w:rPr>
        <w:t xml:space="preserve">, M. (2023). A 7-year Brazilian national perspective on plasmid-mediated carbapenem resistance in </w:t>
      </w:r>
      <w:proofErr w:type="spellStart"/>
      <w:r>
        <w:rPr>
          <w:lang w:val="en-US"/>
        </w:rPr>
        <w:t>Enterobacterales</w:t>
      </w:r>
      <w:proofErr w:type="spellEnd"/>
      <w:r>
        <w:rPr>
          <w:lang w:val="en-US"/>
        </w:rPr>
        <w:t>, Pseudomonas aeru</w:t>
      </w:r>
      <w:r>
        <w:rPr>
          <w:lang w:val="en-US"/>
        </w:rPr>
        <w:t>ginosa, and Acinetobacter baumannii complex and the impact of the coronavirus disease 2019 pandemic on their occurrence. </w:t>
      </w:r>
      <w:r>
        <w:rPr>
          <w:i/>
          <w:iCs/>
          <w:lang w:val="en-US"/>
        </w:rPr>
        <w:t>Clinical Infectious Diseases</w:t>
      </w:r>
      <w:r>
        <w:rPr>
          <w:lang w:val="en-US"/>
        </w:rPr>
        <w:t>, </w:t>
      </w:r>
      <w:r>
        <w:rPr>
          <w:i/>
          <w:iCs/>
          <w:lang w:val="en-US"/>
        </w:rPr>
        <w:t>77</w:t>
      </w:r>
      <w:r>
        <w:rPr>
          <w:lang w:val="en-US"/>
        </w:rPr>
        <w:t>(Supplement_1), S29-S37.</w:t>
      </w:r>
    </w:p>
    <w:p w14:paraId="5632E815" w14:textId="77777777" w:rsidR="00347734" w:rsidRDefault="00347734">
      <w:pPr>
        <w:jc w:val="both"/>
        <w:rPr>
          <w:lang w:val="en-US"/>
        </w:rPr>
      </w:pPr>
    </w:p>
    <w:p w14:paraId="79FE5062" w14:textId="77777777" w:rsidR="00347734" w:rsidRDefault="001F3B15">
      <w:pPr>
        <w:jc w:val="both"/>
        <w:rPr>
          <w:lang w:val="en-US"/>
        </w:rPr>
      </w:pPr>
      <w:r>
        <w:rPr>
          <w:lang w:val="en-US"/>
        </w:rPr>
        <w:t>52. Barros, T. B. C., Rodrigues, Y. C., Lobato, A. R. F., Dutra, L. M. G., do</w:t>
      </w:r>
      <w:r>
        <w:rPr>
          <w:lang w:val="en-US"/>
        </w:rPr>
        <w:t xml:space="preserve">s Reis, H. S., Garcia, A. J. P., </w:t>
      </w:r>
      <w:proofErr w:type="spellStart"/>
      <w:r>
        <w:rPr>
          <w:lang w:val="en-US"/>
        </w:rPr>
        <w:t>Sagica</w:t>
      </w:r>
      <w:proofErr w:type="spellEnd"/>
      <w:r>
        <w:rPr>
          <w:lang w:val="en-US"/>
        </w:rPr>
        <w:t>, F. d. E. S., Souza, C. d. O., &amp; Brasiliense, D. M. (2025). Impact of the COVID-19 Pandemic on Carbapenem-Resistant Klebsiella pneumoniae in Northern Region, Brazil: A Shift Towards NDM Producers. Antibiotics, 14(9),</w:t>
      </w:r>
      <w:r>
        <w:rPr>
          <w:lang w:val="en-US"/>
        </w:rPr>
        <w:t xml:space="preserve"> 866. https://doi.org/10.3390/antibiotics14090866</w:t>
      </w:r>
    </w:p>
    <w:sectPr w:rsidR="00347734">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DAD87" w14:textId="77777777" w:rsidR="001F3B15" w:rsidRDefault="001F3B15" w:rsidP="00621AEA">
      <w:r>
        <w:separator/>
      </w:r>
    </w:p>
  </w:endnote>
  <w:endnote w:type="continuationSeparator" w:id="0">
    <w:p w14:paraId="518492BF" w14:textId="77777777" w:rsidR="001F3B15" w:rsidRDefault="001F3B15" w:rsidP="0062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724C2" w14:textId="77777777" w:rsidR="00621AEA" w:rsidRDefault="00621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AB6A" w14:textId="77777777" w:rsidR="00621AEA" w:rsidRDefault="00621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6CAD" w14:textId="77777777" w:rsidR="00621AEA" w:rsidRDefault="0062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438B5" w14:textId="77777777" w:rsidR="001F3B15" w:rsidRDefault="001F3B15" w:rsidP="00621AEA">
      <w:r>
        <w:separator/>
      </w:r>
    </w:p>
  </w:footnote>
  <w:footnote w:type="continuationSeparator" w:id="0">
    <w:p w14:paraId="0836F557" w14:textId="77777777" w:rsidR="001F3B15" w:rsidRDefault="001F3B15" w:rsidP="0062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B21B" w14:textId="739681BB" w:rsidR="00621AEA" w:rsidRDefault="00621AEA">
    <w:pPr>
      <w:pStyle w:val="Header"/>
    </w:pPr>
    <w:r>
      <w:rPr>
        <w:noProof/>
      </w:rPr>
      <w:pict w14:anchorId="395B0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B26E" w14:textId="450D824F" w:rsidR="00621AEA" w:rsidRDefault="00621AEA">
    <w:pPr>
      <w:pStyle w:val="Header"/>
    </w:pPr>
    <w:r>
      <w:rPr>
        <w:noProof/>
      </w:rPr>
      <w:pict w14:anchorId="3EFB2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F019" w14:textId="3E10B208" w:rsidR="00621AEA" w:rsidRDefault="00621AEA">
    <w:pPr>
      <w:pStyle w:val="Header"/>
    </w:pPr>
    <w:r>
      <w:rPr>
        <w:noProof/>
      </w:rPr>
      <w:pict w14:anchorId="03827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347734"/>
    <w:rsid w:val="00170A81"/>
    <w:rsid w:val="001F3B15"/>
    <w:rsid w:val="00347734"/>
    <w:rsid w:val="00545AC4"/>
    <w:rsid w:val="00621AEA"/>
    <w:rsid w:val="008F1BC8"/>
    <w:rsid w:val="00A169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28091F"/>
  <w15:docId w15:val="{C8709A5C-0EB3-4BBC-A66E-50F3E296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t-BR" w:eastAsia="pt-B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302"/>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9277F"/>
    <w:pPr>
      <w:spacing w:beforeAutospacing="1" w:afterAutospacing="1"/>
      <w:outlineLvl w:val="0"/>
    </w:pPr>
    <w:rPr>
      <w:b/>
      <w:bCs/>
      <w:kern w:val="2"/>
      <w:sz w:val="48"/>
      <w:szCs w:val="48"/>
    </w:rPr>
  </w:style>
  <w:style w:type="paragraph" w:styleId="Heading2">
    <w:name w:val="heading 2"/>
    <w:basedOn w:val="Normal"/>
    <w:next w:val="Normal"/>
    <w:link w:val="Heading2Char"/>
    <w:uiPriority w:val="9"/>
    <w:unhideWhenUsed/>
    <w:qFormat/>
    <w:rsid w:val="001805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A0E73"/>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A5042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E2E03"/>
    <w:pPr>
      <w:keepNext/>
      <w:keepLines/>
      <w:spacing w:before="40" w:line="276"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35344"/>
    <w:rPr>
      <w:i/>
      <w:iCs/>
    </w:rPr>
  </w:style>
  <w:style w:type="character" w:styleId="Hyperlink">
    <w:name w:val="Hyperlink"/>
    <w:basedOn w:val="DefaultParagraphFont"/>
    <w:uiPriority w:val="99"/>
    <w:unhideWhenUsed/>
    <w:qFormat/>
    <w:rsid w:val="00435344"/>
    <w:rPr>
      <w:color w:val="0000FF" w:themeColor="hyperlink"/>
      <w:u w:val="single"/>
    </w:rPr>
  </w:style>
  <w:style w:type="character" w:customStyle="1" w:styleId="BalloonTextChar">
    <w:name w:val="Balloon Text Char"/>
    <w:basedOn w:val="DefaultParagraphFont"/>
    <w:link w:val="BalloonText"/>
    <w:uiPriority w:val="99"/>
    <w:semiHidden/>
    <w:qFormat/>
    <w:rsid w:val="00435344"/>
    <w:rPr>
      <w:rFonts w:ascii="Tahoma" w:hAnsi="Tahoma" w:cs="Tahoma"/>
      <w:sz w:val="16"/>
      <w:szCs w:val="16"/>
    </w:rPr>
  </w:style>
  <w:style w:type="character" w:customStyle="1" w:styleId="BodyTextChar">
    <w:name w:val="Body Text Char"/>
    <w:basedOn w:val="DefaultParagraphFont"/>
    <w:link w:val="BodyText"/>
    <w:uiPriority w:val="1"/>
    <w:qFormat/>
    <w:rsid w:val="00435344"/>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917CE"/>
    <w:rPr>
      <w:b/>
      <w:bCs/>
    </w:rPr>
  </w:style>
  <w:style w:type="character" w:customStyle="1" w:styleId="Heading1Char">
    <w:name w:val="Heading 1 Char"/>
    <w:basedOn w:val="DefaultParagraphFont"/>
    <w:link w:val="Heading1"/>
    <w:uiPriority w:val="9"/>
    <w:qFormat/>
    <w:rsid w:val="0069277F"/>
    <w:rPr>
      <w:rFonts w:ascii="Times New Roman" w:eastAsia="Times New Roman" w:hAnsi="Times New Roman" w:cs="Times New Roman"/>
      <w:b/>
      <w:bCs/>
      <w:kern w:val="2"/>
      <w:sz w:val="48"/>
      <w:szCs w:val="48"/>
    </w:rPr>
  </w:style>
  <w:style w:type="character" w:customStyle="1" w:styleId="Heading6Char">
    <w:name w:val="Heading 6 Char"/>
    <w:basedOn w:val="DefaultParagraphFont"/>
    <w:link w:val="Heading6"/>
    <w:uiPriority w:val="9"/>
    <w:semiHidden/>
    <w:qFormat/>
    <w:rsid w:val="007E2E03"/>
    <w:rPr>
      <w:rFonts w:asciiTheme="majorHAnsi" w:eastAsiaTheme="majorEastAsia" w:hAnsiTheme="majorHAnsi" w:cstheme="majorBidi"/>
      <w:color w:val="243F60" w:themeColor="accent1" w:themeShade="7F"/>
      <w:sz w:val="22"/>
      <w:szCs w:val="22"/>
      <w:lang w:eastAsia="en-US"/>
    </w:rPr>
  </w:style>
  <w:style w:type="character" w:customStyle="1" w:styleId="Heading3Char">
    <w:name w:val="Heading 3 Char"/>
    <w:basedOn w:val="DefaultParagraphFont"/>
    <w:link w:val="Heading3"/>
    <w:uiPriority w:val="9"/>
    <w:qFormat/>
    <w:rsid w:val="008A0E73"/>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semiHidden/>
    <w:unhideWhenUsed/>
    <w:qFormat/>
    <w:rsid w:val="00C56456"/>
    <w:rPr>
      <w:sz w:val="16"/>
      <w:szCs w:val="16"/>
    </w:rPr>
  </w:style>
  <w:style w:type="character" w:customStyle="1" w:styleId="CommentTextChar">
    <w:name w:val="Comment Text Char"/>
    <w:basedOn w:val="DefaultParagraphFont"/>
    <w:link w:val="CommentText"/>
    <w:uiPriority w:val="99"/>
    <w:qFormat/>
    <w:rsid w:val="00C56456"/>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qFormat/>
    <w:rsid w:val="00A50426"/>
    <w:rPr>
      <w:rFonts w:asciiTheme="majorHAnsi" w:eastAsiaTheme="majorEastAsia" w:hAnsiTheme="majorHAnsi" w:cstheme="majorBidi"/>
      <w:i/>
      <w:iCs/>
      <w:color w:val="365F91" w:themeColor="accent1" w:themeShade="BF"/>
      <w:sz w:val="24"/>
      <w:szCs w:val="24"/>
    </w:rPr>
  </w:style>
  <w:style w:type="character" w:customStyle="1" w:styleId="MenoPendente1">
    <w:name w:val="Menção Pendente1"/>
    <w:basedOn w:val="DefaultParagraphFont"/>
    <w:uiPriority w:val="99"/>
    <w:semiHidden/>
    <w:unhideWhenUsed/>
    <w:qFormat/>
    <w:rsid w:val="00CF7AC1"/>
    <w:rPr>
      <w:color w:val="605E5C"/>
      <w:shd w:val="clear" w:color="auto" w:fill="E1DFDD"/>
    </w:rPr>
  </w:style>
  <w:style w:type="character" w:customStyle="1" w:styleId="Heading2Char">
    <w:name w:val="Heading 2 Char"/>
    <w:basedOn w:val="DefaultParagraphFont"/>
    <w:link w:val="Heading2"/>
    <w:uiPriority w:val="9"/>
    <w:qFormat/>
    <w:rsid w:val="001805F8"/>
    <w:rPr>
      <w:rFonts w:asciiTheme="majorHAnsi" w:eastAsiaTheme="majorEastAsia" w:hAnsiTheme="majorHAnsi" w:cstheme="majorBidi"/>
      <w:color w:val="365F91" w:themeColor="accent1" w:themeShade="BF"/>
      <w:sz w:val="26"/>
      <w:szCs w:val="26"/>
    </w:rPr>
  </w:style>
  <w:style w:type="character" w:customStyle="1" w:styleId="CommentSubjectChar">
    <w:name w:val="Comment Subject Char"/>
    <w:basedOn w:val="CommentTextChar"/>
    <w:link w:val="CommentSubject"/>
    <w:uiPriority w:val="99"/>
    <w:semiHidden/>
    <w:qFormat/>
    <w:rsid w:val="00AD24B4"/>
    <w:rPr>
      <w:rFonts w:ascii="Times New Roman" w:eastAsia="Times New Roman" w:hAnsi="Times New Roman" w:cs="Times New Roman"/>
      <w:b/>
      <w:bCs/>
    </w:rPr>
  </w:style>
  <w:style w:type="character" w:customStyle="1" w:styleId="MenoPendente2">
    <w:name w:val="Menção Pendente2"/>
    <w:basedOn w:val="DefaultParagraphFont"/>
    <w:uiPriority w:val="99"/>
    <w:semiHidden/>
    <w:unhideWhenUsed/>
    <w:qFormat/>
    <w:rsid w:val="005C597D"/>
    <w:rPr>
      <w:color w:val="605E5C"/>
      <w:shd w:val="clear" w:color="auto" w:fill="E1DFDD"/>
    </w:rPr>
  </w:style>
  <w:style w:type="character" w:styleId="FollowedHyperlink">
    <w:name w:val="FollowedHyperlink"/>
    <w:rPr>
      <w:color w:val="800000"/>
      <w:u w:val="single"/>
    </w:rPr>
  </w:style>
  <w:style w:type="character" w:customStyle="1" w:styleId="A1">
    <w:name w:val="A1"/>
    <w:qFormat/>
    <w:rPr>
      <w:sz w:val="18"/>
    </w:rPr>
  </w:style>
  <w:style w:type="character" w:styleId="UnresolvedMention">
    <w:name w:val="Unresolved Mention"/>
    <w:basedOn w:val="DefaultParagraphFont"/>
    <w:uiPriority w:val="99"/>
    <w:semiHidden/>
    <w:unhideWhenUsed/>
    <w:qFormat/>
    <w:rsid w:val="006309E4"/>
    <w:rPr>
      <w:color w:val="605E5C"/>
      <w:shd w:val="clear" w:color="auto" w:fill="E1DFDD"/>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unhideWhenUsed/>
    <w:qFormat/>
    <w:rsid w:val="00435344"/>
    <w:pPr>
      <w:widowControl w:val="0"/>
    </w:pPr>
    <w:rPr>
      <w:lang w:val="en-US"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styleId="NormalWeb">
    <w:name w:val="Normal (Web)"/>
    <w:basedOn w:val="Normal"/>
    <w:uiPriority w:val="99"/>
    <w:semiHidden/>
    <w:unhideWhenUsed/>
    <w:qFormat/>
    <w:rsid w:val="00435344"/>
    <w:pPr>
      <w:spacing w:beforeAutospacing="1" w:afterAutospacing="1"/>
    </w:pPr>
  </w:style>
  <w:style w:type="paragraph" w:styleId="BalloonText">
    <w:name w:val="Balloon Text"/>
    <w:basedOn w:val="Normal"/>
    <w:link w:val="BalloonTextChar"/>
    <w:uiPriority w:val="99"/>
    <w:semiHidden/>
    <w:unhideWhenUsed/>
    <w:qFormat/>
    <w:rsid w:val="00435344"/>
    <w:rPr>
      <w:rFonts w:ascii="Tahoma" w:eastAsiaTheme="minorHAnsi" w:hAnsi="Tahoma" w:cs="Tahoma"/>
      <w:sz w:val="16"/>
      <w:szCs w:val="16"/>
      <w:lang w:eastAsia="en-US"/>
    </w:rPr>
  </w:style>
  <w:style w:type="paragraph" w:styleId="ListParagraph">
    <w:name w:val="List Paragraph"/>
    <w:basedOn w:val="Normal"/>
    <w:uiPriority w:val="34"/>
    <w:qFormat/>
    <w:rsid w:val="0043534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ibliografia1">
    <w:name w:val="Bibliografia1"/>
    <w:basedOn w:val="Normal"/>
    <w:next w:val="Normal"/>
    <w:uiPriority w:val="37"/>
    <w:unhideWhenUsed/>
    <w:qFormat/>
    <w:rsid w:val="001917CE"/>
    <w:pPr>
      <w:spacing w:after="240"/>
    </w:pPr>
    <w:rPr>
      <w:rFonts w:asciiTheme="minorHAnsi" w:eastAsiaTheme="minorHAnsi" w:hAnsiTheme="minorHAnsi" w:cstheme="minorBidi"/>
      <w:sz w:val="22"/>
      <w:szCs w:val="22"/>
      <w:lang w:eastAsia="en-US"/>
    </w:rPr>
  </w:style>
  <w:style w:type="paragraph" w:styleId="Revision">
    <w:name w:val="Revision"/>
    <w:uiPriority w:val="99"/>
    <w:semiHidden/>
    <w:qFormat/>
    <w:rsid w:val="00983FA3"/>
    <w:rPr>
      <w:rFonts w:ascii="Times New Roman" w:eastAsia="Times New Roman" w:hAnsi="Times New Roman" w:cs="Times New Roman"/>
      <w:sz w:val="24"/>
      <w:szCs w:val="24"/>
    </w:rPr>
  </w:style>
  <w:style w:type="paragraph" w:styleId="Bibliography">
    <w:name w:val="Bibliography"/>
    <w:basedOn w:val="Normal"/>
    <w:next w:val="Normal"/>
    <w:uiPriority w:val="37"/>
    <w:unhideWhenUsed/>
    <w:qFormat/>
    <w:rsid w:val="0055312C"/>
    <w:pPr>
      <w:spacing w:after="240"/>
    </w:pPr>
  </w:style>
  <w:style w:type="paragraph" w:styleId="CommentText">
    <w:name w:val="annotation text"/>
    <w:basedOn w:val="Normal"/>
    <w:link w:val="CommentTextChar"/>
    <w:uiPriority w:val="99"/>
    <w:unhideWhenUsed/>
    <w:rsid w:val="00C56456"/>
    <w:rPr>
      <w:sz w:val="20"/>
      <w:szCs w:val="20"/>
    </w:rPr>
  </w:style>
  <w:style w:type="paragraph" w:styleId="CommentSubject">
    <w:name w:val="annotation subject"/>
    <w:basedOn w:val="CommentText"/>
    <w:next w:val="CommentText"/>
    <w:link w:val="CommentSubjectChar"/>
    <w:uiPriority w:val="99"/>
    <w:semiHidden/>
    <w:unhideWhenUsed/>
    <w:qFormat/>
    <w:rsid w:val="00AD24B4"/>
    <w:rPr>
      <w:b/>
      <w:bCs/>
    </w:rPr>
  </w:style>
  <w:style w:type="paragraph" w:customStyle="1" w:styleId="Contedodatabelauser">
    <w:name w:val="Conteúdo da tabela (user)"/>
    <w:basedOn w:val="Normal"/>
    <w:qFormat/>
    <w:pPr>
      <w:widowControl w:val="0"/>
      <w:suppressLineNumbers/>
    </w:pPr>
  </w:style>
  <w:style w:type="paragraph" w:customStyle="1" w:styleId="Ttulodetabelauser">
    <w:name w:val="Título de tabela (user)"/>
    <w:basedOn w:val="Contedodatabelauser"/>
    <w:qFormat/>
    <w:pPr>
      <w:jc w:val="center"/>
    </w:pPr>
    <w:rPr>
      <w:b/>
      <w:bCs/>
    </w:rPr>
  </w:style>
  <w:style w:type="paragraph" w:customStyle="1" w:styleId="Default">
    <w:name w:val="Default"/>
    <w:qFormat/>
    <w:rPr>
      <w:rFonts w:ascii="Times New Roman" w:eastAsia="Calibri" w:hAnsi="Times New Roman"/>
      <w:color w:val="000000"/>
      <w:sz w:val="24"/>
    </w:rPr>
  </w:style>
  <w:style w:type="paragraph" w:customStyle="1" w:styleId="Pa1">
    <w:name w:val="Pa1"/>
    <w:basedOn w:val="Default"/>
    <w:qFormat/>
    <w:pPr>
      <w:spacing w:line="241" w:lineRule="atLeast"/>
    </w:pPr>
  </w:style>
  <w:style w:type="numbering" w:customStyle="1" w:styleId="Semlista">
    <w:name w:val="Sem lista"/>
    <w:uiPriority w:val="99"/>
    <w:semiHidden/>
    <w:unhideWhenUsed/>
    <w:qFormat/>
  </w:style>
  <w:style w:type="table" w:customStyle="1" w:styleId="SimplesTabela11">
    <w:name w:val="Simples Tabela 11"/>
    <w:basedOn w:val="TableNormal"/>
    <w:uiPriority w:val="41"/>
    <w:qFormat/>
    <w:rsid w:val="0043534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Lista6Colorida-nfase51">
    <w:name w:val="Tabela de Lista 6 Colorida - Ênfase 51"/>
    <w:basedOn w:val="TableNormal"/>
    <w:uiPriority w:val="51"/>
    <w:qFormat/>
    <w:rsid w:val="00435344"/>
    <w:rPr>
      <w:color w:val="31849B" w:themeColor="accent5" w:themeShade="BF"/>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deGrade6Colorida-nfase11">
    <w:name w:val="Tabela de Grade 6 Colorida - Ênfase 11"/>
    <w:basedOn w:val="TableNormal"/>
    <w:uiPriority w:val="51"/>
    <w:qFormat/>
    <w:rsid w:val="00435344"/>
    <w:rPr>
      <w:color w:val="365F91" w:themeColor="accent1" w:themeShade="BF"/>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39"/>
    <w:rsid w:val="007631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AEA"/>
    <w:pPr>
      <w:tabs>
        <w:tab w:val="center" w:pos="4680"/>
        <w:tab w:val="right" w:pos="9360"/>
      </w:tabs>
    </w:pPr>
  </w:style>
  <w:style w:type="character" w:customStyle="1" w:styleId="HeaderChar">
    <w:name w:val="Header Char"/>
    <w:basedOn w:val="DefaultParagraphFont"/>
    <w:link w:val="Header"/>
    <w:uiPriority w:val="99"/>
    <w:rsid w:val="00621A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1AEA"/>
    <w:pPr>
      <w:tabs>
        <w:tab w:val="center" w:pos="4680"/>
        <w:tab w:val="right" w:pos="9360"/>
      </w:tabs>
    </w:pPr>
  </w:style>
  <w:style w:type="character" w:customStyle="1" w:styleId="FooterChar">
    <w:name w:val="Footer Char"/>
    <w:basedOn w:val="DefaultParagraphFont"/>
    <w:link w:val="Footer"/>
    <w:uiPriority w:val="99"/>
    <w:rsid w:val="00621A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07/relationships/hdphoto" Target="media/hdphoto2.wdp"/><Relationship Id="rId26" Type="http://schemas.openxmlformats.org/officeDocument/2006/relationships/hyperlink" Target="https://doi.org/10.1590/S1517-838246246220140174" TargetMode="External"/><Relationship Id="rId39" Type="http://schemas.openxmlformats.org/officeDocument/2006/relationships/hyperlink" Target="https://doi.org/10.1590/0037-8682-0397-2020" TargetMode="External"/><Relationship Id="rId21" Type="http://schemas.openxmlformats.org/officeDocument/2006/relationships/hyperlink" Target="https://scholar.google.com/scholar_lookup?title=JBI+Manual+for+Evidence+Synthesis&amp;author=Aromataris,+E.&amp;author=Munn,+Z.&amp;publication_year=2020" TargetMode="External"/><Relationship Id="rId34" Type="http://schemas.openxmlformats.org/officeDocument/2006/relationships/hyperlink" Target="https://doi.org/10.3389/fmicb.2019.01669" TargetMode="External"/><Relationship Id="rId42" Type="http://schemas.openxmlformats.org/officeDocument/2006/relationships/hyperlink" Target="https://doi.org/10.3389/fmed.2021.635206" TargetMode="External"/><Relationship Id="rId47" Type="http://schemas.openxmlformats.org/officeDocument/2006/relationships/hyperlink" Target="https://doi.org/10.3389/fcimb.2022.898125" TargetMode="External"/><Relationship Id="rId50" Type="http://schemas.openxmlformats.org/officeDocument/2006/relationships/hyperlink" Target="https://doi.org/10.25248/REAS.e14830.2024" TargetMode="External"/><Relationship Id="rId7" Type="http://schemas.openxmlformats.org/officeDocument/2006/relationships/endnotes" Target="endnotes.xml"/><Relationship Id="rId2" Type="http://schemas.openxmlformats.org/officeDocument/2006/relationships/customXml" Target="../customXml/item2.xml"/><Relationship Id="rId16" Type="http://schemas.microsoft.com/office/2007/relationships/hdphoto" Target="media/hdphoto1.wdp"/><Relationship Id="rId29" Type="http://schemas.openxmlformats.org/officeDocument/2006/relationships/hyperlink" Target="https://doi.org/10.3855/jidc.8614" TargetMode="External"/><Relationship Id="rId11" Type="http://schemas.openxmlformats.org/officeDocument/2006/relationships/footer" Target="footer1.xml"/><Relationship Id="rId24" Type="http://schemas.openxmlformats.org/officeDocument/2006/relationships/hyperlink" Target="https://scholar.google.com/scholar_lookup?title=Misleading+funnel+plot+for+detection+of+bias+in+meta-analysis&amp;author=Tang,+J.-L.&amp;author=Liu,+J.L.&amp;publication_year=2000&amp;journal=J.+Clin.+Epidemiol.&amp;volume=53&amp;pages=477&#8211;484&amp;doi=10.1016/S0895-4356(99)00204-8" TargetMode="External"/><Relationship Id="rId32" Type="http://schemas.openxmlformats.org/officeDocument/2006/relationships/hyperlink" Target="https://doi.org/10.3389/fmicb.2018.03198" TargetMode="External"/><Relationship Id="rId37" Type="http://schemas.openxmlformats.org/officeDocument/2006/relationships/hyperlink" Target="http://dx.doi.org/10.1016/j.jgar.2019.08.026" TargetMode="External"/><Relationship Id="rId40" Type="http://schemas.openxmlformats.org/officeDocument/2006/relationships/hyperlink" Target="https://doi.org/10.3390/antibiotics10121527" TargetMode="External"/><Relationship Id="rId45" Type="http://schemas.openxmlformats.org/officeDocument/2006/relationships/hyperlink" Target="https://doi.org/10.3390/antibiotics11060814"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scholar.google.com/scholar_lookup?title=Conducting+meta-analyses+in+R+with+the+metafor+package&amp;author=Viechtbauer,+W.&amp;publication_year=2010&amp;journal=J.+Stat.+Softw.&amp;volume=36&amp;pages=1&#8211;48&amp;doi=10.18637/jss.v036.i03" TargetMode="External"/><Relationship Id="rId28" Type="http://schemas.openxmlformats.org/officeDocument/2006/relationships/hyperlink" Target="https://doi.org/10.1128/AAC.01048-16" TargetMode="External"/><Relationship Id="rId36" Type="http://schemas.openxmlformats.org/officeDocument/2006/relationships/hyperlink" Target="https://doi.org/10.3389/fmicb.2020.01563" TargetMode="External"/><Relationship Id="rId49" Type="http://schemas.openxmlformats.org/officeDocument/2006/relationships/hyperlink" Target="https://doi.org/10.1038/s41598-024-59733-w" TargetMode="Externa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dx.doi.org/10.1016/j.bjm.2017.01.003" TargetMode="External"/><Relationship Id="rId44" Type="http://schemas.openxmlformats.org/officeDocument/2006/relationships/hyperlink" Target="https://doi.org/10.1007/s42770-021-00600-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cholar.google.com/scholar_lookup?title=The+development+of+software+to+support+multiple+systematic+review+types:+The+Joanna+Briggs+Institute+System+for+the+Unified+Management,+Assessment+and+Review+of+Information+(JBI+SUMARI)&amp;author=Munn,+Z.&amp;author=Aromataris,+E.&amp;author=Tufanaru,+C.&amp;author=Stern,+C.&amp;author=Porritt,+K.&amp;author=Farrow,+J.&amp;author=Lockwood,+C.&amp;author=Stephenson,+M.&amp;author=Moola,+S.&amp;author=Lizarondo,+L.&amp;author=et+al.&amp;publication_year=2019&amp;journal=Int.+J.+Evid.+Based+Healthc.&amp;volume=17&amp;pages=36&#8211;43&amp;doi=10.1097/XEB.0000000000000152" TargetMode="External"/><Relationship Id="rId27" Type="http://schemas.openxmlformats.org/officeDocument/2006/relationships/hyperlink" Target="https://doi.org/10.1186/s12879-016-2072-3" TargetMode="External"/><Relationship Id="rId30" Type="http://schemas.openxmlformats.org/officeDocument/2006/relationships/hyperlink" Target="http://dx.doi.org/10.1590/s2175-97902017000216111" TargetMode="External"/><Relationship Id="rId35" Type="http://schemas.openxmlformats.org/officeDocument/2006/relationships/hyperlink" Target="https://doi.org/10.1089/mdr.2019.0483" TargetMode="External"/><Relationship Id="rId43" Type="http://schemas.openxmlformats.org/officeDocument/2006/relationships/hyperlink" Target="https://doi.org/10.3390/pathogens10030332" TargetMode="External"/><Relationship Id="rId48" Type="http://schemas.openxmlformats.org/officeDocument/2006/relationships/hyperlink" Target="https://doi.org/10.1016/j.diagmicrobio.2023.115932"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128/jcm.00088-14" TargetMode="External"/><Relationship Id="rId33" Type="http://schemas.openxmlformats.org/officeDocument/2006/relationships/hyperlink" Target="https://doi.org/10.1016/j.ijantimicag.2019.08.017" TargetMode="External"/><Relationship Id="rId38" Type="http://schemas.openxmlformats.org/officeDocument/2006/relationships/hyperlink" Target="https://doi.org/10.1590/0037-8682-0064-2020" TargetMode="External"/><Relationship Id="rId46" Type="http://schemas.openxmlformats.org/officeDocument/2006/relationships/hyperlink" Target="https://doi.org/10.3389/fmicb.2022.831770" TargetMode="External"/><Relationship Id="rId20" Type="http://schemas.microsoft.com/office/2007/relationships/hdphoto" Target="media/hdphoto3.wdp"/><Relationship Id="rId41" Type="http://schemas.openxmlformats.org/officeDocument/2006/relationships/hyperlink" Target="https://doi.org/10.1099/mgen.0.00061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D3912-9DFD-4E06-AA1A-B6DC9FEA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25</Pages>
  <Words>7995</Words>
  <Characters>45575</Characters>
  <Application>Microsoft Office Word</Application>
  <DocSecurity>0</DocSecurity>
  <Lines>379</Lines>
  <Paragraphs>106</Paragraphs>
  <ScaleCrop>false</ScaleCrop>
  <Company/>
  <LinksUpToDate>false</LinksUpToDate>
  <CharactersWithSpaces>53464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SDI 1084</cp:lastModifiedBy>
  <cp:revision>40</cp:revision>
  <dcterms:created xsi:type="dcterms:W3CDTF">2026-01-15T10:38:00Z</dcterms:created>
  <dcterms:modified xsi:type="dcterms:W3CDTF">2026-02-24T08:33:00Z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273269BED43E4DCCA7EF1A04BE65BD6F_12</vt:lpwstr>
  </property>
  <property fmtid="{D5CDD505-2E9C-101B-9397-08002B2CF9AE}" pid="3" name="KSOProductBuildVer">
    <vt:lpwstr>1046-12.2.0.19805</vt:lpwstr>
  </property>
  <property fmtid="{D5CDD505-2E9C-101B-9397-08002B2CF9AE}" pid="4" name="ZOTERO_PREF_1">
    <vt:lpwstr>&lt;data data-version="3" zotero-version="7.0.21"&gt;&lt;session id="R7zJyRq6"/&gt;&lt;style id="http://www.zotero.org/styles/associacao-brasileira-de-normas-tecnicas" hasBibliography="1" bibliographyStyleHasBeenSet="1"/&gt;&lt;prefs&gt;&lt;pref name="fieldType" value="Field"/&gt;&lt;/pr</vt:lpwstr>
  </property>
  <property fmtid="{D5CDD505-2E9C-101B-9397-08002B2CF9AE}" pid="5" name="ZOTERO_PREF_2">
    <vt:lpwstr>efs&gt;&lt;/data&gt;</vt:lpwstr>
  </property>
</Properties>
</file>