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6A93D" w14:textId="77777777" w:rsidR="00BC4400" w:rsidRDefault="00BC4400" w:rsidP="00AD3A60">
      <w:pPr>
        <w:pStyle w:val="Title"/>
        <w:jc w:val="left"/>
      </w:pPr>
      <w:r w:rsidRPr="00BC4400">
        <w:t>Original Research Article</w:t>
      </w:r>
    </w:p>
    <w:p w14:paraId="310D71A7" w14:textId="77777777" w:rsidR="00BC4400" w:rsidRDefault="00BC4400" w:rsidP="00AD3A60">
      <w:pPr>
        <w:pStyle w:val="Title"/>
        <w:jc w:val="left"/>
      </w:pPr>
    </w:p>
    <w:p w14:paraId="2DD5A6C8" w14:textId="11277057" w:rsidR="00F53FEA" w:rsidRDefault="002C641B" w:rsidP="00AD3A60">
      <w:pPr>
        <w:pStyle w:val="Title"/>
        <w:jc w:val="left"/>
      </w:pPr>
      <w:r>
        <w:t xml:space="preserve">Prevalence of Hyperuricemia and Associated Risk Factors </w:t>
      </w:r>
      <w:r w:rsidR="00A21FBE">
        <w:t>amongst Adult Patients Attending a General Outpatient Clinic at the</w:t>
      </w:r>
      <w:r>
        <w:t xml:space="preserve"> Rivers State University Teaching Hospital, Port Harcourt, Nigeria</w:t>
      </w:r>
    </w:p>
    <w:p w14:paraId="369B9343" w14:textId="77777777" w:rsidR="003E57E7" w:rsidRDefault="003E57E7">
      <w:pPr>
        <w:pStyle w:val="Heading1"/>
        <w:rPr>
          <w:sz w:val="28"/>
          <w:szCs w:val="28"/>
        </w:rPr>
      </w:pPr>
    </w:p>
    <w:p w14:paraId="06AB316F" w14:textId="554AEE0F" w:rsidR="00F53FEA" w:rsidRDefault="002C641B">
      <w:pPr>
        <w:pStyle w:val="Heading1"/>
      </w:pPr>
      <w:r>
        <w:t>ABSTRACT</w:t>
      </w:r>
    </w:p>
    <w:p w14:paraId="70941B61" w14:textId="77777777" w:rsidR="00F53FEA" w:rsidRDefault="002C641B">
      <w:r>
        <w:rPr>
          <w:b/>
          <w:bCs/>
        </w:rPr>
        <w:t xml:space="preserve">Background: </w:t>
      </w:r>
      <w:r>
        <w:t xml:space="preserve">Hyperuricemia is a growing global health concern associated with </w:t>
      </w:r>
      <w:r w:rsidR="00FD6768">
        <w:t xml:space="preserve">many </w:t>
      </w:r>
      <w:r>
        <w:t>metabolic and cardiovascular diseases. However, limited data exist on its prevalence and associated risk factors in Nigerian populations, particularly in the Niger Delta region.</w:t>
      </w:r>
    </w:p>
    <w:p w14:paraId="7CEB5C71" w14:textId="77777777" w:rsidR="00F53FEA" w:rsidRDefault="002C641B">
      <w:r>
        <w:rPr>
          <w:b/>
          <w:bCs/>
        </w:rPr>
        <w:t xml:space="preserve">Objective: </w:t>
      </w:r>
      <w:r>
        <w:t>To determine the prevalence of hyperuricemia and identify associated risk factors among adult patients attending the general outpatient clinic at Rivers State University Teaching Hospital (RSUTH), Port Harcourt, Nigeria.</w:t>
      </w:r>
    </w:p>
    <w:p w14:paraId="6C4653E8" w14:textId="77777777" w:rsidR="00F53FEA" w:rsidRDefault="002C641B">
      <w:r>
        <w:rPr>
          <w:b/>
          <w:bCs/>
        </w:rPr>
        <w:t xml:space="preserve">Methods: </w:t>
      </w:r>
      <w:r>
        <w:t>A prospective cross-sectional study involving 241 adult participants was conducted. Demographic data, lifestyle habits, and clinical characteristics were collected using a structured questionnaire. Serum uric acid levels were measured, and hyperuricemia was defined according to standard criteria. Chi-square tests were used to assess associations between hyperuricemia and various demographic, clinical, and lifestyle variables, with statistical significance set at p&lt;0.05.</w:t>
      </w:r>
    </w:p>
    <w:p w14:paraId="610DEB08" w14:textId="77777777" w:rsidR="00F53FEA" w:rsidRDefault="002C641B">
      <w:r>
        <w:rPr>
          <w:b/>
          <w:bCs/>
        </w:rPr>
        <w:t xml:space="preserve">Results: </w:t>
      </w:r>
      <w:r>
        <w:t>The overall prevalence of hyperuricemia was 16.6% (40/241). Male sex was significantly associated with hyperuricemia (25.6% vs 11.3% in females, χ²=8.32, p=0.004). Among lifestyle factors, smoking (33.3% vs 14.7%, χ²=5.39, p=0.020) and daily consumption of seafood in large quantities (23.1%, χ²=11.80, p=0.019) were significantly associated with elevated uric acid levels. No significant associations were found between hyperuricemia and age groups, marital status, educational level, occupation, BMI categories, comorbidities, physical activity, or alcohol consumption.</w:t>
      </w:r>
    </w:p>
    <w:p w14:paraId="6DFE8691" w14:textId="77777777" w:rsidR="00F53FEA" w:rsidRDefault="002C641B">
      <w:r>
        <w:rPr>
          <w:b/>
          <w:bCs/>
        </w:rPr>
        <w:t xml:space="preserve">Conclusion: </w:t>
      </w:r>
      <w:r>
        <w:t xml:space="preserve">The prevalence of hyperuricemia in this Nigerian cohort is comparable to rates reported in other African and developing countries. Male sex, smoking, and high seafood consumption emerged as significant risk factors. These findings </w:t>
      </w:r>
      <w:r w:rsidR="00FD6768">
        <w:t>point to</w:t>
      </w:r>
      <w:r>
        <w:t xml:space="preserve"> the need for targeted </w:t>
      </w:r>
      <w:r>
        <w:lastRenderedPageBreak/>
        <w:t>public health interventions focusing on dietary modification and smoking cessation in at-risk populations.</w:t>
      </w:r>
    </w:p>
    <w:p w14:paraId="587D61C2" w14:textId="77777777" w:rsidR="00F53FEA" w:rsidRDefault="002C641B">
      <w:r>
        <w:rPr>
          <w:b/>
          <w:bCs/>
          <w:i/>
          <w:iCs/>
        </w:rPr>
        <w:t xml:space="preserve">Keywords: </w:t>
      </w:r>
      <w:r>
        <w:rPr>
          <w:i/>
          <w:iCs/>
        </w:rPr>
        <w:t>Hyperuricemia, prevalence, risk factors, Nigeria, seafood consumption, smoking</w:t>
      </w:r>
    </w:p>
    <w:p w14:paraId="5D1C3DB2" w14:textId="77777777" w:rsidR="00F53FEA" w:rsidRDefault="00F53FEA"/>
    <w:p w14:paraId="1F77B6EC" w14:textId="77777777" w:rsidR="00F53FEA" w:rsidRDefault="002C641B">
      <w:pPr>
        <w:pStyle w:val="Heading1"/>
      </w:pPr>
      <w:r>
        <w:t>INTRODUCTION</w:t>
      </w:r>
    </w:p>
    <w:p w14:paraId="4EB14CBB" w14:textId="77777777" w:rsidR="00F53FEA" w:rsidRDefault="002C641B">
      <w:r>
        <w:t xml:space="preserve">Hyperuricemia, defined as elevated serum uric acid (SUA) levels typically exceeding 7 mg/dL in men and 6 mg/dL in women, </w:t>
      </w:r>
      <w:r w:rsidR="004870B1">
        <w:t>is an important</w:t>
      </w:r>
      <w:r>
        <w:t xml:space="preserve"> public health concern </w:t>
      </w:r>
      <w:r w:rsidR="00FD6768">
        <w:t>globally</w:t>
      </w:r>
      <w:r>
        <w:t xml:space="preserve">. </w:t>
      </w:r>
      <w:r w:rsidR="00A21FBE">
        <w:t>Recent estimates</w:t>
      </w:r>
      <w:r>
        <w:t xml:space="preserve"> indicate that the prevalence of hyperuricemia ranges from 2.6% to 36% across different populations, with a pooled global prevalence of </w:t>
      </w:r>
      <w:r w:rsidR="0005003D">
        <w:t>about</w:t>
      </w:r>
      <w:r>
        <w:t xml:space="preserve"> 13.85%</w:t>
      </w:r>
      <w:r w:rsidR="00F404CC">
        <w:t>.</w:t>
      </w:r>
      <w:r w:rsidR="0005003D">
        <w:t xml:space="preserve"> </w:t>
      </w:r>
      <w:r w:rsidR="0005003D">
        <w:fldChar w:fldCharType="begin"/>
      </w:r>
      <w:r w:rsidR="008C1222">
        <w:instrText xml:space="preserve"> ADDIN ZOTERO_ITEM CSL_CITATION {"citationID":"kFGQKb9g","properties":{"formattedCitation":"\\super 1\\nosupersub{}","plainCitation":"1","noteIndex":0},"citationItems":[{"id":1386,"uris":["http://zotero.org/users/local/AIjuh99d/items/NRJXNMSN"],"itemData":{"id":1386,"type":"article","abstract":"Background: The prevalence of hyperuricemia worldwide is poorly understood. Therefore, we conducted a systematic review of published population-based epidemiological studies on hyperuricemia.Methods: We manually searched four databases from January 1, 2015, to July 6, 2024, using the Agency for Healthcare Research and the Tool for Quality Assessment. R 4.3.3 was applied to analyze the pooled prevalence.Results: A total of 84 articles were included in the qualitative synthesis. The global prevalence of hyperuricemia was 13·85% (95% confidence interval [CI]: 0·12, 0·16). Among them, the prevalence rates were 21·06% (95%CI: 0·19, 0·24) in males and 10·15% (95%CI: 0·08, 0·12) in females. The prevalence in South America was the highest at 17·89% (95%CI: 0·16, 0·19); Oceania ranked second at 16·61% (95%CI: 0·15, 0·18), followed by North America at 16·27%, Europe at 16·01% (95%CIs: 0·13, 0·19, and 0·09, 0·24, respectively), and Asia at 14·90% (95%CI: 0·13, 0·17). The prevalence in adults was 15·17% (95%CI:0·14, 0·17); in children, it was 9·35% (95%CI: 0·04, 0·23).Conclusions: The occurrence of hyperuricemia varied according to the geographic location, sex, and age. Research on the prevalence of hyperuricemia helps to better understand the burden of the disease and guide public health efforts in its management. Follow-up research should focus on understanding the distribution of the prevalence of hyperuricemia and the trend of predicted hyperuricemia prevalence over time.","DOI":"10.2139/ssrn.5145955","event-place":"Rochester, NY","genre":"SSRN Scholarly Paper","language":"en","number":"5145955","publisher":"Social Science Research Network","publisher-place":"Rochester, NY","source":"papers.ssrn.com","title":"Global Epidemiology of Hyperuricemia: An Analysis of Trends Over the Past Decade","title-short":"Global Epidemiology of Hyperuricemia","URL":"https://papers.ssrn.com/abstract=5145955","author":[{"family":"Chen","given":"Siting"},{"family":"Liu","given":"Liu"},{"family":"Huang","given":"Dongbei"},{"family":"Chao","given":"Fangfang"},{"family":"Wang","given":"Yifei"},{"family":"Yan","given":"Zhangren"},{"family":"Yi","given":"Jun"},{"family":"Wang","given":"Kangning"},{"family":"Shen","given":"Dandan"},{"family":"Jiang","given":"Xin"},{"family":"Li","given":"Xin"},{"family":"Wang","given":"Wanchun"}],"accessed":{"date-parts":[["2025",12,25]]},"issued":{"date-parts":[["2025",2,21]]}}}],"schema":"https://github.com/citation-style-language/schema/raw/master/csl-citation.json"} </w:instrText>
      </w:r>
      <w:r w:rsidR="0005003D">
        <w:fldChar w:fldCharType="separate"/>
      </w:r>
      <w:r w:rsidR="008C1222" w:rsidRPr="008C1222">
        <w:rPr>
          <w:vertAlign w:val="superscript"/>
        </w:rPr>
        <w:t>1</w:t>
      </w:r>
      <w:r w:rsidR="0005003D">
        <w:fldChar w:fldCharType="end"/>
      </w:r>
      <w:r w:rsidR="00F404CC">
        <w:t xml:space="preserve"> </w:t>
      </w:r>
      <w:r>
        <w:t xml:space="preserve"> In the United States, approximately 21% of adults, representing about 43 million individuals, have been diagnosed with hyperuricemia</w:t>
      </w:r>
      <w:r w:rsidR="00F404CC">
        <w:t>.</w:t>
      </w:r>
      <w:r w:rsidR="00CB189E">
        <w:fldChar w:fldCharType="begin"/>
      </w:r>
      <w:r w:rsidR="008C1222">
        <w:instrText xml:space="preserve"> ADDIN ZOTERO_ITEM CSL_CITATION {"citationID":"reP2vkcW","properties":{"formattedCitation":"\\super 2\\nosupersub{}","plainCitation":"2","noteIndex":0},"citationItems":[{"id":1384,"uris":["http://zotero.org/users/local/AIjuh99d/items/622M7AK2"],"itemData":{"id":1384,"type":"article-journal","abstract":"Hyperuricemia, characterized by elevated levels of serum uric acid (SUA), is linked to a spectrum of commodities such as gout, cardiovascular diseases, renal disorders, metabolic syndrome, and diabetes, etc. Significantly impairing the quality of life for those affected, the prevalence of hyperuricemia is an upward trend globally, especially in most developed countries. UA possesses a multifaceted role, such as antioxidant, pro-oxidative, pro-inflammatory, nitric oxide modulating, anti-aging, and immune effects, which are significant in both physiological and pathological contexts. The equilibrium of circulating urate levels hinges on the interplay between production and excretion, a delicate balance orchestrated by urate transporter functions across various epithelial tissues and cell types. While existing research has identified hyperuricemia involvement in numerous biological processes and signaling pathways, the precise mechanisms connecting elevated UA levels to disease etiology remain to be fully elucidated. In addition, the influence of genetic susceptibilities and environmental determinants on hyperuricemia calls for a detailed and nuanced examination. This review compiles data from global epidemiological studies and clinical practices, exploring the physiological processes and the genetic foundations of urate transporters in depth. Furthermore, we uncover the complex mechanisms by which the UA induced inflammation influences metabolic processes in individuals with hyperuricemia and the association with its relative disease, offering a foundation for innovative therapeutic approaches and advanced pharmacological strategies.","container-title":"Signal Transduction and Targeted Therapy","DOI":"10.1038/s41392-024-01916-y","ISSN":"2059-3635","issue":"1","journalAbbreviation":"Sig Transduct Target Ther","language":"en","license":"2024 The Author(s)","note":"publisher: Nature Publishing Group","page":"212","source":"www.nature.com","title":"Hyperuricemia and its related diseases: mechanisms and advances in therapy","title-short":"Hyperuricemia and its related diseases","volume":"9","author":[{"family":"Du","given":"Lin"},{"family":"Zong","given":"Yao"},{"family":"Li","given":"Haorui"},{"family":"Wang","given":"Qiyue"},{"family":"Xie","given":"Lei"},{"family":"Yang","given":"Bo"},{"family":"Pang","given":"Yidan"},{"family":"Zhang","given":"Changqing"},{"family":"Zhong","given":"Zhigang"},{"family":"Gao","given":"Junjie"}],"issued":{"date-parts":[["2024",8,28]]}}}],"schema":"https://github.com/citation-style-language/schema/raw/master/csl-citation.json"} </w:instrText>
      </w:r>
      <w:r w:rsidR="00CB189E">
        <w:fldChar w:fldCharType="separate"/>
      </w:r>
      <w:r w:rsidR="008C1222" w:rsidRPr="008C1222">
        <w:rPr>
          <w:vertAlign w:val="superscript"/>
        </w:rPr>
        <w:t>2</w:t>
      </w:r>
      <w:r w:rsidR="00CB189E">
        <w:fldChar w:fldCharType="end"/>
      </w:r>
      <w:r>
        <w:t xml:space="preserve"> </w:t>
      </w:r>
      <w:r w:rsidR="00CB189E">
        <w:t xml:space="preserve">There is </w:t>
      </w:r>
      <w:r w:rsidR="00FD6768">
        <w:t>some</w:t>
      </w:r>
      <w:r>
        <w:t xml:space="preserve"> geographic and demographic variation, with prevalence rates of 21.06% in males and 10.15% in females globally</w:t>
      </w:r>
      <w:r w:rsidR="00F404CC">
        <w:t>.</w:t>
      </w:r>
      <w:r w:rsidR="00CB189E">
        <w:fldChar w:fldCharType="begin"/>
      </w:r>
      <w:r w:rsidR="008C1222">
        <w:instrText xml:space="preserve"> ADDIN ZOTERO_ITEM CSL_CITATION {"citationID":"SHTvsrTp","properties":{"formattedCitation":"\\super 3\\nosupersub{}","plainCitation":"3","noteIndex":0},"citationItems":[{"id":1387,"uris":["http://zotero.org/users/local/AIjuh99d/items/QRVFBP94"],"itemData":{"id":1387,"type":"webpage","title":"Update on the epidemiology, genetics, and therapeutic options of hyperuricemia - PMC","URL":"https://pmc.ncbi.nlm.nih.gov/articles/PMC7407685/","accessed":{"date-parts":[["2025",12,25]]}}}],"schema":"https://github.com/citation-style-language/schema/raw/master/csl-citation.json"} </w:instrText>
      </w:r>
      <w:r w:rsidR="00CB189E">
        <w:fldChar w:fldCharType="separate"/>
      </w:r>
      <w:r w:rsidR="008C1222" w:rsidRPr="008C1222">
        <w:rPr>
          <w:vertAlign w:val="superscript"/>
        </w:rPr>
        <w:t>3</w:t>
      </w:r>
      <w:r w:rsidR="00CB189E">
        <w:fldChar w:fldCharType="end"/>
      </w:r>
    </w:p>
    <w:p w14:paraId="02D98957" w14:textId="77777777" w:rsidR="00F53FEA" w:rsidRDefault="002C641B">
      <w:r>
        <w:t xml:space="preserve">Hyperuricemia results from an imbalance between uric acid production and excretion, with approximately one-third of uric acid production </w:t>
      </w:r>
      <w:r w:rsidR="00CB189E">
        <w:t>coming</w:t>
      </w:r>
      <w:r>
        <w:t xml:space="preserve"> from dietary purines and the </w:t>
      </w:r>
      <w:r w:rsidR="00CB189E">
        <w:t>rest</w:t>
      </w:r>
      <w:r>
        <w:t xml:space="preserve"> from endogenous sources</w:t>
      </w:r>
      <w:r w:rsidR="00CB189E">
        <w:t xml:space="preserve"> </w:t>
      </w:r>
      <w:r w:rsidR="00CB189E">
        <w:fldChar w:fldCharType="begin"/>
      </w:r>
      <w:r w:rsidR="008C1222">
        <w:instrText xml:space="preserve"> ADDIN ZOTERO_ITEM CSL_CITATION {"citationID":"Ni2rTc9k","properties":{"formattedCitation":"\\super 4\\nosupersub{}","plainCitation":"4","noteIndex":0},"citationItems":[{"id":1389,"uris":["http://zotero.org/users/local/AIjuh99d/items/53YDC58A"],"itemData":{"id":1389,"type":"webpage","title":"Hyperuricemia - StatPearls - NCBI Bookshelf","URL":"https://www.ncbi.nlm.nih.gov/books/NBK459218/","accessed":{"date-parts":[["2025",12,25]]}}}],"schema":"https://github.com/citation-style-language/schema/raw/master/csl-citation.json"} </w:instrText>
      </w:r>
      <w:r w:rsidR="00CB189E">
        <w:fldChar w:fldCharType="separate"/>
      </w:r>
      <w:r w:rsidR="008C1222" w:rsidRPr="008C1222">
        <w:rPr>
          <w:vertAlign w:val="superscript"/>
        </w:rPr>
        <w:t>4</w:t>
      </w:r>
      <w:r w:rsidR="00CB189E">
        <w:fldChar w:fldCharType="end"/>
      </w:r>
      <w:r>
        <w:t>.</w:t>
      </w:r>
      <w:r w:rsidR="00953022">
        <w:t xml:space="preserve"> </w:t>
      </w:r>
      <w:r>
        <w:t xml:space="preserve"> </w:t>
      </w:r>
      <w:r w:rsidR="00CB189E">
        <w:t>Hyperuricemia</w:t>
      </w:r>
      <w:r>
        <w:t xml:space="preserve"> is not </w:t>
      </w:r>
      <w:r w:rsidR="00FD6768">
        <w:t>just</w:t>
      </w:r>
      <w:r>
        <w:t xml:space="preserve"> a biochemical abnormality</w:t>
      </w:r>
      <w:r w:rsidR="00FD6768">
        <w:t>, it</w:t>
      </w:r>
      <w:r w:rsidR="00A93EF5">
        <w:t xml:space="preserve"> </w:t>
      </w:r>
      <w:r>
        <w:t xml:space="preserve"> has clinical implications, serving as an independent risk factor for gout, cardiovascular diseases, renal disorders, metabolic syndrome, and type 2 diabetes mellitus</w:t>
      </w:r>
      <w:r w:rsidR="00CB189E">
        <w:t xml:space="preserve"> </w:t>
      </w:r>
      <w:r w:rsidR="00CB189E">
        <w:fldChar w:fldCharType="begin"/>
      </w:r>
      <w:r w:rsidR="008C1222">
        <w:instrText xml:space="preserve"> ADDIN ZOTERO_ITEM CSL_CITATION {"citationID":"OiocBalg","properties":{"formattedCitation":"\\super 5\\nosupersub{}","plainCitation":"5","noteIndex":0},"citationItems":[{"id":1391,"uris":["http://zotero.org/users/local/AIjuh99d/items/E44WBWH3"],"itemData":{"id":1391,"type":"article-journal","abstract":"During the last century, there has been an increasing prevalence of hyperuricaemia noted in many populations. While uric acid is usually discussed in the context of gout, hyperuricaemia is also associated with hypertension, chronic kidney disease, hypertriglyceridaemia, obesity, atherosclerotic heart disease, metabolic syndrome, and type 2 diabetes. Here we review the connection between hyperuricaemia and cardiovascular, kidney and metabolic diseases. Contrary to the popular view that uric acid is an inert metabolite of purine metabolism, recent studies suggest serum uric acid may have a variety of pro-inflammatory, pro-oxidative and vasoconstrictive actions that may contribute to cardiometabolic diseases. Hyperuricaemia is a predictive factor for the development of hypertension, metabolic syndrome, type 2 diabetes, coronary artery disease, left ventricular hypertrophy, atrial fibrillation, myocardial infarction, stroke, heart failure and chronic kidney disease. Treatment with uric acid-lowering therapies has also been found to improve outcomes in patients with hypertension and kidney disease, in some but not all studies. In conclusion, uric acid is emerging as a potentially treatable risk factor for cardiometabolic diseases, and more clinical trials investigating the potential benefit of lowering serum uric acid are recommended in individuals with hyperuricaemia with and without deposition and concomitant hypertension, metabolic syndrome or chronic kidney disease.","container-title":"European Journal of Internal Medicine","DOI":"10.1016/j.ejim.2020.07.006","ISSN":"1879-0828","journalAbbreviation":"Eur J Intern Med","language":"eng","note":"PMID: 32739239","page":"1-11","source":"PubMed","title":"Hyperuricaemia and gout in cardiovascular, metabolic and kidney disease","volume":"80","author":[{"family":"Borghi","given":"Claudio"},{"family":"Agabiti-Rosei","given":"Enrico"},{"family":"Johnson","given":"Richard J."},{"family":"Kielstein","given":"Jan T."},{"family":"Lurbe","given":"Empar"},{"family":"Mancia","given":"Giuseppe"},{"family":"Redon","given":"Josep"},{"family":"Stack","given":"Austin G."},{"family":"Tsioufis","given":"Konstantinos P."}],"issued":{"date-parts":[["2020",10]]}}}],"schema":"https://github.com/citation-style-language/schema/raw/master/csl-citation.json"} </w:instrText>
      </w:r>
      <w:r w:rsidR="00CB189E">
        <w:fldChar w:fldCharType="separate"/>
      </w:r>
      <w:r w:rsidR="008C1222" w:rsidRPr="008C1222">
        <w:rPr>
          <w:vertAlign w:val="superscript"/>
        </w:rPr>
        <w:t>5</w:t>
      </w:r>
      <w:r w:rsidR="00CB189E">
        <w:fldChar w:fldCharType="end"/>
      </w:r>
      <w:r>
        <w:t>.</w:t>
      </w:r>
      <w:r w:rsidR="00953022">
        <w:t xml:space="preserve"> </w:t>
      </w:r>
      <w:r>
        <w:t xml:space="preserve"> While only about 25% of individuals with hyperuricemia develop gout, the condition is </w:t>
      </w:r>
      <w:r w:rsidR="004B0265">
        <w:t>also associated with</w:t>
      </w:r>
      <w:r>
        <w:t xml:space="preserve"> vascular inflammation, endothelial dysfunction, and increased cardiovascular mortality</w:t>
      </w:r>
      <w:r w:rsidR="00CB189E">
        <w:t xml:space="preserve"> </w:t>
      </w:r>
      <w:r w:rsidR="00CB189E">
        <w:fldChar w:fldCharType="begin"/>
      </w:r>
      <w:r w:rsidR="008C1222">
        <w:instrText xml:space="preserve"> ADDIN ZOTERO_ITEM CSL_CITATION {"citationID":"tBGzoqC3","properties":{"formattedCitation":"\\super 6\\nosupersub{}","plainCitation":"6","noteIndex":0},"citationItems":[{"id":1394,"uris":["http://zotero.org/users/local/AIjuh99d/items/7DNB6WUB"],"itemData":{"id":1394,"type":"webpage","title":"Asymptomatic hyperuricaemia: a silent activator of the innate immune system - PubMed","URL":"https://pubmed.ncbi.nlm.nih.gov/31822862/","accessed":{"date-parts":[["2025",12,25]]}}}],"schema":"https://github.com/citation-style-language/schema/raw/master/csl-citation.json"} </w:instrText>
      </w:r>
      <w:r w:rsidR="00CB189E">
        <w:fldChar w:fldCharType="separate"/>
      </w:r>
      <w:r w:rsidR="008C1222" w:rsidRPr="008C1222">
        <w:rPr>
          <w:vertAlign w:val="superscript"/>
        </w:rPr>
        <w:t>6</w:t>
      </w:r>
      <w:r w:rsidR="00CB189E">
        <w:fldChar w:fldCharType="end"/>
      </w:r>
      <w:r>
        <w:t>.</w:t>
      </w:r>
    </w:p>
    <w:p w14:paraId="6E767531" w14:textId="77777777" w:rsidR="00FF1185" w:rsidRPr="00FF1185" w:rsidRDefault="004B0265" w:rsidP="00FF1185">
      <w:r w:rsidRPr="004B0265">
        <w:t>Complex interplay between hereditary variables, dietary practices, and metabolic processes are involved in the pathogenesis of hyperuricemia. Depending on concentration and cellular context, uric acid can act as both an antioxidant and a pro-inflammatory m</w:t>
      </w:r>
      <w:r>
        <w:t>ediator in human physiology</w:t>
      </w:r>
      <w:r w:rsidR="00953022">
        <w:t xml:space="preserve">. </w:t>
      </w:r>
      <w:r w:rsidR="00FF1185">
        <w:fldChar w:fldCharType="begin"/>
      </w:r>
      <w:r w:rsidR="008C1222">
        <w:instrText xml:space="preserve"> ADDIN ZOTERO_ITEM CSL_CITATION {"citationID":"ZTBJ5BiI","properties":{"formattedCitation":"\\super 7\\nosupersub{}","plainCitation":"7","noteIndex":0},"citationItems":[{"id":1396,"uris":["http://zotero.org/users/local/AIjuh99d/items/YQUVHRUS"],"itemData":{"id":1396,"type":"article-journal","abstract":"Uric acid, generated from the metabolism of purines, has proven and emerging roles in human disease. Serum uric acid is determined by production and the net balance of reabsorption or secretion by the kidney and intestine. A detailed understanding of epithelial absorption and secretion of uric acid has recently emerged, aided in particular by the results of genome-wide association studies of hyperuricemia. Novel genetic and regulatory networks with effects on uric acid homeostasis have also emerged. These developments promise to lead to a new understanding of the various diseases associated with hyperuricemia and to novel, targeted therapies for hyperuricemia.","container-title":"Annual Review of Physiology","DOI":"10.1146/annurev-physiol-021113-170343","ISSN":"1545-1585","journalAbbreviation":"Annu Rev Physiol","language":"eng","note":"PMID: 25422986","page":"323-345","source":"PubMed","title":"The molecular physiology of uric acid homeostasis","volume":"77","author":[{"family":"Mandal","given":"Asim K."},{"family":"Mount","given":"David B."}],"issued":{"date-parts":[["2015"]]}}}],"schema":"https://github.com/citation-style-language/schema/raw/master/csl-citation.json"} </w:instrText>
      </w:r>
      <w:r w:rsidR="00FF1185">
        <w:fldChar w:fldCharType="separate"/>
      </w:r>
      <w:r w:rsidR="008C1222" w:rsidRPr="008C1222">
        <w:rPr>
          <w:vertAlign w:val="superscript"/>
        </w:rPr>
        <w:t>7</w:t>
      </w:r>
      <w:r w:rsidR="00FF1185">
        <w:fldChar w:fldCharType="end"/>
      </w:r>
      <w:r w:rsidR="009076C2">
        <w:t xml:space="preserve"> </w:t>
      </w:r>
      <w:r w:rsidR="002C641B">
        <w:t xml:space="preserve"> </w:t>
      </w:r>
      <w:r w:rsidR="00FF1185" w:rsidRPr="00FF1185">
        <w:t>High consumption of purine-rich foods, such as red meat, seafood, and alcohol, contributes to higher uric acid levels, making dietary consi</w:t>
      </w:r>
      <w:r w:rsidR="00FF1185">
        <w:t>derations important</w:t>
      </w:r>
      <w:r w:rsidR="00953022">
        <w:t>.</w:t>
      </w:r>
      <w:r w:rsidR="00FF1185">
        <w:fldChar w:fldCharType="begin"/>
      </w:r>
      <w:r w:rsidR="008C1222">
        <w:instrText xml:space="preserve"> ADDIN ZOTERO_ITEM CSL_CITATION {"citationID":"vGgKthWD","properties":{"formattedCitation":"\\super 8\\nosupersub{}","plainCitation":"8","noteIndex":0},"citationItems":[{"id":1400,"uris":["http://zotero.org/users/local/AIjuh99d/items/7ZHPVICJ"],"itemData":{"id":1400,"type":"article-journal","abstract":"Purines perform many important functions in the cell, being the formation of the monomeric precursors of nucleic acids DNA and RNA the most relevant one. Purines which also contribute to modulate energy metabolism and signal transduction, are structural components of some coenzymes and have been shown to play important roles in the physiology of platelets, muscles and neurotransmission. All cells require a balanced quantity of purines for growth, proliferation and survival. Under physiological conditions the enzymes involved in the purine metabolism maintain in the cell a balanced ratio between their synthesis and degradation. In humans the final compound of purines catabolism is uric acid. All other mammals possess the enzyme uricase that converts uric acid to allantoin that is easily eliminated through urine. Overproduction of uric acid, generated from the metabolism of purines, has been proven to play emerging roles in human disease. In fact the increase of serum uric acid is inversely associated with disease severity and especially with cardiovascular disease states. This review describes the enzymatic pathways involved in the degradation of purines, getting into their structure and biochemistry until the uric acid formation.","container-title":"International Journal of Cardiology","DOI":"10.1016/j.ijcard.2015.08.109","ISSN":"1874-1754","journalAbbreviation":"Int J Cardiol","language":"eng","note":"PMID: 26316329","page":"8-14","source":"PubMed","title":"Regulation of uric acid metabolism and excretion","volume":"213","author":[{"family":"Maiuolo","given":"Jessica"},{"family":"Oppedisano","given":"Francesca"},{"family":"Gratteri","given":"Santo"},{"family":"Muscoli","given":"Carolina"},{"family":"Mollace","given":"Vincenzo"}],"issued":{"date-parts":[["2016",6,15]]}}}],"schema":"https://github.com/citation-style-language/schema/raw/master/csl-citation.json"} </w:instrText>
      </w:r>
      <w:r w:rsidR="00FF1185">
        <w:fldChar w:fldCharType="separate"/>
      </w:r>
      <w:r w:rsidR="008C1222" w:rsidRPr="008C1222">
        <w:rPr>
          <w:vertAlign w:val="superscript"/>
        </w:rPr>
        <w:t>8</w:t>
      </w:r>
      <w:r w:rsidR="00FF1185">
        <w:fldChar w:fldCharType="end"/>
      </w:r>
      <w:r w:rsidR="00FF1185">
        <w:t xml:space="preserve"> </w:t>
      </w:r>
      <w:r w:rsidR="00FF1185" w:rsidRPr="00FF1185">
        <w:t xml:space="preserve"> On the other hand, decreased serum urate concentrations have been linked to dairy products, vegetables, and some plant-based proteins</w:t>
      </w:r>
      <w:r w:rsidR="00953022">
        <w:t>.</w:t>
      </w:r>
      <w:r w:rsidR="00FF1185">
        <w:t xml:space="preserve"> </w:t>
      </w:r>
      <w:r w:rsidR="00B96FFA">
        <w:fldChar w:fldCharType="begin"/>
      </w:r>
      <w:r w:rsidR="008C1222">
        <w:instrText xml:space="preserve"> ADDIN ZOTERO_ITEM CSL_CITATION {"citationID":"l3HzXne4","properties":{"formattedCitation":"\\super 9\\nosupersub{}","plainCitation":"9","noteIndex":0},"citationItems":[{"id":1402,"uris":["http://zotero.org/users/local/AIjuh99d/items/DSYDQUL7"],"itemData":{"id":1402,"type":"webpage","title":"Obesity, weight change, hypertension, diuretic use, and risk of gout in men: the health professionals follow-up study - PubMed","URL":"https://pubmed.ncbi.nlm.nih.gov/15824292/","accessed":{"date-parts":[["2025",12,25]]}}}],"schema":"https://github.com/citation-style-language/schema/raw/master/csl-citation.json"} </w:instrText>
      </w:r>
      <w:r w:rsidR="00B96FFA">
        <w:fldChar w:fldCharType="separate"/>
      </w:r>
      <w:r w:rsidR="008C1222" w:rsidRPr="008C1222">
        <w:rPr>
          <w:vertAlign w:val="superscript"/>
        </w:rPr>
        <w:t>9</w:t>
      </w:r>
      <w:r w:rsidR="00B96FFA">
        <w:fldChar w:fldCharType="end"/>
      </w:r>
    </w:p>
    <w:p w14:paraId="517AC78C" w14:textId="77777777" w:rsidR="00F53FEA" w:rsidRDefault="002C641B">
      <w:r>
        <w:t xml:space="preserve">In Africa, </w:t>
      </w:r>
      <w:r w:rsidR="00B96FFA">
        <w:t xml:space="preserve">pooled </w:t>
      </w:r>
      <w:r>
        <w:t xml:space="preserve">data on hyperuricemia prevalence and risk factors remain limited, </w:t>
      </w:r>
      <w:r w:rsidR="0059087B">
        <w:t>a</w:t>
      </w:r>
      <w:r>
        <w:t xml:space="preserve"> recent systematic review reported prevalence rates among type 2 diabetes patients of 26.31% in Nigeria, 29.30% in Ethiopia, and 33.72% in Cameroon</w:t>
      </w:r>
      <w:r w:rsidR="0085698B">
        <w:t xml:space="preserve"> </w:t>
      </w:r>
      <w:r w:rsidR="0085698B">
        <w:fldChar w:fldCharType="begin"/>
      </w:r>
      <w:r w:rsidR="008C1222">
        <w:instrText xml:space="preserve"> ADDIN ZOTERO_ITEM CSL_CITATION {"citationID":"ZQoSMWPO","properties":{"formattedCitation":"\\super 10\\nosupersub{}","plainCitation":"10","noteIndex":0},"citationItems":[{"id":1404,"uris":["http://zotero.org/users/local/AIjuh99d/items/JPJGVK5T"],"itemData":{"id":1404,"type":"article-journal","abstract":"Hyperuricemia increases morbidity and mortality in type 2 diabetic individuals. It is linked to the expansion of diabetes and cardiovascular diseases indicators, as well as being a significant predictor of coronary artery disease. It also leads to a poor prognosis and increment of diabetic complications including diabetic neuropathy, retinopathy, and nephropathy. Therefore, this systematic review and meta-analysis was aimed to determine the pooled prevalence of hyperuricemia among type 2 diabetes mellitus patients in Africa.","container-title":"BMC Endocrine Disorders","DOI":"10.1186/s12902-023-01408-0","ISSN":"1472-6823","issue":"1","journalAbbreviation":"BMC Endocr Disord","language":"en","page":"153","source":"Springer Link","title":"Prevalence of hyperuricemia among type 2 diabetes mellitus patients in Africa: a systematic review and meta-analysis","title-short":"Prevalence of hyperuricemia among type 2 diabetes mellitus patients in Africa","volume":"23","author":[{"family":"Alemayehu","given":"Ermiyas"},{"family":"Fiseha","given":"Temesgen"},{"family":"Bambo","given":"Getachew Mesfin"},{"family":"Sahile Kebede","given":"Samuel"},{"family":"Bisetegn","given":"Habtye"},{"family":"Tilahun","given":"Mihret"},{"family":"Debash","given":"Habtu"},{"family":"Ebrahim","given":"Hussen"},{"family":"Mohammed","given":"Ousman"},{"family":"Belete","given":"Melaku Ashagrie"},{"family":"Gedefie","given":"Alemu"}],"issued":{"date-parts":[["2023",7,18]]}}}],"schema":"https://github.com/citation-style-language/schema/raw/master/csl-citation.json"} </w:instrText>
      </w:r>
      <w:r w:rsidR="0085698B">
        <w:fldChar w:fldCharType="separate"/>
      </w:r>
      <w:r w:rsidR="008C1222" w:rsidRPr="008C1222">
        <w:rPr>
          <w:vertAlign w:val="superscript"/>
        </w:rPr>
        <w:t>10</w:t>
      </w:r>
      <w:r w:rsidR="0085698B">
        <w:fldChar w:fldCharType="end"/>
      </w:r>
      <w:r>
        <w:t>.¹⁰ However, population-based studies among general adult populations in Nigeria are scarce</w:t>
      </w:r>
      <w:r w:rsidR="0085698B">
        <w:t>, many of the studies were done in different patient groups</w:t>
      </w:r>
      <w:r>
        <w:t xml:space="preserve">. </w:t>
      </w:r>
      <w:r w:rsidR="0059087B">
        <w:t>Some studies have been done in t</w:t>
      </w:r>
      <w:r>
        <w:t xml:space="preserve">he Niger Delta region, </w:t>
      </w:r>
      <w:r w:rsidR="0059087B">
        <w:t xml:space="preserve">a place </w:t>
      </w:r>
      <w:r>
        <w:t>characterized by high seafood consumption and unique dietary patterns, may present distinct epidemiological patterns of hyperuricemia.</w:t>
      </w:r>
    </w:p>
    <w:p w14:paraId="6E46223E" w14:textId="77777777" w:rsidR="0085698B" w:rsidRPr="0085698B" w:rsidRDefault="0085698B" w:rsidP="0085698B">
      <w:r w:rsidRPr="0085698B">
        <w:lastRenderedPageBreak/>
        <w:t xml:space="preserve">The purpose of this study was to ascertain the prevalence of hyperuricemia among adult patients who visited the general outpatient clinic at Rivers State University Teaching Hospital in Port Harcourt, Nigeria, as well as to identify </w:t>
      </w:r>
      <w:r w:rsidR="000C2373">
        <w:t>associated</w:t>
      </w:r>
      <w:r w:rsidRPr="0085698B">
        <w:t xml:space="preserve"> clinical, lifestyle, and demographic risk factors.</w:t>
      </w:r>
    </w:p>
    <w:p w14:paraId="139CA34E" w14:textId="77777777" w:rsidR="00F53FEA" w:rsidRDefault="002C641B">
      <w:pPr>
        <w:pStyle w:val="Heading1"/>
      </w:pPr>
      <w:r>
        <w:t>METHODS</w:t>
      </w:r>
    </w:p>
    <w:p w14:paraId="7B31A7B2" w14:textId="77777777" w:rsidR="00F53FEA" w:rsidRDefault="002C641B">
      <w:pPr>
        <w:pStyle w:val="Heading2"/>
      </w:pPr>
      <w:r>
        <w:t>Study Design and Setting</w:t>
      </w:r>
    </w:p>
    <w:p w14:paraId="3AFB58FE" w14:textId="77777777" w:rsidR="00F53FEA" w:rsidRDefault="002C641B">
      <w:r>
        <w:t>A prospective cross-sectional study was conducted at the general outpatient clinic of Rivers State University Teaching Hospital (RSUTH), Port Harcourt, Nigeria. The hospital is a tertiary healthcare facility serving the Port Harcourt metropolitan area and surrounding communities in Rivers State.</w:t>
      </w:r>
    </w:p>
    <w:p w14:paraId="5791CF87" w14:textId="77777777" w:rsidR="00F53FEA" w:rsidRDefault="002C641B">
      <w:pPr>
        <w:pStyle w:val="Heading2"/>
      </w:pPr>
      <w:r>
        <w:t>Study Population and Sampling</w:t>
      </w:r>
    </w:p>
    <w:p w14:paraId="0FD36448" w14:textId="77777777" w:rsidR="00F53FEA" w:rsidRDefault="002C641B">
      <w:r>
        <w:t>A total of 241 adult participants aged 20 years and above attending the general outpatient clinic were enrolled. Participants were selected through consecutive sampling. Inclusion criteria included adults aged 20 years and above who provided informed consent. Exclusion criteria included pregnant women, patients on uric acid-lowering medications, and those with known gout.</w:t>
      </w:r>
    </w:p>
    <w:p w14:paraId="3BBAE9C2" w14:textId="77777777" w:rsidR="00F53FEA" w:rsidRDefault="002C641B">
      <w:pPr>
        <w:pStyle w:val="Heading2"/>
      </w:pPr>
      <w:r>
        <w:t>Data Collection</w:t>
      </w:r>
    </w:p>
    <w:p w14:paraId="0CA69BE2" w14:textId="77777777" w:rsidR="00F53FEA" w:rsidRDefault="002C641B">
      <w:r>
        <w:t xml:space="preserve">Data were collected using a structured questionnaire administered by </w:t>
      </w:r>
      <w:r w:rsidR="000C2373">
        <w:t>research team members</w:t>
      </w:r>
      <w:r>
        <w:t>. Information gathered included:</w:t>
      </w:r>
    </w:p>
    <w:p w14:paraId="6EB6EFDC" w14:textId="77777777" w:rsidR="00F53FEA" w:rsidRDefault="002C641B">
      <w:r>
        <w:t xml:space="preserve">1. </w:t>
      </w:r>
      <w:r>
        <w:rPr>
          <w:b/>
          <w:bCs/>
        </w:rPr>
        <w:t>Demographic characteristics:</w:t>
      </w:r>
      <w:r>
        <w:t xml:space="preserve"> age, sex, marital status, educational level, and occupation</w:t>
      </w:r>
    </w:p>
    <w:p w14:paraId="7B1CC50D" w14:textId="77777777" w:rsidR="00F53FEA" w:rsidRDefault="002C641B">
      <w:r>
        <w:t xml:space="preserve">2. </w:t>
      </w:r>
      <w:r>
        <w:rPr>
          <w:b/>
          <w:bCs/>
        </w:rPr>
        <w:t>Lifestyle habits:</w:t>
      </w:r>
      <w:r>
        <w:t xml:space="preserve"> alcohol consumption, smoking status, physical activity frequency, consumption of sugary items, red meat intake, and seafood consumption</w:t>
      </w:r>
    </w:p>
    <w:p w14:paraId="19C086ED" w14:textId="77777777" w:rsidR="00F53FEA" w:rsidRDefault="002C641B">
      <w:r>
        <w:t xml:space="preserve">3. </w:t>
      </w:r>
      <w:r>
        <w:rPr>
          <w:b/>
          <w:bCs/>
        </w:rPr>
        <w:t>Clinical characteristics:</w:t>
      </w:r>
      <w:r>
        <w:t xml:space="preserve"> menopausal status (for women), comorbidities, current medications, presenting symptoms, and anthropometric measurements</w:t>
      </w:r>
    </w:p>
    <w:p w14:paraId="0A04E7AD" w14:textId="77777777" w:rsidR="00F53FEA" w:rsidRDefault="002C641B">
      <w:pPr>
        <w:pStyle w:val="Heading2"/>
      </w:pPr>
      <w:r>
        <w:t>Laboratory Analysis</w:t>
      </w:r>
    </w:p>
    <w:p w14:paraId="79388673" w14:textId="77777777" w:rsidR="00F53FEA" w:rsidRDefault="002C641B">
      <w:r>
        <w:t xml:space="preserve">Venous blood samples were collected after an overnight fast of at least 8 hours. Serum uric acid levels were measured using the enzymatic colorimetric method. Hyperuricemia was defined as serum uric acid &gt;7.0 mg/dL (420 </w:t>
      </w:r>
      <w:proofErr w:type="spellStart"/>
      <w:r>
        <w:t>μmol</w:t>
      </w:r>
      <w:proofErr w:type="spellEnd"/>
      <w:r>
        <w:t xml:space="preserve">/L) in males and &gt;6.0 mg/dL (360 </w:t>
      </w:r>
      <w:proofErr w:type="spellStart"/>
      <w:r>
        <w:t>μmol</w:t>
      </w:r>
      <w:proofErr w:type="spellEnd"/>
      <w:r>
        <w:t>/L) in females, following standard definitions.</w:t>
      </w:r>
    </w:p>
    <w:p w14:paraId="088AE93C" w14:textId="77777777" w:rsidR="00F53FEA" w:rsidRDefault="002C641B">
      <w:pPr>
        <w:pStyle w:val="Heading2"/>
      </w:pPr>
      <w:r>
        <w:t>Anthropometric Measurements</w:t>
      </w:r>
    </w:p>
    <w:p w14:paraId="54225539" w14:textId="77777777" w:rsidR="00F53FEA" w:rsidRDefault="002C641B">
      <w:r>
        <w:lastRenderedPageBreak/>
        <w:t>Height and weight were measured using calibrated instruments. Body Mass Index (BMI) was calculated as weight in kilograms divided by height in meters squared. BMI categories were defined as: underweight (&lt;18.5 kg/m²), normal (18.5-24.9 kg/m²), overweight (25.0-29.9 kg/m²), and obese (≥30.0 kg/m²).</w:t>
      </w:r>
    </w:p>
    <w:p w14:paraId="442C4EEA" w14:textId="77777777" w:rsidR="00F53FEA" w:rsidRDefault="002C641B">
      <w:pPr>
        <w:pStyle w:val="Heading2"/>
      </w:pPr>
      <w:r>
        <w:t>Statistical Analysis</w:t>
      </w:r>
    </w:p>
    <w:p w14:paraId="72DC2D5D" w14:textId="77777777" w:rsidR="00F53FEA" w:rsidRDefault="002C641B">
      <w:r>
        <w:t>Data were analyzed using the Statistical Package for Social Sciences (SPSS) version 25.0 (IBM, USA). Descriptive statistics were used to summarize demographic characteristics, lifestyle habits, and clinical profiles. Frequencies and percentages were calculated for categorical variables. The chi-square (χ²) test of independence was used to assess associations between hyperuricemia status and demographic, clinical, and lifestyle variables. A p-value &lt;0.05 was considered statistically significant.</w:t>
      </w:r>
    </w:p>
    <w:p w14:paraId="03C53822" w14:textId="77777777" w:rsidR="00F53FEA" w:rsidRDefault="002C641B">
      <w:pPr>
        <w:pStyle w:val="Heading2"/>
      </w:pPr>
      <w:r>
        <w:t>Ethical Considerations</w:t>
      </w:r>
    </w:p>
    <w:p w14:paraId="400720D5" w14:textId="77777777" w:rsidR="00F53FEA" w:rsidRDefault="002C641B">
      <w:r>
        <w:t>Ethical approval was obtained from the Research Ethics Committee of Rivers State University Teaching Hospital. All participants provided written informed consent before enrollment. Confidentiality and anonymity were maintained throughout the study.</w:t>
      </w:r>
    </w:p>
    <w:p w14:paraId="6C8352DC" w14:textId="77777777" w:rsidR="00F53FEA" w:rsidRDefault="00F53FEA"/>
    <w:p w14:paraId="050EA6B4" w14:textId="77777777" w:rsidR="00F53FEA" w:rsidRDefault="002C641B">
      <w:pPr>
        <w:pStyle w:val="Heading1"/>
      </w:pPr>
      <w:r>
        <w:t>RESULTS</w:t>
      </w:r>
    </w:p>
    <w:p w14:paraId="1E1E06B5" w14:textId="77777777" w:rsidR="00F53FEA" w:rsidRDefault="002C641B">
      <w:pPr>
        <w:pStyle w:val="Heading2"/>
      </w:pPr>
      <w:r>
        <w:t>Demographic Characteristics</w:t>
      </w:r>
    </w:p>
    <w:p w14:paraId="00F413E4" w14:textId="77777777" w:rsidR="00F53FEA" w:rsidRDefault="002C641B">
      <w:r>
        <w:t>Table 1 presents the demographic characteristics of the 241 participants. The age distribution showed that the majority (61.4%) were between 30 and 59 years old, while the youngest group (20-29 years) comprised 7.5%, and those aged 70 and above made up 14.5%. Females represented 62.7% of participants compared to 37.3% males. Regarding educational attainment, most participants had tertiary education (34.9%) or secondary education (24.1%), while 23.2% had primary education, 12.4% had postgraduate qualifications, and 5.4% had no formal education. Occupationally, self-employed individuals constituted the largest group (44%), followed by civil servants (23.2%), public servants (16.6%), retired individuals (10%), and unemployed persons (6.2%).</w:t>
      </w:r>
    </w:p>
    <w:p w14:paraId="2EABC5E8" w14:textId="77777777" w:rsidR="00F53FEA" w:rsidRDefault="00F53FEA"/>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3900"/>
        <w:gridCol w:w="2340"/>
        <w:gridCol w:w="2340"/>
      </w:tblGrid>
      <w:tr w:rsidR="0059087B" w14:paraId="4BF1FE95" w14:textId="77777777">
        <w:trPr>
          <w:tblHeader/>
        </w:trPr>
        <w:tc>
          <w:tcPr>
            <w:tcW w:w="3900" w:type="dxa"/>
            <w:shd w:val="clear" w:color="auto" w:fill="D5E8F0"/>
          </w:tcPr>
          <w:p w14:paraId="0ED411FA" w14:textId="77777777" w:rsidR="00F53FEA" w:rsidRDefault="002C641B">
            <w:pPr>
              <w:jc w:val="center"/>
            </w:pPr>
            <w:r>
              <w:rPr>
                <w:b/>
                <w:bCs/>
              </w:rPr>
              <w:lastRenderedPageBreak/>
              <w:t>Demographic Variable</w:t>
            </w:r>
          </w:p>
        </w:tc>
        <w:tc>
          <w:tcPr>
            <w:tcW w:w="2340" w:type="dxa"/>
            <w:shd w:val="clear" w:color="auto" w:fill="D5E8F0"/>
          </w:tcPr>
          <w:p w14:paraId="78C267BD" w14:textId="77777777" w:rsidR="00F53FEA" w:rsidRDefault="002C641B">
            <w:pPr>
              <w:jc w:val="center"/>
            </w:pPr>
            <w:r>
              <w:rPr>
                <w:b/>
                <w:bCs/>
              </w:rPr>
              <w:t>Frequency (n=241)</w:t>
            </w:r>
          </w:p>
        </w:tc>
        <w:tc>
          <w:tcPr>
            <w:tcW w:w="2340" w:type="dxa"/>
            <w:shd w:val="clear" w:color="auto" w:fill="D5E8F0"/>
          </w:tcPr>
          <w:p w14:paraId="5512C3E5" w14:textId="77777777" w:rsidR="00F53FEA" w:rsidRDefault="002C641B">
            <w:pPr>
              <w:jc w:val="center"/>
            </w:pPr>
            <w:r>
              <w:rPr>
                <w:b/>
                <w:bCs/>
              </w:rPr>
              <w:t>Percentage (%)</w:t>
            </w:r>
          </w:p>
        </w:tc>
      </w:tr>
      <w:tr w:rsidR="0059087B" w14:paraId="53D27C67" w14:textId="77777777">
        <w:tc>
          <w:tcPr>
            <w:tcW w:w="3900" w:type="dxa"/>
          </w:tcPr>
          <w:p w14:paraId="1DC08488" w14:textId="77777777" w:rsidR="00F53FEA" w:rsidRDefault="002C641B">
            <w:r>
              <w:rPr>
                <w:b/>
                <w:bCs/>
              </w:rPr>
              <w:t>Age Groups</w:t>
            </w:r>
          </w:p>
        </w:tc>
        <w:tc>
          <w:tcPr>
            <w:tcW w:w="2340" w:type="dxa"/>
          </w:tcPr>
          <w:p w14:paraId="7DA9062E" w14:textId="77777777" w:rsidR="00F53FEA" w:rsidRDefault="00F53FEA"/>
        </w:tc>
        <w:tc>
          <w:tcPr>
            <w:tcW w:w="2340" w:type="dxa"/>
          </w:tcPr>
          <w:p w14:paraId="585F1C6E" w14:textId="77777777" w:rsidR="00F53FEA" w:rsidRDefault="00F53FEA"/>
        </w:tc>
      </w:tr>
      <w:tr w:rsidR="0059087B" w14:paraId="3C4D2F7E" w14:textId="77777777">
        <w:tc>
          <w:tcPr>
            <w:tcW w:w="3900" w:type="dxa"/>
          </w:tcPr>
          <w:p w14:paraId="4CFB7075" w14:textId="77777777" w:rsidR="00F53FEA" w:rsidRDefault="002C641B">
            <w:r>
              <w:t xml:space="preserve">  20-29</w:t>
            </w:r>
          </w:p>
        </w:tc>
        <w:tc>
          <w:tcPr>
            <w:tcW w:w="2340" w:type="dxa"/>
          </w:tcPr>
          <w:p w14:paraId="651607B4" w14:textId="77777777" w:rsidR="00F53FEA" w:rsidRDefault="002C641B">
            <w:pPr>
              <w:jc w:val="center"/>
            </w:pPr>
            <w:r>
              <w:t>18</w:t>
            </w:r>
          </w:p>
        </w:tc>
        <w:tc>
          <w:tcPr>
            <w:tcW w:w="2340" w:type="dxa"/>
          </w:tcPr>
          <w:p w14:paraId="19325E02" w14:textId="77777777" w:rsidR="00F53FEA" w:rsidRDefault="002C641B">
            <w:pPr>
              <w:jc w:val="center"/>
            </w:pPr>
            <w:r>
              <w:t>7.5</w:t>
            </w:r>
          </w:p>
        </w:tc>
      </w:tr>
      <w:tr w:rsidR="0059087B" w14:paraId="5C1A9CC7" w14:textId="77777777">
        <w:tc>
          <w:tcPr>
            <w:tcW w:w="3900" w:type="dxa"/>
          </w:tcPr>
          <w:p w14:paraId="7823DA86" w14:textId="77777777" w:rsidR="00F53FEA" w:rsidRDefault="002C641B">
            <w:r>
              <w:t xml:space="preserve">  30-39</w:t>
            </w:r>
          </w:p>
        </w:tc>
        <w:tc>
          <w:tcPr>
            <w:tcW w:w="2340" w:type="dxa"/>
          </w:tcPr>
          <w:p w14:paraId="12833A26" w14:textId="77777777" w:rsidR="00F53FEA" w:rsidRDefault="002C641B">
            <w:pPr>
              <w:jc w:val="center"/>
            </w:pPr>
            <w:r>
              <w:t>51</w:t>
            </w:r>
          </w:p>
        </w:tc>
        <w:tc>
          <w:tcPr>
            <w:tcW w:w="2340" w:type="dxa"/>
          </w:tcPr>
          <w:p w14:paraId="4F5A73D5" w14:textId="77777777" w:rsidR="00F53FEA" w:rsidRDefault="002C641B">
            <w:pPr>
              <w:jc w:val="center"/>
            </w:pPr>
            <w:r>
              <w:t>21.2</w:t>
            </w:r>
          </w:p>
        </w:tc>
      </w:tr>
      <w:tr w:rsidR="0059087B" w14:paraId="1C453CF8" w14:textId="77777777">
        <w:tc>
          <w:tcPr>
            <w:tcW w:w="3900" w:type="dxa"/>
          </w:tcPr>
          <w:p w14:paraId="03FD5570" w14:textId="77777777" w:rsidR="00F53FEA" w:rsidRDefault="002C641B">
            <w:r>
              <w:t xml:space="preserve">  40-49</w:t>
            </w:r>
          </w:p>
        </w:tc>
        <w:tc>
          <w:tcPr>
            <w:tcW w:w="2340" w:type="dxa"/>
          </w:tcPr>
          <w:p w14:paraId="28C366AE" w14:textId="77777777" w:rsidR="00F53FEA" w:rsidRDefault="002C641B">
            <w:pPr>
              <w:jc w:val="center"/>
            </w:pPr>
            <w:r>
              <w:t>47</w:t>
            </w:r>
          </w:p>
        </w:tc>
        <w:tc>
          <w:tcPr>
            <w:tcW w:w="2340" w:type="dxa"/>
          </w:tcPr>
          <w:p w14:paraId="6B46F581" w14:textId="77777777" w:rsidR="00F53FEA" w:rsidRDefault="002C641B">
            <w:pPr>
              <w:jc w:val="center"/>
            </w:pPr>
            <w:r>
              <w:t>19.5</w:t>
            </w:r>
          </w:p>
        </w:tc>
      </w:tr>
      <w:tr w:rsidR="0059087B" w14:paraId="50B6950A" w14:textId="77777777">
        <w:tc>
          <w:tcPr>
            <w:tcW w:w="3900" w:type="dxa"/>
          </w:tcPr>
          <w:p w14:paraId="2740A72C" w14:textId="77777777" w:rsidR="00F53FEA" w:rsidRDefault="002C641B">
            <w:r>
              <w:t xml:space="preserve">  50-59</w:t>
            </w:r>
          </w:p>
        </w:tc>
        <w:tc>
          <w:tcPr>
            <w:tcW w:w="2340" w:type="dxa"/>
          </w:tcPr>
          <w:p w14:paraId="765A1BD9" w14:textId="77777777" w:rsidR="00F53FEA" w:rsidRDefault="002C641B">
            <w:pPr>
              <w:jc w:val="center"/>
            </w:pPr>
            <w:r>
              <w:t>50</w:t>
            </w:r>
          </w:p>
        </w:tc>
        <w:tc>
          <w:tcPr>
            <w:tcW w:w="2340" w:type="dxa"/>
          </w:tcPr>
          <w:p w14:paraId="79EB3E01" w14:textId="77777777" w:rsidR="00F53FEA" w:rsidRDefault="002C641B">
            <w:pPr>
              <w:jc w:val="center"/>
            </w:pPr>
            <w:r>
              <w:t>20.7</w:t>
            </w:r>
          </w:p>
        </w:tc>
      </w:tr>
      <w:tr w:rsidR="0059087B" w14:paraId="5989AE6A" w14:textId="77777777">
        <w:tc>
          <w:tcPr>
            <w:tcW w:w="3900" w:type="dxa"/>
          </w:tcPr>
          <w:p w14:paraId="07807109" w14:textId="77777777" w:rsidR="00F53FEA" w:rsidRDefault="002C641B">
            <w:r>
              <w:t xml:space="preserve">  60-69</w:t>
            </w:r>
          </w:p>
        </w:tc>
        <w:tc>
          <w:tcPr>
            <w:tcW w:w="2340" w:type="dxa"/>
          </w:tcPr>
          <w:p w14:paraId="657D15EC" w14:textId="77777777" w:rsidR="00F53FEA" w:rsidRDefault="002C641B">
            <w:pPr>
              <w:jc w:val="center"/>
            </w:pPr>
            <w:r>
              <w:t>40</w:t>
            </w:r>
          </w:p>
        </w:tc>
        <w:tc>
          <w:tcPr>
            <w:tcW w:w="2340" w:type="dxa"/>
          </w:tcPr>
          <w:p w14:paraId="0ABEECA8" w14:textId="77777777" w:rsidR="00F53FEA" w:rsidRDefault="002C641B">
            <w:pPr>
              <w:jc w:val="center"/>
            </w:pPr>
            <w:r>
              <w:t>16.6</w:t>
            </w:r>
          </w:p>
        </w:tc>
      </w:tr>
      <w:tr w:rsidR="0059087B" w14:paraId="490E7418" w14:textId="77777777">
        <w:tc>
          <w:tcPr>
            <w:tcW w:w="3900" w:type="dxa"/>
          </w:tcPr>
          <w:p w14:paraId="11F4F9FE" w14:textId="77777777" w:rsidR="00F53FEA" w:rsidRDefault="002C641B">
            <w:r>
              <w:t xml:space="preserve">  ≥70</w:t>
            </w:r>
          </w:p>
        </w:tc>
        <w:tc>
          <w:tcPr>
            <w:tcW w:w="2340" w:type="dxa"/>
          </w:tcPr>
          <w:p w14:paraId="7E2744CF" w14:textId="77777777" w:rsidR="00F53FEA" w:rsidRDefault="002C641B">
            <w:pPr>
              <w:jc w:val="center"/>
            </w:pPr>
            <w:r>
              <w:t>35</w:t>
            </w:r>
          </w:p>
        </w:tc>
        <w:tc>
          <w:tcPr>
            <w:tcW w:w="2340" w:type="dxa"/>
          </w:tcPr>
          <w:p w14:paraId="4387BA9A" w14:textId="77777777" w:rsidR="00F53FEA" w:rsidRDefault="002C641B">
            <w:pPr>
              <w:jc w:val="center"/>
            </w:pPr>
            <w:r>
              <w:t>14.5</w:t>
            </w:r>
          </w:p>
        </w:tc>
      </w:tr>
      <w:tr w:rsidR="0059087B" w14:paraId="4631433B" w14:textId="77777777">
        <w:tc>
          <w:tcPr>
            <w:tcW w:w="3900" w:type="dxa"/>
          </w:tcPr>
          <w:p w14:paraId="4A88A7DE" w14:textId="77777777" w:rsidR="00F53FEA" w:rsidRDefault="002C641B">
            <w:r>
              <w:rPr>
                <w:b/>
                <w:bCs/>
              </w:rPr>
              <w:t>Sex</w:t>
            </w:r>
          </w:p>
        </w:tc>
        <w:tc>
          <w:tcPr>
            <w:tcW w:w="2340" w:type="dxa"/>
          </w:tcPr>
          <w:p w14:paraId="779CBFBE" w14:textId="77777777" w:rsidR="00F53FEA" w:rsidRDefault="00F53FEA"/>
        </w:tc>
        <w:tc>
          <w:tcPr>
            <w:tcW w:w="2340" w:type="dxa"/>
          </w:tcPr>
          <w:p w14:paraId="5374E2E5" w14:textId="77777777" w:rsidR="00F53FEA" w:rsidRDefault="00F53FEA"/>
        </w:tc>
      </w:tr>
      <w:tr w:rsidR="0059087B" w14:paraId="0742913F" w14:textId="77777777">
        <w:tc>
          <w:tcPr>
            <w:tcW w:w="3900" w:type="dxa"/>
          </w:tcPr>
          <w:p w14:paraId="6AED18AE" w14:textId="77777777" w:rsidR="00F53FEA" w:rsidRDefault="002C641B">
            <w:r>
              <w:t xml:space="preserve">  Male</w:t>
            </w:r>
          </w:p>
        </w:tc>
        <w:tc>
          <w:tcPr>
            <w:tcW w:w="2340" w:type="dxa"/>
          </w:tcPr>
          <w:p w14:paraId="24D8BAC8" w14:textId="77777777" w:rsidR="00F53FEA" w:rsidRDefault="002C641B">
            <w:pPr>
              <w:jc w:val="center"/>
            </w:pPr>
            <w:r>
              <w:t>90</w:t>
            </w:r>
          </w:p>
        </w:tc>
        <w:tc>
          <w:tcPr>
            <w:tcW w:w="2340" w:type="dxa"/>
          </w:tcPr>
          <w:p w14:paraId="29824FF7" w14:textId="77777777" w:rsidR="00F53FEA" w:rsidRDefault="002C641B">
            <w:pPr>
              <w:jc w:val="center"/>
            </w:pPr>
            <w:r>
              <w:t>37.3</w:t>
            </w:r>
          </w:p>
        </w:tc>
      </w:tr>
      <w:tr w:rsidR="0059087B" w14:paraId="1CBEA637" w14:textId="77777777">
        <w:tc>
          <w:tcPr>
            <w:tcW w:w="3900" w:type="dxa"/>
          </w:tcPr>
          <w:p w14:paraId="1FCAE18D" w14:textId="77777777" w:rsidR="00F53FEA" w:rsidRDefault="002C641B">
            <w:r>
              <w:t xml:space="preserve">  Female</w:t>
            </w:r>
          </w:p>
        </w:tc>
        <w:tc>
          <w:tcPr>
            <w:tcW w:w="2340" w:type="dxa"/>
          </w:tcPr>
          <w:p w14:paraId="453B9286" w14:textId="77777777" w:rsidR="00F53FEA" w:rsidRDefault="002C641B">
            <w:pPr>
              <w:jc w:val="center"/>
            </w:pPr>
            <w:r>
              <w:t>151</w:t>
            </w:r>
          </w:p>
        </w:tc>
        <w:tc>
          <w:tcPr>
            <w:tcW w:w="2340" w:type="dxa"/>
          </w:tcPr>
          <w:p w14:paraId="1970F047" w14:textId="77777777" w:rsidR="00F53FEA" w:rsidRDefault="002C641B">
            <w:pPr>
              <w:jc w:val="center"/>
            </w:pPr>
            <w:r>
              <w:t>62.7</w:t>
            </w:r>
          </w:p>
        </w:tc>
      </w:tr>
    </w:tbl>
    <w:p w14:paraId="58FB5E53" w14:textId="77777777" w:rsidR="00F53FEA" w:rsidRDefault="002C641B">
      <w:pPr>
        <w:spacing w:before="120" w:after="240"/>
        <w:jc w:val="center"/>
      </w:pPr>
      <w:r>
        <w:rPr>
          <w:b/>
          <w:bCs/>
          <w:i/>
          <w:iCs/>
        </w:rPr>
        <w:t>Table 1: Demographic Characteristics of Participants</w:t>
      </w:r>
    </w:p>
    <w:p w14:paraId="3E5E87E5" w14:textId="77777777" w:rsidR="00F53FEA" w:rsidRDefault="002C641B">
      <w:pPr>
        <w:pStyle w:val="Heading2"/>
      </w:pPr>
      <w:r>
        <w:t>Clinical Characteristics and Lifestyle Habits</w:t>
      </w:r>
    </w:p>
    <w:p w14:paraId="4B902BB1" w14:textId="77777777" w:rsidR="00F53FEA" w:rsidRDefault="002C641B">
      <w:r>
        <w:t>Among the participants, BMI classification revealed that 33.2% had normal BMI, 36.9% were overweight, and 23.2% were obese. Regarding lifestyle habits, 42.7% consumed alcohol and 10% were smokers. Physical activity patterns showed that 34% exercised more than three times a week, 38.2% once a week, and 27.8% did not engage in any physical activity. Dietary habits revealed high consumption of seafood, with 61% consuming seafood daily in large quantities, while red meat was consumed daily by 39% of participants.</w:t>
      </w:r>
    </w:p>
    <w:p w14:paraId="74E8F46C" w14:textId="77777777" w:rsidR="00F53FEA" w:rsidRDefault="002C641B">
      <w:pPr>
        <w:pStyle w:val="Heading2"/>
      </w:pPr>
      <w:r>
        <w:t>Prevalence of Hyperuricemia</w:t>
      </w:r>
    </w:p>
    <w:p w14:paraId="27F5CC3F" w14:textId="77777777" w:rsidR="00F53FEA" w:rsidRDefault="002C641B">
      <w:r>
        <w:t>The overall prevalence of hyperuricemia in the study population was 16.6% (40 out of 241 participants). The prevalence was significantly higher in males (25.6%) compared to females (11.3%).</w:t>
      </w:r>
    </w:p>
    <w:p w14:paraId="1BA94DDA" w14:textId="77777777" w:rsidR="00F53FEA" w:rsidRDefault="002C641B">
      <w:pPr>
        <w:pStyle w:val="Heading2"/>
      </w:pPr>
      <w:r>
        <w:t>Associations with Demographic Characteristics</w:t>
      </w:r>
    </w:p>
    <w:p w14:paraId="491C6A2E" w14:textId="77777777" w:rsidR="00F53FEA" w:rsidRDefault="002C641B">
      <w:r>
        <w:lastRenderedPageBreak/>
        <w:t>Table 2 shows the association between hyperuricemia and demographic variables. Sex demonstrated a statistically significant association with hyperuricemia (χ²=8.32, p=0.004), with males having more than twice the prevalence compared to females. Age groups showed varied prevalence rates, with the highest in the 20-29 age group (22.2%) and lowest in the 40-49 age group (8.5%), but this association was not statistically significant (χ²=3.72, p=0.583). No significant associations were found between hyperuricemia and marital status (χ²=2.99, p=0.393), educational level (χ²=0.95, p=0.917), or occupational status (χ²=1.26, p=0.867).</w:t>
      </w:r>
    </w:p>
    <w:p w14:paraId="62223336" w14:textId="77777777" w:rsidR="00F53FEA" w:rsidRDefault="00F53FEA"/>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2623"/>
        <w:gridCol w:w="1920"/>
        <w:gridCol w:w="1920"/>
        <w:gridCol w:w="1251"/>
        <w:gridCol w:w="1302"/>
      </w:tblGrid>
      <w:tr w:rsidR="0059087B" w14:paraId="66714A85" w14:textId="77777777">
        <w:trPr>
          <w:tblHeader/>
        </w:trPr>
        <w:tc>
          <w:tcPr>
            <w:tcW w:w="3000" w:type="dxa"/>
            <w:shd w:val="clear" w:color="auto" w:fill="D5E8F0"/>
          </w:tcPr>
          <w:p w14:paraId="551389EA" w14:textId="77777777" w:rsidR="00F53FEA" w:rsidRDefault="002C641B">
            <w:pPr>
              <w:jc w:val="center"/>
            </w:pPr>
            <w:r>
              <w:rPr>
                <w:b/>
                <w:bCs/>
              </w:rPr>
              <w:t>Variable</w:t>
            </w:r>
          </w:p>
        </w:tc>
        <w:tc>
          <w:tcPr>
            <w:tcW w:w="1800" w:type="dxa"/>
            <w:shd w:val="clear" w:color="auto" w:fill="D5E8F0"/>
          </w:tcPr>
          <w:p w14:paraId="699EB40A" w14:textId="77777777" w:rsidR="00F53FEA" w:rsidRDefault="002C641B">
            <w:pPr>
              <w:jc w:val="center"/>
            </w:pPr>
            <w:r>
              <w:rPr>
                <w:b/>
                <w:bCs/>
              </w:rPr>
              <w:t xml:space="preserve">Hyperuricemia Present </w:t>
            </w:r>
            <w:proofErr w:type="gramStart"/>
            <w:r>
              <w:rPr>
                <w:b/>
                <w:bCs/>
              </w:rPr>
              <w:t>n(</w:t>
            </w:r>
            <w:proofErr w:type="gramEnd"/>
            <w:r>
              <w:rPr>
                <w:b/>
                <w:bCs/>
              </w:rPr>
              <w:t>%)</w:t>
            </w:r>
          </w:p>
        </w:tc>
        <w:tc>
          <w:tcPr>
            <w:tcW w:w="1800" w:type="dxa"/>
            <w:shd w:val="clear" w:color="auto" w:fill="D5E8F0"/>
          </w:tcPr>
          <w:p w14:paraId="086DE244" w14:textId="77777777" w:rsidR="00F53FEA" w:rsidRDefault="002C641B">
            <w:pPr>
              <w:jc w:val="center"/>
            </w:pPr>
            <w:r>
              <w:rPr>
                <w:b/>
                <w:bCs/>
              </w:rPr>
              <w:t xml:space="preserve">Hyperuricemia Absent </w:t>
            </w:r>
            <w:proofErr w:type="gramStart"/>
            <w:r>
              <w:rPr>
                <w:b/>
                <w:bCs/>
              </w:rPr>
              <w:t>n(</w:t>
            </w:r>
            <w:proofErr w:type="gramEnd"/>
            <w:r>
              <w:rPr>
                <w:b/>
                <w:bCs/>
              </w:rPr>
              <w:t>%)</w:t>
            </w:r>
          </w:p>
        </w:tc>
        <w:tc>
          <w:tcPr>
            <w:tcW w:w="1380" w:type="dxa"/>
            <w:shd w:val="clear" w:color="auto" w:fill="D5E8F0"/>
          </w:tcPr>
          <w:p w14:paraId="7A8DFD20" w14:textId="77777777" w:rsidR="00F53FEA" w:rsidRDefault="002C641B">
            <w:pPr>
              <w:jc w:val="center"/>
            </w:pPr>
            <w:r>
              <w:rPr>
                <w:b/>
                <w:bCs/>
              </w:rPr>
              <w:t>χ²</w:t>
            </w:r>
          </w:p>
        </w:tc>
        <w:tc>
          <w:tcPr>
            <w:tcW w:w="1380" w:type="dxa"/>
            <w:shd w:val="clear" w:color="auto" w:fill="D5E8F0"/>
          </w:tcPr>
          <w:p w14:paraId="3434BE32" w14:textId="77777777" w:rsidR="00F53FEA" w:rsidRDefault="002C641B">
            <w:pPr>
              <w:jc w:val="center"/>
            </w:pPr>
            <w:r>
              <w:rPr>
                <w:b/>
                <w:bCs/>
              </w:rPr>
              <w:t>p-value</w:t>
            </w:r>
          </w:p>
        </w:tc>
      </w:tr>
      <w:tr w:rsidR="0059087B" w14:paraId="6AB7DE55" w14:textId="77777777">
        <w:tc>
          <w:tcPr>
            <w:tcW w:w="3000" w:type="dxa"/>
          </w:tcPr>
          <w:p w14:paraId="2344BFA9" w14:textId="77777777" w:rsidR="00F53FEA" w:rsidRDefault="002C641B">
            <w:r>
              <w:rPr>
                <w:b/>
                <w:bCs/>
              </w:rPr>
              <w:t>Sex</w:t>
            </w:r>
          </w:p>
        </w:tc>
        <w:tc>
          <w:tcPr>
            <w:tcW w:w="1800" w:type="dxa"/>
          </w:tcPr>
          <w:p w14:paraId="1F798D17" w14:textId="77777777" w:rsidR="00F53FEA" w:rsidRDefault="00F53FEA"/>
        </w:tc>
        <w:tc>
          <w:tcPr>
            <w:tcW w:w="1800" w:type="dxa"/>
          </w:tcPr>
          <w:p w14:paraId="152664E7" w14:textId="77777777" w:rsidR="00F53FEA" w:rsidRDefault="00F53FEA"/>
        </w:tc>
        <w:tc>
          <w:tcPr>
            <w:tcW w:w="1380" w:type="dxa"/>
          </w:tcPr>
          <w:p w14:paraId="7CF9B892" w14:textId="77777777" w:rsidR="00F53FEA" w:rsidRDefault="00F53FEA"/>
        </w:tc>
        <w:tc>
          <w:tcPr>
            <w:tcW w:w="1380" w:type="dxa"/>
          </w:tcPr>
          <w:p w14:paraId="132AC442" w14:textId="77777777" w:rsidR="00F53FEA" w:rsidRDefault="00F53FEA"/>
        </w:tc>
      </w:tr>
      <w:tr w:rsidR="0059087B" w14:paraId="38C54D7F" w14:textId="77777777">
        <w:tc>
          <w:tcPr>
            <w:tcW w:w="3000" w:type="dxa"/>
          </w:tcPr>
          <w:p w14:paraId="2AD95239" w14:textId="77777777" w:rsidR="00F53FEA" w:rsidRDefault="002C641B">
            <w:r>
              <w:t xml:space="preserve">  Male</w:t>
            </w:r>
          </w:p>
        </w:tc>
        <w:tc>
          <w:tcPr>
            <w:tcW w:w="1800" w:type="dxa"/>
          </w:tcPr>
          <w:p w14:paraId="6E342B66" w14:textId="77777777" w:rsidR="00F53FEA" w:rsidRDefault="002C641B">
            <w:pPr>
              <w:jc w:val="center"/>
            </w:pPr>
            <w:r>
              <w:t>23 (25.6)</w:t>
            </w:r>
          </w:p>
        </w:tc>
        <w:tc>
          <w:tcPr>
            <w:tcW w:w="1800" w:type="dxa"/>
          </w:tcPr>
          <w:p w14:paraId="6271C7F6" w14:textId="77777777" w:rsidR="00F53FEA" w:rsidRDefault="002C641B">
            <w:pPr>
              <w:jc w:val="center"/>
            </w:pPr>
            <w:r>
              <w:t>67 (74.4)</w:t>
            </w:r>
          </w:p>
        </w:tc>
        <w:tc>
          <w:tcPr>
            <w:tcW w:w="1380" w:type="dxa"/>
          </w:tcPr>
          <w:p w14:paraId="42111563" w14:textId="77777777" w:rsidR="00F53FEA" w:rsidRDefault="002C641B">
            <w:pPr>
              <w:jc w:val="center"/>
            </w:pPr>
            <w:r>
              <w:t>8.32</w:t>
            </w:r>
          </w:p>
        </w:tc>
        <w:tc>
          <w:tcPr>
            <w:tcW w:w="1380" w:type="dxa"/>
          </w:tcPr>
          <w:p w14:paraId="246E5BD2" w14:textId="77777777" w:rsidR="00F53FEA" w:rsidRDefault="002C641B">
            <w:pPr>
              <w:jc w:val="center"/>
            </w:pPr>
            <w:r>
              <w:t>0.004*</w:t>
            </w:r>
          </w:p>
        </w:tc>
      </w:tr>
      <w:tr w:rsidR="0059087B" w14:paraId="60ECAC00" w14:textId="77777777">
        <w:tc>
          <w:tcPr>
            <w:tcW w:w="3000" w:type="dxa"/>
          </w:tcPr>
          <w:p w14:paraId="043AE28C" w14:textId="77777777" w:rsidR="00F53FEA" w:rsidRDefault="002C641B">
            <w:r>
              <w:t xml:space="preserve">  Female</w:t>
            </w:r>
          </w:p>
        </w:tc>
        <w:tc>
          <w:tcPr>
            <w:tcW w:w="1800" w:type="dxa"/>
          </w:tcPr>
          <w:p w14:paraId="6211CD6E" w14:textId="77777777" w:rsidR="00F53FEA" w:rsidRDefault="002C641B">
            <w:pPr>
              <w:jc w:val="center"/>
            </w:pPr>
            <w:r>
              <w:t>17 (11.3)</w:t>
            </w:r>
          </w:p>
        </w:tc>
        <w:tc>
          <w:tcPr>
            <w:tcW w:w="1800" w:type="dxa"/>
          </w:tcPr>
          <w:p w14:paraId="6002D41E" w14:textId="77777777" w:rsidR="00F53FEA" w:rsidRDefault="002C641B">
            <w:pPr>
              <w:jc w:val="center"/>
            </w:pPr>
            <w:r>
              <w:t>134 (88.7)</w:t>
            </w:r>
          </w:p>
        </w:tc>
        <w:tc>
          <w:tcPr>
            <w:tcW w:w="1380" w:type="dxa"/>
          </w:tcPr>
          <w:p w14:paraId="679076F6" w14:textId="77777777" w:rsidR="00F53FEA" w:rsidRDefault="00F53FEA"/>
        </w:tc>
        <w:tc>
          <w:tcPr>
            <w:tcW w:w="1380" w:type="dxa"/>
          </w:tcPr>
          <w:p w14:paraId="2C30A312" w14:textId="77777777" w:rsidR="00F53FEA" w:rsidRDefault="00F53FEA"/>
        </w:tc>
      </w:tr>
    </w:tbl>
    <w:p w14:paraId="728F5A42" w14:textId="77777777" w:rsidR="00F53FEA" w:rsidRDefault="002C641B">
      <w:pPr>
        <w:spacing w:before="120" w:after="120"/>
        <w:jc w:val="center"/>
      </w:pPr>
      <w:r>
        <w:rPr>
          <w:b/>
          <w:bCs/>
          <w:i/>
          <w:iCs/>
        </w:rPr>
        <w:t>Table 2: Association of Hyperuricemia and Demographic Characteristics (Selected Variables)</w:t>
      </w:r>
    </w:p>
    <w:p w14:paraId="00868327" w14:textId="77777777" w:rsidR="00F53FEA" w:rsidRDefault="002C641B">
      <w:pPr>
        <w:spacing w:after="240"/>
      </w:pPr>
      <w:r>
        <w:rPr>
          <w:i/>
          <w:iCs/>
        </w:rPr>
        <w:t>*Statistically significant (p&lt;0.05)</w:t>
      </w:r>
    </w:p>
    <w:p w14:paraId="4362154E" w14:textId="77777777" w:rsidR="00F53FEA" w:rsidRDefault="002C641B">
      <w:pPr>
        <w:pStyle w:val="Heading2"/>
      </w:pPr>
      <w:r>
        <w:t>Associations with Lifestyle Habits</w:t>
      </w:r>
    </w:p>
    <w:p w14:paraId="24D83CA3" w14:textId="77777777" w:rsidR="00F53FEA" w:rsidRDefault="002C641B">
      <w:r>
        <w:t xml:space="preserve">Table 3 presents associations between lifestyle factors and hyperuricemia. Smoking showed a statistically significant association (χ²=5.39, p=0.020), with 33.3% of smokers having hyperuricemia compared to 14.7% of non-smokers. Seafood consumption demonstrated a strong significant association (χ²=11.80, p=0.019), with daily consumption of seafood in large quantities associated with 23.1% hyperuricemia prevalence, compared to only 6.9% among </w:t>
      </w:r>
      <w:proofErr w:type="gramStart"/>
      <w:r>
        <w:t>those consuming seafood</w:t>
      </w:r>
      <w:proofErr w:type="gramEnd"/>
      <w:r>
        <w:t xml:space="preserve"> in small quantities. Alcohol consumption showed no significant association (χ²=0.001, p=0.973), with nearly identical prevalence rates between drinkers (16.5%) and non-drinkers (16.7%). Physical activity levels (χ²=2.56, p=0.277), consumption of sugary items (χ²=6.13, p=0.293), and red meat consumption (χ²=7.12, p=0.212) did not show statistically significant associations with hyperuricemia.</w:t>
      </w:r>
    </w:p>
    <w:p w14:paraId="169AFC5A" w14:textId="77777777" w:rsidR="00F53FEA" w:rsidRDefault="00F53FEA"/>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2650"/>
        <w:gridCol w:w="1920"/>
        <w:gridCol w:w="1920"/>
        <w:gridCol w:w="1246"/>
        <w:gridCol w:w="1280"/>
      </w:tblGrid>
      <w:tr w:rsidR="0059087B" w14:paraId="4129D5D0" w14:textId="77777777">
        <w:trPr>
          <w:tblHeader/>
        </w:trPr>
        <w:tc>
          <w:tcPr>
            <w:tcW w:w="3000" w:type="dxa"/>
            <w:shd w:val="clear" w:color="auto" w:fill="D5E8F0"/>
          </w:tcPr>
          <w:p w14:paraId="52CFD8F1" w14:textId="77777777" w:rsidR="00F53FEA" w:rsidRDefault="002C641B">
            <w:pPr>
              <w:jc w:val="center"/>
            </w:pPr>
            <w:r>
              <w:rPr>
                <w:b/>
                <w:bCs/>
              </w:rPr>
              <w:lastRenderedPageBreak/>
              <w:t>Lifestyle Factor</w:t>
            </w:r>
          </w:p>
        </w:tc>
        <w:tc>
          <w:tcPr>
            <w:tcW w:w="1800" w:type="dxa"/>
            <w:shd w:val="clear" w:color="auto" w:fill="D5E8F0"/>
          </w:tcPr>
          <w:p w14:paraId="0AC28400" w14:textId="77777777" w:rsidR="00F53FEA" w:rsidRDefault="002C641B">
            <w:pPr>
              <w:jc w:val="center"/>
            </w:pPr>
            <w:r>
              <w:rPr>
                <w:b/>
                <w:bCs/>
              </w:rPr>
              <w:t xml:space="preserve">Hyperuricemia Present </w:t>
            </w:r>
            <w:proofErr w:type="gramStart"/>
            <w:r>
              <w:rPr>
                <w:b/>
                <w:bCs/>
              </w:rPr>
              <w:t>n(</w:t>
            </w:r>
            <w:proofErr w:type="gramEnd"/>
            <w:r>
              <w:rPr>
                <w:b/>
                <w:bCs/>
              </w:rPr>
              <w:t>%)</w:t>
            </w:r>
          </w:p>
        </w:tc>
        <w:tc>
          <w:tcPr>
            <w:tcW w:w="1800" w:type="dxa"/>
            <w:shd w:val="clear" w:color="auto" w:fill="D5E8F0"/>
          </w:tcPr>
          <w:p w14:paraId="634E9D6F" w14:textId="77777777" w:rsidR="00F53FEA" w:rsidRDefault="002C641B">
            <w:pPr>
              <w:jc w:val="center"/>
            </w:pPr>
            <w:r>
              <w:rPr>
                <w:b/>
                <w:bCs/>
              </w:rPr>
              <w:t xml:space="preserve">Hyperuricemia Absent </w:t>
            </w:r>
            <w:proofErr w:type="gramStart"/>
            <w:r>
              <w:rPr>
                <w:b/>
                <w:bCs/>
              </w:rPr>
              <w:t>n(</w:t>
            </w:r>
            <w:proofErr w:type="gramEnd"/>
            <w:r>
              <w:rPr>
                <w:b/>
                <w:bCs/>
              </w:rPr>
              <w:t>%)</w:t>
            </w:r>
          </w:p>
        </w:tc>
        <w:tc>
          <w:tcPr>
            <w:tcW w:w="1380" w:type="dxa"/>
            <w:shd w:val="clear" w:color="auto" w:fill="D5E8F0"/>
          </w:tcPr>
          <w:p w14:paraId="59FA9652" w14:textId="77777777" w:rsidR="00F53FEA" w:rsidRDefault="002C641B">
            <w:pPr>
              <w:jc w:val="center"/>
            </w:pPr>
            <w:r>
              <w:rPr>
                <w:b/>
                <w:bCs/>
              </w:rPr>
              <w:t>χ²</w:t>
            </w:r>
          </w:p>
        </w:tc>
        <w:tc>
          <w:tcPr>
            <w:tcW w:w="1380" w:type="dxa"/>
            <w:shd w:val="clear" w:color="auto" w:fill="D5E8F0"/>
          </w:tcPr>
          <w:p w14:paraId="7D65B050" w14:textId="77777777" w:rsidR="00F53FEA" w:rsidRDefault="002C641B">
            <w:pPr>
              <w:jc w:val="center"/>
            </w:pPr>
            <w:r>
              <w:rPr>
                <w:b/>
                <w:bCs/>
              </w:rPr>
              <w:t>p-value</w:t>
            </w:r>
          </w:p>
        </w:tc>
      </w:tr>
      <w:tr w:rsidR="0059087B" w14:paraId="1755F386" w14:textId="77777777">
        <w:tc>
          <w:tcPr>
            <w:tcW w:w="3000" w:type="dxa"/>
          </w:tcPr>
          <w:p w14:paraId="7CFC6400" w14:textId="77777777" w:rsidR="00F53FEA" w:rsidRDefault="002C641B">
            <w:r>
              <w:rPr>
                <w:b/>
                <w:bCs/>
              </w:rPr>
              <w:t>Smoking</w:t>
            </w:r>
          </w:p>
        </w:tc>
        <w:tc>
          <w:tcPr>
            <w:tcW w:w="1800" w:type="dxa"/>
          </w:tcPr>
          <w:p w14:paraId="7995533A" w14:textId="77777777" w:rsidR="00F53FEA" w:rsidRDefault="00F53FEA"/>
        </w:tc>
        <w:tc>
          <w:tcPr>
            <w:tcW w:w="1800" w:type="dxa"/>
          </w:tcPr>
          <w:p w14:paraId="70A6C264" w14:textId="77777777" w:rsidR="00F53FEA" w:rsidRDefault="00F53FEA"/>
        </w:tc>
        <w:tc>
          <w:tcPr>
            <w:tcW w:w="1380" w:type="dxa"/>
          </w:tcPr>
          <w:p w14:paraId="487C6CF0" w14:textId="77777777" w:rsidR="00F53FEA" w:rsidRDefault="00F53FEA"/>
        </w:tc>
        <w:tc>
          <w:tcPr>
            <w:tcW w:w="1380" w:type="dxa"/>
          </w:tcPr>
          <w:p w14:paraId="686C21B4" w14:textId="77777777" w:rsidR="00F53FEA" w:rsidRDefault="00F53FEA"/>
        </w:tc>
      </w:tr>
      <w:tr w:rsidR="0059087B" w14:paraId="5238D6C1" w14:textId="77777777">
        <w:tc>
          <w:tcPr>
            <w:tcW w:w="3000" w:type="dxa"/>
          </w:tcPr>
          <w:p w14:paraId="576C1C31" w14:textId="77777777" w:rsidR="00F53FEA" w:rsidRDefault="002C641B">
            <w:r>
              <w:t xml:space="preserve">  Yes</w:t>
            </w:r>
          </w:p>
        </w:tc>
        <w:tc>
          <w:tcPr>
            <w:tcW w:w="1800" w:type="dxa"/>
          </w:tcPr>
          <w:p w14:paraId="69826CB3" w14:textId="77777777" w:rsidR="00F53FEA" w:rsidRDefault="002C641B">
            <w:pPr>
              <w:jc w:val="center"/>
            </w:pPr>
            <w:r>
              <w:t>8 (33.3)</w:t>
            </w:r>
          </w:p>
        </w:tc>
        <w:tc>
          <w:tcPr>
            <w:tcW w:w="1800" w:type="dxa"/>
          </w:tcPr>
          <w:p w14:paraId="4B90F441" w14:textId="77777777" w:rsidR="00F53FEA" w:rsidRDefault="002C641B">
            <w:pPr>
              <w:jc w:val="center"/>
            </w:pPr>
            <w:r>
              <w:t>16 (66.7)</w:t>
            </w:r>
          </w:p>
        </w:tc>
        <w:tc>
          <w:tcPr>
            <w:tcW w:w="1380" w:type="dxa"/>
          </w:tcPr>
          <w:p w14:paraId="12F74AAA" w14:textId="77777777" w:rsidR="00F53FEA" w:rsidRDefault="002C641B">
            <w:pPr>
              <w:jc w:val="center"/>
            </w:pPr>
            <w:r>
              <w:t>5.39</w:t>
            </w:r>
          </w:p>
        </w:tc>
        <w:tc>
          <w:tcPr>
            <w:tcW w:w="1380" w:type="dxa"/>
          </w:tcPr>
          <w:p w14:paraId="33F8288F" w14:textId="77777777" w:rsidR="00F53FEA" w:rsidRDefault="002C641B">
            <w:pPr>
              <w:jc w:val="center"/>
            </w:pPr>
            <w:r>
              <w:t>0.020*</w:t>
            </w:r>
          </w:p>
        </w:tc>
      </w:tr>
      <w:tr w:rsidR="0059087B" w14:paraId="7EAF4155" w14:textId="77777777">
        <w:tc>
          <w:tcPr>
            <w:tcW w:w="3000" w:type="dxa"/>
          </w:tcPr>
          <w:p w14:paraId="69939E06" w14:textId="77777777" w:rsidR="00F53FEA" w:rsidRDefault="002C641B">
            <w:r>
              <w:t xml:space="preserve">  No</w:t>
            </w:r>
          </w:p>
        </w:tc>
        <w:tc>
          <w:tcPr>
            <w:tcW w:w="1800" w:type="dxa"/>
          </w:tcPr>
          <w:p w14:paraId="5F224C4E" w14:textId="77777777" w:rsidR="00F53FEA" w:rsidRDefault="002C641B">
            <w:pPr>
              <w:jc w:val="center"/>
            </w:pPr>
            <w:r>
              <w:t>32 (14.7)</w:t>
            </w:r>
          </w:p>
        </w:tc>
        <w:tc>
          <w:tcPr>
            <w:tcW w:w="1800" w:type="dxa"/>
          </w:tcPr>
          <w:p w14:paraId="41D63D67" w14:textId="77777777" w:rsidR="00F53FEA" w:rsidRDefault="002C641B">
            <w:pPr>
              <w:jc w:val="center"/>
            </w:pPr>
            <w:r>
              <w:t>185 (85.3)</w:t>
            </w:r>
          </w:p>
        </w:tc>
        <w:tc>
          <w:tcPr>
            <w:tcW w:w="1380" w:type="dxa"/>
          </w:tcPr>
          <w:p w14:paraId="52FE75ED" w14:textId="77777777" w:rsidR="00F53FEA" w:rsidRDefault="00F53FEA"/>
        </w:tc>
        <w:tc>
          <w:tcPr>
            <w:tcW w:w="1380" w:type="dxa"/>
          </w:tcPr>
          <w:p w14:paraId="06FEF951" w14:textId="77777777" w:rsidR="00F53FEA" w:rsidRDefault="00F53FEA"/>
        </w:tc>
      </w:tr>
      <w:tr w:rsidR="0059087B" w14:paraId="37D3238C" w14:textId="77777777">
        <w:tc>
          <w:tcPr>
            <w:tcW w:w="3000" w:type="dxa"/>
          </w:tcPr>
          <w:p w14:paraId="246A60D4" w14:textId="77777777" w:rsidR="00F53FEA" w:rsidRDefault="002C641B">
            <w:r>
              <w:rPr>
                <w:b/>
                <w:bCs/>
              </w:rPr>
              <w:t>Seafood Consumption</w:t>
            </w:r>
          </w:p>
        </w:tc>
        <w:tc>
          <w:tcPr>
            <w:tcW w:w="1800" w:type="dxa"/>
          </w:tcPr>
          <w:p w14:paraId="20115DBD" w14:textId="77777777" w:rsidR="00F53FEA" w:rsidRDefault="00F53FEA"/>
        </w:tc>
        <w:tc>
          <w:tcPr>
            <w:tcW w:w="1800" w:type="dxa"/>
          </w:tcPr>
          <w:p w14:paraId="5545E264" w14:textId="77777777" w:rsidR="00F53FEA" w:rsidRDefault="00F53FEA"/>
        </w:tc>
        <w:tc>
          <w:tcPr>
            <w:tcW w:w="1380" w:type="dxa"/>
          </w:tcPr>
          <w:p w14:paraId="750B0226" w14:textId="77777777" w:rsidR="00F53FEA" w:rsidRDefault="00F53FEA"/>
        </w:tc>
        <w:tc>
          <w:tcPr>
            <w:tcW w:w="1380" w:type="dxa"/>
          </w:tcPr>
          <w:p w14:paraId="425E5441" w14:textId="77777777" w:rsidR="00F53FEA" w:rsidRDefault="00F53FEA"/>
        </w:tc>
      </w:tr>
      <w:tr w:rsidR="0059087B" w14:paraId="45C40768" w14:textId="77777777">
        <w:tc>
          <w:tcPr>
            <w:tcW w:w="3000" w:type="dxa"/>
          </w:tcPr>
          <w:p w14:paraId="3A0774D9" w14:textId="77777777" w:rsidR="00F53FEA" w:rsidRDefault="002C641B">
            <w:r>
              <w:t xml:space="preserve">  Daily (large quantities)</w:t>
            </w:r>
          </w:p>
        </w:tc>
        <w:tc>
          <w:tcPr>
            <w:tcW w:w="1800" w:type="dxa"/>
          </w:tcPr>
          <w:p w14:paraId="4B1A6B25" w14:textId="77777777" w:rsidR="00F53FEA" w:rsidRDefault="002C641B">
            <w:pPr>
              <w:jc w:val="center"/>
            </w:pPr>
            <w:r>
              <w:t>34 (23.1)</w:t>
            </w:r>
          </w:p>
        </w:tc>
        <w:tc>
          <w:tcPr>
            <w:tcW w:w="1800" w:type="dxa"/>
          </w:tcPr>
          <w:p w14:paraId="4F8D3AC4" w14:textId="77777777" w:rsidR="00F53FEA" w:rsidRDefault="002C641B">
            <w:pPr>
              <w:jc w:val="center"/>
            </w:pPr>
            <w:r>
              <w:t>113 (76.9)</w:t>
            </w:r>
          </w:p>
        </w:tc>
        <w:tc>
          <w:tcPr>
            <w:tcW w:w="1380" w:type="dxa"/>
          </w:tcPr>
          <w:p w14:paraId="78144040" w14:textId="77777777" w:rsidR="00F53FEA" w:rsidRDefault="002C641B">
            <w:pPr>
              <w:jc w:val="center"/>
            </w:pPr>
            <w:r>
              <w:t>11.80</w:t>
            </w:r>
          </w:p>
        </w:tc>
        <w:tc>
          <w:tcPr>
            <w:tcW w:w="1380" w:type="dxa"/>
          </w:tcPr>
          <w:p w14:paraId="3BF1C94B" w14:textId="77777777" w:rsidR="00F53FEA" w:rsidRDefault="002C641B">
            <w:pPr>
              <w:jc w:val="center"/>
            </w:pPr>
            <w:r>
              <w:t>0.019*</w:t>
            </w:r>
          </w:p>
        </w:tc>
      </w:tr>
      <w:tr w:rsidR="0059087B" w14:paraId="3FDA7BEA" w14:textId="77777777">
        <w:tc>
          <w:tcPr>
            <w:tcW w:w="3000" w:type="dxa"/>
          </w:tcPr>
          <w:p w14:paraId="0C5CED5D" w14:textId="77777777" w:rsidR="00F53FEA" w:rsidRDefault="002C641B">
            <w:r>
              <w:t xml:space="preserve">  Small quantities</w:t>
            </w:r>
          </w:p>
        </w:tc>
        <w:tc>
          <w:tcPr>
            <w:tcW w:w="1800" w:type="dxa"/>
          </w:tcPr>
          <w:p w14:paraId="640AAE53" w14:textId="77777777" w:rsidR="00F53FEA" w:rsidRDefault="002C641B">
            <w:pPr>
              <w:jc w:val="center"/>
            </w:pPr>
            <w:r>
              <w:t>4 (6.9)</w:t>
            </w:r>
          </w:p>
        </w:tc>
        <w:tc>
          <w:tcPr>
            <w:tcW w:w="1800" w:type="dxa"/>
          </w:tcPr>
          <w:p w14:paraId="08CE8012" w14:textId="77777777" w:rsidR="00F53FEA" w:rsidRDefault="002C641B">
            <w:pPr>
              <w:jc w:val="center"/>
            </w:pPr>
            <w:r>
              <w:t>54 (93.1)</w:t>
            </w:r>
          </w:p>
        </w:tc>
        <w:tc>
          <w:tcPr>
            <w:tcW w:w="1380" w:type="dxa"/>
          </w:tcPr>
          <w:p w14:paraId="7513E4D0" w14:textId="77777777" w:rsidR="00F53FEA" w:rsidRDefault="00F53FEA"/>
        </w:tc>
        <w:tc>
          <w:tcPr>
            <w:tcW w:w="1380" w:type="dxa"/>
          </w:tcPr>
          <w:p w14:paraId="173DFB32" w14:textId="77777777" w:rsidR="00F53FEA" w:rsidRDefault="00F53FEA"/>
        </w:tc>
      </w:tr>
    </w:tbl>
    <w:p w14:paraId="3BD0962D" w14:textId="77777777" w:rsidR="00F53FEA" w:rsidRDefault="002C641B">
      <w:pPr>
        <w:spacing w:before="120" w:after="120"/>
        <w:jc w:val="center"/>
      </w:pPr>
      <w:r>
        <w:rPr>
          <w:b/>
          <w:bCs/>
          <w:i/>
          <w:iCs/>
        </w:rPr>
        <w:t>Table 3: Association of Hyperuricemia and Lifestyle Habits (Selected Variables)</w:t>
      </w:r>
    </w:p>
    <w:p w14:paraId="4C1E11D7" w14:textId="77777777" w:rsidR="00F53FEA" w:rsidRDefault="002C641B">
      <w:pPr>
        <w:spacing w:after="240"/>
      </w:pPr>
      <w:r>
        <w:rPr>
          <w:i/>
          <w:iCs/>
        </w:rPr>
        <w:t>*Statistically significant (p&lt;0.05)</w:t>
      </w:r>
    </w:p>
    <w:p w14:paraId="389F489C" w14:textId="77777777" w:rsidR="00F53FEA" w:rsidRDefault="002C641B">
      <w:pPr>
        <w:pStyle w:val="Heading2"/>
      </w:pPr>
      <w:r>
        <w:t>Associations with Clinical Characteristics</w:t>
      </w:r>
    </w:p>
    <w:p w14:paraId="51B16AE7" w14:textId="77777777" w:rsidR="00F53FEA" w:rsidRDefault="002C641B">
      <w:r>
        <w:t>None of the clinical characteristics examined showed statistically significant associations with hyperuricemia. These included menopausal status (χ²=2.09, p=0.148), presence of comorbidities (χ²=2.19, p=0.988), medication use (χ²=0.40, p=0.842), symptom presentation (χ²=4.73, p=0.315), and BMI categories (χ²=1.90, p=0.593). While participants with certain conditions such as kidney disease and hyperlipidemia showed higher prevalence rates of hyperuricemia (33.3% each), these findings did not reach statistical significance, likely due to small sample sizes.</w:t>
      </w:r>
    </w:p>
    <w:p w14:paraId="1E5EFEC8" w14:textId="77777777" w:rsidR="00F53FEA" w:rsidRDefault="00F53FEA"/>
    <w:p w14:paraId="3D60F07C" w14:textId="77777777" w:rsidR="00F53FEA" w:rsidRDefault="002C641B">
      <w:pPr>
        <w:pStyle w:val="Heading1"/>
      </w:pPr>
      <w:r>
        <w:t>DISCUSSION</w:t>
      </w:r>
    </w:p>
    <w:p w14:paraId="4AF696DE" w14:textId="77777777" w:rsidR="00F53FEA" w:rsidRDefault="00707201">
      <w:r w:rsidRPr="00707201">
        <w:t xml:space="preserve">This study offers </w:t>
      </w:r>
      <w:proofErr w:type="gramStart"/>
      <w:r w:rsidR="00713071">
        <w:t xml:space="preserve">current </w:t>
      </w:r>
      <w:r w:rsidRPr="00707201">
        <w:t xml:space="preserve"> information</w:t>
      </w:r>
      <w:proofErr w:type="gramEnd"/>
      <w:r w:rsidRPr="00707201">
        <w:t xml:space="preserve"> on the risk factors and prevalence of hyperuricemia in adult patients who visit a general outpatient clinic in Port Harcourt, Nigeria.</w:t>
      </w:r>
      <w:r w:rsidR="00713071">
        <w:t xml:space="preserve"> </w:t>
      </w:r>
      <w:r w:rsidR="002C641B">
        <w:t xml:space="preserve">The overall prevalence of 16.6% falls within the range reported in previous studies from </w:t>
      </w:r>
      <w:r w:rsidR="00713071">
        <w:t>the region</w:t>
      </w:r>
      <w:r w:rsidR="002C641B">
        <w:t xml:space="preserve">. This finding adds valuable data to the body of literature on hyperuricemia in </w:t>
      </w:r>
      <w:r w:rsidR="00713071">
        <w:t xml:space="preserve">the </w:t>
      </w:r>
      <w:proofErr w:type="gramStart"/>
      <w:r w:rsidR="00713071">
        <w:t xml:space="preserve">Nigerian </w:t>
      </w:r>
      <w:r w:rsidR="002C641B">
        <w:t xml:space="preserve"> populations</w:t>
      </w:r>
      <w:proofErr w:type="gramEnd"/>
      <w:r w:rsidR="002C641B">
        <w:t>, particularly in the Niger Delta region.</w:t>
      </w:r>
    </w:p>
    <w:p w14:paraId="7106A9F9" w14:textId="77777777" w:rsidR="00F53FEA" w:rsidRDefault="002C641B">
      <w:pPr>
        <w:pStyle w:val="Heading2"/>
      </w:pPr>
      <w:r>
        <w:t>Prevalence in Context</w:t>
      </w:r>
    </w:p>
    <w:p w14:paraId="27B3A1CE" w14:textId="77777777" w:rsidR="00F53FEA" w:rsidRDefault="002C641B">
      <w:r>
        <w:lastRenderedPageBreak/>
        <w:t xml:space="preserve">The observed prevalence of 16.6% </w:t>
      </w:r>
      <w:r w:rsidR="00707201">
        <w:t>is consistent</w:t>
      </w:r>
      <w:r>
        <w:t xml:space="preserve"> with recent global estimates </w:t>
      </w:r>
      <w:r w:rsidR="00707201">
        <w:t>of</w:t>
      </w:r>
      <w:r>
        <w:t xml:space="preserve"> between 13.85% and 20.7% in various populations</w:t>
      </w:r>
      <w:r w:rsidR="00F404CC">
        <w:rPr>
          <w:highlight w:val="yellow"/>
        </w:rPr>
        <w:fldChar w:fldCharType="begin"/>
      </w:r>
      <w:r w:rsidR="008C1222">
        <w:rPr>
          <w:highlight w:val="yellow"/>
        </w:rPr>
        <w:instrText xml:space="preserve"> ADDIN ZOTERO_ITEM CSL_CITATION {"citationID":"nQxdrc2b","properties":{"formattedCitation":"\\super 1,3\\nosupersub{}","plainCitation":"1,3","noteIndex":0},"citationItems":[{"id":1386,"uris":["http://zotero.org/users/local/AIjuh99d/items/NRJXNMSN"],"itemData":{"id":1386,"type":"article","abstract":"Background: The prevalence of hyperuricemia worldwide is poorly understood. Therefore, we conducted a systematic review of published population-based epidemiological studies on hyperuricemia.Methods: We manually searched four databases from January 1, 2015, to July 6, 2024, using the Agency for Healthcare Research and the Tool for Quality Assessment. R 4.3.3 was applied to analyze the pooled prevalence.Results: A total of 84 articles were included in the qualitative synthesis. The global prevalence of hyperuricemia was 13·85% (95% confidence interval [CI]: 0·12, 0·16). Among them, the prevalence rates were 21·06% (95%CI: 0·19, 0·24) in males and 10·15% (95%CI: 0·08, 0·12) in females. The prevalence in South America was the highest at 17·89% (95%CI: 0·16, 0·19); Oceania ranked second at 16·61% (95%CI: 0·15, 0·18), followed by North America at 16·27%, Europe at 16·01% (95%CIs: 0·13, 0·19, and 0·09, 0·24, respectively), and Asia at 14·90% (95%CI: 0·13, 0·17). The prevalence in adults was 15·17% (95%CI:0·14, 0·17); in children, it was 9·35% (95%CI: 0·04, 0·23).Conclusions: The occurrence of hyperuricemia varied according to the geographic location, sex, and age. Research on the prevalence of hyperuricemia helps to better understand the burden of the disease and guide public health efforts in its management. Follow-up research should focus on understanding the distribution of the prevalence of hyperuricemia and the trend of predicted hyperuricemia prevalence over time.","DOI":"10.2139/ssrn.5145955","event-place":"Rochester, NY","genre":"SSRN Scholarly Paper","language":"en","number":"5145955","publisher":"Social Science Research Network","publisher-place":"Rochester, NY","source":"papers.ssrn.com","title":"Global Epidemiology of Hyperuricemia: An Analysis of Trends Over the Past Decade","title-short":"Global Epidemiology of Hyperuricemia","URL":"https://papers.ssrn.com/abstract=5145955","author":[{"family":"Chen","given":"Siting"},{"family":"Liu","given":"Liu"},{"family":"Huang","given":"Dongbei"},{"family":"Chao","given":"Fangfang"},{"family":"Wang","given":"Yifei"},{"family":"Yan","given":"Zhangren"},{"family":"Yi","given":"Jun"},{"family":"Wang","given":"Kangning"},{"family":"Shen","given":"Dandan"},{"family":"Jiang","given":"Xin"},{"family":"Li","given":"Xin"},{"family":"Wang","given":"Wanchun"}],"accessed":{"date-parts":[["2025",12,25]]},"issued":{"date-parts":[["2025",2,21]]}}},{"id":1387,"uris":["http://zotero.org/users/local/AIjuh99d/items/QRVFBP94"],"itemData":{"id":1387,"type":"webpage","title":"Update on the epidemiology, genetics, and therapeutic options of hyperuricemia - PMC","URL":"https://pmc.ncbi.nlm.nih.gov/articles/PMC7407685/","accessed":{"date-parts":[["2025",12,25]]}}}],"schema":"https://github.com/citation-style-language/schema/raw/master/csl-citation.json"} </w:instrText>
      </w:r>
      <w:r w:rsidR="00F404CC">
        <w:rPr>
          <w:highlight w:val="yellow"/>
        </w:rPr>
        <w:fldChar w:fldCharType="separate"/>
      </w:r>
      <w:r w:rsidR="008C1222" w:rsidRPr="008C1222">
        <w:rPr>
          <w:vertAlign w:val="superscript"/>
        </w:rPr>
        <w:t>1,3</w:t>
      </w:r>
      <w:r w:rsidR="00F404CC">
        <w:rPr>
          <w:highlight w:val="yellow"/>
        </w:rPr>
        <w:fldChar w:fldCharType="end"/>
      </w:r>
      <w:r>
        <w:t xml:space="preserve"> </w:t>
      </w:r>
      <w:r w:rsidR="00707201">
        <w:t>Our finding is however</w:t>
      </w:r>
      <w:r>
        <w:t xml:space="preserve"> lower than the 21% reported in the United States</w:t>
      </w:r>
      <w:r w:rsidR="00707201">
        <w:t xml:space="preserve"> </w:t>
      </w:r>
      <w:r w:rsidR="00707201">
        <w:fldChar w:fldCharType="begin"/>
      </w:r>
      <w:r w:rsidR="008C1222">
        <w:instrText xml:space="preserve"> ADDIN ZOTERO_ITEM CSL_CITATION {"citationID":"EHe9a2jG","properties":{"formattedCitation":"\\super 2\\nosupersub{}","plainCitation":"2","noteIndex":0},"citationItems":[{"id":1384,"uris":["http://zotero.org/users/local/AIjuh99d/items/622M7AK2"],"itemData":{"id":1384,"type":"article-journal","abstract":"Hyperuricemia, characterized by elevated levels of serum uric acid (SUA), is linked to a spectrum of commodities such as gout, cardiovascular diseases, renal disorders, metabolic syndrome, and diabetes, etc. Significantly impairing the quality of life for those affected, the prevalence of hyperuricemia is an upward trend globally, especially in most developed countries. UA possesses a multifaceted role, such as antioxidant, pro-oxidative, pro-inflammatory, nitric oxide modulating, anti-aging, and immune effects, which are significant in both physiological and pathological contexts. The equilibrium of circulating urate levels hinges on the interplay between production and excretion, a delicate balance orchestrated by urate transporter functions across various epithelial tissues and cell types. While existing research has identified hyperuricemia involvement in numerous biological processes and signaling pathways, the precise mechanisms connecting elevated UA levels to disease etiology remain to be fully elucidated. In addition, the influence of genetic susceptibilities and environmental determinants on hyperuricemia calls for a detailed and nuanced examination. This review compiles data from global epidemiological studies and clinical practices, exploring the physiological processes and the genetic foundations of urate transporters in depth. Furthermore, we uncover the complex mechanisms by which the UA induced inflammation influences metabolic processes in individuals with hyperuricemia and the association with its relative disease, offering a foundation for innovative therapeutic approaches and advanced pharmacological strategies.","container-title":"Signal Transduction and Targeted Therapy","DOI":"10.1038/s41392-024-01916-y","ISSN":"2059-3635","issue":"1","journalAbbreviation":"Sig Transduct Target Ther","language":"en","license":"2024 The Author(s)","note":"publisher: Nature Publishing Group","page":"212","source":"www.nature.com","title":"Hyperuricemia and its related diseases: mechanisms and advances in therapy","title-short":"Hyperuricemia and its related diseases","volume":"9","author":[{"family":"Du","given":"Lin"},{"family":"Zong","given":"Yao"},{"family":"Li","given":"Haorui"},{"family":"Wang","given":"Qiyue"},{"family":"Xie","given":"Lei"},{"family":"Yang","given":"Bo"},{"family":"Pang","given":"Yidan"},{"family":"Zhang","given":"Changqing"},{"family":"Zhong","given":"Zhigang"},{"family":"Gao","given":"Junjie"}],"issued":{"date-parts":[["2024",8,28]]}}}],"schema":"https://github.com/citation-style-language/schema/raw/master/csl-citation.json"} </w:instrText>
      </w:r>
      <w:r w:rsidR="00707201">
        <w:fldChar w:fldCharType="separate"/>
      </w:r>
      <w:r w:rsidR="008C1222" w:rsidRPr="008C1222">
        <w:rPr>
          <w:vertAlign w:val="superscript"/>
        </w:rPr>
        <w:t>2</w:t>
      </w:r>
      <w:r w:rsidR="00707201">
        <w:fldChar w:fldCharType="end"/>
      </w:r>
      <w:r>
        <w:t xml:space="preserve"> and the 20.7% found in the most recent U.S. NHANES cycle (2017-2020)</w:t>
      </w:r>
      <w:r w:rsidR="00802FE3">
        <w:t xml:space="preserve"> </w:t>
      </w:r>
      <w:r w:rsidR="00802FE3">
        <w:fldChar w:fldCharType="begin"/>
      </w:r>
      <w:r w:rsidR="008C1222">
        <w:instrText xml:space="preserve"> ADDIN ZOTERO_ITEM CSL_CITATION {"citationID":"MzDRbDxM","properties":{"formattedCitation":"\\super 11\\nosupersub{}","plainCitation":"11","noteIndex":0},"citationItems":[{"id":1406,"uris":["http://zotero.org/users/local/AIjuh99d/items/NZZSFJNX"],"itemData":{"id":1406,"type":"article-journal","abstract":"OBJECTIVE: We explored the trend in prevalence of hyperuricemia and metabolic syndrome in US populations and investigated associations between components of metabolic syndrome and hyperuricemia by race.\nMETHODS: We analyzed data from the four most recent National Health and Nutrition Examination Survey (NHANES) cycles (2011 to March 2020), comprising 10,175 participants. Hyperuricemia is defined as serum urate &gt;7.0 mg/dL (men) or &gt;5.7 mg/dL (women), following the NHANES-III guideline. The definition of metabolic syndrome follows the National Cholesterol Education Program's Adult Treatment Panel III guideline. We estimated the prevalence of metabolic syndrome and hyperuricemia in each cycle and performed subgroup analyses with logistic regression to investigate the patterns of associated components of metabolic syndrome with hyperuricemia.\nRESULTS: In the most recent cycle (2017 to March 2020), the prevalence of metabolic syndrome was 45.9% and that of hyperuricemia was 20.7%. Over the 2011 to 2020 period, a significant rise in metabolic syndrome prevalence was observed among Hispanic and Asian populations, and the prevalence of hyperuricemia has increased significantly only in the Hispanic population. After adjustment for confounding factors, patients with metabolic syndrome exhibited a higher hyperuricemia in women than in men. Elevated blood pressure was the strongest factor with hyperuricemia. The association was the weakest in the Asian population. Waist circumference was the only significant factor associated with hyperuricemia in the Asian population.\nCONCLUSION: The prevalence of metabolic syndrome has an increasing pattern, but there was no specific decadal trend in prevalence of hyperuricemia. There is an ethnicity-specific association of metabolic syndrome and hyperuricemia, especially among Asians.","container-title":"Arthritis Care &amp; Research","DOI":"10.1002/acr.25338","ISSN":"2151-4658","issue":"8","journalAbbreviation":"Arthritis Care Res (Hoboken)","language":"eng","note":"PMID: 38561984","page":"1195-1202","source":"PubMed","title":"Prevalence and Associations Between Metabolic Syndrome Components and Hyperuricemia by Race: Findings From US Population, 2011-2020","title-short":"Prevalence and Associations Between Metabolic Syndrome Components and Hyperuricemia by Race","volume":"76","author":[{"family":"Kim","given":"Yun Jin"},{"family":"Kim","given":"Sunghwan"},{"family":"Seo","given":"Ji Hwan"},{"family":"Cho","given":"Sung Kweon"}],"issued":{"date-parts":[["2024",8]]}}}],"schema":"https://github.com/citation-style-language/schema/raw/master/csl-citation.json"} </w:instrText>
      </w:r>
      <w:r w:rsidR="00802FE3">
        <w:fldChar w:fldCharType="separate"/>
      </w:r>
      <w:r w:rsidR="008C1222" w:rsidRPr="008C1222">
        <w:rPr>
          <w:vertAlign w:val="superscript"/>
        </w:rPr>
        <w:t>11</w:t>
      </w:r>
      <w:r w:rsidR="00802FE3">
        <w:fldChar w:fldCharType="end"/>
      </w:r>
      <w:r>
        <w:t>,¹¹ but comparable to rates reported in other developing countries such as Korea (11.4%) and Mexico (20.6%).</w:t>
      </w:r>
      <w:r w:rsidR="00802FE3" w:rsidRPr="00802FE3">
        <w:t>(2)</w:t>
      </w:r>
      <w:r w:rsidR="00802FE3">
        <w:t xml:space="preserve"> </w:t>
      </w:r>
      <w:r>
        <w:t>² Within the African context, our findings are consistent with a recent systematic review of hyperuricemia among type 2 diabetes patients, which reported a pooled prevalence of 26.31% in Nigeria, though that study focused on a specific patient population.</w:t>
      </w:r>
      <w:r w:rsidR="00802FE3">
        <w:t xml:space="preserve"> </w:t>
      </w:r>
      <w:r w:rsidR="00802FE3">
        <w:fldChar w:fldCharType="begin"/>
      </w:r>
      <w:r w:rsidR="008C1222">
        <w:instrText xml:space="preserve"> ADDIN ZOTERO_ITEM CSL_CITATION {"citationID":"oYABBzYg","properties":{"formattedCitation":"\\super 10\\nosupersub{}","plainCitation":"10","noteIndex":0},"citationItems":[{"id":1404,"uris":["http://zotero.org/users/local/AIjuh99d/items/JPJGVK5T"],"itemData":{"id":1404,"type":"article-journal","abstract":"Hyperuricemia increases morbidity and mortality in type 2 diabetic individuals. It is linked to the expansion of diabetes and cardiovascular diseases indicators, as well as being a significant predictor of coronary artery disease. It also leads to a poor prognosis and increment of diabetic complications including diabetic neuropathy, retinopathy, and nephropathy. Therefore, this systematic review and meta-analysis was aimed to determine the pooled prevalence of hyperuricemia among type 2 diabetes mellitus patients in Africa.","container-title":"BMC Endocrine Disorders","DOI":"10.1186/s12902-023-01408-0","ISSN":"1472-6823","issue":"1","journalAbbreviation":"BMC Endocr Disord","language":"en","page":"153","source":"Springer Link","title":"Prevalence of hyperuricemia among type 2 diabetes mellitus patients in Africa: a systematic review and meta-analysis","title-short":"Prevalence of hyperuricemia among type 2 diabetes mellitus patients in Africa","volume":"23","author":[{"family":"Alemayehu","given":"Ermiyas"},{"family":"Fiseha","given":"Temesgen"},{"family":"Bambo","given":"Getachew Mesfin"},{"family":"Sahile Kebede","given":"Samuel"},{"family":"Bisetegn","given":"Habtye"},{"family":"Tilahun","given":"Mihret"},{"family":"Debash","given":"Habtu"},{"family":"Ebrahim","given":"Hussen"},{"family":"Mohammed","given":"Ousman"},{"family":"Belete","given":"Melaku Ashagrie"},{"family":"Gedefie","given":"Alemu"}],"issued":{"date-parts":[["2023",7,18]]}}}],"schema":"https://github.com/citation-style-language/schema/raw/master/csl-citation.json"} </w:instrText>
      </w:r>
      <w:r w:rsidR="00802FE3">
        <w:fldChar w:fldCharType="separate"/>
      </w:r>
      <w:r w:rsidR="008C1222" w:rsidRPr="008C1222">
        <w:rPr>
          <w:vertAlign w:val="superscript"/>
        </w:rPr>
        <w:t>10</w:t>
      </w:r>
      <w:r w:rsidR="00802FE3">
        <w:fldChar w:fldCharType="end"/>
      </w:r>
      <w:r>
        <w:t>¹⁰ A previous study in rural Niger Delta reported higher prevalence rates</w:t>
      </w:r>
      <w:r w:rsidR="00E31FFA">
        <w:t xml:space="preserve"> (17.2%)</w:t>
      </w:r>
      <w:r>
        <w:t>, which may reflect differences in study populations, geographic locations, and socioeconomic characteristics.</w:t>
      </w:r>
      <w:r w:rsidR="00D52FDB">
        <w:t xml:space="preserve"> </w:t>
      </w:r>
      <w:r w:rsidR="00D52FDB">
        <w:fldChar w:fldCharType="begin"/>
      </w:r>
      <w:r w:rsidR="008C1222">
        <w:instrText xml:space="preserve"> ADDIN ZOTERO_ITEM CSL_CITATION {"citationID":"lBJcmDDi","properties":{"formattedCitation":"\\super 12\\nosupersub{}","plainCitation":"12","noteIndex":0},"citationItems":[{"id":1409,"uris":["http://zotero.org/users/local/AIjuh99d/items/DD4ZMGYU"],"itemData":{"id":1409,"type":"article-journal","abstract":"INTRODUCTION: Hyperuricemia is a cardiovascular disease risk factor that has been poorly researched into in Africa and its prevalence is largely unknown in the rural areas in Nigeria and in the Niger Delta region of Nigeria in particular.\nMETHODS: A cross-sectional rural survey involving 500 subjects aged 15 years and above. Demographic and social data were obtained using a questionnaire. Anthropometric (height, weight, waist circumference) and blood pressure measurements were taken. Blood samples were taken for blood uric acid, glucose and lipid check.\nRESULTS: The mean age of the study subjects was 41.32 +/- 17.0 (males, 42.84 +/- 17.8; females, 40.62 +/- 16.6) with a range of 15 years to 95 years. The male to female ratio was 1:2.3. The mean serum uric acid was 337.58 +/- 94.59 mmol/l with a significant higher mean for females (males 333.20 +/- 88.70, females 339.56 +/- 97.21, p &lt; 0.001). Hyperuricemia was found in 86 subject giving a prevalence of 17.2% with higher prevalence in males (males 25%, females 13.7%; x2 = 7.75, p = 0.006). Correlational analysis of serum uric acid with other parameters revealed that waist circumference, total cholesterol, low-density lipoprotein and gender had significant association with uric acid. Male gender was found to be a significant predictor for hyperuricaemia following a logistic regression.\nCONCLUSION: The prevalence of hyperuricemia is high in this rural community of study. There is need for more research considering the cardiovascular and other implications of hyperuricaemia.","container-title":"Nigerian Journal of Medicine: Journal of the National Association of Resident Doctors of Nigeria","ISSN":"1115-2613","issue":"3","journalAbbreviation":"Niger J Med","language":"eng","note":"PMID: 24180145","page":"187-192","source":"PubMed","title":"Prevalence of hyperuricaemia in a rural population of Nigerian Niger Delta region","volume":"22","author":[{"family":"Alikor","given":"C. A."},{"family":"Emem-Chioma","given":"P. C."},{"family":"Odia","given":"O. J."}],"issued":{"date-parts":[["2013"]]}}}],"schema":"https://github.com/citation-style-language/schema/raw/master/csl-citation.json"} </w:instrText>
      </w:r>
      <w:r w:rsidR="00D52FDB">
        <w:fldChar w:fldCharType="separate"/>
      </w:r>
      <w:r w:rsidR="008C1222" w:rsidRPr="008C1222">
        <w:rPr>
          <w:vertAlign w:val="superscript"/>
        </w:rPr>
        <w:t>12</w:t>
      </w:r>
      <w:r w:rsidR="00D52FDB">
        <w:fldChar w:fldCharType="end"/>
      </w:r>
      <w:r>
        <w:t>¹²</w:t>
      </w:r>
    </w:p>
    <w:p w14:paraId="3153287D" w14:textId="77777777" w:rsidR="00F53FEA" w:rsidRDefault="002C641B">
      <w:r>
        <w:t>The relatively moderate prevalence observed in our study population may reflect the transitional nature of the Nigerian diet and lifestyle, positioned between traditional patterns and more Westernized habits. Port Harcourt, as an urban center, represents a population undergoing nutritional transition, which may explain the intermediate prevalence compared to populations in highly developed countries.</w:t>
      </w:r>
    </w:p>
    <w:p w14:paraId="5E451648" w14:textId="77777777" w:rsidR="00F53FEA" w:rsidRDefault="002C641B">
      <w:pPr>
        <w:pStyle w:val="Heading2"/>
      </w:pPr>
      <w:r>
        <w:t>Sex Differences</w:t>
      </w:r>
    </w:p>
    <w:p w14:paraId="1B749DF4" w14:textId="77777777" w:rsidR="00F53FEA" w:rsidRDefault="002C641B">
      <w:r>
        <w:t xml:space="preserve">The statistically significant association between male sex and hyperuricemia, with males showing more than twice the prevalence of females (25.6% vs 11.3%), is consistent with </w:t>
      </w:r>
      <w:r w:rsidR="00E31FFA">
        <w:t>global</w:t>
      </w:r>
      <w:r>
        <w:t xml:space="preserve"> epidemiological patterns. This sex difference has been consistently reported across diverse populations, with a recent meta-analysis showing global prevalence rates of 21.06% in males versus 10.15% in females</w:t>
      </w:r>
      <w:r w:rsidR="00117232">
        <w:t xml:space="preserve"> </w:t>
      </w:r>
      <w:r w:rsidR="00117232">
        <w:fldChar w:fldCharType="begin"/>
      </w:r>
      <w:r w:rsidR="008C1222">
        <w:instrText xml:space="preserve"> ADDIN ZOTERO_ITEM CSL_CITATION {"citationID":"y5FLkEzC","properties":{"formattedCitation":"\\super 3\\nosupersub{}","plainCitation":"3","noteIndex":0},"citationItems":[{"id":1387,"uris":["http://zotero.org/users/local/AIjuh99d/items/QRVFBP94"],"itemData":{"id":1387,"type":"webpage","title":"Update on the epidemiology, genetics, and therapeutic options of hyperuricemia - PMC","URL":"https://pmc.ncbi.nlm.nih.gov/articles/PMC7407685/","accessed":{"date-parts":[["2025",12,25]]}}}],"schema":"https://github.com/citation-style-language/schema/raw/master/csl-citation.json"} </w:instrText>
      </w:r>
      <w:r w:rsidR="00117232">
        <w:fldChar w:fldCharType="separate"/>
      </w:r>
      <w:r w:rsidR="008C1222" w:rsidRPr="008C1222">
        <w:rPr>
          <w:vertAlign w:val="superscript"/>
        </w:rPr>
        <w:t>3</w:t>
      </w:r>
      <w:r w:rsidR="00117232">
        <w:fldChar w:fldCharType="end"/>
      </w:r>
      <w:r>
        <w:t>.³ Several mechanisms contribute to this disparity. Estrogen, which is present at higher levels in premenopausal women, enhances renal uric acid excretion by increasing the expression of specific urate transporters</w:t>
      </w:r>
      <w:r w:rsidR="00117232">
        <w:t xml:space="preserve"> </w:t>
      </w:r>
      <w:r w:rsidR="00117232">
        <w:fldChar w:fldCharType="begin"/>
      </w:r>
      <w:r w:rsidR="008C1222">
        <w:instrText xml:space="preserve"> ADDIN ZOTERO_ITEM CSL_CITATION {"citationID":"N9Uh1s8j","properties":{"formattedCitation":"\\super 13\\nosupersub{}","plainCitation":"13","noteIndex":0},"citationItems":[{"id":1413,"uris":["http://zotero.org/users/local/AIjuh99d/items/CS5GGM2B"],"itemData":{"id":1413,"type":"article-journal","abstract":"INTRODUCTION: Despite the substantial prevalence of gout in the ageing female population, female hormonal influence has not been comprehensively examined. We evaluated and quantified the potential independent association between menopause, postmenopausal hormone use and serum uric acid levels in a nationally representative sample of women.\nMETHODS: Using data from 7662 women aged 20 years and older in the Third National Health and Nutrition Examination Survey (1988 to 1994), we examined the relation between menopause, postmenopausal hormone use and serum uric acid levels. We used multivariate linear regression to adjust for other risk factors for hyperuricaemia such as dietary factors, age, adiposity, alcohol use, renal function, hypertension and diuretic use.\nRESULTS: Menopause was associated with higher serum uric acid levels. After adjusting for covariates, serum uric acid levels among women with natural menopause and surgical menopause were greater than premenopausal women by 0.34 mg/dl (95% confidence interval [CI], 0.19 to 0.49) and 0.36 mg/dl (95% CI, 0.14 to 0.57), respectively. Current postmenopausal hormone use was associated with a lower serum uric acid level among postmenopausal women (multivariate difference, 0.24 mg/dl [95% CI, 0.11 to 0.36]). The serum uric acid levels increased with increasing age categories (crude difference between 20 to 29 years and 70 years and over = 1.03 mg/dl, p for trend &lt; 0.001), but this increase was not present after adjusting for other covariates (p for trend = 0.66).\nCONCLUSIONS: These findings from a nationally representative sample of US women indicate that menopause is independently associated with higher serum uric acid levels, whereas postmenopausal hormone use is associated with lower uric acid levels among postmenopausal women. The age-associated increase in serum uric acid levels in women may be explained by menopause and other age-related factors.","container-title":"Arthritis Research &amp; Therapy","DOI":"10.1186/ar2519","ISSN":"1478-6362","issue":"5","journalAbbreviation":"Arthritis Res Ther","language":"eng","note":"PMID: 18822120\nPMCID: PMC2592803","page":"R116","source":"PubMed","title":"Menopause, postmenopausal hormone use and serum uric acid levels in US women--the Third National Health and Nutrition Examination Survey","volume":"10","author":[{"family":"Hak","given":"A. Elisabeth"},{"family":"Choi","given":"Hyon K."}],"issued":{"date-parts":[["2008"]]}}}],"schema":"https://github.com/citation-style-language/schema/raw/master/csl-citation.json"} </w:instrText>
      </w:r>
      <w:r w:rsidR="00117232">
        <w:fldChar w:fldCharType="separate"/>
      </w:r>
      <w:r w:rsidR="008C1222" w:rsidRPr="008C1222">
        <w:rPr>
          <w:vertAlign w:val="superscript"/>
        </w:rPr>
        <w:t>13</w:t>
      </w:r>
      <w:r w:rsidR="00117232">
        <w:fldChar w:fldCharType="end"/>
      </w:r>
      <w:r>
        <w:t>.¹³ Additionally, testosterone has been shown to decrease renal uric acid clearance, potentially contributing to higher uric acid levels in men</w:t>
      </w:r>
      <w:r w:rsidR="00117232">
        <w:t xml:space="preserve"> </w:t>
      </w:r>
      <w:r w:rsidR="00117232">
        <w:fldChar w:fldCharType="begin"/>
      </w:r>
      <w:r w:rsidR="008C1222">
        <w:instrText xml:space="preserve"> ADDIN ZOTERO_ITEM CSL_CITATION {"citationID":"x1eVRy88","properties":{"formattedCitation":"\\super 14\\nosupersub{}","plainCitation":"14","noteIndex":0},"citationItems":[{"id":1417,"uris":["http://zotero.org/users/local/AIjuh99d/items/P88E5H6V"],"itemData":{"id":1417,"type":"article-journal","abstract":"Increased levels of serum urate in postmenopausal women are thought to be caused by a change in renal urate elimination associated with the loss of female hormones. In this study, we investigated the regulation of renal urate transporter expression by female hormones using ovariectomized mice with or without hormone replacement. Estradiol suppressed the protein levels of urate reabsorptive transporters urate transporter 1 and glucose transporter 9 (Urat1 and Glut9), and that of urate efflux transporter ATP-binding cassette sub-family G member 2 (Abcg2). Progesterone suppressed protein levels of sodium-coupled monocarboxylate transporter 1 (Smct1). However, neither estradiol nor progesterone influenced the respective levels of mRNA.","container-title":"Nucleosides, Nucleotides &amp; Nucleic Acids","DOI":"10.1080/15257770.2010.551645","ISSN":"1532-2335","issue":"2","journalAbbreviation":"Nucleosides Nucleotides Nucleic Acids","language":"eng","note":"PMID: 21360409","page":"113-119","source":"PubMed","title":"The effect of female hormones upon urate transport systems in the mouse kidney","volume":"30","author":[{"family":"Takiue","given":"Yuichi"},{"family":"Hosoyamada","given":"Makoto"},{"family":"Kimura","given":"Masaki"},{"family":"Saito","given":"Hidetsugu"}],"issued":{"date-parts":[["2011",2]]}}}],"schema":"https://github.com/citation-style-language/schema/raw/master/csl-citation.json"} </w:instrText>
      </w:r>
      <w:r w:rsidR="00117232">
        <w:fldChar w:fldCharType="separate"/>
      </w:r>
      <w:r w:rsidR="008C1222" w:rsidRPr="008C1222">
        <w:rPr>
          <w:vertAlign w:val="superscript"/>
        </w:rPr>
        <w:t>14</w:t>
      </w:r>
      <w:r w:rsidR="00117232">
        <w:fldChar w:fldCharType="end"/>
      </w:r>
      <w:r>
        <w:t>.¹⁴ Beyond hormonal influences, differences in dietary patterns, alcohol consumption, and body composition between sexes may also play a role</w:t>
      </w:r>
      <w:r w:rsidR="006E3804">
        <w:t xml:space="preserve"> </w:t>
      </w:r>
      <w:r w:rsidR="006E3804">
        <w:fldChar w:fldCharType="begin"/>
      </w:r>
      <w:r w:rsidR="008C1222">
        <w:instrText xml:space="preserve"> ADDIN ZOTERO_ITEM CSL_CITATION {"citationID":"iqgIKUEs","properties":{"formattedCitation":"\\super 15\\nosupersub{}","plainCitation":"15","noteIndex":0},"citationItems":[{"id":1419,"uris":["http://zotero.org/users/local/AIjuh99d/items/F8VYCU9M"],"itemData":{"id":1419,"type":"article-journal","abstract":"OBJECTIVES: Several recent observations have suggested that the prevalence of gout may be increasing worldwide, but there are no recent data from the USA. We analysed the prevalence of hyperuricaemia and gout in the US population from 2007-08 to 2015-16.\nMETHODS: We studied adults </w:instrText>
      </w:r>
      <w:r w:rsidR="008C1222">
        <w:rPr>
          <w:rFonts w:ascii="Cambria Math" w:hAnsi="Cambria Math" w:cs="Cambria Math"/>
        </w:rPr>
        <w:instrText>⩾</w:instrText>
      </w:r>
      <w:r w:rsidR="008C1222">
        <w:instrText xml:space="preserve">20 years of age from the National Health and Nutrition Examination Survey from 2007-08 to 2015-16. Persons with gout were identified from the home interview question 'Has a doctor or other health professional ever told you that you had gout?' Hyperuricaemia was defined as a serum urate level &gt;0.40 mmol/l (6.8 mg/dl) (supersaturation levels at physiological temperatures and pH).\nRESULTS: In 2015-16, the overall prevalence of gout among US adults was 3.9%, corresponding to a total affected population of 9.2 million. Hyperuricaemia (&gt;0.40 mmol/l or 6.8 mg/dl) was seen in 14.6% of the US population (estimated 32.5 million individuals). No significant trends were identified in the age-adjusted prevalence of gout and hyperuricaemia. Statistical comparisons between 2007-08 and 2015-16 age-adjusted rates were not significant.\nCONCLUSION: While the age-adjusted prevalence of gout and hyperuricaemia has remained unchanged in the most recent decade from 2007-08 to 2015-16, the estimated total number of persons with self-reported gout has increased from 8.3 million to 9.2 million. The age-adjusted prevalence of hyperuricaemia has declined slightly, but the total number of affected individuals is virtually identical (32.5 million in 2015-16 compared with 32.1 million in 2007-08).","container-title":"Rheumatology (Oxford, England)","DOI":"10.1093/rheumatology/kez196","ISSN":"1462-0332","issue":"12","journalAbbreviation":"Rheumatology (Oxford)","language":"eng","note":"PMID: 31168609","page":"2177-2180","source":"PubMed","title":"Gout and hyperuricaemia in the USA: prevalence and trends","title-short":"Gout and hyperuricaemia in the USA","volume":"58","author":[{"family":"Singh","given":"Gurkirpal"},{"family":"Lingala","given":"Bharathi"},{"family":"Mithal","given":"Alka"}],"issued":{"date-parts":[["2019",12,1]]}}}],"schema":"https://github.com/citation-style-language/schema/raw/master/csl-citation.json"} </w:instrText>
      </w:r>
      <w:r w:rsidR="006E3804">
        <w:fldChar w:fldCharType="separate"/>
      </w:r>
      <w:r w:rsidR="008C1222" w:rsidRPr="008C1222">
        <w:rPr>
          <w:vertAlign w:val="superscript"/>
        </w:rPr>
        <w:t>15</w:t>
      </w:r>
      <w:r w:rsidR="006E3804">
        <w:fldChar w:fldCharType="end"/>
      </w:r>
      <w:r w:rsidR="00117232">
        <w:t xml:space="preserve"> </w:t>
      </w:r>
      <w:r>
        <w:t>.¹⁵</w:t>
      </w:r>
    </w:p>
    <w:p w14:paraId="63DC4C4A" w14:textId="77777777" w:rsidR="00F53FEA" w:rsidRDefault="002C641B">
      <w:r>
        <w:t>The magnitude of the sex difference in our study (2.3-fold) is similar to that reported in other populations, including Turkey (3.3-fold), Korea (2.9-fold), and New Zealand (3.2-fold</w:t>
      </w:r>
      <w:proofErr w:type="gramStart"/>
      <w:r>
        <w:t>)</w:t>
      </w:r>
      <w:r w:rsidR="00A21FBE">
        <w:t>.</w:t>
      </w:r>
      <w:r>
        <w:t>²</w:t>
      </w:r>
      <w:proofErr w:type="gramEnd"/>
      <w:r>
        <w:t xml:space="preserve"> This consistency across diverse geographic and ethnic populations suggests that the </w:t>
      </w:r>
      <w:r w:rsidR="00A21FBE">
        <w:t>underlying biological</w:t>
      </w:r>
      <w:r>
        <w:t xml:space="preserve"> mechanisms are fundamental rather than culturally or environmentally determined.</w:t>
      </w:r>
    </w:p>
    <w:p w14:paraId="1567AAFF" w14:textId="77777777" w:rsidR="00F53FEA" w:rsidRDefault="002C641B">
      <w:pPr>
        <w:pStyle w:val="Heading2"/>
      </w:pPr>
      <w:r>
        <w:t>Dietary Factors: The Seafood Connection</w:t>
      </w:r>
    </w:p>
    <w:p w14:paraId="4517B2A2" w14:textId="77777777" w:rsidR="00F53FEA" w:rsidRDefault="002C641B">
      <w:r>
        <w:lastRenderedPageBreak/>
        <w:t xml:space="preserve">One of the most striking findings of this study was the strong association between high seafood consumption and hyperuricemia. Participants consuming seafood daily in large quantities had a prevalence of 23.1% compared to only 6.9% among </w:t>
      </w:r>
      <w:proofErr w:type="gramStart"/>
      <w:r>
        <w:t>those consuming seafood</w:t>
      </w:r>
      <w:proofErr w:type="gramEnd"/>
      <w:r>
        <w:t xml:space="preserve"> in smaller quantities, representing a 3.3-fold difference. This finding is particularly relevant given Port Harcourt's location in the coastal Niger Delta region, where seafood constitutes a major dietary staple.</w:t>
      </w:r>
    </w:p>
    <w:p w14:paraId="392CBAF5" w14:textId="77777777" w:rsidR="00F53FEA" w:rsidRDefault="002C641B">
      <w:r>
        <w:t>This association is well-supported by mechanistic and epidemiological evidence. Seafood, particularly shellfish and certain fish species are rich in purines, the metabolic precursors of uric acid</w:t>
      </w:r>
      <w:r w:rsidR="006E3804">
        <w:t xml:space="preserve"> </w:t>
      </w:r>
      <w:r w:rsidR="006E3804">
        <w:fldChar w:fldCharType="begin"/>
      </w:r>
      <w:r w:rsidR="008C1222">
        <w:instrText xml:space="preserve"> ADDIN ZOTERO_ITEM CSL_CITATION {"citationID":"29RXyJHH","properties":{"formattedCitation":"\\super 16\\nosupersub{}","plainCitation":"16","noteIndex":0},"citationItems":[{"id":1421,"uris":["http://zotero.org/users/local/AIjuh99d/items/WS9W9ZQG"],"itemData":{"id":1421,"type":"webpage","title":"Role of diet in hyperuricemia and gout - PubMed","URL":"https://pubmed.ncbi.nlm.nih.gov/34802900/","accessed":{"date-parts":[["2025",12,25]]}}}],"schema":"https://github.com/citation-style-language/schema/raw/master/csl-citation.json"} </w:instrText>
      </w:r>
      <w:r w:rsidR="006E3804">
        <w:fldChar w:fldCharType="separate"/>
      </w:r>
      <w:r w:rsidR="008C1222" w:rsidRPr="008C1222">
        <w:rPr>
          <w:vertAlign w:val="superscript"/>
        </w:rPr>
        <w:t>16</w:t>
      </w:r>
      <w:r w:rsidR="006E3804">
        <w:fldChar w:fldCharType="end"/>
      </w:r>
      <w:r w:rsidR="006E3804">
        <w:t xml:space="preserve"> </w:t>
      </w:r>
      <w:r w:rsidR="007D0749">
        <w:fldChar w:fldCharType="begin"/>
      </w:r>
      <w:r w:rsidR="008C1222">
        <w:instrText xml:space="preserve"> ADDIN ZOTERO_ITEM CSL_CITATION {"citationID":"fWE7edh1","properties":{"formattedCitation":"\\super 17\\nosupersub{}","plainCitation":"17","noteIndex":0},"citationItems":[{"id":1423,"uris":["http://zotero.org/users/local/AIjuh99d/items/B87385RD"],"itemData":{"id":1423,"type":"webpage","title":"Environmental Triggers of Hyperuricemia and Gout - PMC","URL":"https://pmc.ncbi.nlm.nih.gov/articles/PMC10351897/","accessed":{"date-parts":[["2025",12,25]]}}}],"schema":"https://github.com/citation-style-language/schema/raw/master/csl-citation.json"} </w:instrText>
      </w:r>
      <w:r w:rsidR="007D0749">
        <w:fldChar w:fldCharType="separate"/>
      </w:r>
      <w:r w:rsidR="008C1222" w:rsidRPr="008C1222">
        <w:rPr>
          <w:vertAlign w:val="superscript"/>
        </w:rPr>
        <w:t>17</w:t>
      </w:r>
      <w:r w:rsidR="007D0749">
        <w:fldChar w:fldCharType="end"/>
      </w:r>
      <w:r>
        <w:t>.</w:t>
      </w:r>
      <w:r w:rsidR="006E3804">
        <w:t xml:space="preserve"> </w:t>
      </w:r>
      <w:r>
        <w:t>¹⁶'¹⁷ Multiple large-scale studies have documented this relationship. A cross-sectional study of 6,813 Chinese adults found that seafood intake significantly increased hyperuricemia risk, with the effect persisting after adjustment for multiple confounders.</w:t>
      </w:r>
      <w:r w:rsidR="007D0749">
        <w:fldChar w:fldCharType="begin"/>
      </w:r>
      <w:r w:rsidR="008C1222">
        <w:instrText xml:space="preserve"> ADDIN ZOTERO_ITEM CSL_CITATION {"citationID":"KJY5tLXo","properties":{"formattedCitation":"\\super 18\\nosupersub{}","plainCitation":"18","noteIndex":0},"citationItems":[{"id":1424,"uris":["http://zotero.org/users/local/AIjuh99d/items/99BTS58R"],"itemData":{"id":1424,"type":"webpage","title":"The Association between Purine-Rich Food Intake and Hyperuricemia: A Cross-Sectional Study in Chinese Adult Residents - PubMed","URL":"https://pubmed.ncbi.nlm.nih.gov/33334038/","accessed":{"date-parts":[["2025",12,25]]}}}],"schema":"https://github.com/citation-style-language/schema/raw/master/csl-citation.json"} </w:instrText>
      </w:r>
      <w:r w:rsidR="007D0749">
        <w:fldChar w:fldCharType="separate"/>
      </w:r>
      <w:r w:rsidR="008C1222" w:rsidRPr="008C1222">
        <w:rPr>
          <w:vertAlign w:val="superscript"/>
        </w:rPr>
        <w:t>18</w:t>
      </w:r>
      <w:r w:rsidR="007D0749">
        <w:fldChar w:fldCharType="end"/>
      </w:r>
      <w:r>
        <w:t>¹⁸ Similarly, the Shanghai Men's Health Study reported odds ratios of 1.49 to 1.56 for higher quintiles of seafood consumption.</w:t>
      </w:r>
      <w:r w:rsidR="007D0749">
        <w:fldChar w:fldCharType="begin"/>
      </w:r>
      <w:r w:rsidR="008C1222">
        <w:instrText xml:space="preserve"> ADDIN ZOTERO_ITEM CSL_CITATION {"citationID":"fHkAWfXx","properties":{"formattedCitation":"\\super 19\\nosupersub{}","plainCitation":"19","noteIndex":0},"citationItems":[{"id":1426,"uris":["http://zotero.org/users/local/AIjuh99d/items/QZJDCDST"],"itemData":{"id":1426,"type":"webpage","title":"Purine-rich foods, protein intake, and the prevalence of hyperuricemia: the Shanghai Men's Health Study - PubMed","URL":"https://pubmed.ncbi.nlm.nih.gov/21277179/","accessed":{"date-parts":[["2025",12,25]]}}}],"schema":"https://github.com/citation-style-language/schema/raw/master/csl-citation.json"} </w:instrText>
      </w:r>
      <w:r w:rsidR="007D0749">
        <w:fldChar w:fldCharType="separate"/>
      </w:r>
      <w:r w:rsidR="008C1222" w:rsidRPr="008C1222">
        <w:rPr>
          <w:vertAlign w:val="superscript"/>
        </w:rPr>
        <w:t>19</w:t>
      </w:r>
      <w:r w:rsidR="007D0749">
        <w:fldChar w:fldCharType="end"/>
      </w:r>
      <w:r>
        <w:t>¹⁹ A recent comprehensive study using USDA purine content data confirmed that high seafood consumption, along with red meat and poultry, significantly elevates hyperuricemia risk.</w:t>
      </w:r>
      <w:r w:rsidR="007D0749">
        <w:t xml:space="preserve"> </w:t>
      </w:r>
      <w:r>
        <w:t>²⁰</w:t>
      </w:r>
    </w:p>
    <w:p w14:paraId="040D1523" w14:textId="77777777" w:rsidR="00F53FEA" w:rsidRDefault="002C641B">
      <w:r>
        <w:t>Importantly, not all seafood carries equal risk. Fish and shellfish vary considerably in their purine content, with anchovies, trout, and sardines containing substantially higher amounts compared to salmon or white fish.</w:t>
      </w:r>
      <w:r w:rsidR="00D34A25">
        <w:t xml:space="preserve"> </w:t>
      </w:r>
      <w:r>
        <w:t xml:space="preserve">²¹ </w:t>
      </w:r>
      <w:proofErr w:type="gramStart"/>
      <w:r>
        <w:t>The</w:t>
      </w:r>
      <w:proofErr w:type="gramEnd"/>
      <w:r>
        <w:t xml:space="preserve"> type and quantity of seafood consumed are therefore critical factors. In the Niger Delta context, where fish consumption patterns may include high-purine species and substantial portion sizes, this relationship assumes particular public health significance.</w:t>
      </w:r>
    </w:p>
    <w:p w14:paraId="04F081D0" w14:textId="77777777" w:rsidR="00F53FEA" w:rsidRPr="00A21FBE" w:rsidRDefault="00A93AAD">
      <w:pPr>
        <w:rPr>
          <w:color w:val="000000" w:themeColor="text1"/>
        </w:rPr>
      </w:pPr>
      <w:r>
        <w:t xml:space="preserve">It is noteworthy that although </w:t>
      </w:r>
      <w:r w:rsidR="002C641B" w:rsidRPr="00A93AAD">
        <w:t>red meat consumption showed hyperuricemia prevalence among daily consumers (23.4%), this did not reach statistical significance in our study. This contrasts with findings from other studies that have shown significant associations between red meat intake and hyperuricemia.</w:t>
      </w:r>
      <w:r w:rsidR="00D34A25" w:rsidRPr="00A93AAD">
        <w:fldChar w:fldCharType="begin"/>
      </w:r>
      <w:r w:rsidR="008C1222" w:rsidRPr="00A93AAD">
        <w:instrText xml:space="preserve"> ADDIN ZOTERO_ITEM CSL_CITATION {"citationID":"Rgik11nb","properties":{"formattedCitation":"\\super 18,20\\nosupersub{}","plainCitation":"18,20","noteIndex":0},"citationItems":[{"id":1424,"uris":["http://zotero.org/users/local/AIjuh99d/items/99BTS58R"],"itemData":{"id":1424,"type":"webpage","title":"The Association between Purine-Rich Food Intake and Hyperuricemia: A Cross-Sectional Study in Chinese Adult Residents - PubMed","URL":"https://pubmed.ncbi.nlm.nih.gov/33334038/","accessed":{"date-parts":[["2025",12,25]]}}},{"id":1430,"uris":["http://zotero.org/users/local/AIjuh99d/items/E5WV2CTV"],"itemData":{"id":1430,"type":"webpage","title":"Purine Content of Foods : USDA ARS","URL":"https://www.ars.usda.gov/northeast-area/beltsville-md-bhnrc/beltsville-human-nutrition-research-center/methods-and-application-of-food-composition-laboratory/mafcl-site-pages/purine-content-of-foods/","accessed":{"date-parts":[["2025",12,25]]}}}],"schema":"https://github.com/citation-style-language/schema/raw/master/csl-citation.json"} </w:instrText>
      </w:r>
      <w:r w:rsidR="00D34A25" w:rsidRPr="00A93AAD">
        <w:fldChar w:fldCharType="separate"/>
      </w:r>
      <w:r w:rsidR="008C1222" w:rsidRPr="00A93AAD">
        <w:rPr>
          <w:vertAlign w:val="superscript"/>
        </w:rPr>
        <w:t>18,20</w:t>
      </w:r>
      <w:r w:rsidR="00D34A25" w:rsidRPr="00A93AAD">
        <w:fldChar w:fldCharType="end"/>
      </w:r>
      <w:r w:rsidR="00D34A25" w:rsidRPr="00A93AAD">
        <w:t xml:space="preserve"> </w:t>
      </w:r>
      <w:r>
        <w:t>¹⁸</w:t>
      </w:r>
      <w:r>
        <w:rPr>
          <w:vertAlign w:val="superscript"/>
        </w:rPr>
        <w:t>,</w:t>
      </w:r>
      <w:r w:rsidR="002C641B" w:rsidRPr="00A93AAD">
        <w:t xml:space="preserve">²⁰ The lack of statistical significance in our study may be due to sample size limitations or differences in portion sizes and meat types consumed. </w:t>
      </w:r>
      <w:r w:rsidR="002C641B" w:rsidRPr="00A21FBE">
        <w:t>Nevertheless, the direction of the association aligns with biological plausibility and existing evidence.</w:t>
      </w:r>
    </w:p>
    <w:p w14:paraId="19B0AE7B" w14:textId="77777777" w:rsidR="00F53FEA" w:rsidRDefault="002C641B">
      <w:pPr>
        <w:pStyle w:val="Heading2"/>
      </w:pPr>
      <w:r>
        <w:t>Smoking as a Risk Factor</w:t>
      </w:r>
    </w:p>
    <w:p w14:paraId="2A2254B7" w14:textId="77777777" w:rsidR="00F53FEA" w:rsidRDefault="002C641B">
      <w:r>
        <w:t xml:space="preserve">The significant association between smoking and hyperuricemia (33.3% prevalence among </w:t>
      </w:r>
      <w:proofErr w:type="gramStart"/>
      <w:r>
        <w:t>smokers</w:t>
      </w:r>
      <w:proofErr w:type="gramEnd"/>
      <w:r>
        <w:t xml:space="preserve"> vs 14.7% among non-smokers) adds to growing evidence of smoking's metabolic effects beyond its well-established cardiovascular risks. While the mechanisms linking smoking to hyperuricemia are not </w:t>
      </w:r>
      <w:r w:rsidR="00A93AAD">
        <w:t>very clear</w:t>
      </w:r>
      <w:r>
        <w:t xml:space="preserve">, several pathways have been proposed. </w:t>
      </w:r>
      <w:r>
        <w:lastRenderedPageBreak/>
        <w:t xml:space="preserve">Smoking-induced tissue hypoxia may increase adenosine triphosphate degradation, leading to increased purine metabolism and uric acid </w:t>
      </w:r>
      <w:proofErr w:type="gramStart"/>
      <w:r>
        <w:t>production.²</w:t>
      </w:r>
      <w:proofErr w:type="gramEnd"/>
      <w:r>
        <w:t>² Additionally, smoking-related oxidative stress and inflammation may impair renal uric acid excretion.²³</w:t>
      </w:r>
    </w:p>
    <w:p w14:paraId="0218B485" w14:textId="77777777" w:rsidR="00F53FEA" w:rsidRDefault="00A93AAD">
      <w:r>
        <w:t>Some</w:t>
      </w:r>
      <w:r w:rsidR="002C641B">
        <w:t xml:space="preserve"> studies have provided supporting evidence for this association. A large Chinese study analyzing lifestyle and dietary habits found that smoking degree significantly influenced hyperuricemia </w:t>
      </w:r>
      <w:proofErr w:type="gramStart"/>
      <w:r w:rsidR="002C641B">
        <w:t>prevalence.²</w:t>
      </w:r>
      <w:proofErr w:type="gramEnd"/>
      <w:r w:rsidR="002C641B">
        <w:t xml:space="preserve">⁴ However, the relationship between smoking and hyperuricemia has been inconsistent </w:t>
      </w:r>
      <w:r>
        <w:t>in other</w:t>
      </w:r>
      <w:r w:rsidR="002C641B">
        <w:t xml:space="preserve"> studies, with some reporting positive associations and others finding no significant relationship.²⁵ These inconsistencies may reflect differences in smoking intensity, duration, study populations, and </w:t>
      </w:r>
      <w:r>
        <w:t xml:space="preserve">other </w:t>
      </w:r>
      <w:r w:rsidR="002C641B">
        <w:t xml:space="preserve">confounding factors. In our study, the association remained significant despite the relatively small number of smokers (10% of the sample), suggesting </w:t>
      </w:r>
      <w:r>
        <w:t>an important</w:t>
      </w:r>
      <w:r w:rsidR="002C641B">
        <w:t xml:space="preserve"> effect that warrants further investigation.</w:t>
      </w:r>
    </w:p>
    <w:p w14:paraId="08D20319" w14:textId="77777777" w:rsidR="00F53FEA" w:rsidRDefault="002C641B">
      <w:pPr>
        <w:pStyle w:val="Heading2"/>
      </w:pPr>
      <w:r>
        <w:t>Unexpected Null Findings</w:t>
      </w:r>
    </w:p>
    <w:p w14:paraId="7BCD9313" w14:textId="77777777" w:rsidR="00F53FEA" w:rsidRDefault="002C641B">
      <w:r>
        <w:t>Several variables that have been associated with hyperuricemia in other studies did not show significant associations in our population. The lack of association with BMI categories was unexpected, as obesity has been consistently identified as a major risk factor for hyperuricemia in numerous studies.</w:t>
      </w:r>
      <w:r w:rsidR="00A1225D">
        <w:t xml:space="preserve"> </w:t>
      </w:r>
      <w:r w:rsidR="00A93AAD">
        <w:t>²</w:t>
      </w:r>
      <w:proofErr w:type="gramStart"/>
      <w:r w:rsidR="00A93AAD">
        <w:t>⁶</w:t>
      </w:r>
      <w:r w:rsidR="00A93AAD">
        <w:rPr>
          <w:vertAlign w:val="superscript"/>
        </w:rPr>
        <w:t>,</w:t>
      </w:r>
      <w:r>
        <w:t>²</w:t>
      </w:r>
      <w:proofErr w:type="gramEnd"/>
      <w:r>
        <w:t>⁷ The mechanisms linking obesity to hyperuricemia include insulin resistance, decreased renal uric acid excretion, and increased production from adipose tissue.</w:t>
      </w:r>
      <w:r w:rsidR="00C86B54">
        <w:t xml:space="preserve"> </w:t>
      </w:r>
      <w:r>
        <w:t>²⁸ Several explanations for this null finding are possible. First, the relatively high prevalence of overweight and obesity in our sample (60.1% combined) may have limited statistical power to detect differences. Second, BMI may not fully capture metabolic risk in this population, as visceral adiposity rather than overall BMI may be more strongly associated with hyperuricemia.</w:t>
      </w:r>
      <w:r w:rsidR="00A21FBE">
        <w:t xml:space="preserve"> </w:t>
      </w:r>
      <w:r>
        <w:t>²⁹ Third, the cross-sectional nature of our study cannot establish temporal relationships, and reverse causation cannot be excluded.</w:t>
      </w:r>
    </w:p>
    <w:p w14:paraId="18902B31" w14:textId="77777777" w:rsidR="00F53FEA" w:rsidRDefault="002C641B">
      <w:r>
        <w:t>The absence of a significant association with alcohol consumption contrasts with extensive evidence linking alcohol, particularly beer, to elevated uric acid levels through multiple mechanisms including increased purine intake, enhanced uric acid production, and impaired renal excretion</w:t>
      </w:r>
      <w:r w:rsidR="00D767AC">
        <w:t xml:space="preserve"> </w:t>
      </w:r>
      <w:r w:rsidR="00F84140">
        <w:fldChar w:fldCharType="begin"/>
      </w:r>
      <w:r w:rsidR="008C1222">
        <w:instrText xml:space="preserve"> ADDIN ZOTERO_ITEM CSL_CITATION {"citationID":"91AFmwFD","properties":{"formattedCitation":"\\super 30,31\\nosupersub{}","plainCitation":"30,31","noteIndex":0},"citationItems":[{"id":1453,"uris":["http://zotero.org/users/local/AIjuh99d/items/ZGG6LIM4"],"itemData":{"id":1453,"type":"article-journal","abstract":"BACKGROUND: The association between alcohol consumption and risk of gout has been suspected since ancient times, but has not been prospectively confirmed. Additionally, potential differences in risk of gout posed by different alcoholic beverages have not been assessed.\nMETHODS: Over 12 years (1986-98) we used biennial questionnaires to investigate the relation between alcohol consumption and risk of incident gout in 47?150 male participants with no history of gout at baseline. We used a supplementary questionnaire to ascertain whether reported cases of gout met the American College of Rheumatology survey gout criteria.\nFINDINGS: We documented 730 confirmed incident cases of gout. Compared with men who did not drink alcohol, the multivariate relative risk (RR) of gout was 1.32 (95% CI 0.99-1.75) for alcohol consumption 10.0-14.9 g/day, 1.49 (1.14-1.94) for 15.0-29.9 g/day, 1.96 (1.48-2.60) for 30.0-49.9 g/day, and 2.53 (1.73-3.70) for &gt; or =50 g/day (p for trend &lt;0.0001). Beer consumption showed the strongest independent association with the risk of gout (multivariate RR per 12-oz serving per day 1.49; 95% CI 1.32-1.70). Consumption of spirits was also significantly associated with gout (multivariate RR per drink or shot per day 1.15; 95% CI 1.04-1.28); however, wine consumption was not (multivariate RR per 4-oz serving per day 1.04; 95% CI 0.88-1.22).\nINTERPRETATION: Alcohol intake is strongly associated with an increased risk of gout. This risk varies substantially according to type of alcoholic beverage: beer confers a larger risk than spirits, whereas moderate wine drinking does not increase the risk.","container-title":"Lancet (London, England)","DOI":"10.1016/S0140-6736(04)16000-5","ISSN":"1474-547X","issue":"9417","journalAbbreviation":"Lancet","language":"eng","note":"PMID: 15094272","page":"1277-1281","source":"PubMed","title":"Alcohol intake and risk of incident gout in men: a prospective study","title-short":"Alcohol intake and risk of incident gout in men","volume":"363","author":[{"family":"Choi","given":"Hyon K."},{"family":"Atkinson","given":"Karen"},{"family":"Karlson","given":"Elizabeth W."},{"family":"Willett","given":"Walter"},{"family":"Curhan","given":"Gary"}],"issued":{"date-parts":[["2004",4,17]]}}},{"id":1456,"uris":["http://zotero.org/users/local/AIjuh99d/items/RRK66WTR"],"itemData":{"id":1456,"type":"webpage","title":"The association of dietary intake of purine-rich vegetables, sugar-sweetened beverages and dairy with plasma urate, in a cross-sectional study - PubMed","URL":"https://pubmed.ncbi.nlm.nih.gov/22701608/","accessed":{"date-parts":[["2025",12,25]]}}}],"schema":"https://github.com/citation-style-language/schema/raw/master/csl-citation.json"} </w:instrText>
      </w:r>
      <w:r w:rsidR="00F84140">
        <w:fldChar w:fldCharType="separate"/>
      </w:r>
      <w:r w:rsidR="008C1222" w:rsidRPr="008C1222">
        <w:rPr>
          <w:vertAlign w:val="superscript"/>
        </w:rPr>
        <w:t>30,31</w:t>
      </w:r>
      <w:r w:rsidR="00F84140">
        <w:fldChar w:fldCharType="end"/>
      </w:r>
      <w:r w:rsidR="00F84140">
        <w:t xml:space="preserve"> </w:t>
      </w:r>
      <w:r w:rsidR="00A93AAD">
        <w:t>³⁰</w:t>
      </w:r>
      <w:r w:rsidR="00A93AAD">
        <w:rPr>
          <w:vertAlign w:val="superscript"/>
        </w:rPr>
        <w:t>,</w:t>
      </w:r>
      <w:r>
        <w:t>³¹ In our study, the prevalence was nearly identical between drinkers and non-drinkers (16.5% vs 16.7%). This may reflect the relatively modest alcohol consumption in our population, variations in the types of alcoholic beverages consumed, or recall bias in self-reported alcohol intake. Cultural factors may also play a role, as alcohol consumption patterns in Nigeria differ substantially from Western populations where many of these associations have been established.</w:t>
      </w:r>
    </w:p>
    <w:p w14:paraId="6DD5C5B3" w14:textId="77777777" w:rsidR="00F53FEA" w:rsidRDefault="002C641B">
      <w:pPr>
        <w:pStyle w:val="Heading2"/>
      </w:pPr>
      <w:r>
        <w:lastRenderedPageBreak/>
        <w:t>Age and Hyperuricemia</w:t>
      </w:r>
    </w:p>
    <w:p w14:paraId="3D0E4822" w14:textId="77777777" w:rsidR="00F53FEA" w:rsidRDefault="002C641B">
      <w:r>
        <w:t>While age did not show a statistically significant association with hyperuricemia in our study, the prevalence pattern across age groups is noteworthy. The highest prevalence was observed in the youngest age group (20-29 years, 22.2%), with the lowest in the 40-49 age group (8.5%), followed by relatively stable rates in older age groups. This differs from patterns reported in many Western populations, where hyperuricemia prevalence typically increases with age, particularly in women after menopause.</w:t>
      </w:r>
      <w:r w:rsidR="004C2F9A">
        <w:t xml:space="preserve"> </w:t>
      </w:r>
      <w:r w:rsidR="004C2F9A">
        <w:fldChar w:fldCharType="begin"/>
      </w:r>
      <w:r w:rsidR="007427A7">
        <w:instrText xml:space="preserve"> ADDIN ZOTERO_ITEM CSL_CITATION {"citationID":"4PMFIJqV","properties":{"formattedCitation":"\\super 32\\nosupersub{}","plainCitation":"32","noteIndex":0},"citationItems":[{"id":1461,"uris":["http://zotero.org/users/local/AIjuh99d/items/KZXDRQQQ"],"itemData":{"id":1461,"type":"article-journal","abstract":"OBJECTIVE: To estimate the prevalence of gout and hyperuricemia based on the latest nationally representative sample of US men and women (National Health and Nutrition Examination Survey [NHANES] 2007-2008).\nMETHODS: Using data from 5,707 participants in NHANES 2007-2008, we estimated the prevalence of gout and hyperuricemia. During home interviews for NHANES 2007-2008, all participants were asked about a history of health professional- or physician-diagnosed gout. Our primary definition of hyperuricemia was a serum urate level of &gt;7.0 mg/dl for men and &gt;5.7 mg/dl for women. We explored potential secular trends in these estimates and their possible explanations by comparing them with estimates based on 18,825 participants in NHANES-III (1988-1994).\nRESULTS: The prevalence of gout among US adults in 2007-2008 was 3.9% (8.3 million individuals). The prevalence among men was 5.9% (6.1 million), and the prevalence among women was 2.0% (2.2 million). The mean serum urate levels were 6.14 mg/dl among men and 4.87 mg/dl among women, corresponding to hyperuricemia prevalences of 21.2% and 21.6%, respectively. These estimates were higher than those in NHANES-III, with differences of 1.2% in the prevalence of gout (95% confidence interval [95% CI] 0.6, 1.9), 0.15 mg/dl in the serum urate level (95% CI 0.07, 0.24), and 3.2% in the prevalence of hyperuricemia (95% CI 1.2, 5.2). These differences were substantially attenuated after adjusting for body mass index and/or hypertension.\nCONCLUSION: These findings from nationally representative samples of US adults suggest that the prevalence of both gout and hyperuricemia remains substantial and may have increased over the past 2 decades, which is likely related to increasing frequencies of adiposity and hypertension.","container-title":"Arthritis and Rheumatism","DOI":"10.1002/art.30520","ISSN":"1529-0131","issue":"10","journalAbbreviation":"Arthritis Rheum","language":"eng","note":"PMID: 21800283","page":"3136-3141","source":"PubMed","title":"Prevalence of gout and hyperuricemia in the US general population: the National Health and Nutrition Examination Survey 2007-2008","title-short":"Prevalence of gout and hyperuricemia in the US general population","volume":"63","author":[{"family":"Zhu","given":"Yanyan"},{"family":"Pandya","given":"Bhavik J."},{"family":"Choi","given":"Hyon K."}],"issued":{"date-parts":[["2011",10]]}}}],"schema":"https://github.com/citation-style-language/schema/raw/master/csl-citation.json"} </w:instrText>
      </w:r>
      <w:r w:rsidR="004C2F9A">
        <w:fldChar w:fldCharType="separate"/>
      </w:r>
      <w:r w:rsidR="007427A7" w:rsidRPr="007427A7">
        <w:rPr>
          <w:vertAlign w:val="superscript"/>
        </w:rPr>
        <w:t>32</w:t>
      </w:r>
      <w:r w:rsidR="004C2F9A">
        <w:fldChar w:fldCharType="end"/>
      </w:r>
      <w:r>
        <w:t xml:space="preserve">³³ </w:t>
      </w:r>
      <w:proofErr w:type="gramStart"/>
      <w:r>
        <w:t>The</w:t>
      </w:r>
      <w:proofErr w:type="gramEnd"/>
      <w:r>
        <w:t xml:space="preserve"> elevated prevalence in young adults in our study may reflect lifestyle factors, including dietary habits and possibly alcohol and tobacco use, which may be more common in younger individuals in urban Nigerian settings. Alternatively, this could represent a cohort effect, with younger generations adopting more Western dietary patterns that increase hyperuricemia risk.</w:t>
      </w:r>
      <w:r w:rsidR="004C2F9A">
        <w:fldChar w:fldCharType="begin"/>
      </w:r>
      <w:r w:rsidR="007427A7">
        <w:instrText xml:space="preserve"> ADDIN ZOTERO_ITEM CSL_CITATION {"citationID":"KWzgXGN0","properties":{"formattedCitation":"\\super 33\\nosupersub{}","plainCitation":"33","noteIndex":0},"citationItems":[{"id":1463,"uris":["http://zotero.org/users/local/AIjuh99d/items/5Y7ZZIWU"],"itemData":{"id":1463,"type":"webpage","title":"Metabolic mechanism of dietary factors and effect of dietary types associated with hyperuricemia: a review","URL":"https://www.sciopen.com/article/10.26599/FSHW.2024.9250054","accessed":{"date-parts":[["2025",12,25]]}}}],"schema":"https://github.com/citation-style-language/schema/raw/master/csl-citation.json"} </w:instrText>
      </w:r>
      <w:r w:rsidR="004C2F9A">
        <w:fldChar w:fldCharType="separate"/>
      </w:r>
      <w:r w:rsidR="007427A7" w:rsidRPr="007427A7">
        <w:rPr>
          <w:vertAlign w:val="superscript"/>
        </w:rPr>
        <w:t>33</w:t>
      </w:r>
      <w:r w:rsidR="004C2F9A">
        <w:fldChar w:fldCharType="end"/>
      </w:r>
      <w:r w:rsidR="004C2F9A">
        <w:t xml:space="preserve"> </w:t>
      </w:r>
      <w:r>
        <w:t>³⁴</w:t>
      </w:r>
    </w:p>
    <w:p w14:paraId="67F20D9A" w14:textId="77777777" w:rsidR="00F53FEA" w:rsidRDefault="002C641B">
      <w:pPr>
        <w:pStyle w:val="Heading2"/>
      </w:pPr>
      <w:r>
        <w:t>Clinical Implications</w:t>
      </w:r>
    </w:p>
    <w:p w14:paraId="4C00B133" w14:textId="77777777" w:rsidR="00F53FEA" w:rsidRDefault="002C641B">
      <w:r>
        <w:t xml:space="preserve">The findings of this study have several clinical and public health implications for the Nigerian context. First, the identification of high seafood consumption as a significant risk factor is particularly relevant for coastal populations in the Niger Delta region. </w:t>
      </w:r>
      <w:r w:rsidR="005F2FC3">
        <w:t>Since</w:t>
      </w:r>
      <w:r>
        <w:t xml:space="preserve"> seafood </w:t>
      </w:r>
      <w:r w:rsidR="005F2FC3">
        <w:t>is staple in this region and has</w:t>
      </w:r>
      <w:r>
        <w:t xml:space="preserve"> important nutritional benefits including high-quality protein and omega-3 fatty acids, dietary counseling should address portion control and encourage diversity in protein sources. Healthcare providers in this region should be aware of this association and consider screening high-risk individuals, particularly men who consume large quantities of seafood daily.</w:t>
      </w:r>
    </w:p>
    <w:p w14:paraId="519ACCB7" w14:textId="77777777" w:rsidR="00F53FEA" w:rsidRDefault="002C641B">
      <w:r>
        <w:t xml:space="preserve">Second, the strong association with smoking adds to the </w:t>
      </w:r>
      <w:r w:rsidR="005F2FC3">
        <w:t>urgent need</w:t>
      </w:r>
      <w:r>
        <w:t xml:space="preserve"> for smoking cessation interventions</w:t>
      </w:r>
      <w:r w:rsidR="005F2FC3">
        <w:t xml:space="preserve"> in the region</w:t>
      </w:r>
      <w:r>
        <w:t>. While smoking rates in our study population were relatively low (10%), the more than two-fold increase in hyperuricemia risk among smokers underscores the importance of tobacco control efforts. Integrating screening for hyperuricemia into smoking cessation programs could provide additional motivation for behavior change and allow for early intervention.</w:t>
      </w:r>
    </w:p>
    <w:p w14:paraId="3AAC647E" w14:textId="77777777" w:rsidR="00F53FEA" w:rsidRDefault="002C641B">
      <w:r>
        <w:t>Third, the marked sex difference in hyperuricemia prevalence suggests that screening and preventive strategies should be particularly focused on men, especially those with additional risk factors such as high seafood consumption or smoking. Given that hyperuricemia often precedes the development of gout and is associated with cardiovascular and metabolic diseases, early identification and lifestyle modification in high-risk men could prevent these complications.</w:t>
      </w:r>
    </w:p>
    <w:p w14:paraId="029811B7" w14:textId="77777777" w:rsidR="00F53FEA" w:rsidRDefault="002C641B">
      <w:r>
        <w:lastRenderedPageBreak/>
        <w:t xml:space="preserve">Fourth, the relatively high overall prevalence (16.6%) in this general outpatient population suggests that hyperuricemia is a common condition that may be underdiagnosed in Nigerian healthcare settings. Routine serum uric acid measurement is not standard in many clinical contexts, and the condition is often only identified when patients present with gout. Our findings suggest that broader screening, at least in high-risk groups, may be </w:t>
      </w:r>
      <w:r w:rsidR="005F2FC3">
        <w:t>requir</w:t>
      </w:r>
      <w:r>
        <w:t>ed.</w:t>
      </w:r>
    </w:p>
    <w:p w14:paraId="1EEC4817" w14:textId="77777777" w:rsidR="00F53FEA" w:rsidRDefault="002C641B">
      <w:pPr>
        <w:pStyle w:val="Heading2"/>
      </w:pPr>
      <w:r>
        <w:t>Study Limitations</w:t>
      </w:r>
    </w:p>
    <w:p w14:paraId="69964D15" w14:textId="77777777" w:rsidR="005F2FC3" w:rsidRDefault="002C641B">
      <w:r>
        <w:t xml:space="preserve">Several limitations should be considered when interpreting these findings. First, the cross-sectional design prevents determination of causal relationships between risk factors and hyperuricemia. Prospective studies are needed to establish temporal sequences and confirm causal associations. Second, the study was conducted at a single tertiary </w:t>
      </w:r>
      <w:r w:rsidR="005F2FC3">
        <w:t>hospital</w:t>
      </w:r>
      <w:r>
        <w:t xml:space="preserve">, which may limit generalizability to other Nigerian populations or rural areas. </w:t>
      </w:r>
    </w:p>
    <w:p w14:paraId="46180E59" w14:textId="77777777" w:rsidR="00F53FEA" w:rsidRDefault="002C641B">
      <w:r>
        <w:t>Third, dietary assessment relied on self-reported questionnaires, which are subject to recall bias and social desirability bias. The categorization of seafood and meat consumption, while practical, may not capture the full complexity of dietary patterns or the variations in purine content across different types of seafood and meat. Quantitative food frequency questionnaires or food diaries would provide more detailed dietary data but were not feasible in this setting.</w:t>
      </w:r>
    </w:p>
    <w:p w14:paraId="23EB3F81" w14:textId="77777777" w:rsidR="00F53FEA" w:rsidRDefault="002C641B">
      <w:r>
        <w:t>Fourth, the sample size, while adequate for detecting the main associations observed, may have been insufficient to detect smaller effect sizes or associations with less common exposures. This likely explains some of the null findings, particularly for variables with small cell counts such as specific comorbidities. The low prevalence of smoking in our population (10%) may have limited statistical power to fully characterize this association.</w:t>
      </w:r>
    </w:p>
    <w:p w14:paraId="12F0032B" w14:textId="77777777" w:rsidR="00F53FEA" w:rsidRDefault="002C641B">
      <w:r>
        <w:t>Finally, residual confounding cannot be excluded. While we adjusted for multiple demographic and lifestyle factors through chi-square analysis, unmeasured confounders such as total energy intake, other dietary components, socioeconomic status, and genetic susceptibility may have influenced the observed associations.</w:t>
      </w:r>
    </w:p>
    <w:p w14:paraId="1CB65127" w14:textId="77777777" w:rsidR="00F53FEA" w:rsidRDefault="002C641B">
      <w:r>
        <w:t>.</w:t>
      </w:r>
    </w:p>
    <w:p w14:paraId="1954186A" w14:textId="77777777" w:rsidR="00F53FEA" w:rsidRDefault="002C641B">
      <w:pPr>
        <w:pStyle w:val="Heading2"/>
      </w:pPr>
      <w:r>
        <w:t>Conclusion</w:t>
      </w:r>
    </w:p>
    <w:p w14:paraId="4A396CC7" w14:textId="77777777" w:rsidR="00F53FEA" w:rsidRDefault="002C641B">
      <w:r>
        <w:t xml:space="preserve">This study provides </w:t>
      </w:r>
      <w:r w:rsidR="007427A7">
        <w:t>current data on</w:t>
      </w:r>
      <w:r>
        <w:t xml:space="preserve"> hyperuricemia prevalence and risk factors in a Nigerian urban population. The overall prevalence of 16.6% is consistent with rates reported in other developing countries and highlights hyperuricemia as a significant health concern in this population. The strong associations with male sex, smoking, and particularly high seafood </w:t>
      </w:r>
      <w:r>
        <w:lastRenderedPageBreak/>
        <w:t>consumption identify specific targets for preventive interventions. The seafood finding is particularly relevant for coastal Nigerian populations and other regions where fish constitutes a dietary staple.</w:t>
      </w:r>
    </w:p>
    <w:p w14:paraId="180EF912" w14:textId="77777777" w:rsidR="00F53FEA" w:rsidRDefault="002C641B">
      <w:r>
        <w:t>These findings underscore the need for increased awareness of hyperuricemia among healthcare providers and the public in Nigeria. Culturally appropriate dietary counseling that acknowledges the nutritional benefits of seafood while recommending moderation and diversity in protein sources may be an effective prevention strategy. Integration of smoking cessation efforts with metabolic risk reduction programs could address multiple risk factors simultaneously. Further research, particularly prospective studies and intervention trials, is needed to establish causal relationships and develop evidence-based prevention strategies tailored to the Nigerian context.</w:t>
      </w:r>
    </w:p>
    <w:p w14:paraId="14C6DA7B" w14:textId="77777777" w:rsidR="00F404CC" w:rsidRDefault="00F404CC">
      <w:bookmarkStart w:id="0" w:name="_GoBack"/>
      <w:bookmarkEnd w:id="0"/>
    </w:p>
    <w:p w14:paraId="3439F28C" w14:textId="77777777" w:rsidR="00F404CC" w:rsidRDefault="00F404CC" w:rsidP="00F404CC">
      <w:pPr>
        <w:pStyle w:val="Heading1"/>
      </w:pPr>
      <w:r>
        <w:t>REFERENCES</w:t>
      </w:r>
    </w:p>
    <w:p w14:paraId="2E1AB5C9" w14:textId="77777777" w:rsidR="007427A7" w:rsidRPr="007427A7" w:rsidRDefault="00F404CC" w:rsidP="007427A7">
      <w:pPr>
        <w:pStyle w:val="Bibliography"/>
      </w:pPr>
      <w:r>
        <w:fldChar w:fldCharType="begin"/>
      </w:r>
      <w:r w:rsidR="007427A7">
        <w:instrText xml:space="preserve"> ADDIN ZOTERO_BIBL {"uncited":[],"omitted":[],"custom":[]} CSL_BIBLIOGRAPHY </w:instrText>
      </w:r>
      <w:r>
        <w:fldChar w:fldCharType="separate"/>
      </w:r>
      <w:r w:rsidR="007427A7" w:rsidRPr="007427A7">
        <w:t>1.</w:t>
      </w:r>
      <w:r w:rsidR="007427A7" w:rsidRPr="007427A7">
        <w:tab/>
        <w:t xml:space="preserve">Chen, S. </w:t>
      </w:r>
      <w:r w:rsidR="007427A7" w:rsidRPr="007427A7">
        <w:rPr>
          <w:i/>
          <w:iCs/>
        </w:rPr>
        <w:t>et al.</w:t>
      </w:r>
      <w:r w:rsidR="007427A7" w:rsidRPr="007427A7">
        <w:t xml:space="preserve"> Global Epidemiology of Hyperuricemia: An Analysis of Trends Over the Past Decade. SSRN Scholarly Paper at https://doi.org/10.2139/ssrn.5145955 (2025).</w:t>
      </w:r>
    </w:p>
    <w:p w14:paraId="51BC9A17" w14:textId="77777777" w:rsidR="007427A7" w:rsidRPr="007427A7" w:rsidRDefault="007427A7" w:rsidP="007427A7">
      <w:pPr>
        <w:pStyle w:val="Bibliography"/>
      </w:pPr>
      <w:r w:rsidRPr="007427A7">
        <w:t>2.</w:t>
      </w:r>
      <w:r w:rsidRPr="007427A7">
        <w:tab/>
        <w:t xml:space="preserve">Du, L. </w:t>
      </w:r>
      <w:r w:rsidRPr="007427A7">
        <w:rPr>
          <w:i/>
          <w:iCs/>
        </w:rPr>
        <w:t>et al.</w:t>
      </w:r>
      <w:r w:rsidRPr="007427A7">
        <w:t xml:space="preserve"> Hyperuricemia and its related diseases: mechanisms and advances in therapy. </w:t>
      </w:r>
      <w:r w:rsidRPr="007427A7">
        <w:rPr>
          <w:i/>
          <w:iCs/>
        </w:rPr>
        <w:t>Sig Transduct Target Ther</w:t>
      </w:r>
      <w:r w:rsidRPr="007427A7">
        <w:t xml:space="preserve"> </w:t>
      </w:r>
      <w:r w:rsidRPr="007427A7">
        <w:rPr>
          <w:b/>
          <w:bCs/>
        </w:rPr>
        <w:t>9</w:t>
      </w:r>
      <w:r w:rsidRPr="007427A7">
        <w:t>, 212 (2024).</w:t>
      </w:r>
    </w:p>
    <w:p w14:paraId="4B70356D" w14:textId="77777777" w:rsidR="007427A7" w:rsidRPr="007427A7" w:rsidRDefault="007427A7" w:rsidP="007427A7">
      <w:pPr>
        <w:pStyle w:val="Bibliography"/>
      </w:pPr>
      <w:r w:rsidRPr="007427A7">
        <w:t>3.</w:t>
      </w:r>
      <w:r w:rsidRPr="007427A7">
        <w:tab/>
        <w:t>Update on the epidemiology, genetics, and therapeutic options of hyperuricemia - PMC. https://pmc.ncbi.nlm.nih.gov/articles/PMC7407685/.</w:t>
      </w:r>
    </w:p>
    <w:p w14:paraId="2ABE84F8" w14:textId="77777777" w:rsidR="007427A7" w:rsidRPr="007427A7" w:rsidRDefault="007427A7" w:rsidP="007427A7">
      <w:pPr>
        <w:pStyle w:val="Bibliography"/>
      </w:pPr>
      <w:r w:rsidRPr="007427A7">
        <w:t>4.</w:t>
      </w:r>
      <w:r w:rsidRPr="007427A7">
        <w:tab/>
        <w:t>Hyperuricemia - StatPearls - NCBI Bookshelf. https://www.ncbi.nlm.nih.gov/books/NBK459218/.</w:t>
      </w:r>
    </w:p>
    <w:p w14:paraId="69FFE6EC" w14:textId="77777777" w:rsidR="007427A7" w:rsidRPr="007427A7" w:rsidRDefault="007427A7" w:rsidP="007427A7">
      <w:pPr>
        <w:pStyle w:val="Bibliography"/>
      </w:pPr>
      <w:r w:rsidRPr="007427A7">
        <w:t>5.</w:t>
      </w:r>
      <w:r w:rsidRPr="007427A7">
        <w:tab/>
        <w:t xml:space="preserve">Borghi, C. </w:t>
      </w:r>
      <w:r w:rsidRPr="007427A7">
        <w:rPr>
          <w:i/>
          <w:iCs/>
        </w:rPr>
        <w:t>et al.</w:t>
      </w:r>
      <w:r w:rsidRPr="007427A7">
        <w:t xml:space="preserve"> Hyperuricaemia and gout in cardiovascular, metabolic and kidney disease. </w:t>
      </w:r>
      <w:r w:rsidRPr="007427A7">
        <w:rPr>
          <w:i/>
          <w:iCs/>
        </w:rPr>
        <w:t>Eur J Intern Med</w:t>
      </w:r>
      <w:r w:rsidRPr="007427A7">
        <w:t xml:space="preserve"> </w:t>
      </w:r>
      <w:r w:rsidRPr="007427A7">
        <w:rPr>
          <w:b/>
          <w:bCs/>
        </w:rPr>
        <w:t>80</w:t>
      </w:r>
      <w:r w:rsidRPr="007427A7">
        <w:t>, 1–11 (2020).</w:t>
      </w:r>
    </w:p>
    <w:p w14:paraId="194ADADB" w14:textId="77777777" w:rsidR="007427A7" w:rsidRPr="007427A7" w:rsidRDefault="007427A7" w:rsidP="007427A7">
      <w:pPr>
        <w:pStyle w:val="Bibliography"/>
      </w:pPr>
      <w:r w:rsidRPr="007427A7">
        <w:t>6.</w:t>
      </w:r>
      <w:r w:rsidRPr="007427A7">
        <w:tab/>
        <w:t>Asymptomatic hyperuricaemia: a silent activator of the innate immune system - PubMed. https://pubmed.ncbi.nlm.nih.gov/31822862/.</w:t>
      </w:r>
    </w:p>
    <w:p w14:paraId="67BAC558" w14:textId="77777777" w:rsidR="007427A7" w:rsidRPr="007427A7" w:rsidRDefault="007427A7" w:rsidP="007427A7">
      <w:pPr>
        <w:pStyle w:val="Bibliography"/>
      </w:pPr>
      <w:r w:rsidRPr="007427A7">
        <w:t>7.</w:t>
      </w:r>
      <w:r w:rsidRPr="007427A7">
        <w:tab/>
        <w:t xml:space="preserve">Mandal, A. K. &amp; Mount, D. B. The molecular physiology of uric acid homeostasis. </w:t>
      </w:r>
      <w:r w:rsidRPr="007427A7">
        <w:rPr>
          <w:i/>
          <w:iCs/>
        </w:rPr>
        <w:t>Annu Rev Physiol</w:t>
      </w:r>
      <w:r w:rsidRPr="007427A7">
        <w:t xml:space="preserve"> </w:t>
      </w:r>
      <w:r w:rsidRPr="007427A7">
        <w:rPr>
          <w:b/>
          <w:bCs/>
        </w:rPr>
        <w:t>77</w:t>
      </w:r>
      <w:r w:rsidRPr="007427A7">
        <w:t>, 323–345 (2015).</w:t>
      </w:r>
    </w:p>
    <w:p w14:paraId="0331AD3F" w14:textId="77777777" w:rsidR="007427A7" w:rsidRPr="007427A7" w:rsidRDefault="007427A7" w:rsidP="007427A7">
      <w:pPr>
        <w:pStyle w:val="Bibliography"/>
      </w:pPr>
      <w:r w:rsidRPr="007427A7">
        <w:lastRenderedPageBreak/>
        <w:t>8.</w:t>
      </w:r>
      <w:r w:rsidRPr="007427A7">
        <w:tab/>
        <w:t xml:space="preserve">Maiuolo, J., Oppedisano, F., Gratteri, S., Muscoli, C. &amp; Mollace, V. Regulation of uric acid metabolism and excretion. </w:t>
      </w:r>
      <w:r w:rsidRPr="007427A7">
        <w:rPr>
          <w:i/>
          <w:iCs/>
        </w:rPr>
        <w:t>Int J Cardiol</w:t>
      </w:r>
      <w:r w:rsidRPr="007427A7">
        <w:t xml:space="preserve"> </w:t>
      </w:r>
      <w:r w:rsidRPr="007427A7">
        <w:rPr>
          <w:b/>
          <w:bCs/>
        </w:rPr>
        <w:t>213</w:t>
      </w:r>
      <w:r w:rsidRPr="007427A7">
        <w:t>, 8–14 (2016).</w:t>
      </w:r>
    </w:p>
    <w:p w14:paraId="23CFE90F" w14:textId="77777777" w:rsidR="007427A7" w:rsidRPr="007427A7" w:rsidRDefault="007427A7" w:rsidP="007427A7">
      <w:pPr>
        <w:pStyle w:val="Bibliography"/>
      </w:pPr>
      <w:r w:rsidRPr="007427A7">
        <w:t>9.</w:t>
      </w:r>
      <w:r w:rsidRPr="007427A7">
        <w:tab/>
        <w:t>Obesity, weight change, hypertension, diuretic use, and risk of gout in men: the health professionals follow-up study - PubMed. https://pubmed.ncbi.nlm.nih.gov/15824292/.</w:t>
      </w:r>
    </w:p>
    <w:p w14:paraId="7A2CAD81" w14:textId="77777777" w:rsidR="007427A7" w:rsidRPr="007427A7" w:rsidRDefault="007427A7" w:rsidP="007427A7">
      <w:pPr>
        <w:pStyle w:val="Bibliography"/>
      </w:pPr>
      <w:r w:rsidRPr="007427A7">
        <w:t>10.</w:t>
      </w:r>
      <w:r w:rsidRPr="007427A7">
        <w:tab/>
        <w:t xml:space="preserve">Alemayehu, E. </w:t>
      </w:r>
      <w:r w:rsidRPr="007427A7">
        <w:rPr>
          <w:i/>
          <w:iCs/>
        </w:rPr>
        <w:t>et al.</w:t>
      </w:r>
      <w:r w:rsidRPr="007427A7">
        <w:t xml:space="preserve"> Prevalence of hyperuricemia among type 2 diabetes mellitus patients in Africa: a systematic review and meta-analysis. </w:t>
      </w:r>
      <w:r w:rsidRPr="007427A7">
        <w:rPr>
          <w:i/>
          <w:iCs/>
        </w:rPr>
        <w:t>BMC Endocr Disord</w:t>
      </w:r>
      <w:r w:rsidRPr="007427A7">
        <w:t xml:space="preserve"> </w:t>
      </w:r>
      <w:r w:rsidRPr="007427A7">
        <w:rPr>
          <w:b/>
          <w:bCs/>
        </w:rPr>
        <w:t>23</w:t>
      </w:r>
      <w:r w:rsidRPr="007427A7">
        <w:t>, 153 (2023).</w:t>
      </w:r>
    </w:p>
    <w:p w14:paraId="1F092287" w14:textId="77777777" w:rsidR="007427A7" w:rsidRPr="007427A7" w:rsidRDefault="007427A7" w:rsidP="007427A7">
      <w:pPr>
        <w:pStyle w:val="Bibliography"/>
      </w:pPr>
      <w:r w:rsidRPr="007427A7">
        <w:t>11.</w:t>
      </w:r>
      <w:r w:rsidRPr="007427A7">
        <w:tab/>
        <w:t xml:space="preserve">Kim, Y. J., Kim, S., Seo, J. H. &amp; Cho, S. K. Prevalence and Associations Between Metabolic Syndrome Components and Hyperuricemia by Race: Findings From US Population, 2011-2020. </w:t>
      </w:r>
      <w:r w:rsidRPr="007427A7">
        <w:rPr>
          <w:i/>
          <w:iCs/>
        </w:rPr>
        <w:t>Arthritis Care Res (Hoboken)</w:t>
      </w:r>
      <w:r w:rsidRPr="007427A7">
        <w:t xml:space="preserve"> </w:t>
      </w:r>
      <w:r w:rsidRPr="007427A7">
        <w:rPr>
          <w:b/>
          <w:bCs/>
        </w:rPr>
        <w:t>76</w:t>
      </w:r>
      <w:r w:rsidRPr="007427A7">
        <w:t>, 1195–1202 (2024).</w:t>
      </w:r>
    </w:p>
    <w:p w14:paraId="3C7E67D7" w14:textId="77777777" w:rsidR="007427A7" w:rsidRPr="007427A7" w:rsidRDefault="007427A7" w:rsidP="007427A7">
      <w:pPr>
        <w:pStyle w:val="Bibliography"/>
      </w:pPr>
      <w:r w:rsidRPr="007427A7">
        <w:t>12.</w:t>
      </w:r>
      <w:r w:rsidRPr="007427A7">
        <w:tab/>
        <w:t xml:space="preserve">Alikor, C. A., Emem-Chioma, P. C. &amp; Odia, O. J. Prevalence of hyperuricaemia in a rural population of Nigerian Niger Delta region. </w:t>
      </w:r>
      <w:r w:rsidRPr="007427A7">
        <w:rPr>
          <w:i/>
          <w:iCs/>
        </w:rPr>
        <w:t>Niger J Med</w:t>
      </w:r>
      <w:r w:rsidRPr="007427A7">
        <w:t xml:space="preserve"> </w:t>
      </w:r>
      <w:r w:rsidRPr="007427A7">
        <w:rPr>
          <w:b/>
          <w:bCs/>
        </w:rPr>
        <w:t>22</w:t>
      </w:r>
      <w:r w:rsidRPr="007427A7">
        <w:t>, 187–192 (2013).</w:t>
      </w:r>
    </w:p>
    <w:p w14:paraId="586271EE" w14:textId="77777777" w:rsidR="007427A7" w:rsidRPr="007427A7" w:rsidRDefault="007427A7" w:rsidP="007427A7">
      <w:pPr>
        <w:pStyle w:val="Bibliography"/>
      </w:pPr>
      <w:r w:rsidRPr="007427A7">
        <w:t>13.</w:t>
      </w:r>
      <w:r w:rsidRPr="007427A7">
        <w:tab/>
        <w:t xml:space="preserve">Hak, A. E. &amp; Choi, H. K. Menopause, postmenopausal hormone use and serum uric acid levels in US women--the Third National Health and Nutrition Examination Survey. </w:t>
      </w:r>
      <w:r w:rsidRPr="007427A7">
        <w:rPr>
          <w:i/>
          <w:iCs/>
        </w:rPr>
        <w:t>Arthritis Res Ther</w:t>
      </w:r>
      <w:r w:rsidRPr="007427A7">
        <w:t xml:space="preserve"> </w:t>
      </w:r>
      <w:r w:rsidRPr="007427A7">
        <w:rPr>
          <w:b/>
          <w:bCs/>
        </w:rPr>
        <w:t>10</w:t>
      </w:r>
      <w:r w:rsidRPr="007427A7">
        <w:t>, R116 (2008).</w:t>
      </w:r>
    </w:p>
    <w:p w14:paraId="53B99499" w14:textId="77777777" w:rsidR="007427A7" w:rsidRPr="007427A7" w:rsidRDefault="007427A7" w:rsidP="007427A7">
      <w:pPr>
        <w:pStyle w:val="Bibliography"/>
      </w:pPr>
      <w:r w:rsidRPr="007427A7">
        <w:t>14.</w:t>
      </w:r>
      <w:r w:rsidRPr="007427A7">
        <w:tab/>
        <w:t xml:space="preserve">Takiue, Y., Hosoyamada, M., Kimura, M. &amp; Saito, H. The effect of female hormones upon urate transport systems in the mouse kidney. </w:t>
      </w:r>
      <w:r w:rsidRPr="007427A7">
        <w:rPr>
          <w:i/>
          <w:iCs/>
        </w:rPr>
        <w:t>Nucleosides Nucleotides Nucleic Acids</w:t>
      </w:r>
      <w:r w:rsidRPr="007427A7">
        <w:t xml:space="preserve"> </w:t>
      </w:r>
      <w:r w:rsidRPr="007427A7">
        <w:rPr>
          <w:b/>
          <w:bCs/>
        </w:rPr>
        <w:t>30</w:t>
      </w:r>
      <w:r w:rsidRPr="007427A7">
        <w:t>, 113–119 (2011).</w:t>
      </w:r>
    </w:p>
    <w:p w14:paraId="118682F5" w14:textId="77777777" w:rsidR="007427A7" w:rsidRPr="007427A7" w:rsidRDefault="007427A7" w:rsidP="007427A7">
      <w:pPr>
        <w:pStyle w:val="Bibliography"/>
      </w:pPr>
      <w:r w:rsidRPr="007427A7">
        <w:t>15.</w:t>
      </w:r>
      <w:r w:rsidRPr="007427A7">
        <w:tab/>
        <w:t xml:space="preserve">Singh, G., Lingala, B. &amp; Mithal, A. Gout and hyperuricaemia in the USA: prevalence and trends. </w:t>
      </w:r>
      <w:r w:rsidRPr="007427A7">
        <w:rPr>
          <w:i/>
          <w:iCs/>
        </w:rPr>
        <w:t>Rheumatology (Oxford)</w:t>
      </w:r>
      <w:r w:rsidRPr="007427A7">
        <w:t xml:space="preserve"> </w:t>
      </w:r>
      <w:r w:rsidRPr="007427A7">
        <w:rPr>
          <w:b/>
          <w:bCs/>
        </w:rPr>
        <w:t>58</w:t>
      </w:r>
      <w:r w:rsidRPr="007427A7">
        <w:t>, 2177–2180 (2019).</w:t>
      </w:r>
    </w:p>
    <w:p w14:paraId="705AAE84" w14:textId="77777777" w:rsidR="007427A7" w:rsidRPr="007427A7" w:rsidRDefault="007427A7" w:rsidP="007427A7">
      <w:pPr>
        <w:pStyle w:val="Bibliography"/>
      </w:pPr>
      <w:r w:rsidRPr="007427A7">
        <w:t>16.</w:t>
      </w:r>
      <w:r w:rsidRPr="007427A7">
        <w:tab/>
        <w:t>Role of diet in hyperuricemia and gout - PubMed. https://pubmed.ncbi.nlm.nih.gov/34802900/.</w:t>
      </w:r>
    </w:p>
    <w:p w14:paraId="61E60306" w14:textId="77777777" w:rsidR="007427A7" w:rsidRPr="007427A7" w:rsidRDefault="007427A7" w:rsidP="007427A7">
      <w:pPr>
        <w:pStyle w:val="Bibliography"/>
      </w:pPr>
      <w:r w:rsidRPr="007427A7">
        <w:t>17.</w:t>
      </w:r>
      <w:r w:rsidRPr="007427A7">
        <w:tab/>
        <w:t>Environmental Triggers of Hyperuricemia and Gout - PMC. https://pmc.ncbi.nlm.nih.gov/articles/PMC10351897/.</w:t>
      </w:r>
    </w:p>
    <w:p w14:paraId="500EEDCC" w14:textId="77777777" w:rsidR="007427A7" w:rsidRPr="007427A7" w:rsidRDefault="007427A7" w:rsidP="007427A7">
      <w:pPr>
        <w:pStyle w:val="Bibliography"/>
      </w:pPr>
      <w:r w:rsidRPr="007427A7">
        <w:lastRenderedPageBreak/>
        <w:t>18.</w:t>
      </w:r>
      <w:r w:rsidRPr="007427A7">
        <w:tab/>
        <w:t>The Association between Purine-Rich Food Intake and Hyperuricemia: A Cross-Sectional Study in Chinese Adult Residents - PubMed. https://pubmed.ncbi.nlm.nih.gov/33334038/.</w:t>
      </w:r>
    </w:p>
    <w:p w14:paraId="67C5852C" w14:textId="77777777" w:rsidR="007427A7" w:rsidRPr="007427A7" w:rsidRDefault="007427A7" w:rsidP="007427A7">
      <w:pPr>
        <w:pStyle w:val="Bibliography"/>
      </w:pPr>
      <w:r w:rsidRPr="007427A7">
        <w:t>19.</w:t>
      </w:r>
      <w:r w:rsidRPr="007427A7">
        <w:tab/>
        <w:t>Purine-rich foods, protein intake, and the prevalence of hyperuricemia: the Shanghai Men’s Health Study - PubMed. https://pubmed.ncbi.nlm.nih.gov/21277179/.</w:t>
      </w:r>
    </w:p>
    <w:p w14:paraId="1F92CF90" w14:textId="77777777" w:rsidR="007427A7" w:rsidRPr="007427A7" w:rsidRDefault="007427A7" w:rsidP="007427A7">
      <w:pPr>
        <w:pStyle w:val="Bibliography"/>
      </w:pPr>
      <w:r w:rsidRPr="007427A7">
        <w:t>20.</w:t>
      </w:r>
      <w:r w:rsidRPr="007427A7">
        <w:tab/>
        <w:t>Purine Content of Foods : USDA ARS. https://www.ars.usda.gov/northeast-area/beltsville-md-bhnrc/beltsville-human-nutrition-research-center/methods-and-application-of-food-composition-laboratory/mafcl-site-pages/purine-content-of-foods/.</w:t>
      </w:r>
    </w:p>
    <w:p w14:paraId="5E319456" w14:textId="77777777" w:rsidR="007427A7" w:rsidRPr="007427A7" w:rsidRDefault="007427A7" w:rsidP="007427A7">
      <w:pPr>
        <w:pStyle w:val="Bibliography"/>
      </w:pPr>
      <w:r w:rsidRPr="007427A7">
        <w:t>21.</w:t>
      </w:r>
      <w:r w:rsidRPr="007427A7">
        <w:tab/>
        <w:t>Total purine and purine base content of common foodstuffs for facilitating nutritional therapy for gout and hyperuricemia - PubMed. https://pubmed.ncbi.nlm.nih.gov/24553148/.</w:t>
      </w:r>
    </w:p>
    <w:p w14:paraId="2F149CF5" w14:textId="77777777" w:rsidR="007427A7" w:rsidRPr="007427A7" w:rsidRDefault="007427A7" w:rsidP="007427A7">
      <w:pPr>
        <w:pStyle w:val="Bibliography"/>
      </w:pPr>
      <w:r w:rsidRPr="007427A7">
        <w:t>22.</w:t>
      </w:r>
      <w:r w:rsidRPr="007427A7">
        <w:tab/>
        <w:t xml:space="preserve">Fanning, N., Merriman, T. R., Dalbeth, N. &amp; Stamp, L. K. An association of smoking with serum urate and gout: A health paradox. </w:t>
      </w:r>
      <w:r w:rsidRPr="007427A7">
        <w:rPr>
          <w:i/>
          <w:iCs/>
        </w:rPr>
        <w:t>Seminars in Arthritis and Rheumatism</w:t>
      </w:r>
      <w:r w:rsidRPr="007427A7">
        <w:t xml:space="preserve"> </w:t>
      </w:r>
      <w:r w:rsidRPr="007427A7">
        <w:rPr>
          <w:b/>
          <w:bCs/>
        </w:rPr>
        <w:t>47</w:t>
      </w:r>
      <w:r w:rsidRPr="007427A7">
        <w:t>, 825–842 (2018).</w:t>
      </w:r>
    </w:p>
    <w:p w14:paraId="44D62431" w14:textId="77777777" w:rsidR="007427A7" w:rsidRPr="007427A7" w:rsidRDefault="007427A7" w:rsidP="007427A7">
      <w:pPr>
        <w:pStyle w:val="Bibliography"/>
      </w:pPr>
      <w:r w:rsidRPr="007427A7">
        <w:t>23.</w:t>
      </w:r>
      <w:r w:rsidRPr="007427A7">
        <w:tab/>
        <w:t xml:space="preserve">Haj Mouhamed, D. </w:t>
      </w:r>
      <w:r w:rsidRPr="007427A7">
        <w:rPr>
          <w:i/>
          <w:iCs/>
        </w:rPr>
        <w:t>et al.</w:t>
      </w:r>
      <w:r w:rsidRPr="007427A7">
        <w:t xml:space="preserve"> Effect of cigarette smoking on plasma uric acid concentrations. </w:t>
      </w:r>
      <w:r w:rsidRPr="007427A7">
        <w:rPr>
          <w:i/>
          <w:iCs/>
        </w:rPr>
        <w:t>Environ Health Prev Med</w:t>
      </w:r>
      <w:r w:rsidRPr="007427A7">
        <w:t xml:space="preserve"> </w:t>
      </w:r>
      <w:r w:rsidRPr="007427A7">
        <w:rPr>
          <w:b/>
          <w:bCs/>
        </w:rPr>
        <w:t>16</w:t>
      </w:r>
      <w:r w:rsidRPr="007427A7">
        <w:t>, 307–312 (2011).</w:t>
      </w:r>
    </w:p>
    <w:p w14:paraId="663746B0" w14:textId="77777777" w:rsidR="007427A7" w:rsidRPr="007427A7" w:rsidRDefault="007427A7" w:rsidP="007427A7">
      <w:pPr>
        <w:pStyle w:val="Bibliography"/>
      </w:pPr>
      <w:r w:rsidRPr="007427A7">
        <w:t>24.</w:t>
      </w:r>
      <w:r w:rsidRPr="007427A7">
        <w:tab/>
        <w:t xml:space="preserve">Zhang, W.-Z. </w:t>
      </w:r>
      <w:r w:rsidRPr="007427A7">
        <w:rPr>
          <w:i/>
          <w:iCs/>
        </w:rPr>
        <w:t>et al.</w:t>
      </w:r>
      <w:r w:rsidRPr="007427A7">
        <w:t xml:space="preserve"> A study on the correlation between hyperuricemia and lifestyle and dietary habits. </w:t>
      </w:r>
      <w:r w:rsidRPr="007427A7">
        <w:rPr>
          <w:i/>
          <w:iCs/>
        </w:rPr>
        <w:t>Medicine (Baltimore)</w:t>
      </w:r>
      <w:r w:rsidRPr="007427A7">
        <w:t xml:space="preserve"> </w:t>
      </w:r>
      <w:r w:rsidRPr="007427A7">
        <w:rPr>
          <w:b/>
          <w:bCs/>
        </w:rPr>
        <w:t>104</w:t>
      </w:r>
      <w:r w:rsidRPr="007427A7">
        <w:t>, e41399 (2025).</w:t>
      </w:r>
    </w:p>
    <w:p w14:paraId="719FB470" w14:textId="77777777" w:rsidR="007427A7" w:rsidRPr="007427A7" w:rsidRDefault="007427A7" w:rsidP="007427A7">
      <w:pPr>
        <w:pStyle w:val="Bibliography"/>
      </w:pPr>
      <w:r w:rsidRPr="007427A7">
        <w:t>25.</w:t>
      </w:r>
      <w:r w:rsidRPr="007427A7">
        <w:tab/>
        <w:t xml:space="preserve">Palmer, T. M. </w:t>
      </w:r>
      <w:r w:rsidRPr="007427A7">
        <w:rPr>
          <w:i/>
          <w:iCs/>
        </w:rPr>
        <w:t>et al.</w:t>
      </w:r>
      <w:r w:rsidRPr="007427A7">
        <w:t xml:space="preserve"> Association of plasma uric acid with ischaemic heart disease and blood pressure: mendelian randomisation analysis of two large cohorts. </w:t>
      </w:r>
      <w:r w:rsidRPr="007427A7">
        <w:rPr>
          <w:i/>
          <w:iCs/>
        </w:rPr>
        <w:t>BMJ</w:t>
      </w:r>
      <w:r w:rsidRPr="007427A7">
        <w:t xml:space="preserve"> </w:t>
      </w:r>
      <w:r w:rsidRPr="007427A7">
        <w:rPr>
          <w:b/>
          <w:bCs/>
        </w:rPr>
        <w:t>347</w:t>
      </w:r>
      <w:r w:rsidRPr="007427A7">
        <w:t>, f4262 (2013).</w:t>
      </w:r>
    </w:p>
    <w:p w14:paraId="16DA191D" w14:textId="77777777" w:rsidR="007427A7" w:rsidRPr="007427A7" w:rsidRDefault="007427A7" w:rsidP="007427A7">
      <w:pPr>
        <w:pStyle w:val="Bibliography"/>
      </w:pPr>
      <w:r w:rsidRPr="007427A7">
        <w:t>26.</w:t>
      </w:r>
      <w:r w:rsidRPr="007427A7">
        <w:tab/>
        <w:t xml:space="preserve">Tian, S., Liu, Y., Xu, Y. &amp; Feng, A. Does obesity modify the epidemiological association between hyperuricemia and the prevalence of hypertension among Northern Chinese community-dwelling people? A Chinese population-based study. </w:t>
      </w:r>
      <w:r w:rsidRPr="007427A7">
        <w:lastRenderedPageBreak/>
        <w:t>https://doi.org/10.1136/bmjopen-2019-031803 (2019) doi:10.1136/bmjopen-2019-031803.</w:t>
      </w:r>
    </w:p>
    <w:p w14:paraId="48021AB7" w14:textId="77777777" w:rsidR="007427A7" w:rsidRPr="007427A7" w:rsidRDefault="007427A7" w:rsidP="007427A7">
      <w:pPr>
        <w:pStyle w:val="Bibliography"/>
      </w:pPr>
      <w:r w:rsidRPr="007427A7">
        <w:t>27.</w:t>
      </w:r>
      <w:r w:rsidRPr="007427A7">
        <w:tab/>
        <w:t xml:space="preserve">Dehghan, A., van Hoek, M., Sijbrands, E. J. G., Hofman, A. &amp; Witteman, J. C. M. High serum uric acid as a novel risk factor for type 2 diabetes. </w:t>
      </w:r>
      <w:r w:rsidRPr="007427A7">
        <w:rPr>
          <w:i/>
          <w:iCs/>
        </w:rPr>
        <w:t>Diabetes Care</w:t>
      </w:r>
      <w:r w:rsidRPr="007427A7">
        <w:t xml:space="preserve"> </w:t>
      </w:r>
      <w:r w:rsidRPr="007427A7">
        <w:rPr>
          <w:b/>
          <w:bCs/>
        </w:rPr>
        <w:t>31</w:t>
      </w:r>
      <w:r w:rsidRPr="007427A7">
        <w:t>, 361–362 (2008).</w:t>
      </w:r>
    </w:p>
    <w:p w14:paraId="13C7CCA1" w14:textId="77777777" w:rsidR="007427A7" w:rsidRPr="007427A7" w:rsidRDefault="007427A7" w:rsidP="007427A7">
      <w:pPr>
        <w:pStyle w:val="Bibliography"/>
      </w:pPr>
      <w:r w:rsidRPr="007427A7">
        <w:t>28.</w:t>
      </w:r>
      <w:r w:rsidRPr="007427A7">
        <w:tab/>
        <w:t xml:space="preserve">Choi, H. K. </w:t>
      </w:r>
      <w:r w:rsidRPr="007427A7">
        <w:rPr>
          <w:i/>
          <w:iCs/>
        </w:rPr>
        <w:t>et al.</w:t>
      </w:r>
      <w:r w:rsidRPr="007427A7">
        <w:t xml:space="preserve"> Population Impact Attributable to Modifiable Risk Factors for Hyperuricemia. </w:t>
      </w:r>
      <w:r w:rsidRPr="007427A7">
        <w:rPr>
          <w:i/>
          <w:iCs/>
        </w:rPr>
        <w:t>Arthritis Rheumatol</w:t>
      </w:r>
      <w:r w:rsidRPr="007427A7">
        <w:t xml:space="preserve"> </w:t>
      </w:r>
      <w:r w:rsidRPr="007427A7">
        <w:rPr>
          <w:b/>
          <w:bCs/>
        </w:rPr>
        <w:t>72</w:t>
      </w:r>
      <w:r w:rsidRPr="007427A7">
        <w:t>, 157–165 (2020).</w:t>
      </w:r>
    </w:p>
    <w:p w14:paraId="7301F069" w14:textId="77777777" w:rsidR="007427A7" w:rsidRPr="007427A7" w:rsidRDefault="007427A7" w:rsidP="007427A7">
      <w:pPr>
        <w:pStyle w:val="Bibliography"/>
      </w:pPr>
      <w:r w:rsidRPr="007427A7">
        <w:t>29.</w:t>
      </w:r>
      <w:r w:rsidRPr="007427A7">
        <w:tab/>
        <w:t xml:space="preserve">Nakagawa, T. </w:t>
      </w:r>
      <w:r w:rsidRPr="007427A7">
        <w:rPr>
          <w:i/>
          <w:iCs/>
        </w:rPr>
        <w:t>et al.</w:t>
      </w:r>
      <w:r w:rsidRPr="007427A7">
        <w:t xml:space="preserve"> A causal role for uric acid in fructose-induced metabolic syndrome. </w:t>
      </w:r>
      <w:r w:rsidRPr="007427A7">
        <w:rPr>
          <w:i/>
          <w:iCs/>
        </w:rPr>
        <w:t>Am J Physiol Renal Physiol</w:t>
      </w:r>
      <w:r w:rsidRPr="007427A7">
        <w:t xml:space="preserve"> </w:t>
      </w:r>
      <w:r w:rsidRPr="007427A7">
        <w:rPr>
          <w:b/>
          <w:bCs/>
        </w:rPr>
        <w:t>290</w:t>
      </w:r>
      <w:r w:rsidRPr="007427A7">
        <w:t>, F625-631 (2006).</w:t>
      </w:r>
    </w:p>
    <w:p w14:paraId="2C70E7A1" w14:textId="77777777" w:rsidR="007427A7" w:rsidRPr="007427A7" w:rsidRDefault="007427A7" w:rsidP="007427A7">
      <w:pPr>
        <w:pStyle w:val="Bibliography"/>
      </w:pPr>
      <w:r w:rsidRPr="007427A7">
        <w:t>30.</w:t>
      </w:r>
      <w:r w:rsidRPr="007427A7">
        <w:tab/>
        <w:t xml:space="preserve">Choi, H. K., Atkinson, K., Karlson, E. W., Willett, W. &amp; Curhan, G. Alcohol intake and risk of incident gout in men: a prospective study. </w:t>
      </w:r>
      <w:r w:rsidRPr="007427A7">
        <w:rPr>
          <w:i/>
          <w:iCs/>
        </w:rPr>
        <w:t>Lancet</w:t>
      </w:r>
      <w:r w:rsidRPr="007427A7">
        <w:t xml:space="preserve"> </w:t>
      </w:r>
      <w:r w:rsidRPr="007427A7">
        <w:rPr>
          <w:b/>
          <w:bCs/>
        </w:rPr>
        <w:t>363</w:t>
      </w:r>
      <w:r w:rsidRPr="007427A7">
        <w:t>, 1277–1281 (2004).</w:t>
      </w:r>
    </w:p>
    <w:p w14:paraId="0272CC28" w14:textId="77777777" w:rsidR="007427A7" w:rsidRPr="007427A7" w:rsidRDefault="007427A7" w:rsidP="007427A7">
      <w:pPr>
        <w:pStyle w:val="Bibliography"/>
      </w:pPr>
      <w:r w:rsidRPr="007427A7">
        <w:t>31.</w:t>
      </w:r>
      <w:r w:rsidRPr="007427A7">
        <w:tab/>
        <w:t>The association of dietary intake of purine-rich vegetables, sugar-sweetened beverages and dairy with plasma urate, in a cross-sectional study - PubMed. https://pubmed.ncbi.nlm.nih.gov/22701608/.</w:t>
      </w:r>
    </w:p>
    <w:p w14:paraId="090EC4A5" w14:textId="77777777" w:rsidR="007427A7" w:rsidRPr="007427A7" w:rsidRDefault="007427A7" w:rsidP="007427A7">
      <w:pPr>
        <w:pStyle w:val="Bibliography"/>
      </w:pPr>
      <w:r w:rsidRPr="007427A7">
        <w:t>32.</w:t>
      </w:r>
      <w:r w:rsidRPr="007427A7">
        <w:tab/>
        <w:t xml:space="preserve">Zhu, Y., Pandya, B. J. &amp; Choi, H. K. Prevalence of gout and hyperuricemia in the US general population: the National Health and Nutrition Examination Survey 2007-2008. </w:t>
      </w:r>
      <w:r w:rsidRPr="007427A7">
        <w:rPr>
          <w:i/>
          <w:iCs/>
        </w:rPr>
        <w:t>Arthritis Rheum</w:t>
      </w:r>
      <w:r w:rsidRPr="007427A7">
        <w:t xml:space="preserve"> </w:t>
      </w:r>
      <w:r w:rsidRPr="007427A7">
        <w:rPr>
          <w:b/>
          <w:bCs/>
        </w:rPr>
        <w:t>63</w:t>
      </w:r>
      <w:r w:rsidRPr="007427A7">
        <w:t>, 3136–3141 (2011).</w:t>
      </w:r>
    </w:p>
    <w:p w14:paraId="169AA492" w14:textId="77777777" w:rsidR="007427A7" w:rsidRPr="007427A7" w:rsidRDefault="007427A7" w:rsidP="007427A7">
      <w:pPr>
        <w:pStyle w:val="Bibliography"/>
      </w:pPr>
      <w:r w:rsidRPr="007427A7">
        <w:t>33.</w:t>
      </w:r>
      <w:r w:rsidRPr="007427A7">
        <w:tab/>
        <w:t>Metabolic mechanism of dietary factors and effect of dietary types associated with hyperuricemia: a review. https://www.sciopen.com/article/10.26599/FSHW.2024.9250054.</w:t>
      </w:r>
    </w:p>
    <w:p w14:paraId="45A8291B" w14:textId="77777777" w:rsidR="00F404CC" w:rsidRDefault="00F404CC">
      <w:r>
        <w:fldChar w:fldCharType="end"/>
      </w:r>
    </w:p>
    <w:sectPr w:rsidR="00F404C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FDE05" w14:textId="77777777" w:rsidR="00155DD2" w:rsidRDefault="00155DD2" w:rsidP="00B00D1C">
      <w:pPr>
        <w:spacing w:line="240" w:lineRule="auto"/>
      </w:pPr>
      <w:r>
        <w:separator/>
      </w:r>
    </w:p>
  </w:endnote>
  <w:endnote w:type="continuationSeparator" w:id="0">
    <w:p w14:paraId="0471C08B" w14:textId="77777777" w:rsidR="00155DD2" w:rsidRDefault="00155DD2" w:rsidP="00B00D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EE37A" w14:textId="77777777" w:rsidR="00B00D1C" w:rsidRDefault="00B00D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40C08" w14:textId="77777777" w:rsidR="00B00D1C" w:rsidRDefault="00B00D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34273" w14:textId="77777777" w:rsidR="00B00D1C" w:rsidRDefault="00B00D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7A276" w14:textId="77777777" w:rsidR="00155DD2" w:rsidRDefault="00155DD2" w:rsidP="00B00D1C">
      <w:pPr>
        <w:spacing w:line="240" w:lineRule="auto"/>
      </w:pPr>
      <w:r>
        <w:separator/>
      </w:r>
    </w:p>
  </w:footnote>
  <w:footnote w:type="continuationSeparator" w:id="0">
    <w:p w14:paraId="3990163C" w14:textId="77777777" w:rsidR="00155DD2" w:rsidRDefault="00155DD2" w:rsidP="00B00D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D039F" w14:textId="53760E0B" w:rsidR="00B00D1C" w:rsidRDefault="00B00D1C">
    <w:pPr>
      <w:pStyle w:val="Header"/>
    </w:pPr>
    <w:r>
      <w:rPr>
        <w:noProof/>
      </w:rPr>
      <w:pict w14:anchorId="53DCAA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488313"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7DA73" w14:textId="1C52592F" w:rsidR="00B00D1C" w:rsidRDefault="00B00D1C">
    <w:pPr>
      <w:pStyle w:val="Header"/>
    </w:pPr>
    <w:r>
      <w:rPr>
        <w:noProof/>
      </w:rPr>
      <w:pict w14:anchorId="2C8243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488314"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D9E82" w14:textId="684CF0BF" w:rsidR="00B00D1C" w:rsidRDefault="00B00D1C">
    <w:pPr>
      <w:pStyle w:val="Header"/>
    </w:pPr>
    <w:r>
      <w:rPr>
        <w:noProof/>
      </w:rPr>
      <w:pict w14:anchorId="4A34D7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488312"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8178BD"/>
    <w:multiLevelType w:val="hybridMultilevel"/>
    <w:tmpl w:val="67F81A20"/>
    <w:lvl w:ilvl="0" w:tplc="A93273BC">
      <w:start w:val="1"/>
      <w:numFmt w:val="bullet"/>
      <w:lvlText w:val="●"/>
      <w:lvlJc w:val="left"/>
      <w:pPr>
        <w:ind w:left="720" w:hanging="360"/>
      </w:pPr>
    </w:lvl>
    <w:lvl w:ilvl="1" w:tplc="756656A4">
      <w:start w:val="1"/>
      <w:numFmt w:val="bullet"/>
      <w:lvlText w:val="○"/>
      <w:lvlJc w:val="left"/>
      <w:pPr>
        <w:ind w:left="1440" w:hanging="360"/>
      </w:pPr>
    </w:lvl>
    <w:lvl w:ilvl="2" w:tplc="58FC3F90">
      <w:start w:val="1"/>
      <w:numFmt w:val="bullet"/>
      <w:lvlText w:val="■"/>
      <w:lvlJc w:val="left"/>
      <w:pPr>
        <w:ind w:left="2160" w:hanging="360"/>
      </w:pPr>
    </w:lvl>
    <w:lvl w:ilvl="3" w:tplc="FE1ABD54">
      <w:start w:val="1"/>
      <w:numFmt w:val="bullet"/>
      <w:lvlText w:val="●"/>
      <w:lvlJc w:val="left"/>
      <w:pPr>
        <w:ind w:left="2880" w:hanging="360"/>
      </w:pPr>
    </w:lvl>
    <w:lvl w:ilvl="4" w:tplc="B6521D96">
      <w:start w:val="1"/>
      <w:numFmt w:val="bullet"/>
      <w:lvlText w:val="○"/>
      <w:lvlJc w:val="left"/>
      <w:pPr>
        <w:ind w:left="3600" w:hanging="360"/>
      </w:pPr>
    </w:lvl>
    <w:lvl w:ilvl="5" w:tplc="89EA5BB4">
      <w:start w:val="1"/>
      <w:numFmt w:val="bullet"/>
      <w:lvlText w:val="■"/>
      <w:lvlJc w:val="left"/>
      <w:pPr>
        <w:ind w:left="4320" w:hanging="360"/>
      </w:pPr>
    </w:lvl>
    <w:lvl w:ilvl="6" w:tplc="6DA23B52">
      <w:start w:val="1"/>
      <w:numFmt w:val="bullet"/>
      <w:lvlText w:val="●"/>
      <w:lvlJc w:val="left"/>
      <w:pPr>
        <w:ind w:left="5040" w:hanging="360"/>
      </w:pPr>
    </w:lvl>
    <w:lvl w:ilvl="7" w:tplc="1E305FD0">
      <w:start w:val="1"/>
      <w:numFmt w:val="bullet"/>
      <w:lvlText w:val="●"/>
      <w:lvlJc w:val="left"/>
      <w:pPr>
        <w:ind w:left="5760" w:hanging="360"/>
      </w:pPr>
    </w:lvl>
    <w:lvl w:ilvl="8" w:tplc="468E466A">
      <w:start w:val="1"/>
      <w:numFmt w:val="bullet"/>
      <w:lvlText w:val="●"/>
      <w:lvlJc w:val="left"/>
      <w:pPr>
        <w:ind w:left="6480" w:hanging="360"/>
      </w:pPr>
    </w:lvl>
  </w:abstractNum>
  <w:abstractNum w:abstractNumId="1" w15:restartNumberingAfterBreak="0">
    <w:nsid w:val="63EE5AAC"/>
    <w:multiLevelType w:val="hybridMultilevel"/>
    <w:tmpl w:val="999A2BE2"/>
    <w:lvl w:ilvl="0" w:tplc="C9AEA042">
      <w:start w:val="1"/>
      <w:numFmt w:val="decimal"/>
      <w:lvlText w:val="%1."/>
      <w:lvlJc w:val="left"/>
      <w:pPr>
        <w:ind w:left="540" w:hanging="360"/>
      </w:pPr>
    </w:lvl>
    <w:lvl w:ilvl="1" w:tplc="A02C4C28">
      <w:numFmt w:val="decimal"/>
      <w:lvlText w:val=""/>
      <w:lvlJc w:val="left"/>
    </w:lvl>
    <w:lvl w:ilvl="2" w:tplc="2BEA0A88">
      <w:numFmt w:val="decimal"/>
      <w:lvlText w:val=""/>
      <w:lvlJc w:val="left"/>
    </w:lvl>
    <w:lvl w:ilvl="3" w:tplc="87506FD4">
      <w:numFmt w:val="decimal"/>
      <w:lvlText w:val=""/>
      <w:lvlJc w:val="left"/>
    </w:lvl>
    <w:lvl w:ilvl="4" w:tplc="8C1EEC5A">
      <w:numFmt w:val="decimal"/>
      <w:lvlText w:val=""/>
      <w:lvlJc w:val="left"/>
    </w:lvl>
    <w:lvl w:ilvl="5" w:tplc="D3364E26">
      <w:numFmt w:val="decimal"/>
      <w:lvlText w:val=""/>
      <w:lvlJc w:val="left"/>
    </w:lvl>
    <w:lvl w:ilvl="6" w:tplc="5B5426FE">
      <w:numFmt w:val="decimal"/>
      <w:lvlText w:val=""/>
      <w:lvlJc w:val="left"/>
    </w:lvl>
    <w:lvl w:ilvl="7" w:tplc="5CC8DA84">
      <w:numFmt w:val="decimal"/>
      <w:lvlText w:val=""/>
      <w:lvlJc w:val="left"/>
    </w:lvl>
    <w:lvl w:ilvl="8" w:tplc="A558AD7E">
      <w:numFmt w:val="decimal"/>
      <w:lvlText w:val=""/>
      <w:lvlJc w:val="left"/>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FEA"/>
    <w:rsid w:val="0005003D"/>
    <w:rsid w:val="000C2373"/>
    <w:rsid w:val="00117232"/>
    <w:rsid w:val="00155DD2"/>
    <w:rsid w:val="001F6A2A"/>
    <w:rsid w:val="002B7C89"/>
    <w:rsid w:val="002C641B"/>
    <w:rsid w:val="0036152D"/>
    <w:rsid w:val="003E57E7"/>
    <w:rsid w:val="004870B1"/>
    <w:rsid w:val="004B0265"/>
    <w:rsid w:val="004C2F9A"/>
    <w:rsid w:val="0059087B"/>
    <w:rsid w:val="005F2FC3"/>
    <w:rsid w:val="006624FF"/>
    <w:rsid w:val="006E3804"/>
    <w:rsid w:val="00707201"/>
    <w:rsid w:val="00713071"/>
    <w:rsid w:val="007427A7"/>
    <w:rsid w:val="007467C8"/>
    <w:rsid w:val="007B1D3F"/>
    <w:rsid w:val="007D0749"/>
    <w:rsid w:val="00802FE3"/>
    <w:rsid w:val="0085698B"/>
    <w:rsid w:val="008C1222"/>
    <w:rsid w:val="00906C4E"/>
    <w:rsid w:val="009076C2"/>
    <w:rsid w:val="00953022"/>
    <w:rsid w:val="00A1225D"/>
    <w:rsid w:val="00A21FBE"/>
    <w:rsid w:val="00A93AAD"/>
    <w:rsid w:val="00A93EF5"/>
    <w:rsid w:val="00AD3A60"/>
    <w:rsid w:val="00B00D1C"/>
    <w:rsid w:val="00B818F1"/>
    <w:rsid w:val="00B96FFA"/>
    <w:rsid w:val="00BC4400"/>
    <w:rsid w:val="00C86B54"/>
    <w:rsid w:val="00CB189E"/>
    <w:rsid w:val="00D34A25"/>
    <w:rsid w:val="00D52FDB"/>
    <w:rsid w:val="00D73C2B"/>
    <w:rsid w:val="00D767AC"/>
    <w:rsid w:val="00E04965"/>
    <w:rsid w:val="00E31FFA"/>
    <w:rsid w:val="00EC1ED0"/>
    <w:rsid w:val="00F404CC"/>
    <w:rsid w:val="00F53FEA"/>
    <w:rsid w:val="00F67EF1"/>
    <w:rsid w:val="00F84140"/>
    <w:rsid w:val="00FD6768"/>
    <w:rsid w:val="00FE0FAD"/>
    <w:rsid w:val="00FF1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29DD77"/>
  <w15:docId w15:val="{427EB7A1-F612-42CD-8167-D70508388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link w:val="Heading1Char"/>
    <w:qFormat/>
    <w:pPr>
      <w:spacing w:before="240" w:after="120"/>
      <w:outlineLvl w:val="0"/>
    </w:pPr>
    <w:rPr>
      <w:b/>
      <w:bCs/>
      <w:color w:val="000000"/>
    </w:rPr>
  </w:style>
  <w:style w:type="paragraph" w:styleId="Heading2">
    <w:name w:val="heading 2"/>
    <w:qFormat/>
    <w:pPr>
      <w:spacing w:before="180" w:after="120"/>
      <w:outlineLvl w:val="1"/>
    </w:pPr>
    <w:rPr>
      <w:b/>
      <w:bCs/>
      <w:i/>
      <w:iCs/>
      <w:color w:val="000000"/>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pPr>
      <w:spacing w:before="240" w:after="120"/>
      <w:jc w:val="center"/>
    </w:pPr>
    <w:rPr>
      <w:b/>
      <w:bCs/>
      <w:color w:val="000000"/>
      <w:sz w:val="28"/>
      <w:szCs w:val="28"/>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customStyle="1" w:styleId="Heading1Char">
    <w:name w:val="Heading 1 Char"/>
    <w:basedOn w:val="DefaultParagraphFont"/>
    <w:link w:val="Heading1"/>
    <w:rsid w:val="00F404CC"/>
    <w:rPr>
      <w:b/>
      <w:bCs/>
      <w:color w:val="000000"/>
    </w:rPr>
  </w:style>
  <w:style w:type="paragraph" w:styleId="Bibliography">
    <w:name w:val="Bibliography"/>
    <w:basedOn w:val="Normal"/>
    <w:next w:val="Normal"/>
    <w:uiPriority w:val="37"/>
    <w:unhideWhenUsed/>
    <w:rsid w:val="00F404CC"/>
    <w:pPr>
      <w:tabs>
        <w:tab w:val="left" w:pos="384"/>
      </w:tabs>
      <w:spacing w:line="480" w:lineRule="auto"/>
      <w:ind w:left="384" w:hanging="384"/>
    </w:pPr>
  </w:style>
  <w:style w:type="character" w:styleId="UnresolvedMention">
    <w:name w:val="Unresolved Mention"/>
    <w:basedOn w:val="DefaultParagraphFont"/>
    <w:uiPriority w:val="99"/>
    <w:semiHidden/>
    <w:unhideWhenUsed/>
    <w:rsid w:val="001F6A2A"/>
    <w:rPr>
      <w:color w:val="605E5C"/>
      <w:shd w:val="clear" w:color="auto" w:fill="E1DFDD"/>
    </w:rPr>
  </w:style>
  <w:style w:type="table" w:styleId="TableGrid">
    <w:name w:val="Table Grid"/>
    <w:basedOn w:val="TableNormal"/>
    <w:uiPriority w:val="59"/>
    <w:rsid w:val="001F6A2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0D1C"/>
    <w:pPr>
      <w:tabs>
        <w:tab w:val="center" w:pos="4680"/>
        <w:tab w:val="right" w:pos="9360"/>
      </w:tabs>
      <w:spacing w:line="240" w:lineRule="auto"/>
    </w:pPr>
  </w:style>
  <w:style w:type="character" w:customStyle="1" w:styleId="HeaderChar">
    <w:name w:val="Header Char"/>
    <w:basedOn w:val="DefaultParagraphFont"/>
    <w:link w:val="Header"/>
    <w:uiPriority w:val="99"/>
    <w:rsid w:val="00B00D1C"/>
  </w:style>
  <w:style w:type="paragraph" w:styleId="Footer">
    <w:name w:val="footer"/>
    <w:basedOn w:val="Normal"/>
    <w:link w:val="FooterChar"/>
    <w:uiPriority w:val="99"/>
    <w:unhideWhenUsed/>
    <w:rsid w:val="00B00D1C"/>
    <w:pPr>
      <w:tabs>
        <w:tab w:val="center" w:pos="4680"/>
        <w:tab w:val="right" w:pos="9360"/>
      </w:tabs>
      <w:spacing w:line="240" w:lineRule="auto"/>
    </w:pPr>
  </w:style>
  <w:style w:type="character" w:customStyle="1" w:styleId="FooterChar">
    <w:name w:val="Footer Char"/>
    <w:basedOn w:val="DefaultParagraphFont"/>
    <w:link w:val="Footer"/>
    <w:uiPriority w:val="99"/>
    <w:rsid w:val="00B00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897683">
      <w:bodyDiv w:val="1"/>
      <w:marLeft w:val="0"/>
      <w:marRight w:val="0"/>
      <w:marTop w:val="0"/>
      <w:marBottom w:val="0"/>
      <w:divBdr>
        <w:top w:val="none" w:sz="0" w:space="0" w:color="auto"/>
        <w:left w:val="none" w:sz="0" w:space="0" w:color="auto"/>
        <w:bottom w:val="none" w:sz="0" w:space="0" w:color="auto"/>
        <w:right w:val="none" w:sz="0" w:space="0" w:color="auto"/>
      </w:divBdr>
    </w:div>
    <w:div w:id="887448502">
      <w:bodyDiv w:val="1"/>
      <w:marLeft w:val="0"/>
      <w:marRight w:val="0"/>
      <w:marTop w:val="0"/>
      <w:marBottom w:val="0"/>
      <w:divBdr>
        <w:top w:val="none" w:sz="0" w:space="0" w:color="auto"/>
        <w:left w:val="none" w:sz="0" w:space="0" w:color="auto"/>
        <w:bottom w:val="none" w:sz="0" w:space="0" w:color="auto"/>
        <w:right w:val="none" w:sz="0" w:space="0" w:color="auto"/>
      </w:divBdr>
    </w:div>
    <w:div w:id="1913923649">
      <w:bodyDiv w:val="1"/>
      <w:marLeft w:val="0"/>
      <w:marRight w:val="0"/>
      <w:marTop w:val="0"/>
      <w:marBottom w:val="0"/>
      <w:divBdr>
        <w:top w:val="none" w:sz="0" w:space="0" w:color="auto"/>
        <w:left w:val="none" w:sz="0" w:space="0" w:color="auto"/>
        <w:bottom w:val="none" w:sz="0" w:space="0" w:color="auto"/>
        <w:right w:val="none" w:sz="0" w:space="0" w:color="auto"/>
      </w:divBdr>
    </w:div>
    <w:div w:id="1970622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16</Pages>
  <Words>11845</Words>
  <Characters>67517</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PC 1170</cp:lastModifiedBy>
  <cp:revision>16</cp:revision>
  <dcterms:created xsi:type="dcterms:W3CDTF">2026-02-21T22:56:00Z</dcterms:created>
  <dcterms:modified xsi:type="dcterms:W3CDTF">2026-02-23T06:22:00Z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id="Af4lOHpB"/&gt;&lt;style id="http://www.zotero.org/styles/nature" hasBibliography="1" bibliographyStyleHasBeenSet="1"/&gt;&lt;prefs&gt;&lt;pref name="fieldType" value="Field"/&gt;&lt;/prefs&gt;&lt;/data&gt;</vt:lpwstr>
  </property>
</Properties>
</file>