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46A7B" w14:textId="10C9A140" w:rsidR="00A60B62" w:rsidRDefault="00DC158F">
      <w:pPr>
        <w:spacing w:before="240" w:after="240" w:line="276" w:lineRule="auto"/>
        <w:jc w:val="center"/>
        <w:rPr>
          <w:rFonts w:ascii="Arial" w:eastAsia="Arial" w:hAnsi="Arial" w:cs="Arial"/>
          <w:b/>
          <w:bCs/>
          <w:sz w:val="24"/>
          <w:szCs w:val="24"/>
        </w:rPr>
      </w:pPr>
      <w:bookmarkStart w:id="0" w:name="_heading=h.ydrb4ezawgle" w:colFirst="0" w:colLast="0"/>
      <w:bookmarkEnd w:id="0"/>
      <w:r>
        <w:rPr>
          <w:rFonts w:ascii="Arial" w:eastAsia="Arial" w:hAnsi="Arial" w:cs="Arial"/>
          <w:b/>
          <w:bCs/>
          <w:sz w:val="24"/>
          <w:szCs w:val="24"/>
        </w:rPr>
        <w:t xml:space="preserve">PREVALENCE OF SYMPTOMS OF TEMPOROMANDIBULAR DYSFUNCTION, ANXIETY, AND DEPRESSION IN THE HOMELESS </w:t>
      </w:r>
      <w:r w:rsidR="00414A79">
        <w:rPr>
          <w:rFonts w:ascii="Arial" w:eastAsia="Arial" w:hAnsi="Arial" w:cs="Arial"/>
          <w:b/>
          <w:bCs/>
          <w:sz w:val="24"/>
          <w:szCs w:val="24"/>
        </w:rPr>
        <w:t>PEOPLE</w:t>
      </w:r>
      <w:r>
        <w:rPr>
          <w:rFonts w:ascii="Arial" w:eastAsia="Arial" w:hAnsi="Arial" w:cs="Arial"/>
          <w:b/>
          <w:bCs/>
          <w:sz w:val="24"/>
          <w:szCs w:val="24"/>
        </w:rPr>
        <w:t xml:space="preserve"> IN THE FEDERAL DISTRICT - BRAZIL</w:t>
      </w:r>
    </w:p>
    <w:p w14:paraId="0152185B" w14:textId="77777777" w:rsidR="0087014A" w:rsidRDefault="0087014A">
      <w:pPr>
        <w:spacing w:before="120" w:after="120" w:line="360" w:lineRule="auto"/>
        <w:jc w:val="both"/>
        <w:rPr>
          <w:rFonts w:ascii="Arial" w:eastAsia="Arial" w:hAnsi="Arial" w:cs="Arial"/>
          <w:b/>
          <w:bCs/>
          <w:sz w:val="24"/>
          <w:szCs w:val="24"/>
        </w:rPr>
      </w:pPr>
      <w:bookmarkStart w:id="1" w:name="_heading=h.uoy2p5z7f92d" w:colFirst="0" w:colLast="0"/>
      <w:bookmarkEnd w:id="1"/>
    </w:p>
    <w:p w14:paraId="66FD0DF6" w14:textId="77777777" w:rsidR="0087014A" w:rsidRDefault="0087014A">
      <w:pPr>
        <w:spacing w:before="120" w:after="120" w:line="360" w:lineRule="auto"/>
        <w:jc w:val="both"/>
        <w:rPr>
          <w:rFonts w:ascii="Arial" w:eastAsia="Arial" w:hAnsi="Arial" w:cs="Arial"/>
          <w:b/>
          <w:bCs/>
          <w:sz w:val="24"/>
          <w:szCs w:val="24"/>
        </w:rPr>
      </w:pPr>
    </w:p>
    <w:p w14:paraId="70ED9ECC" w14:textId="457CFCDA" w:rsidR="00A60B62" w:rsidRDefault="00DC158F">
      <w:pPr>
        <w:spacing w:before="120" w:after="120" w:line="360" w:lineRule="auto"/>
        <w:jc w:val="both"/>
      </w:pPr>
      <w:r>
        <w:rPr>
          <w:rFonts w:ascii="Arial" w:eastAsia="Arial" w:hAnsi="Arial" w:cs="Arial"/>
          <w:b/>
          <w:bCs/>
          <w:sz w:val="24"/>
          <w:szCs w:val="24"/>
        </w:rPr>
        <w:t>ABSTRACT</w:t>
      </w:r>
    </w:p>
    <w:p w14:paraId="66F1F071" w14:textId="77777777" w:rsidR="00A60B62" w:rsidRDefault="00DC158F">
      <w:pPr>
        <w:jc w:val="both"/>
        <w:rPr>
          <w:rFonts w:ascii="Arial" w:eastAsia="Arial" w:hAnsi="Arial" w:cs="Arial"/>
          <w:sz w:val="24"/>
          <w:szCs w:val="24"/>
        </w:rPr>
      </w:pPr>
      <w:sdt>
        <w:sdtPr>
          <w:tag w:val="goog_rdk_0"/>
          <w:id w:val="169478939"/>
        </w:sdtPr>
        <w:sdtEndPr/>
        <w:sdtContent>
          <w:r>
            <w:rPr>
              <w:rFonts w:ascii="Arial Unicode MS" w:eastAsia="Arial Unicode MS" w:hAnsi="Arial Unicode MS" w:cs="Arial Unicode MS"/>
              <w:sz w:val="24"/>
              <w:szCs w:val="24"/>
            </w:rPr>
            <w:t xml:space="preserve">Social vulnerability can trigger various disorders due to everyday factors that compromise quality of life and influence physical pain. This study aimed to evaluate the </w:t>
          </w:r>
          <w:r>
            <w:rPr>
              <w:rFonts w:ascii="Arial Unicode MS" w:eastAsia="Arial Unicode MS" w:hAnsi="Arial Unicode MS" w:cs="Arial Unicode MS"/>
              <w:sz w:val="24"/>
              <w:szCs w:val="24"/>
            </w:rPr>
            <w:t xml:space="preserve">prevalence of symptoms of temporomandibular dysfunction (TMD), anxiety, and depression in homeless individuals. Sociodemographic questionnaires, the Diagnostic Criteria for Research (DC/TMD) symptom questionnaire, and the Hospital Anxiety Depression Scale </w:t>
          </w:r>
          <w:r>
            <w:rPr>
              <w:rFonts w:ascii="Arial Unicode MS" w:eastAsia="Arial Unicode MS" w:hAnsi="Arial Unicode MS" w:cs="Arial Unicode MS"/>
              <w:sz w:val="24"/>
              <w:szCs w:val="24"/>
            </w:rPr>
            <w:t>(HAD) were applied to 40 homeless individuals in Brasília/DF. Student's t-test, Mann-Whitney U test, chi-square test, and Cohen's d'Or with Hedges correction were used to evaluate the study variables in SPSS, considering a significance level of 5% (p≤0.05)</w:t>
          </w:r>
          <w:r>
            <w:rPr>
              <w:rFonts w:ascii="Arial Unicode MS" w:eastAsia="Arial Unicode MS" w:hAnsi="Arial Unicode MS" w:cs="Arial Unicode MS"/>
              <w:sz w:val="24"/>
              <w:szCs w:val="24"/>
            </w:rPr>
            <w:t>. The results indicated that being homeless is not a statistically significant factor in the development of TMDs; however, the homeless population showed higher scores in anxiety and depression, with a higher prevalence of chronic pain, especially in women</w:t>
          </w:r>
          <w:r>
            <w:rPr>
              <w:rFonts w:ascii="Arial Unicode MS" w:eastAsia="Arial Unicode MS" w:hAnsi="Arial Unicode MS" w:cs="Arial Unicode MS"/>
              <w:sz w:val="24"/>
              <w:szCs w:val="24"/>
            </w:rPr>
            <w:t>. The association between anxiety, depression, and chronic pain may increase the risk or worsening of temporomandibular disorders (TMD) in homeless individuals. This highlights the importance of conducting further studies that explore other factors and cre</w:t>
          </w:r>
          <w:r>
            <w:rPr>
              <w:rFonts w:ascii="Arial Unicode MS" w:eastAsia="Arial Unicode MS" w:hAnsi="Arial Unicode MS" w:cs="Arial Unicode MS"/>
              <w:sz w:val="24"/>
              <w:szCs w:val="24"/>
            </w:rPr>
            <w:t>ating public policies that ensure more appropriate diagnosis and treatment for this population. It is also crucial to better understand how psychological problems affect how these individuals perceive their own health.</w:t>
          </w:r>
        </w:sdtContent>
      </w:sdt>
    </w:p>
    <w:p w14:paraId="6AA21476" w14:textId="77777777" w:rsidR="00A60B62" w:rsidRDefault="00A60B62">
      <w:pPr>
        <w:jc w:val="both"/>
        <w:rPr>
          <w:rFonts w:ascii="Arial" w:eastAsia="Arial" w:hAnsi="Arial" w:cs="Arial"/>
          <w:color w:val="C0504D"/>
          <w:sz w:val="24"/>
          <w:szCs w:val="24"/>
        </w:rPr>
      </w:pPr>
      <w:bookmarkStart w:id="2" w:name="_heading=h.xup3nhqby2zj" w:colFirst="0" w:colLast="0"/>
      <w:bookmarkEnd w:id="2"/>
    </w:p>
    <w:p w14:paraId="66F7E4E8" w14:textId="77777777" w:rsidR="00A60B62" w:rsidRDefault="00DC158F">
      <w:pPr>
        <w:spacing w:after="200"/>
        <w:jc w:val="both"/>
        <w:rPr>
          <w:rFonts w:ascii="Arial" w:eastAsia="Arial" w:hAnsi="Arial" w:cs="Arial"/>
          <w:sz w:val="24"/>
          <w:szCs w:val="24"/>
          <w:highlight w:val="white"/>
        </w:rPr>
      </w:pPr>
      <w:r>
        <w:rPr>
          <w:rFonts w:ascii="Arial" w:eastAsia="Arial" w:hAnsi="Arial" w:cs="Arial"/>
          <w:sz w:val="24"/>
          <w:szCs w:val="24"/>
        </w:rPr>
        <w:t xml:space="preserve">Keywords: Temporomandibular Joint </w:t>
      </w:r>
      <w:r>
        <w:rPr>
          <w:rFonts w:ascii="Arial" w:eastAsia="Arial" w:hAnsi="Arial" w:cs="Arial"/>
          <w:sz w:val="24"/>
          <w:szCs w:val="24"/>
        </w:rPr>
        <w:t>Disorders; Pain; Anxiety and Depression; Homeless People; Facial Pain; Public Health Dentistry.</w:t>
      </w:r>
    </w:p>
    <w:p w14:paraId="4F1583A7" w14:textId="77777777" w:rsidR="00A60B62" w:rsidRDefault="00DC158F">
      <w:pPr>
        <w:pBdr>
          <w:top w:val="nil"/>
          <w:left w:val="nil"/>
          <w:bottom w:val="nil"/>
          <w:right w:val="nil"/>
          <w:between w:val="nil"/>
        </w:pBdr>
        <w:spacing w:after="120" w:line="480" w:lineRule="auto"/>
        <w:jc w:val="both"/>
        <w:rPr>
          <w:rFonts w:ascii="Arial" w:eastAsia="Arial" w:hAnsi="Arial" w:cs="Arial"/>
          <w:b/>
          <w:bCs/>
          <w:smallCaps/>
          <w:color w:val="FF0000"/>
          <w:sz w:val="24"/>
          <w:szCs w:val="24"/>
        </w:rPr>
      </w:pPr>
      <w:r>
        <w:rPr>
          <w:rFonts w:ascii="Arial" w:eastAsia="Arial" w:hAnsi="Arial" w:cs="Arial"/>
          <w:b/>
          <w:bCs/>
          <w:smallCaps/>
          <w:color w:val="000000"/>
          <w:sz w:val="24"/>
          <w:szCs w:val="24"/>
        </w:rPr>
        <w:t>INTRODU</w:t>
      </w:r>
      <w:r>
        <w:rPr>
          <w:rFonts w:ascii="Arial" w:eastAsia="Arial" w:hAnsi="Arial" w:cs="Arial"/>
          <w:b/>
          <w:bCs/>
          <w:smallCaps/>
          <w:sz w:val="24"/>
          <w:szCs w:val="24"/>
        </w:rPr>
        <w:t>CTION</w:t>
      </w:r>
    </w:p>
    <w:p w14:paraId="076882AD" w14:textId="77777777" w:rsidR="00A60B62" w:rsidRDefault="00DC158F">
      <w:pPr>
        <w:spacing w:line="360" w:lineRule="auto"/>
        <w:ind w:firstLine="720"/>
        <w:jc w:val="both"/>
        <w:rPr>
          <w:rFonts w:ascii="Arial" w:eastAsia="Arial" w:hAnsi="Arial" w:cs="Arial"/>
          <w:sz w:val="24"/>
          <w:szCs w:val="24"/>
        </w:rPr>
      </w:pPr>
      <w:r>
        <w:rPr>
          <w:rFonts w:ascii="Arial" w:eastAsia="Arial" w:hAnsi="Arial" w:cs="Arial"/>
          <w:sz w:val="24"/>
          <w:szCs w:val="24"/>
        </w:rPr>
        <w:t xml:space="preserve">The Temporomandibular Joint (TMJ) plays a fundamental role in the functionality of the stomatognathic system, being responsible for several </w:t>
      </w:r>
      <w:r>
        <w:rPr>
          <w:rFonts w:ascii="Arial" w:eastAsia="Arial" w:hAnsi="Arial" w:cs="Arial"/>
          <w:sz w:val="24"/>
          <w:szCs w:val="24"/>
        </w:rPr>
        <w:t>mandibular movements. When its adaptive capacity is compromised, it can result in the development of Temporomandibular Dysfunction (TMD), a multifactorial condition that affects the joint, masticatory muscles, and associated tissues (Sassi, 2018).</w:t>
      </w:r>
    </w:p>
    <w:p w14:paraId="4F69D4A1" w14:textId="77777777" w:rsidR="00A60B62" w:rsidRDefault="00DC158F">
      <w:pPr>
        <w:spacing w:line="360" w:lineRule="auto"/>
        <w:ind w:firstLine="720"/>
        <w:jc w:val="both"/>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sz w:val="24"/>
          <w:szCs w:val="24"/>
        </w:rPr>
        <w:t>etiology of TMD is related to psychosocial factors, such as stress and anxiety, pathophysiological factors, such as deep pain stimulation, and anatomical or traumatic factors, which can lead to symptoms such as headaches, neck pain, and orofacial pain (Urb</w:t>
      </w:r>
      <w:r>
        <w:rPr>
          <w:rFonts w:ascii="Arial" w:eastAsia="Arial" w:hAnsi="Arial" w:cs="Arial"/>
          <w:sz w:val="24"/>
          <w:szCs w:val="24"/>
        </w:rPr>
        <w:t>ani et al., 2019; Costa et al., 2023).</w:t>
      </w:r>
    </w:p>
    <w:p w14:paraId="2A0EFDA8" w14:textId="77777777" w:rsidR="00A60B62" w:rsidRDefault="00DC158F">
      <w:pPr>
        <w:spacing w:line="360" w:lineRule="auto"/>
        <w:ind w:firstLine="720"/>
        <w:jc w:val="both"/>
        <w:rPr>
          <w:rFonts w:ascii="Arial" w:eastAsia="Arial" w:hAnsi="Arial" w:cs="Arial"/>
          <w:sz w:val="24"/>
          <w:szCs w:val="24"/>
        </w:rPr>
      </w:pPr>
      <w:r>
        <w:rPr>
          <w:rFonts w:ascii="Arial" w:eastAsia="Arial" w:hAnsi="Arial" w:cs="Arial"/>
          <w:sz w:val="24"/>
          <w:szCs w:val="24"/>
        </w:rPr>
        <w:lastRenderedPageBreak/>
        <w:t>Psychological factors, including somatization of stress, depression, and anxiety, play a significant role in the manifestation and symptomatic progression of TMD. These conditions can increase muscle activity and tens</w:t>
      </w:r>
      <w:r>
        <w:rPr>
          <w:rFonts w:ascii="Arial" w:eastAsia="Arial" w:hAnsi="Arial" w:cs="Arial"/>
          <w:sz w:val="24"/>
          <w:szCs w:val="24"/>
        </w:rPr>
        <w:t>ion in the facial muscles, contributing to the chronification of pain (Tournavitis, 2017; Soares et al., 2020).</w:t>
      </w:r>
    </w:p>
    <w:p w14:paraId="1C25CF5B" w14:textId="77777777" w:rsidR="00A60B62" w:rsidRDefault="00DC158F">
      <w:pPr>
        <w:spacing w:line="360" w:lineRule="auto"/>
        <w:ind w:firstLine="709"/>
        <w:jc w:val="both"/>
        <w:rPr>
          <w:rFonts w:ascii="Arial" w:eastAsia="Arial" w:hAnsi="Arial" w:cs="Arial"/>
          <w:sz w:val="24"/>
          <w:szCs w:val="24"/>
        </w:rPr>
      </w:pPr>
      <w:r>
        <w:rPr>
          <w:rFonts w:ascii="Arial" w:eastAsia="Arial" w:hAnsi="Arial" w:cs="Arial"/>
          <w:sz w:val="24"/>
          <w:szCs w:val="24"/>
        </w:rPr>
        <w:t>Chronic pain associated with TMD has a substantial impact on quality of life, influencing social behavior and hindering daily activities such as</w:t>
      </w:r>
      <w:r>
        <w:rPr>
          <w:rFonts w:ascii="Arial" w:eastAsia="Arial" w:hAnsi="Arial" w:cs="Arial"/>
          <w:sz w:val="24"/>
          <w:szCs w:val="24"/>
        </w:rPr>
        <w:t xml:space="preserve"> work and study. Patients with severe depression associated with chronic pain may have greater difficulty performing these activities, while those who report intense pain due to TMD often exhibit high levels of somatization (Berger, 2015; Miranda et al., 2</w:t>
      </w:r>
      <w:r>
        <w:rPr>
          <w:rFonts w:ascii="Arial" w:eastAsia="Arial" w:hAnsi="Arial" w:cs="Arial"/>
          <w:sz w:val="24"/>
          <w:szCs w:val="24"/>
        </w:rPr>
        <w:t>021).</w:t>
      </w:r>
    </w:p>
    <w:p w14:paraId="719087CF" w14:textId="77777777" w:rsidR="00A60B62" w:rsidRDefault="00DC158F">
      <w:pPr>
        <w:spacing w:line="360" w:lineRule="auto"/>
        <w:ind w:firstLine="709"/>
        <w:jc w:val="both"/>
        <w:rPr>
          <w:rFonts w:ascii="Arial" w:eastAsia="Arial" w:hAnsi="Arial" w:cs="Arial"/>
          <w:sz w:val="24"/>
          <w:szCs w:val="24"/>
        </w:rPr>
      </w:pPr>
      <w:r>
        <w:rPr>
          <w:rFonts w:ascii="Arial" w:eastAsia="Arial" w:hAnsi="Arial" w:cs="Arial"/>
          <w:sz w:val="24"/>
          <w:szCs w:val="24"/>
        </w:rPr>
        <w:t>In the case of anxiety disorders, these can manifest uncontrollably or inevitably, resulting in physical symptoms as well, where the body enters a state of heightened alertness, even inducing parafunctions, increased muscle tone in the masticatory mu</w:t>
      </w:r>
      <w:r>
        <w:rPr>
          <w:rFonts w:ascii="Arial" w:eastAsia="Arial" w:hAnsi="Arial" w:cs="Arial"/>
          <w:sz w:val="24"/>
          <w:szCs w:val="24"/>
        </w:rPr>
        <w:t>scles, sleep disorders, restlessness, lack of concentration, among others (Minghelli et al., 2014; Reissmann et al., 2014; Beres et al., 2019).</w:t>
      </w:r>
    </w:p>
    <w:p w14:paraId="50B7016A" w14:textId="77777777" w:rsidR="00A60B62" w:rsidRDefault="00DC158F">
      <w:pPr>
        <w:spacing w:line="360" w:lineRule="auto"/>
        <w:ind w:firstLine="709"/>
        <w:jc w:val="both"/>
        <w:rPr>
          <w:rFonts w:ascii="Arial" w:eastAsia="Arial" w:hAnsi="Arial" w:cs="Arial"/>
          <w:sz w:val="24"/>
          <w:szCs w:val="24"/>
        </w:rPr>
      </w:pPr>
      <w:r>
        <w:rPr>
          <w:rFonts w:ascii="Arial" w:eastAsia="Arial" w:hAnsi="Arial" w:cs="Arial"/>
          <w:sz w:val="24"/>
          <w:szCs w:val="24"/>
        </w:rPr>
        <w:t>In recent years, there has been a significant increase in the number of people experiencing homelessness. An est</w:t>
      </w:r>
      <w:r>
        <w:rPr>
          <w:rFonts w:ascii="Arial" w:eastAsia="Arial" w:hAnsi="Arial" w:cs="Arial"/>
          <w:sz w:val="24"/>
          <w:szCs w:val="24"/>
        </w:rPr>
        <w:t xml:space="preserve">imate by the Institute for Applied Economic Research (IPEA) indicated the presence of 101,854 people in this condition in Brazil in 2015. In a review carried out at the end of 2022, this number grew to 281,472, representing an increase of 38% between 2019 </w:t>
      </w:r>
      <w:r>
        <w:rPr>
          <w:rFonts w:ascii="Arial" w:eastAsia="Arial" w:hAnsi="Arial" w:cs="Arial"/>
          <w:sz w:val="24"/>
          <w:szCs w:val="24"/>
        </w:rPr>
        <w:t>and 2022, attributed in part to the impacts of the COVID-19 pandemic (Guia pop rua, 2023).</w:t>
      </w:r>
    </w:p>
    <w:p w14:paraId="17BE2B08" w14:textId="77777777" w:rsidR="00A60B62" w:rsidRDefault="00DC158F">
      <w:pPr>
        <w:spacing w:line="360" w:lineRule="auto"/>
        <w:ind w:firstLine="720"/>
        <w:jc w:val="both"/>
        <w:rPr>
          <w:rFonts w:ascii="Arial" w:eastAsia="Arial" w:hAnsi="Arial" w:cs="Arial"/>
          <w:sz w:val="24"/>
          <w:szCs w:val="24"/>
        </w:rPr>
      </w:pPr>
      <w:r>
        <w:rPr>
          <w:rFonts w:ascii="Arial" w:eastAsia="Arial" w:hAnsi="Arial" w:cs="Arial"/>
          <w:sz w:val="24"/>
          <w:szCs w:val="24"/>
        </w:rPr>
        <w:t xml:space="preserve">The relationship between chronic pain and psychiatric conditions in homeless people is underexplored, despite its biopsychosocial complexity and significant impact. </w:t>
      </w:r>
      <w:r>
        <w:rPr>
          <w:rFonts w:ascii="Arial" w:eastAsia="Arial" w:hAnsi="Arial" w:cs="Arial"/>
          <w:sz w:val="24"/>
          <w:szCs w:val="24"/>
        </w:rPr>
        <w:t xml:space="preserve">Homelessness is associated with high rates of mental disorders, such as anxiety, depression, psychosis, and substance abuse (Vogel, 2021). These conditions, along with often untreated chronic pain, can exacerbate the cycle of debilitated health, worsening </w:t>
      </w:r>
      <w:r>
        <w:rPr>
          <w:rFonts w:ascii="Arial" w:eastAsia="Arial" w:hAnsi="Arial" w:cs="Arial"/>
          <w:sz w:val="24"/>
          <w:szCs w:val="24"/>
        </w:rPr>
        <w:t>clinical outcomes and compromising the daily functionality of this population (Rintoul, 2023).</w:t>
      </w:r>
    </w:p>
    <w:p w14:paraId="75859E7B" w14:textId="77777777" w:rsidR="00A60B62" w:rsidRDefault="00DC158F">
      <w:pPr>
        <w:spacing w:line="360" w:lineRule="auto"/>
        <w:ind w:firstLine="720"/>
        <w:jc w:val="both"/>
        <w:rPr>
          <w:rFonts w:ascii="Arial" w:eastAsia="Arial" w:hAnsi="Arial" w:cs="Arial"/>
          <w:sz w:val="24"/>
          <w:szCs w:val="24"/>
        </w:rPr>
      </w:pPr>
      <w:r>
        <w:rPr>
          <w:rFonts w:ascii="Arial" w:eastAsia="Arial" w:hAnsi="Arial" w:cs="Arial"/>
          <w:sz w:val="24"/>
          <w:szCs w:val="24"/>
        </w:rPr>
        <w:t>It is noteworthy that social vulnerability does not necessarily imply the presence of depression and anxiety, and that TMD, although often associated with emotio</w:t>
      </w:r>
      <w:r>
        <w:rPr>
          <w:rFonts w:ascii="Arial" w:eastAsia="Arial" w:hAnsi="Arial" w:cs="Arial"/>
          <w:sz w:val="24"/>
          <w:szCs w:val="24"/>
        </w:rPr>
        <w:t>nal factors, should be understood within a broader scope, considering the high global prevalence of these mental disorders. The present study aims to analyze the signs and symptoms of TMD in homeless people, considering the influence of anxiety and depress</w:t>
      </w:r>
      <w:r>
        <w:rPr>
          <w:rFonts w:ascii="Arial" w:eastAsia="Arial" w:hAnsi="Arial" w:cs="Arial"/>
          <w:sz w:val="24"/>
          <w:szCs w:val="24"/>
        </w:rPr>
        <w:t>ion.</w:t>
      </w:r>
    </w:p>
    <w:p w14:paraId="221DC6F4" w14:textId="77777777" w:rsidR="00A60B62" w:rsidRDefault="00DC158F">
      <w:pPr>
        <w:pBdr>
          <w:top w:val="nil"/>
          <w:left w:val="nil"/>
          <w:bottom w:val="nil"/>
          <w:right w:val="nil"/>
          <w:between w:val="nil"/>
        </w:pBdr>
        <w:spacing w:before="120" w:after="120" w:line="480" w:lineRule="auto"/>
        <w:jc w:val="both"/>
        <w:rPr>
          <w:rFonts w:ascii="Arial" w:eastAsia="Arial" w:hAnsi="Arial" w:cs="Arial"/>
          <w:sz w:val="24"/>
          <w:szCs w:val="24"/>
        </w:rPr>
      </w:pPr>
      <w:bookmarkStart w:id="3" w:name="_heading=h.9vrehdldu0ro" w:colFirst="0" w:colLast="0"/>
      <w:bookmarkEnd w:id="3"/>
      <w:r>
        <w:rPr>
          <w:rFonts w:ascii="Arial" w:eastAsia="Arial" w:hAnsi="Arial" w:cs="Arial"/>
          <w:b/>
          <w:bCs/>
          <w:smallCaps/>
          <w:color w:val="000000"/>
          <w:sz w:val="24"/>
          <w:szCs w:val="24"/>
        </w:rPr>
        <w:lastRenderedPageBreak/>
        <w:t>MATERIA</w:t>
      </w:r>
      <w:r>
        <w:rPr>
          <w:rFonts w:ascii="Arial" w:eastAsia="Arial" w:hAnsi="Arial" w:cs="Arial"/>
          <w:b/>
          <w:bCs/>
          <w:smallCaps/>
          <w:sz w:val="24"/>
          <w:szCs w:val="24"/>
        </w:rPr>
        <w:t>L</w:t>
      </w:r>
      <w:r>
        <w:rPr>
          <w:rFonts w:ascii="Arial" w:eastAsia="Arial" w:hAnsi="Arial" w:cs="Arial"/>
          <w:b/>
          <w:bCs/>
          <w:smallCaps/>
          <w:color w:val="000000"/>
          <w:sz w:val="24"/>
          <w:szCs w:val="24"/>
        </w:rPr>
        <w:t xml:space="preserve">S </w:t>
      </w:r>
      <w:r>
        <w:rPr>
          <w:rFonts w:ascii="Arial" w:eastAsia="Arial" w:hAnsi="Arial" w:cs="Arial"/>
          <w:b/>
          <w:bCs/>
          <w:smallCaps/>
          <w:sz w:val="24"/>
          <w:szCs w:val="24"/>
        </w:rPr>
        <w:t>AND METHODS</w:t>
      </w:r>
      <w:r>
        <w:rPr>
          <w:rFonts w:ascii="Arial" w:eastAsia="Arial" w:hAnsi="Arial" w:cs="Arial"/>
          <w:b/>
          <w:bCs/>
          <w:smallCaps/>
          <w:color w:val="000000"/>
          <w:sz w:val="24"/>
          <w:szCs w:val="24"/>
        </w:rPr>
        <w:t xml:space="preserve"> </w:t>
      </w:r>
      <w:r>
        <w:rPr>
          <w:rFonts w:ascii="Arial" w:eastAsia="Arial" w:hAnsi="Arial" w:cs="Arial"/>
          <w:b/>
          <w:bCs/>
          <w:smallCaps/>
          <w:color w:val="000000"/>
          <w:sz w:val="24"/>
          <w:szCs w:val="24"/>
        </w:rPr>
        <w:br/>
      </w:r>
      <w:r>
        <w:rPr>
          <w:rFonts w:ascii="Arial" w:eastAsia="Arial" w:hAnsi="Arial" w:cs="Arial"/>
          <w:b/>
          <w:bCs/>
          <w:sz w:val="24"/>
          <w:szCs w:val="24"/>
        </w:rPr>
        <w:t>Type of study, research location, ethical considerations, and population.</w:t>
      </w:r>
    </w:p>
    <w:p w14:paraId="6B663244" w14:textId="77777777" w:rsidR="00A60B62" w:rsidRDefault="00DC158F">
      <w:pPr>
        <w:spacing w:line="360" w:lineRule="auto"/>
        <w:ind w:left="2" w:firstLine="707"/>
        <w:jc w:val="both"/>
        <w:rPr>
          <w:rFonts w:ascii="Arial" w:eastAsia="Arial" w:hAnsi="Arial" w:cs="Arial"/>
          <w:sz w:val="24"/>
          <w:szCs w:val="24"/>
        </w:rPr>
      </w:pPr>
      <w:r>
        <w:rPr>
          <w:rFonts w:ascii="Arial" w:eastAsia="Arial" w:hAnsi="Arial" w:cs="Arial"/>
          <w:sz w:val="24"/>
          <w:szCs w:val="24"/>
        </w:rPr>
        <w:t xml:space="preserve">This is a cross-sectional observational study with a quantitative approach, approved by the Ethics Committee of the São Leopoldo Mandic Faculty on August </w:t>
      </w:r>
      <w:r>
        <w:rPr>
          <w:rFonts w:ascii="Arial" w:eastAsia="Arial" w:hAnsi="Arial" w:cs="Arial"/>
          <w:sz w:val="24"/>
          <w:szCs w:val="24"/>
        </w:rPr>
        <w:t>19, 2022, under number 5,592,366. The research was conducted among individuals experiencing homelessness and the general population of the same territory, located in the South Commercial Sector (SCS), in Brasília-DF.</w:t>
      </w:r>
    </w:p>
    <w:p w14:paraId="4AA33A50" w14:textId="77777777" w:rsidR="00A60B62" w:rsidRDefault="00DC158F">
      <w:pPr>
        <w:spacing w:after="200" w:line="360" w:lineRule="auto"/>
        <w:ind w:left="2" w:firstLine="707"/>
        <w:jc w:val="both"/>
        <w:rPr>
          <w:rFonts w:ascii="Arial" w:eastAsia="Arial" w:hAnsi="Arial" w:cs="Arial"/>
          <w:sz w:val="24"/>
          <w:szCs w:val="24"/>
        </w:rPr>
      </w:pPr>
      <w:r>
        <w:rPr>
          <w:rFonts w:ascii="Arial" w:eastAsia="Arial" w:hAnsi="Arial" w:cs="Arial"/>
          <w:sz w:val="24"/>
          <w:szCs w:val="24"/>
        </w:rPr>
        <w:t>Inclusion criteria included individuals</w:t>
      </w:r>
      <w:r>
        <w:rPr>
          <w:rFonts w:ascii="Arial" w:eastAsia="Arial" w:hAnsi="Arial" w:cs="Arial"/>
          <w:sz w:val="24"/>
          <w:szCs w:val="24"/>
        </w:rPr>
        <w:t xml:space="preserve"> of legal age experiencing homelessness or living in shelters. Individuals with cognitive impairments were excluded.</w:t>
      </w:r>
    </w:p>
    <w:p w14:paraId="7300E035" w14:textId="77777777" w:rsidR="00A60B62" w:rsidRDefault="00DC158F">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bCs/>
          <w:sz w:val="24"/>
          <w:szCs w:val="24"/>
        </w:rPr>
        <w:t>Data collection and statistical analysis instruments</w:t>
      </w:r>
    </w:p>
    <w:p w14:paraId="03A64698" w14:textId="77777777" w:rsidR="00A60B62" w:rsidRDefault="00DC158F">
      <w:pPr>
        <w:spacing w:line="360" w:lineRule="auto"/>
        <w:ind w:firstLine="708"/>
        <w:jc w:val="both"/>
        <w:rPr>
          <w:rFonts w:ascii="Arial" w:eastAsia="Arial" w:hAnsi="Arial" w:cs="Arial"/>
          <w:sz w:val="24"/>
          <w:szCs w:val="24"/>
        </w:rPr>
      </w:pPr>
      <w:r>
        <w:rPr>
          <w:rFonts w:ascii="Arial" w:eastAsia="Arial" w:hAnsi="Arial" w:cs="Arial"/>
          <w:sz w:val="24"/>
          <w:szCs w:val="24"/>
        </w:rPr>
        <w:t xml:space="preserve">Data collection took place in June 2023 to assess TMD/TMD, anxiety, and depression </w:t>
      </w:r>
      <w:r>
        <w:rPr>
          <w:rFonts w:ascii="Arial" w:eastAsia="Arial" w:hAnsi="Arial" w:cs="Arial"/>
          <w:sz w:val="24"/>
          <w:szCs w:val="24"/>
        </w:rPr>
        <w:t xml:space="preserve">indices using validated questionnaires, including sociodemographic data, </w:t>
      </w:r>
      <w:bookmarkStart w:id="4" w:name="_GoBack"/>
      <w:bookmarkEnd w:id="4"/>
      <w:r>
        <w:rPr>
          <w:rFonts w:ascii="Arial" w:eastAsia="Arial" w:hAnsi="Arial" w:cs="Arial"/>
          <w:sz w:val="24"/>
          <w:szCs w:val="24"/>
        </w:rPr>
        <w:t>and symptoms of TMD/TMD and aspects of anxiety and depression using the HAD scale.</w:t>
      </w:r>
    </w:p>
    <w:p w14:paraId="1CEEFA15" w14:textId="77777777" w:rsidR="00A60B62" w:rsidRDefault="00DC158F">
      <w:pPr>
        <w:spacing w:after="200" w:line="360" w:lineRule="auto"/>
        <w:ind w:firstLine="708"/>
        <w:jc w:val="both"/>
        <w:rPr>
          <w:rFonts w:ascii="Arial" w:eastAsia="Arial" w:hAnsi="Arial" w:cs="Arial"/>
          <w:sz w:val="24"/>
          <w:szCs w:val="24"/>
        </w:rPr>
      </w:pPr>
      <w:r>
        <w:rPr>
          <w:rFonts w:ascii="Arial" w:eastAsia="Arial" w:hAnsi="Arial" w:cs="Arial"/>
          <w:sz w:val="24"/>
          <w:szCs w:val="24"/>
        </w:rPr>
        <w:t>The comparative analysis of TMD questions included measures of association in contingency tables (re</w:t>
      </w:r>
      <w:r>
        <w:rPr>
          <w:rFonts w:ascii="Arial" w:eastAsia="Arial" w:hAnsi="Arial" w:cs="Arial"/>
          <w:sz w:val="24"/>
          <w:szCs w:val="24"/>
        </w:rPr>
        <w:t>lative risk), as well as rank comparison (Mann-Whitney test). The comparison of total anxiety and depression scores, in addition to calculating the score provided by the scale itself, included the Student's t-test, subsequently adjusting for other predicto</w:t>
      </w:r>
      <w:r>
        <w:rPr>
          <w:rFonts w:ascii="Arial" w:eastAsia="Arial" w:hAnsi="Arial" w:cs="Arial"/>
          <w:sz w:val="24"/>
          <w:szCs w:val="24"/>
        </w:rPr>
        <w:t>r variables using multiple linear regression analysis. This study considered a significance level of 5%.</w:t>
      </w:r>
    </w:p>
    <w:p w14:paraId="16FCA856" w14:textId="77777777" w:rsidR="00A60B62" w:rsidRDefault="00DC158F">
      <w:pPr>
        <w:spacing w:before="120" w:after="120" w:line="360" w:lineRule="auto"/>
        <w:jc w:val="both"/>
        <w:rPr>
          <w:rFonts w:ascii="Arial" w:eastAsia="Arial" w:hAnsi="Arial" w:cs="Arial"/>
          <w:b/>
          <w:bCs/>
          <w:sz w:val="24"/>
          <w:szCs w:val="24"/>
        </w:rPr>
      </w:pPr>
      <w:r>
        <w:rPr>
          <w:rFonts w:ascii="Arial" w:eastAsia="Arial" w:hAnsi="Arial" w:cs="Arial"/>
          <w:b/>
          <w:bCs/>
          <w:sz w:val="24"/>
          <w:szCs w:val="24"/>
        </w:rPr>
        <w:t>RESULTS</w:t>
      </w:r>
    </w:p>
    <w:p w14:paraId="75D2A143" w14:textId="77777777" w:rsidR="00A60B62" w:rsidRDefault="00DC158F">
      <w:pPr>
        <w:spacing w:before="120" w:after="120" w:line="360" w:lineRule="auto"/>
        <w:ind w:firstLine="720"/>
        <w:jc w:val="both"/>
        <w:rPr>
          <w:rFonts w:ascii="Arial" w:eastAsia="Arial" w:hAnsi="Arial" w:cs="Arial"/>
          <w:sz w:val="24"/>
          <w:szCs w:val="24"/>
        </w:rPr>
      </w:pPr>
      <w:r>
        <w:rPr>
          <w:rFonts w:ascii="Arial" w:eastAsia="Arial" w:hAnsi="Arial" w:cs="Arial"/>
          <w:sz w:val="24"/>
          <w:szCs w:val="24"/>
        </w:rPr>
        <w:t>A total of 40 individuals participated, 9 (22.5%) female and 31 (77.5%) male. Regarding age range, individuals between 41 and 50 years and 31 t</w:t>
      </w:r>
      <w:r>
        <w:rPr>
          <w:rFonts w:ascii="Arial" w:eastAsia="Arial" w:hAnsi="Arial" w:cs="Arial"/>
          <w:sz w:val="24"/>
          <w:szCs w:val="24"/>
        </w:rPr>
        <w:t>o 40 years stood out with statistical superiority in relation to the other groups (p &lt; 0.05)</w:t>
      </w:r>
    </w:p>
    <w:p w14:paraId="2C81861F" w14:textId="77777777" w:rsidR="00A60B62" w:rsidRDefault="00A60B62">
      <w:pPr>
        <w:spacing w:before="120" w:after="120" w:line="360" w:lineRule="auto"/>
        <w:jc w:val="both"/>
        <w:rPr>
          <w:rFonts w:ascii="Arial" w:eastAsia="Arial" w:hAnsi="Arial" w:cs="Arial"/>
          <w:b/>
          <w:bCs/>
          <w:sz w:val="24"/>
          <w:szCs w:val="24"/>
        </w:rPr>
      </w:pPr>
    </w:p>
    <w:p w14:paraId="000313A1" w14:textId="77777777" w:rsidR="00A60B62" w:rsidRDefault="00DC158F">
      <w:pPr>
        <w:spacing w:before="120" w:after="120" w:line="360" w:lineRule="auto"/>
        <w:jc w:val="both"/>
        <w:rPr>
          <w:rFonts w:ascii="Arial" w:eastAsia="Arial" w:hAnsi="Arial" w:cs="Arial"/>
          <w:b/>
          <w:bCs/>
          <w:sz w:val="24"/>
          <w:szCs w:val="24"/>
        </w:rPr>
      </w:pPr>
      <w:r>
        <w:rPr>
          <w:rFonts w:ascii="Arial" w:eastAsia="Arial" w:hAnsi="Arial" w:cs="Arial"/>
          <w:b/>
          <w:bCs/>
          <w:sz w:val="24"/>
          <w:szCs w:val="24"/>
        </w:rPr>
        <w:t>Table 1 - Demographic profile of the sample.</w:t>
      </w:r>
    </w:p>
    <w:tbl>
      <w:tblPr>
        <w:tblStyle w:val="a"/>
        <w:tblW w:w="5387" w:type="dxa"/>
        <w:jc w:val="center"/>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843"/>
        <w:gridCol w:w="1843"/>
      </w:tblGrid>
      <w:tr w:rsidR="00A60B62" w14:paraId="3EC5E5A5" w14:textId="77777777">
        <w:trPr>
          <w:trHeight w:val="283"/>
          <w:jc w:val="center"/>
        </w:trPr>
        <w:tc>
          <w:tcPr>
            <w:tcW w:w="1701" w:type="dxa"/>
            <w:tcBorders>
              <w:bottom w:val="single" w:sz="4" w:space="0" w:color="000000"/>
              <w:right w:val="nil"/>
            </w:tcBorders>
            <w:shd w:val="clear" w:color="auto" w:fill="D9D9D9"/>
          </w:tcPr>
          <w:p w14:paraId="1114BC17" w14:textId="77777777" w:rsidR="00A60B62" w:rsidRDefault="00DC158F">
            <w:pPr>
              <w:spacing w:after="160" w:line="259" w:lineRule="auto"/>
              <w:rPr>
                <w:rFonts w:ascii="Arial" w:eastAsia="Arial" w:hAnsi="Arial" w:cs="Arial"/>
                <w:b/>
                <w:bCs/>
                <w:sz w:val="22"/>
                <w:szCs w:val="22"/>
              </w:rPr>
            </w:pPr>
            <w:r>
              <w:rPr>
                <w:rFonts w:ascii="Arial" w:eastAsia="Arial" w:hAnsi="Arial" w:cs="Arial"/>
                <w:b/>
                <w:bCs/>
                <w:sz w:val="22"/>
                <w:szCs w:val="22"/>
              </w:rPr>
              <w:t>Variables</w:t>
            </w:r>
          </w:p>
        </w:tc>
        <w:tc>
          <w:tcPr>
            <w:tcW w:w="1843" w:type="dxa"/>
            <w:tcBorders>
              <w:left w:val="nil"/>
              <w:bottom w:val="single" w:sz="4" w:space="0" w:color="000000"/>
              <w:right w:val="nil"/>
            </w:tcBorders>
            <w:shd w:val="clear" w:color="auto" w:fill="D9D9D9"/>
            <w:vAlign w:val="center"/>
          </w:tcPr>
          <w:p w14:paraId="63808576" w14:textId="77777777" w:rsidR="00A60B62" w:rsidRDefault="00DC158F">
            <w:pPr>
              <w:spacing w:after="160" w:line="259" w:lineRule="auto"/>
              <w:jc w:val="center"/>
              <w:rPr>
                <w:rFonts w:ascii="Arial" w:eastAsia="Arial" w:hAnsi="Arial" w:cs="Arial"/>
                <w:b/>
                <w:bCs/>
                <w:sz w:val="22"/>
                <w:szCs w:val="22"/>
              </w:rPr>
            </w:pPr>
            <w:r>
              <w:rPr>
                <w:rFonts w:ascii="Arial" w:eastAsia="Arial" w:hAnsi="Arial" w:cs="Arial"/>
                <w:b/>
                <w:bCs/>
                <w:sz w:val="22"/>
                <w:szCs w:val="22"/>
              </w:rPr>
              <w:t>N</w:t>
            </w:r>
          </w:p>
        </w:tc>
        <w:tc>
          <w:tcPr>
            <w:tcW w:w="1843" w:type="dxa"/>
            <w:tcBorders>
              <w:left w:val="nil"/>
              <w:bottom w:val="single" w:sz="4" w:space="0" w:color="000000"/>
              <w:right w:val="nil"/>
            </w:tcBorders>
            <w:shd w:val="clear" w:color="auto" w:fill="D9D9D9"/>
            <w:vAlign w:val="center"/>
          </w:tcPr>
          <w:p w14:paraId="548CF5FE" w14:textId="77777777" w:rsidR="00A60B62" w:rsidRDefault="00DC158F">
            <w:pPr>
              <w:spacing w:line="259" w:lineRule="auto"/>
              <w:jc w:val="center"/>
              <w:rPr>
                <w:rFonts w:ascii="Arial" w:eastAsia="Arial" w:hAnsi="Arial" w:cs="Arial"/>
                <w:b/>
                <w:bCs/>
                <w:sz w:val="22"/>
                <w:szCs w:val="22"/>
              </w:rPr>
            </w:pPr>
            <w:r>
              <w:rPr>
                <w:rFonts w:ascii="Arial" w:eastAsia="Arial" w:hAnsi="Arial" w:cs="Arial"/>
                <w:b/>
                <w:bCs/>
                <w:sz w:val="22"/>
                <w:szCs w:val="22"/>
              </w:rPr>
              <w:t>%</w:t>
            </w:r>
          </w:p>
        </w:tc>
      </w:tr>
      <w:tr w:rsidR="00A60B62" w14:paraId="47C48270" w14:textId="77777777">
        <w:trPr>
          <w:trHeight w:val="283"/>
          <w:jc w:val="center"/>
        </w:trPr>
        <w:tc>
          <w:tcPr>
            <w:tcW w:w="1701" w:type="dxa"/>
            <w:tcBorders>
              <w:bottom w:val="single" w:sz="4" w:space="0" w:color="000000"/>
              <w:right w:val="nil"/>
            </w:tcBorders>
            <w:vAlign w:val="center"/>
          </w:tcPr>
          <w:p w14:paraId="4907B2A6" w14:textId="77777777" w:rsidR="00A60B62" w:rsidRDefault="00DC158F">
            <w:pPr>
              <w:spacing w:line="259" w:lineRule="auto"/>
              <w:rPr>
                <w:rFonts w:ascii="Arial" w:eastAsia="Arial" w:hAnsi="Arial" w:cs="Arial"/>
                <w:sz w:val="22"/>
                <w:szCs w:val="22"/>
              </w:rPr>
            </w:pPr>
            <w:r>
              <w:rPr>
                <w:rFonts w:ascii="Arial" w:eastAsia="Arial" w:hAnsi="Arial" w:cs="Arial"/>
                <w:b/>
                <w:bCs/>
                <w:sz w:val="22"/>
                <w:szCs w:val="22"/>
              </w:rPr>
              <w:t>Sex</w:t>
            </w:r>
          </w:p>
        </w:tc>
        <w:tc>
          <w:tcPr>
            <w:tcW w:w="1843" w:type="dxa"/>
            <w:tcBorders>
              <w:left w:val="nil"/>
              <w:bottom w:val="single" w:sz="4" w:space="0" w:color="000000"/>
              <w:right w:val="nil"/>
            </w:tcBorders>
            <w:vAlign w:val="center"/>
          </w:tcPr>
          <w:p w14:paraId="475D5DA0" w14:textId="77777777" w:rsidR="00A60B62" w:rsidRDefault="00A60B62">
            <w:pPr>
              <w:spacing w:line="259" w:lineRule="auto"/>
              <w:jc w:val="center"/>
              <w:rPr>
                <w:rFonts w:ascii="Arial" w:eastAsia="Arial" w:hAnsi="Arial" w:cs="Arial"/>
                <w:sz w:val="22"/>
                <w:szCs w:val="22"/>
              </w:rPr>
            </w:pPr>
          </w:p>
        </w:tc>
        <w:tc>
          <w:tcPr>
            <w:tcW w:w="1843" w:type="dxa"/>
            <w:tcBorders>
              <w:left w:val="nil"/>
              <w:bottom w:val="single" w:sz="4" w:space="0" w:color="000000"/>
              <w:right w:val="nil"/>
            </w:tcBorders>
            <w:vAlign w:val="center"/>
          </w:tcPr>
          <w:p w14:paraId="63DD9C5D" w14:textId="77777777" w:rsidR="00A60B62" w:rsidRDefault="00A60B62">
            <w:pPr>
              <w:spacing w:line="259" w:lineRule="auto"/>
              <w:jc w:val="center"/>
              <w:rPr>
                <w:rFonts w:ascii="Arial" w:eastAsia="Arial" w:hAnsi="Arial" w:cs="Arial"/>
                <w:sz w:val="22"/>
                <w:szCs w:val="22"/>
              </w:rPr>
            </w:pPr>
          </w:p>
        </w:tc>
      </w:tr>
      <w:tr w:rsidR="00A60B62" w14:paraId="347B926C" w14:textId="77777777">
        <w:trPr>
          <w:trHeight w:val="458"/>
          <w:jc w:val="center"/>
        </w:trPr>
        <w:tc>
          <w:tcPr>
            <w:tcW w:w="1701" w:type="dxa"/>
            <w:tcBorders>
              <w:bottom w:val="nil"/>
              <w:right w:val="nil"/>
            </w:tcBorders>
            <w:vAlign w:val="center"/>
          </w:tcPr>
          <w:p w14:paraId="58CCD6AE" w14:textId="77777777" w:rsidR="00A60B62" w:rsidRDefault="00DC158F">
            <w:pPr>
              <w:spacing w:line="259" w:lineRule="auto"/>
              <w:rPr>
                <w:rFonts w:ascii="Arial" w:eastAsia="Arial" w:hAnsi="Arial" w:cs="Arial"/>
                <w:b/>
                <w:bCs/>
                <w:sz w:val="22"/>
                <w:szCs w:val="22"/>
              </w:rPr>
            </w:pPr>
            <w:r>
              <w:rPr>
                <w:rFonts w:ascii="Arial" w:eastAsia="Arial" w:hAnsi="Arial" w:cs="Arial"/>
                <w:sz w:val="22"/>
                <w:szCs w:val="22"/>
              </w:rPr>
              <w:t>Female</w:t>
            </w:r>
          </w:p>
        </w:tc>
        <w:tc>
          <w:tcPr>
            <w:tcW w:w="1843" w:type="dxa"/>
            <w:tcBorders>
              <w:left w:val="nil"/>
              <w:bottom w:val="nil"/>
              <w:right w:val="nil"/>
            </w:tcBorders>
            <w:vAlign w:val="center"/>
          </w:tcPr>
          <w:p w14:paraId="4554C2CD"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9</w:t>
            </w:r>
          </w:p>
        </w:tc>
        <w:tc>
          <w:tcPr>
            <w:tcW w:w="1843" w:type="dxa"/>
            <w:tcBorders>
              <w:left w:val="nil"/>
              <w:bottom w:val="nil"/>
              <w:right w:val="nil"/>
            </w:tcBorders>
            <w:vAlign w:val="center"/>
          </w:tcPr>
          <w:p w14:paraId="5FC21A66"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22.5</w:t>
            </w:r>
          </w:p>
        </w:tc>
      </w:tr>
      <w:tr w:rsidR="00A60B62" w14:paraId="5E853D7A" w14:textId="77777777">
        <w:trPr>
          <w:trHeight w:val="458"/>
          <w:jc w:val="center"/>
        </w:trPr>
        <w:tc>
          <w:tcPr>
            <w:tcW w:w="1701" w:type="dxa"/>
            <w:tcBorders>
              <w:top w:val="nil"/>
              <w:bottom w:val="single" w:sz="4" w:space="0" w:color="000000"/>
              <w:right w:val="nil"/>
            </w:tcBorders>
            <w:vAlign w:val="center"/>
          </w:tcPr>
          <w:p w14:paraId="03AD0B23" w14:textId="77777777" w:rsidR="00A60B62" w:rsidRDefault="00DC158F">
            <w:pPr>
              <w:spacing w:line="259" w:lineRule="auto"/>
              <w:rPr>
                <w:rFonts w:ascii="Arial" w:eastAsia="Arial" w:hAnsi="Arial" w:cs="Arial"/>
                <w:sz w:val="22"/>
                <w:szCs w:val="22"/>
              </w:rPr>
            </w:pPr>
            <w:r>
              <w:rPr>
                <w:rFonts w:ascii="Arial" w:eastAsia="Arial" w:hAnsi="Arial" w:cs="Arial"/>
                <w:sz w:val="22"/>
                <w:szCs w:val="22"/>
              </w:rPr>
              <w:t>Male</w:t>
            </w:r>
          </w:p>
        </w:tc>
        <w:tc>
          <w:tcPr>
            <w:tcW w:w="1843" w:type="dxa"/>
            <w:tcBorders>
              <w:top w:val="nil"/>
              <w:left w:val="nil"/>
              <w:bottom w:val="single" w:sz="4" w:space="0" w:color="000000"/>
              <w:right w:val="nil"/>
            </w:tcBorders>
            <w:vAlign w:val="center"/>
          </w:tcPr>
          <w:p w14:paraId="2090DF49"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31</w:t>
            </w:r>
          </w:p>
        </w:tc>
        <w:tc>
          <w:tcPr>
            <w:tcW w:w="1843" w:type="dxa"/>
            <w:tcBorders>
              <w:top w:val="nil"/>
              <w:left w:val="nil"/>
              <w:bottom w:val="single" w:sz="4" w:space="0" w:color="000000"/>
              <w:right w:val="nil"/>
            </w:tcBorders>
            <w:vAlign w:val="center"/>
          </w:tcPr>
          <w:p w14:paraId="70D2B561"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77.5</w:t>
            </w:r>
          </w:p>
        </w:tc>
      </w:tr>
      <w:tr w:rsidR="00A60B62" w14:paraId="16A0A186" w14:textId="77777777">
        <w:trPr>
          <w:trHeight w:val="340"/>
          <w:jc w:val="center"/>
        </w:trPr>
        <w:tc>
          <w:tcPr>
            <w:tcW w:w="1701" w:type="dxa"/>
            <w:tcBorders>
              <w:bottom w:val="single" w:sz="4" w:space="0" w:color="000000"/>
              <w:right w:val="nil"/>
            </w:tcBorders>
            <w:shd w:val="clear" w:color="auto" w:fill="D9D9D9"/>
          </w:tcPr>
          <w:p w14:paraId="3894593F" w14:textId="77777777" w:rsidR="00A60B62" w:rsidRDefault="00DC158F">
            <w:pPr>
              <w:spacing w:line="259" w:lineRule="auto"/>
              <w:rPr>
                <w:rFonts w:ascii="Arial" w:eastAsia="Arial" w:hAnsi="Arial" w:cs="Arial"/>
                <w:sz w:val="22"/>
                <w:szCs w:val="22"/>
              </w:rPr>
            </w:pPr>
            <w:r>
              <w:rPr>
                <w:rFonts w:ascii="Arial" w:eastAsia="Arial" w:hAnsi="Arial" w:cs="Arial"/>
                <w:b/>
                <w:bCs/>
                <w:sz w:val="22"/>
                <w:szCs w:val="22"/>
              </w:rPr>
              <w:lastRenderedPageBreak/>
              <w:t>Age</w:t>
            </w:r>
          </w:p>
        </w:tc>
        <w:tc>
          <w:tcPr>
            <w:tcW w:w="1843" w:type="dxa"/>
            <w:tcBorders>
              <w:left w:val="nil"/>
              <w:bottom w:val="single" w:sz="4" w:space="0" w:color="000000"/>
              <w:right w:val="nil"/>
            </w:tcBorders>
            <w:shd w:val="clear" w:color="auto" w:fill="D9D9D9"/>
            <w:vAlign w:val="center"/>
          </w:tcPr>
          <w:p w14:paraId="2E309D41" w14:textId="77777777" w:rsidR="00A60B62" w:rsidRDefault="00DC158F">
            <w:pPr>
              <w:spacing w:line="259" w:lineRule="auto"/>
              <w:jc w:val="center"/>
              <w:rPr>
                <w:rFonts w:ascii="Arial" w:eastAsia="Arial" w:hAnsi="Arial" w:cs="Arial"/>
                <w:b/>
                <w:bCs/>
                <w:sz w:val="22"/>
                <w:szCs w:val="22"/>
              </w:rPr>
            </w:pPr>
            <w:r>
              <w:rPr>
                <w:rFonts w:ascii="Arial" w:eastAsia="Arial" w:hAnsi="Arial" w:cs="Arial"/>
                <w:b/>
                <w:bCs/>
                <w:sz w:val="22"/>
                <w:szCs w:val="22"/>
              </w:rPr>
              <w:t>N</w:t>
            </w:r>
          </w:p>
        </w:tc>
        <w:tc>
          <w:tcPr>
            <w:tcW w:w="1843" w:type="dxa"/>
            <w:tcBorders>
              <w:left w:val="nil"/>
              <w:bottom w:val="single" w:sz="4" w:space="0" w:color="000000"/>
              <w:right w:val="nil"/>
            </w:tcBorders>
            <w:shd w:val="clear" w:color="auto" w:fill="D9D9D9"/>
            <w:vAlign w:val="center"/>
          </w:tcPr>
          <w:p w14:paraId="1A0D9883" w14:textId="77777777" w:rsidR="00A60B62" w:rsidRDefault="00DC158F">
            <w:pPr>
              <w:spacing w:line="259" w:lineRule="auto"/>
              <w:jc w:val="center"/>
              <w:rPr>
                <w:rFonts w:ascii="Arial" w:eastAsia="Arial" w:hAnsi="Arial" w:cs="Arial"/>
                <w:b/>
                <w:bCs/>
                <w:sz w:val="22"/>
                <w:szCs w:val="22"/>
              </w:rPr>
            </w:pPr>
            <w:r>
              <w:rPr>
                <w:rFonts w:ascii="Arial" w:eastAsia="Arial" w:hAnsi="Arial" w:cs="Arial"/>
                <w:b/>
                <w:bCs/>
                <w:sz w:val="22"/>
                <w:szCs w:val="22"/>
              </w:rPr>
              <w:t>%</w:t>
            </w:r>
          </w:p>
        </w:tc>
      </w:tr>
      <w:tr w:rsidR="00A60B62" w14:paraId="064EFC51" w14:textId="77777777">
        <w:trPr>
          <w:trHeight w:val="567"/>
          <w:jc w:val="center"/>
        </w:trPr>
        <w:tc>
          <w:tcPr>
            <w:tcW w:w="1701" w:type="dxa"/>
            <w:tcBorders>
              <w:top w:val="single" w:sz="4" w:space="0" w:color="000000"/>
              <w:bottom w:val="nil"/>
              <w:right w:val="nil"/>
            </w:tcBorders>
            <w:shd w:val="clear" w:color="auto" w:fill="D9D9D9"/>
            <w:vAlign w:val="center"/>
          </w:tcPr>
          <w:p w14:paraId="2B61538B" w14:textId="77777777" w:rsidR="00A60B62" w:rsidRDefault="00DC158F">
            <w:pPr>
              <w:spacing w:line="259" w:lineRule="auto"/>
              <w:rPr>
                <w:rFonts w:ascii="Arial" w:eastAsia="Arial" w:hAnsi="Arial" w:cs="Arial"/>
                <w:b/>
                <w:bCs/>
                <w:sz w:val="22"/>
                <w:szCs w:val="22"/>
              </w:rPr>
            </w:pPr>
            <w:r>
              <w:rPr>
                <w:rFonts w:ascii="Arial" w:eastAsia="Arial" w:hAnsi="Arial" w:cs="Arial"/>
                <w:sz w:val="22"/>
                <w:szCs w:val="22"/>
              </w:rPr>
              <w:t>20 to 30 years</w:t>
            </w:r>
          </w:p>
        </w:tc>
        <w:tc>
          <w:tcPr>
            <w:tcW w:w="1843" w:type="dxa"/>
            <w:tcBorders>
              <w:top w:val="single" w:sz="4" w:space="0" w:color="000000"/>
              <w:left w:val="nil"/>
              <w:bottom w:val="nil"/>
              <w:right w:val="nil"/>
            </w:tcBorders>
            <w:shd w:val="clear" w:color="auto" w:fill="D9D9D9"/>
            <w:vAlign w:val="center"/>
          </w:tcPr>
          <w:p w14:paraId="4FCEC85F"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2</w:t>
            </w:r>
          </w:p>
        </w:tc>
        <w:tc>
          <w:tcPr>
            <w:tcW w:w="1843" w:type="dxa"/>
            <w:tcBorders>
              <w:top w:val="single" w:sz="4" w:space="0" w:color="000000"/>
              <w:left w:val="nil"/>
              <w:bottom w:val="nil"/>
              <w:right w:val="nil"/>
            </w:tcBorders>
            <w:shd w:val="clear" w:color="auto" w:fill="D9D9D9"/>
            <w:vAlign w:val="center"/>
          </w:tcPr>
          <w:p w14:paraId="4AE9CC49"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5</w:t>
            </w:r>
          </w:p>
        </w:tc>
      </w:tr>
      <w:tr w:rsidR="00A60B62" w14:paraId="3503E300" w14:textId="77777777">
        <w:trPr>
          <w:trHeight w:val="567"/>
          <w:jc w:val="center"/>
        </w:trPr>
        <w:tc>
          <w:tcPr>
            <w:tcW w:w="1701" w:type="dxa"/>
            <w:tcBorders>
              <w:top w:val="nil"/>
              <w:bottom w:val="nil"/>
              <w:right w:val="nil"/>
            </w:tcBorders>
            <w:shd w:val="clear" w:color="auto" w:fill="D9D9D9"/>
            <w:vAlign w:val="center"/>
          </w:tcPr>
          <w:p w14:paraId="1F326334" w14:textId="77777777" w:rsidR="00A60B62" w:rsidRDefault="00DC158F">
            <w:pPr>
              <w:spacing w:line="259" w:lineRule="auto"/>
              <w:rPr>
                <w:rFonts w:ascii="Arial" w:eastAsia="Arial" w:hAnsi="Arial" w:cs="Arial"/>
                <w:sz w:val="22"/>
                <w:szCs w:val="22"/>
              </w:rPr>
            </w:pPr>
            <w:r>
              <w:rPr>
                <w:rFonts w:ascii="Arial" w:eastAsia="Arial" w:hAnsi="Arial" w:cs="Arial"/>
                <w:sz w:val="22"/>
                <w:szCs w:val="22"/>
              </w:rPr>
              <w:t>31 to 40 years</w:t>
            </w:r>
          </w:p>
        </w:tc>
        <w:tc>
          <w:tcPr>
            <w:tcW w:w="1843" w:type="dxa"/>
            <w:tcBorders>
              <w:top w:val="nil"/>
              <w:left w:val="nil"/>
              <w:bottom w:val="nil"/>
              <w:right w:val="nil"/>
            </w:tcBorders>
            <w:shd w:val="clear" w:color="auto" w:fill="D9D9D9"/>
            <w:vAlign w:val="center"/>
          </w:tcPr>
          <w:p w14:paraId="6B148912"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12</w:t>
            </w:r>
          </w:p>
        </w:tc>
        <w:tc>
          <w:tcPr>
            <w:tcW w:w="1843" w:type="dxa"/>
            <w:tcBorders>
              <w:top w:val="nil"/>
              <w:left w:val="nil"/>
              <w:bottom w:val="nil"/>
              <w:right w:val="nil"/>
            </w:tcBorders>
            <w:shd w:val="clear" w:color="auto" w:fill="D9D9D9"/>
            <w:vAlign w:val="center"/>
          </w:tcPr>
          <w:p w14:paraId="0DDB66D0"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30**</w:t>
            </w:r>
          </w:p>
        </w:tc>
      </w:tr>
      <w:tr w:rsidR="00A60B62" w14:paraId="1AF9FE4A" w14:textId="77777777">
        <w:trPr>
          <w:trHeight w:val="567"/>
          <w:jc w:val="center"/>
        </w:trPr>
        <w:tc>
          <w:tcPr>
            <w:tcW w:w="1701" w:type="dxa"/>
            <w:tcBorders>
              <w:top w:val="nil"/>
              <w:bottom w:val="nil"/>
              <w:right w:val="nil"/>
            </w:tcBorders>
            <w:shd w:val="clear" w:color="auto" w:fill="D9D9D9"/>
            <w:vAlign w:val="center"/>
          </w:tcPr>
          <w:p w14:paraId="71283BA2" w14:textId="77777777" w:rsidR="00A60B62" w:rsidRDefault="00DC158F">
            <w:pPr>
              <w:spacing w:line="259" w:lineRule="auto"/>
              <w:rPr>
                <w:rFonts w:ascii="Arial" w:eastAsia="Arial" w:hAnsi="Arial" w:cs="Arial"/>
                <w:sz w:val="22"/>
                <w:szCs w:val="22"/>
              </w:rPr>
            </w:pPr>
            <w:r>
              <w:rPr>
                <w:rFonts w:ascii="Arial" w:eastAsia="Arial" w:hAnsi="Arial" w:cs="Arial"/>
                <w:sz w:val="22"/>
                <w:szCs w:val="22"/>
              </w:rPr>
              <w:t xml:space="preserve">41 to 50 </w:t>
            </w:r>
            <w:r>
              <w:rPr>
                <w:rFonts w:ascii="Arial" w:eastAsia="Arial" w:hAnsi="Arial" w:cs="Arial"/>
                <w:sz w:val="22"/>
                <w:szCs w:val="22"/>
              </w:rPr>
              <w:t>years</w:t>
            </w:r>
          </w:p>
        </w:tc>
        <w:tc>
          <w:tcPr>
            <w:tcW w:w="1843" w:type="dxa"/>
            <w:tcBorders>
              <w:top w:val="nil"/>
              <w:left w:val="nil"/>
              <w:bottom w:val="nil"/>
              <w:right w:val="nil"/>
            </w:tcBorders>
            <w:shd w:val="clear" w:color="auto" w:fill="D9D9D9"/>
            <w:vAlign w:val="center"/>
          </w:tcPr>
          <w:p w14:paraId="2F849E61"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17</w:t>
            </w:r>
          </w:p>
        </w:tc>
        <w:tc>
          <w:tcPr>
            <w:tcW w:w="1843" w:type="dxa"/>
            <w:tcBorders>
              <w:top w:val="nil"/>
              <w:left w:val="nil"/>
              <w:bottom w:val="nil"/>
              <w:right w:val="nil"/>
            </w:tcBorders>
            <w:shd w:val="clear" w:color="auto" w:fill="D9D9D9"/>
            <w:vAlign w:val="center"/>
          </w:tcPr>
          <w:p w14:paraId="0DBCB1B4"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42.5***</w:t>
            </w:r>
          </w:p>
        </w:tc>
      </w:tr>
      <w:tr w:rsidR="00A60B62" w14:paraId="3BC341B6" w14:textId="77777777">
        <w:trPr>
          <w:trHeight w:val="567"/>
          <w:jc w:val="center"/>
        </w:trPr>
        <w:tc>
          <w:tcPr>
            <w:tcW w:w="1701" w:type="dxa"/>
            <w:tcBorders>
              <w:top w:val="nil"/>
              <w:bottom w:val="nil"/>
              <w:right w:val="nil"/>
            </w:tcBorders>
            <w:shd w:val="clear" w:color="auto" w:fill="D9D9D9"/>
            <w:vAlign w:val="center"/>
          </w:tcPr>
          <w:p w14:paraId="039D23B2" w14:textId="77777777" w:rsidR="00A60B62" w:rsidRDefault="00DC158F">
            <w:pPr>
              <w:spacing w:line="259" w:lineRule="auto"/>
              <w:rPr>
                <w:rFonts w:ascii="Arial" w:eastAsia="Arial" w:hAnsi="Arial" w:cs="Arial"/>
                <w:sz w:val="22"/>
                <w:szCs w:val="22"/>
              </w:rPr>
            </w:pPr>
            <w:r>
              <w:rPr>
                <w:rFonts w:ascii="Arial" w:eastAsia="Arial" w:hAnsi="Arial" w:cs="Arial"/>
                <w:sz w:val="22"/>
                <w:szCs w:val="22"/>
              </w:rPr>
              <w:t>51 to 60 years</w:t>
            </w:r>
          </w:p>
        </w:tc>
        <w:tc>
          <w:tcPr>
            <w:tcW w:w="1843" w:type="dxa"/>
            <w:tcBorders>
              <w:top w:val="nil"/>
              <w:left w:val="nil"/>
              <w:bottom w:val="nil"/>
              <w:right w:val="nil"/>
            </w:tcBorders>
            <w:shd w:val="clear" w:color="auto" w:fill="D9D9D9"/>
            <w:vAlign w:val="center"/>
          </w:tcPr>
          <w:p w14:paraId="3E6F09BA"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8</w:t>
            </w:r>
          </w:p>
        </w:tc>
        <w:tc>
          <w:tcPr>
            <w:tcW w:w="1843" w:type="dxa"/>
            <w:tcBorders>
              <w:top w:val="nil"/>
              <w:left w:val="nil"/>
              <w:bottom w:val="nil"/>
              <w:right w:val="nil"/>
            </w:tcBorders>
            <w:shd w:val="clear" w:color="auto" w:fill="D9D9D9"/>
            <w:vAlign w:val="center"/>
          </w:tcPr>
          <w:p w14:paraId="44D508E6"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20%*</w:t>
            </w:r>
          </w:p>
        </w:tc>
      </w:tr>
      <w:tr w:rsidR="00A60B62" w14:paraId="2DAB2F31" w14:textId="77777777">
        <w:trPr>
          <w:trHeight w:val="435"/>
          <w:jc w:val="center"/>
        </w:trPr>
        <w:tc>
          <w:tcPr>
            <w:tcW w:w="1701" w:type="dxa"/>
            <w:tcBorders>
              <w:top w:val="nil"/>
              <w:bottom w:val="nil"/>
              <w:right w:val="nil"/>
            </w:tcBorders>
            <w:shd w:val="clear" w:color="auto" w:fill="D9D9D9"/>
            <w:vAlign w:val="center"/>
          </w:tcPr>
          <w:p w14:paraId="4CBCBB02" w14:textId="77777777" w:rsidR="00A60B62" w:rsidRDefault="00DC158F">
            <w:pPr>
              <w:spacing w:line="259" w:lineRule="auto"/>
              <w:rPr>
                <w:rFonts w:ascii="Arial" w:eastAsia="Arial" w:hAnsi="Arial" w:cs="Arial"/>
                <w:sz w:val="22"/>
                <w:szCs w:val="22"/>
              </w:rPr>
            </w:pPr>
            <w:r>
              <w:rPr>
                <w:rFonts w:ascii="Arial" w:eastAsia="Arial" w:hAnsi="Arial" w:cs="Arial"/>
                <w:sz w:val="22"/>
                <w:szCs w:val="22"/>
              </w:rPr>
              <w:t>61 to 70 years</w:t>
            </w:r>
          </w:p>
        </w:tc>
        <w:tc>
          <w:tcPr>
            <w:tcW w:w="1843" w:type="dxa"/>
            <w:tcBorders>
              <w:top w:val="nil"/>
              <w:left w:val="nil"/>
              <w:bottom w:val="nil"/>
              <w:right w:val="nil"/>
            </w:tcBorders>
            <w:shd w:val="clear" w:color="auto" w:fill="D9D9D9"/>
            <w:vAlign w:val="center"/>
          </w:tcPr>
          <w:p w14:paraId="7F5F1809"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1</w:t>
            </w:r>
          </w:p>
        </w:tc>
        <w:tc>
          <w:tcPr>
            <w:tcW w:w="1843" w:type="dxa"/>
            <w:tcBorders>
              <w:top w:val="nil"/>
              <w:left w:val="nil"/>
              <w:bottom w:val="nil"/>
              <w:right w:val="nil"/>
            </w:tcBorders>
            <w:shd w:val="clear" w:color="auto" w:fill="D9D9D9"/>
            <w:vAlign w:val="center"/>
          </w:tcPr>
          <w:p w14:paraId="7E2A0914" w14:textId="77777777" w:rsidR="00A60B62" w:rsidRDefault="00DC158F">
            <w:pPr>
              <w:spacing w:line="259" w:lineRule="auto"/>
              <w:jc w:val="center"/>
              <w:rPr>
                <w:rFonts w:ascii="Arial" w:eastAsia="Arial" w:hAnsi="Arial" w:cs="Arial"/>
                <w:sz w:val="22"/>
                <w:szCs w:val="22"/>
              </w:rPr>
            </w:pPr>
            <w:r>
              <w:rPr>
                <w:rFonts w:ascii="Arial" w:eastAsia="Arial" w:hAnsi="Arial" w:cs="Arial"/>
                <w:sz w:val="22"/>
                <w:szCs w:val="22"/>
              </w:rPr>
              <w:t>2.5%</w:t>
            </w:r>
          </w:p>
        </w:tc>
      </w:tr>
    </w:tbl>
    <w:p w14:paraId="1B3E2612" w14:textId="77777777" w:rsidR="00A60B62" w:rsidRDefault="00DC158F">
      <w:pPr>
        <w:spacing w:line="259" w:lineRule="auto"/>
        <w:jc w:val="both"/>
        <w:rPr>
          <w:rFonts w:ascii="Arial" w:eastAsia="Arial" w:hAnsi="Arial" w:cs="Arial"/>
        </w:rPr>
      </w:pPr>
      <w:r>
        <w:rPr>
          <w:rFonts w:ascii="Arial" w:eastAsia="Arial" w:hAnsi="Arial" w:cs="Arial"/>
        </w:rPr>
        <w:t>*Significant difference p &lt; 0.05 when compared to the 20-30 year old group</w:t>
      </w:r>
    </w:p>
    <w:p w14:paraId="3A474E04" w14:textId="77777777" w:rsidR="00A60B62" w:rsidRDefault="00DC158F">
      <w:pPr>
        <w:spacing w:after="200" w:line="259" w:lineRule="auto"/>
        <w:jc w:val="both"/>
        <w:rPr>
          <w:rFonts w:ascii="Arial" w:eastAsia="Arial" w:hAnsi="Arial" w:cs="Arial"/>
        </w:rPr>
      </w:pPr>
      <w:r>
        <w:rPr>
          <w:rFonts w:ascii="Arial" w:eastAsia="Arial" w:hAnsi="Arial" w:cs="Arial"/>
        </w:rPr>
        <w:t xml:space="preserve">***Significant difference p &lt; 0.01 when compared to the 20-30 year old group; ***Significant difference p &lt; 0.001 </w:t>
      </w:r>
      <w:r>
        <w:rPr>
          <w:rFonts w:ascii="Arial" w:eastAsia="Arial" w:hAnsi="Arial" w:cs="Arial"/>
        </w:rPr>
        <w:t>when compared to the 20-30 year old group.</w:t>
      </w:r>
    </w:p>
    <w:p w14:paraId="5C88C23F" w14:textId="77777777" w:rsidR="00A60B62" w:rsidRDefault="00DC158F">
      <w:pPr>
        <w:spacing w:after="200" w:line="360" w:lineRule="auto"/>
        <w:jc w:val="both"/>
        <w:rPr>
          <w:rFonts w:ascii="Arial" w:eastAsia="Arial" w:hAnsi="Arial" w:cs="Arial"/>
          <w:sz w:val="24"/>
          <w:szCs w:val="24"/>
        </w:rPr>
      </w:pPr>
      <w:r>
        <w:rPr>
          <w:rFonts w:ascii="Arial" w:eastAsia="Arial" w:hAnsi="Arial" w:cs="Arial"/>
          <w:sz w:val="28"/>
          <w:szCs w:val="28"/>
        </w:rPr>
        <w:tab/>
      </w:r>
      <w:r>
        <w:rPr>
          <w:rFonts w:ascii="Arial" w:eastAsia="Arial" w:hAnsi="Arial" w:cs="Arial"/>
          <w:sz w:val="24"/>
          <w:szCs w:val="24"/>
        </w:rPr>
        <w:t>Table 2 presents the distribution of responses to the CD/TMD symptom questionnaire. It was observed that 42.5% of participants reported having experienced pain in the jaw, temple, ear, or anterior region of the e</w:t>
      </w:r>
      <w:r>
        <w:rPr>
          <w:rFonts w:ascii="Arial" w:eastAsia="Arial" w:hAnsi="Arial" w:cs="Arial"/>
          <w:sz w:val="24"/>
          <w:szCs w:val="24"/>
        </w:rPr>
        <w:t>ar, while 57.5% denied this symptom. Regarding the presence of pain in the last two months, 45% of individuals did not report pain, while 27.5% reported occasional pain and another 27.5% indicated pain that was always present. As for changes in pain in the</w:t>
      </w:r>
      <w:r>
        <w:rPr>
          <w:rFonts w:ascii="Arial" w:eastAsia="Arial" w:hAnsi="Arial" w:cs="Arial"/>
          <w:sz w:val="24"/>
          <w:szCs w:val="24"/>
        </w:rPr>
        <w:t xml:space="preserve"> last 30 days, most participants (62.5%) stated that they had not experienced changes in pain intensity, 27.5% reported improvement or worsening of the pain condition, and 10% indicated constantly present pain.</w:t>
      </w:r>
    </w:p>
    <w:p w14:paraId="0590E014" w14:textId="77777777" w:rsidR="00A60B62" w:rsidRDefault="00DC158F">
      <w:pPr>
        <w:spacing w:after="200" w:line="360" w:lineRule="auto"/>
        <w:jc w:val="both"/>
        <w:rPr>
          <w:rFonts w:ascii="Arial" w:eastAsia="Arial" w:hAnsi="Arial" w:cs="Arial"/>
          <w:sz w:val="24"/>
          <w:szCs w:val="24"/>
        </w:rPr>
      </w:pPr>
      <w:r>
        <w:rPr>
          <w:rFonts w:ascii="Arial" w:eastAsia="Arial" w:hAnsi="Arial" w:cs="Arial"/>
          <w:sz w:val="24"/>
          <w:szCs w:val="24"/>
        </w:rPr>
        <w:t>Table 2 - CD/TMD symptom questionnaire.</w:t>
      </w:r>
    </w:p>
    <w:sdt>
      <w:sdtPr>
        <w:tag w:val="goog_rdk_1"/>
        <w:id w:val="1500184296"/>
        <w:lock w:val="contentLocked"/>
      </w:sdtPr>
      <w:sdtEndPr/>
      <w:sdtContent>
        <w:tbl>
          <w:tblPr>
            <w:tblStyle w:val="a0"/>
            <w:tblW w:w="7995"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165"/>
            <w:gridCol w:w="810"/>
            <w:gridCol w:w="1020"/>
          </w:tblGrid>
          <w:tr w:rsidR="00A60B62" w14:paraId="423ED23C" w14:textId="77777777">
            <w:trPr>
              <w:trHeight w:val="300"/>
            </w:trPr>
            <w:tc>
              <w:tcPr>
                <w:tcW w:w="6165" w:type="dxa"/>
                <w:tcBorders>
                  <w:top w:val="single" w:sz="6" w:space="0" w:color="000000"/>
                  <w:left w:val="nil"/>
                  <w:bottom w:val="nil"/>
                  <w:right w:val="single" w:sz="6" w:space="0" w:color="000000"/>
                </w:tcBorders>
              </w:tcPr>
              <w:p w14:paraId="21F1160A" w14:textId="77777777" w:rsidR="00A60B62" w:rsidRDefault="00DC158F">
                <w:pPr>
                  <w:ind w:right="225"/>
                  <w:jc w:val="center"/>
                  <w:rPr>
                    <w:sz w:val="24"/>
                    <w:szCs w:val="24"/>
                  </w:rPr>
                </w:pPr>
                <w:r>
                  <w:rPr>
                    <w:rFonts w:ascii="Arial" w:eastAsia="Arial" w:hAnsi="Arial" w:cs="Arial"/>
                    <w:sz w:val="24"/>
                    <w:szCs w:val="24"/>
                  </w:rPr>
                  <w:t>Quest</w:t>
                </w:r>
                <w:r>
                  <w:rPr>
                    <w:rFonts w:ascii="Arial" w:eastAsia="Arial" w:hAnsi="Arial" w:cs="Arial"/>
                    <w:sz w:val="24"/>
                    <w:szCs w:val="24"/>
                  </w:rPr>
                  <w:t>ions from the DC/TMD symptom questionnaire </w:t>
                </w:r>
              </w:p>
            </w:tc>
            <w:tc>
              <w:tcPr>
                <w:tcW w:w="810" w:type="dxa"/>
                <w:tcBorders>
                  <w:top w:val="single" w:sz="6" w:space="0" w:color="000000"/>
                  <w:left w:val="single" w:sz="6" w:space="0" w:color="000000"/>
                  <w:bottom w:val="nil"/>
                  <w:right w:val="single" w:sz="6" w:space="0" w:color="000000"/>
                </w:tcBorders>
                <w:vAlign w:val="center"/>
              </w:tcPr>
              <w:p w14:paraId="38E74F01" w14:textId="77777777" w:rsidR="00A60B62" w:rsidRDefault="00DC158F">
                <w:pPr>
                  <w:jc w:val="center"/>
                  <w:rPr>
                    <w:sz w:val="24"/>
                    <w:szCs w:val="24"/>
                  </w:rPr>
                </w:pPr>
                <w:r>
                  <w:rPr>
                    <w:rFonts w:ascii="Arial" w:eastAsia="Arial" w:hAnsi="Arial" w:cs="Arial"/>
                    <w:sz w:val="24"/>
                    <w:szCs w:val="24"/>
                  </w:rPr>
                  <w:t>N </w:t>
                </w:r>
              </w:p>
            </w:tc>
            <w:tc>
              <w:tcPr>
                <w:tcW w:w="1020" w:type="dxa"/>
                <w:tcBorders>
                  <w:top w:val="single" w:sz="6" w:space="0" w:color="000000"/>
                  <w:left w:val="single" w:sz="6" w:space="0" w:color="000000"/>
                  <w:bottom w:val="nil"/>
                  <w:right w:val="nil"/>
                </w:tcBorders>
                <w:vAlign w:val="center"/>
              </w:tcPr>
              <w:p w14:paraId="1CCEBD3F" w14:textId="77777777" w:rsidR="00A60B62" w:rsidRDefault="00DC158F">
                <w:pPr>
                  <w:jc w:val="center"/>
                  <w:rPr>
                    <w:sz w:val="24"/>
                    <w:szCs w:val="24"/>
                  </w:rPr>
                </w:pPr>
                <w:r>
                  <w:rPr>
                    <w:rFonts w:ascii="Arial" w:eastAsia="Arial" w:hAnsi="Arial" w:cs="Arial"/>
                    <w:sz w:val="24"/>
                    <w:szCs w:val="24"/>
                  </w:rPr>
                  <w:t>% </w:t>
                </w:r>
              </w:p>
            </w:tc>
          </w:tr>
          <w:tr w:rsidR="00A60B62" w14:paraId="3B36D15A" w14:textId="77777777">
            <w:trPr>
              <w:trHeight w:val="315"/>
            </w:trPr>
            <w:tc>
              <w:tcPr>
                <w:tcW w:w="6165" w:type="dxa"/>
                <w:tcBorders>
                  <w:top w:val="nil"/>
                  <w:left w:val="nil"/>
                  <w:bottom w:val="nil"/>
                  <w:right w:val="single" w:sz="6" w:space="0" w:color="000000"/>
                </w:tcBorders>
                <w:vAlign w:val="center"/>
              </w:tcPr>
              <w:p w14:paraId="7F14120C" w14:textId="77777777" w:rsidR="00A60B62" w:rsidRDefault="00DC158F">
                <w:pPr>
                  <w:ind w:right="225"/>
                  <w:jc w:val="center"/>
                  <w:rPr>
                    <w:sz w:val="24"/>
                    <w:szCs w:val="24"/>
                  </w:rPr>
                </w:pPr>
                <w:r>
                  <w:rPr>
                    <w:rFonts w:ascii="Arial" w:eastAsia="Arial" w:hAnsi="Arial" w:cs="Arial"/>
                    <w:sz w:val="24"/>
                    <w:szCs w:val="24"/>
                  </w:rPr>
                  <w:t>PAIN </w:t>
                </w:r>
              </w:p>
            </w:tc>
            <w:tc>
              <w:tcPr>
                <w:tcW w:w="810" w:type="dxa"/>
                <w:tcBorders>
                  <w:top w:val="nil"/>
                  <w:left w:val="single" w:sz="6" w:space="0" w:color="000000"/>
                  <w:bottom w:val="nil"/>
                  <w:right w:val="single" w:sz="6" w:space="0" w:color="000000"/>
                </w:tcBorders>
                <w:vAlign w:val="center"/>
              </w:tcPr>
              <w:p w14:paraId="400556C9" w14:textId="77777777" w:rsidR="00A60B62" w:rsidRDefault="00DC158F">
                <w:pPr>
                  <w:jc w:val="center"/>
                  <w:rPr>
                    <w:sz w:val="24"/>
                    <w:szCs w:val="24"/>
                  </w:rPr>
                </w:pPr>
                <w:r>
                  <w:rPr>
                    <w:rFonts w:ascii="Arial" w:eastAsia="Arial" w:hAnsi="Arial" w:cs="Arial"/>
                    <w:sz w:val="24"/>
                    <w:szCs w:val="24"/>
                  </w:rPr>
                  <w:t> </w:t>
                </w:r>
              </w:p>
            </w:tc>
            <w:tc>
              <w:tcPr>
                <w:tcW w:w="1020" w:type="dxa"/>
                <w:tcBorders>
                  <w:top w:val="nil"/>
                  <w:left w:val="single" w:sz="6" w:space="0" w:color="000000"/>
                  <w:bottom w:val="nil"/>
                  <w:right w:val="nil"/>
                </w:tcBorders>
                <w:vAlign w:val="center"/>
              </w:tcPr>
              <w:p w14:paraId="27DF43BF" w14:textId="77777777" w:rsidR="00A60B62" w:rsidRDefault="00DC158F">
                <w:pPr>
                  <w:jc w:val="center"/>
                  <w:rPr>
                    <w:sz w:val="24"/>
                    <w:szCs w:val="24"/>
                  </w:rPr>
                </w:pPr>
                <w:r>
                  <w:rPr>
                    <w:rFonts w:ascii="Arial" w:eastAsia="Arial" w:hAnsi="Arial" w:cs="Arial"/>
                    <w:sz w:val="24"/>
                    <w:szCs w:val="24"/>
                  </w:rPr>
                  <w:t> </w:t>
                </w:r>
              </w:p>
            </w:tc>
          </w:tr>
          <w:tr w:rsidR="00A60B62" w14:paraId="7D884295" w14:textId="77777777">
            <w:trPr>
              <w:trHeight w:val="300"/>
            </w:trPr>
            <w:tc>
              <w:tcPr>
                <w:tcW w:w="6165" w:type="dxa"/>
                <w:tcBorders>
                  <w:top w:val="nil"/>
                  <w:left w:val="nil"/>
                  <w:bottom w:val="nil"/>
                  <w:right w:val="single" w:sz="6" w:space="0" w:color="000000"/>
                </w:tcBorders>
              </w:tcPr>
              <w:p w14:paraId="410A30CD" w14:textId="77777777" w:rsidR="00A60B62" w:rsidRDefault="00DC158F">
                <w:pPr>
                  <w:tabs>
                    <w:tab w:val="left" w:pos="1290"/>
                  </w:tabs>
                  <w:spacing w:before="174"/>
                  <w:ind w:right="237"/>
                  <w:jc w:val="both"/>
                  <w:rPr>
                    <w:rFonts w:ascii="Arial" w:eastAsia="Arial" w:hAnsi="Arial" w:cs="Arial"/>
                    <w:sz w:val="24"/>
                    <w:szCs w:val="24"/>
                  </w:rPr>
                </w:pPr>
                <w:r>
                  <w:rPr>
                    <w:rFonts w:ascii="Arial" w:eastAsia="Arial" w:hAnsi="Arial" w:cs="Arial"/>
                    <w:b/>
                    <w:bCs/>
                    <w:sz w:val="24"/>
                    <w:szCs w:val="24"/>
                  </w:rPr>
                  <w:t>In the last 30 days, on average, how long did you have any pain in your jaw or temple area on either side last?</w:t>
                </w:r>
              </w:p>
            </w:tc>
            <w:tc>
              <w:tcPr>
                <w:tcW w:w="810" w:type="dxa"/>
                <w:tcBorders>
                  <w:top w:val="nil"/>
                  <w:left w:val="single" w:sz="6" w:space="0" w:color="000000"/>
                  <w:bottom w:val="nil"/>
                  <w:right w:val="single" w:sz="6" w:space="0" w:color="000000"/>
                </w:tcBorders>
                <w:vAlign w:val="center"/>
              </w:tcPr>
              <w:p w14:paraId="3EFF10C6" w14:textId="77777777" w:rsidR="00A60B62" w:rsidRDefault="00DC158F">
                <w:pPr>
                  <w:jc w:val="center"/>
                  <w:rPr>
                    <w:sz w:val="24"/>
                    <w:szCs w:val="24"/>
                  </w:rPr>
                </w:pPr>
                <w:r>
                  <w:rPr>
                    <w:rFonts w:ascii="Arial" w:eastAsia="Arial" w:hAnsi="Arial" w:cs="Arial"/>
                    <w:sz w:val="24"/>
                    <w:szCs w:val="24"/>
                  </w:rPr>
                  <w:t> </w:t>
                </w:r>
              </w:p>
            </w:tc>
            <w:tc>
              <w:tcPr>
                <w:tcW w:w="1020" w:type="dxa"/>
                <w:tcBorders>
                  <w:top w:val="nil"/>
                  <w:left w:val="single" w:sz="6" w:space="0" w:color="000000"/>
                  <w:bottom w:val="nil"/>
                  <w:right w:val="nil"/>
                </w:tcBorders>
                <w:vAlign w:val="center"/>
              </w:tcPr>
              <w:p w14:paraId="5A334FC6" w14:textId="77777777" w:rsidR="00A60B62" w:rsidRDefault="00DC158F">
                <w:pPr>
                  <w:jc w:val="center"/>
                  <w:rPr>
                    <w:sz w:val="24"/>
                    <w:szCs w:val="24"/>
                  </w:rPr>
                </w:pPr>
                <w:r>
                  <w:rPr>
                    <w:rFonts w:ascii="Arial" w:eastAsia="Arial" w:hAnsi="Arial" w:cs="Arial"/>
                    <w:sz w:val="24"/>
                    <w:szCs w:val="24"/>
                  </w:rPr>
                  <w:t> </w:t>
                </w:r>
              </w:p>
            </w:tc>
          </w:tr>
          <w:tr w:rsidR="00A60B62" w14:paraId="311969A1" w14:textId="77777777">
            <w:trPr>
              <w:trHeight w:val="300"/>
            </w:trPr>
            <w:tc>
              <w:tcPr>
                <w:tcW w:w="6165" w:type="dxa"/>
                <w:tcBorders>
                  <w:top w:val="nil"/>
                  <w:left w:val="nil"/>
                  <w:bottom w:val="nil"/>
                  <w:right w:val="single" w:sz="6" w:space="0" w:color="000000"/>
                </w:tcBorders>
              </w:tcPr>
              <w:p w14:paraId="6F6F3E4B" w14:textId="77777777" w:rsidR="00A60B62" w:rsidRDefault="00DC158F">
                <w:pPr>
                  <w:ind w:right="225"/>
                  <w:jc w:val="both"/>
                  <w:rPr>
                    <w:rFonts w:ascii="Arial" w:eastAsia="Arial" w:hAnsi="Arial" w:cs="Arial"/>
                    <w:sz w:val="24"/>
                    <w:szCs w:val="24"/>
                  </w:rPr>
                </w:pPr>
                <w:r>
                  <w:rPr>
                    <w:rFonts w:ascii="Arial" w:eastAsia="Arial" w:hAnsi="Arial" w:cs="Arial"/>
                    <w:sz w:val="24"/>
                    <w:szCs w:val="24"/>
                  </w:rPr>
                  <w:t>a) Yes</w:t>
                </w:r>
              </w:p>
            </w:tc>
            <w:tc>
              <w:tcPr>
                <w:tcW w:w="810" w:type="dxa"/>
                <w:tcBorders>
                  <w:top w:val="nil"/>
                  <w:left w:val="single" w:sz="6" w:space="0" w:color="000000"/>
                  <w:bottom w:val="nil"/>
                  <w:right w:val="single" w:sz="6" w:space="0" w:color="000000"/>
                </w:tcBorders>
                <w:vAlign w:val="center"/>
              </w:tcPr>
              <w:p w14:paraId="19B5C04E" w14:textId="77777777" w:rsidR="00A60B62" w:rsidRDefault="00DC158F">
                <w:pPr>
                  <w:jc w:val="center"/>
                  <w:rPr>
                    <w:rFonts w:ascii="Arial" w:eastAsia="Arial" w:hAnsi="Arial" w:cs="Arial"/>
                    <w:sz w:val="24"/>
                    <w:szCs w:val="24"/>
                  </w:rPr>
                </w:pPr>
                <w:r>
                  <w:rPr>
                    <w:rFonts w:ascii="Arial" w:eastAsia="Arial" w:hAnsi="Arial" w:cs="Arial"/>
                    <w:sz w:val="24"/>
                    <w:szCs w:val="24"/>
                  </w:rPr>
                  <w:t>23</w:t>
                </w:r>
              </w:p>
            </w:tc>
            <w:tc>
              <w:tcPr>
                <w:tcW w:w="1020" w:type="dxa"/>
                <w:tcBorders>
                  <w:top w:val="nil"/>
                  <w:left w:val="single" w:sz="6" w:space="0" w:color="000000"/>
                  <w:bottom w:val="nil"/>
                  <w:right w:val="nil"/>
                </w:tcBorders>
                <w:vAlign w:val="center"/>
              </w:tcPr>
              <w:p w14:paraId="6C9F29F4" w14:textId="77777777" w:rsidR="00A60B62" w:rsidRDefault="00DC158F">
                <w:pPr>
                  <w:jc w:val="center"/>
                  <w:rPr>
                    <w:rFonts w:ascii="Arial" w:eastAsia="Arial" w:hAnsi="Arial" w:cs="Arial"/>
                    <w:sz w:val="24"/>
                    <w:szCs w:val="24"/>
                  </w:rPr>
                </w:pPr>
                <w:r>
                  <w:rPr>
                    <w:rFonts w:ascii="Arial" w:eastAsia="Arial" w:hAnsi="Arial" w:cs="Arial"/>
                    <w:sz w:val="24"/>
                    <w:szCs w:val="24"/>
                  </w:rPr>
                  <w:t>42,5</w:t>
                </w:r>
              </w:p>
            </w:tc>
          </w:tr>
          <w:tr w:rsidR="00A60B62" w14:paraId="231E4AE6" w14:textId="77777777">
            <w:trPr>
              <w:trHeight w:val="300"/>
            </w:trPr>
            <w:tc>
              <w:tcPr>
                <w:tcW w:w="6165" w:type="dxa"/>
                <w:tcBorders>
                  <w:top w:val="nil"/>
                  <w:left w:val="nil"/>
                  <w:bottom w:val="nil"/>
                  <w:right w:val="single" w:sz="6" w:space="0" w:color="000000"/>
                </w:tcBorders>
              </w:tcPr>
              <w:p w14:paraId="36F62639" w14:textId="77777777" w:rsidR="00A60B62" w:rsidRDefault="00DC158F">
                <w:pPr>
                  <w:ind w:right="225"/>
                  <w:jc w:val="both"/>
                  <w:rPr>
                    <w:rFonts w:ascii="Arial" w:eastAsia="Arial" w:hAnsi="Arial" w:cs="Arial"/>
                    <w:sz w:val="24"/>
                    <w:szCs w:val="24"/>
                  </w:rPr>
                </w:pPr>
                <w:r>
                  <w:rPr>
                    <w:rFonts w:ascii="Arial" w:eastAsia="Arial" w:hAnsi="Arial" w:cs="Arial"/>
                    <w:sz w:val="24"/>
                    <w:szCs w:val="24"/>
                  </w:rPr>
                  <w:t>b) Not </w:t>
                </w:r>
              </w:p>
            </w:tc>
            <w:tc>
              <w:tcPr>
                <w:tcW w:w="810" w:type="dxa"/>
                <w:tcBorders>
                  <w:top w:val="nil"/>
                  <w:left w:val="single" w:sz="6" w:space="0" w:color="000000"/>
                  <w:bottom w:val="nil"/>
                  <w:right w:val="single" w:sz="6" w:space="0" w:color="000000"/>
                </w:tcBorders>
                <w:vAlign w:val="center"/>
              </w:tcPr>
              <w:p w14:paraId="1C251F4B" w14:textId="77777777" w:rsidR="00A60B62" w:rsidRDefault="00DC158F">
                <w:pPr>
                  <w:jc w:val="center"/>
                  <w:rPr>
                    <w:rFonts w:ascii="Arial" w:eastAsia="Arial" w:hAnsi="Arial" w:cs="Arial"/>
                    <w:sz w:val="24"/>
                    <w:szCs w:val="24"/>
                  </w:rPr>
                </w:pPr>
                <w:r>
                  <w:rPr>
                    <w:rFonts w:ascii="Arial" w:eastAsia="Arial" w:hAnsi="Arial" w:cs="Arial"/>
                    <w:sz w:val="24"/>
                    <w:szCs w:val="24"/>
                  </w:rPr>
                  <w:t>17</w:t>
                </w:r>
              </w:p>
            </w:tc>
            <w:tc>
              <w:tcPr>
                <w:tcW w:w="1020" w:type="dxa"/>
                <w:tcBorders>
                  <w:top w:val="nil"/>
                  <w:left w:val="single" w:sz="6" w:space="0" w:color="000000"/>
                  <w:bottom w:val="nil"/>
                  <w:right w:val="nil"/>
                </w:tcBorders>
                <w:vAlign w:val="center"/>
              </w:tcPr>
              <w:p w14:paraId="572E37C4" w14:textId="77777777" w:rsidR="00A60B62" w:rsidRDefault="00DC158F">
                <w:pPr>
                  <w:jc w:val="center"/>
                  <w:rPr>
                    <w:rFonts w:ascii="Arial" w:eastAsia="Arial" w:hAnsi="Arial" w:cs="Arial"/>
                    <w:sz w:val="24"/>
                    <w:szCs w:val="24"/>
                  </w:rPr>
                </w:pPr>
                <w:r>
                  <w:rPr>
                    <w:rFonts w:ascii="Arial" w:eastAsia="Arial" w:hAnsi="Arial" w:cs="Arial"/>
                    <w:sz w:val="24"/>
                    <w:szCs w:val="24"/>
                  </w:rPr>
                  <w:t>57,5</w:t>
                </w:r>
              </w:p>
            </w:tc>
          </w:tr>
          <w:tr w:rsidR="00A60B62" w14:paraId="676DD038" w14:textId="77777777">
            <w:trPr>
              <w:trHeight w:val="300"/>
            </w:trPr>
            <w:tc>
              <w:tcPr>
                <w:tcW w:w="6165" w:type="dxa"/>
                <w:tcBorders>
                  <w:top w:val="nil"/>
                  <w:left w:val="nil"/>
                  <w:bottom w:val="nil"/>
                  <w:right w:val="single" w:sz="6" w:space="0" w:color="000000"/>
                </w:tcBorders>
              </w:tcPr>
              <w:p w14:paraId="5C2C1439" w14:textId="77777777" w:rsidR="00A60B62" w:rsidRDefault="00DC158F">
                <w:pPr>
                  <w:ind w:right="225"/>
                  <w:jc w:val="both"/>
                  <w:rPr>
                    <w:rFonts w:ascii="Arial" w:eastAsia="Arial" w:hAnsi="Arial" w:cs="Arial"/>
                    <w:sz w:val="24"/>
                    <w:szCs w:val="24"/>
                  </w:rPr>
                </w:pPr>
                <w:r>
                  <w:rPr>
                    <w:rFonts w:ascii="Arial" w:eastAsia="Arial" w:hAnsi="Arial" w:cs="Arial"/>
                    <w:sz w:val="24"/>
                    <w:szCs w:val="24"/>
                  </w:rPr>
                  <w:t xml:space="preserve">How many years or months ago did you first </w:t>
                </w:r>
                <w:r>
                  <w:rPr>
                    <w:rFonts w:ascii="Arial" w:eastAsia="Arial" w:hAnsi="Arial" w:cs="Arial"/>
                    <w:sz w:val="24"/>
                    <w:szCs w:val="24"/>
                  </w:rPr>
                  <w:t>experience pain in your jaw (mouth), temple, ear, or in front of your ear on either side?</w:t>
                </w:r>
              </w:p>
            </w:tc>
            <w:tc>
              <w:tcPr>
                <w:tcW w:w="810" w:type="dxa"/>
                <w:tcBorders>
                  <w:top w:val="nil"/>
                  <w:left w:val="single" w:sz="6" w:space="0" w:color="000000"/>
                  <w:bottom w:val="nil"/>
                  <w:right w:val="single" w:sz="6" w:space="0" w:color="000000"/>
                </w:tcBorders>
                <w:vAlign w:val="center"/>
              </w:tcPr>
              <w:p w14:paraId="2210B12A" w14:textId="77777777" w:rsidR="00A60B62" w:rsidRDefault="00A60B62">
                <w:pPr>
                  <w:jc w:val="center"/>
                  <w:rPr>
                    <w:rFonts w:ascii="Arial" w:eastAsia="Arial" w:hAnsi="Arial" w:cs="Arial"/>
                    <w:sz w:val="24"/>
                    <w:szCs w:val="24"/>
                  </w:rPr>
                </w:pPr>
              </w:p>
            </w:tc>
            <w:tc>
              <w:tcPr>
                <w:tcW w:w="1020" w:type="dxa"/>
                <w:tcBorders>
                  <w:top w:val="nil"/>
                  <w:left w:val="single" w:sz="6" w:space="0" w:color="000000"/>
                  <w:bottom w:val="nil"/>
                  <w:right w:val="nil"/>
                </w:tcBorders>
                <w:vAlign w:val="center"/>
              </w:tcPr>
              <w:p w14:paraId="756965A8" w14:textId="77777777" w:rsidR="00A60B62" w:rsidRDefault="00A60B62">
                <w:pPr>
                  <w:jc w:val="center"/>
                  <w:rPr>
                    <w:rFonts w:ascii="Arial" w:eastAsia="Arial" w:hAnsi="Arial" w:cs="Arial"/>
                    <w:sz w:val="24"/>
                    <w:szCs w:val="24"/>
                  </w:rPr>
                </w:pPr>
              </w:p>
            </w:tc>
          </w:tr>
          <w:tr w:rsidR="00A60B62" w14:paraId="73794F6B" w14:textId="77777777">
            <w:trPr>
              <w:trHeight w:val="300"/>
            </w:trPr>
            <w:tc>
              <w:tcPr>
                <w:tcW w:w="6165" w:type="dxa"/>
                <w:tcBorders>
                  <w:top w:val="nil"/>
                  <w:left w:val="nil"/>
                  <w:bottom w:val="nil"/>
                  <w:right w:val="single" w:sz="6" w:space="0" w:color="000000"/>
                </w:tcBorders>
              </w:tcPr>
              <w:p w14:paraId="7AD9EDA6" w14:textId="77777777" w:rsidR="00A60B62" w:rsidRDefault="00DC158F">
                <w:pPr>
                  <w:ind w:right="225"/>
                  <w:jc w:val="both"/>
                  <w:rPr>
                    <w:rFonts w:ascii="Arial" w:eastAsia="Arial" w:hAnsi="Arial" w:cs="Arial"/>
                    <w:sz w:val="24"/>
                    <w:szCs w:val="24"/>
                  </w:rPr>
                </w:pPr>
                <w:r>
                  <w:rPr>
                    <w:rFonts w:ascii="Arial" w:eastAsia="Arial" w:hAnsi="Arial" w:cs="Arial"/>
                    <w:sz w:val="24"/>
                    <w:szCs w:val="24"/>
                  </w:rPr>
                  <w:t>a) No pain</w:t>
                </w:r>
              </w:p>
            </w:tc>
            <w:tc>
              <w:tcPr>
                <w:tcW w:w="810" w:type="dxa"/>
                <w:tcBorders>
                  <w:top w:val="nil"/>
                  <w:left w:val="single" w:sz="6" w:space="0" w:color="000000"/>
                  <w:bottom w:val="nil"/>
                  <w:right w:val="single" w:sz="6" w:space="0" w:color="000000"/>
                </w:tcBorders>
                <w:vAlign w:val="center"/>
              </w:tcPr>
              <w:p w14:paraId="157EFC6F" w14:textId="77777777" w:rsidR="00A60B62" w:rsidRDefault="00DC158F">
                <w:pPr>
                  <w:jc w:val="center"/>
                  <w:rPr>
                    <w:rFonts w:ascii="Arial" w:eastAsia="Arial" w:hAnsi="Arial" w:cs="Arial"/>
                    <w:sz w:val="24"/>
                    <w:szCs w:val="24"/>
                  </w:rPr>
                </w:pPr>
                <w:r>
                  <w:rPr>
                    <w:rFonts w:ascii="Arial" w:eastAsia="Arial" w:hAnsi="Arial" w:cs="Arial"/>
                    <w:sz w:val="24"/>
                    <w:szCs w:val="24"/>
                  </w:rPr>
                  <w:t>18</w:t>
                </w:r>
              </w:p>
            </w:tc>
            <w:tc>
              <w:tcPr>
                <w:tcW w:w="1020" w:type="dxa"/>
                <w:tcBorders>
                  <w:top w:val="nil"/>
                  <w:left w:val="single" w:sz="6" w:space="0" w:color="000000"/>
                  <w:bottom w:val="nil"/>
                  <w:right w:val="nil"/>
                </w:tcBorders>
                <w:vAlign w:val="center"/>
              </w:tcPr>
              <w:p w14:paraId="43A6DD01" w14:textId="77777777" w:rsidR="00A60B62" w:rsidRDefault="00DC158F">
                <w:pPr>
                  <w:jc w:val="center"/>
                  <w:rPr>
                    <w:rFonts w:ascii="Arial" w:eastAsia="Arial" w:hAnsi="Arial" w:cs="Arial"/>
                    <w:sz w:val="24"/>
                    <w:szCs w:val="24"/>
                  </w:rPr>
                </w:pPr>
                <w:r>
                  <w:rPr>
                    <w:rFonts w:ascii="Arial" w:eastAsia="Arial" w:hAnsi="Arial" w:cs="Arial"/>
                    <w:sz w:val="24"/>
                    <w:szCs w:val="24"/>
                  </w:rPr>
                  <w:t>45</w:t>
                </w:r>
              </w:p>
            </w:tc>
          </w:tr>
          <w:tr w:rsidR="00A60B62" w14:paraId="67B93BAB" w14:textId="77777777">
            <w:trPr>
              <w:trHeight w:val="300"/>
            </w:trPr>
            <w:tc>
              <w:tcPr>
                <w:tcW w:w="6165" w:type="dxa"/>
                <w:tcBorders>
                  <w:top w:val="nil"/>
                  <w:left w:val="nil"/>
                  <w:bottom w:val="nil"/>
                  <w:right w:val="single" w:sz="6" w:space="0" w:color="000000"/>
                </w:tcBorders>
              </w:tcPr>
              <w:p w14:paraId="0FE8B6D5" w14:textId="77777777" w:rsidR="00A60B62" w:rsidRDefault="00DC158F">
                <w:pPr>
                  <w:ind w:right="225"/>
                  <w:jc w:val="both"/>
                  <w:rPr>
                    <w:rFonts w:ascii="Arial" w:eastAsia="Arial" w:hAnsi="Arial" w:cs="Arial"/>
                    <w:sz w:val="24"/>
                    <w:szCs w:val="24"/>
                  </w:rPr>
                </w:pPr>
                <w:r>
                  <w:rPr>
                    <w:rFonts w:ascii="Arial" w:eastAsia="Arial" w:hAnsi="Arial" w:cs="Arial"/>
                    <w:sz w:val="24"/>
                    <w:szCs w:val="24"/>
                  </w:rPr>
                  <w:t>b) Alternating pain</w:t>
                </w:r>
              </w:p>
            </w:tc>
            <w:tc>
              <w:tcPr>
                <w:tcW w:w="810" w:type="dxa"/>
                <w:tcBorders>
                  <w:top w:val="nil"/>
                  <w:left w:val="single" w:sz="6" w:space="0" w:color="000000"/>
                  <w:bottom w:val="nil"/>
                  <w:right w:val="single" w:sz="6" w:space="0" w:color="000000"/>
                </w:tcBorders>
                <w:vAlign w:val="center"/>
              </w:tcPr>
              <w:p w14:paraId="6DBABFB3" w14:textId="77777777" w:rsidR="00A60B62" w:rsidRDefault="00DC158F">
                <w:pPr>
                  <w:jc w:val="center"/>
                  <w:rPr>
                    <w:rFonts w:ascii="Arial" w:eastAsia="Arial" w:hAnsi="Arial" w:cs="Arial"/>
                    <w:sz w:val="24"/>
                    <w:szCs w:val="24"/>
                  </w:rPr>
                </w:pPr>
                <w:r>
                  <w:rPr>
                    <w:rFonts w:ascii="Arial" w:eastAsia="Arial" w:hAnsi="Arial" w:cs="Arial"/>
                    <w:sz w:val="24"/>
                    <w:szCs w:val="24"/>
                  </w:rPr>
                  <w:t>11</w:t>
                </w:r>
              </w:p>
            </w:tc>
            <w:tc>
              <w:tcPr>
                <w:tcW w:w="1020" w:type="dxa"/>
                <w:tcBorders>
                  <w:top w:val="nil"/>
                  <w:left w:val="single" w:sz="6" w:space="0" w:color="000000"/>
                  <w:bottom w:val="nil"/>
                  <w:right w:val="nil"/>
                </w:tcBorders>
                <w:vAlign w:val="center"/>
              </w:tcPr>
              <w:p w14:paraId="30592A51" w14:textId="77777777" w:rsidR="00A60B62" w:rsidRDefault="00DC158F">
                <w:pPr>
                  <w:jc w:val="center"/>
                  <w:rPr>
                    <w:rFonts w:ascii="Arial" w:eastAsia="Arial" w:hAnsi="Arial" w:cs="Arial"/>
                    <w:sz w:val="24"/>
                    <w:szCs w:val="24"/>
                  </w:rPr>
                </w:pPr>
                <w:r>
                  <w:rPr>
                    <w:rFonts w:ascii="Arial" w:eastAsia="Arial" w:hAnsi="Arial" w:cs="Arial"/>
                    <w:sz w:val="24"/>
                    <w:szCs w:val="24"/>
                  </w:rPr>
                  <w:t>27,5</w:t>
                </w:r>
              </w:p>
            </w:tc>
          </w:tr>
          <w:tr w:rsidR="00A60B62" w14:paraId="035CEF81" w14:textId="77777777">
            <w:tc>
              <w:tcPr>
                <w:tcW w:w="6165" w:type="dxa"/>
                <w:tcBorders>
                  <w:top w:val="nil"/>
                  <w:left w:val="nil"/>
                  <w:bottom w:val="nil"/>
                  <w:right w:val="single" w:sz="6" w:space="0" w:color="000000"/>
                </w:tcBorders>
              </w:tcPr>
              <w:p w14:paraId="4832EB95" w14:textId="77777777" w:rsidR="00A60B62" w:rsidRDefault="00DC158F">
                <w:pPr>
                  <w:ind w:right="225"/>
                  <w:jc w:val="both"/>
                  <w:rPr>
                    <w:rFonts w:ascii="Arial" w:eastAsia="Arial" w:hAnsi="Arial" w:cs="Arial"/>
                    <w:sz w:val="24"/>
                    <w:szCs w:val="24"/>
                  </w:rPr>
                </w:pPr>
                <w:r>
                  <w:rPr>
                    <w:rFonts w:ascii="Arial" w:eastAsia="Arial" w:hAnsi="Arial" w:cs="Arial"/>
                    <w:sz w:val="24"/>
                    <w:szCs w:val="24"/>
                  </w:rPr>
                  <w:t>c) Continuous</w:t>
                </w:r>
              </w:p>
            </w:tc>
            <w:tc>
              <w:tcPr>
                <w:tcW w:w="810" w:type="dxa"/>
                <w:tcBorders>
                  <w:top w:val="nil"/>
                  <w:left w:val="single" w:sz="6" w:space="0" w:color="000000"/>
                  <w:bottom w:val="nil"/>
                  <w:right w:val="single" w:sz="6" w:space="0" w:color="000000"/>
                </w:tcBorders>
                <w:vAlign w:val="center"/>
              </w:tcPr>
              <w:p w14:paraId="64849283" w14:textId="77777777" w:rsidR="00A60B62" w:rsidRDefault="00DC158F">
                <w:pPr>
                  <w:jc w:val="center"/>
                  <w:rPr>
                    <w:rFonts w:ascii="Arial" w:eastAsia="Arial" w:hAnsi="Arial" w:cs="Arial"/>
                    <w:sz w:val="24"/>
                    <w:szCs w:val="24"/>
                  </w:rPr>
                </w:pPr>
                <w:r>
                  <w:rPr>
                    <w:rFonts w:ascii="Arial" w:eastAsia="Arial" w:hAnsi="Arial" w:cs="Arial"/>
                    <w:sz w:val="24"/>
                    <w:szCs w:val="24"/>
                  </w:rPr>
                  <w:t>11</w:t>
                </w:r>
              </w:p>
            </w:tc>
            <w:tc>
              <w:tcPr>
                <w:tcW w:w="1020" w:type="dxa"/>
                <w:tcBorders>
                  <w:top w:val="nil"/>
                  <w:left w:val="single" w:sz="6" w:space="0" w:color="000000"/>
                  <w:bottom w:val="nil"/>
                  <w:right w:val="nil"/>
                </w:tcBorders>
                <w:vAlign w:val="center"/>
              </w:tcPr>
              <w:p w14:paraId="4CF58E32" w14:textId="77777777" w:rsidR="00A60B62" w:rsidRDefault="00DC158F">
                <w:pPr>
                  <w:jc w:val="center"/>
                  <w:rPr>
                    <w:rFonts w:ascii="Arial" w:eastAsia="Arial" w:hAnsi="Arial" w:cs="Arial"/>
                    <w:sz w:val="24"/>
                    <w:szCs w:val="24"/>
                  </w:rPr>
                </w:pPr>
                <w:r>
                  <w:rPr>
                    <w:rFonts w:ascii="Arial" w:eastAsia="Arial" w:hAnsi="Arial" w:cs="Arial"/>
                    <w:sz w:val="24"/>
                    <w:szCs w:val="24"/>
                  </w:rPr>
                  <w:t>27,5</w:t>
                </w:r>
              </w:p>
            </w:tc>
          </w:tr>
          <w:tr w:rsidR="00A60B62" w14:paraId="2025D7E5" w14:textId="77777777">
            <w:trPr>
              <w:trHeight w:val="548"/>
            </w:trPr>
            <w:tc>
              <w:tcPr>
                <w:tcW w:w="6165" w:type="dxa"/>
                <w:tcBorders>
                  <w:top w:val="nil"/>
                  <w:left w:val="nil"/>
                  <w:bottom w:val="nil"/>
                  <w:right w:val="single" w:sz="6" w:space="0" w:color="000000"/>
                </w:tcBorders>
              </w:tcPr>
              <w:p w14:paraId="1F5CEB73" w14:textId="77777777" w:rsidR="00A60B62" w:rsidRDefault="00DC158F">
                <w:pPr>
                  <w:tabs>
                    <w:tab w:val="left" w:pos="1290"/>
                  </w:tabs>
                  <w:ind w:right="233"/>
                  <w:jc w:val="both"/>
                  <w:rPr>
                    <w:rFonts w:ascii="Arial" w:eastAsia="Arial" w:hAnsi="Arial" w:cs="Arial"/>
                    <w:sz w:val="24"/>
                    <w:szCs w:val="24"/>
                  </w:rPr>
                </w:pPr>
                <w:r>
                  <w:rPr>
                    <w:rFonts w:ascii="Arial" w:eastAsia="Arial" w:hAnsi="Arial" w:cs="Arial"/>
                    <w:b/>
                    <w:bCs/>
                    <w:sz w:val="24"/>
                    <w:szCs w:val="24"/>
                  </w:rPr>
                  <w:t>In the last 30 days, did the following activities change any pain (that is, make it better or</w:t>
                </w:r>
                <w:r>
                  <w:rPr>
                    <w:rFonts w:ascii="Arial" w:eastAsia="Arial" w:hAnsi="Arial" w:cs="Arial"/>
                    <w:b/>
                    <w:bCs/>
                    <w:sz w:val="24"/>
                    <w:szCs w:val="24"/>
                  </w:rPr>
                  <w:t xml:space="preserve"> make it worse) in your jaw or temple area on either side?</w:t>
                </w:r>
              </w:p>
            </w:tc>
            <w:tc>
              <w:tcPr>
                <w:tcW w:w="810" w:type="dxa"/>
                <w:tcBorders>
                  <w:top w:val="nil"/>
                  <w:left w:val="single" w:sz="6" w:space="0" w:color="000000"/>
                  <w:bottom w:val="nil"/>
                  <w:right w:val="single" w:sz="6" w:space="0" w:color="000000"/>
                </w:tcBorders>
                <w:vAlign w:val="center"/>
              </w:tcPr>
              <w:p w14:paraId="4AC16E79" w14:textId="77777777" w:rsidR="00A60B62" w:rsidRDefault="00A60B62">
                <w:pPr>
                  <w:jc w:val="center"/>
                  <w:rPr>
                    <w:rFonts w:ascii="Arial" w:eastAsia="Arial" w:hAnsi="Arial" w:cs="Arial"/>
                    <w:sz w:val="24"/>
                    <w:szCs w:val="24"/>
                  </w:rPr>
                </w:pPr>
              </w:p>
            </w:tc>
            <w:tc>
              <w:tcPr>
                <w:tcW w:w="1020" w:type="dxa"/>
                <w:tcBorders>
                  <w:top w:val="nil"/>
                  <w:left w:val="single" w:sz="6" w:space="0" w:color="000000"/>
                  <w:bottom w:val="nil"/>
                  <w:right w:val="nil"/>
                </w:tcBorders>
                <w:vAlign w:val="center"/>
              </w:tcPr>
              <w:p w14:paraId="79B7EDAC" w14:textId="77777777" w:rsidR="00A60B62" w:rsidRDefault="00A60B62">
                <w:pPr>
                  <w:jc w:val="center"/>
                  <w:rPr>
                    <w:rFonts w:ascii="Arial" w:eastAsia="Arial" w:hAnsi="Arial" w:cs="Arial"/>
                    <w:sz w:val="24"/>
                    <w:szCs w:val="24"/>
                  </w:rPr>
                </w:pPr>
              </w:p>
            </w:tc>
          </w:tr>
          <w:tr w:rsidR="00A60B62" w14:paraId="3C348F37" w14:textId="77777777">
            <w:trPr>
              <w:trHeight w:val="300"/>
            </w:trPr>
            <w:tc>
              <w:tcPr>
                <w:tcW w:w="6165" w:type="dxa"/>
                <w:tcBorders>
                  <w:top w:val="nil"/>
                  <w:left w:val="nil"/>
                  <w:bottom w:val="nil"/>
                  <w:right w:val="single" w:sz="6" w:space="0" w:color="000000"/>
                </w:tcBorders>
              </w:tcPr>
              <w:p w14:paraId="66D84222" w14:textId="77777777" w:rsidR="00A60B62" w:rsidRDefault="00DC158F">
                <w:pPr>
                  <w:ind w:right="225"/>
                  <w:jc w:val="both"/>
                  <w:rPr>
                    <w:rFonts w:ascii="Arial" w:eastAsia="Arial" w:hAnsi="Arial" w:cs="Arial"/>
                    <w:sz w:val="24"/>
                    <w:szCs w:val="24"/>
                  </w:rPr>
                </w:pPr>
                <w:r>
                  <w:rPr>
                    <w:rFonts w:ascii="Arial" w:eastAsia="Arial" w:hAnsi="Arial" w:cs="Arial"/>
                    <w:sz w:val="24"/>
                    <w:szCs w:val="24"/>
                  </w:rPr>
                  <w:t>a) No pain</w:t>
                </w:r>
              </w:p>
            </w:tc>
            <w:tc>
              <w:tcPr>
                <w:tcW w:w="810" w:type="dxa"/>
                <w:tcBorders>
                  <w:top w:val="nil"/>
                  <w:left w:val="single" w:sz="6" w:space="0" w:color="000000"/>
                  <w:bottom w:val="nil"/>
                  <w:right w:val="single" w:sz="6" w:space="0" w:color="000000"/>
                </w:tcBorders>
                <w:vAlign w:val="center"/>
              </w:tcPr>
              <w:p w14:paraId="116DF94E" w14:textId="77777777" w:rsidR="00A60B62" w:rsidRDefault="00DC158F">
                <w:pPr>
                  <w:jc w:val="center"/>
                  <w:rPr>
                    <w:rFonts w:ascii="Arial" w:eastAsia="Arial" w:hAnsi="Arial" w:cs="Arial"/>
                    <w:sz w:val="24"/>
                    <w:szCs w:val="24"/>
                  </w:rPr>
                </w:pPr>
                <w:r>
                  <w:rPr>
                    <w:rFonts w:ascii="Arial" w:eastAsia="Arial" w:hAnsi="Arial" w:cs="Arial"/>
                    <w:sz w:val="24"/>
                    <w:szCs w:val="24"/>
                  </w:rPr>
                  <w:t>25</w:t>
                </w:r>
              </w:p>
            </w:tc>
            <w:tc>
              <w:tcPr>
                <w:tcW w:w="1020" w:type="dxa"/>
                <w:tcBorders>
                  <w:top w:val="nil"/>
                  <w:left w:val="single" w:sz="6" w:space="0" w:color="000000"/>
                  <w:bottom w:val="nil"/>
                  <w:right w:val="nil"/>
                </w:tcBorders>
                <w:vAlign w:val="center"/>
              </w:tcPr>
              <w:p w14:paraId="4301EED7" w14:textId="77777777" w:rsidR="00A60B62" w:rsidRDefault="00DC158F">
                <w:pPr>
                  <w:jc w:val="center"/>
                  <w:rPr>
                    <w:rFonts w:ascii="Arial" w:eastAsia="Arial" w:hAnsi="Arial" w:cs="Arial"/>
                    <w:sz w:val="24"/>
                    <w:szCs w:val="24"/>
                  </w:rPr>
                </w:pPr>
                <w:r>
                  <w:rPr>
                    <w:rFonts w:ascii="Arial" w:eastAsia="Arial" w:hAnsi="Arial" w:cs="Arial"/>
                    <w:sz w:val="24"/>
                    <w:szCs w:val="24"/>
                  </w:rPr>
                  <w:t>62.5</w:t>
                </w:r>
              </w:p>
            </w:tc>
          </w:tr>
          <w:tr w:rsidR="00A60B62" w14:paraId="141B4410" w14:textId="77777777">
            <w:trPr>
              <w:trHeight w:val="300"/>
            </w:trPr>
            <w:tc>
              <w:tcPr>
                <w:tcW w:w="6165" w:type="dxa"/>
                <w:tcBorders>
                  <w:top w:val="nil"/>
                  <w:left w:val="nil"/>
                  <w:bottom w:val="nil"/>
                  <w:right w:val="single" w:sz="6" w:space="0" w:color="000000"/>
                </w:tcBorders>
              </w:tcPr>
              <w:p w14:paraId="4766F40B" w14:textId="77777777" w:rsidR="00A60B62" w:rsidRDefault="00DC158F">
                <w:pPr>
                  <w:ind w:right="225"/>
                  <w:jc w:val="both"/>
                  <w:rPr>
                    <w:rFonts w:ascii="Arial" w:eastAsia="Arial" w:hAnsi="Arial" w:cs="Arial"/>
                    <w:sz w:val="24"/>
                    <w:szCs w:val="24"/>
                  </w:rPr>
                </w:pPr>
                <w:r>
                  <w:rPr>
                    <w:rFonts w:ascii="Arial" w:eastAsia="Arial" w:hAnsi="Arial" w:cs="Arial"/>
                    <w:sz w:val="24"/>
                    <w:szCs w:val="24"/>
                  </w:rPr>
                  <w:t>b) Alternating pain</w:t>
                </w:r>
              </w:p>
            </w:tc>
            <w:tc>
              <w:tcPr>
                <w:tcW w:w="810" w:type="dxa"/>
                <w:tcBorders>
                  <w:top w:val="nil"/>
                  <w:left w:val="single" w:sz="6" w:space="0" w:color="000000"/>
                  <w:bottom w:val="nil"/>
                  <w:right w:val="single" w:sz="6" w:space="0" w:color="000000"/>
                </w:tcBorders>
                <w:vAlign w:val="center"/>
              </w:tcPr>
              <w:p w14:paraId="53AD1346" w14:textId="77777777" w:rsidR="00A60B62" w:rsidRDefault="00DC158F">
                <w:pPr>
                  <w:rPr>
                    <w:rFonts w:ascii="Arial" w:eastAsia="Arial" w:hAnsi="Arial" w:cs="Arial"/>
                    <w:sz w:val="24"/>
                    <w:szCs w:val="24"/>
                  </w:rPr>
                </w:pPr>
                <w:r>
                  <w:rPr>
                    <w:rFonts w:ascii="Arial" w:eastAsia="Arial" w:hAnsi="Arial" w:cs="Arial"/>
                    <w:sz w:val="24"/>
                    <w:szCs w:val="24"/>
                  </w:rPr>
                  <w:t xml:space="preserve">    11</w:t>
                </w:r>
              </w:p>
            </w:tc>
            <w:tc>
              <w:tcPr>
                <w:tcW w:w="1020" w:type="dxa"/>
                <w:tcBorders>
                  <w:top w:val="nil"/>
                  <w:left w:val="single" w:sz="6" w:space="0" w:color="000000"/>
                  <w:bottom w:val="nil"/>
                  <w:right w:val="nil"/>
                </w:tcBorders>
                <w:vAlign w:val="center"/>
              </w:tcPr>
              <w:p w14:paraId="31C956FF" w14:textId="77777777" w:rsidR="00A60B62" w:rsidRDefault="00DC158F">
                <w:pPr>
                  <w:jc w:val="center"/>
                  <w:rPr>
                    <w:rFonts w:ascii="Arial" w:eastAsia="Arial" w:hAnsi="Arial" w:cs="Arial"/>
                    <w:sz w:val="24"/>
                    <w:szCs w:val="24"/>
                  </w:rPr>
                </w:pPr>
                <w:r>
                  <w:rPr>
                    <w:rFonts w:ascii="Arial" w:eastAsia="Arial" w:hAnsi="Arial" w:cs="Arial"/>
                    <w:sz w:val="24"/>
                    <w:szCs w:val="24"/>
                  </w:rPr>
                  <w:t>27.5</w:t>
                </w:r>
              </w:p>
            </w:tc>
          </w:tr>
          <w:tr w:rsidR="00A60B62" w14:paraId="6A2345C0" w14:textId="77777777">
            <w:trPr>
              <w:trHeight w:val="300"/>
            </w:trPr>
            <w:tc>
              <w:tcPr>
                <w:tcW w:w="6165" w:type="dxa"/>
                <w:tcBorders>
                  <w:top w:val="nil"/>
                  <w:left w:val="nil"/>
                  <w:bottom w:val="nil"/>
                  <w:right w:val="single" w:sz="6" w:space="0" w:color="000000"/>
                </w:tcBorders>
              </w:tcPr>
              <w:p w14:paraId="750EE1F7" w14:textId="77777777" w:rsidR="00A60B62" w:rsidRDefault="00DC158F">
                <w:pPr>
                  <w:ind w:right="225"/>
                  <w:jc w:val="both"/>
                  <w:rPr>
                    <w:rFonts w:ascii="Arial" w:eastAsia="Arial" w:hAnsi="Arial" w:cs="Arial"/>
                    <w:sz w:val="24"/>
                    <w:szCs w:val="24"/>
                  </w:rPr>
                </w:pPr>
                <w:r>
                  <w:rPr>
                    <w:rFonts w:ascii="Arial" w:eastAsia="Arial" w:hAnsi="Arial" w:cs="Arial"/>
                    <w:sz w:val="24"/>
                    <w:szCs w:val="24"/>
                  </w:rPr>
                  <w:lastRenderedPageBreak/>
                  <w:t>c) Continuous </w:t>
                </w:r>
              </w:p>
            </w:tc>
            <w:tc>
              <w:tcPr>
                <w:tcW w:w="810" w:type="dxa"/>
                <w:tcBorders>
                  <w:top w:val="nil"/>
                  <w:left w:val="single" w:sz="6" w:space="0" w:color="000000"/>
                  <w:bottom w:val="nil"/>
                  <w:right w:val="single" w:sz="6" w:space="0" w:color="000000"/>
                </w:tcBorders>
                <w:vAlign w:val="center"/>
              </w:tcPr>
              <w:p w14:paraId="56FFBDDC" w14:textId="77777777" w:rsidR="00A60B62" w:rsidRDefault="00DC158F">
                <w:pPr>
                  <w:jc w:val="center"/>
                  <w:rPr>
                    <w:rFonts w:ascii="Arial" w:eastAsia="Arial" w:hAnsi="Arial" w:cs="Arial"/>
                    <w:sz w:val="24"/>
                    <w:szCs w:val="24"/>
                  </w:rPr>
                </w:pPr>
                <w:r>
                  <w:rPr>
                    <w:rFonts w:ascii="Arial" w:eastAsia="Arial" w:hAnsi="Arial" w:cs="Arial"/>
                    <w:sz w:val="24"/>
                    <w:szCs w:val="24"/>
                  </w:rPr>
                  <w:t>4</w:t>
                </w:r>
              </w:p>
            </w:tc>
            <w:tc>
              <w:tcPr>
                <w:tcW w:w="1020" w:type="dxa"/>
                <w:tcBorders>
                  <w:top w:val="nil"/>
                  <w:left w:val="single" w:sz="6" w:space="0" w:color="000000"/>
                  <w:bottom w:val="nil"/>
                  <w:right w:val="nil"/>
                </w:tcBorders>
                <w:vAlign w:val="center"/>
              </w:tcPr>
              <w:p w14:paraId="2C2387F3" w14:textId="77777777" w:rsidR="00A60B62" w:rsidRDefault="00DC158F">
                <w:pPr>
                  <w:jc w:val="center"/>
                  <w:rPr>
                    <w:rFonts w:ascii="Arial" w:eastAsia="Arial" w:hAnsi="Arial" w:cs="Arial"/>
                    <w:sz w:val="24"/>
                    <w:szCs w:val="24"/>
                  </w:rPr>
                </w:pPr>
                <w:r>
                  <w:rPr>
                    <w:rFonts w:ascii="Arial" w:eastAsia="Arial" w:hAnsi="Arial" w:cs="Arial"/>
                    <w:sz w:val="24"/>
                    <w:szCs w:val="24"/>
                  </w:rPr>
                  <w:t>10</w:t>
                </w:r>
              </w:p>
            </w:tc>
          </w:tr>
        </w:tbl>
      </w:sdtContent>
    </w:sdt>
    <w:p w14:paraId="6637B3BC" w14:textId="77777777" w:rsidR="00A60B62" w:rsidRDefault="00A60B62">
      <w:pPr>
        <w:jc w:val="both"/>
        <w:rPr>
          <w:rFonts w:ascii="Arial" w:eastAsia="Arial" w:hAnsi="Arial" w:cs="Arial"/>
          <w:sz w:val="24"/>
          <w:szCs w:val="24"/>
        </w:rPr>
      </w:pPr>
    </w:p>
    <w:sdt>
      <w:sdtPr>
        <w:tag w:val="goog_rdk_2"/>
        <w:id w:val="-2044254359"/>
        <w:lock w:val="contentLocked"/>
      </w:sdtPr>
      <w:sdtEndPr/>
      <w:sdtContent>
        <w:tbl>
          <w:tblPr>
            <w:tblStyle w:val="a1"/>
            <w:tblW w:w="7995"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165"/>
            <w:gridCol w:w="810"/>
            <w:gridCol w:w="1020"/>
          </w:tblGrid>
          <w:tr w:rsidR="00A60B62" w14:paraId="189BA779" w14:textId="77777777">
            <w:trPr>
              <w:trHeight w:val="60"/>
            </w:trPr>
            <w:tc>
              <w:tcPr>
                <w:tcW w:w="6165" w:type="dxa"/>
                <w:tcBorders>
                  <w:top w:val="nil"/>
                  <w:left w:val="nil"/>
                  <w:bottom w:val="single" w:sz="4" w:space="0" w:color="000000"/>
                  <w:right w:val="single" w:sz="6" w:space="0" w:color="000000"/>
                </w:tcBorders>
              </w:tcPr>
              <w:p w14:paraId="01F71D1A" w14:textId="77777777" w:rsidR="00A60B62" w:rsidRDefault="00A60B62">
                <w:pPr>
                  <w:rPr>
                    <w:sz w:val="24"/>
                    <w:szCs w:val="24"/>
                  </w:rPr>
                </w:pPr>
              </w:p>
            </w:tc>
            <w:tc>
              <w:tcPr>
                <w:tcW w:w="810" w:type="dxa"/>
                <w:tcBorders>
                  <w:top w:val="nil"/>
                  <w:left w:val="single" w:sz="6" w:space="0" w:color="000000"/>
                  <w:bottom w:val="single" w:sz="4" w:space="0" w:color="000000"/>
                  <w:right w:val="single" w:sz="6" w:space="0" w:color="000000"/>
                </w:tcBorders>
              </w:tcPr>
              <w:p w14:paraId="00240DD8" w14:textId="77777777" w:rsidR="00A60B62" w:rsidRDefault="00A60B62">
                <w:pPr>
                  <w:rPr>
                    <w:rFonts w:ascii="Arial" w:eastAsia="Arial" w:hAnsi="Arial" w:cs="Arial"/>
                    <w:sz w:val="24"/>
                    <w:szCs w:val="24"/>
                  </w:rPr>
                </w:pPr>
              </w:p>
            </w:tc>
            <w:tc>
              <w:tcPr>
                <w:tcW w:w="1020" w:type="dxa"/>
                <w:tcBorders>
                  <w:top w:val="nil"/>
                  <w:left w:val="single" w:sz="6" w:space="0" w:color="000000"/>
                  <w:bottom w:val="single" w:sz="4" w:space="0" w:color="000000"/>
                  <w:right w:val="nil"/>
                </w:tcBorders>
              </w:tcPr>
              <w:p w14:paraId="0233CF12" w14:textId="77777777" w:rsidR="00A60B62" w:rsidRDefault="00DC158F">
                <w:pPr>
                  <w:jc w:val="right"/>
                  <w:rPr>
                    <w:rFonts w:ascii="Arial" w:eastAsia="Arial" w:hAnsi="Arial" w:cs="Arial"/>
                    <w:sz w:val="24"/>
                    <w:szCs w:val="24"/>
                  </w:rPr>
                </w:pPr>
              </w:p>
            </w:tc>
          </w:tr>
        </w:tbl>
      </w:sdtContent>
    </w:sdt>
    <w:p w14:paraId="2674908E" w14:textId="77777777" w:rsidR="00A60B62" w:rsidRDefault="00DC158F">
      <w:pPr>
        <w:spacing w:before="120" w:after="120" w:line="360" w:lineRule="auto"/>
        <w:ind w:firstLine="720"/>
        <w:jc w:val="both"/>
        <w:rPr>
          <w:rFonts w:ascii="Arial" w:eastAsia="Arial" w:hAnsi="Arial" w:cs="Arial"/>
          <w:sz w:val="24"/>
          <w:szCs w:val="24"/>
        </w:rPr>
      </w:pPr>
      <w:r>
        <w:rPr>
          <w:rFonts w:ascii="Arial" w:eastAsia="Arial" w:hAnsi="Arial" w:cs="Arial"/>
          <w:sz w:val="24"/>
          <w:szCs w:val="24"/>
        </w:rPr>
        <w:t xml:space="preserve">Table 3 presents the measures of central tendency and dispersion of the total number of positive responses to </w:t>
      </w:r>
      <w:r>
        <w:rPr>
          <w:rFonts w:ascii="Arial" w:eastAsia="Arial" w:hAnsi="Arial" w:cs="Arial"/>
          <w:sz w:val="24"/>
          <w:szCs w:val="24"/>
        </w:rPr>
        <w:t>the dichotomous items of the DC/DTM for individuals experiencing homelessness. It can be observed that the average number of positive responses was 4.88 (SD 2.32), indicating that, on average, participants presented approximately five positive responses on</w:t>
      </w:r>
      <w:r>
        <w:rPr>
          <w:rFonts w:ascii="Arial" w:eastAsia="Arial" w:hAnsi="Arial" w:cs="Arial"/>
          <w:sz w:val="24"/>
          <w:szCs w:val="24"/>
        </w:rPr>
        <w:t xml:space="preserve"> the instrument.</w:t>
      </w:r>
    </w:p>
    <w:p w14:paraId="60DA542A" w14:textId="77777777" w:rsidR="00A60B62" w:rsidRDefault="00DC158F">
      <w:pPr>
        <w:spacing w:before="120" w:after="120"/>
        <w:jc w:val="both"/>
        <w:rPr>
          <w:rFonts w:ascii="Arial" w:eastAsia="Arial" w:hAnsi="Arial" w:cs="Arial"/>
          <w:sz w:val="24"/>
          <w:szCs w:val="24"/>
        </w:rPr>
      </w:pPr>
      <w:r>
        <w:rPr>
          <w:rFonts w:ascii="Arial" w:eastAsia="Arial" w:hAnsi="Arial" w:cs="Arial"/>
          <w:sz w:val="24"/>
          <w:szCs w:val="24"/>
        </w:rPr>
        <w:t>Table 3 - Measures of central tendency and dispersion of the total number of positive responses to the dichotomous items (yes/no) of the DC/DTM for the groups experiencing homelessness and the general population.</w:t>
      </w:r>
    </w:p>
    <w:p w14:paraId="32DBB6C6" w14:textId="77777777" w:rsidR="00A60B62" w:rsidRDefault="00A60B62">
      <w:pPr>
        <w:spacing w:before="120" w:after="120"/>
        <w:jc w:val="both"/>
        <w:rPr>
          <w:rFonts w:ascii="Arial" w:eastAsia="Arial" w:hAnsi="Arial" w:cs="Arial"/>
          <w:sz w:val="24"/>
          <w:szCs w:val="24"/>
        </w:rPr>
      </w:pPr>
    </w:p>
    <w:sdt>
      <w:sdtPr>
        <w:tag w:val="goog_rdk_3"/>
        <w:id w:val="-462865252"/>
        <w:lock w:val="contentLocked"/>
      </w:sdtPr>
      <w:sdtEndPr/>
      <w:sdtContent>
        <w:tbl>
          <w:tblPr>
            <w:tblStyle w:val="a2"/>
            <w:tblW w:w="5387" w:type="dxa"/>
            <w:jc w:val="center"/>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843"/>
            <w:gridCol w:w="1843"/>
          </w:tblGrid>
          <w:tr w:rsidR="00A60B62" w14:paraId="0655CBDA" w14:textId="77777777">
            <w:trPr>
              <w:trHeight w:val="283"/>
              <w:jc w:val="center"/>
            </w:trPr>
            <w:tc>
              <w:tcPr>
                <w:tcW w:w="1701" w:type="dxa"/>
                <w:tcBorders>
                  <w:bottom w:val="single" w:sz="4" w:space="0" w:color="000000"/>
                  <w:right w:val="nil"/>
                </w:tcBorders>
                <w:shd w:val="clear" w:color="auto" w:fill="D9D9D9"/>
              </w:tcPr>
              <w:p w14:paraId="31FF8E1E" w14:textId="77777777" w:rsidR="00A60B62" w:rsidRDefault="00DC158F">
                <w:pPr>
                  <w:spacing w:after="160" w:line="259" w:lineRule="auto"/>
                  <w:rPr>
                    <w:rFonts w:ascii="Arial" w:eastAsia="Arial" w:hAnsi="Arial" w:cs="Arial"/>
                    <w:b/>
                    <w:bCs/>
                    <w:sz w:val="24"/>
                    <w:szCs w:val="24"/>
                  </w:rPr>
                </w:pPr>
                <w:r>
                  <w:rPr>
                    <w:rFonts w:ascii="Arial" w:eastAsia="Arial" w:hAnsi="Arial" w:cs="Arial"/>
                    <w:b/>
                    <w:bCs/>
                    <w:sz w:val="24"/>
                    <w:szCs w:val="24"/>
                  </w:rPr>
                  <w:t>Dichotomous items of DC/T</w:t>
                </w:r>
                <w:r>
                  <w:rPr>
                    <w:rFonts w:ascii="Arial" w:eastAsia="Arial" w:hAnsi="Arial" w:cs="Arial"/>
                    <w:b/>
                    <w:bCs/>
                    <w:sz w:val="24"/>
                    <w:szCs w:val="24"/>
                  </w:rPr>
                  <w:t>MD</w:t>
                </w:r>
              </w:p>
            </w:tc>
            <w:tc>
              <w:tcPr>
                <w:tcW w:w="1843" w:type="dxa"/>
                <w:tcBorders>
                  <w:left w:val="nil"/>
                  <w:bottom w:val="single" w:sz="4" w:space="0" w:color="000000"/>
                  <w:right w:val="nil"/>
                </w:tcBorders>
                <w:shd w:val="clear" w:color="auto" w:fill="D9D9D9"/>
                <w:vAlign w:val="center"/>
              </w:tcPr>
              <w:p w14:paraId="33FBD39D" w14:textId="77777777" w:rsidR="00A60B62" w:rsidRDefault="00DC158F">
                <w:pPr>
                  <w:spacing w:after="160" w:line="259" w:lineRule="auto"/>
                  <w:jc w:val="center"/>
                  <w:rPr>
                    <w:rFonts w:ascii="Arial" w:eastAsia="Arial" w:hAnsi="Arial" w:cs="Arial"/>
                    <w:b/>
                    <w:bCs/>
                    <w:sz w:val="24"/>
                    <w:szCs w:val="24"/>
                  </w:rPr>
                </w:pPr>
                <w:r>
                  <w:rPr>
                    <w:rFonts w:ascii="Arial" w:eastAsia="Arial" w:hAnsi="Arial" w:cs="Arial"/>
                    <w:b/>
                    <w:bCs/>
                    <w:sz w:val="24"/>
                    <w:szCs w:val="24"/>
                  </w:rPr>
                  <w:t>Medium</w:t>
                </w:r>
              </w:p>
            </w:tc>
            <w:tc>
              <w:tcPr>
                <w:tcW w:w="1843" w:type="dxa"/>
                <w:tcBorders>
                  <w:left w:val="nil"/>
                  <w:bottom w:val="single" w:sz="4" w:space="0" w:color="000000"/>
                  <w:right w:val="nil"/>
                </w:tcBorders>
                <w:shd w:val="clear" w:color="auto" w:fill="D9D9D9"/>
                <w:vAlign w:val="center"/>
              </w:tcPr>
              <w:p w14:paraId="5EF20925" w14:textId="77777777" w:rsidR="00A60B62" w:rsidRDefault="00DC158F">
                <w:pPr>
                  <w:spacing w:line="259" w:lineRule="auto"/>
                  <w:jc w:val="center"/>
                  <w:rPr>
                    <w:rFonts w:ascii="Arial" w:eastAsia="Arial" w:hAnsi="Arial" w:cs="Arial"/>
                    <w:b/>
                    <w:bCs/>
                    <w:sz w:val="24"/>
                    <w:szCs w:val="24"/>
                  </w:rPr>
                </w:pPr>
                <w:r>
                  <w:rPr>
                    <w:rFonts w:ascii="Arial" w:eastAsia="Arial" w:hAnsi="Arial" w:cs="Arial"/>
                    <w:b/>
                    <w:bCs/>
                    <w:sz w:val="24"/>
                    <w:szCs w:val="24"/>
                  </w:rPr>
                  <w:t>Standard deviation</w:t>
                </w:r>
              </w:p>
            </w:tc>
          </w:tr>
          <w:tr w:rsidR="00A60B62" w14:paraId="0A4030CB" w14:textId="77777777">
            <w:trPr>
              <w:trHeight w:val="458"/>
              <w:jc w:val="center"/>
            </w:trPr>
            <w:tc>
              <w:tcPr>
                <w:tcW w:w="1701" w:type="dxa"/>
                <w:tcBorders>
                  <w:bottom w:val="nil"/>
                  <w:right w:val="nil"/>
                </w:tcBorders>
                <w:vAlign w:val="center"/>
              </w:tcPr>
              <w:p w14:paraId="247A23E4" w14:textId="77777777" w:rsidR="00A60B62" w:rsidRDefault="00DC158F">
                <w:pPr>
                  <w:spacing w:after="200" w:line="259" w:lineRule="auto"/>
                  <w:rPr>
                    <w:rFonts w:ascii="Arial" w:eastAsia="Arial" w:hAnsi="Arial" w:cs="Arial"/>
                    <w:b/>
                    <w:bCs/>
                    <w:sz w:val="24"/>
                    <w:szCs w:val="24"/>
                  </w:rPr>
                </w:pPr>
                <w:r>
                  <w:rPr>
                    <w:rFonts w:ascii="Arial" w:eastAsia="Arial" w:hAnsi="Arial" w:cs="Arial"/>
                    <w:sz w:val="24"/>
                    <w:szCs w:val="24"/>
                  </w:rPr>
                  <w:t>Positive answers</w:t>
                </w:r>
              </w:p>
            </w:tc>
            <w:tc>
              <w:tcPr>
                <w:tcW w:w="1843" w:type="dxa"/>
                <w:tcBorders>
                  <w:left w:val="nil"/>
                  <w:bottom w:val="nil"/>
                  <w:right w:val="nil"/>
                </w:tcBorders>
                <w:vAlign w:val="center"/>
              </w:tcPr>
              <w:p w14:paraId="7CBFB66B" w14:textId="77777777" w:rsidR="00A60B62" w:rsidRDefault="00DC158F">
                <w:pPr>
                  <w:spacing w:line="259" w:lineRule="auto"/>
                  <w:jc w:val="center"/>
                  <w:rPr>
                    <w:rFonts w:ascii="Arial" w:eastAsia="Arial" w:hAnsi="Arial" w:cs="Arial"/>
                    <w:sz w:val="24"/>
                    <w:szCs w:val="24"/>
                  </w:rPr>
                </w:pPr>
                <w:r>
                  <w:rPr>
                    <w:rFonts w:ascii="Arial" w:eastAsia="Arial" w:hAnsi="Arial" w:cs="Arial"/>
                    <w:sz w:val="24"/>
                    <w:szCs w:val="24"/>
                  </w:rPr>
                  <w:t>4.88</w:t>
                </w:r>
              </w:p>
            </w:tc>
            <w:tc>
              <w:tcPr>
                <w:tcW w:w="1843" w:type="dxa"/>
                <w:tcBorders>
                  <w:left w:val="nil"/>
                  <w:bottom w:val="nil"/>
                  <w:right w:val="nil"/>
                </w:tcBorders>
                <w:vAlign w:val="center"/>
              </w:tcPr>
              <w:p w14:paraId="61C629D8" w14:textId="77777777" w:rsidR="00A60B62" w:rsidRDefault="00DC158F">
                <w:pPr>
                  <w:spacing w:line="259" w:lineRule="auto"/>
                  <w:jc w:val="center"/>
                  <w:rPr>
                    <w:rFonts w:ascii="Arial" w:eastAsia="Arial" w:hAnsi="Arial" w:cs="Arial"/>
                    <w:sz w:val="24"/>
                    <w:szCs w:val="24"/>
                  </w:rPr>
                </w:pPr>
                <w:r>
                  <w:rPr>
                    <w:rFonts w:ascii="Arial" w:eastAsia="Arial" w:hAnsi="Arial" w:cs="Arial"/>
                    <w:sz w:val="24"/>
                    <w:szCs w:val="24"/>
                  </w:rPr>
                  <w:t>2.32</w:t>
                </w:r>
              </w:p>
            </w:tc>
          </w:tr>
        </w:tbl>
      </w:sdtContent>
    </w:sdt>
    <w:p w14:paraId="5B9C8FBF" w14:textId="77777777" w:rsidR="00A60B62" w:rsidRDefault="00DC158F">
      <w:pPr>
        <w:spacing w:before="240" w:after="240" w:line="360" w:lineRule="auto"/>
        <w:ind w:firstLine="720"/>
        <w:jc w:val="both"/>
        <w:rPr>
          <w:rFonts w:ascii="Arial" w:eastAsia="Arial" w:hAnsi="Arial" w:cs="Arial"/>
          <w:sz w:val="24"/>
          <w:szCs w:val="24"/>
        </w:rPr>
      </w:pPr>
      <w:r>
        <w:rPr>
          <w:rFonts w:ascii="Arial" w:eastAsia="Arial" w:hAnsi="Arial" w:cs="Arial"/>
          <w:sz w:val="24"/>
          <w:szCs w:val="24"/>
        </w:rPr>
        <w:t>Table 4 presents the results of the inferential analysis comparing the mean total anxiety and depression scores, obtained using the HAD scale, between groups consisting of participants living on the streets or not. Anxiety showed a mean of 11.25, with a lo</w:t>
      </w:r>
      <w:r>
        <w:rPr>
          <w:rFonts w:ascii="Arial" w:eastAsia="Arial" w:hAnsi="Arial" w:cs="Arial"/>
          <w:sz w:val="24"/>
          <w:szCs w:val="24"/>
        </w:rPr>
        <w:t xml:space="preserve">w standard deviation (0.46), indicating little variability in scores among participants and suggesting relatively homogeneous levels of anxiety in the analyzed group. Depression, on the other hand, showed a mean of 9.58, with a standard deviation of 1.11, </w:t>
      </w:r>
      <w:r>
        <w:rPr>
          <w:rFonts w:ascii="Arial" w:eastAsia="Arial" w:hAnsi="Arial" w:cs="Arial"/>
          <w:sz w:val="24"/>
          <w:szCs w:val="24"/>
        </w:rPr>
        <w:t>showing greater dispersion of scores compared to anxiety, although still moderate. Overall, the results indicate that the mean anxiety scores were higher than those of depression, pointing to a greater intensity of anxious symptoms compared to depressive s</w:t>
      </w:r>
      <w:r>
        <w:rPr>
          <w:rFonts w:ascii="Arial" w:eastAsia="Arial" w:hAnsi="Arial" w:cs="Arial"/>
          <w:sz w:val="24"/>
          <w:szCs w:val="24"/>
        </w:rPr>
        <w:t>ymptoms among the participants, with differences in the variability of scores between the two dimensions assessed by the HAD scale.</w:t>
      </w:r>
    </w:p>
    <w:p w14:paraId="20436E7A" w14:textId="77777777" w:rsidR="00A60B62" w:rsidRDefault="00DC158F">
      <w:pPr>
        <w:spacing w:line="360" w:lineRule="auto"/>
        <w:jc w:val="both"/>
        <w:rPr>
          <w:rFonts w:ascii="Arial" w:eastAsia="Arial" w:hAnsi="Arial" w:cs="Arial"/>
          <w:sz w:val="24"/>
          <w:szCs w:val="24"/>
        </w:rPr>
      </w:pPr>
      <w:r>
        <w:rPr>
          <w:rFonts w:ascii="Arial" w:eastAsia="Arial" w:hAnsi="Arial" w:cs="Arial"/>
          <w:sz w:val="24"/>
          <w:szCs w:val="24"/>
        </w:rPr>
        <w:t xml:space="preserve">Table 4 - Results of the inferential analysis comparing the mean total anxiety and depression scores, obtained with the HAD </w:t>
      </w:r>
      <w:r>
        <w:rPr>
          <w:rFonts w:ascii="Arial" w:eastAsia="Arial" w:hAnsi="Arial" w:cs="Arial"/>
          <w:sz w:val="24"/>
          <w:szCs w:val="24"/>
        </w:rPr>
        <w:t>scale, between the groups consisting of participants living or not living on the streets.</w:t>
      </w:r>
    </w:p>
    <w:sdt>
      <w:sdtPr>
        <w:tag w:val="goog_rdk_4"/>
        <w:id w:val="-519677677"/>
        <w:lock w:val="contentLocked"/>
      </w:sdtPr>
      <w:sdtEndPr/>
      <w:sdtContent>
        <w:tbl>
          <w:tblPr>
            <w:tblStyle w:val="a3"/>
            <w:tblW w:w="5387" w:type="dxa"/>
            <w:jc w:val="center"/>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843"/>
            <w:gridCol w:w="1843"/>
          </w:tblGrid>
          <w:tr w:rsidR="00A60B62" w14:paraId="73043D1E" w14:textId="77777777">
            <w:trPr>
              <w:trHeight w:val="283"/>
              <w:jc w:val="center"/>
            </w:trPr>
            <w:tc>
              <w:tcPr>
                <w:tcW w:w="1701" w:type="dxa"/>
                <w:tcBorders>
                  <w:bottom w:val="single" w:sz="4" w:space="0" w:color="000000"/>
                  <w:right w:val="nil"/>
                </w:tcBorders>
                <w:shd w:val="clear" w:color="auto" w:fill="D9D9D9"/>
              </w:tcPr>
              <w:p w14:paraId="55F1FADD" w14:textId="77777777" w:rsidR="00A60B62" w:rsidRDefault="00DC158F">
                <w:pPr>
                  <w:spacing w:after="160" w:line="259" w:lineRule="auto"/>
                  <w:rPr>
                    <w:rFonts w:ascii="Arial" w:eastAsia="Arial" w:hAnsi="Arial" w:cs="Arial"/>
                    <w:b/>
                    <w:bCs/>
                    <w:sz w:val="24"/>
                    <w:szCs w:val="24"/>
                  </w:rPr>
                </w:pPr>
                <w:r>
                  <w:rPr>
                    <w:rFonts w:ascii="Arial" w:eastAsia="Arial" w:hAnsi="Arial" w:cs="Arial"/>
                    <w:b/>
                    <w:bCs/>
                    <w:sz w:val="24"/>
                    <w:szCs w:val="24"/>
                  </w:rPr>
                  <w:t>Variable</w:t>
                </w:r>
              </w:p>
            </w:tc>
            <w:tc>
              <w:tcPr>
                <w:tcW w:w="1843" w:type="dxa"/>
                <w:tcBorders>
                  <w:left w:val="nil"/>
                  <w:bottom w:val="single" w:sz="4" w:space="0" w:color="000000"/>
                  <w:right w:val="nil"/>
                </w:tcBorders>
                <w:shd w:val="clear" w:color="auto" w:fill="D9D9D9"/>
                <w:vAlign w:val="center"/>
              </w:tcPr>
              <w:p w14:paraId="3F31C122" w14:textId="77777777" w:rsidR="00A60B62" w:rsidRDefault="00DC158F">
                <w:pPr>
                  <w:spacing w:after="160" w:line="259" w:lineRule="auto"/>
                  <w:jc w:val="center"/>
                  <w:rPr>
                    <w:rFonts w:ascii="Arial" w:eastAsia="Arial" w:hAnsi="Arial" w:cs="Arial"/>
                    <w:b/>
                    <w:bCs/>
                    <w:sz w:val="24"/>
                    <w:szCs w:val="24"/>
                  </w:rPr>
                </w:pPr>
                <w:r>
                  <w:rPr>
                    <w:rFonts w:ascii="Arial" w:eastAsia="Arial" w:hAnsi="Arial" w:cs="Arial"/>
                    <w:b/>
                    <w:bCs/>
                    <w:sz w:val="24"/>
                    <w:szCs w:val="24"/>
                  </w:rPr>
                  <w:t>Medium</w:t>
                </w:r>
              </w:p>
            </w:tc>
            <w:tc>
              <w:tcPr>
                <w:tcW w:w="1843" w:type="dxa"/>
                <w:tcBorders>
                  <w:left w:val="nil"/>
                  <w:bottom w:val="single" w:sz="4" w:space="0" w:color="000000"/>
                  <w:right w:val="nil"/>
                </w:tcBorders>
                <w:shd w:val="clear" w:color="auto" w:fill="D9D9D9"/>
                <w:vAlign w:val="center"/>
              </w:tcPr>
              <w:p w14:paraId="72CB0ED0" w14:textId="77777777" w:rsidR="00A60B62" w:rsidRDefault="00DC158F">
                <w:pPr>
                  <w:spacing w:line="259" w:lineRule="auto"/>
                  <w:jc w:val="center"/>
                  <w:rPr>
                    <w:rFonts w:ascii="Arial" w:eastAsia="Arial" w:hAnsi="Arial" w:cs="Arial"/>
                    <w:b/>
                    <w:bCs/>
                    <w:sz w:val="24"/>
                    <w:szCs w:val="24"/>
                  </w:rPr>
                </w:pPr>
                <w:r>
                  <w:rPr>
                    <w:rFonts w:ascii="Arial" w:eastAsia="Arial" w:hAnsi="Arial" w:cs="Arial"/>
                    <w:b/>
                    <w:bCs/>
                    <w:sz w:val="24"/>
                    <w:szCs w:val="24"/>
                  </w:rPr>
                  <w:t>Standard desviation</w:t>
                </w:r>
              </w:p>
            </w:tc>
          </w:tr>
          <w:tr w:rsidR="00A60B62" w14:paraId="0E626CEF" w14:textId="77777777">
            <w:trPr>
              <w:trHeight w:val="458"/>
              <w:jc w:val="center"/>
            </w:trPr>
            <w:tc>
              <w:tcPr>
                <w:tcW w:w="1701" w:type="dxa"/>
                <w:tcBorders>
                  <w:bottom w:val="nil"/>
                  <w:right w:val="nil"/>
                </w:tcBorders>
                <w:vAlign w:val="center"/>
              </w:tcPr>
              <w:p w14:paraId="04A995F9" w14:textId="77777777" w:rsidR="00A60B62" w:rsidRDefault="00DC158F">
                <w:pPr>
                  <w:spacing w:after="200" w:line="259" w:lineRule="auto"/>
                  <w:rPr>
                    <w:rFonts w:ascii="Arial" w:eastAsia="Arial" w:hAnsi="Arial" w:cs="Arial"/>
                    <w:b/>
                    <w:bCs/>
                    <w:sz w:val="24"/>
                    <w:szCs w:val="24"/>
                  </w:rPr>
                </w:pPr>
                <w:r>
                  <w:rPr>
                    <w:rFonts w:ascii="Arial" w:eastAsia="Arial" w:hAnsi="Arial" w:cs="Arial"/>
                    <w:sz w:val="24"/>
                    <w:szCs w:val="24"/>
                  </w:rPr>
                  <w:t>Anxiety</w:t>
                </w:r>
              </w:p>
            </w:tc>
            <w:tc>
              <w:tcPr>
                <w:tcW w:w="1843" w:type="dxa"/>
                <w:tcBorders>
                  <w:left w:val="nil"/>
                  <w:bottom w:val="nil"/>
                  <w:right w:val="nil"/>
                </w:tcBorders>
                <w:vAlign w:val="center"/>
              </w:tcPr>
              <w:p w14:paraId="78EB1E7C" w14:textId="77777777" w:rsidR="00A60B62" w:rsidRDefault="00DC158F">
                <w:pPr>
                  <w:spacing w:line="259" w:lineRule="auto"/>
                  <w:jc w:val="center"/>
                  <w:rPr>
                    <w:rFonts w:ascii="Arial" w:eastAsia="Arial" w:hAnsi="Arial" w:cs="Arial"/>
                    <w:sz w:val="24"/>
                    <w:szCs w:val="24"/>
                  </w:rPr>
                </w:pPr>
                <w:r>
                  <w:rPr>
                    <w:rFonts w:ascii="Arial" w:eastAsia="Arial" w:hAnsi="Arial" w:cs="Arial"/>
                    <w:sz w:val="24"/>
                    <w:szCs w:val="24"/>
                  </w:rPr>
                  <w:t>11.25</w:t>
                </w:r>
              </w:p>
            </w:tc>
            <w:tc>
              <w:tcPr>
                <w:tcW w:w="1843" w:type="dxa"/>
                <w:tcBorders>
                  <w:left w:val="nil"/>
                  <w:bottom w:val="nil"/>
                  <w:right w:val="nil"/>
                </w:tcBorders>
                <w:vAlign w:val="center"/>
              </w:tcPr>
              <w:p w14:paraId="6EFD819E" w14:textId="77777777" w:rsidR="00A60B62" w:rsidRDefault="00DC158F">
                <w:pPr>
                  <w:spacing w:line="259" w:lineRule="auto"/>
                  <w:jc w:val="center"/>
                  <w:rPr>
                    <w:rFonts w:ascii="Arial" w:eastAsia="Arial" w:hAnsi="Arial" w:cs="Arial"/>
                    <w:sz w:val="24"/>
                    <w:szCs w:val="24"/>
                  </w:rPr>
                </w:pPr>
                <w:r>
                  <w:rPr>
                    <w:rFonts w:ascii="Arial" w:eastAsia="Arial" w:hAnsi="Arial" w:cs="Arial"/>
                    <w:sz w:val="24"/>
                    <w:szCs w:val="24"/>
                  </w:rPr>
                  <w:t>0.46</w:t>
                </w:r>
              </w:p>
            </w:tc>
          </w:tr>
          <w:tr w:rsidR="00A60B62" w14:paraId="5750563F" w14:textId="77777777">
            <w:trPr>
              <w:trHeight w:val="458"/>
              <w:jc w:val="center"/>
            </w:trPr>
            <w:tc>
              <w:tcPr>
                <w:tcW w:w="1701" w:type="dxa"/>
                <w:tcBorders>
                  <w:bottom w:val="nil"/>
                  <w:right w:val="nil"/>
                </w:tcBorders>
                <w:vAlign w:val="center"/>
              </w:tcPr>
              <w:p w14:paraId="70F9BAE7" w14:textId="77777777" w:rsidR="00A60B62" w:rsidRDefault="00DC158F">
                <w:pPr>
                  <w:spacing w:after="200" w:line="259" w:lineRule="auto"/>
                  <w:rPr>
                    <w:rFonts w:ascii="Arial" w:eastAsia="Arial" w:hAnsi="Arial" w:cs="Arial"/>
                    <w:sz w:val="24"/>
                    <w:szCs w:val="24"/>
                  </w:rPr>
                </w:pPr>
                <w:r>
                  <w:rPr>
                    <w:rFonts w:ascii="Arial" w:eastAsia="Arial" w:hAnsi="Arial" w:cs="Arial"/>
                    <w:sz w:val="24"/>
                    <w:szCs w:val="24"/>
                  </w:rPr>
                  <w:lastRenderedPageBreak/>
                  <w:t>Depression</w:t>
                </w:r>
              </w:p>
            </w:tc>
            <w:tc>
              <w:tcPr>
                <w:tcW w:w="1843" w:type="dxa"/>
                <w:tcBorders>
                  <w:left w:val="nil"/>
                  <w:bottom w:val="nil"/>
                  <w:right w:val="nil"/>
                </w:tcBorders>
                <w:vAlign w:val="center"/>
              </w:tcPr>
              <w:p w14:paraId="378424F5" w14:textId="77777777" w:rsidR="00A60B62" w:rsidRDefault="00DC158F">
                <w:pPr>
                  <w:spacing w:line="259" w:lineRule="auto"/>
                  <w:jc w:val="center"/>
                  <w:rPr>
                    <w:rFonts w:ascii="Arial" w:eastAsia="Arial" w:hAnsi="Arial" w:cs="Arial"/>
                    <w:sz w:val="24"/>
                    <w:szCs w:val="24"/>
                  </w:rPr>
                </w:pPr>
                <w:r>
                  <w:rPr>
                    <w:rFonts w:ascii="Arial" w:eastAsia="Arial" w:hAnsi="Arial" w:cs="Arial"/>
                    <w:sz w:val="24"/>
                    <w:szCs w:val="24"/>
                  </w:rPr>
                  <w:t>9.58</w:t>
                </w:r>
              </w:p>
            </w:tc>
            <w:tc>
              <w:tcPr>
                <w:tcW w:w="1843" w:type="dxa"/>
                <w:tcBorders>
                  <w:left w:val="nil"/>
                  <w:bottom w:val="nil"/>
                  <w:right w:val="nil"/>
                </w:tcBorders>
                <w:vAlign w:val="center"/>
              </w:tcPr>
              <w:p w14:paraId="638A9A5A" w14:textId="77777777" w:rsidR="00A60B62" w:rsidRDefault="00DC158F">
                <w:pPr>
                  <w:spacing w:line="259" w:lineRule="auto"/>
                  <w:jc w:val="center"/>
                  <w:rPr>
                    <w:rFonts w:ascii="Arial" w:eastAsia="Arial" w:hAnsi="Arial" w:cs="Arial"/>
                    <w:sz w:val="24"/>
                    <w:szCs w:val="24"/>
                  </w:rPr>
                </w:pPr>
                <w:r>
                  <w:rPr>
                    <w:rFonts w:ascii="Arial" w:eastAsia="Arial" w:hAnsi="Arial" w:cs="Arial"/>
                    <w:sz w:val="24"/>
                    <w:szCs w:val="24"/>
                  </w:rPr>
                  <w:t>1.11</w:t>
                </w:r>
              </w:p>
            </w:tc>
          </w:tr>
        </w:tbl>
      </w:sdtContent>
    </w:sdt>
    <w:p w14:paraId="400989C6" w14:textId="77777777" w:rsidR="00A60B62" w:rsidRDefault="00DC158F">
      <w:pPr>
        <w:pBdr>
          <w:top w:val="nil"/>
          <w:left w:val="nil"/>
          <w:bottom w:val="nil"/>
          <w:right w:val="nil"/>
          <w:between w:val="nil"/>
        </w:pBdr>
        <w:spacing w:before="120" w:after="120" w:line="480" w:lineRule="auto"/>
        <w:jc w:val="both"/>
        <w:rPr>
          <w:rFonts w:ascii="Arial" w:eastAsia="Arial" w:hAnsi="Arial" w:cs="Arial"/>
          <w:b/>
          <w:bCs/>
          <w:smallCaps/>
          <w:color w:val="000000"/>
          <w:sz w:val="24"/>
          <w:szCs w:val="24"/>
        </w:rPr>
      </w:pPr>
      <w:r>
        <w:rPr>
          <w:rFonts w:ascii="Arial" w:eastAsia="Arial" w:hAnsi="Arial" w:cs="Arial"/>
          <w:b/>
          <w:bCs/>
          <w:smallCaps/>
          <w:color w:val="000000"/>
          <w:sz w:val="24"/>
          <w:szCs w:val="24"/>
        </w:rPr>
        <w:t>DISCUSS</w:t>
      </w:r>
      <w:r>
        <w:rPr>
          <w:rFonts w:ascii="Arial" w:eastAsia="Arial" w:hAnsi="Arial" w:cs="Arial"/>
          <w:b/>
          <w:bCs/>
          <w:smallCaps/>
          <w:sz w:val="24"/>
          <w:szCs w:val="24"/>
        </w:rPr>
        <w:t>ION</w:t>
      </w:r>
      <w:r>
        <w:rPr>
          <w:rFonts w:ascii="Arial" w:eastAsia="Arial" w:hAnsi="Arial" w:cs="Arial"/>
          <w:b/>
          <w:bCs/>
          <w:smallCaps/>
          <w:color w:val="000000"/>
          <w:sz w:val="24"/>
          <w:szCs w:val="24"/>
        </w:rPr>
        <w:t xml:space="preserve"> </w:t>
      </w:r>
    </w:p>
    <w:p w14:paraId="48F7576E" w14:textId="77777777" w:rsidR="00A60B62" w:rsidRDefault="00DC158F">
      <w:pPr>
        <w:spacing w:line="360" w:lineRule="auto"/>
        <w:ind w:firstLine="708"/>
        <w:jc w:val="both"/>
        <w:rPr>
          <w:rFonts w:ascii="Arial" w:eastAsia="Arial" w:hAnsi="Arial" w:cs="Arial"/>
          <w:sz w:val="24"/>
          <w:szCs w:val="24"/>
        </w:rPr>
      </w:pPr>
      <w:r>
        <w:rPr>
          <w:rFonts w:ascii="Arial" w:eastAsia="Arial" w:hAnsi="Arial" w:cs="Arial"/>
          <w:sz w:val="24"/>
          <w:szCs w:val="24"/>
        </w:rPr>
        <w:t>This study analyzed the prevalence of signs and symptoms of TMD, anxiety,</w:t>
      </w:r>
      <w:r>
        <w:rPr>
          <w:rFonts w:ascii="Arial" w:eastAsia="Arial" w:hAnsi="Arial" w:cs="Arial"/>
          <w:sz w:val="24"/>
          <w:szCs w:val="24"/>
        </w:rPr>
        <w:t xml:space="preserve"> and depression in homeless individuals and the general population, seeking to understand the relationship between these factors in the context of social vulnerability.</w:t>
      </w:r>
    </w:p>
    <w:p w14:paraId="53E20362" w14:textId="77777777" w:rsidR="00A60B62" w:rsidRDefault="00DC158F">
      <w:pPr>
        <w:spacing w:line="360" w:lineRule="auto"/>
        <w:ind w:firstLine="708"/>
        <w:jc w:val="both"/>
        <w:rPr>
          <w:rFonts w:ascii="Arial" w:eastAsia="Arial" w:hAnsi="Arial" w:cs="Arial"/>
          <w:sz w:val="24"/>
          <w:szCs w:val="24"/>
        </w:rPr>
      </w:pPr>
      <w:r>
        <w:rPr>
          <w:rFonts w:ascii="Arial" w:eastAsia="Arial" w:hAnsi="Arial" w:cs="Arial"/>
          <w:sz w:val="24"/>
          <w:szCs w:val="24"/>
        </w:rPr>
        <w:t xml:space="preserve">Following the literature, such as that of Silva (2021), Leite (2023), and the </w:t>
      </w:r>
      <w:r>
        <w:rPr>
          <w:rFonts w:ascii="Arial" w:eastAsia="Arial" w:hAnsi="Arial" w:cs="Arial"/>
          <w:sz w:val="24"/>
          <w:szCs w:val="24"/>
        </w:rPr>
        <w:t>monitoring carried out by the Secretariat for Evaluation and Information Management (SAGI) on the profile of the homeless population, this study confirms, according to Table 1, that its members are predominantly male and over 40 years of age. As well as su</w:t>
      </w:r>
      <w:r>
        <w:rPr>
          <w:rFonts w:ascii="Arial" w:eastAsia="Arial" w:hAnsi="Arial" w:cs="Arial"/>
          <w:sz w:val="24"/>
          <w:szCs w:val="24"/>
        </w:rPr>
        <w:t>ggesting that unfavorable psychosocial conditions may be predisposing factors for TMD, the data obtained indicated that being homeless was not statistically determinant for the development of the dysfunction.</w:t>
      </w:r>
    </w:p>
    <w:p w14:paraId="20A89A13" w14:textId="77777777" w:rsidR="00A60B62" w:rsidRDefault="00DC158F">
      <w:pPr>
        <w:spacing w:line="360" w:lineRule="auto"/>
        <w:ind w:firstLine="708"/>
        <w:jc w:val="both"/>
        <w:rPr>
          <w:rFonts w:ascii="Arial" w:eastAsia="Arial" w:hAnsi="Arial" w:cs="Arial"/>
          <w:sz w:val="24"/>
          <w:szCs w:val="24"/>
        </w:rPr>
      </w:pPr>
      <w:r>
        <w:rPr>
          <w:rFonts w:ascii="Arial" w:eastAsia="Arial" w:hAnsi="Arial" w:cs="Arial"/>
          <w:sz w:val="24"/>
          <w:szCs w:val="24"/>
        </w:rPr>
        <w:t xml:space="preserve">In the present study, the duration of exposure </w:t>
      </w:r>
      <w:r>
        <w:rPr>
          <w:rFonts w:ascii="Arial" w:eastAsia="Arial" w:hAnsi="Arial" w:cs="Arial"/>
          <w:sz w:val="24"/>
          <w:szCs w:val="24"/>
        </w:rPr>
        <w:t>to chronic pain proved to be a significant predictor of higher anxiety scores, indicating that the persistence of pain may be directly associated with the emotional distress of this population. This suggests that, in addition to facing socioeconomic diffic</w:t>
      </w:r>
      <w:r>
        <w:rPr>
          <w:rFonts w:ascii="Arial" w:eastAsia="Arial" w:hAnsi="Arial" w:cs="Arial"/>
          <w:sz w:val="24"/>
          <w:szCs w:val="24"/>
        </w:rPr>
        <w:t>ulties and lack of access to healthcare, they also deal with a high emotional burden, which can worsen the pain and hinder their recovery.</w:t>
      </w:r>
    </w:p>
    <w:p w14:paraId="7F2B8BB6" w14:textId="77777777" w:rsidR="00A60B62" w:rsidRDefault="00DC158F">
      <w:pPr>
        <w:spacing w:line="360" w:lineRule="auto"/>
        <w:ind w:firstLine="708"/>
        <w:jc w:val="both"/>
        <w:rPr>
          <w:rFonts w:ascii="Arial" w:eastAsia="Arial" w:hAnsi="Arial" w:cs="Arial"/>
          <w:sz w:val="24"/>
          <w:szCs w:val="24"/>
          <w:highlight w:val="white"/>
        </w:rPr>
      </w:pPr>
      <w:r>
        <w:rPr>
          <w:rFonts w:ascii="Arial" w:eastAsia="Arial" w:hAnsi="Arial" w:cs="Arial"/>
          <w:sz w:val="24"/>
          <w:szCs w:val="24"/>
          <w:highlight w:val="white"/>
        </w:rPr>
        <w:t>In the DC/TMD findings, pain in the jaw (mouth), temple, ear, or on either side stood out. This differs from Leite et</w:t>
      </w:r>
      <w:r>
        <w:rPr>
          <w:rFonts w:ascii="Arial" w:eastAsia="Arial" w:hAnsi="Arial" w:cs="Arial"/>
          <w:sz w:val="24"/>
          <w:szCs w:val="24"/>
          <w:highlight w:val="white"/>
        </w:rPr>
        <w:t xml:space="preserve"> al. (2023), who reported that pain in the lateral region of the head was the most frequently reported.</w:t>
      </w:r>
    </w:p>
    <w:p w14:paraId="449BC9E4" w14:textId="77777777" w:rsidR="00A60B62" w:rsidRDefault="00DC158F">
      <w:pPr>
        <w:spacing w:line="360" w:lineRule="auto"/>
        <w:ind w:firstLine="708"/>
        <w:jc w:val="both"/>
        <w:rPr>
          <w:rFonts w:ascii="Arial" w:eastAsia="Arial" w:hAnsi="Arial" w:cs="Arial"/>
          <w:sz w:val="24"/>
          <w:szCs w:val="24"/>
          <w:highlight w:val="white"/>
        </w:rPr>
      </w:pPr>
      <w:r>
        <w:rPr>
          <w:rFonts w:ascii="Arial" w:eastAsia="Arial" w:hAnsi="Arial" w:cs="Arial"/>
          <w:sz w:val="24"/>
          <w:szCs w:val="24"/>
          <w:highlight w:val="white"/>
        </w:rPr>
        <w:t>Women presented higher average anxiety levels than men, which corroborates previous findings in the literature indicating a greater female susceptibilit</w:t>
      </w:r>
      <w:r>
        <w:rPr>
          <w:rFonts w:ascii="Arial" w:eastAsia="Arial" w:hAnsi="Arial" w:cs="Arial"/>
          <w:sz w:val="24"/>
          <w:szCs w:val="24"/>
          <w:highlight w:val="white"/>
        </w:rPr>
        <w:t>y to emotional disorders and chronic pain conditions. This data reinforces the need for differentiated approaches in the care of this population, considering the gender specificities in the manifestation of pain and mental health.</w:t>
      </w:r>
    </w:p>
    <w:p w14:paraId="279D0493" w14:textId="77777777" w:rsidR="00A60B62" w:rsidRDefault="00DC158F">
      <w:pPr>
        <w:spacing w:line="360" w:lineRule="auto"/>
        <w:ind w:firstLine="708"/>
        <w:jc w:val="both"/>
        <w:rPr>
          <w:rFonts w:ascii="Arial" w:eastAsia="Arial" w:hAnsi="Arial" w:cs="Arial"/>
          <w:sz w:val="24"/>
          <w:szCs w:val="24"/>
        </w:rPr>
      </w:pPr>
      <w:r>
        <w:rPr>
          <w:rFonts w:ascii="Arial" w:eastAsia="Arial" w:hAnsi="Arial" w:cs="Arial"/>
          <w:sz w:val="24"/>
          <w:szCs w:val="24"/>
        </w:rPr>
        <w:t>The results suggest a hig</w:t>
      </w:r>
      <w:r>
        <w:rPr>
          <w:rFonts w:ascii="Arial" w:eastAsia="Arial" w:hAnsi="Arial" w:cs="Arial"/>
          <w:sz w:val="24"/>
          <w:szCs w:val="24"/>
        </w:rPr>
        <w:t>h prevalence of pain symptoms, where the association between chronic pain, anxiety, and depression may contribute to the worsening of symptoms in vulnerable individuals. This intersection between mental health and orofacial pain highlights the importance o</w:t>
      </w:r>
      <w:r>
        <w:rPr>
          <w:rFonts w:ascii="Arial" w:eastAsia="Arial" w:hAnsi="Arial" w:cs="Arial"/>
          <w:sz w:val="24"/>
          <w:szCs w:val="24"/>
        </w:rPr>
        <w:t>f public policies aimed at this population, considering integrated oral and psychological health strategies. In addition, the creation of social support programs and multidisciplinary care could mitigate the negative impacts of chronic pain and emotional d</w:t>
      </w:r>
      <w:r>
        <w:rPr>
          <w:rFonts w:ascii="Arial" w:eastAsia="Arial" w:hAnsi="Arial" w:cs="Arial"/>
          <w:sz w:val="24"/>
          <w:szCs w:val="24"/>
        </w:rPr>
        <w:t xml:space="preserve">isorders in this population. According </w:t>
      </w:r>
      <w:r>
        <w:rPr>
          <w:rFonts w:ascii="Arial" w:eastAsia="Arial" w:hAnsi="Arial" w:cs="Arial"/>
          <w:sz w:val="24"/>
          <w:szCs w:val="24"/>
        </w:rPr>
        <w:lastRenderedPageBreak/>
        <w:t>to Oliveira et al. (2023), there is a need for integrated and humanized public health policies, addressing the intersection between social vulnerability, substance use, oral health, and TMJ dysfunctions.</w:t>
      </w:r>
    </w:p>
    <w:p w14:paraId="4DC53F96" w14:textId="77777777" w:rsidR="00A60B62" w:rsidRDefault="00DC158F">
      <w:pPr>
        <w:spacing w:line="360" w:lineRule="auto"/>
        <w:ind w:firstLine="708"/>
        <w:jc w:val="both"/>
        <w:rPr>
          <w:rFonts w:ascii="Arial" w:eastAsia="Arial" w:hAnsi="Arial" w:cs="Arial"/>
          <w:sz w:val="24"/>
          <w:szCs w:val="24"/>
        </w:rPr>
      </w:pPr>
      <w:r>
        <w:rPr>
          <w:rFonts w:ascii="Arial" w:eastAsia="Arial" w:hAnsi="Arial" w:cs="Arial"/>
          <w:sz w:val="24"/>
          <w:szCs w:val="24"/>
        </w:rPr>
        <w:t>Regarding anx</w:t>
      </w:r>
      <w:r>
        <w:rPr>
          <w:rFonts w:ascii="Arial" w:eastAsia="Arial" w:hAnsi="Arial" w:cs="Arial"/>
          <w:sz w:val="24"/>
          <w:szCs w:val="24"/>
        </w:rPr>
        <w:t>iety and depression, this aligns with studies in this population, where emotional factors impact individuals' lives (Rathod et al., 2025; Martinaki et al., 2026).</w:t>
      </w:r>
    </w:p>
    <w:p w14:paraId="23254293" w14:textId="77777777" w:rsidR="00A60B62" w:rsidRDefault="00DC158F">
      <w:pPr>
        <w:spacing w:after="240" w:line="360" w:lineRule="auto"/>
        <w:ind w:firstLine="708"/>
        <w:jc w:val="both"/>
        <w:rPr>
          <w:rFonts w:ascii="Arial" w:eastAsia="Arial" w:hAnsi="Arial" w:cs="Arial"/>
          <w:sz w:val="24"/>
          <w:szCs w:val="24"/>
        </w:rPr>
      </w:pPr>
      <w:r>
        <w:rPr>
          <w:rFonts w:ascii="Arial" w:eastAsia="Arial" w:hAnsi="Arial" w:cs="Arial"/>
          <w:sz w:val="24"/>
          <w:szCs w:val="24"/>
        </w:rPr>
        <w:t>Given these findings, further studies with larger samples, multicenter, longitudinal analyses</w:t>
      </w:r>
      <w:r>
        <w:rPr>
          <w:rFonts w:ascii="Arial" w:eastAsia="Arial" w:hAnsi="Arial" w:cs="Arial"/>
          <w:sz w:val="24"/>
          <w:szCs w:val="24"/>
        </w:rPr>
        <w:t xml:space="preserve"> are recommended to deepen the understanding of the relationship between social vulnerability, mental health, and orofacial pain. In addition, future investigations should consider variables such as parafunctional habits, access to dental treatment, and hi</w:t>
      </w:r>
      <w:r>
        <w:rPr>
          <w:rFonts w:ascii="Arial" w:eastAsia="Arial" w:hAnsi="Arial" w:cs="Arial"/>
          <w:sz w:val="24"/>
          <w:szCs w:val="24"/>
        </w:rPr>
        <w:t>story of substance use, which may influence pain perception and the manifestation of TMD.</w:t>
      </w:r>
    </w:p>
    <w:p w14:paraId="6777B626" w14:textId="77777777" w:rsidR="00A60B62" w:rsidRDefault="00DC158F">
      <w:pPr>
        <w:spacing w:after="240" w:line="360" w:lineRule="auto"/>
        <w:ind w:firstLine="708"/>
        <w:jc w:val="both"/>
        <w:rPr>
          <w:rFonts w:ascii="Arial" w:eastAsia="Arial" w:hAnsi="Arial" w:cs="Arial"/>
          <w:sz w:val="24"/>
          <w:szCs w:val="24"/>
        </w:rPr>
      </w:pPr>
      <w:r>
        <w:rPr>
          <w:rFonts w:ascii="Arial" w:eastAsia="Arial" w:hAnsi="Arial" w:cs="Arial"/>
          <w:sz w:val="24"/>
          <w:szCs w:val="24"/>
        </w:rPr>
        <w:t xml:space="preserve">The limitations of this study include its exploratory nature, the use of a small sample, and the difficulties in obtaining sincere answers to personal questions from </w:t>
      </w:r>
      <w:r>
        <w:rPr>
          <w:rFonts w:ascii="Arial" w:eastAsia="Arial" w:hAnsi="Arial" w:cs="Arial"/>
          <w:sz w:val="24"/>
          <w:szCs w:val="24"/>
        </w:rPr>
        <w:t>the homeless population. As this is a cross-sectional and exploratory study, it is not possible to establish cause-and-effect relationships. However, the data suggest that the association between anxiety, depression, and chronic pain may act as a risk fact</w:t>
      </w:r>
      <w:r>
        <w:rPr>
          <w:rFonts w:ascii="Arial" w:eastAsia="Arial" w:hAnsi="Arial" w:cs="Arial"/>
          <w:sz w:val="24"/>
          <w:szCs w:val="24"/>
        </w:rPr>
        <w:t>or in TMD cases in the homeless population. These results highlight the need for future studies that consider additional variables related to dysfunction, as well as the importance of planning public policies so that diagnosis and treatment for these peopl</w:t>
      </w:r>
      <w:r>
        <w:rPr>
          <w:rFonts w:ascii="Arial" w:eastAsia="Arial" w:hAnsi="Arial" w:cs="Arial"/>
          <w:sz w:val="24"/>
          <w:szCs w:val="24"/>
        </w:rPr>
        <w:t>e are coherent. Finally, it is essential to conduct more research investigating how psychopathology influences self-perception of health among homeless individuals.</w:t>
      </w:r>
    </w:p>
    <w:p w14:paraId="7693CB35" w14:textId="77777777" w:rsidR="00A60B62" w:rsidRDefault="00DC158F">
      <w:pPr>
        <w:pBdr>
          <w:top w:val="nil"/>
          <w:left w:val="nil"/>
          <w:bottom w:val="nil"/>
          <w:right w:val="nil"/>
          <w:between w:val="nil"/>
        </w:pBdr>
        <w:spacing w:before="120" w:after="120" w:line="480" w:lineRule="auto"/>
        <w:jc w:val="both"/>
        <w:rPr>
          <w:rFonts w:ascii="Arial" w:eastAsia="Arial" w:hAnsi="Arial" w:cs="Arial"/>
          <w:b/>
          <w:bCs/>
          <w:smallCaps/>
          <w:sz w:val="24"/>
          <w:szCs w:val="24"/>
        </w:rPr>
      </w:pPr>
      <w:r>
        <w:rPr>
          <w:rFonts w:ascii="Arial" w:eastAsia="Arial" w:hAnsi="Arial" w:cs="Arial"/>
          <w:b/>
          <w:bCs/>
          <w:smallCaps/>
          <w:color w:val="000000"/>
          <w:sz w:val="24"/>
          <w:szCs w:val="24"/>
        </w:rPr>
        <w:t xml:space="preserve"> CONCLUS</w:t>
      </w:r>
      <w:r>
        <w:rPr>
          <w:rFonts w:ascii="Arial" w:eastAsia="Arial" w:hAnsi="Arial" w:cs="Arial"/>
          <w:b/>
          <w:bCs/>
          <w:smallCaps/>
          <w:sz w:val="24"/>
          <w:szCs w:val="24"/>
        </w:rPr>
        <w:t>I</w:t>
      </w:r>
      <w:r>
        <w:rPr>
          <w:rFonts w:ascii="Arial" w:eastAsia="Arial" w:hAnsi="Arial" w:cs="Arial"/>
          <w:b/>
          <w:bCs/>
          <w:smallCaps/>
          <w:color w:val="000000"/>
          <w:sz w:val="24"/>
          <w:szCs w:val="24"/>
        </w:rPr>
        <w:t>ON</w:t>
      </w:r>
    </w:p>
    <w:p w14:paraId="1EE7B6AD" w14:textId="77777777" w:rsidR="00A60B62" w:rsidRDefault="00DC158F">
      <w:pPr>
        <w:pBdr>
          <w:top w:val="nil"/>
          <w:left w:val="nil"/>
          <w:bottom w:val="nil"/>
          <w:right w:val="nil"/>
          <w:between w:val="nil"/>
        </w:pBdr>
        <w:spacing w:before="120" w:after="120" w:line="360" w:lineRule="auto"/>
        <w:ind w:firstLine="720"/>
        <w:jc w:val="both"/>
        <w:rPr>
          <w:rFonts w:ascii="Arial" w:eastAsia="Arial" w:hAnsi="Arial" w:cs="Arial"/>
          <w:color w:val="FF0000"/>
          <w:sz w:val="24"/>
          <w:szCs w:val="24"/>
        </w:rPr>
      </w:pPr>
      <w:r>
        <w:rPr>
          <w:rFonts w:ascii="Arial" w:eastAsia="Arial" w:hAnsi="Arial" w:cs="Arial"/>
          <w:sz w:val="24"/>
          <w:szCs w:val="24"/>
        </w:rPr>
        <w:t xml:space="preserve">In the present study, homeless individuals presented symptoms of TMD </w:t>
      </w:r>
      <w:r>
        <w:rPr>
          <w:rFonts w:ascii="Arial" w:eastAsia="Arial" w:hAnsi="Arial" w:cs="Arial"/>
          <w:sz w:val="24"/>
          <w:szCs w:val="24"/>
        </w:rPr>
        <w:t>(Temporomandibular Joint Disorder), with high levels of chronic pain in this group, in addition to concerning rates of anxiety and depression, especially in the female population.</w:t>
      </w:r>
    </w:p>
    <w:p w14:paraId="3A57DF98" w14:textId="77777777" w:rsidR="00A60B62" w:rsidRDefault="00DC158F">
      <w:pPr>
        <w:spacing w:before="160" w:after="160"/>
        <w:rPr>
          <w:rFonts w:ascii="Arial" w:eastAsia="Arial" w:hAnsi="Arial" w:cs="Arial"/>
          <w:b/>
          <w:bCs/>
          <w:smallCaps/>
          <w:sz w:val="24"/>
          <w:szCs w:val="24"/>
        </w:rPr>
      </w:pPr>
      <w:r>
        <w:rPr>
          <w:rFonts w:ascii="Arial" w:eastAsia="Arial" w:hAnsi="Arial" w:cs="Arial"/>
          <w:b/>
          <w:bCs/>
          <w:smallCaps/>
          <w:sz w:val="24"/>
          <w:szCs w:val="24"/>
        </w:rPr>
        <w:t>REFERENCES</w:t>
      </w:r>
    </w:p>
    <w:p w14:paraId="61DEA4A0"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1. Sassi FC, Silva APD, Santos RKS, Andrade CRFD. Treatment for temporomandibular disorders: a systematic review. Audiol Commun Res. 2018;23:2.</w:t>
      </w:r>
    </w:p>
    <w:p w14:paraId="355E7AB2"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lastRenderedPageBreak/>
        <w:t>2. Urbani G, Jesus LF, Cozendey-Silva EN. Temporomandibular joint dysfunction syndrome and stress present in police work: Integrative review. Ciência &amp; Saúde Coletiva. 2019;24(5):1753–65.</w:t>
      </w:r>
    </w:p>
    <w:p w14:paraId="0495E013"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3. Costa FJ, Coutinho MPL. Temporomandibular dysfunction, social representations in the context of dentistry. 2023.</w:t>
      </w:r>
    </w:p>
    <w:p w14:paraId="04C1F17A"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4. Tournavitis A, Tortopidis D, Fountoulakis K, Menexes G, Koidis P. Psychopathologic Profiles of TMD Patients with Different Pain Locations. Int J Prosthodont. 2017 May/Jun;30(3):251-7.</w:t>
      </w:r>
    </w:p>
    <w:p w14:paraId="1F598E1E"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5. Soares LFF, Coelho LM, Moreno A, Almeida DAF, Haddad MF. Anxiety and depression associated with pain and discomfort of temporomandibular disorders. Brazilian Journal Of Pain. 2020;3(2):147-52.</w:t>
      </w:r>
    </w:p>
    <w:p w14:paraId="49ADE299"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6. Berger M, Oleszek-Listopad J, Marczak M, Szymanska J. Psychological aspects of temporomandibular disorders – literature review. Current Issues Pharm Med Sci. 2015;28:55–59.</w:t>
      </w:r>
    </w:p>
    <w:p w14:paraId="2EDAEF49"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7. Miranda JS, Bonato LL, Tesh RS. COVID-19 and Painful Temporomandibular Disorders: what does the dentist need to know? RGO; 69, 2021.</w:t>
      </w:r>
    </w:p>
    <w:p w14:paraId="60B7991D" w14:textId="77777777" w:rsidR="001E2782"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 xml:space="preserve">8. Minghelli B, Kiselova L, Pereira C. Association between temporomandibular dysfunction symptoms with psychological factors and cervical spine alterations in students of the Jean Piaget School of Health of the Algarve. Rev. Port. Sau. Pub. [Internet]. 2011; 29(2):140-7. </w:t>
      </w:r>
    </w:p>
    <w:p w14:paraId="201A85FC" w14:textId="56644BAA"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9. Reissmann DR, John MT, Seedorf H, Doering S, Schierz O. Temporomandibular disorder pain is related to the general disposition to be anxious. J Oral Facial Pain Headache. 2014;28(4):322-30.</w:t>
      </w:r>
    </w:p>
    <w:p w14:paraId="3492CC72"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10. Maślak-Beres M, Loster JE, Wieczorek A, Loster BW. Evaluation of the psychoemotional status of young adults with symptoms of temporomandibular disorders. Brain Behav. 2019;1–6.</w:t>
      </w:r>
    </w:p>
    <w:p w14:paraId="7EB9F838"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lastRenderedPageBreak/>
        <w:t>11. Guide for the homeless population. 2023. Institute of Applied Economic Research. Available at: https://www.gov.br/mdh/pt-br/navegue-por-temas/populacao-em-situacao-de-rua/publicacoes/guia-inclua-pop-rua</w:t>
      </w:r>
    </w:p>
    <w:p w14:paraId="3F746F22"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12. Vogel M, Choi F, Westenberg JN, Cabanis M, Nikoo N, Nikoo M, et al. Chronic pain among individuals experiencing homelessness and its interdependence with opioid and other substance use and mental illness. Int J Environ Res Public Health. 2021 Dec 21;19(1):5.</w:t>
      </w:r>
    </w:p>
    <w:p w14:paraId="70D84FAE"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13. Rintoul K, Song E, McLellan-Carich R, Schjelderup ENR, Barr AM. A scoping review of psychiatric conditions associated with chronic pain in the homeless and marginally housed population. Front Pain Res (Lausanne). 2023 Apr 28;4:1020038.</w:t>
      </w:r>
    </w:p>
    <w:p w14:paraId="3575A85E"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14. Silva TO, Vianna PJ de S, Almeida MVG, Santos SD dos, Nery JS. Homeless population in Brazil: descriptive study on the sociodemographic profile and morbidity due to tuberculosis, 2014-2019. Epidemiol Serv Saúde [Internet]. 2021;30(1):e2020566.</w:t>
      </w:r>
    </w:p>
    <w:p w14:paraId="7DC8F630"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15. Leite TB, Valadas LAR, Rodrigues LFLR, Guimarães AS. Frequency of temporomandibular dysfunction symptoms in homeless people: a cross-sectional study. BrJP. 2023; 6: 58-62.</w:t>
      </w:r>
    </w:p>
    <w:p w14:paraId="219979B0"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16. Oliveira GG de, Limírio JPJO, Gomes JML, Rezende MCRA. Association of the Impact of Quality of Life and Chemical Dependence on Oral Health and TMJ of People in Extreme Socioeconomic Vulnerability: Integrative Review. Archives Of Health Investigation. 2025;14(5):1505–10.</w:t>
      </w:r>
    </w:p>
    <w:p w14:paraId="17DE1E4C" w14:textId="77777777" w:rsidR="00A77C87" w:rsidRPr="00A77C87" w:rsidRDefault="00A77C87" w:rsidP="00A77C87">
      <w:pPr>
        <w:shd w:val="clear" w:color="auto" w:fill="FFFFFF"/>
        <w:spacing w:before="280" w:line="360" w:lineRule="auto"/>
        <w:ind w:firstLine="709"/>
        <w:jc w:val="both"/>
        <w:rPr>
          <w:rFonts w:ascii="Arial" w:eastAsia="Arial" w:hAnsi="Arial" w:cs="Arial"/>
          <w:sz w:val="24"/>
          <w:szCs w:val="24"/>
        </w:rPr>
      </w:pPr>
      <w:r w:rsidRPr="00A77C87">
        <w:rPr>
          <w:rFonts w:ascii="Arial" w:eastAsia="Arial" w:hAnsi="Arial" w:cs="Arial"/>
          <w:sz w:val="24"/>
          <w:szCs w:val="24"/>
        </w:rPr>
        <w:t>17. Rathod SD, Annand PJ, Hosseini P, Guise A, Platt L. Epidemiological features of depression and anxiety among homeless adults with healthcare access problems in London, UK: descriptive cross-sectional analysis - RETRACTION. BJPsych Open. 2025 Apr 11;11(3):e83. doi: 10.1192/bjo.2025.52.</w:t>
      </w:r>
    </w:p>
    <w:p w14:paraId="65367B62" w14:textId="3F3CF66B" w:rsidR="00A60B62" w:rsidRDefault="00A77C87" w:rsidP="00A77C87">
      <w:pPr>
        <w:shd w:val="clear" w:color="auto" w:fill="FFFFFF"/>
        <w:spacing w:before="280" w:line="360" w:lineRule="auto"/>
        <w:ind w:firstLine="709"/>
        <w:jc w:val="both"/>
        <w:rPr>
          <w:rFonts w:ascii="Arial" w:eastAsia="Arial" w:hAnsi="Arial" w:cs="Arial"/>
          <w:color w:val="202124"/>
          <w:sz w:val="24"/>
          <w:szCs w:val="24"/>
        </w:rPr>
      </w:pPr>
      <w:r w:rsidRPr="00A77C87">
        <w:rPr>
          <w:rFonts w:ascii="Arial" w:eastAsia="Arial" w:hAnsi="Arial" w:cs="Arial"/>
          <w:sz w:val="24"/>
          <w:szCs w:val="24"/>
        </w:rPr>
        <w:t>18. Martinaki S, Dedotsi S, Efstathiou I, Asimopoulos C. Quality of Life and Coping Strategies Related to Depression and Posttraumatic Stress Disorder of Homeless People in a Greek Sample. Adv Exp Med Biol. 2026;1489:175-86.</w:t>
      </w:r>
    </w:p>
    <w:sectPr w:rsidR="00A60B62">
      <w:headerReference w:type="even" r:id="rId8"/>
      <w:headerReference w:type="default" r:id="rId9"/>
      <w:footerReference w:type="even" r:id="rId10"/>
      <w:footerReference w:type="default" r:id="rId11"/>
      <w:headerReference w:type="first" r:id="rId12"/>
      <w:footerReference w:type="first" r:id="rId13"/>
      <w:pgSz w:w="11907"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DFA05" w14:textId="77777777" w:rsidR="00DC158F" w:rsidRDefault="00DC158F">
      <w:r>
        <w:separator/>
      </w:r>
    </w:p>
  </w:endnote>
  <w:endnote w:type="continuationSeparator" w:id="0">
    <w:p w14:paraId="7D3750C4" w14:textId="77777777" w:rsidR="00DC158F" w:rsidRDefault="00DC1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egrito">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4C8876B-324A-4986-A1EC-3D1C9713A6B8}"/>
    <w:embedItalic r:id="rId2" w:fontKey="{FA23D666-A359-4D11-9445-863884F8C84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971C1340-025F-4AB6-8C3F-60FD43898122}"/>
    <w:embedBold r:id="rId4" w:fontKey="{40775549-CD72-4A5A-96BD-75B8576DFE7F}"/>
    <w:embedItalic r:id="rId5" w:fontKey="{E1CB474B-5D96-413A-AF39-09415272E95E}"/>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911DDA7B-B645-48AE-9AC4-BD8D374B4426}"/>
  </w:font>
  <w:font w:name="Cambria">
    <w:panose1 w:val="02040503050406030204"/>
    <w:charset w:val="00"/>
    <w:family w:val="roman"/>
    <w:pitch w:val="variable"/>
    <w:sig w:usb0="E00006FF" w:usb1="420024FF" w:usb2="02000000" w:usb3="00000000" w:csb0="0000019F" w:csb1="00000000"/>
    <w:embedRegular r:id="rId7" w:fontKey="{9FA50EAB-75C5-4A42-B3C4-B0E1DDD85872}"/>
  </w:font>
  <w:font w:name="Georgia">
    <w:panose1 w:val="02040502050405020303"/>
    <w:charset w:val="00"/>
    <w:family w:val="roman"/>
    <w:pitch w:val="variable"/>
    <w:sig w:usb0="00000287" w:usb1="00000000" w:usb2="00000000" w:usb3="00000000" w:csb0="0000009F" w:csb1="00000000"/>
    <w:embedItalic r:id="rId8" w:fontKey="{9DD5428B-44E5-48C4-9A23-7CF95AD7990E}"/>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346F0" w14:textId="77777777" w:rsidR="0087014A" w:rsidRDefault="008701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4334C" w14:textId="77777777" w:rsidR="00A60B62" w:rsidRDefault="00A60B62">
    <w:pPr>
      <w:pBdr>
        <w:top w:val="nil"/>
        <w:left w:val="nil"/>
        <w:bottom w:val="nil"/>
        <w:right w:val="nil"/>
        <w:between w:val="nil"/>
      </w:pBdr>
      <w:tabs>
        <w:tab w:val="center" w:pos="4252"/>
        <w:tab w:val="right" w:pos="8504"/>
        <w:tab w:val="center" w:pos="4536"/>
        <w:tab w:val="right" w:pos="9072"/>
      </w:tabs>
      <w:jc w:val="both"/>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728B" w14:textId="77777777" w:rsidR="0087014A" w:rsidRDefault="00870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51564" w14:textId="77777777" w:rsidR="00DC158F" w:rsidRDefault="00DC158F">
      <w:r>
        <w:separator/>
      </w:r>
    </w:p>
  </w:footnote>
  <w:footnote w:type="continuationSeparator" w:id="0">
    <w:p w14:paraId="036E9B44" w14:textId="77777777" w:rsidR="00DC158F" w:rsidRDefault="00DC1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68A3" w14:textId="03533A2E" w:rsidR="0087014A" w:rsidRDefault="0087014A">
    <w:pPr>
      <w:pStyle w:val="Header"/>
    </w:pPr>
    <w:r>
      <w:rPr>
        <w:noProof/>
      </w:rPr>
      <w:pict w14:anchorId="18D6C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5975235"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DADFD" w14:textId="1B0DA400" w:rsidR="00A60B62" w:rsidRDefault="0087014A">
    <w:pPr>
      <w:pBdr>
        <w:top w:val="nil"/>
        <w:left w:val="nil"/>
        <w:bottom w:val="nil"/>
        <w:right w:val="nil"/>
        <w:between w:val="nil"/>
      </w:pBdr>
      <w:tabs>
        <w:tab w:val="center" w:pos="4419"/>
        <w:tab w:val="right" w:pos="8838"/>
      </w:tabs>
      <w:rPr>
        <w:color w:val="000000"/>
      </w:rPr>
    </w:pPr>
    <w:r>
      <w:rPr>
        <w:noProof/>
      </w:rPr>
      <w:pict w14:anchorId="47978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5975236"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p w14:paraId="0FA8BDDF" w14:textId="77777777" w:rsidR="00A60B62" w:rsidRDefault="00A60B62">
    <w:pPr>
      <w:pBdr>
        <w:top w:val="nil"/>
        <w:left w:val="nil"/>
        <w:bottom w:val="nil"/>
        <w:right w:val="nil"/>
        <w:between w:val="nil"/>
      </w:pBdr>
      <w:tabs>
        <w:tab w:val="center" w:pos="4419"/>
        <w:tab w:val="right" w:pos="8838"/>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938A0" w14:textId="6F2D0B00" w:rsidR="0087014A" w:rsidRDefault="0087014A">
    <w:pPr>
      <w:pStyle w:val="Header"/>
    </w:pPr>
    <w:r>
      <w:rPr>
        <w:noProof/>
      </w:rPr>
      <w:pict w14:anchorId="40148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5975234"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BD7B20"/>
    <w:multiLevelType w:val="multilevel"/>
    <w:tmpl w:val="B068F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B62"/>
    <w:rsid w:val="001E2782"/>
    <w:rsid w:val="00414A79"/>
    <w:rsid w:val="00855052"/>
    <w:rsid w:val="0087014A"/>
    <w:rsid w:val="00A60B62"/>
    <w:rsid w:val="00A77C87"/>
    <w:rsid w:val="00BD1F68"/>
    <w:rsid w:val="00C256F6"/>
    <w:rsid w:val="00D00460"/>
    <w:rsid w:val="00DC1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3A1B45"/>
  <w15:docId w15:val="{F36369F9-FCEF-4FE1-9A41-31808725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Ttulo1">
    <w:name w:val="Título 1"/>
    <w:basedOn w:val="Normal"/>
    <w:next w:val="Normal"/>
    <w:pPr>
      <w:keepNext/>
      <w:suppressAutoHyphens/>
      <w:spacing w:before="120" w:after="120" w:line="480" w:lineRule="auto"/>
      <w:ind w:leftChars="-1" w:left="-1" w:hangingChars="1" w:hanging="1"/>
      <w:textDirection w:val="btLr"/>
      <w:textAlignment w:val="top"/>
      <w:outlineLvl w:val="0"/>
    </w:pPr>
    <w:rPr>
      <w:rFonts w:ascii="Arial Negrito" w:hAnsi="Arial Negrito" w:cs="Arial"/>
      <w:b/>
      <w:bCs/>
      <w:caps/>
      <w:kern w:val="32"/>
      <w:position w:val="-1"/>
      <w:szCs w:val="32"/>
      <w:lang w:eastAsia="pt-BR"/>
    </w:rPr>
  </w:style>
  <w:style w:type="paragraph" w:customStyle="1" w:styleId="Ttulo2">
    <w:name w:val="Título 2"/>
    <w:basedOn w:val="Normal"/>
    <w:next w:val="Normal"/>
    <w:pPr>
      <w:keepNext/>
      <w:suppressAutoHyphens/>
      <w:spacing w:before="120" w:after="120" w:line="480" w:lineRule="auto"/>
      <w:ind w:leftChars="-1" w:left="-1" w:hangingChars="1" w:hanging="1"/>
      <w:textDirection w:val="btLr"/>
      <w:textAlignment w:val="top"/>
      <w:outlineLvl w:val="1"/>
    </w:pPr>
    <w:rPr>
      <w:rFonts w:ascii="Arial Negrito" w:hAnsi="Arial Negrito" w:cs="Arial"/>
      <w:b/>
      <w:bCs/>
      <w:iCs/>
      <w:position w:val="-1"/>
      <w:szCs w:val="28"/>
      <w:lang w:eastAsia="pt-BR"/>
    </w:rPr>
  </w:style>
  <w:style w:type="paragraph" w:customStyle="1" w:styleId="Ttulo3">
    <w:name w:val="Título 3"/>
    <w:basedOn w:val="Normal"/>
    <w:next w:val="Normal"/>
    <w:pPr>
      <w:keepNext/>
      <w:suppressAutoHyphens/>
      <w:spacing w:before="120" w:after="120" w:line="480" w:lineRule="auto"/>
      <w:ind w:leftChars="-1" w:left="-1" w:hangingChars="1" w:hanging="1"/>
      <w:textDirection w:val="btLr"/>
      <w:textAlignment w:val="top"/>
      <w:outlineLvl w:val="2"/>
    </w:pPr>
    <w:rPr>
      <w:rFonts w:ascii="Arial" w:hAnsi="Arial" w:cs="Arial"/>
      <w:b/>
      <w:bCs/>
      <w:i/>
      <w:position w:val="-1"/>
      <w:szCs w:val="26"/>
      <w:lang w:eastAsia="pt-BR"/>
    </w:rPr>
  </w:style>
  <w:style w:type="paragraph" w:customStyle="1" w:styleId="Ttulo4">
    <w:name w:val="Título 4"/>
    <w:basedOn w:val="Normal"/>
    <w:next w:val="Normal"/>
    <w:pPr>
      <w:keepNext/>
      <w:suppressAutoHyphens/>
      <w:spacing w:before="240" w:after="60" w:line="1" w:lineRule="atLeast"/>
      <w:ind w:leftChars="-1" w:left="-1" w:hangingChars="1" w:hanging="1"/>
      <w:textDirection w:val="btLr"/>
      <w:textAlignment w:val="top"/>
      <w:outlineLvl w:val="3"/>
    </w:pPr>
    <w:rPr>
      <w:b/>
      <w:bCs/>
      <w:position w:val="-1"/>
      <w:sz w:val="28"/>
      <w:szCs w:val="28"/>
      <w:lang w:eastAsia="pt-BR"/>
    </w:rPr>
  </w:style>
  <w:style w:type="paragraph" w:customStyle="1" w:styleId="Ttulo5">
    <w:name w:val="Título 5"/>
    <w:basedOn w:val="Normal"/>
    <w:next w:val="Normal"/>
    <w:qFormat/>
    <w:pPr>
      <w:keepNext/>
      <w:keepLines/>
      <w:suppressAutoHyphens/>
      <w:spacing w:before="80" w:after="40" w:line="259" w:lineRule="auto"/>
      <w:ind w:leftChars="-1" w:left="-1" w:hangingChars="1" w:hanging="1"/>
      <w:textDirection w:val="btLr"/>
      <w:textAlignment w:val="top"/>
      <w:outlineLvl w:val="4"/>
    </w:pPr>
    <w:rPr>
      <w:rFonts w:ascii="Aptos" w:hAnsi="Aptos"/>
      <w:color w:val="0F4761"/>
      <w:kern w:val="2"/>
      <w:position w:val="-1"/>
      <w:sz w:val="22"/>
      <w:szCs w:val="22"/>
      <w:lang w:eastAsia="en-US"/>
    </w:rPr>
  </w:style>
  <w:style w:type="paragraph" w:customStyle="1" w:styleId="Ttulo6">
    <w:name w:val="Título 6"/>
    <w:basedOn w:val="Normal"/>
    <w:next w:val="Normal"/>
    <w:qFormat/>
    <w:pPr>
      <w:keepNext/>
      <w:keepLines/>
      <w:suppressAutoHyphens/>
      <w:spacing w:before="40" w:line="259" w:lineRule="auto"/>
      <w:ind w:leftChars="-1" w:left="-1" w:hangingChars="1" w:hanging="1"/>
      <w:textDirection w:val="btLr"/>
      <w:textAlignment w:val="top"/>
      <w:outlineLvl w:val="5"/>
    </w:pPr>
    <w:rPr>
      <w:rFonts w:ascii="Aptos" w:hAnsi="Aptos"/>
      <w:i/>
      <w:iCs/>
      <w:color w:val="595959"/>
      <w:kern w:val="2"/>
      <w:position w:val="-1"/>
      <w:sz w:val="22"/>
      <w:szCs w:val="22"/>
      <w:lang w:eastAsia="en-US"/>
    </w:rPr>
  </w:style>
  <w:style w:type="paragraph" w:customStyle="1" w:styleId="Ttulo7">
    <w:name w:val="Título 7"/>
    <w:basedOn w:val="Normal"/>
    <w:next w:val="Normal"/>
    <w:pPr>
      <w:suppressAutoHyphens/>
      <w:spacing w:before="240" w:after="60" w:line="1" w:lineRule="atLeast"/>
      <w:ind w:leftChars="-1" w:left="-1" w:hangingChars="1" w:hanging="1"/>
      <w:textDirection w:val="btLr"/>
      <w:textAlignment w:val="top"/>
      <w:outlineLvl w:val="6"/>
    </w:pPr>
    <w:rPr>
      <w:position w:val="-1"/>
      <w:lang w:eastAsia="pt-BR"/>
    </w:rPr>
  </w:style>
  <w:style w:type="paragraph" w:customStyle="1" w:styleId="Ttulo8">
    <w:name w:val="Título 8"/>
    <w:basedOn w:val="Normal"/>
    <w:next w:val="Normal"/>
    <w:qFormat/>
    <w:pPr>
      <w:keepNext/>
      <w:keepLines/>
      <w:suppressAutoHyphens/>
      <w:spacing w:line="259" w:lineRule="auto"/>
      <w:ind w:leftChars="-1" w:left="-1" w:hangingChars="1" w:hanging="1"/>
      <w:textDirection w:val="btLr"/>
      <w:textAlignment w:val="top"/>
      <w:outlineLvl w:val="7"/>
    </w:pPr>
    <w:rPr>
      <w:rFonts w:ascii="Aptos" w:hAnsi="Aptos"/>
      <w:i/>
      <w:iCs/>
      <w:color w:val="272727"/>
      <w:kern w:val="2"/>
      <w:position w:val="-1"/>
      <w:sz w:val="22"/>
      <w:szCs w:val="22"/>
      <w:lang w:eastAsia="en-US"/>
    </w:rPr>
  </w:style>
  <w:style w:type="paragraph" w:customStyle="1" w:styleId="Ttulo9">
    <w:name w:val="Título 9"/>
    <w:basedOn w:val="Normal"/>
    <w:next w:val="Normal"/>
    <w:qFormat/>
    <w:pPr>
      <w:keepNext/>
      <w:keepLines/>
      <w:suppressAutoHyphens/>
      <w:spacing w:line="259" w:lineRule="auto"/>
      <w:ind w:leftChars="-1" w:left="-1" w:hangingChars="1" w:hanging="1"/>
      <w:textDirection w:val="btLr"/>
      <w:textAlignment w:val="top"/>
      <w:outlineLvl w:val="8"/>
    </w:pPr>
    <w:rPr>
      <w:rFonts w:ascii="Aptos" w:hAnsi="Aptos"/>
      <w:color w:val="272727"/>
      <w:kern w:val="2"/>
      <w:position w:val="-1"/>
      <w:sz w:val="22"/>
      <w:szCs w:val="22"/>
      <w:lang w:eastAsia="en-US"/>
    </w:rPr>
  </w:style>
  <w:style w:type="character" w:customStyle="1" w:styleId="Fontepargpadro">
    <w:name w:val="Fonte parág. padrão"/>
    <w:rPr>
      <w:w w:val="100"/>
      <w:position w:val="-1"/>
      <w:effect w:val="none"/>
      <w:vertAlign w:val="baseline"/>
      <w:cs w:val="0"/>
      <w:em w:val="none"/>
    </w:rPr>
  </w:style>
  <w:style w:type="table" w:customStyle="1" w:styleId="Tabelanormal">
    <w:name w:val="Tabela normal"/>
    <w:pPr>
      <w:suppressAutoHyphens/>
      <w:spacing w:line="1" w:lineRule="atLeast"/>
      <w:ind w:leftChars="-1" w:left="-1" w:hangingChars="1" w:hanging="1"/>
      <w:textDirection w:val="btLr"/>
      <w:textAlignment w:val="top"/>
      <w:outlineLvl w:val="0"/>
    </w:pPr>
    <w:rPr>
      <w:position w:val="-1"/>
    </w:rPr>
    <w:tblPr>
      <w:tblCellMar>
        <w:top w:w="0" w:type="dxa"/>
        <w:left w:w="108" w:type="dxa"/>
        <w:bottom w:w="0" w:type="dxa"/>
        <w:right w:w="108" w:type="dxa"/>
      </w:tblCellMar>
    </w:tblPr>
  </w:style>
  <w:style w:type="numbering" w:customStyle="1" w:styleId="Semlista">
    <w:name w:val="Sem lista"/>
    <w:qFormat/>
  </w:style>
  <w:style w:type="character" w:customStyle="1" w:styleId="Ttulo1Char">
    <w:name w:val="Título 1 Char"/>
    <w:rPr>
      <w:rFonts w:ascii="Arial Negrito" w:hAnsi="Arial Negrito" w:cs="Arial"/>
      <w:b/>
      <w:bCs/>
      <w:caps/>
      <w:w w:val="100"/>
      <w:kern w:val="32"/>
      <w:position w:val="-1"/>
      <w:szCs w:val="32"/>
      <w:effect w:val="none"/>
      <w:vertAlign w:val="baseline"/>
      <w:cs w:val="0"/>
      <w:em w:val="none"/>
    </w:rPr>
  </w:style>
  <w:style w:type="character" w:customStyle="1" w:styleId="Ttulo2Char">
    <w:name w:val="Título 2 Char"/>
    <w:rPr>
      <w:rFonts w:ascii="Arial Negrito" w:hAnsi="Arial Negrito" w:cs="Arial"/>
      <w:b/>
      <w:bCs/>
      <w:iCs/>
      <w:w w:val="100"/>
      <w:position w:val="-1"/>
      <w:szCs w:val="28"/>
      <w:effect w:val="none"/>
      <w:vertAlign w:val="baseline"/>
      <w:cs w:val="0"/>
      <w:em w:val="none"/>
    </w:rPr>
  </w:style>
  <w:style w:type="character" w:customStyle="1" w:styleId="Ttulo3Char">
    <w:name w:val="Título 3 Char"/>
    <w:rPr>
      <w:rFonts w:ascii="Arial" w:hAnsi="Arial" w:cs="Arial"/>
      <w:b/>
      <w:bCs/>
      <w:i/>
      <w:w w:val="100"/>
      <w:position w:val="-1"/>
      <w:szCs w:val="26"/>
      <w:effect w:val="none"/>
      <w:vertAlign w:val="baseline"/>
      <w:cs w:val="0"/>
      <w:em w:val="none"/>
    </w:rPr>
  </w:style>
  <w:style w:type="character" w:customStyle="1" w:styleId="Ttulo4Char">
    <w:name w:val="Título 4 Char"/>
    <w:rPr>
      <w:b/>
      <w:bCs/>
      <w:w w:val="100"/>
      <w:position w:val="-1"/>
      <w:sz w:val="28"/>
      <w:szCs w:val="28"/>
      <w:effect w:val="none"/>
      <w:vertAlign w:val="baseline"/>
      <w:cs w:val="0"/>
      <w:em w:val="none"/>
    </w:rPr>
  </w:style>
  <w:style w:type="character" w:customStyle="1" w:styleId="Ttulo5Char">
    <w:name w:val="Título 5 Char"/>
    <w:rPr>
      <w:rFonts w:ascii="Aptos" w:eastAsia="Times New Roman" w:hAnsi="Aptos"/>
      <w:color w:val="0F4761"/>
      <w:w w:val="100"/>
      <w:kern w:val="2"/>
      <w:position w:val="-1"/>
      <w:sz w:val="22"/>
      <w:szCs w:val="22"/>
      <w:effect w:val="none"/>
      <w:vertAlign w:val="baseline"/>
      <w:cs w:val="0"/>
      <w:em w:val="none"/>
      <w:lang w:eastAsia="en-US"/>
    </w:rPr>
  </w:style>
  <w:style w:type="character" w:customStyle="1" w:styleId="Ttulo6Char">
    <w:name w:val="Título 6 Char"/>
    <w:rPr>
      <w:rFonts w:ascii="Aptos" w:eastAsia="Times New Roman" w:hAnsi="Aptos"/>
      <w:i/>
      <w:iCs/>
      <w:color w:val="595959"/>
      <w:w w:val="100"/>
      <w:kern w:val="2"/>
      <w:position w:val="-1"/>
      <w:sz w:val="22"/>
      <w:szCs w:val="22"/>
      <w:effect w:val="none"/>
      <w:vertAlign w:val="baseline"/>
      <w:cs w:val="0"/>
      <w:em w:val="none"/>
      <w:lang w:eastAsia="en-US"/>
    </w:rPr>
  </w:style>
  <w:style w:type="character" w:customStyle="1" w:styleId="Ttulo7Char">
    <w:name w:val="Título 7 Char"/>
    <w:rPr>
      <w:w w:val="100"/>
      <w:position w:val="-1"/>
      <w:effect w:val="none"/>
      <w:vertAlign w:val="baseline"/>
      <w:cs w:val="0"/>
      <w:em w:val="none"/>
    </w:rPr>
  </w:style>
  <w:style w:type="character" w:customStyle="1" w:styleId="Ttulo8Char">
    <w:name w:val="Título 8 Char"/>
    <w:rPr>
      <w:rFonts w:ascii="Aptos" w:eastAsia="Times New Roman" w:hAnsi="Aptos"/>
      <w:i/>
      <w:iCs/>
      <w:color w:val="272727"/>
      <w:w w:val="100"/>
      <w:kern w:val="2"/>
      <w:position w:val="-1"/>
      <w:sz w:val="22"/>
      <w:szCs w:val="22"/>
      <w:effect w:val="none"/>
      <w:vertAlign w:val="baseline"/>
      <w:cs w:val="0"/>
      <w:em w:val="none"/>
      <w:lang w:eastAsia="en-US"/>
    </w:rPr>
  </w:style>
  <w:style w:type="character" w:customStyle="1" w:styleId="Ttulo9Char">
    <w:name w:val="Título 9 Char"/>
    <w:rPr>
      <w:rFonts w:ascii="Aptos" w:eastAsia="Times New Roman" w:hAnsi="Aptos"/>
      <w:color w:val="272727"/>
      <w:w w:val="100"/>
      <w:kern w:val="2"/>
      <w:position w:val="-1"/>
      <w:sz w:val="22"/>
      <w:szCs w:val="22"/>
      <w:effect w:val="none"/>
      <w:vertAlign w:val="baseline"/>
      <w:cs w:val="0"/>
      <w:em w:val="none"/>
      <w:lang w:eastAsia="en-US"/>
    </w:rPr>
  </w:style>
  <w:style w:type="character" w:customStyle="1" w:styleId="Refdenotadefim">
    <w:name w:val="Ref. de nota de fim"/>
    <w:rPr>
      <w:w w:val="100"/>
      <w:position w:val="-1"/>
      <w:effect w:val="none"/>
      <w:vertAlign w:val="superscript"/>
      <w:cs w:val="0"/>
      <w:em w:val="none"/>
    </w:rPr>
  </w:style>
  <w:style w:type="character" w:customStyle="1" w:styleId="Refdenotaderodap">
    <w:name w:val="Ref. de nota de rodapé"/>
    <w:rPr>
      <w:w w:val="100"/>
      <w:position w:val="-1"/>
      <w:effect w:val="none"/>
      <w:vertAlign w:val="superscript"/>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Nmerodepgina">
    <w:name w:val="Número de página"/>
    <w:rPr>
      <w:w w:val="100"/>
      <w:position w:val="-1"/>
      <w:effect w:val="none"/>
      <w:vertAlign w:val="baseline"/>
      <w:cs w:val="0"/>
      <w:em w:val="none"/>
    </w:rPr>
  </w:style>
  <w:style w:type="paragraph" w:customStyle="1" w:styleId="Sumrio2">
    <w:name w:val="Sumário 2"/>
    <w:basedOn w:val="Normal"/>
    <w:next w:val="Normal"/>
    <w:pPr>
      <w:suppressAutoHyphens/>
      <w:spacing w:line="1" w:lineRule="atLeast"/>
      <w:ind w:leftChars="-1" w:left="200" w:hangingChars="1" w:hanging="1"/>
      <w:textDirection w:val="btLr"/>
      <w:textAlignment w:val="top"/>
      <w:outlineLvl w:val="0"/>
    </w:pPr>
    <w:rPr>
      <w:position w:val="-1"/>
      <w:lang w:eastAsia="pt-BR"/>
    </w:rPr>
  </w:style>
  <w:style w:type="paragraph" w:customStyle="1" w:styleId="Recuodecorpodetexto2">
    <w:name w:val="Recuo de corpo de texto 2"/>
    <w:basedOn w:val="Normal"/>
    <w:pPr>
      <w:suppressAutoHyphens/>
      <w:spacing w:after="120" w:line="480" w:lineRule="auto"/>
      <w:ind w:leftChars="-1" w:left="283" w:hangingChars="1" w:hanging="1"/>
      <w:textDirection w:val="btLr"/>
      <w:textAlignment w:val="top"/>
      <w:outlineLvl w:val="0"/>
    </w:pPr>
    <w:rPr>
      <w:position w:val="-1"/>
      <w:lang w:eastAsia="pt-BR"/>
    </w:rPr>
  </w:style>
  <w:style w:type="paragraph" w:customStyle="1" w:styleId="ndicedeilustraes">
    <w:name w:val="Índice de ilustrações"/>
    <w:basedOn w:val="Normal"/>
    <w:next w:val="Normal"/>
    <w:pPr>
      <w:suppressAutoHyphens/>
      <w:spacing w:line="1" w:lineRule="atLeast"/>
      <w:ind w:leftChars="-1" w:left="-1" w:hangingChars="1" w:hanging="1"/>
      <w:textDirection w:val="btLr"/>
      <w:textAlignment w:val="top"/>
      <w:outlineLvl w:val="0"/>
    </w:pPr>
    <w:rPr>
      <w:position w:val="-1"/>
      <w:lang w:eastAsia="pt-BR"/>
    </w:rPr>
  </w:style>
  <w:style w:type="paragraph" w:customStyle="1" w:styleId="Ttulo">
    <w:name w:val="Título"/>
    <w:basedOn w:val="Normal"/>
    <w:pPr>
      <w:suppressAutoHyphens/>
      <w:spacing w:before="240" w:after="60" w:line="1" w:lineRule="atLeast"/>
      <w:ind w:leftChars="-1" w:left="-1" w:hangingChars="1" w:hanging="1"/>
      <w:jc w:val="center"/>
      <w:textDirection w:val="btLr"/>
      <w:textAlignment w:val="top"/>
      <w:outlineLvl w:val="0"/>
    </w:pPr>
    <w:rPr>
      <w:rFonts w:ascii="Arial" w:hAnsi="Arial" w:cs="Arial"/>
      <w:b/>
      <w:bCs/>
      <w:kern w:val="28"/>
      <w:position w:val="-1"/>
      <w:sz w:val="32"/>
      <w:szCs w:val="32"/>
      <w:lang w:eastAsia="pt-BR"/>
    </w:rPr>
  </w:style>
  <w:style w:type="character" w:customStyle="1" w:styleId="TtuloChar">
    <w:name w:val="Título Char"/>
    <w:rPr>
      <w:rFonts w:ascii="Arial" w:hAnsi="Arial" w:cs="Arial"/>
      <w:b/>
      <w:bCs/>
      <w:w w:val="100"/>
      <w:kern w:val="28"/>
      <w:position w:val="-1"/>
      <w:sz w:val="32"/>
      <w:szCs w:val="32"/>
      <w:effect w:val="none"/>
      <w:vertAlign w:val="baseline"/>
      <w:cs w:val="0"/>
      <w:em w:val="none"/>
      <w:lang w:val="pt-BR" w:eastAsia="pt-BR" w:bidi="ar-SA"/>
    </w:rPr>
  </w:style>
  <w:style w:type="paragraph" w:customStyle="1" w:styleId="Textodenotadefim">
    <w:name w:val="Texto de nota de fim"/>
    <w:basedOn w:val="Normal"/>
    <w:pPr>
      <w:suppressAutoHyphens/>
      <w:spacing w:line="1" w:lineRule="atLeast"/>
      <w:ind w:leftChars="-1" w:left="-1" w:hangingChars="1" w:hanging="1"/>
      <w:textDirection w:val="btLr"/>
      <w:textAlignment w:val="top"/>
      <w:outlineLvl w:val="0"/>
    </w:pPr>
    <w:rPr>
      <w:position w:val="-1"/>
      <w:lang w:eastAsia="pt-BR"/>
    </w:rPr>
  </w:style>
  <w:style w:type="paragraph" w:styleId="NormalWeb">
    <w:name w:val="Normal (Web)"/>
    <w:basedOn w:val="Normal"/>
    <w:pPr>
      <w:suppressAutoHyphens/>
      <w:spacing w:line="1" w:lineRule="atLeast"/>
      <w:ind w:leftChars="-1" w:left="-1" w:hangingChars="1" w:hanging="1"/>
      <w:textDirection w:val="btLr"/>
      <w:textAlignment w:val="top"/>
      <w:outlineLvl w:val="0"/>
    </w:pPr>
    <w:rPr>
      <w:position w:val="-1"/>
      <w:lang w:eastAsia="pt-BR"/>
    </w:rPr>
  </w:style>
  <w:style w:type="paragraph" w:customStyle="1" w:styleId="Pr-formataoHTML">
    <w:name w:val="Pré-formatação HTM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SimSun" w:hAnsi="SimSun" w:hint="eastAsia"/>
      <w:position w:val="-1"/>
      <w:sz w:val="24"/>
      <w:szCs w:val="24"/>
      <w:lang w:val="en-US" w:eastAsia="zh-CN"/>
    </w:rPr>
  </w:style>
  <w:style w:type="paragraph" w:customStyle="1" w:styleId="Corpodetexto2">
    <w:name w:val="Corpo de texto 2"/>
    <w:basedOn w:val="Normal"/>
    <w:pPr>
      <w:suppressAutoHyphens/>
      <w:spacing w:after="120" w:line="480" w:lineRule="auto"/>
      <w:ind w:leftChars="-1" w:left="-1" w:hangingChars="1" w:hanging="1"/>
      <w:textDirection w:val="btLr"/>
      <w:textAlignment w:val="top"/>
      <w:outlineLvl w:val="0"/>
    </w:pPr>
    <w:rPr>
      <w:position w:val="-1"/>
      <w:lang w:eastAsia="pt-BR"/>
    </w:rPr>
  </w:style>
  <w:style w:type="paragraph" w:customStyle="1" w:styleId="Cabealho">
    <w:name w:val="Cabeçalho"/>
    <w:basedOn w:val="Normal"/>
    <w:pPr>
      <w:tabs>
        <w:tab w:val="center" w:pos="4419"/>
        <w:tab w:val="right" w:pos="8838"/>
      </w:tabs>
      <w:suppressAutoHyphens/>
      <w:spacing w:line="1" w:lineRule="atLeast"/>
      <w:ind w:leftChars="-1" w:left="-1" w:hangingChars="1" w:hanging="1"/>
      <w:textDirection w:val="btLr"/>
      <w:textAlignment w:val="top"/>
      <w:outlineLvl w:val="0"/>
    </w:pPr>
    <w:rPr>
      <w:position w:val="-1"/>
      <w:lang w:eastAsia="pt-BR"/>
    </w:rPr>
  </w:style>
  <w:style w:type="paragraph" w:customStyle="1" w:styleId="Rodap">
    <w:name w:val="Rodapé"/>
    <w:basedOn w:val="Normal"/>
    <w:pPr>
      <w:tabs>
        <w:tab w:val="center" w:pos="4252"/>
        <w:tab w:val="right" w:pos="8504"/>
      </w:tabs>
      <w:suppressAutoHyphens/>
      <w:spacing w:line="1" w:lineRule="atLeast"/>
      <w:ind w:leftChars="-1" w:left="-1" w:hangingChars="1" w:hanging="1"/>
      <w:textDirection w:val="btLr"/>
      <w:textAlignment w:val="top"/>
      <w:outlineLvl w:val="0"/>
    </w:pPr>
    <w:rPr>
      <w:position w:val="-1"/>
      <w:lang w:eastAsia="pt-BR"/>
    </w:rPr>
  </w:style>
  <w:style w:type="paragraph" w:customStyle="1" w:styleId="Legenda">
    <w:name w:val="Legenda"/>
    <w:basedOn w:val="Normal"/>
    <w:next w:val="Normal"/>
    <w:pPr>
      <w:suppressAutoHyphens/>
      <w:spacing w:line="1" w:lineRule="atLeast"/>
      <w:ind w:leftChars="-1" w:left="-1" w:hangingChars="1" w:hanging="1"/>
      <w:textDirection w:val="btLr"/>
      <w:textAlignment w:val="top"/>
      <w:outlineLvl w:val="0"/>
    </w:pPr>
    <w:rPr>
      <w:b/>
      <w:bCs/>
      <w:position w:val="-1"/>
      <w:lang w:eastAsia="pt-BR"/>
    </w:rPr>
  </w:style>
  <w:style w:type="paragraph" w:customStyle="1" w:styleId="Remissivo1">
    <w:name w:val="Remissivo 1"/>
    <w:basedOn w:val="Normal"/>
    <w:next w:val="Normal"/>
    <w:pPr>
      <w:suppressAutoHyphens/>
      <w:spacing w:line="1" w:lineRule="atLeast"/>
      <w:ind w:leftChars="-1" w:left="200" w:hangingChars="1" w:hanging="200"/>
      <w:textDirection w:val="btLr"/>
      <w:textAlignment w:val="top"/>
      <w:outlineLvl w:val="0"/>
    </w:pPr>
    <w:rPr>
      <w:position w:val="-1"/>
      <w:sz w:val="18"/>
      <w:lang w:eastAsia="pt-BR"/>
    </w:rPr>
  </w:style>
  <w:style w:type="paragraph" w:customStyle="1" w:styleId="Sumrio3">
    <w:name w:val="Sumário 3"/>
    <w:basedOn w:val="Normal"/>
    <w:next w:val="Normal"/>
    <w:pPr>
      <w:suppressAutoHyphens/>
      <w:spacing w:line="1" w:lineRule="atLeast"/>
      <w:ind w:leftChars="-1" w:left="400" w:hangingChars="1" w:hanging="1"/>
      <w:textDirection w:val="btLr"/>
      <w:textAlignment w:val="top"/>
      <w:outlineLvl w:val="0"/>
    </w:pPr>
    <w:rPr>
      <w:position w:val="-1"/>
      <w:lang w:eastAsia="pt-BR"/>
    </w:rPr>
  </w:style>
  <w:style w:type="paragraph" w:customStyle="1" w:styleId="Textodenotaderodap">
    <w:name w:val="Texto de nota de rodapé"/>
    <w:basedOn w:val="Normal"/>
    <w:pPr>
      <w:suppressAutoHyphens/>
      <w:spacing w:line="1" w:lineRule="atLeast"/>
      <w:ind w:leftChars="-1" w:left="-1" w:hangingChars="1" w:hanging="1"/>
      <w:textDirection w:val="btLr"/>
      <w:textAlignment w:val="top"/>
      <w:outlineLvl w:val="0"/>
    </w:pPr>
    <w:rPr>
      <w:position w:val="-1"/>
      <w:lang w:eastAsia="pt-BR"/>
    </w:rPr>
  </w:style>
  <w:style w:type="paragraph" w:customStyle="1" w:styleId="Sumrio1">
    <w:name w:val="Sumário 1"/>
    <w:basedOn w:val="Normal"/>
    <w:next w:val="Normal"/>
    <w:pPr>
      <w:suppressAutoHyphens/>
      <w:spacing w:line="1" w:lineRule="atLeast"/>
      <w:ind w:leftChars="-1" w:left="-1" w:hangingChars="1" w:hanging="1"/>
      <w:textDirection w:val="btLr"/>
      <w:textAlignment w:val="top"/>
      <w:outlineLvl w:val="0"/>
    </w:pPr>
    <w:rPr>
      <w:position w:val="-1"/>
      <w:lang w:eastAsia="pt-BR"/>
    </w:rPr>
  </w:style>
  <w:style w:type="table" w:customStyle="1" w:styleId="Tabelacomgrade">
    <w:name w:val="Tabela com grade"/>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 1"/>
    <w:basedOn w:val="Tabelanorm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paragraph" w:customStyle="1" w:styleId="Estilo1">
    <w:name w:val="Estilo1"/>
    <w:basedOn w:val="Normal"/>
    <w:pPr>
      <w:suppressAutoHyphens/>
      <w:spacing w:before="120" w:after="120" w:line="480" w:lineRule="auto"/>
      <w:ind w:leftChars="-1" w:left="-1" w:hangingChars="1" w:hanging="1"/>
      <w:textDirection w:val="btLr"/>
      <w:textAlignment w:val="top"/>
      <w:outlineLvl w:val="0"/>
    </w:pPr>
    <w:rPr>
      <w:rFonts w:ascii="Arial Negrito" w:hAnsi="Arial Negrito" w:cs="Arial"/>
      <w:b/>
      <w:caps/>
      <w:position w:val="-1"/>
      <w:lang w:eastAsia="en-US"/>
    </w:rPr>
  </w:style>
  <w:style w:type="paragraph" w:customStyle="1" w:styleId="Estilo2">
    <w:name w:val="Estilo2"/>
    <w:basedOn w:val="Normal"/>
    <w:pPr>
      <w:tabs>
        <w:tab w:val="left" w:pos="334"/>
      </w:tabs>
      <w:suppressAutoHyphens/>
      <w:spacing w:before="120" w:after="120" w:line="480" w:lineRule="auto"/>
      <w:ind w:leftChars="-1" w:left="-1" w:hangingChars="1" w:hanging="1"/>
      <w:textDirection w:val="btLr"/>
      <w:textAlignment w:val="top"/>
      <w:outlineLvl w:val="0"/>
    </w:pPr>
    <w:rPr>
      <w:rFonts w:ascii="Arial Negrito" w:hAnsi="Arial Negrito" w:cs="Arial"/>
      <w:b/>
      <w:position w:val="-1"/>
      <w:lang w:eastAsia="pt-BR"/>
    </w:rPr>
  </w:style>
  <w:style w:type="paragraph" w:customStyle="1" w:styleId="texto">
    <w:name w:val="texto"/>
    <w:basedOn w:val="Normal"/>
    <w:pPr>
      <w:suppressAutoHyphens/>
      <w:spacing w:before="120" w:after="120" w:line="480" w:lineRule="auto"/>
      <w:ind w:leftChars="-1" w:left="-1" w:hangingChars="1" w:hanging="1"/>
      <w:jc w:val="both"/>
      <w:textDirection w:val="btLr"/>
      <w:textAlignment w:val="top"/>
      <w:outlineLvl w:val="0"/>
    </w:pPr>
    <w:rPr>
      <w:rFonts w:ascii="Arial" w:hAnsi="Arial" w:cs="Arial"/>
      <w:position w:val="-1"/>
      <w:lang w:eastAsia="en-US"/>
    </w:rPr>
  </w:style>
  <w:style w:type="paragraph" w:customStyle="1" w:styleId="Figura">
    <w:name w:val="Figura"/>
    <w:basedOn w:val="texto"/>
    <w:pPr>
      <w:spacing w:before="0" w:after="0" w:line="360" w:lineRule="auto"/>
      <w:ind w:firstLine="0"/>
      <w:jc w:val="left"/>
    </w:pPr>
    <w:rPr>
      <w:sz w:val="22"/>
    </w:rPr>
  </w:style>
  <w:style w:type="paragraph" w:customStyle="1" w:styleId="figura0">
    <w:name w:val="figura"/>
    <w:basedOn w:val="Normal"/>
    <w:pPr>
      <w:suppressAutoHyphens/>
      <w:autoSpaceDE w:val="0"/>
      <w:autoSpaceDN w:val="0"/>
      <w:adjustRightInd w:val="0"/>
      <w:spacing w:before="120" w:after="120" w:line="360" w:lineRule="auto"/>
      <w:ind w:leftChars="-1" w:left="-1" w:hangingChars="1" w:hanging="1"/>
      <w:jc w:val="center"/>
      <w:textDirection w:val="btLr"/>
      <w:textAlignment w:val="top"/>
      <w:outlineLvl w:val="0"/>
    </w:pPr>
    <w:rPr>
      <w:rFonts w:ascii="Arial" w:hAnsi="Arial" w:cs="Arial"/>
      <w:color w:val="231F20"/>
      <w:position w:val="-1"/>
      <w:sz w:val="22"/>
      <w:szCs w:val="22"/>
      <w:lang w:eastAsia="pt-BR"/>
    </w:rPr>
  </w:style>
  <w:style w:type="paragraph" w:customStyle="1" w:styleId="Estilo3">
    <w:name w:val="Estilo3"/>
    <w:basedOn w:val="Normal"/>
    <w:pPr>
      <w:suppressAutoHyphens/>
      <w:spacing w:before="120" w:after="120" w:line="480" w:lineRule="auto"/>
      <w:ind w:leftChars="-1" w:left="-1" w:hangingChars="1" w:hanging="1"/>
      <w:textDirection w:val="btLr"/>
      <w:textAlignment w:val="top"/>
      <w:outlineLvl w:val="0"/>
    </w:pPr>
    <w:rPr>
      <w:rFonts w:ascii="Arial" w:hAnsi="Arial" w:cs="Arial"/>
      <w:b/>
      <w:i/>
      <w:position w:val="-1"/>
      <w:lang w:eastAsia="pt-BR"/>
    </w:rPr>
  </w:style>
  <w:style w:type="paragraph" w:customStyle="1" w:styleId="tit3patricia">
    <w:name w:val="tit3 patricia"/>
    <w:basedOn w:val="Normal"/>
    <w:pPr>
      <w:tabs>
        <w:tab w:val="left" w:pos="9120"/>
      </w:tabs>
      <w:suppressAutoHyphens/>
      <w:spacing w:before="120" w:after="120" w:line="480" w:lineRule="auto"/>
      <w:ind w:leftChars="-1" w:left="-1" w:hangingChars="1" w:hanging="1"/>
      <w:jc w:val="both"/>
      <w:textDirection w:val="btLr"/>
      <w:textAlignment w:val="top"/>
      <w:outlineLvl w:val="0"/>
    </w:pPr>
    <w:rPr>
      <w:rFonts w:ascii="Arial" w:hAnsi="Arial" w:cs="Arial"/>
      <w:b/>
      <w:i/>
      <w:position w:val="-1"/>
      <w:lang w:eastAsia="pt-BR"/>
    </w:rPr>
  </w:style>
  <w:style w:type="paragraph" w:customStyle="1" w:styleId="Estilo4">
    <w:name w:val="Estilo4"/>
    <w:basedOn w:val="Ttulo4"/>
    <w:pPr>
      <w:keepNext w:val="0"/>
      <w:spacing w:line="480" w:lineRule="auto"/>
    </w:pPr>
    <w:rPr>
      <w:rFonts w:ascii="Arial" w:hAnsi="Arial" w:cs="Arial"/>
      <w:b w:val="0"/>
      <w:iCs/>
      <w:sz w:val="24"/>
    </w:rPr>
  </w:style>
  <w:style w:type="paragraph" w:customStyle="1" w:styleId="titulo3Rosane">
    <w:name w:val="titulo3 Rosane"/>
    <w:basedOn w:val="NormalWeb"/>
    <w:pPr>
      <w:spacing w:before="120" w:after="120" w:line="480" w:lineRule="auto"/>
      <w:jc w:val="both"/>
    </w:pPr>
    <w:rPr>
      <w:rFonts w:ascii="Arial" w:hAnsi="Arial" w:cs="Arial"/>
      <w:b/>
      <w:i/>
    </w:rPr>
  </w:style>
  <w:style w:type="paragraph" w:customStyle="1" w:styleId="texto1">
    <w:name w:val="texto 1"/>
    <w:basedOn w:val="Normal"/>
    <w:pPr>
      <w:suppressAutoHyphens/>
      <w:spacing w:before="120" w:after="120" w:line="480" w:lineRule="auto"/>
      <w:ind w:leftChars="-1" w:left="-1" w:hangingChars="1" w:hanging="1"/>
      <w:jc w:val="both"/>
      <w:textDirection w:val="btLr"/>
      <w:textAlignment w:val="top"/>
      <w:outlineLvl w:val="0"/>
    </w:pPr>
    <w:rPr>
      <w:rFonts w:ascii="Arial" w:hAnsi="Arial" w:cs="Arial"/>
      <w:position w:val="-1"/>
      <w:lang w:val="en-US" w:eastAsia="pt-BR"/>
    </w:rPr>
  </w:style>
  <w:style w:type="paragraph" w:customStyle="1" w:styleId="Estilo3figura">
    <w:name w:val="Estilo3figura"/>
    <w:basedOn w:val="Normal"/>
    <w:pPr>
      <w:suppressAutoHyphens/>
      <w:spacing w:before="120" w:after="120" w:line="480" w:lineRule="auto"/>
      <w:ind w:leftChars="-1" w:left="-1" w:hangingChars="1" w:hanging="1"/>
      <w:jc w:val="both"/>
      <w:textDirection w:val="btLr"/>
      <w:textAlignment w:val="top"/>
      <w:outlineLvl w:val="0"/>
    </w:pPr>
    <w:rPr>
      <w:rFonts w:ascii="Arial" w:hAnsi="Arial" w:cs="Arial"/>
      <w:position w:val="-1"/>
      <w:sz w:val="22"/>
      <w:lang w:eastAsia="pt-BR"/>
    </w:rPr>
  </w:style>
  <w:style w:type="paragraph" w:customStyle="1" w:styleId="TEXTO0">
    <w:name w:val="TEXTO"/>
    <w:basedOn w:val="Normal"/>
    <w:pPr>
      <w:widowControl w:val="0"/>
      <w:suppressAutoHyphens/>
      <w:spacing w:before="120" w:after="120" w:line="480" w:lineRule="auto"/>
      <w:ind w:leftChars="-1" w:left="-1" w:hangingChars="1" w:hanging="1"/>
      <w:jc w:val="both"/>
      <w:textDirection w:val="btLr"/>
      <w:textAlignment w:val="top"/>
      <w:outlineLvl w:val="0"/>
    </w:pPr>
    <w:rPr>
      <w:rFonts w:ascii="Arial" w:hAnsi="Arial" w:cs="Arial"/>
      <w:bCs/>
      <w:kern w:val="36"/>
      <w:position w:val="-1"/>
      <w:lang w:eastAsia="pt-BR"/>
    </w:rPr>
  </w:style>
  <w:style w:type="paragraph" w:customStyle="1" w:styleId="EstiloTEXTOItlico">
    <w:name w:val="Estilo TEXTO + Itálico"/>
    <w:basedOn w:val="TEXTO0"/>
    <w:pPr>
      <w:widowControl/>
      <w:spacing w:line="360" w:lineRule="auto"/>
      <w:ind w:firstLine="709"/>
    </w:pPr>
    <w:rPr>
      <w:rFonts w:ascii="Times New Roman" w:hAnsi="Times New Roman" w:cs="Times New Roman"/>
      <w:b/>
      <w:bCs w:val="0"/>
      <w:i/>
      <w:iCs/>
    </w:rPr>
  </w:style>
  <w:style w:type="paragraph" w:customStyle="1" w:styleId="figuradissertao">
    <w:name w:val="figura dissertação"/>
    <w:basedOn w:val="Normal"/>
    <w:pPr>
      <w:suppressAutoHyphens/>
      <w:spacing w:before="120" w:after="120" w:line="1" w:lineRule="atLeast"/>
      <w:ind w:leftChars="-1" w:left="-1" w:hangingChars="1" w:hanging="1"/>
      <w:jc w:val="both"/>
      <w:textDirection w:val="btLr"/>
      <w:textAlignment w:val="top"/>
      <w:outlineLvl w:val="0"/>
    </w:pPr>
    <w:rPr>
      <w:rFonts w:ascii="Arial" w:hAnsi="Arial" w:cs="Arial"/>
      <w:bCs/>
      <w:position w:val="-1"/>
      <w:sz w:val="22"/>
      <w:szCs w:val="22"/>
      <w:lang w:eastAsia="en-US"/>
    </w:rPr>
  </w:style>
  <w:style w:type="paragraph" w:customStyle="1" w:styleId="Estilo10">
    <w:name w:val="Estilo 1"/>
    <w:basedOn w:val="Ttulo"/>
    <w:pPr>
      <w:spacing w:before="120" w:after="120" w:line="480" w:lineRule="auto"/>
      <w:jc w:val="left"/>
      <w:outlineLvl w:val="9"/>
    </w:pPr>
    <w:rPr>
      <w:rFonts w:ascii="Arial Negrito" w:hAnsi="Arial Negrito" w:cs="Times New Roman"/>
      <w:caps/>
      <w:kern w:val="0"/>
      <w:sz w:val="24"/>
      <w:szCs w:val="24"/>
    </w:rPr>
  </w:style>
  <w:style w:type="character" w:customStyle="1" w:styleId="Estilo1Char">
    <w:name w:val="Estilo 1 Char"/>
    <w:rPr>
      <w:rFonts w:ascii="Arial Negrito" w:hAnsi="Arial Negrito" w:cs="Arial"/>
      <w:b/>
      <w:bCs/>
      <w:caps/>
      <w:w w:val="100"/>
      <w:kern w:val="28"/>
      <w:position w:val="-1"/>
      <w:sz w:val="24"/>
      <w:szCs w:val="24"/>
      <w:effect w:val="none"/>
      <w:vertAlign w:val="baseline"/>
      <w:cs w:val="0"/>
      <w:em w:val="none"/>
      <w:lang w:val="pt-BR" w:eastAsia="pt-BR" w:bidi="ar-SA"/>
    </w:rPr>
  </w:style>
  <w:style w:type="paragraph" w:customStyle="1" w:styleId="Estilo20">
    <w:name w:val="Estilo 2"/>
    <w:basedOn w:val="Normal"/>
    <w:pPr>
      <w:suppressAutoHyphens/>
      <w:spacing w:before="120" w:after="120" w:line="480" w:lineRule="auto"/>
      <w:ind w:leftChars="-1" w:left="-1" w:hangingChars="1" w:hanging="1"/>
      <w:jc w:val="both"/>
      <w:textDirection w:val="btLr"/>
      <w:textAlignment w:val="top"/>
      <w:outlineLvl w:val="0"/>
    </w:pPr>
    <w:rPr>
      <w:rFonts w:ascii="Arial" w:eastAsia="Calibri" w:hAnsi="Arial"/>
      <w:b/>
      <w:position w:val="-1"/>
      <w:sz w:val="24"/>
      <w:lang w:eastAsia="en-US"/>
    </w:rPr>
  </w:style>
  <w:style w:type="paragraph" w:customStyle="1" w:styleId="Estilo30">
    <w:name w:val="Estilo 3"/>
    <w:basedOn w:val="Normal"/>
    <w:pPr>
      <w:suppressAutoHyphens/>
      <w:spacing w:before="120" w:after="120" w:line="480" w:lineRule="auto"/>
      <w:ind w:leftChars="-1" w:left="-1" w:hangingChars="1" w:hanging="1"/>
      <w:jc w:val="both"/>
      <w:textDirection w:val="btLr"/>
      <w:textAlignment w:val="top"/>
      <w:outlineLvl w:val="0"/>
    </w:pPr>
    <w:rPr>
      <w:rFonts w:ascii="Arial" w:eastAsia="Calibri" w:hAnsi="Arial"/>
      <w:i/>
      <w:position w:val="-1"/>
      <w:sz w:val="24"/>
      <w:lang w:eastAsia="en-US"/>
    </w:rPr>
  </w:style>
  <w:style w:type="paragraph" w:customStyle="1" w:styleId="Texto2">
    <w:name w:val="Texto"/>
    <w:basedOn w:val="Normal"/>
    <w:pPr>
      <w:suppressAutoHyphens/>
      <w:spacing w:before="120" w:after="120" w:line="480" w:lineRule="auto"/>
      <w:ind w:leftChars="-1" w:left="-1" w:hangingChars="1" w:hanging="1"/>
      <w:jc w:val="both"/>
      <w:textDirection w:val="btLr"/>
      <w:textAlignment w:val="top"/>
      <w:outlineLvl w:val="0"/>
    </w:pPr>
    <w:rPr>
      <w:rFonts w:ascii="Arial" w:hAnsi="Arial" w:cs="Arial"/>
      <w:position w:val="-1"/>
      <w:lang w:eastAsia="pt-BR"/>
    </w:rPr>
  </w:style>
  <w:style w:type="paragraph" w:customStyle="1" w:styleId="Tabela">
    <w:name w:val="Tabela"/>
    <w:basedOn w:val="Normal"/>
    <w:pPr>
      <w:suppressAutoHyphens/>
      <w:spacing w:line="360" w:lineRule="auto"/>
      <w:ind w:leftChars="-1" w:left="-1" w:hangingChars="1" w:hanging="1"/>
      <w:textDirection w:val="btLr"/>
      <w:textAlignment w:val="top"/>
      <w:outlineLvl w:val="0"/>
    </w:pPr>
    <w:rPr>
      <w:rFonts w:ascii="Arial" w:hAnsi="Arial" w:cs="ArialMT"/>
      <w:position w:val="-1"/>
      <w:sz w:val="22"/>
      <w:lang w:eastAsia="pt-BR"/>
    </w:rPr>
  </w:style>
  <w:style w:type="paragraph" w:customStyle="1" w:styleId="Quadro">
    <w:name w:val="Quadro"/>
    <w:basedOn w:val="Normal"/>
    <w:pPr>
      <w:suppressAutoHyphens/>
      <w:spacing w:line="360" w:lineRule="auto"/>
      <w:ind w:leftChars="-1" w:left="-1" w:hangingChars="1" w:hanging="1"/>
      <w:textDirection w:val="btLr"/>
      <w:textAlignment w:val="top"/>
      <w:outlineLvl w:val="0"/>
    </w:pPr>
    <w:rPr>
      <w:rFonts w:ascii="Arial" w:hAnsi="Arial"/>
      <w:position w:val="-1"/>
      <w:sz w:val="22"/>
      <w:lang w:eastAsia="pt-BR"/>
    </w:rPr>
  </w:style>
  <w:style w:type="paragraph" w:customStyle="1" w:styleId="CORPOTEXTO">
    <w:name w:val="_CORPO TEXTO"/>
    <w:basedOn w:val="Normal"/>
    <w:pPr>
      <w:suppressAutoHyphens/>
      <w:spacing w:before="120" w:after="120" w:line="480" w:lineRule="auto"/>
      <w:ind w:leftChars="-1" w:left="-1" w:hangingChars="1" w:hanging="1"/>
      <w:jc w:val="both"/>
      <w:textDirection w:val="btLr"/>
      <w:textAlignment w:val="top"/>
      <w:outlineLvl w:val="0"/>
    </w:pPr>
    <w:rPr>
      <w:rFonts w:ascii="Arial" w:eastAsia="Calibri" w:hAnsi="Arial" w:cs="Arial"/>
      <w:position w:val="-1"/>
      <w:sz w:val="24"/>
      <w:szCs w:val="22"/>
      <w:lang w:val="en-US" w:eastAsia="en-US"/>
    </w:rPr>
  </w:style>
  <w:style w:type="paragraph" w:customStyle="1" w:styleId="Grafico">
    <w:name w:val="Grafico"/>
    <w:basedOn w:val="ndicedeilustraes"/>
    <w:pPr>
      <w:tabs>
        <w:tab w:val="right" w:leader="dot" w:pos="9043"/>
      </w:tabs>
      <w:spacing w:before="120" w:after="120" w:line="360" w:lineRule="auto"/>
      <w:jc w:val="both"/>
    </w:pPr>
    <w:rPr>
      <w:rFonts w:ascii="Arial" w:hAnsi="Arial" w:cs="Arial"/>
      <w:sz w:val="22"/>
    </w:rPr>
  </w:style>
  <w:style w:type="paragraph" w:customStyle="1" w:styleId="tabela0">
    <w:name w:val="tabela"/>
    <w:basedOn w:val="ndicedeilustraes"/>
    <w:pPr>
      <w:tabs>
        <w:tab w:val="right" w:leader="dot" w:pos="9043"/>
      </w:tabs>
      <w:spacing w:before="120" w:after="120" w:line="360" w:lineRule="auto"/>
      <w:jc w:val="both"/>
    </w:pPr>
    <w:rPr>
      <w:rFonts w:ascii="Arial" w:hAnsi="Arial" w:cs="Arial"/>
      <w:sz w:val="22"/>
    </w:rPr>
  </w:style>
  <w:style w:type="paragraph" w:customStyle="1" w:styleId="titulo1Roteiro">
    <w:name w:val="titulo1 Roteiro"/>
    <w:basedOn w:val="Normal"/>
    <w:pPr>
      <w:suppressAutoHyphens/>
      <w:spacing w:before="120" w:after="120" w:line="360" w:lineRule="auto"/>
      <w:ind w:leftChars="-1" w:left="-1" w:hangingChars="1" w:hanging="1"/>
      <w:jc w:val="both"/>
      <w:textDirection w:val="btLr"/>
      <w:textAlignment w:val="top"/>
      <w:outlineLvl w:val="0"/>
    </w:pPr>
    <w:rPr>
      <w:rFonts w:ascii="Arial" w:hAnsi="Arial" w:cs="Arial"/>
      <w:b/>
      <w:caps/>
      <w:position w:val="-1"/>
      <w:sz w:val="28"/>
      <w:szCs w:val="28"/>
      <w:lang w:eastAsia="pt-BR"/>
    </w:rPr>
  </w:style>
  <w:style w:type="character" w:customStyle="1" w:styleId="titulo1RoteiroChar">
    <w:name w:val="titulo1 Roteiro Char"/>
    <w:rPr>
      <w:rFonts w:ascii="Arial" w:hAnsi="Arial" w:cs="Arial"/>
      <w:b/>
      <w:caps/>
      <w:w w:val="100"/>
      <w:position w:val="-1"/>
      <w:sz w:val="28"/>
      <w:szCs w:val="28"/>
      <w:effect w:val="none"/>
      <w:vertAlign w:val="baseline"/>
      <w:cs w:val="0"/>
      <w:em w:val="none"/>
      <w:lang w:val="pt-BR" w:eastAsia="pt-BR" w:bidi="ar-SA"/>
    </w:rPr>
  </w:style>
  <w:style w:type="paragraph" w:customStyle="1" w:styleId="corpotexto0">
    <w:name w:val="corpo texto"/>
    <w:basedOn w:val="Normal"/>
    <w:pPr>
      <w:suppressAutoHyphens/>
      <w:spacing w:before="120" w:after="120" w:line="480" w:lineRule="auto"/>
      <w:ind w:leftChars="-1" w:left="-1" w:hangingChars="1" w:hanging="1"/>
      <w:jc w:val="both"/>
      <w:textDirection w:val="btLr"/>
      <w:textAlignment w:val="top"/>
      <w:outlineLvl w:val="0"/>
    </w:pPr>
    <w:rPr>
      <w:rFonts w:ascii="Arial" w:hAnsi="Arial" w:cs="Arial"/>
      <w:position w:val="-1"/>
      <w:sz w:val="24"/>
      <w:szCs w:val="24"/>
      <w:lang w:val="en-US"/>
    </w:rPr>
  </w:style>
  <w:style w:type="character" w:customStyle="1" w:styleId="corpotextoChar">
    <w:name w:val="corpo texto Char"/>
    <w:rPr>
      <w:rFonts w:ascii="Arial" w:hAnsi="Arial" w:cs="Arial"/>
      <w:w w:val="100"/>
      <w:position w:val="-1"/>
      <w:sz w:val="24"/>
      <w:szCs w:val="24"/>
      <w:effect w:val="none"/>
      <w:vertAlign w:val="baseline"/>
      <w:cs w:val="0"/>
      <w:em w:val="none"/>
      <w:lang w:val="en-US" w:eastAsia="pt-BR" w:bidi="ar-SA"/>
    </w:rPr>
  </w:style>
  <w:style w:type="paragraph" w:customStyle="1" w:styleId="titulo1MGeraldo">
    <w:name w:val="titulo1 M.Geraldo"/>
    <w:basedOn w:val="Normal"/>
    <w:pPr>
      <w:suppressAutoHyphens/>
      <w:autoSpaceDE w:val="0"/>
      <w:autoSpaceDN w:val="0"/>
      <w:adjustRightInd w:val="0"/>
      <w:spacing w:before="120" w:after="120" w:line="480" w:lineRule="auto"/>
      <w:ind w:leftChars="-1" w:left="-1" w:hangingChars="1" w:hanging="1"/>
      <w:jc w:val="center"/>
      <w:textDirection w:val="btLr"/>
      <w:textAlignment w:val="top"/>
      <w:outlineLvl w:val="0"/>
    </w:pPr>
    <w:rPr>
      <w:rFonts w:ascii="Arial" w:hAnsi="Arial" w:cs="Arial"/>
      <w:b/>
      <w:caps/>
      <w:color w:val="000000"/>
      <w:position w:val="-1"/>
      <w:sz w:val="28"/>
      <w:szCs w:val="28"/>
    </w:rPr>
  </w:style>
  <w:style w:type="paragraph" w:customStyle="1" w:styleId="FIGURAIRAMAIA">
    <w:name w:val="FIGURA IRAMAIA"/>
    <w:basedOn w:val="Normal"/>
    <w:pPr>
      <w:suppressAutoHyphens/>
      <w:spacing w:before="120" w:after="120" w:line="1" w:lineRule="atLeast"/>
      <w:ind w:leftChars="-1" w:left="-1" w:hangingChars="1" w:hanging="1"/>
      <w:jc w:val="both"/>
      <w:textDirection w:val="btLr"/>
      <w:textAlignment w:val="top"/>
      <w:outlineLvl w:val="0"/>
    </w:pPr>
    <w:rPr>
      <w:rFonts w:ascii="Arial" w:hAnsi="Arial" w:cs="Arial"/>
      <w:bCs/>
      <w:position w:val="-1"/>
      <w:sz w:val="22"/>
      <w:szCs w:val="22"/>
      <w:lang w:eastAsia="pt-BR"/>
    </w:rPr>
  </w:style>
  <w:style w:type="paragraph" w:customStyle="1" w:styleId="BodyText21">
    <w:name w:val="Body Text 21"/>
    <w:basedOn w:val="Normal"/>
    <w:pPr>
      <w:suppressAutoHyphens/>
      <w:spacing w:line="480" w:lineRule="auto"/>
      <w:ind w:leftChars="-1" w:left="-1" w:hangingChars="1" w:hanging="1"/>
      <w:jc w:val="both"/>
      <w:textDirection w:val="btLr"/>
      <w:textAlignment w:val="top"/>
      <w:outlineLvl w:val="0"/>
    </w:pPr>
    <w:rPr>
      <w:position w:val="-1"/>
      <w:sz w:val="24"/>
      <w:lang w:eastAsia="pt-BR"/>
    </w:rPr>
  </w:style>
  <w:style w:type="paragraph" w:customStyle="1" w:styleId="figuraArtur">
    <w:name w:val="figura Artur"/>
    <w:basedOn w:val="Normal"/>
    <w:pPr>
      <w:suppressAutoHyphens/>
      <w:spacing w:before="120" w:after="120" w:line="1" w:lineRule="atLeast"/>
      <w:ind w:leftChars="-1" w:left="-1" w:hangingChars="1" w:hanging="1"/>
      <w:jc w:val="center"/>
      <w:textDirection w:val="btLr"/>
      <w:textAlignment w:val="top"/>
      <w:outlineLvl w:val="0"/>
    </w:pPr>
    <w:rPr>
      <w:rFonts w:ascii="Arial" w:hAnsi="Arial"/>
      <w:position w:val="-1"/>
      <w:sz w:val="22"/>
      <w:szCs w:val="22"/>
      <w:lang w:eastAsia="pt-BR"/>
    </w:rPr>
  </w:style>
  <w:style w:type="character" w:customStyle="1" w:styleId="figuraArturChar">
    <w:name w:val="figura Artur Char"/>
    <w:rPr>
      <w:rFonts w:ascii="Arial" w:hAnsi="Arial"/>
      <w:w w:val="100"/>
      <w:position w:val="-1"/>
      <w:sz w:val="22"/>
      <w:szCs w:val="22"/>
      <w:effect w:val="none"/>
      <w:vertAlign w:val="baseline"/>
      <w:cs w:val="0"/>
      <w:em w:val="none"/>
      <w:lang w:val="pt-BR" w:eastAsia="pt-BR" w:bidi="ar-SA"/>
    </w:rPr>
  </w:style>
  <w:style w:type="paragraph" w:customStyle="1" w:styleId="figuraCarlos">
    <w:name w:val="figura Carlos"/>
    <w:basedOn w:val="Normal"/>
    <w:pPr>
      <w:suppressAutoHyphens/>
      <w:spacing w:before="120" w:after="120" w:line="1" w:lineRule="atLeast"/>
      <w:ind w:leftChars="-1" w:left="-1" w:hangingChars="1" w:hanging="1"/>
      <w:jc w:val="center"/>
      <w:textDirection w:val="btLr"/>
      <w:textAlignment w:val="top"/>
      <w:outlineLvl w:val="0"/>
    </w:pPr>
    <w:rPr>
      <w:rFonts w:ascii="Arial" w:hAnsi="Arial" w:cs="Arial"/>
      <w:position w:val="-1"/>
      <w:sz w:val="22"/>
      <w:szCs w:val="22"/>
      <w:lang w:eastAsia="pt-BR"/>
    </w:rPr>
  </w:style>
  <w:style w:type="character" w:customStyle="1" w:styleId="figuraCarlosChar">
    <w:name w:val="figura Carlos Char"/>
    <w:rPr>
      <w:rFonts w:ascii="Arial" w:hAnsi="Arial" w:cs="Arial"/>
      <w:w w:val="100"/>
      <w:position w:val="-1"/>
      <w:sz w:val="22"/>
      <w:szCs w:val="22"/>
      <w:effect w:val="none"/>
      <w:vertAlign w:val="baseline"/>
      <w:cs w:val="0"/>
      <w:em w:val="none"/>
      <w:lang w:val="pt-BR" w:eastAsia="pt-BR" w:bidi="ar-SA"/>
    </w:rPr>
  </w:style>
  <w:style w:type="paragraph" w:customStyle="1" w:styleId="corpotextoManual">
    <w:name w:val="corpo texto Manual"/>
    <w:basedOn w:val="Normal"/>
    <w:pPr>
      <w:suppressAutoHyphens/>
      <w:spacing w:before="120" w:after="120" w:line="360" w:lineRule="auto"/>
      <w:ind w:leftChars="-1" w:left="-1" w:hangingChars="1" w:hanging="1"/>
      <w:jc w:val="both"/>
      <w:textDirection w:val="btLr"/>
      <w:textAlignment w:val="top"/>
      <w:outlineLvl w:val="0"/>
    </w:pPr>
    <w:rPr>
      <w:rFonts w:ascii="Arial" w:hAnsi="Arial" w:cs="Arial"/>
      <w:position w:val="-1"/>
      <w:sz w:val="24"/>
      <w:szCs w:val="24"/>
      <w:lang w:eastAsia="pt-BR"/>
    </w:rPr>
  </w:style>
  <w:style w:type="paragraph" w:customStyle="1" w:styleId="titulo2ManualMono">
    <w:name w:val="titulo2 Manual Mono"/>
    <w:basedOn w:val="Normal"/>
    <w:pPr>
      <w:suppressAutoHyphens/>
      <w:spacing w:before="120" w:after="120" w:line="360" w:lineRule="auto"/>
      <w:ind w:leftChars="-1" w:left="-1" w:hangingChars="1" w:hanging="1"/>
      <w:textDirection w:val="btLr"/>
      <w:textAlignment w:val="top"/>
      <w:outlineLvl w:val="0"/>
    </w:pPr>
    <w:rPr>
      <w:rFonts w:ascii="Arial Negrito" w:hAnsi="Arial Negrito" w:cs="Arial"/>
      <w:b/>
      <w:position w:val="-1"/>
      <w:sz w:val="24"/>
      <w:szCs w:val="24"/>
      <w:lang w:eastAsia="pt-BR"/>
    </w:rPr>
  </w:style>
  <w:style w:type="paragraph" w:customStyle="1" w:styleId="corpotextoprojeto">
    <w:name w:val="corpo texto projeto"/>
    <w:basedOn w:val="Corpodetexto2"/>
    <w:pPr>
      <w:spacing w:before="120" w:line="360" w:lineRule="auto"/>
      <w:ind w:firstLine="1134"/>
      <w:jc w:val="both"/>
    </w:pPr>
    <w:rPr>
      <w:rFonts w:ascii="Arial" w:hAnsi="Arial" w:cs="Arial"/>
      <w:sz w:val="24"/>
      <w:szCs w:val="24"/>
    </w:rPr>
  </w:style>
  <w:style w:type="character" w:customStyle="1" w:styleId="corpotextoprojetoChar">
    <w:name w:val="corpo texto projeto Char"/>
    <w:rPr>
      <w:rFonts w:ascii="Arial" w:hAnsi="Arial" w:cs="Arial"/>
      <w:w w:val="100"/>
      <w:position w:val="-1"/>
      <w:sz w:val="24"/>
      <w:szCs w:val="24"/>
      <w:effect w:val="none"/>
      <w:vertAlign w:val="baseline"/>
      <w:cs w:val="0"/>
      <w:em w:val="none"/>
      <w:lang w:val="pt-BR" w:eastAsia="pt-BR" w:bidi="ar-SA"/>
    </w:rPr>
  </w:style>
  <w:style w:type="paragraph" w:customStyle="1" w:styleId="estilo11">
    <w:name w:val="_estilo1"/>
    <w:basedOn w:val="Normal"/>
    <w:pPr>
      <w:tabs>
        <w:tab w:val="left" w:pos="9072"/>
      </w:tabs>
      <w:suppressAutoHyphens/>
      <w:spacing w:before="120" w:after="120" w:line="480" w:lineRule="auto"/>
      <w:ind w:leftChars="-1" w:left="-1" w:hangingChars="1" w:hanging="1"/>
      <w:textDirection w:val="btLr"/>
      <w:textAlignment w:val="top"/>
      <w:outlineLvl w:val="0"/>
    </w:pPr>
    <w:rPr>
      <w:rFonts w:ascii="Arial" w:eastAsia="Calibri" w:hAnsi="Arial" w:cs="Arial"/>
      <w:b/>
      <w:caps/>
      <w:position w:val="-1"/>
      <w:sz w:val="24"/>
      <w:szCs w:val="24"/>
      <w:lang w:val="en-US" w:eastAsia="pt-BR"/>
    </w:rPr>
  </w:style>
  <w:style w:type="paragraph" w:customStyle="1" w:styleId="estilo21">
    <w:name w:val="_estilo2"/>
    <w:basedOn w:val="Sumrio1"/>
    <w:pPr>
      <w:tabs>
        <w:tab w:val="left" w:pos="480"/>
        <w:tab w:val="right" w:leader="dot" w:pos="9061"/>
      </w:tabs>
      <w:spacing w:before="120" w:after="120" w:line="480" w:lineRule="auto"/>
      <w:jc w:val="both"/>
    </w:pPr>
    <w:rPr>
      <w:rFonts w:ascii="Arial" w:eastAsia="Calibri" w:hAnsi="Arial" w:cs="Arial"/>
      <w:b/>
      <w:sz w:val="24"/>
      <w:szCs w:val="24"/>
      <w:lang w:val="en-US"/>
    </w:rPr>
  </w:style>
  <w:style w:type="paragraph" w:customStyle="1" w:styleId="estilo31">
    <w:name w:val="_estilo3"/>
    <w:basedOn w:val="Normal"/>
    <w:pPr>
      <w:tabs>
        <w:tab w:val="left" w:pos="2208"/>
      </w:tabs>
      <w:suppressAutoHyphens/>
      <w:spacing w:before="120" w:after="120" w:line="480" w:lineRule="auto"/>
      <w:ind w:leftChars="-1" w:left="-1" w:hangingChars="1" w:hanging="1"/>
      <w:jc w:val="both"/>
      <w:textDirection w:val="btLr"/>
      <w:textAlignment w:val="top"/>
      <w:outlineLvl w:val="0"/>
    </w:pPr>
    <w:rPr>
      <w:rFonts w:ascii="Arial" w:eastAsia="MS Mincho" w:hAnsi="Arial" w:cs="Arial"/>
      <w:b/>
      <w:bCs/>
      <w:i/>
      <w:position w:val="-1"/>
      <w:sz w:val="24"/>
      <w:szCs w:val="24"/>
      <w:lang w:val="en-US" w:eastAsia="pt-BR"/>
    </w:rPr>
  </w:style>
  <w:style w:type="paragraph" w:customStyle="1" w:styleId="estilo40">
    <w:name w:val="_estilo4"/>
    <w:basedOn w:val="Normal"/>
    <w:pPr>
      <w:suppressAutoHyphens/>
      <w:spacing w:before="120" w:after="120" w:line="480" w:lineRule="auto"/>
      <w:ind w:leftChars="-1" w:left="-1" w:hangingChars="1" w:hanging="1"/>
      <w:jc w:val="both"/>
      <w:textDirection w:val="btLr"/>
      <w:textAlignment w:val="top"/>
      <w:outlineLvl w:val="0"/>
    </w:pPr>
    <w:rPr>
      <w:rFonts w:ascii="Arial" w:eastAsia="Calibri" w:hAnsi="Arial" w:cs="Arial"/>
      <w:i/>
      <w:position w:val="-1"/>
      <w:sz w:val="24"/>
      <w:szCs w:val="24"/>
      <w:lang w:val="en-US" w:eastAsia="pt-BR"/>
    </w:rPr>
  </w:style>
  <w:style w:type="paragraph" w:customStyle="1" w:styleId="figura1">
    <w:name w:val="_figura"/>
    <w:basedOn w:val="Normal"/>
    <w:pPr>
      <w:suppressAutoHyphens/>
      <w:spacing w:before="120" w:after="120" w:line="1" w:lineRule="atLeast"/>
      <w:ind w:leftChars="-1" w:left="-1" w:hangingChars="1" w:hanging="1"/>
      <w:jc w:val="center"/>
      <w:textDirection w:val="btLr"/>
      <w:textAlignment w:val="top"/>
      <w:outlineLvl w:val="0"/>
    </w:pPr>
    <w:rPr>
      <w:rFonts w:ascii="Arial" w:eastAsia="Calibri" w:hAnsi="Arial" w:cs="Arial"/>
      <w:position w:val="-1"/>
      <w:sz w:val="22"/>
      <w:szCs w:val="24"/>
      <w:lang w:val="en-US" w:eastAsia="pt-BR"/>
    </w:rPr>
  </w:style>
  <w:style w:type="paragraph" w:customStyle="1" w:styleId="1">
    <w:name w:val="1"/>
    <w:basedOn w:val="Normal"/>
    <w:pPr>
      <w:suppressAutoHyphens/>
      <w:spacing w:before="120" w:after="120" w:line="480" w:lineRule="auto"/>
      <w:ind w:leftChars="-1" w:left="-1" w:hangingChars="1" w:hanging="1"/>
      <w:jc w:val="both"/>
      <w:textDirection w:val="btLr"/>
      <w:textAlignment w:val="top"/>
      <w:outlineLvl w:val="0"/>
    </w:pPr>
    <w:rPr>
      <w:rFonts w:ascii="Arial Negrito" w:hAnsi="Arial Negrito" w:cs="Arial"/>
      <w:b/>
      <w:caps/>
      <w:position w:val="-1"/>
      <w:sz w:val="24"/>
      <w:szCs w:val="24"/>
      <w:lang w:eastAsia="pt-BR"/>
    </w:rPr>
  </w:style>
  <w:style w:type="paragraph" w:customStyle="1" w:styleId="11">
    <w:name w:val="1.1"/>
    <w:basedOn w:val="1"/>
    <w:rPr>
      <w:caps w:val="0"/>
    </w:rPr>
  </w:style>
  <w:style w:type="paragraph" w:customStyle="1" w:styleId="111">
    <w:name w:val="1.1.1"/>
    <w:basedOn w:val="11"/>
    <w:rPr>
      <w:i/>
    </w:rPr>
  </w:style>
  <w:style w:type="paragraph" w:customStyle="1" w:styleId="PargrafodaLista">
    <w:name w:val="Parágrafo da Lista"/>
    <w:basedOn w:val="Normal"/>
    <w:pPr>
      <w:suppressAutoHyphens/>
      <w:spacing w:line="1" w:lineRule="atLeast"/>
      <w:ind w:leftChars="-1" w:left="720" w:hangingChars="1" w:hanging="1"/>
      <w:contextualSpacing/>
      <w:textDirection w:val="btLr"/>
      <w:textAlignment w:val="top"/>
      <w:outlineLvl w:val="0"/>
    </w:pPr>
    <w:rPr>
      <w:position w:val="-1"/>
      <w:lang w:eastAsia="pt-BR"/>
    </w:rPr>
  </w:style>
  <w:style w:type="table" w:customStyle="1" w:styleId="Tabelaclssica1">
    <w:name w:val="Tabela clássica 1"/>
    <w:basedOn w:val="Tabelanormal"/>
    <w:tblPr>
      <w:tblBorders>
        <w:top w:val="single" w:sz="12" w:space="0" w:color="000000"/>
        <w:bottom w:val="single" w:sz="12" w:space="0" w:color="000000"/>
      </w:tblBorders>
    </w:tblPr>
  </w:style>
  <w:style w:type="table" w:customStyle="1" w:styleId="Tabelacomefeitos3D3">
    <w:name w:val="Tabela com efeitos 3D 3"/>
    <w:basedOn w:val="Tabelanormal"/>
    <w:tblPr>
      <w:tblStyleRowBandSize w:val="1"/>
      <w:tblStyleColBandSize w:val="1"/>
    </w:tblPr>
  </w:style>
  <w:style w:type="table" w:customStyle="1" w:styleId="Tabelacomgrade2">
    <w:name w:val="Tabela com grade 2"/>
    <w:basedOn w:val="Tabelanormal"/>
    <w:tblPr>
      <w:tblBorders>
        <w:insideH w:val="single" w:sz="6" w:space="0" w:color="000000"/>
        <w:insideV w:val="single" w:sz="6" w:space="0" w:color="000000"/>
      </w:tblBorders>
    </w:tblPr>
  </w:style>
  <w:style w:type="table" w:customStyle="1" w:styleId="Tabelacomgrade3">
    <w:name w:val="Tabela com grade 3"/>
    <w:basedOn w:val="Tabelanormal"/>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customStyle="1" w:styleId="Tabelacomgrade4">
    <w:name w:val="Tabela com grade 4"/>
    <w:basedOn w:val="Tabelanormal"/>
    <w:tblPr>
      <w:tblBorders>
        <w:left w:val="single" w:sz="12" w:space="0" w:color="000000"/>
        <w:right w:val="single" w:sz="12" w:space="0" w:color="000000"/>
        <w:insideH w:val="single" w:sz="6" w:space="0" w:color="000000"/>
        <w:insideV w:val="single" w:sz="6" w:space="0" w:color="000000"/>
      </w:tblBorders>
    </w:tblPr>
  </w:style>
  <w:style w:type="table" w:customStyle="1" w:styleId="Tabelacomgrade5">
    <w:name w:val="Tabela com grade 5"/>
    <w:basedOn w:val="Tabelanormal"/>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paragraph" w:customStyle="1" w:styleId="Textodebalo">
    <w:name w:val="Texto de balão"/>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pt-BR"/>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myxfac">
    <w:name w:val="myxfac"/>
    <w:rPr>
      <w:w w:val="100"/>
      <w:position w:val="-1"/>
      <w:effect w:val="none"/>
      <w:vertAlign w:val="baseline"/>
      <w:cs w:val="0"/>
      <w:em w:val="none"/>
    </w:rPr>
  </w:style>
  <w:style w:type="character" w:customStyle="1" w:styleId="HiperlinkVisitado">
    <w:name w:val="HiperlinkVisitado"/>
    <w:rPr>
      <w:color w:val="800080"/>
      <w:w w:val="100"/>
      <w:position w:val="-1"/>
      <w:u w:val="single"/>
      <w:effect w:val="none"/>
      <w:vertAlign w:val="baseline"/>
      <w:cs w:val="0"/>
      <w:em w:val="none"/>
    </w:rPr>
  </w:style>
  <w:style w:type="paragraph" w:customStyle="1" w:styleId="Subttulo">
    <w:name w:val="Subtítulo"/>
    <w:basedOn w:val="Normal"/>
    <w:next w:val="Normal"/>
    <w:pPr>
      <w:suppressAutoHyphens/>
      <w:spacing w:after="60" w:line="1" w:lineRule="atLeast"/>
      <w:ind w:leftChars="-1" w:left="-1" w:hangingChars="1" w:hanging="1"/>
      <w:jc w:val="center"/>
      <w:textDirection w:val="btLr"/>
      <w:textAlignment w:val="top"/>
      <w:outlineLvl w:val="1"/>
    </w:pPr>
    <w:rPr>
      <w:rFonts w:ascii="Cambria" w:hAnsi="Cambria"/>
      <w:position w:val="-1"/>
      <w:sz w:val="24"/>
      <w:szCs w:val="24"/>
      <w:lang w:eastAsia="pt-BR"/>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rPr>
  </w:style>
  <w:style w:type="character" w:customStyle="1" w:styleId="Refdecomentrio">
    <w:name w:val="Ref. de comentário"/>
    <w:rPr>
      <w:w w:val="100"/>
      <w:position w:val="-1"/>
      <w:sz w:val="16"/>
      <w:szCs w:val="16"/>
      <w:effect w:val="none"/>
      <w:vertAlign w:val="baseline"/>
      <w:cs w:val="0"/>
      <w:em w:val="none"/>
    </w:rPr>
  </w:style>
  <w:style w:type="paragraph" w:customStyle="1" w:styleId="Textodecomentrio">
    <w:name w:val="Texto de comentário"/>
    <w:basedOn w:val="Normal"/>
    <w:pPr>
      <w:suppressAutoHyphens/>
      <w:spacing w:line="1" w:lineRule="atLeast"/>
      <w:ind w:leftChars="-1" w:left="-1" w:hangingChars="1" w:hanging="1"/>
      <w:textDirection w:val="btLr"/>
      <w:textAlignment w:val="top"/>
      <w:outlineLvl w:val="0"/>
    </w:pPr>
    <w:rPr>
      <w:position w:val="-1"/>
      <w:lang w:eastAsia="pt-BR"/>
    </w:rPr>
  </w:style>
  <w:style w:type="character" w:customStyle="1" w:styleId="TextodecomentrioChar">
    <w:name w:val="Texto de comentário Char"/>
    <w:basedOn w:val="Fontepargpadro"/>
    <w:rPr>
      <w:w w:val="100"/>
      <w:position w:val="-1"/>
      <w:effect w:val="none"/>
      <w:vertAlign w:val="baseline"/>
      <w:cs w:val="0"/>
      <w:em w:val="none"/>
    </w:rPr>
  </w:style>
  <w:style w:type="paragraph" w:customStyle="1" w:styleId="Assuntodocomentrio">
    <w:name w:val="Assunto do comentário"/>
    <w:basedOn w:val="Textodecomentrio"/>
    <w:next w:val="Textodecomentrio"/>
    <w:rPr>
      <w:b/>
      <w:bCs/>
    </w:rPr>
  </w:style>
  <w:style w:type="character" w:customStyle="1" w:styleId="AssuntodocomentrioChar">
    <w:name w:val="Assunto do comentário Char"/>
    <w:rPr>
      <w:b/>
      <w:bCs/>
      <w:w w:val="100"/>
      <w:position w:val="-1"/>
      <w:effect w:val="none"/>
      <w:vertAlign w:val="baseline"/>
      <w:cs w:val="0"/>
      <w:em w:val="none"/>
    </w:rPr>
  </w:style>
  <w:style w:type="character" w:customStyle="1" w:styleId="Forte">
    <w:name w:val="Forte"/>
    <w:rPr>
      <w:b/>
      <w:bCs/>
      <w:w w:val="100"/>
      <w:position w:val="-1"/>
      <w:effect w:val="none"/>
      <w:vertAlign w:val="baseline"/>
      <w:cs w:val="0"/>
      <w:em w:val="none"/>
    </w:rPr>
  </w:style>
  <w:style w:type="paragraph" w:customStyle="1" w:styleId="Citao">
    <w:name w:val="Citação"/>
    <w:basedOn w:val="Normal"/>
    <w:next w:val="Normal"/>
    <w:pPr>
      <w:suppressAutoHyphens/>
      <w:spacing w:before="160" w:after="160" w:line="259" w:lineRule="auto"/>
      <w:ind w:leftChars="-1" w:left="-1" w:hangingChars="1" w:hanging="1"/>
      <w:jc w:val="center"/>
      <w:textDirection w:val="btLr"/>
      <w:textAlignment w:val="top"/>
      <w:outlineLvl w:val="0"/>
    </w:pPr>
    <w:rPr>
      <w:rFonts w:ascii="Aptos" w:eastAsia="Aptos" w:hAnsi="Aptos"/>
      <w:i/>
      <w:iCs/>
      <w:color w:val="404040"/>
      <w:kern w:val="2"/>
      <w:position w:val="-1"/>
      <w:sz w:val="22"/>
      <w:szCs w:val="22"/>
      <w:lang w:eastAsia="en-US"/>
    </w:rPr>
  </w:style>
  <w:style w:type="character" w:customStyle="1" w:styleId="CitaoChar">
    <w:name w:val="Citação Char"/>
    <w:rPr>
      <w:rFonts w:ascii="Aptos" w:eastAsia="Aptos" w:hAnsi="Aptos"/>
      <w:i/>
      <w:iCs/>
      <w:color w:val="404040"/>
      <w:w w:val="100"/>
      <w:kern w:val="2"/>
      <w:position w:val="-1"/>
      <w:sz w:val="22"/>
      <w:szCs w:val="22"/>
      <w:effect w:val="none"/>
      <w:vertAlign w:val="baseline"/>
      <w:cs w:val="0"/>
      <w:em w:val="none"/>
      <w:lang w:eastAsia="en-US"/>
    </w:rPr>
  </w:style>
  <w:style w:type="character" w:customStyle="1" w:styleId="nfaseIntensa">
    <w:name w:val="Ênfase Intensa"/>
    <w:rPr>
      <w:i/>
      <w:iCs/>
      <w:color w:val="0F4761"/>
      <w:w w:val="100"/>
      <w:position w:val="-1"/>
      <w:effect w:val="none"/>
      <w:vertAlign w:val="baseline"/>
      <w:cs w:val="0"/>
      <w:em w:val="none"/>
    </w:rPr>
  </w:style>
  <w:style w:type="paragraph" w:customStyle="1" w:styleId="CitaoIntensa">
    <w:name w:val="Citação Intensa"/>
    <w:basedOn w:val="Normal"/>
    <w:next w:val="Normal"/>
    <w:pPr>
      <w:pBdr>
        <w:top w:val="single" w:sz="4" w:space="10" w:color="0F4761"/>
        <w:bottom w:val="single" w:sz="4" w:space="10" w:color="0F4761"/>
      </w:pBdr>
      <w:suppressAutoHyphens/>
      <w:spacing w:before="360" w:after="360" w:line="259" w:lineRule="auto"/>
      <w:ind w:leftChars="-1" w:left="864" w:right="864" w:hangingChars="1" w:hanging="1"/>
      <w:jc w:val="center"/>
      <w:textDirection w:val="btLr"/>
      <w:textAlignment w:val="top"/>
      <w:outlineLvl w:val="0"/>
    </w:pPr>
    <w:rPr>
      <w:rFonts w:ascii="Aptos" w:eastAsia="Aptos" w:hAnsi="Aptos"/>
      <w:i/>
      <w:iCs/>
      <w:color w:val="0F4761"/>
      <w:kern w:val="2"/>
      <w:position w:val="-1"/>
      <w:sz w:val="22"/>
      <w:szCs w:val="22"/>
      <w:lang w:eastAsia="en-US"/>
    </w:rPr>
  </w:style>
  <w:style w:type="character" w:customStyle="1" w:styleId="CitaoIntensaChar">
    <w:name w:val="Citação Intensa Char"/>
    <w:rPr>
      <w:rFonts w:ascii="Aptos" w:eastAsia="Aptos" w:hAnsi="Aptos"/>
      <w:i/>
      <w:iCs/>
      <w:color w:val="0F4761"/>
      <w:w w:val="100"/>
      <w:kern w:val="2"/>
      <w:position w:val="-1"/>
      <w:sz w:val="22"/>
      <w:szCs w:val="22"/>
      <w:effect w:val="none"/>
      <w:vertAlign w:val="baseline"/>
      <w:cs w:val="0"/>
      <w:em w:val="none"/>
      <w:lang w:eastAsia="en-US"/>
    </w:rPr>
  </w:style>
  <w:style w:type="character" w:customStyle="1" w:styleId="RefernciaIntensa">
    <w:name w:val="Referência Intensa"/>
    <w:rPr>
      <w:b/>
      <w:bCs/>
      <w:smallCaps/>
      <w:color w:val="0F4761"/>
      <w:spacing w:val="5"/>
      <w:w w:val="100"/>
      <w:position w:val="-1"/>
      <w:effect w:val="none"/>
      <w:vertAlign w:val="baseline"/>
      <w:cs w:val="0"/>
      <w:em w:val="none"/>
    </w:rPr>
  </w:style>
  <w:style w:type="table" w:customStyle="1" w:styleId="Tabelaclssica2">
    <w:name w:val="Tabela clássica 2"/>
    <w:basedOn w:val="Tabelanormal"/>
    <w:tblPr>
      <w:tblBorders>
        <w:top w:val="single" w:sz="12" w:space="0" w:color="000000"/>
        <w:bottom w:val="single" w:sz="12" w:space="0" w:color="000000"/>
      </w:tblBorders>
    </w:tblPr>
  </w:style>
  <w:style w:type="character" w:customStyle="1" w:styleId="CabealhoChar">
    <w:name w:val="Cabeçalho Char"/>
    <w:rPr>
      <w:w w:val="100"/>
      <w:position w:val="-1"/>
      <w:effect w:val="none"/>
      <w:vertAlign w:val="baseline"/>
      <w:cs w:val="0"/>
      <w:em w:val="none"/>
    </w:rPr>
  </w:style>
  <w:style w:type="character" w:customStyle="1" w:styleId="RodapChar">
    <w:name w:val="Rodapé Char"/>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UnresolvedMention">
    <w:name w:val="Unresolved Mention"/>
    <w:basedOn w:val="DefaultParagraphFont"/>
    <w:uiPriority w:val="99"/>
    <w:semiHidden/>
    <w:unhideWhenUsed/>
    <w:rsid w:val="00855052"/>
    <w:rPr>
      <w:color w:val="605E5C"/>
      <w:shd w:val="clear" w:color="auto" w:fill="E1DFDD"/>
    </w:rPr>
  </w:style>
  <w:style w:type="paragraph" w:styleId="Header">
    <w:name w:val="header"/>
    <w:basedOn w:val="Normal"/>
    <w:link w:val="HeaderChar"/>
    <w:uiPriority w:val="99"/>
    <w:unhideWhenUsed/>
    <w:rsid w:val="0087014A"/>
    <w:pPr>
      <w:tabs>
        <w:tab w:val="center" w:pos="4680"/>
        <w:tab w:val="right" w:pos="9360"/>
      </w:tabs>
    </w:pPr>
  </w:style>
  <w:style w:type="character" w:customStyle="1" w:styleId="HeaderChar">
    <w:name w:val="Header Char"/>
    <w:basedOn w:val="DefaultParagraphFont"/>
    <w:link w:val="Header"/>
    <w:uiPriority w:val="99"/>
    <w:rsid w:val="0087014A"/>
  </w:style>
  <w:style w:type="paragraph" w:styleId="Footer">
    <w:name w:val="footer"/>
    <w:basedOn w:val="Normal"/>
    <w:link w:val="FooterChar"/>
    <w:uiPriority w:val="99"/>
    <w:unhideWhenUsed/>
    <w:rsid w:val="0087014A"/>
    <w:pPr>
      <w:tabs>
        <w:tab w:val="center" w:pos="4680"/>
        <w:tab w:val="right" w:pos="9360"/>
      </w:tabs>
    </w:pPr>
  </w:style>
  <w:style w:type="character" w:customStyle="1" w:styleId="FooterChar">
    <w:name w:val="Footer Char"/>
    <w:basedOn w:val="DefaultParagraphFont"/>
    <w:link w:val="Footer"/>
    <w:uiPriority w:val="99"/>
    <w:rsid w:val="00870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qmFdp7i0aXs7I3m6144nQwsr8g==">CgMxLjAaJAoBMBIfCh0IB0IZCgVBcmlhbBIQQXJpYWwgVW5pY29kZSBNUxofCgExEhoKGAgJUhQKEnRhYmxlLm1rMDAxbWdybHp6ZRofCgEyEhoKGAgJUhQKEnRhYmxlLmVkb29hcGFqcXpuMBofCgEzEhoKGAgJUhQKEnRhYmxlLmxodWdlejVldHpjZxofCgE0EhoKGAgJUhQKEnRhYmxlLmdjMzUyNnBlMms3ODIOaC55ZHJiNGV6YXdnbGUyDmgudW95MnA1ejdmOTJkMg5oLnh1cDNuaHFieTJ6ajIOaC45dnJlaGRsZHUwcm84AHIhMTRtYzNGdWRlOGRLRTl5cEMxa2MwNlRVVUZjVGt6Mm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2734</Words>
  <Characters>15585</Characters>
  <Application>Microsoft Office Word</Application>
  <DocSecurity>0</DocSecurity>
  <Lines>129</Lines>
  <Paragraphs>36</Paragraphs>
  <ScaleCrop>false</ScaleCrop>
  <Company/>
  <LinksUpToDate>false</LinksUpToDate>
  <CharactersWithSpaces>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biblioteca.fabiana</dc:creator>
  <cp:lastModifiedBy>SDI 1084</cp:lastModifiedBy>
  <cp:revision>6</cp:revision>
  <dcterms:created xsi:type="dcterms:W3CDTF">2025-02-21T18:11:00Z</dcterms:created>
  <dcterms:modified xsi:type="dcterms:W3CDTF">2026-01-31T08:18:00Z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1046-11.2.0.11254</vt:lpwstr>
  </property>
  <property fmtid="{D5CDD505-2E9C-101B-9397-08002B2CF9AE}" pid="3" name="ICV">
    <vt:lpwstr>5B757D6C471B457AAA02BF5EB72D71FA</vt:lpwstr>
  </property>
</Properties>
</file>