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FC9D5" w14:textId="77777777" w:rsidR="00E65660" w:rsidRDefault="00E65660" w:rsidP="00C12BD1">
      <w:pPr>
        <w:jc w:val="center"/>
        <w:rPr>
          <w:b/>
          <w:bCs/>
          <w:sz w:val="28"/>
          <w:szCs w:val="28"/>
        </w:rPr>
      </w:pPr>
      <w:r w:rsidRPr="00E65660">
        <w:rPr>
          <w:b/>
          <w:bCs/>
          <w:sz w:val="28"/>
          <w:szCs w:val="28"/>
        </w:rPr>
        <w:t>Original Research Article</w:t>
      </w:r>
    </w:p>
    <w:p w14:paraId="68EC4F4F" w14:textId="77777777" w:rsidR="00E65660" w:rsidRDefault="00E65660" w:rsidP="00C12BD1">
      <w:pPr>
        <w:jc w:val="center"/>
        <w:rPr>
          <w:b/>
          <w:bCs/>
          <w:sz w:val="28"/>
          <w:szCs w:val="28"/>
        </w:rPr>
      </w:pPr>
    </w:p>
    <w:p w14:paraId="666B8BB6" w14:textId="155E97A5" w:rsidR="007E6C06" w:rsidRPr="00681DE8" w:rsidRDefault="00FB07D9" w:rsidP="00C12BD1">
      <w:pPr>
        <w:jc w:val="center"/>
        <w:rPr>
          <w:b/>
          <w:bCs/>
          <w:sz w:val="28"/>
          <w:szCs w:val="28"/>
        </w:rPr>
      </w:pPr>
      <w:r w:rsidRPr="00681DE8">
        <w:rPr>
          <w:b/>
          <w:bCs/>
          <w:sz w:val="28"/>
          <w:szCs w:val="28"/>
        </w:rPr>
        <w:t>Hormonal Steering of Sex Expression in Cucumber (</w:t>
      </w:r>
      <w:r w:rsidRPr="00681DE8">
        <w:rPr>
          <w:b/>
          <w:bCs/>
          <w:i/>
          <w:iCs/>
          <w:sz w:val="28"/>
          <w:szCs w:val="28"/>
        </w:rPr>
        <w:t>Cucumis sativus</w:t>
      </w:r>
      <w:r w:rsidRPr="00681DE8">
        <w:rPr>
          <w:b/>
          <w:bCs/>
          <w:sz w:val="28"/>
          <w:szCs w:val="28"/>
        </w:rPr>
        <w:t xml:space="preserve"> L.): Modulatory Effects of GA</w:t>
      </w:r>
      <w:r w:rsidR="002879F1" w:rsidRPr="00681DE8">
        <w:rPr>
          <w:b/>
          <w:bCs/>
          <w:sz w:val="28"/>
          <w:szCs w:val="28"/>
          <w:vertAlign w:val="subscript"/>
        </w:rPr>
        <w:t>3</w:t>
      </w:r>
      <w:r w:rsidRPr="00681DE8">
        <w:rPr>
          <w:b/>
          <w:bCs/>
          <w:sz w:val="28"/>
          <w:szCs w:val="28"/>
        </w:rPr>
        <w:t xml:space="preserve">, NAA, </w:t>
      </w:r>
      <w:proofErr w:type="spellStart"/>
      <w:r w:rsidRPr="00681DE8">
        <w:rPr>
          <w:b/>
          <w:bCs/>
          <w:sz w:val="28"/>
          <w:szCs w:val="28"/>
        </w:rPr>
        <w:t>AgNO</w:t>
      </w:r>
      <w:proofErr w:type="spellEnd"/>
      <w:r w:rsidRPr="00681DE8">
        <w:rPr>
          <w:b/>
          <w:bCs/>
          <w:sz w:val="28"/>
          <w:szCs w:val="28"/>
        </w:rPr>
        <w:t xml:space="preserve">₃ and </w:t>
      </w:r>
      <w:proofErr w:type="spellStart"/>
      <w:r w:rsidRPr="00681DE8">
        <w:rPr>
          <w:b/>
          <w:bCs/>
          <w:sz w:val="28"/>
          <w:szCs w:val="28"/>
        </w:rPr>
        <w:t>Ethrel</w:t>
      </w:r>
      <w:proofErr w:type="spellEnd"/>
    </w:p>
    <w:p w14:paraId="5A82C970" w14:textId="77777777" w:rsidR="00D44A9D" w:rsidRPr="00681DE8" w:rsidRDefault="00D44A9D" w:rsidP="00C12BD1">
      <w:pPr>
        <w:jc w:val="center"/>
        <w:rPr>
          <w:b/>
          <w:bCs/>
          <w:sz w:val="28"/>
          <w:szCs w:val="28"/>
        </w:rPr>
      </w:pPr>
    </w:p>
    <w:p w14:paraId="54772AFA" w14:textId="77777777" w:rsidR="0085653F" w:rsidRPr="00681DE8" w:rsidRDefault="0085653F" w:rsidP="004D7235">
      <w:pPr>
        <w:jc w:val="both"/>
        <w:rPr>
          <w:lang w:val="pt-PT"/>
        </w:rPr>
      </w:pPr>
    </w:p>
    <w:p w14:paraId="4C77D966" w14:textId="7C2E73D5" w:rsidR="0063754A" w:rsidRPr="00681DE8" w:rsidRDefault="001D6A56" w:rsidP="004D7235">
      <w:pPr>
        <w:jc w:val="both"/>
        <w:rPr>
          <w:rFonts w:eastAsia="Times New Roman" w:cs="Times New Roman"/>
          <w:kern w:val="0"/>
          <w:szCs w:val="24"/>
          <w:lang w:eastAsia="en-IN"/>
          <w14:ligatures w14:val="none"/>
        </w:rPr>
      </w:pPr>
      <w:r w:rsidRPr="00681DE8">
        <w:rPr>
          <w:b/>
          <w:bCs/>
        </w:rPr>
        <w:t>ABSTRACT</w:t>
      </w:r>
    </w:p>
    <w:p w14:paraId="50E97995" w14:textId="751D7C51" w:rsidR="001D6A56" w:rsidRPr="00681DE8" w:rsidRDefault="00624468" w:rsidP="004D7235">
      <w:pPr>
        <w:jc w:val="both"/>
      </w:pPr>
      <w:r w:rsidRPr="00681DE8">
        <w:t>The study was conducted from February to May 2021 at the Vegetable Research Farm, Department of Horticulture, Institute of Agricultural Sciences, Banaras Hindu University, Varanasi (U.P.), India. Cucumber (</w:t>
      </w:r>
      <w:r w:rsidRPr="00681DE8">
        <w:rPr>
          <w:i/>
          <w:iCs/>
        </w:rPr>
        <w:t>Cucumis sativus</w:t>
      </w:r>
      <w:r w:rsidRPr="00681DE8">
        <w:t xml:space="preserve"> L.), a monoecious species, was recognized as the second most widely cultivated cucurbit after watermelon. As sex expression played a critical role in influencing yield, the experiment aimed to evaluate the effects of various plant growth regulators (PGRs)</w:t>
      </w:r>
      <w:r w:rsidR="00F529AC" w:rsidRPr="00681DE8">
        <w:t xml:space="preserve"> </w:t>
      </w:r>
      <w:r w:rsidRPr="00681DE8">
        <w:t>gibberellic acid (GA₃), naphthalene acetic acid (NAA), silver nitrate (</w:t>
      </w:r>
      <w:proofErr w:type="spellStart"/>
      <w:r w:rsidRPr="00681DE8">
        <w:t>AgNO</w:t>
      </w:r>
      <w:proofErr w:type="spellEnd"/>
      <w:r w:rsidRPr="00681DE8">
        <w:t xml:space="preserve">₃), and </w:t>
      </w:r>
      <w:proofErr w:type="spellStart"/>
      <w:r w:rsidRPr="00681DE8">
        <w:t>ethrel</w:t>
      </w:r>
      <w:proofErr w:type="spellEnd"/>
      <w:r w:rsidR="00F529AC" w:rsidRPr="00681DE8">
        <w:t xml:space="preserve"> </w:t>
      </w:r>
      <w:r w:rsidRPr="00681DE8">
        <w:t xml:space="preserve">applied at three concentrations alongside a control. The experiment followed a randomized block design (RBD) with thirteen treatments and three replications under open-field conditions. Significant variation (p &lt; 0.05) was observed among treatments for all phenotypic traits. </w:t>
      </w:r>
      <w:proofErr w:type="spellStart"/>
      <w:r w:rsidRPr="00681DE8">
        <w:t>Ethrel</w:t>
      </w:r>
      <w:proofErr w:type="spellEnd"/>
      <w:r w:rsidRPr="00681DE8">
        <w:t xml:space="preserve"> at 300 ppm exerted the strongest feminizing effect, resulting in the highest number of female flowers per vine (23.00), the earliest female flower initiation (38.00 days), and the lowest sex ratio (0.48). In contrast, </w:t>
      </w:r>
      <w:proofErr w:type="spellStart"/>
      <w:r w:rsidRPr="00681DE8">
        <w:t>AgNO</w:t>
      </w:r>
      <w:proofErr w:type="spellEnd"/>
      <w:r w:rsidRPr="00681DE8">
        <w:t xml:space="preserve">₃ at 375 ppm induced the highest number of male flowers (24.33) and the highest sex ratio (1.66). GA₃ promoted early flowering while maintaining a balanced sex ratio, whereas NAA increased both male and female flower production without significantly altering sex expression. Control plants exhibited delayed flowering (45.33 days) and a higher nodal position for the first female flower (12.22). Overall, </w:t>
      </w:r>
      <w:proofErr w:type="spellStart"/>
      <w:r w:rsidRPr="00681DE8">
        <w:t>Ethrel</w:t>
      </w:r>
      <w:proofErr w:type="spellEnd"/>
      <w:r w:rsidRPr="00681DE8">
        <w:t xml:space="preserve"> proved to be the most effective PGR in enhancing femaleness, highlighting the potential for hormonal manipulation to regulate sex expression and improve cucumber yield</w:t>
      </w:r>
      <w:r w:rsidR="0063754A" w:rsidRPr="00681DE8">
        <w:t>.</w:t>
      </w:r>
    </w:p>
    <w:p w14:paraId="3FEC18C2" w14:textId="651C829B" w:rsidR="00FA1775" w:rsidRPr="00681DE8" w:rsidRDefault="003C7F0D" w:rsidP="004D7235">
      <w:pPr>
        <w:jc w:val="both"/>
      </w:pPr>
      <w:r w:rsidRPr="00681DE8">
        <w:rPr>
          <w:b/>
          <w:bCs/>
        </w:rPr>
        <w:t>Keywords</w:t>
      </w:r>
      <w:r w:rsidRPr="00681DE8">
        <w:t xml:space="preserve">: </w:t>
      </w:r>
      <w:r w:rsidR="00FA1775" w:rsidRPr="00681DE8">
        <w:t xml:space="preserve">cucumber, </w:t>
      </w:r>
      <w:proofErr w:type="spellStart"/>
      <w:r w:rsidR="00FA1775" w:rsidRPr="00681DE8">
        <w:t>ethrel</w:t>
      </w:r>
      <w:proofErr w:type="spellEnd"/>
      <w:r w:rsidR="00FA1775" w:rsidRPr="00681DE8">
        <w:t>, flowering dynamics, sex expression, yield enhancement</w:t>
      </w:r>
    </w:p>
    <w:p w14:paraId="0AFD5431" w14:textId="46BC466B" w:rsidR="007E6C06" w:rsidRPr="00681DE8" w:rsidRDefault="008268E3" w:rsidP="000E4641">
      <w:pPr>
        <w:pStyle w:val="ListParagraph"/>
        <w:numPr>
          <w:ilvl w:val="0"/>
          <w:numId w:val="19"/>
        </w:numPr>
        <w:jc w:val="both"/>
        <w:rPr>
          <w:b/>
          <w:bCs/>
        </w:rPr>
      </w:pPr>
      <w:r w:rsidRPr="00681DE8">
        <w:rPr>
          <w:b/>
          <w:bCs/>
        </w:rPr>
        <w:t>INTRODUCTION</w:t>
      </w:r>
    </w:p>
    <w:p w14:paraId="06009CD0" w14:textId="6CD2EAC1" w:rsidR="00963CCF" w:rsidRPr="00681DE8" w:rsidRDefault="00230CDD" w:rsidP="004D7235">
      <w:pPr>
        <w:jc w:val="both"/>
      </w:pPr>
      <w:r w:rsidRPr="00681DE8">
        <w:t>Cucumber (</w:t>
      </w:r>
      <w:r w:rsidRPr="00681DE8">
        <w:rPr>
          <w:i/>
          <w:iCs/>
        </w:rPr>
        <w:t>Cucumis sativus</w:t>
      </w:r>
      <w:r w:rsidRPr="00681DE8">
        <w:t xml:space="preserve"> L.) is a widely cultivated and economically significant vegetable, consumed fresh and processed. Its high-water content, cooling effect, and rich composition of vitamins, minerals, and dietary fibre make it vital to human nutrition worldwide</w:t>
      </w:r>
      <w:r w:rsidR="006C1022" w:rsidRPr="00681DE8">
        <w:t xml:space="preserve"> (</w:t>
      </w:r>
      <w:r w:rsidR="00B31DF0" w:rsidRPr="00681DE8">
        <w:t>Mir</w:t>
      </w:r>
      <w:r w:rsidR="006C1022" w:rsidRPr="00681DE8">
        <w:t xml:space="preserve"> </w:t>
      </w:r>
      <w:r w:rsidR="006C1022" w:rsidRPr="00681DE8">
        <w:rPr>
          <w:i/>
          <w:iCs/>
        </w:rPr>
        <w:t>et al</w:t>
      </w:r>
      <w:r w:rsidR="006C1022" w:rsidRPr="00681DE8">
        <w:t>., 20</w:t>
      </w:r>
      <w:r w:rsidR="001572A9" w:rsidRPr="00681DE8">
        <w:t>19</w:t>
      </w:r>
      <w:r w:rsidR="006C1022" w:rsidRPr="00681DE8">
        <w:t xml:space="preserve">; </w:t>
      </w:r>
      <w:proofErr w:type="spellStart"/>
      <w:r w:rsidR="006C1022" w:rsidRPr="00681DE8">
        <w:t>Gosai</w:t>
      </w:r>
      <w:proofErr w:type="spellEnd"/>
      <w:r w:rsidR="006C1022" w:rsidRPr="00681DE8">
        <w:t xml:space="preserve"> </w:t>
      </w:r>
      <w:r w:rsidR="006C1022" w:rsidRPr="00681DE8">
        <w:rPr>
          <w:i/>
          <w:iCs/>
        </w:rPr>
        <w:t>et al</w:t>
      </w:r>
      <w:r w:rsidR="006C1022" w:rsidRPr="00681DE8">
        <w:t xml:space="preserve">., 2020). Cucumber is a monoecious plant species, characterized by the presence of both </w:t>
      </w:r>
      <w:proofErr w:type="spellStart"/>
      <w:r w:rsidR="006C1022" w:rsidRPr="00681DE8">
        <w:t>staminate</w:t>
      </w:r>
      <w:proofErr w:type="spellEnd"/>
      <w:r w:rsidR="006C1022" w:rsidRPr="00681DE8">
        <w:t xml:space="preserve"> (male) and pistillate (female) flowers on the same plant (Adhikari </w:t>
      </w:r>
      <w:r w:rsidR="006C1022" w:rsidRPr="00681DE8">
        <w:rPr>
          <w:i/>
          <w:iCs/>
        </w:rPr>
        <w:t>et al</w:t>
      </w:r>
      <w:r w:rsidR="006C1022" w:rsidRPr="00681DE8">
        <w:t>., 2012). However, only the pistillate flowers are capable of setting fruit upon successful pollination and fertilization. Therefore, the ratio and timing of appearance of female flowers directly affect fruit yield and overall productivity of the crop. In this context, sex expression</w:t>
      </w:r>
      <w:r w:rsidR="000E5799" w:rsidRPr="00681DE8">
        <w:t>,</w:t>
      </w:r>
      <w:r w:rsidR="006C1022" w:rsidRPr="00681DE8">
        <w:t xml:space="preserve"> the relative production and temporal distribution of male and female flowers</w:t>
      </w:r>
      <w:r w:rsidR="006D0192" w:rsidRPr="00681DE8">
        <w:t>,</w:t>
      </w:r>
      <w:r w:rsidR="005209A2" w:rsidRPr="00681DE8">
        <w:t xml:space="preserve"> </w:t>
      </w:r>
      <w:r w:rsidR="006C1022" w:rsidRPr="00681DE8">
        <w:t xml:space="preserve">becomes a crucial determinant in cucumber cultivation and breeding programs. It is governed by complex genetic mechanisms but is also strongly influenced by environmental factors such as photoperiod, temperature, light intensity, and more importantly, by endogenous hormonal balances (Lai </w:t>
      </w:r>
      <w:r w:rsidR="006C1022" w:rsidRPr="00681DE8">
        <w:rPr>
          <w:i/>
          <w:iCs/>
        </w:rPr>
        <w:t>et al</w:t>
      </w:r>
      <w:r w:rsidR="006C1022" w:rsidRPr="00681DE8">
        <w:t xml:space="preserve">., 2018; Luo </w:t>
      </w:r>
      <w:r w:rsidR="006C1022" w:rsidRPr="00681DE8">
        <w:rPr>
          <w:i/>
          <w:iCs/>
        </w:rPr>
        <w:t>et al</w:t>
      </w:r>
      <w:r w:rsidR="006C1022" w:rsidRPr="00681DE8">
        <w:t xml:space="preserve">., 2023). Among the various plant hormones, ethylene and gibberellins (GAs) have emerged as the most prominent regulators of sex expression in cucumber (Adhikari </w:t>
      </w:r>
      <w:r w:rsidR="006C1022" w:rsidRPr="00681DE8">
        <w:rPr>
          <w:i/>
          <w:iCs/>
        </w:rPr>
        <w:t>et al</w:t>
      </w:r>
      <w:r w:rsidR="006C1022" w:rsidRPr="00681DE8">
        <w:t xml:space="preserve">., 2012; Fu </w:t>
      </w:r>
      <w:r w:rsidR="006C1022" w:rsidRPr="00681DE8">
        <w:rPr>
          <w:i/>
          <w:iCs/>
        </w:rPr>
        <w:t>et al</w:t>
      </w:r>
      <w:r w:rsidR="006C1022" w:rsidRPr="00681DE8">
        <w:t xml:space="preserve">., 2015). Ethylene is well-known for its feminizing effects, promoting the initiation and development of pistillate flowers, while gibberellins, particularly gibberellic acid, are known to enhance the formation of </w:t>
      </w:r>
      <w:proofErr w:type="spellStart"/>
      <w:r w:rsidR="006C1022" w:rsidRPr="00681DE8">
        <w:t>staminate</w:t>
      </w:r>
      <w:proofErr w:type="spellEnd"/>
      <w:r w:rsidR="006C1022" w:rsidRPr="00681DE8">
        <w:t xml:space="preserve"> (male) flowers (Yamasaki </w:t>
      </w:r>
      <w:r w:rsidR="006C1022" w:rsidRPr="00681DE8">
        <w:rPr>
          <w:i/>
          <w:iCs/>
        </w:rPr>
        <w:t>et al</w:t>
      </w:r>
      <w:r w:rsidR="006C1022" w:rsidRPr="00681DE8">
        <w:t xml:space="preserve">., 2003; </w:t>
      </w:r>
      <w:proofErr w:type="spellStart"/>
      <w:r w:rsidR="006C1022" w:rsidRPr="00681DE8">
        <w:t>Alzeaideen</w:t>
      </w:r>
      <w:proofErr w:type="spellEnd"/>
      <w:r w:rsidR="006C1022" w:rsidRPr="00681DE8">
        <w:t>, 2022). These hormones influence floral primordia differentiation and can significantly alter the floral sex ratio depending on their endogenous levels or exogenous application (</w:t>
      </w:r>
      <w:proofErr w:type="spellStart"/>
      <w:r w:rsidR="006C1022" w:rsidRPr="00681DE8">
        <w:t>Barsoom</w:t>
      </w:r>
      <w:proofErr w:type="spellEnd"/>
      <w:r w:rsidR="006C1022" w:rsidRPr="00681DE8">
        <w:t xml:space="preserve"> </w:t>
      </w:r>
      <w:r w:rsidR="009E1573" w:rsidRPr="00681DE8">
        <w:t>and</w:t>
      </w:r>
      <w:r w:rsidR="006C1022" w:rsidRPr="00681DE8">
        <w:t xml:space="preserve"> </w:t>
      </w:r>
      <w:proofErr w:type="spellStart"/>
      <w:r w:rsidR="006C1022" w:rsidRPr="00681DE8">
        <w:t>Attala</w:t>
      </w:r>
      <w:proofErr w:type="spellEnd"/>
      <w:r w:rsidR="006C1022" w:rsidRPr="00681DE8">
        <w:t xml:space="preserve">, 2020; Zhang </w:t>
      </w:r>
      <w:r w:rsidR="006C1022" w:rsidRPr="00681DE8">
        <w:rPr>
          <w:i/>
          <w:iCs/>
        </w:rPr>
        <w:t>et al</w:t>
      </w:r>
      <w:r w:rsidR="006C1022" w:rsidRPr="00681DE8">
        <w:t xml:space="preserve">., 2017). Additionally, auxins, another important class of phytohormones, have been implicated in modulating sex expression by enhancing ethylene synthesis or sensitivity in floral tissues (Chen </w:t>
      </w:r>
      <w:r w:rsidR="006C1022" w:rsidRPr="00681DE8">
        <w:rPr>
          <w:i/>
          <w:iCs/>
        </w:rPr>
        <w:t>et al</w:t>
      </w:r>
      <w:r w:rsidR="006C1022" w:rsidRPr="00681DE8">
        <w:t xml:space="preserve">., 2025). Exogenous </w:t>
      </w:r>
      <w:r w:rsidR="006C1022" w:rsidRPr="00681DE8">
        <w:lastRenderedPageBreak/>
        <w:t xml:space="preserve">application of synthetic auxins like naphthaleneacetic acid has been reported to increase the proportion of female flowers, possibly through ethylene-mediated pathways (Alotaibi </w:t>
      </w:r>
      <w:r w:rsidR="006C1022" w:rsidRPr="00681DE8">
        <w:rPr>
          <w:i/>
          <w:iCs/>
        </w:rPr>
        <w:t>et al</w:t>
      </w:r>
      <w:r w:rsidR="006C1022" w:rsidRPr="00681DE8">
        <w:t xml:space="preserve">., 2024; </w:t>
      </w:r>
      <w:proofErr w:type="spellStart"/>
      <w:r w:rsidR="001300BF" w:rsidRPr="00681DE8">
        <w:t>Thappa</w:t>
      </w:r>
      <w:proofErr w:type="spellEnd"/>
      <w:r w:rsidR="006C1022" w:rsidRPr="00681DE8">
        <w:t xml:space="preserve"> </w:t>
      </w:r>
      <w:r w:rsidR="006C1022" w:rsidRPr="00681DE8">
        <w:rPr>
          <w:i/>
          <w:iCs/>
        </w:rPr>
        <w:t>et al</w:t>
      </w:r>
      <w:r w:rsidR="006C1022" w:rsidRPr="00681DE8">
        <w:t>., 201</w:t>
      </w:r>
      <w:r w:rsidR="003D76D8" w:rsidRPr="00681DE8">
        <w:t>1</w:t>
      </w:r>
      <w:r w:rsidR="006C1022" w:rsidRPr="00681DE8">
        <w:t>). Moreover, ethylene action can be specifically inhibited using anti-ethylene compounds such as silver nitrate, which has a masculinizing effect and is widely used in hybrid seed production programs (</w:t>
      </w:r>
      <w:proofErr w:type="spellStart"/>
      <w:r w:rsidR="006C1022" w:rsidRPr="00681DE8">
        <w:t>Karakaya</w:t>
      </w:r>
      <w:proofErr w:type="spellEnd"/>
      <w:r w:rsidR="006C1022" w:rsidRPr="00681DE8">
        <w:t xml:space="preserve"> </w:t>
      </w:r>
      <w:r w:rsidR="009E1573" w:rsidRPr="00681DE8">
        <w:t>and</w:t>
      </w:r>
      <w:r w:rsidR="006C1022" w:rsidRPr="00681DE8">
        <w:t xml:space="preserve"> </w:t>
      </w:r>
      <w:proofErr w:type="spellStart"/>
      <w:r w:rsidR="006C1022" w:rsidRPr="00681DE8">
        <w:t>Padem</w:t>
      </w:r>
      <w:proofErr w:type="spellEnd"/>
      <w:r w:rsidR="006C1022" w:rsidRPr="00681DE8">
        <w:t xml:space="preserve">, 2011; Yamasaki </w:t>
      </w:r>
      <w:r w:rsidR="009E1573" w:rsidRPr="00681DE8">
        <w:t>and</w:t>
      </w:r>
      <w:r w:rsidR="006C1022" w:rsidRPr="00681DE8">
        <w:t xml:space="preserve"> Manabe, 2011). In </w:t>
      </w:r>
      <w:proofErr w:type="spellStart"/>
      <w:r w:rsidR="006C1022" w:rsidRPr="00681DE8">
        <w:t>gynoecious</w:t>
      </w:r>
      <w:proofErr w:type="spellEnd"/>
      <w:r w:rsidR="006C1022" w:rsidRPr="00681DE8">
        <w:t xml:space="preserve"> cucumber lines, which typically produce only female flowers, application of silver nitrate can induce male flower formation, thereby facilitating pollen production for hybridization (</w:t>
      </w:r>
      <w:r w:rsidR="005729F0" w:rsidRPr="00681DE8">
        <w:t>Kaur</w:t>
      </w:r>
      <w:r w:rsidR="006C1022" w:rsidRPr="00681DE8">
        <w:t xml:space="preserve"> </w:t>
      </w:r>
      <w:r w:rsidR="006C1022" w:rsidRPr="00681DE8">
        <w:rPr>
          <w:i/>
          <w:iCs/>
        </w:rPr>
        <w:t>et al</w:t>
      </w:r>
      <w:r w:rsidR="006C1022" w:rsidRPr="00681DE8">
        <w:t>., 20</w:t>
      </w:r>
      <w:r w:rsidR="005729F0" w:rsidRPr="00681DE8">
        <w:t>24</w:t>
      </w:r>
      <w:r w:rsidR="006C1022" w:rsidRPr="00681DE8">
        <w:t xml:space="preserve">). Ethylene-releasing compounds such as ethephon (commonly known as </w:t>
      </w:r>
      <w:proofErr w:type="spellStart"/>
      <w:r w:rsidR="005209A2" w:rsidRPr="00681DE8">
        <w:t>e</w:t>
      </w:r>
      <w:r w:rsidR="006C1022" w:rsidRPr="00681DE8">
        <w:t>threl</w:t>
      </w:r>
      <w:proofErr w:type="spellEnd"/>
      <w:r w:rsidR="006C1022" w:rsidRPr="00681DE8">
        <w:t>) are also used in commercial cultivation to shift the floral balance toward femaleness and enhance yield potential (</w:t>
      </w:r>
      <w:r w:rsidR="00495702" w:rsidRPr="00681DE8">
        <w:t>Manzano</w:t>
      </w:r>
      <w:r w:rsidR="006C1022" w:rsidRPr="00681DE8">
        <w:t xml:space="preserve"> </w:t>
      </w:r>
      <w:r w:rsidR="006C1022" w:rsidRPr="00681DE8">
        <w:rPr>
          <w:i/>
          <w:iCs/>
        </w:rPr>
        <w:t>et al</w:t>
      </w:r>
      <w:r w:rsidR="006C1022" w:rsidRPr="00681DE8">
        <w:t>., 20</w:t>
      </w:r>
      <w:r w:rsidR="00495702" w:rsidRPr="00681DE8">
        <w:t>14</w:t>
      </w:r>
      <w:r w:rsidR="006C1022" w:rsidRPr="00681DE8">
        <w:t xml:space="preserve">). The use of plant growth regulators such as GA₃, NAA, </w:t>
      </w:r>
      <w:proofErr w:type="spellStart"/>
      <w:r w:rsidR="005209A2" w:rsidRPr="00681DE8">
        <w:t>e</w:t>
      </w:r>
      <w:r w:rsidR="006C1022" w:rsidRPr="00681DE8">
        <w:t>threl</w:t>
      </w:r>
      <w:proofErr w:type="spellEnd"/>
      <w:r w:rsidR="006C1022" w:rsidRPr="00681DE8">
        <w:t xml:space="preserve">, and </w:t>
      </w:r>
      <w:proofErr w:type="spellStart"/>
      <w:r w:rsidR="006C1022" w:rsidRPr="00681DE8">
        <w:t>AgNO</w:t>
      </w:r>
      <w:proofErr w:type="spellEnd"/>
      <w:r w:rsidR="006C1022" w:rsidRPr="00681DE8">
        <w:t>₃ has become an integral component of modern horticultural practices to modulate growth, flowering behaviour, and sex expression in cucurbitaceous crops (</w:t>
      </w:r>
      <w:proofErr w:type="spellStart"/>
      <w:r w:rsidR="008C7864" w:rsidRPr="00681DE8">
        <w:t>Daryono</w:t>
      </w:r>
      <w:proofErr w:type="spellEnd"/>
      <w:r w:rsidR="006C1022" w:rsidRPr="00681DE8">
        <w:t xml:space="preserve"> </w:t>
      </w:r>
      <w:r w:rsidR="006C1022" w:rsidRPr="00681DE8">
        <w:rPr>
          <w:i/>
          <w:iCs/>
        </w:rPr>
        <w:t>et al</w:t>
      </w:r>
      <w:r w:rsidR="006C1022" w:rsidRPr="00681DE8">
        <w:t>., 20</w:t>
      </w:r>
      <w:r w:rsidR="008C7864" w:rsidRPr="00681DE8">
        <w:t>18</w:t>
      </w:r>
      <w:r w:rsidR="006C1022" w:rsidRPr="00681DE8">
        <w:t xml:space="preserve">; </w:t>
      </w:r>
      <w:proofErr w:type="spellStart"/>
      <w:r w:rsidR="006C1022" w:rsidRPr="00681DE8">
        <w:t>Gosai</w:t>
      </w:r>
      <w:proofErr w:type="spellEnd"/>
      <w:r w:rsidR="006C1022" w:rsidRPr="00681DE8">
        <w:t xml:space="preserve"> </w:t>
      </w:r>
      <w:r w:rsidR="006C1022" w:rsidRPr="00681DE8">
        <w:rPr>
          <w:i/>
          <w:iCs/>
        </w:rPr>
        <w:t>et al</w:t>
      </w:r>
      <w:r w:rsidR="006C1022" w:rsidRPr="00681DE8">
        <w:t>., 2020). However, most of the available research on PGR-induced changes in cucumber sex expression has been conducted under controlled or semi-controlled conditions, with limited studies addressing their comparative effects under open-field environments (</w:t>
      </w:r>
      <w:proofErr w:type="spellStart"/>
      <w:r w:rsidR="006C1022" w:rsidRPr="00681DE8">
        <w:t>Barcenas</w:t>
      </w:r>
      <w:proofErr w:type="spellEnd"/>
      <w:r w:rsidR="006C1022" w:rsidRPr="00681DE8">
        <w:t xml:space="preserve"> </w:t>
      </w:r>
      <w:r w:rsidR="005A6F8B" w:rsidRPr="00681DE8">
        <w:t xml:space="preserve">Jr </w:t>
      </w:r>
      <w:r w:rsidR="009E1573" w:rsidRPr="00681DE8">
        <w:t>and</w:t>
      </w:r>
      <w:r w:rsidR="006C1022" w:rsidRPr="00681DE8">
        <w:t xml:space="preserve"> </w:t>
      </w:r>
      <w:proofErr w:type="spellStart"/>
      <w:r w:rsidR="006C1022" w:rsidRPr="00681DE8">
        <w:t>Barcenas</w:t>
      </w:r>
      <w:proofErr w:type="spellEnd"/>
      <w:r w:rsidR="006C1022" w:rsidRPr="00681DE8">
        <w:t xml:space="preserve">, 2023; Mir </w:t>
      </w:r>
      <w:r w:rsidR="006C1022" w:rsidRPr="00681DE8">
        <w:rPr>
          <w:i/>
          <w:iCs/>
        </w:rPr>
        <w:t>et al</w:t>
      </w:r>
      <w:r w:rsidR="006C1022" w:rsidRPr="00681DE8">
        <w:t>., 2019). This gap in research is particularly significant, considering the fluctuating environmental variables in field settings that may influence hormonal responses. Therefore, the present investigation was undertaken to systematically evaluate the influence of four major plant growth regulators</w:t>
      </w:r>
      <w:r w:rsidR="005209A2" w:rsidRPr="00681DE8">
        <w:t xml:space="preserve"> </w:t>
      </w:r>
      <w:r w:rsidR="006C1022" w:rsidRPr="00681DE8">
        <w:t xml:space="preserve">gibberellic acid, naphthaleneacetic acid, silver nitrate, and </w:t>
      </w:r>
      <w:proofErr w:type="spellStart"/>
      <w:r w:rsidR="005209A2" w:rsidRPr="00681DE8">
        <w:t>e</w:t>
      </w:r>
      <w:r w:rsidR="006C1022" w:rsidRPr="00681DE8">
        <w:t>threl</w:t>
      </w:r>
      <w:proofErr w:type="spellEnd"/>
      <w:r w:rsidR="005209A2" w:rsidRPr="00681DE8">
        <w:t xml:space="preserve"> </w:t>
      </w:r>
      <w:r w:rsidR="006C1022" w:rsidRPr="00681DE8">
        <w:t>on the flowering behaviour and sex expression of cucumber under open-field conditions. The ultimate goal was to determine the most effective treatments for promoting female flower production and enhancing yield potential, thereby contributing to the development of more efficient cultivation strategies and breeding protocols.</w:t>
      </w:r>
    </w:p>
    <w:p w14:paraId="55737D4F" w14:textId="1557592C" w:rsidR="007E6C06" w:rsidRPr="00681DE8" w:rsidRDefault="004759FB" w:rsidP="000E4641">
      <w:pPr>
        <w:pStyle w:val="ListParagraph"/>
        <w:numPr>
          <w:ilvl w:val="0"/>
          <w:numId w:val="19"/>
        </w:numPr>
        <w:jc w:val="both"/>
        <w:rPr>
          <w:b/>
          <w:bCs/>
        </w:rPr>
      </w:pPr>
      <w:r w:rsidRPr="00681DE8">
        <w:rPr>
          <w:b/>
          <w:bCs/>
        </w:rPr>
        <w:t>MATERIALS AND METHODS</w:t>
      </w:r>
    </w:p>
    <w:p w14:paraId="2AFC2A5F" w14:textId="6D2E1EFB" w:rsidR="007E6C06" w:rsidRPr="00681DE8" w:rsidRDefault="001A27BE" w:rsidP="004D7235">
      <w:pPr>
        <w:jc w:val="both"/>
      </w:pPr>
      <w:r w:rsidRPr="00681DE8">
        <w:t xml:space="preserve">The field trial was conducted at the Vegetable Research Farm under the Department of Horticulture, Institute of Agricultural Sciences, Banaras Hindu University, Varanasi (U.P.), India, from February to May 2021. The study utilized a randomized block design comprising 13 treatments with three replicates each, totalling 39 plots. From each treatment, five plants were randomly selected and tagged for measurement of biometric and reproductive characteristics. The cucumber variety ‘Swarna Sheetal’ was used in the experiment. Seeds were sown in a well-prepared field at a spacing of 120 × 60 cm during 2021. Experimental treatments included foliar sprays of gibberellic acid (GA₃) at concentrations of 50, 100 and 150 ppm; naphthalene acetic acid (NAA) at 25, 50 and 75 ppm; silver nitrate at 125, 250 and 375 ppm; and </w:t>
      </w:r>
      <w:proofErr w:type="spellStart"/>
      <w:r w:rsidRPr="00681DE8">
        <w:t>ethrel</w:t>
      </w:r>
      <w:proofErr w:type="spellEnd"/>
      <w:r w:rsidRPr="00681DE8">
        <w:t xml:space="preserve"> at 100, 200 and 300 ppm. These were applied at 15, 30, and 45 days after sowing. Various phenological characters were recorded, including days to first male and female flowering, nodal position of the first male and female flowers, days to 50% flowering, number of male and female flowers plant</w:t>
      </w:r>
      <w:r w:rsidR="00AD09FF" w:rsidRPr="00681DE8">
        <w:rPr>
          <w:vertAlign w:val="superscript"/>
        </w:rPr>
        <w:t>-1</w:t>
      </w:r>
      <w:r w:rsidRPr="00681DE8">
        <w:t xml:space="preserve"> and the sex ratio. The collected data were </w:t>
      </w:r>
      <w:r w:rsidR="003A0030" w:rsidRPr="00681DE8">
        <w:t>analysed</w:t>
      </w:r>
      <w:r w:rsidRPr="00681DE8">
        <w:t xml:space="preserve"> using Analysis of Variance (ANOVA) and treatment means were compared through the </w:t>
      </w:r>
      <w:r w:rsidR="003A0030" w:rsidRPr="00681DE8">
        <w:t>c</w:t>
      </w:r>
      <w:r w:rsidRPr="00681DE8">
        <w:t xml:space="preserve">ritical </w:t>
      </w:r>
      <w:r w:rsidR="003A0030" w:rsidRPr="00681DE8">
        <w:t>d</w:t>
      </w:r>
      <w:r w:rsidRPr="00681DE8">
        <w:t xml:space="preserve">ifference (CD) test at a 5% significance level. Additionally, the </w:t>
      </w:r>
      <w:r w:rsidR="003A0030" w:rsidRPr="00681DE8">
        <w:t>s</w:t>
      </w:r>
      <w:r w:rsidRPr="00681DE8">
        <w:t xml:space="preserve">tandard </w:t>
      </w:r>
      <w:r w:rsidR="003A0030" w:rsidRPr="00681DE8">
        <w:t>e</w:t>
      </w:r>
      <w:r w:rsidRPr="00681DE8">
        <w:t xml:space="preserve">rror of </w:t>
      </w:r>
      <w:r w:rsidR="000E5799" w:rsidRPr="00681DE8">
        <w:t xml:space="preserve">the </w:t>
      </w:r>
      <w:r w:rsidR="003A0030" w:rsidRPr="00681DE8">
        <w:t>m</w:t>
      </w:r>
      <w:r w:rsidRPr="00681DE8">
        <w:t>ean (</w:t>
      </w:r>
      <w:proofErr w:type="spellStart"/>
      <w:r w:rsidRPr="00681DE8">
        <w:t>SEm</w:t>
      </w:r>
      <w:proofErr w:type="spellEnd"/>
      <w:r w:rsidRPr="00681DE8">
        <w:t xml:space="preserve"> ±) was calculated to assess the precision and reliability of the results</w:t>
      </w:r>
      <w:r w:rsidR="004E478B" w:rsidRPr="00681DE8">
        <w:t>.</w:t>
      </w:r>
    </w:p>
    <w:p w14:paraId="5324E1C3" w14:textId="536945ED" w:rsidR="00E84DE2" w:rsidRPr="00681DE8" w:rsidRDefault="0054520C" w:rsidP="000E4641">
      <w:pPr>
        <w:pStyle w:val="ListParagraph"/>
        <w:numPr>
          <w:ilvl w:val="0"/>
          <w:numId w:val="19"/>
        </w:numPr>
        <w:jc w:val="both"/>
        <w:rPr>
          <w:b/>
          <w:bCs/>
        </w:rPr>
      </w:pPr>
      <w:r w:rsidRPr="00681DE8">
        <w:rPr>
          <w:b/>
          <w:bCs/>
        </w:rPr>
        <w:t>RESULTS AND DISCUSSION</w:t>
      </w:r>
    </w:p>
    <w:p w14:paraId="778ABA95" w14:textId="45363207" w:rsidR="005E4032" w:rsidRPr="00681DE8" w:rsidRDefault="005E4032" w:rsidP="000E4641">
      <w:pPr>
        <w:pStyle w:val="ListParagraph"/>
        <w:numPr>
          <w:ilvl w:val="1"/>
          <w:numId w:val="19"/>
        </w:numPr>
        <w:ind w:right="-1134"/>
        <w:jc w:val="both"/>
        <w:rPr>
          <w:i/>
          <w:iCs/>
        </w:rPr>
      </w:pPr>
      <w:r w:rsidRPr="00681DE8">
        <w:rPr>
          <w:i/>
          <w:iCs/>
        </w:rPr>
        <w:t>Temporal</w:t>
      </w:r>
      <w:r w:rsidRPr="00681DE8">
        <w:rPr>
          <w:rStyle w:val="CommentReference"/>
          <w:i/>
          <w:iCs/>
        </w:rPr>
        <w:t xml:space="preserve"> </w:t>
      </w:r>
      <w:r w:rsidRPr="00681DE8">
        <w:rPr>
          <w:i/>
          <w:iCs/>
        </w:rPr>
        <w:t>dynamics of floral initiation</w:t>
      </w:r>
    </w:p>
    <w:p w14:paraId="1D4F6827" w14:textId="6AFFFC67" w:rsidR="00E84DE2" w:rsidRPr="00681DE8" w:rsidRDefault="00053961" w:rsidP="004D7235">
      <w:pPr>
        <w:jc w:val="both"/>
        <w:rPr>
          <w:b/>
          <w:bCs/>
        </w:rPr>
      </w:pPr>
      <w:r w:rsidRPr="00681DE8">
        <w:t xml:space="preserve">The exogenous application of plant growth regulators significantly modulated the timing of floral differentiation in cucumber, with treatments exhibiting statistically significant effects (p ≤ 0.05) as detailed in Figure 1. The earliest initiation of </w:t>
      </w:r>
      <w:proofErr w:type="spellStart"/>
      <w:r w:rsidRPr="00681DE8">
        <w:t>staminate</w:t>
      </w:r>
      <w:proofErr w:type="spellEnd"/>
      <w:r w:rsidRPr="00681DE8">
        <w:t xml:space="preserve"> flowers was observed in the untreated plot (T</w:t>
      </w:r>
      <w:r w:rsidRPr="00681DE8">
        <w:rPr>
          <w:vertAlign w:val="subscript"/>
        </w:rPr>
        <w:t>13</w:t>
      </w:r>
      <w:r w:rsidRPr="00681DE8">
        <w:t xml:space="preserve">) at 34.5 days post-sowing. In contrast, </w:t>
      </w:r>
      <w:proofErr w:type="spellStart"/>
      <w:r w:rsidRPr="00681DE8">
        <w:t>Ethrel</w:t>
      </w:r>
      <w:proofErr w:type="spellEnd"/>
      <w:r w:rsidRPr="00681DE8">
        <w:t xml:space="preserve"> applied at 300 ppm (T</w:t>
      </w:r>
      <w:r w:rsidRPr="00681DE8">
        <w:rPr>
          <w:vertAlign w:val="subscript"/>
        </w:rPr>
        <w:t>12</w:t>
      </w:r>
      <w:r w:rsidRPr="00681DE8">
        <w:t xml:space="preserve">) induced the most pronounced delay, with male flower emergence at 38.7 days, corresponding to a 10.9% postponement relative to the control. This delay aligns with the known physiological role of ethylene-releasing agents in antagonizing gibberellin-driven </w:t>
      </w:r>
      <w:proofErr w:type="spellStart"/>
      <w:r w:rsidRPr="00681DE8">
        <w:t>androecy</w:t>
      </w:r>
      <w:proofErr w:type="spellEnd"/>
      <w:r w:rsidRPr="00681DE8">
        <w:t>, thereby reallocating assimilates toward pistillate differentiation at the expense of early male floral development (</w:t>
      </w:r>
      <w:proofErr w:type="spellStart"/>
      <w:r w:rsidR="0000374F" w:rsidRPr="00681DE8">
        <w:t>Thappa</w:t>
      </w:r>
      <w:proofErr w:type="spellEnd"/>
      <w:r w:rsidRPr="00681DE8">
        <w:t xml:space="preserve"> </w:t>
      </w:r>
      <w:r w:rsidRPr="00681DE8">
        <w:rPr>
          <w:i/>
          <w:iCs/>
        </w:rPr>
        <w:t>et al</w:t>
      </w:r>
      <w:r w:rsidRPr="00681DE8">
        <w:t xml:space="preserve">., </w:t>
      </w:r>
      <w:r w:rsidR="0000374F" w:rsidRPr="00681DE8">
        <w:t>2011</w:t>
      </w:r>
      <w:r w:rsidRPr="00681DE8">
        <w:t xml:space="preserve">; Yamasaki </w:t>
      </w:r>
      <w:r w:rsidRPr="00681DE8">
        <w:rPr>
          <w:i/>
          <w:iCs/>
        </w:rPr>
        <w:t>et al</w:t>
      </w:r>
      <w:r w:rsidRPr="00681DE8">
        <w:t xml:space="preserve">., 2003). Our findings corroborate this paradigm, demonstrating that exogenous ethylene suppresses the temporal precedence of male floral primordia and potentially alleviates resource competition with subsequent female flowers (Manzano </w:t>
      </w:r>
      <w:r w:rsidRPr="00681DE8">
        <w:rPr>
          <w:i/>
          <w:iCs/>
        </w:rPr>
        <w:t>et al</w:t>
      </w:r>
      <w:r w:rsidRPr="00681DE8">
        <w:t xml:space="preserve">., 2011). </w:t>
      </w:r>
      <w:r w:rsidRPr="00681DE8">
        <w:lastRenderedPageBreak/>
        <w:t>Conversely, gibberellic acid treatments (T</w:t>
      </w:r>
      <w:r w:rsidRPr="00681DE8">
        <w:rPr>
          <w:vertAlign w:val="subscript"/>
        </w:rPr>
        <w:t>1</w:t>
      </w:r>
      <w:r w:rsidRPr="00681DE8">
        <w:t>–T</w:t>
      </w:r>
      <w:r w:rsidRPr="00681DE8">
        <w:rPr>
          <w:vertAlign w:val="subscript"/>
        </w:rPr>
        <w:t>3</w:t>
      </w:r>
      <w:r w:rsidRPr="00681DE8">
        <w:t xml:space="preserve">) expedited male floral initiation, with flowering observed between 36.5 and 38.1 days, outperforming most </w:t>
      </w:r>
      <w:proofErr w:type="spellStart"/>
      <w:r w:rsidR="00354B55" w:rsidRPr="00681DE8">
        <w:t>e</w:t>
      </w:r>
      <w:r w:rsidRPr="00681DE8">
        <w:t>threl</w:t>
      </w:r>
      <w:proofErr w:type="spellEnd"/>
      <w:r w:rsidRPr="00681DE8">
        <w:t xml:space="preserve"> and NAA treatments. This acceleration supports previous reports that gibberellins enhance </w:t>
      </w:r>
      <w:proofErr w:type="spellStart"/>
      <w:r w:rsidRPr="00681DE8">
        <w:t>androecious</w:t>
      </w:r>
      <w:proofErr w:type="spellEnd"/>
      <w:r w:rsidRPr="00681DE8">
        <w:t xml:space="preserve"> gene expression in cucurbits, reinforcing their pivotal role in promoting maleness (Fu </w:t>
      </w:r>
      <w:r w:rsidRPr="00681DE8">
        <w:rPr>
          <w:i/>
          <w:iCs/>
        </w:rPr>
        <w:t>et al</w:t>
      </w:r>
      <w:r w:rsidRPr="00681DE8">
        <w:t xml:space="preserve">., 2015; </w:t>
      </w:r>
      <w:r w:rsidR="00F332F7" w:rsidRPr="00681DE8">
        <w:t xml:space="preserve">Kaur </w:t>
      </w:r>
      <w:r w:rsidRPr="00681DE8">
        <w:rPr>
          <w:i/>
          <w:iCs/>
        </w:rPr>
        <w:t>et al</w:t>
      </w:r>
      <w:r w:rsidRPr="00681DE8">
        <w:t>., 20</w:t>
      </w:r>
      <w:r w:rsidR="00F332F7" w:rsidRPr="00681DE8">
        <w:t>24</w:t>
      </w:r>
      <w:r w:rsidRPr="00681DE8">
        <w:t xml:space="preserve">). Furthermore, </w:t>
      </w:r>
      <w:proofErr w:type="spellStart"/>
      <w:r w:rsidR="00354B55" w:rsidRPr="00681DE8">
        <w:t>e</w:t>
      </w:r>
      <w:r w:rsidRPr="00681DE8">
        <w:t>threl</w:t>
      </w:r>
      <w:proofErr w:type="spellEnd"/>
      <w:r w:rsidRPr="00681DE8">
        <w:t xml:space="preserve"> 300 ppm (T</w:t>
      </w:r>
      <w:r w:rsidRPr="00681DE8">
        <w:rPr>
          <w:vertAlign w:val="subscript"/>
        </w:rPr>
        <w:t>12</w:t>
      </w:r>
      <w:r w:rsidRPr="00681DE8">
        <w:t xml:space="preserve">) significantly shifted the nodal position of the first male flower upward to 5.03 nodes from 2.81 nodes in control plants, marking a 79% elevation. This positional shift delays </w:t>
      </w:r>
      <w:proofErr w:type="spellStart"/>
      <w:r w:rsidRPr="00681DE8">
        <w:t>staminate</w:t>
      </w:r>
      <w:proofErr w:type="spellEnd"/>
      <w:r w:rsidRPr="00681DE8">
        <w:t xml:space="preserve"> anthesis until the vine attains adequate vegetative biomass, thereby optimizing resource allocation for subsequent fruit set (</w:t>
      </w:r>
      <w:proofErr w:type="spellStart"/>
      <w:r w:rsidRPr="00681DE8">
        <w:t>Barsoom</w:t>
      </w:r>
      <w:proofErr w:type="spellEnd"/>
      <w:r w:rsidRPr="00681DE8">
        <w:t xml:space="preserve"> </w:t>
      </w:r>
      <w:r w:rsidR="009E1573" w:rsidRPr="00681DE8">
        <w:t>and</w:t>
      </w:r>
      <w:r w:rsidRPr="00681DE8">
        <w:t xml:space="preserve"> </w:t>
      </w:r>
      <w:proofErr w:type="spellStart"/>
      <w:r w:rsidRPr="00681DE8">
        <w:t>Attala</w:t>
      </w:r>
      <w:proofErr w:type="spellEnd"/>
      <w:r w:rsidRPr="00681DE8">
        <w:t>, 2020)</w:t>
      </w:r>
      <w:r w:rsidR="00F26C92" w:rsidRPr="00681DE8">
        <w:t>.</w:t>
      </w:r>
    </w:p>
    <w:p w14:paraId="0A5B6ED9" w14:textId="4AD8805C" w:rsidR="00E84DE2" w:rsidRPr="00681DE8" w:rsidRDefault="000E4641" w:rsidP="000E4641">
      <w:pPr>
        <w:pStyle w:val="ListParagraph"/>
        <w:numPr>
          <w:ilvl w:val="1"/>
          <w:numId w:val="19"/>
        </w:numPr>
        <w:jc w:val="both"/>
        <w:rPr>
          <w:i/>
          <w:iCs/>
        </w:rPr>
      </w:pPr>
      <w:r w:rsidRPr="00681DE8">
        <w:rPr>
          <w:i/>
          <w:iCs/>
        </w:rPr>
        <w:t xml:space="preserve"> </w:t>
      </w:r>
      <w:r w:rsidR="00E84DE2" w:rsidRPr="00681DE8">
        <w:rPr>
          <w:i/>
          <w:iCs/>
        </w:rPr>
        <w:t xml:space="preserve">Acceleration of </w:t>
      </w:r>
      <w:r w:rsidR="00314447" w:rsidRPr="00681DE8">
        <w:rPr>
          <w:i/>
          <w:iCs/>
        </w:rPr>
        <w:t>pistillate differentiation</w:t>
      </w:r>
    </w:p>
    <w:p w14:paraId="78BC5E59" w14:textId="2D5125C5" w:rsidR="00E84DE2" w:rsidRPr="00681DE8" w:rsidRDefault="00F300DB" w:rsidP="004D7235">
      <w:pPr>
        <w:jc w:val="both"/>
        <w:rPr>
          <w:b/>
          <w:bCs/>
        </w:rPr>
      </w:pPr>
      <w:proofErr w:type="spellStart"/>
      <w:r w:rsidRPr="00681DE8">
        <w:t>Ethrel</w:t>
      </w:r>
      <w:proofErr w:type="spellEnd"/>
      <w:r w:rsidRPr="00681DE8">
        <w:t xml:space="preserve"> exerted a pronounced feminizing effect by substantially advancing the onset of pistillate flowering as depicted in Figure 1. The treatment (T</w:t>
      </w:r>
      <w:r w:rsidRPr="00681DE8">
        <w:rPr>
          <w:vertAlign w:val="subscript"/>
        </w:rPr>
        <w:t>11</w:t>
      </w:r>
      <w:r w:rsidRPr="00681DE8">
        <w:t xml:space="preserve">) with </w:t>
      </w:r>
      <w:proofErr w:type="spellStart"/>
      <w:r w:rsidR="000155A1" w:rsidRPr="00681DE8">
        <w:t>e</w:t>
      </w:r>
      <w:r w:rsidRPr="00681DE8">
        <w:t>threl</w:t>
      </w:r>
      <w:proofErr w:type="spellEnd"/>
      <w:r w:rsidRPr="00681DE8">
        <w:t xml:space="preserve"> 200 ppm reduced days to first female flower by 7.66 days compared to the control, flowering at 37.67 days versus 45.33 days, a 16.9% enhancement. This acceleration likely reflects ethylene-mediated upregulation of ACC synthase and downstream ethylene biosynthesis pathways, pivotal for pistillate gene activation (Yamasaki </w:t>
      </w:r>
      <w:r w:rsidRPr="00681DE8">
        <w:rPr>
          <w:i/>
          <w:iCs/>
        </w:rPr>
        <w:t>et al</w:t>
      </w:r>
      <w:r w:rsidRPr="00681DE8">
        <w:t xml:space="preserve">., 2003; Manzano </w:t>
      </w:r>
      <w:r w:rsidRPr="00681DE8">
        <w:rPr>
          <w:i/>
          <w:iCs/>
        </w:rPr>
        <w:t>et al</w:t>
      </w:r>
      <w:r w:rsidRPr="00681DE8">
        <w:t xml:space="preserve">., 2011). In contrast, the naphthalene acetic acid treatments exhibited a comparatively muted effect, suggesting that the applied auxin concentrations were insufficient to significantly elevate ethylene production (Alotaibi </w:t>
      </w:r>
      <w:r w:rsidRPr="00681DE8">
        <w:rPr>
          <w:i/>
          <w:iCs/>
        </w:rPr>
        <w:t>et al</w:t>
      </w:r>
      <w:r w:rsidRPr="00681DE8">
        <w:t xml:space="preserve">., 2024; </w:t>
      </w:r>
      <w:proofErr w:type="spellStart"/>
      <w:r w:rsidR="001300BF" w:rsidRPr="00681DE8">
        <w:t>Thappa</w:t>
      </w:r>
      <w:proofErr w:type="spellEnd"/>
      <w:r w:rsidRPr="00681DE8">
        <w:t xml:space="preserve"> </w:t>
      </w:r>
      <w:r w:rsidRPr="00681DE8">
        <w:rPr>
          <w:i/>
          <w:iCs/>
        </w:rPr>
        <w:t>et al</w:t>
      </w:r>
      <w:r w:rsidRPr="00681DE8">
        <w:t>., 201</w:t>
      </w:r>
      <w:r w:rsidR="003D76D8" w:rsidRPr="00681DE8">
        <w:t>1</w:t>
      </w:r>
      <w:r w:rsidRPr="00681DE8">
        <w:t xml:space="preserve">). Additionally, </w:t>
      </w:r>
      <w:proofErr w:type="spellStart"/>
      <w:r w:rsidR="000155A1" w:rsidRPr="00681DE8">
        <w:t>e</w:t>
      </w:r>
      <w:r w:rsidRPr="00681DE8">
        <w:t>threl</w:t>
      </w:r>
      <w:proofErr w:type="spellEnd"/>
      <w:r w:rsidRPr="00681DE8">
        <w:t xml:space="preserve"> 200 ppm (T</w:t>
      </w:r>
      <w:r w:rsidRPr="00681DE8">
        <w:rPr>
          <w:vertAlign w:val="subscript"/>
        </w:rPr>
        <w:t>11</w:t>
      </w:r>
      <w:r w:rsidRPr="00681DE8">
        <w:t>) induced a marked reduction in the nodal position of the first female flower to 7.39, nearly five nodes lower than the control (12.22 nodes). This downward nodal shift enhances sink strength by shortening the photosynthate translocation distance to developing ovaries, a factor positively correlated with increased marketable yield (</w:t>
      </w:r>
      <w:proofErr w:type="spellStart"/>
      <w:r w:rsidRPr="00681DE8">
        <w:t>Fajri</w:t>
      </w:r>
      <w:proofErr w:type="spellEnd"/>
      <w:r w:rsidRPr="00681DE8">
        <w:t xml:space="preserve"> </w:t>
      </w:r>
      <w:r w:rsidRPr="00681DE8">
        <w:rPr>
          <w:i/>
          <w:iCs/>
        </w:rPr>
        <w:t>et al</w:t>
      </w:r>
      <w:r w:rsidRPr="00681DE8">
        <w:t>., 2022)</w:t>
      </w:r>
      <w:r w:rsidR="00F26C92" w:rsidRPr="00681DE8">
        <w:t>.</w:t>
      </w:r>
    </w:p>
    <w:p w14:paraId="10FB07FA" w14:textId="0FD1D97F" w:rsidR="00E84DE2" w:rsidRPr="00681DE8" w:rsidRDefault="00E84DE2" w:rsidP="000E4641">
      <w:pPr>
        <w:pStyle w:val="ListParagraph"/>
        <w:numPr>
          <w:ilvl w:val="1"/>
          <w:numId w:val="19"/>
        </w:numPr>
        <w:jc w:val="both"/>
        <w:rPr>
          <w:i/>
          <w:iCs/>
        </w:rPr>
      </w:pPr>
      <w:r w:rsidRPr="00681DE8">
        <w:rPr>
          <w:i/>
          <w:iCs/>
        </w:rPr>
        <w:t xml:space="preserve">Progression </w:t>
      </w:r>
      <w:r w:rsidR="00031E90" w:rsidRPr="00681DE8">
        <w:rPr>
          <w:i/>
          <w:iCs/>
        </w:rPr>
        <w:t>to peak bloom</w:t>
      </w:r>
    </w:p>
    <w:p w14:paraId="04D0F3B3" w14:textId="3A2510BC" w:rsidR="007617D9" w:rsidRPr="00681DE8" w:rsidRDefault="00805A9B" w:rsidP="004D7235">
      <w:pPr>
        <w:jc w:val="both"/>
      </w:pPr>
      <w:r w:rsidRPr="00681DE8">
        <w:t xml:space="preserve">The interval to 50% flowering was significantly abbreviated in </w:t>
      </w:r>
      <w:proofErr w:type="spellStart"/>
      <w:r w:rsidRPr="00681DE8">
        <w:t>Ethrel</w:t>
      </w:r>
      <w:proofErr w:type="spellEnd"/>
      <w:r w:rsidRPr="00681DE8">
        <w:t>-treated vines in Figure 2, ranging from 45.0 days (</w:t>
      </w:r>
      <w:proofErr w:type="spellStart"/>
      <w:r w:rsidRPr="00681DE8">
        <w:t>Ethrel</w:t>
      </w:r>
      <w:proofErr w:type="spellEnd"/>
      <w:r w:rsidRPr="00681DE8">
        <w:t xml:space="preserve"> 100 ppm) to 52.67 days in controls. This reduction of 7–8 days accelerates reproductive maturity, an agronomically advantageous trait in short-season or staggered planting systems aiming for continuous harvests (Mir </w:t>
      </w:r>
      <w:r w:rsidRPr="00681DE8">
        <w:rPr>
          <w:i/>
          <w:iCs/>
        </w:rPr>
        <w:t>et al</w:t>
      </w:r>
      <w:r w:rsidRPr="00681DE8">
        <w:t xml:space="preserve">., 2019; </w:t>
      </w:r>
      <w:proofErr w:type="spellStart"/>
      <w:r w:rsidRPr="00681DE8">
        <w:t>Gosai</w:t>
      </w:r>
      <w:proofErr w:type="spellEnd"/>
      <w:r w:rsidRPr="00681DE8">
        <w:t xml:space="preserve"> </w:t>
      </w:r>
      <w:r w:rsidRPr="00681DE8">
        <w:rPr>
          <w:i/>
          <w:iCs/>
        </w:rPr>
        <w:t>et al</w:t>
      </w:r>
      <w:r w:rsidRPr="00681DE8">
        <w:t>., 2020)</w:t>
      </w:r>
      <w:r w:rsidR="007617D9" w:rsidRPr="00681DE8">
        <w:t xml:space="preserve">. </w:t>
      </w:r>
    </w:p>
    <w:p w14:paraId="09329551" w14:textId="02F01E0E" w:rsidR="00E84DE2" w:rsidRPr="00681DE8" w:rsidRDefault="00E84DE2" w:rsidP="003E1B7E">
      <w:pPr>
        <w:pStyle w:val="ListParagraph"/>
        <w:numPr>
          <w:ilvl w:val="1"/>
          <w:numId w:val="19"/>
        </w:numPr>
        <w:jc w:val="both"/>
        <w:rPr>
          <w:i/>
          <w:iCs/>
        </w:rPr>
      </w:pPr>
      <w:r w:rsidRPr="00681DE8">
        <w:rPr>
          <w:i/>
          <w:iCs/>
        </w:rPr>
        <w:t xml:space="preserve">Quantitative </w:t>
      </w:r>
      <w:r w:rsidR="0014585A" w:rsidRPr="00681DE8">
        <w:rPr>
          <w:i/>
          <w:iCs/>
        </w:rPr>
        <w:t>shifts in male and female floral production</w:t>
      </w:r>
    </w:p>
    <w:p w14:paraId="4AC9267A" w14:textId="269451A8" w:rsidR="00921681" w:rsidRPr="00681DE8" w:rsidRDefault="00FB0A0A" w:rsidP="004D7235">
      <w:pPr>
        <w:jc w:val="both"/>
      </w:pPr>
      <w:r w:rsidRPr="00681DE8">
        <w:t>Application of silver nitrate at 375 ppm (T</w:t>
      </w:r>
      <w:r w:rsidRPr="00681DE8">
        <w:rPr>
          <w:vertAlign w:val="subscript"/>
        </w:rPr>
        <w:t>9</w:t>
      </w:r>
      <w:r w:rsidRPr="00681DE8">
        <w:t xml:space="preserve">) markedly increased </w:t>
      </w:r>
      <w:proofErr w:type="spellStart"/>
      <w:r w:rsidRPr="00681DE8">
        <w:t>staminate</w:t>
      </w:r>
      <w:proofErr w:type="spellEnd"/>
      <w:r w:rsidRPr="00681DE8">
        <w:t xml:space="preserve"> flower production (24.33 flowers per vine), consistent with Ag⁺ ions’ antagonistic action on ethylene receptors, which </w:t>
      </w:r>
      <w:proofErr w:type="spellStart"/>
      <w:r w:rsidRPr="00681DE8">
        <w:t>derepresses</w:t>
      </w:r>
      <w:proofErr w:type="spellEnd"/>
      <w:r w:rsidRPr="00681DE8">
        <w:t xml:space="preserve"> male flower development pathways (Li </w:t>
      </w:r>
      <w:r w:rsidRPr="00681DE8">
        <w:rPr>
          <w:i/>
          <w:iCs/>
        </w:rPr>
        <w:t>et al</w:t>
      </w:r>
      <w:r w:rsidRPr="00681DE8">
        <w:t xml:space="preserve">., 2022; Yamasaki </w:t>
      </w:r>
      <w:r w:rsidR="009E1573" w:rsidRPr="00681DE8">
        <w:t>and</w:t>
      </w:r>
      <w:r w:rsidRPr="00681DE8">
        <w:t xml:space="preserve"> Manabe, 2011). This stimulatory effect on maleness is exploited in hybrid seed production </w:t>
      </w:r>
      <w:r w:rsidR="00701BBD" w:rsidRPr="00681DE8">
        <w:t>to</w:t>
      </w:r>
      <w:r w:rsidRPr="00681DE8">
        <w:t xml:space="preserve"> ensur</w:t>
      </w:r>
      <w:r w:rsidR="00701BBD" w:rsidRPr="00681DE8">
        <w:t>e</w:t>
      </w:r>
      <w:r w:rsidRPr="00681DE8">
        <w:t xml:space="preserve"> ample pollen availability. In contrast, </w:t>
      </w:r>
      <w:proofErr w:type="spellStart"/>
      <w:r w:rsidR="00DF65D2" w:rsidRPr="00681DE8">
        <w:t>e</w:t>
      </w:r>
      <w:r w:rsidRPr="00681DE8">
        <w:t>threl</w:t>
      </w:r>
      <w:proofErr w:type="spellEnd"/>
      <w:r w:rsidRPr="00681DE8">
        <w:t xml:space="preserve"> at 300 ppm (T</w:t>
      </w:r>
      <w:r w:rsidRPr="00681DE8">
        <w:rPr>
          <w:vertAlign w:val="subscript"/>
        </w:rPr>
        <w:t>12</w:t>
      </w:r>
      <w:r w:rsidRPr="00681DE8">
        <w:t>) significantly increased pistillate flower numbers to 23.0 vine</w:t>
      </w:r>
      <w:r w:rsidR="00917A97" w:rsidRPr="00681DE8">
        <w:rPr>
          <w:vertAlign w:val="superscript"/>
        </w:rPr>
        <w:t>-1</w:t>
      </w:r>
      <w:r w:rsidRPr="00681DE8">
        <w:t xml:space="preserve">, representing a 43.5% increase over the control (13.0 flowers). The dose-response within the 100–300 ppm </w:t>
      </w:r>
      <w:proofErr w:type="spellStart"/>
      <w:r w:rsidR="00DF65D2" w:rsidRPr="00681DE8">
        <w:t>e</w:t>
      </w:r>
      <w:r w:rsidRPr="00681DE8">
        <w:t>threl</w:t>
      </w:r>
      <w:proofErr w:type="spellEnd"/>
      <w:r w:rsidRPr="00681DE8">
        <w:t xml:space="preserve"> range was nonlinear, with the intermediate concentration (T</w:t>
      </w:r>
      <w:r w:rsidRPr="00681DE8">
        <w:rPr>
          <w:vertAlign w:val="subscript"/>
        </w:rPr>
        <w:t>11</w:t>
      </w:r>
      <w:r w:rsidRPr="00681DE8">
        <w:t>) yielding 21.33 female flowers, indicating a saturation threshold in ethylene responsiveness under the prevailing experimental conditions (</w:t>
      </w:r>
      <w:r w:rsidR="00495702" w:rsidRPr="00681DE8">
        <w:t>Manzano</w:t>
      </w:r>
      <w:r w:rsidRPr="00681DE8">
        <w:t xml:space="preserve"> </w:t>
      </w:r>
      <w:r w:rsidRPr="00681DE8">
        <w:rPr>
          <w:i/>
          <w:iCs/>
        </w:rPr>
        <w:t>et al</w:t>
      </w:r>
      <w:r w:rsidRPr="00681DE8">
        <w:t>., 20</w:t>
      </w:r>
      <w:r w:rsidR="00495702" w:rsidRPr="00681DE8">
        <w:t>14</w:t>
      </w:r>
      <w:r w:rsidRPr="00681DE8">
        <w:t xml:space="preserve">; </w:t>
      </w:r>
      <w:proofErr w:type="spellStart"/>
      <w:r w:rsidR="00943834" w:rsidRPr="00681DE8">
        <w:t>Jonoubi</w:t>
      </w:r>
      <w:proofErr w:type="spellEnd"/>
      <w:r w:rsidR="00943834" w:rsidRPr="00681DE8">
        <w:t xml:space="preserve"> and </w:t>
      </w:r>
      <w:proofErr w:type="spellStart"/>
      <w:r w:rsidR="00943834" w:rsidRPr="00681DE8">
        <w:t>Arang</w:t>
      </w:r>
      <w:proofErr w:type="spellEnd"/>
      <w:r w:rsidRPr="00681DE8">
        <w:t>, 20</w:t>
      </w:r>
      <w:r w:rsidR="00FB78B5" w:rsidRPr="00681DE8">
        <w:t>24</w:t>
      </w:r>
      <w:r w:rsidRPr="00681DE8">
        <w:t>)</w:t>
      </w:r>
      <w:r w:rsidR="00921681" w:rsidRPr="00681DE8">
        <w:t>.</w:t>
      </w:r>
    </w:p>
    <w:p w14:paraId="03600143" w14:textId="3FD82892" w:rsidR="00E84DE2" w:rsidRPr="00681DE8" w:rsidRDefault="00E84DE2" w:rsidP="003E1B7E">
      <w:pPr>
        <w:pStyle w:val="ListParagraph"/>
        <w:numPr>
          <w:ilvl w:val="1"/>
          <w:numId w:val="19"/>
        </w:numPr>
        <w:jc w:val="both"/>
        <w:rPr>
          <w:i/>
          <w:iCs/>
        </w:rPr>
      </w:pPr>
      <w:r w:rsidRPr="00681DE8">
        <w:rPr>
          <w:i/>
          <w:iCs/>
        </w:rPr>
        <w:t xml:space="preserve">Optimization </w:t>
      </w:r>
      <w:r w:rsidR="002C3A87" w:rsidRPr="00681DE8">
        <w:rPr>
          <w:i/>
          <w:iCs/>
        </w:rPr>
        <w:t>of sex ratio</w:t>
      </w:r>
    </w:p>
    <w:p w14:paraId="178981E3" w14:textId="6BB45672" w:rsidR="00E84DE2" w:rsidRPr="00681DE8" w:rsidRDefault="00FB0A0A" w:rsidP="004D7235">
      <w:pPr>
        <w:jc w:val="both"/>
      </w:pPr>
      <w:r w:rsidRPr="00681DE8">
        <w:t xml:space="preserve">The sex ratio (male: female) varied considerably among treatments Figure 2, shifting from a male-biased ratio of 1.66 under </w:t>
      </w:r>
      <w:proofErr w:type="spellStart"/>
      <w:r w:rsidRPr="00681DE8">
        <w:t>AgNO</w:t>
      </w:r>
      <w:proofErr w:type="spellEnd"/>
      <w:r w:rsidRPr="00681DE8">
        <w:t xml:space="preserve">₃ 375 ppm to a female-biased ratio of 0.48 under </w:t>
      </w:r>
      <w:proofErr w:type="spellStart"/>
      <w:r w:rsidRPr="00681DE8">
        <w:t>Ethrel</w:t>
      </w:r>
      <w:proofErr w:type="spellEnd"/>
      <w:r w:rsidRPr="00681DE8">
        <w:t xml:space="preserve"> treatments (100 and 300 ppm). </w:t>
      </w:r>
      <w:proofErr w:type="spellStart"/>
      <w:r w:rsidRPr="00681DE8">
        <w:t>Ethrel</w:t>
      </w:r>
      <w:proofErr w:type="spellEnd"/>
      <w:r w:rsidRPr="00681DE8">
        <w:t>-treated vines produced approximately two female flowers per male flower; a ratio deemed optimal for maximizing fruit set while maintaining sufficient pollen in monoecious cultivars (</w:t>
      </w:r>
      <w:proofErr w:type="spellStart"/>
      <w:r w:rsidRPr="00681DE8">
        <w:t>Fajri</w:t>
      </w:r>
      <w:proofErr w:type="spellEnd"/>
      <w:r w:rsidRPr="00681DE8">
        <w:t xml:space="preserve"> </w:t>
      </w:r>
      <w:r w:rsidRPr="00681DE8">
        <w:rPr>
          <w:i/>
          <w:iCs/>
        </w:rPr>
        <w:t>et al</w:t>
      </w:r>
      <w:r w:rsidRPr="00681DE8">
        <w:t xml:space="preserve">., 2022; Ye </w:t>
      </w:r>
      <w:r w:rsidRPr="00681DE8">
        <w:rPr>
          <w:i/>
          <w:iCs/>
        </w:rPr>
        <w:t>et al</w:t>
      </w:r>
      <w:r w:rsidRPr="00681DE8">
        <w:t xml:space="preserve">., 2020). GA₃ treatments maintained near parity (~1.1), underscoring their limited utility for fruit yield enhancement but highlighting their potential for inducing maleness in </w:t>
      </w:r>
      <w:proofErr w:type="spellStart"/>
      <w:r w:rsidRPr="00681DE8">
        <w:t>gynoecious</w:t>
      </w:r>
      <w:proofErr w:type="spellEnd"/>
      <w:r w:rsidRPr="00681DE8">
        <w:t xml:space="preserve"> breeding lines (</w:t>
      </w:r>
      <w:r w:rsidR="00F332F7" w:rsidRPr="00681DE8">
        <w:t xml:space="preserve">Kaur </w:t>
      </w:r>
      <w:r w:rsidRPr="00681DE8">
        <w:rPr>
          <w:i/>
          <w:iCs/>
        </w:rPr>
        <w:t>et al</w:t>
      </w:r>
      <w:r w:rsidRPr="00681DE8">
        <w:t>., 20</w:t>
      </w:r>
      <w:r w:rsidR="00F332F7" w:rsidRPr="00681DE8">
        <w:t>24</w:t>
      </w:r>
      <w:r w:rsidRPr="00681DE8">
        <w:t>).</w:t>
      </w:r>
    </w:p>
    <w:p w14:paraId="11489C5D" w14:textId="13669F45" w:rsidR="00E84DE2" w:rsidRPr="00681DE8" w:rsidRDefault="003E1B7E" w:rsidP="003E1B7E">
      <w:pPr>
        <w:pStyle w:val="ListParagraph"/>
        <w:numPr>
          <w:ilvl w:val="1"/>
          <w:numId w:val="19"/>
        </w:numPr>
        <w:jc w:val="both"/>
        <w:rPr>
          <w:i/>
          <w:iCs/>
        </w:rPr>
      </w:pPr>
      <w:r w:rsidRPr="00681DE8">
        <w:rPr>
          <w:i/>
          <w:iCs/>
        </w:rPr>
        <w:t xml:space="preserve"> </w:t>
      </w:r>
      <w:r w:rsidR="00E84DE2" w:rsidRPr="00681DE8">
        <w:rPr>
          <w:i/>
          <w:iCs/>
        </w:rPr>
        <w:t xml:space="preserve">Integrative </w:t>
      </w:r>
      <w:r w:rsidR="001252AE" w:rsidRPr="00681DE8">
        <w:rPr>
          <w:i/>
          <w:iCs/>
        </w:rPr>
        <w:t>interpretation and agronomic implicatio</w:t>
      </w:r>
      <w:r w:rsidR="00E84DE2" w:rsidRPr="00681DE8">
        <w:rPr>
          <w:i/>
          <w:iCs/>
        </w:rPr>
        <w:t>ns</w:t>
      </w:r>
    </w:p>
    <w:p w14:paraId="36DB9292" w14:textId="4AB0A8BF" w:rsidR="00F84FF1" w:rsidRDefault="003C1DBE" w:rsidP="004D7235">
      <w:pPr>
        <w:jc w:val="both"/>
      </w:pPr>
      <w:r w:rsidRPr="00681DE8">
        <w:lastRenderedPageBreak/>
        <w:t xml:space="preserve">The results collectively demonstrate that the hormonal regulation of sex expression in cucumber is both concentration-dependent and compound-specific. </w:t>
      </w:r>
      <w:proofErr w:type="spellStart"/>
      <w:r w:rsidRPr="00681DE8">
        <w:t>Ethrel</w:t>
      </w:r>
      <w:proofErr w:type="spellEnd"/>
      <w:r w:rsidRPr="00681DE8">
        <w:t xml:space="preserve"> significantly advanced pistillate flower initiation, reduced the nodal position of female flowers, shortened the vegetative phase, 50% flowering and increased female flower abundance, collectively enhancing fruiting potential (</w:t>
      </w:r>
      <w:proofErr w:type="spellStart"/>
      <w:r w:rsidRPr="00681DE8">
        <w:t>Barcenas</w:t>
      </w:r>
      <w:proofErr w:type="spellEnd"/>
      <w:r w:rsidRPr="00681DE8">
        <w:t xml:space="preserve"> Jr </w:t>
      </w:r>
      <w:r w:rsidR="009E1573" w:rsidRPr="00681DE8">
        <w:t>and</w:t>
      </w:r>
      <w:r w:rsidRPr="00681DE8">
        <w:t xml:space="preserve"> </w:t>
      </w:r>
      <w:proofErr w:type="spellStart"/>
      <w:r w:rsidRPr="00681DE8">
        <w:t>Barcenas</w:t>
      </w:r>
      <w:proofErr w:type="spellEnd"/>
      <w:r w:rsidRPr="00681DE8">
        <w:t>, 2023; Yamasaki et al., 2003). These effects align with ethylene’s central role in biasing floral meristems toward femaleness (</w:t>
      </w:r>
      <w:proofErr w:type="spellStart"/>
      <w:r w:rsidRPr="00681DE8">
        <w:t>Alzeaideen</w:t>
      </w:r>
      <w:proofErr w:type="spellEnd"/>
      <w:r w:rsidRPr="00681DE8">
        <w:t xml:space="preserve">, 2022; Manzano </w:t>
      </w:r>
      <w:r w:rsidRPr="00681DE8">
        <w:rPr>
          <w:i/>
          <w:iCs/>
        </w:rPr>
        <w:t>et al</w:t>
      </w:r>
      <w:r w:rsidRPr="00681DE8">
        <w:t>., 2011). Conversely, silver nitrate suppressed ethylene perception, favouring male flower development, a desirable trait for hybrid seed production that requires prolific pollen output (</w:t>
      </w:r>
      <w:proofErr w:type="spellStart"/>
      <w:r w:rsidRPr="00681DE8">
        <w:t>Karakaya</w:t>
      </w:r>
      <w:proofErr w:type="spellEnd"/>
      <w:r w:rsidRPr="00681DE8">
        <w:t xml:space="preserve"> </w:t>
      </w:r>
      <w:r w:rsidR="009E1573" w:rsidRPr="00681DE8">
        <w:t>and</w:t>
      </w:r>
      <w:r w:rsidRPr="00681DE8">
        <w:t xml:space="preserve"> </w:t>
      </w:r>
      <w:proofErr w:type="spellStart"/>
      <w:r w:rsidRPr="00681DE8">
        <w:t>Padem</w:t>
      </w:r>
      <w:proofErr w:type="spellEnd"/>
      <w:r w:rsidRPr="00681DE8">
        <w:t xml:space="preserve">, 2011; Yamasaki </w:t>
      </w:r>
      <w:r w:rsidR="009E1573" w:rsidRPr="00681DE8">
        <w:t>and</w:t>
      </w:r>
      <w:r w:rsidRPr="00681DE8">
        <w:t xml:space="preserve"> Manabe, 2011). GA₃ promoted male flowering and pollen synchrony but delayed female flower emergence and reduced number of pistillate flowers, limiting its use to male flower induction in breeding or specialized cultivation scenarios where vegetative vigour is prioritized over fruit yield (Fu </w:t>
      </w:r>
      <w:r w:rsidRPr="00681DE8">
        <w:rPr>
          <w:i/>
          <w:iCs/>
        </w:rPr>
        <w:t>et al</w:t>
      </w:r>
      <w:r w:rsidRPr="00681DE8">
        <w:t xml:space="preserve">., 2015; Ren </w:t>
      </w:r>
      <w:r w:rsidR="009E1573" w:rsidRPr="00681DE8">
        <w:t>and</w:t>
      </w:r>
      <w:r w:rsidRPr="00681DE8">
        <w:t xml:space="preserve"> Pinheiro, 2022). NAA demonstrated intermediate effects, consistent with its indirect modulation of sex expression via ethylene synthesis pathways. However, its efficacy under the tested dosages was comparatively limited (Alotaibi </w:t>
      </w:r>
      <w:r w:rsidRPr="00681DE8">
        <w:rPr>
          <w:i/>
          <w:iCs/>
        </w:rPr>
        <w:t>et al</w:t>
      </w:r>
      <w:r w:rsidRPr="00681DE8">
        <w:t xml:space="preserve">., 2024; </w:t>
      </w:r>
      <w:proofErr w:type="spellStart"/>
      <w:r w:rsidRPr="00681DE8">
        <w:t>Gosai</w:t>
      </w:r>
      <w:proofErr w:type="spellEnd"/>
      <w:r w:rsidRPr="00681DE8">
        <w:t xml:space="preserve"> </w:t>
      </w:r>
      <w:r w:rsidRPr="00681DE8">
        <w:rPr>
          <w:i/>
          <w:iCs/>
        </w:rPr>
        <w:t>et al</w:t>
      </w:r>
      <w:r w:rsidRPr="00681DE8">
        <w:t>., 2020).</w:t>
      </w:r>
    </w:p>
    <w:p w14:paraId="57EB1A6D" w14:textId="45118783" w:rsidR="00C84114" w:rsidRPr="00681DE8" w:rsidRDefault="00C84114" w:rsidP="004D7235">
      <w:pPr>
        <w:jc w:val="both"/>
      </w:pPr>
      <w:r w:rsidRPr="00C84114">
        <w:t>(Figure 1)</w:t>
      </w:r>
      <w:r>
        <w:t>-</w:t>
      </w:r>
      <w:r w:rsidR="00BE0FCD">
        <w:t>effect of PGRs on flower initiation timing and nodal position</w:t>
      </w:r>
    </w:p>
    <w:p w14:paraId="2D6D0D82" w14:textId="77777777" w:rsidR="00C84114" w:rsidRDefault="00C84114" w:rsidP="004D7235">
      <w:pPr>
        <w:jc w:val="both"/>
        <w:rPr>
          <w:noProof/>
        </w:rPr>
      </w:pPr>
    </w:p>
    <w:p w14:paraId="5FFA53D3" w14:textId="1A6EF300" w:rsidR="00F84FF1" w:rsidRPr="00681DE8" w:rsidRDefault="00F84FF1" w:rsidP="004D7235">
      <w:pPr>
        <w:jc w:val="both"/>
      </w:pPr>
      <w:r w:rsidRPr="00681DE8">
        <w:rPr>
          <w:noProof/>
        </w:rPr>
        <w:drawing>
          <wp:inline distT="0" distB="0" distL="0" distR="0" wp14:anchorId="2E61D9FF" wp14:editId="18AA9EE3">
            <wp:extent cx="6645910" cy="3275965"/>
            <wp:effectExtent l="0" t="0" r="2540" b="635"/>
            <wp:docPr id="770555218"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utput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45910" cy="3275965"/>
                    </a:xfrm>
                    <a:prstGeom prst="rect">
                      <a:avLst/>
                    </a:prstGeom>
                    <a:noFill/>
                    <a:ln>
                      <a:noFill/>
                    </a:ln>
                  </pic:spPr>
                </pic:pic>
              </a:graphicData>
            </a:graphic>
          </wp:inline>
        </w:drawing>
      </w:r>
    </w:p>
    <w:p w14:paraId="223458E5" w14:textId="77777777" w:rsidR="00C84114" w:rsidRDefault="00C84114" w:rsidP="004D7235">
      <w:pPr>
        <w:jc w:val="both"/>
        <w:rPr>
          <w:noProof/>
        </w:rPr>
      </w:pPr>
    </w:p>
    <w:p w14:paraId="77938855" w14:textId="68444128" w:rsidR="00F84FF1" w:rsidRDefault="00F84FF1" w:rsidP="004D7235">
      <w:pPr>
        <w:jc w:val="both"/>
        <w:rPr>
          <w:noProof/>
        </w:rPr>
      </w:pPr>
    </w:p>
    <w:p w14:paraId="55F7C7CE" w14:textId="77777777" w:rsidR="00D711ED" w:rsidRDefault="00D711ED" w:rsidP="004D7235">
      <w:pPr>
        <w:jc w:val="both"/>
      </w:pPr>
    </w:p>
    <w:p w14:paraId="1BF3A974" w14:textId="403B7F22" w:rsidR="00C84114" w:rsidRPr="00681DE8" w:rsidRDefault="00D711ED" w:rsidP="004D7235">
      <w:pPr>
        <w:jc w:val="both"/>
      </w:pPr>
      <w:r w:rsidRPr="00681DE8">
        <w:rPr>
          <w:noProof/>
        </w:rPr>
        <w:lastRenderedPageBreak/>
        <w:drawing>
          <wp:inline distT="0" distB="0" distL="0" distR="0" wp14:anchorId="606C1F11" wp14:editId="4C888F6B">
            <wp:extent cx="5731510" cy="3189405"/>
            <wp:effectExtent l="0" t="0" r="2540" b="0"/>
            <wp:docPr id="378183396"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189405"/>
                    </a:xfrm>
                    <a:prstGeom prst="rect">
                      <a:avLst/>
                    </a:prstGeom>
                    <a:noFill/>
                    <a:ln>
                      <a:noFill/>
                    </a:ln>
                  </pic:spPr>
                </pic:pic>
              </a:graphicData>
            </a:graphic>
          </wp:inline>
        </w:drawing>
      </w:r>
    </w:p>
    <w:p w14:paraId="4C282DB5" w14:textId="52726CD5" w:rsidR="00262816" w:rsidRPr="00681DE8" w:rsidRDefault="00D711ED" w:rsidP="004D7235">
      <w:pPr>
        <w:jc w:val="both"/>
        <w:rPr>
          <w:b/>
          <w:bCs/>
        </w:rPr>
      </w:pPr>
      <w:r w:rsidRPr="00D711ED">
        <w:rPr>
          <w:b/>
          <w:bCs/>
        </w:rPr>
        <w:t>(Figure 2)-</w:t>
      </w:r>
      <w:r>
        <w:rPr>
          <w:b/>
          <w:bCs/>
        </w:rPr>
        <w:t xml:space="preserve"> effect of PGR treatments on flowering characteristics </w:t>
      </w:r>
    </w:p>
    <w:p w14:paraId="46B6F3C4" w14:textId="01386D22" w:rsidR="00E84DE2" w:rsidRPr="00681DE8" w:rsidRDefault="00144543" w:rsidP="00913291">
      <w:pPr>
        <w:pStyle w:val="ListParagraph"/>
        <w:numPr>
          <w:ilvl w:val="0"/>
          <w:numId w:val="19"/>
        </w:numPr>
        <w:jc w:val="both"/>
        <w:rPr>
          <w:b/>
          <w:bCs/>
        </w:rPr>
      </w:pPr>
      <w:r w:rsidRPr="00681DE8">
        <w:rPr>
          <w:b/>
          <w:bCs/>
        </w:rPr>
        <w:t>CONCLUSION</w:t>
      </w:r>
    </w:p>
    <w:p w14:paraId="5A4573A2" w14:textId="128650F3" w:rsidR="007E6C06" w:rsidRPr="00681DE8" w:rsidRDefault="00C25E45" w:rsidP="004D7235">
      <w:pPr>
        <w:jc w:val="both"/>
      </w:pPr>
      <w:r w:rsidRPr="00681DE8">
        <w:t xml:space="preserve">The study demonstrated that GA₃, NAA, </w:t>
      </w:r>
      <w:proofErr w:type="spellStart"/>
      <w:r w:rsidRPr="00681DE8">
        <w:t>AgNO</w:t>
      </w:r>
      <w:proofErr w:type="spellEnd"/>
      <w:r w:rsidRPr="00681DE8">
        <w:t xml:space="preserve">₃ and </w:t>
      </w:r>
      <w:proofErr w:type="spellStart"/>
      <w:r w:rsidRPr="00681DE8">
        <w:t>Ethrel</w:t>
      </w:r>
      <w:proofErr w:type="spellEnd"/>
      <w:r w:rsidRPr="00681DE8">
        <w:t xml:space="preserve"> significantly influenced sex expression in cucumber plants through changes in flowering behaviour and sex ratios. </w:t>
      </w:r>
      <w:proofErr w:type="spellStart"/>
      <w:r w:rsidRPr="00681DE8">
        <w:t>Ethrel</w:t>
      </w:r>
      <w:proofErr w:type="spellEnd"/>
      <w:r w:rsidRPr="00681DE8">
        <w:t xml:space="preserve"> and NAA induced early initiation of female flowers and elevated female-to-male ratios, while GA₃ and </w:t>
      </w:r>
      <w:proofErr w:type="spellStart"/>
      <w:r w:rsidRPr="00681DE8">
        <w:t>AgNO</w:t>
      </w:r>
      <w:proofErr w:type="spellEnd"/>
      <w:r w:rsidRPr="00681DE8">
        <w:t>₃ promoted male traits and delayed flower development. These results highlighted how targeted hormonal interventions shaped floral dynamics effectively. Utilizing such plant growth regulators ha</w:t>
      </w:r>
      <w:r w:rsidR="00D10432" w:rsidRPr="00681DE8">
        <w:t>s</w:t>
      </w:r>
      <w:r w:rsidRPr="00681DE8">
        <w:t xml:space="preserve"> proven valuable for strategic crop planning, hybrid seed production, enhanced yield outcomes and optimizing cucumber cultivation practices</w:t>
      </w:r>
      <w:r w:rsidR="00953CBA" w:rsidRPr="00681DE8">
        <w:t>.</w:t>
      </w:r>
    </w:p>
    <w:p w14:paraId="59C2FA4F" w14:textId="77777777" w:rsidR="0033711B" w:rsidRPr="00681DE8" w:rsidRDefault="0033711B" w:rsidP="004D7235">
      <w:pPr>
        <w:jc w:val="both"/>
      </w:pPr>
      <w:bookmarkStart w:id="0" w:name="_GoBack"/>
      <w:bookmarkEnd w:id="0"/>
    </w:p>
    <w:p w14:paraId="2C7D8A8E" w14:textId="0FE66A28" w:rsidR="0033711B" w:rsidRPr="00681DE8" w:rsidRDefault="00A5622B" w:rsidP="004D7235">
      <w:pPr>
        <w:pStyle w:val="ListParagraph"/>
        <w:ind w:left="1094"/>
        <w:jc w:val="both"/>
      </w:pPr>
      <w:r w:rsidRPr="00681DE8">
        <w:rPr>
          <w:b/>
          <w:bCs/>
        </w:rPr>
        <w:t>REFERENCES</w:t>
      </w:r>
    </w:p>
    <w:p w14:paraId="4468BC09" w14:textId="77777777" w:rsidR="00836B64" w:rsidRPr="00681DE8" w:rsidRDefault="00836B64" w:rsidP="004D7235">
      <w:pPr>
        <w:pStyle w:val="ListParagraph"/>
        <w:ind w:left="1094"/>
        <w:jc w:val="both"/>
      </w:pPr>
    </w:p>
    <w:p w14:paraId="3BC38EAB"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Adhikari, S., Bandyopadhyay, T. K. and Ghosh, P. (2012). Hormonal control of sex expression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with the identification of sex-linked molecular markers. </w:t>
      </w:r>
      <w:r w:rsidRPr="00681DE8">
        <w:rPr>
          <w:rFonts w:eastAsia="Times New Roman" w:cs="Times New Roman"/>
          <w:i/>
          <w:iCs/>
          <w:kern w:val="0"/>
          <w:szCs w:val="24"/>
          <w:lang w:eastAsia="en-IN"/>
          <w14:ligatures w14:val="none"/>
        </w:rPr>
        <w:t>Nucleus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55</w:t>
      </w:r>
      <w:r w:rsidRPr="00681DE8">
        <w:rPr>
          <w:rFonts w:eastAsia="Times New Roman" w:cs="Times New Roman"/>
          <w:kern w:val="0"/>
          <w:szCs w:val="24"/>
          <w:lang w:eastAsia="en-IN"/>
          <w14:ligatures w14:val="none"/>
        </w:rPr>
        <w:t>(2): 115–122.</w:t>
      </w:r>
    </w:p>
    <w:p w14:paraId="58451CF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Alotaibi, M. M., Nagy, M., </w:t>
      </w:r>
      <w:proofErr w:type="spellStart"/>
      <w:r w:rsidRPr="00681DE8">
        <w:rPr>
          <w:rFonts w:eastAsia="Times New Roman" w:cs="Times New Roman"/>
          <w:kern w:val="0"/>
          <w:szCs w:val="24"/>
          <w:lang w:eastAsia="en-IN"/>
          <w14:ligatures w14:val="none"/>
        </w:rPr>
        <w:t>Almuziny</w:t>
      </w:r>
      <w:proofErr w:type="spellEnd"/>
      <w:r w:rsidRPr="00681DE8">
        <w:rPr>
          <w:rFonts w:eastAsia="Times New Roman" w:cs="Times New Roman"/>
          <w:kern w:val="0"/>
          <w:szCs w:val="24"/>
          <w:lang w:eastAsia="en-IN"/>
          <w14:ligatures w14:val="none"/>
        </w:rPr>
        <w:t xml:space="preserve">, M., </w:t>
      </w:r>
      <w:proofErr w:type="spellStart"/>
      <w:r w:rsidRPr="00681DE8">
        <w:rPr>
          <w:rFonts w:eastAsia="Times New Roman" w:cs="Times New Roman"/>
          <w:kern w:val="0"/>
          <w:szCs w:val="24"/>
          <w:lang w:eastAsia="en-IN"/>
          <w14:ligatures w14:val="none"/>
        </w:rPr>
        <w:t>Alsubeie</w:t>
      </w:r>
      <w:proofErr w:type="spellEnd"/>
      <w:r w:rsidRPr="00681DE8">
        <w:rPr>
          <w:rFonts w:eastAsia="Times New Roman" w:cs="Times New Roman"/>
          <w:kern w:val="0"/>
          <w:szCs w:val="24"/>
          <w:lang w:eastAsia="en-IN"/>
          <w14:ligatures w14:val="none"/>
        </w:rPr>
        <w:t>, M. S., Abo-</w:t>
      </w:r>
      <w:proofErr w:type="spellStart"/>
      <w:r w:rsidRPr="00681DE8">
        <w:rPr>
          <w:rFonts w:eastAsia="Times New Roman" w:cs="Times New Roman"/>
          <w:kern w:val="0"/>
          <w:szCs w:val="24"/>
          <w:lang w:eastAsia="en-IN"/>
          <w14:ligatures w14:val="none"/>
        </w:rPr>
        <w:t>Zeid</w:t>
      </w:r>
      <w:proofErr w:type="spellEnd"/>
      <w:r w:rsidRPr="00681DE8">
        <w:rPr>
          <w:rFonts w:eastAsia="Times New Roman" w:cs="Times New Roman"/>
          <w:kern w:val="0"/>
          <w:szCs w:val="24"/>
          <w:lang w:eastAsia="en-IN"/>
          <w14:ligatures w14:val="none"/>
        </w:rPr>
        <w:t xml:space="preserve">, A., </w:t>
      </w:r>
      <w:proofErr w:type="spellStart"/>
      <w:r w:rsidRPr="00681DE8">
        <w:rPr>
          <w:rFonts w:eastAsia="Times New Roman" w:cs="Times New Roman"/>
          <w:kern w:val="0"/>
          <w:szCs w:val="24"/>
          <w:lang w:eastAsia="en-IN"/>
          <w14:ligatures w14:val="none"/>
        </w:rPr>
        <w:t>Alzuaibr</w:t>
      </w:r>
      <w:proofErr w:type="spellEnd"/>
      <w:r w:rsidRPr="00681DE8">
        <w:rPr>
          <w:rFonts w:eastAsia="Times New Roman" w:cs="Times New Roman"/>
          <w:kern w:val="0"/>
          <w:szCs w:val="24"/>
          <w:lang w:eastAsia="en-IN"/>
          <w14:ligatures w14:val="none"/>
        </w:rPr>
        <w:t xml:space="preserve">, F. M., </w:t>
      </w:r>
      <w:proofErr w:type="spellStart"/>
      <w:r w:rsidRPr="00681DE8">
        <w:rPr>
          <w:rFonts w:eastAsia="Times New Roman" w:cs="Times New Roman"/>
          <w:kern w:val="0"/>
          <w:szCs w:val="24"/>
          <w:lang w:eastAsia="en-IN"/>
          <w14:ligatures w14:val="none"/>
        </w:rPr>
        <w:t>Alasmari</w:t>
      </w:r>
      <w:proofErr w:type="spellEnd"/>
      <w:r w:rsidRPr="00681DE8">
        <w:rPr>
          <w:rFonts w:eastAsia="Times New Roman" w:cs="Times New Roman"/>
          <w:kern w:val="0"/>
          <w:szCs w:val="24"/>
          <w:lang w:eastAsia="en-IN"/>
          <w14:ligatures w14:val="none"/>
        </w:rPr>
        <w:t xml:space="preserve">, A., </w:t>
      </w:r>
      <w:proofErr w:type="spellStart"/>
      <w:r w:rsidRPr="00681DE8">
        <w:rPr>
          <w:rFonts w:eastAsia="Times New Roman" w:cs="Times New Roman"/>
          <w:kern w:val="0"/>
          <w:szCs w:val="24"/>
          <w:lang w:eastAsia="en-IN"/>
          <w14:ligatures w14:val="none"/>
        </w:rPr>
        <w:t>Albalawi</w:t>
      </w:r>
      <w:proofErr w:type="spellEnd"/>
      <w:r w:rsidRPr="00681DE8">
        <w:rPr>
          <w:rFonts w:eastAsia="Times New Roman" w:cs="Times New Roman"/>
          <w:kern w:val="0"/>
          <w:szCs w:val="24"/>
          <w:lang w:eastAsia="en-IN"/>
          <w14:ligatures w14:val="none"/>
        </w:rPr>
        <w:t>, B. F. A., Abd-</w:t>
      </w:r>
      <w:proofErr w:type="spellStart"/>
      <w:r w:rsidRPr="00681DE8">
        <w:rPr>
          <w:rFonts w:eastAsia="Times New Roman" w:cs="Times New Roman"/>
          <w:kern w:val="0"/>
          <w:szCs w:val="24"/>
          <w:lang w:eastAsia="en-IN"/>
          <w14:ligatures w14:val="none"/>
        </w:rPr>
        <w:t>Elwahed</w:t>
      </w:r>
      <w:proofErr w:type="spellEnd"/>
      <w:r w:rsidRPr="00681DE8">
        <w:rPr>
          <w:rFonts w:eastAsia="Times New Roman" w:cs="Times New Roman"/>
          <w:kern w:val="0"/>
          <w:szCs w:val="24"/>
          <w:lang w:eastAsia="en-IN"/>
          <w14:ligatures w14:val="none"/>
        </w:rPr>
        <w:t xml:space="preserve">, A., Ismail, K. A. and </w:t>
      </w:r>
      <w:proofErr w:type="spellStart"/>
      <w:r w:rsidRPr="00681DE8">
        <w:rPr>
          <w:rFonts w:eastAsia="Times New Roman" w:cs="Times New Roman"/>
          <w:kern w:val="0"/>
          <w:szCs w:val="24"/>
          <w:lang w:eastAsia="en-IN"/>
          <w14:ligatures w14:val="none"/>
        </w:rPr>
        <w:t>Awad</w:t>
      </w:r>
      <w:proofErr w:type="spellEnd"/>
      <w:r w:rsidRPr="00681DE8">
        <w:rPr>
          <w:rFonts w:eastAsia="Times New Roman" w:cs="Times New Roman"/>
          <w:kern w:val="0"/>
          <w:szCs w:val="24"/>
          <w:lang w:eastAsia="en-IN"/>
          <w14:ligatures w14:val="none"/>
        </w:rPr>
        <w:t>-Allah, M. M. A. (2024). The effect of foliar application with naphthalene acetic acid and potassium nitrate on the growth, sex ratio, and productivity of cucumbers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under high temperatures in semi-arid areas. </w:t>
      </w:r>
      <w:r w:rsidRPr="00681DE8">
        <w:rPr>
          <w:rFonts w:eastAsia="Times New Roman" w:cs="Times New Roman"/>
          <w:i/>
          <w:iCs/>
          <w:kern w:val="0"/>
          <w:szCs w:val="24"/>
          <w:lang w:eastAsia="en-IN"/>
          <w14:ligatures w14:val="none"/>
        </w:rPr>
        <w:t>Agronomy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14</w:t>
      </w:r>
      <w:r w:rsidRPr="00681DE8">
        <w:rPr>
          <w:rFonts w:eastAsia="Times New Roman" w:cs="Times New Roman"/>
          <w:kern w:val="0"/>
          <w:szCs w:val="24"/>
          <w:lang w:eastAsia="en-IN"/>
          <w14:ligatures w14:val="none"/>
        </w:rPr>
        <w:t>(6): 1202.</w:t>
      </w:r>
    </w:p>
    <w:p w14:paraId="6E764B89"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Alzeaideen</w:t>
      </w:r>
      <w:proofErr w:type="spellEnd"/>
      <w:r w:rsidRPr="00681DE8">
        <w:rPr>
          <w:rFonts w:eastAsia="Times New Roman" w:cs="Times New Roman"/>
          <w:kern w:val="0"/>
          <w:szCs w:val="24"/>
          <w:lang w:eastAsia="en-IN"/>
          <w14:ligatures w14:val="none"/>
        </w:rPr>
        <w:t xml:space="preserve">, K. (2022). Ethylene plays a dual role in sex determination and fruit shape in cucurbits. </w:t>
      </w:r>
      <w:r w:rsidRPr="00681DE8">
        <w:rPr>
          <w:rFonts w:eastAsia="Times New Roman" w:cs="Times New Roman"/>
          <w:i/>
          <w:iCs/>
          <w:kern w:val="0"/>
          <w:szCs w:val="24"/>
          <w:lang w:eastAsia="en-IN"/>
          <w14:ligatures w14:val="none"/>
        </w:rPr>
        <w:t>Current Biology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32</w:t>
      </w:r>
      <w:r w:rsidRPr="00681DE8">
        <w:rPr>
          <w:rFonts w:eastAsia="Times New Roman" w:cs="Times New Roman"/>
          <w:kern w:val="0"/>
          <w:szCs w:val="24"/>
          <w:lang w:eastAsia="en-IN"/>
          <w14:ligatures w14:val="none"/>
        </w:rPr>
        <w:t>(11): 2390–2401.</w:t>
      </w:r>
    </w:p>
    <w:p w14:paraId="4B3CABF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Barcenas</w:t>
      </w:r>
      <w:proofErr w:type="spellEnd"/>
      <w:r w:rsidRPr="00681DE8">
        <w:rPr>
          <w:rFonts w:eastAsia="Times New Roman" w:cs="Times New Roman"/>
          <w:kern w:val="0"/>
          <w:szCs w:val="24"/>
          <w:lang w:eastAsia="en-IN"/>
          <w14:ligatures w14:val="none"/>
        </w:rPr>
        <w:t xml:space="preserve"> Jr, G. A. and </w:t>
      </w:r>
      <w:proofErr w:type="spellStart"/>
      <w:r w:rsidRPr="00681DE8">
        <w:rPr>
          <w:rFonts w:eastAsia="Times New Roman" w:cs="Times New Roman"/>
          <w:kern w:val="0"/>
          <w:szCs w:val="24"/>
          <w:lang w:eastAsia="en-IN"/>
          <w14:ligatures w14:val="none"/>
        </w:rPr>
        <w:t>Barcenas</w:t>
      </w:r>
      <w:proofErr w:type="spellEnd"/>
      <w:r w:rsidRPr="00681DE8">
        <w:rPr>
          <w:rFonts w:eastAsia="Times New Roman" w:cs="Times New Roman"/>
          <w:kern w:val="0"/>
          <w:szCs w:val="24"/>
          <w:lang w:eastAsia="en-IN"/>
          <w14:ligatures w14:val="none"/>
        </w:rPr>
        <w:t xml:space="preserve">, L. M. I. (2023). Vegetative growth characteristics and flower sex expression of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affected by exogenous application of plant growth regulators. </w:t>
      </w:r>
      <w:proofErr w:type="spellStart"/>
      <w:r w:rsidRPr="00681DE8">
        <w:rPr>
          <w:rFonts w:eastAsia="Times New Roman" w:cs="Times New Roman"/>
          <w:i/>
          <w:iCs/>
          <w:kern w:val="0"/>
          <w:szCs w:val="24"/>
          <w:lang w:eastAsia="en-IN"/>
          <w14:ligatures w14:val="none"/>
        </w:rPr>
        <w:t>Sarhad</w:t>
      </w:r>
      <w:proofErr w:type="spellEnd"/>
      <w:r w:rsidRPr="00681DE8">
        <w:rPr>
          <w:rFonts w:eastAsia="Times New Roman" w:cs="Times New Roman"/>
          <w:i/>
          <w:iCs/>
          <w:kern w:val="0"/>
          <w:szCs w:val="24"/>
          <w:lang w:eastAsia="en-IN"/>
          <w14:ligatures w14:val="none"/>
        </w:rPr>
        <w:t xml:space="preserve"> Journal of Agriculture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39</w:t>
      </w:r>
      <w:r w:rsidRPr="00681DE8">
        <w:rPr>
          <w:rFonts w:eastAsia="Times New Roman" w:cs="Times New Roman"/>
          <w:kern w:val="0"/>
          <w:szCs w:val="24"/>
          <w:lang w:eastAsia="en-IN"/>
          <w14:ligatures w14:val="none"/>
        </w:rPr>
        <w:t>(4): 815–822.</w:t>
      </w:r>
    </w:p>
    <w:p w14:paraId="719F3EC2"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Barsoom</w:t>
      </w:r>
      <w:proofErr w:type="spellEnd"/>
      <w:r w:rsidRPr="00681DE8">
        <w:rPr>
          <w:rFonts w:eastAsia="Times New Roman" w:cs="Times New Roman"/>
          <w:kern w:val="0"/>
          <w:szCs w:val="24"/>
          <w:lang w:eastAsia="en-IN"/>
          <w14:ligatures w14:val="none"/>
        </w:rPr>
        <w:t xml:space="preserve">, M. A. and </w:t>
      </w:r>
      <w:proofErr w:type="spellStart"/>
      <w:r w:rsidRPr="00681DE8">
        <w:rPr>
          <w:rFonts w:eastAsia="Times New Roman" w:cs="Times New Roman"/>
          <w:kern w:val="0"/>
          <w:szCs w:val="24"/>
          <w:lang w:eastAsia="en-IN"/>
          <w14:ligatures w14:val="none"/>
        </w:rPr>
        <w:t>Attala</w:t>
      </w:r>
      <w:proofErr w:type="spellEnd"/>
      <w:r w:rsidRPr="00681DE8">
        <w:rPr>
          <w:rFonts w:eastAsia="Times New Roman" w:cs="Times New Roman"/>
          <w:kern w:val="0"/>
          <w:szCs w:val="24"/>
          <w:lang w:eastAsia="en-IN"/>
          <w14:ligatures w14:val="none"/>
        </w:rPr>
        <w:t xml:space="preserve">, M. A. (2020). Effect of </w:t>
      </w:r>
      <w:proofErr w:type="spellStart"/>
      <w:r w:rsidRPr="00681DE8">
        <w:rPr>
          <w:rFonts w:eastAsia="Times New Roman" w:cs="Times New Roman"/>
          <w:kern w:val="0"/>
          <w:szCs w:val="24"/>
          <w:lang w:eastAsia="en-IN"/>
          <w14:ligatures w14:val="none"/>
        </w:rPr>
        <w:t>ethrel</w:t>
      </w:r>
      <w:proofErr w:type="spellEnd"/>
      <w:r w:rsidRPr="00681DE8">
        <w:rPr>
          <w:rFonts w:eastAsia="Times New Roman" w:cs="Times New Roman"/>
          <w:kern w:val="0"/>
          <w:szCs w:val="24"/>
          <w:lang w:eastAsia="en-IN"/>
          <w14:ligatures w14:val="none"/>
        </w:rPr>
        <w:t xml:space="preserve"> and gibberellic acid on growth, flowering, sex ratio and yield of luffa plant. </w:t>
      </w:r>
      <w:r w:rsidRPr="00681DE8">
        <w:rPr>
          <w:rFonts w:eastAsia="Times New Roman" w:cs="Times New Roman"/>
          <w:i/>
          <w:iCs/>
          <w:kern w:val="0"/>
          <w:szCs w:val="24"/>
          <w:lang w:eastAsia="en-IN"/>
          <w14:ligatures w14:val="none"/>
        </w:rPr>
        <w:t>Middle East Journal of Agriculture Research</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9</w:t>
      </w:r>
      <w:r w:rsidRPr="00681DE8">
        <w:rPr>
          <w:rFonts w:eastAsia="Times New Roman" w:cs="Times New Roman"/>
          <w:kern w:val="0"/>
          <w:szCs w:val="24"/>
          <w:lang w:eastAsia="en-IN"/>
          <w14:ligatures w14:val="none"/>
        </w:rPr>
        <w:t>(4): 984–993.</w:t>
      </w:r>
    </w:p>
    <w:p w14:paraId="0537929D"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Chen, L., </w:t>
      </w:r>
      <w:proofErr w:type="spellStart"/>
      <w:r w:rsidRPr="00681DE8">
        <w:rPr>
          <w:rFonts w:eastAsia="Times New Roman" w:cs="Times New Roman"/>
          <w:kern w:val="0"/>
          <w:szCs w:val="24"/>
          <w:lang w:eastAsia="en-IN"/>
          <w14:ligatures w14:val="none"/>
        </w:rPr>
        <w:t>Qiu</w:t>
      </w:r>
      <w:proofErr w:type="spellEnd"/>
      <w:r w:rsidRPr="00681DE8">
        <w:rPr>
          <w:rFonts w:eastAsia="Times New Roman" w:cs="Times New Roman"/>
          <w:kern w:val="0"/>
          <w:szCs w:val="24"/>
          <w:lang w:eastAsia="en-IN"/>
          <w14:ligatures w14:val="none"/>
        </w:rPr>
        <w:t xml:space="preserve">, Z., Dong, J., Bu, R., Yu, Z., Wang, H. and Hu, L. (2025). </w:t>
      </w:r>
      <w:proofErr w:type="spellStart"/>
      <w:r w:rsidRPr="00681DE8">
        <w:rPr>
          <w:rFonts w:eastAsia="Times New Roman" w:cs="Times New Roman"/>
          <w:kern w:val="0"/>
          <w:szCs w:val="24"/>
          <w:lang w:eastAsia="en-IN"/>
          <w14:ligatures w14:val="none"/>
        </w:rPr>
        <w:t>CsPHYB</w:t>
      </w:r>
      <w:proofErr w:type="spellEnd"/>
      <w:r w:rsidRPr="00681DE8">
        <w:rPr>
          <w:rFonts w:eastAsia="Times New Roman" w:cs="Times New Roman"/>
          <w:kern w:val="0"/>
          <w:szCs w:val="24"/>
          <w:lang w:eastAsia="en-IN"/>
          <w14:ligatures w14:val="none"/>
        </w:rPr>
        <w:t>–CsPIF3/4 regulates hypocotyl elongation by coordinating the auxin and gibberellin biosynthetic pathways in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Plants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14</w:t>
      </w:r>
      <w:r w:rsidRPr="00681DE8">
        <w:rPr>
          <w:rFonts w:eastAsia="Times New Roman" w:cs="Times New Roman"/>
          <w:kern w:val="0"/>
          <w:szCs w:val="24"/>
          <w:lang w:eastAsia="en-IN"/>
          <w14:ligatures w14:val="none"/>
        </w:rPr>
        <w:t>(3): 371.</w:t>
      </w:r>
    </w:p>
    <w:p w14:paraId="40004782"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lastRenderedPageBreak/>
        <w:t>Daryono</w:t>
      </w:r>
      <w:proofErr w:type="spellEnd"/>
      <w:r w:rsidRPr="00681DE8">
        <w:rPr>
          <w:rFonts w:eastAsia="Times New Roman" w:cs="Times New Roman"/>
          <w:kern w:val="0"/>
          <w:szCs w:val="24"/>
          <w:lang w:eastAsia="en-IN"/>
          <w14:ligatures w14:val="none"/>
        </w:rPr>
        <w:t xml:space="preserve">, B. S., </w:t>
      </w:r>
      <w:proofErr w:type="spellStart"/>
      <w:r w:rsidRPr="00681DE8">
        <w:rPr>
          <w:rFonts w:eastAsia="Times New Roman" w:cs="Times New Roman"/>
          <w:kern w:val="0"/>
          <w:szCs w:val="24"/>
          <w:lang w:eastAsia="en-IN"/>
          <w14:ligatures w14:val="none"/>
        </w:rPr>
        <w:t>Prasetya</w:t>
      </w:r>
      <w:proofErr w:type="spellEnd"/>
      <w:r w:rsidRPr="00681DE8">
        <w:rPr>
          <w:rFonts w:eastAsia="Times New Roman" w:cs="Times New Roman"/>
          <w:kern w:val="0"/>
          <w:szCs w:val="24"/>
          <w:lang w:eastAsia="en-IN"/>
          <w14:ligatures w14:val="none"/>
        </w:rPr>
        <w:t xml:space="preserve">, E., </w:t>
      </w:r>
      <w:proofErr w:type="spellStart"/>
      <w:r w:rsidRPr="00681DE8">
        <w:rPr>
          <w:rFonts w:eastAsia="Times New Roman" w:cs="Times New Roman"/>
          <w:kern w:val="0"/>
          <w:szCs w:val="24"/>
          <w:lang w:eastAsia="en-IN"/>
          <w14:ligatures w14:val="none"/>
        </w:rPr>
        <w:t>Sumarlina</w:t>
      </w:r>
      <w:proofErr w:type="spellEnd"/>
      <w:r w:rsidRPr="00681DE8">
        <w:rPr>
          <w:rFonts w:eastAsia="Times New Roman" w:cs="Times New Roman"/>
          <w:kern w:val="0"/>
          <w:szCs w:val="24"/>
          <w:lang w:eastAsia="en-IN"/>
          <w14:ligatures w14:val="none"/>
        </w:rPr>
        <w:t xml:space="preserve">, S. D. and </w:t>
      </w:r>
      <w:proofErr w:type="spellStart"/>
      <w:r w:rsidRPr="00681DE8">
        <w:rPr>
          <w:rFonts w:eastAsia="Times New Roman" w:cs="Times New Roman"/>
          <w:kern w:val="0"/>
          <w:szCs w:val="24"/>
          <w:lang w:eastAsia="en-IN"/>
          <w14:ligatures w14:val="none"/>
        </w:rPr>
        <w:t>Subiastuti</w:t>
      </w:r>
      <w:proofErr w:type="spellEnd"/>
      <w:r w:rsidRPr="00681DE8">
        <w:rPr>
          <w:rFonts w:eastAsia="Times New Roman" w:cs="Times New Roman"/>
          <w:kern w:val="0"/>
          <w:szCs w:val="24"/>
          <w:lang w:eastAsia="en-IN"/>
          <w14:ligatures w14:val="none"/>
        </w:rPr>
        <w:t xml:space="preserve">, A. S. (2018). The effect of </w:t>
      </w:r>
      <w:proofErr w:type="spellStart"/>
      <w:r w:rsidRPr="00681DE8">
        <w:rPr>
          <w:rFonts w:eastAsia="Times New Roman" w:cs="Times New Roman"/>
          <w:kern w:val="0"/>
          <w:szCs w:val="24"/>
          <w:lang w:eastAsia="en-IN"/>
          <w14:ligatures w14:val="none"/>
        </w:rPr>
        <w:t>ethepon</w:t>
      </w:r>
      <w:proofErr w:type="spellEnd"/>
      <w:r w:rsidRPr="00681DE8">
        <w:rPr>
          <w:rFonts w:eastAsia="Times New Roman" w:cs="Times New Roman"/>
          <w:kern w:val="0"/>
          <w:szCs w:val="24"/>
          <w:lang w:eastAsia="en-IN"/>
          <w14:ligatures w14:val="none"/>
        </w:rPr>
        <w:t xml:space="preserve"> treatment on the formation of flower in melon (</w:t>
      </w:r>
      <w:r w:rsidRPr="00681DE8">
        <w:rPr>
          <w:rFonts w:eastAsia="Times New Roman" w:cs="Times New Roman"/>
          <w:i/>
          <w:iCs/>
          <w:kern w:val="0"/>
          <w:szCs w:val="24"/>
          <w:lang w:eastAsia="en-IN"/>
          <w14:ligatures w14:val="none"/>
        </w:rPr>
        <w:t xml:space="preserve">Cucumis </w:t>
      </w:r>
      <w:proofErr w:type="spellStart"/>
      <w:r w:rsidRPr="00681DE8">
        <w:rPr>
          <w:rFonts w:eastAsia="Times New Roman" w:cs="Times New Roman"/>
          <w:i/>
          <w:iCs/>
          <w:kern w:val="0"/>
          <w:szCs w:val="24"/>
          <w:lang w:eastAsia="en-IN"/>
          <w14:ligatures w14:val="none"/>
        </w:rPr>
        <w:t>melo</w:t>
      </w:r>
      <w:proofErr w:type="spellEnd"/>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Proceedings of the 2nd International Conference on Tropical Agriculture</w:t>
      </w:r>
      <w:r w:rsidRPr="00681DE8">
        <w:rPr>
          <w:rFonts w:eastAsia="Times New Roman" w:cs="Times New Roman"/>
          <w:kern w:val="0"/>
          <w:szCs w:val="24"/>
          <w:lang w:eastAsia="en-IN"/>
          <w14:ligatures w14:val="none"/>
        </w:rPr>
        <w:t>: 7–13.</w:t>
      </w:r>
    </w:p>
    <w:p w14:paraId="65C42216"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Fajri</w:t>
      </w:r>
      <w:proofErr w:type="spellEnd"/>
      <w:r w:rsidRPr="00681DE8">
        <w:rPr>
          <w:rFonts w:eastAsia="Times New Roman" w:cs="Times New Roman"/>
          <w:kern w:val="0"/>
          <w:szCs w:val="24"/>
          <w:lang w:eastAsia="en-IN"/>
          <w14:ligatures w14:val="none"/>
        </w:rPr>
        <w:t xml:space="preserve">, S. N., </w:t>
      </w:r>
      <w:proofErr w:type="spellStart"/>
      <w:r w:rsidRPr="00681DE8">
        <w:rPr>
          <w:rFonts w:eastAsia="Times New Roman" w:cs="Times New Roman"/>
          <w:kern w:val="0"/>
          <w:szCs w:val="24"/>
          <w:lang w:eastAsia="en-IN"/>
          <w14:ligatures w14:val="none"/>
        </w:rPr>
        <w:t>Sutari</w:t>
      </w:r>
      <w:proofErr w:type="spellEnd"/>
      <w:r w:rsidRPr="00681DE8">
        <w:rPr>
          <w:rFonts w:eastAsia="Times New Roman" w:cs="Times New Roman"/>
          <w:kern w:val="0"/>
          <w:szCs w:val="24"/>
          <w:lang w:eastAsia="en-IN"/>
          <w14:ligatures w14:val="none"/>
        </w:rPr>
        <w:t>, W. and Hamdani, J. S. (2022). Growth, yield, and fruit quality responses of three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varieties to different ethephon concentrations. </w:t>
      </w:r>
      <w:r w:rsidRPr="00681DE8">
        <w:rPr>
          <w:rFonts w:eastAsia="Times New Roman" w:cs="Times New Roman"/>
          <w:i/>
          <w:iCs/>
          <w:kern w:val="0"/>
          <w:szCs w:val="24"/>
          <w:lang w:eastAsia="en-IN"/>
          <w14:ligatures w14:val="none"/>
        </w:rPr>
        <w:t>Emirates Journal of Food and Agriculture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34</w:t>
      </w:r>
      <w:r w:rsidRPr="00681DE8">
        <w:rPr>
          <w:rFonts w:eastAsia="Times New Roman" w:cs="Times New Roman"/>
          <w:kern w:val="0"/>
          <w:szCs w:val="24"/>
          <w:lang w:eastAsia="en-IN"/>
          <w14:ligatures w14:val="none"/>
        </w:rPr>
        <w:t>(1): 1–8.</w:t>
      </w:r>
    </w:p>
    <w:p w14:paraId="305C9A5B"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Fu, X., Gao, X. and Liu, X. (2015). Integration of ethylene and gibberellin signalling. In: </w:t>
      </w:r>
      <w:r w:rsidRPr="00681DE8">
        <w:rPr>
          <w:rFonts w:eastAsia="Times New Roman" w:cs="Times New Roman"/>
          <w:i/>
          <w:iCs/>
          <w:kern w:val="0"/>
          <w:szCs w:val="24"/>
          <w:lang w:eastAsia="en-IN"/>
          <w14:ligatures w14:val="none"/>
        </w:rPr>
        <w:t>Ethylene and Auxin Signal Integration</w:t>
      </w:r>
      <w:r w:rsidRPr="00681DE8">
        <w:rPr>
          <w:rFonts w:eastAsia="Times New Roman" w:cs="Times New Roman"/>
          <w:kern w:val="0"/>
          <w:szCs w:val="24"/>
          <w:lang w:eastAsia="en-IN"/>
          <w14:ligatures w14:val="none"/>
        </w:rPr>
        <w:t>: 153–173. Springer, Dordrecht.</w:t>
      </w:r>
    </w:p>
    <w:p w14:paraId="6B9A7244"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Gosai</w:t>
      </w:r>
      <w:proofErr w:type="spellEnd"/>
      <w:r w:rsidRPr="00681DE8">
        <w:rPr>
          <w:rFonts w:eastAsia="Times New Roman" w:cs="Times New Roman"/>
          <w:kern w:val="0"/>
          <w:szCs w:val="24"/>
          <w:lang w:eastAsia="en-IN"/>
          <w14:ligatures w14:val="none"/>
        </w:rPr>
        <w:t xml:space="preserve">, S., Adhikari, S., </w:t>
      </w:r>
      <w:proofErr w:type="spellStart"/>
      <w:r w:rsidRPr="00681DE8">
        <w:rPr>
          <w:rFonts w:eastAsia="Times New Roman" w:cs="Times New Roman"/>
          <w:kern w:val="0"/>
          <w:szCs w:val="24"/>
          <w:lang w:eastAsia="en-IN"/>
          <w14:ligatures w14:val="none"/>
        </w:rPr>
        <w:t>Khanal</w:t>
      </w:r>
      <w:proofErr w:type="spellEnd"/>
      <w:r w:rsidRPr="00681DE8">
        <w:rPr>
          <w:rFonts w:eastAsia="Times New Roman" w:cs="Times New Roman"/>
          <w:kern w:val="0"/>
          <w:szCs w:val="24"/>
          <w:lang w:eastAsia="en-IN"/>
          <w14:ligatures w14:val="none"/>
        </w:rPr>
        <w:t>, S. and Poudel, P. B. (2020). Effects of plant growth regulators on growth, flowering, fruiting and fruit yield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A review. </w:t>
      </w:r>
      <w:r w:rsidRPr="00681DE8">
        <w:rPr>
          <w:rFonts w:eastAsia="Times New Roman" w:cs="Times New Roman"/>
          <w:i/>
          <w:iCs/>
          <w:kern w:val="0"/>
          <w:szCs w:val="24"/>
          <w:lang w:eastAsia="en-IN"/>
          <w14:ligatures w14:val="none"/>
        </w:rPr>
        <w:t>Archives of Agriculture and Environmental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5</w:t>
      </w:r>
      <w:r w:rsidRPr="00681DE8">
        <w:rPr>
          <w:rFonts w:eastAsia="Times New Roman" w:cs="Times New Roman"/>
          <w:kern w:val="0"/>
          <w:szCs w:val="24"/>
          <w:lang w:eastAsia="en-IN"/>
          <w14:ligatures w14:val="none"/>
        </w:rPr>
        <w:t>(3): 268–274.</w:t>
      </w:r>
    </w:p>
    <w:p w14:paraId="1F1E9969"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Jonoubi</w:t>
      </w:r>
      <w:proofErr w:type="spellEnd"/>
      <w:r w:rsidRPr="00681DE8">
        <w:rPr>
          <w:rFonts w:eastAsia="Times New Roman" w:cs="Times New Roman"/>
          <w:kern w:val="0"/>
          <w:szCs w:val="24"/>
          <w:lang w:eastAsia="en-IN"/>
          <w14:ligatures w14:val="none"/>
        </w:rPr>
        <w:t xml:space="preserve">, P. and </w:t>
      </w:r>
      <w:proofErr w:type="spellStart"/>
      <w:r w:rsidRPr="00681DE8">
        <w:rPr>
          <w:rFonts w:eastAsia="Times New Roman" w:cs="Times New Roman"/>
          <w:kern w:val="0"/>
          <w:szCs w:val="24"/>
          <w:lang w:eastAsia="en-IN"/>
          <w14:ligatures w14:val="none"/>
        </w:rPr>
        <w:t>Arang</w:t>
      </w:r>
      <w:proofErr w:type="spellEnd"/>
      <w:r w:rsidRPr="00681DE8">
        <w:rPr>
          <w:rFonts w:eastAsia="Times New Roman" w:cs="Times New Roman"/>
          <w:kern w:val="0"/>
          <w:szCs w:val="24"/>
          <w:lang w:eastAsia="en-IN"/>
          <w14:ligatures w14:val="none"/>
        </w:rPr>
        <w:t>, M. (2024). The effect of exogenous gibberellic acid and naphthalene acetic acid on sex determination and yield components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cultivar </w:t>
      </w:r>
      <w:proofErr w:type="spellStart"/>
      <w:r w:rsidRPr="00681DE8">
        <w:rPr>
          <w:rFonts w:eastAsia="Times New Roman" w:cs="Times New Roman"/>
          <w:kern w:val="0"/>
          <w:szCs w:val="24"/>
          <w:lang w:eastAsia="en-IN"/>
          <w14:ligatures w14:val="none"/>
        </w:rPr>
        <w:t>Supernia</w:t>
      </w:r>
      <w:proofErr w:type="spellEnd"/>
      <w:r w:rsidRPr="00681DE8">
        <w:rPr>
          <w:rFonts w:eastAsia="Times New Roman" w:cs="Times New Roman"/>
          <w:kern w:val="0"/>
          <w:szCs w:val="24"/>
          <w:lang w:eastAsia="en-IN"/>
          <w14:ligatures w14:val="none"/>
        </w:rPr>
        <w:t xml:space="preserve"> F1. </w:t>
      </w:r>
      <w:r w:rsidRPr="00681DE8">
        <w:rPr>
          <w:rFonts w:eastAsia="Times New Roman" w:cs="Times New Roman"/>
          <w:i/>
          <w:iCs/>
          <w:kern w:val="0"/>
          <w:szCs w:val="24"/>
          <w:lang w:eastAsia="en-IN"/>
          <w14:ligatures w14:val="none"/>
        </w:rPr>
        <w:t>Journal of Plant Biological Sciences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16</w:t>
      </w:r>
      <w:r w:rsidRPr="00681DE8">
        <w:rPr>
          <w:rFonts w:eastAsia="Times New Roman" w:cs="Times New Roman"/>
          <w:kern w:val="0"/>
          <w:szCs w:val="24"/>
          <w:lang w:eastAsia="en-IN"/>
          <w14:ligatures w14:val="none"/>
        </w:rPr>
        <w:t>(2): 55–70.</w:t>
      </w:r>
    </w:p>
    <w:p w14:paraId="73F00A9D"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Karakaya</w:t>
      </w:r>
      <w:proofErr w:type="spellEnd"/>
      <w:r w:rsidRPr="00681DE8">
        <w:rPr>
          <w:rFonts w:eastAsia="Times New Roman" w:cs="Times New Roman"/>
          <w:kern w:val="0"/>
          <w:szCs w:val="24"/>
          <w:lang w:eastAsia="en-IN"/>
          <w14:ligatures w14:val="none"/>
        </w:rPr>
        <w:t xml:space="preserve">, D. and </w:t>
      </w:r>
      <w:proofErr w:type="spellStart"/>
      <w:r w:rsidRPr="00681DE8">
        <w:rPr>
          <w:rFonts w:eastAsia="Times New Roman" w:cs="Times New Roman"/>
          <w:kern w:val="0"/>
          <w:szCs w:val="24"/>
          <w:lang w:eastAsia="en-IN"/>
          <w14:ligatures w14:val="none"/>
        </w:rPr>
        <w:t>Padem</w:t>
      </w:r>
      <w:proofErr w:type="spellEnd"/>
      <w:r w:rsidRPr="00681DE8">
        <w:rPr>
          <w:rFonts w:eastAsia="Times New Roman" w:cs="Times New Roman"/>
          <w:kern w:val="0"/>
          <w:szCs w:val="24"/>
          <w:lang w:eastAsia="en-IN"/>
          <w14:ligatures w14:val="none"/>
        </w:rPr>
        <w:t>, H. (2011). The effects of silver nitrate applications on the flower quantity of cucumbers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proofErr w:type="spellStart"/>
      <w:r w:rsidRPr="00681DE8">
        <w:rPr>
          <w:rFonts w:eastAsia="Times New Roman" w:cs="Times New Roman"/>
          <w:i/>
          <w:iCs/>
          <w:kern w:val="0"/>
          <w:szCs w:val="24"/>
          <w:lang w:eastAsia="en-IN"/>
          <w14:ligatures w14:val="none"/>
        </w:rPr>
        <w:t>Notulae</w:t>
      </w:r>
      <w:proofErr w:type="spellEnd"/>
      <w:r w:rsidRPr="00681DE8">
        <w:rPr>
          <w:rFonts w:eastAsia="Times New Roman" w:cs="Times New Roman"/>
          <w:i/>
          <w:iCs/>
          <w:kern w:val="0"/>
          <w:szCs w:val="24"/>
          <w:lang w:eastAsia="en-IN"/>
          <w14:ligatures w14:val="none"/>
        </w:rPr>
        <w:t xml:space="preserve"> </w:t>
      </w:r>
      <w:proofErr w:type="spellStart"/>
      <w:r w:rsidRPr="00681DE8">
        <w:rPr>
          <w:rFonts w:eastAsia="Times New Roman" w:cs="Times New Roman"/>
          <w:i/>
          <w:iCs/>
          <w:kern w:val="0"/>
          <w:szCs w:val="24"/>
          <w:lang w:eastAsia="en-IN"/>
          <w14:ligatures w14:val="none"/>
        </w:rPr>
        <w:t>Botanicae</w:t>
      </w:r>
      <w:proofErr w:type="spellEnd"/>
      <w:r w:rsidRPr="00681DE8">
        <w:rPr>
          <w:rFonts w:eastAsia="Times New Roman" w:cs="Times New Roman"/>
          <w:i/>
          <w:iCs/>
          <w:kern w:val="0"/>
          <w:szCs w:val="24"/>
          <w:lang w:eastAsia="en-IN"/>
          <w14:ligatures w14:val="none"/>
        </w:rPr>
        <w:t xml:space="preserve"> </w:t>
      </w:r>
      <w:proofErr w:type="spellStart"/>
      <w:r w:rsidRPr="00681DE8">
        <w:rPr>
          <w:rFonts w:eastAsia="Times New Roman" w:cs="Times New Roman"/>
          <w:i/>
          <w:iCs/>
          <w:kern w:val="0"/>
          <w:szCs w:val="24"/>
          <w:lang w:eastAsia="en-IN"/>
          <w14:ligatures w14:val="none"/>
        </w:rPr>
        <w:t>Horti</w:t>
      </w:r>
      <w:proofErr w:type="spellEnd"/>
      <w:r w:rsidRPr="00681DE8">
        <w:rPr>
          <w:rFonts w:eastAsia="Times New Roman" w:cs="Times New Roman"/>
          <w:i/>
          <w:iCs/>
          <w:kern w:val="0"/>
          <w:szCs w:val="24"/>
          <w:lang w:eastAsia="en-IN"/>
          <w14:ligatures w14:val="none"/>
        </w:rPr>
        <w:t xml:space="preserve"> </w:t>
      </w:r>
      <w:proofErr w:type="spellStart"/>
      <w:r w:rsidRPr="00681DE8">
        <w:rPr>
          <w:rFonts w:eastAsia="Times New Roman" w:cs="Times New Roman"/>
          <w:i/>
          <w:iCs/>
          <w:kern w:val="0"/>
          <w:szCs w:val="24"/>
          <w:lang w:eastAsia="en-IN"/>
          <w14:ligatures w14:val="none"/>
        </w:rPr>
        <w:t>Agrobotanici</w:t>
      </w:r>
      <w:proofErr w:type="spellEnd"/>
      <w:r w:rsidRPr="00681DE8">
        <w:rPr>
          <w:rFonts w:eastAsia="Times New Roman" w:cs="Times New Roman"/>
          <w:i/>
          <w:iCs/>
          <w:kern w:val="0"/>
          <w:szCs w:val="24"/>
          <w:lang w:eastAsia="en-IN"/>
          <w14:ligatures w14:val="none"/>
        </w:rPr>
        <w:t xml:space="preserve"> Cluj-Napoca</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39</w:t>
      </w:r>
      <w:r w:rsidRPr="00681DE8">
        <w:rPr>
          <w:rFonts w:eastAsia="Times New Roman" w:cs="Times New Roman"/>
          <w:kern w:val="0"/>
          <w:szCs w:val="24"/>
          <w:lang w:eastAsia="en-IN"/>
          <w14:ligatures w14:val="none"/>
        </w:rPr>
        <w:t>: 139–143.</w:t>
      </w:r>
    </w:p>
    <w:p w14:paraId="5AD40F16"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Kaur, H., Manchanda, P. and </w:t>
      </w:r>
      <w:proofErr w:type="spellStart"/>
      <w:r w:rsidRPr="00681DE8">
        <w:rPr>
          <w:rFonts w:eastAsia="Times New Roman" w:cs="Times New Roman"/>
          <w:kern w:val="0"/>
          <w:szCs w:val="24"/>
          <w:lang w:eastAsia="en-IN"/>
          <w14:ligatures w14:val="none"/>
        </w:rPr>
        <w:t>Dhall</w:t>
      </w:r>
      <w:proofErr w:type="spellEnd"/>
      <w:r w:rsidRPr="00681DE8">
        <w:rPr>
          <w:rFonts w:eastAsia="Times New Roman" w:cs="Times New Roman"/>
          <w:kern w:val="0"/>
          <w:szCs w:val="24"/>
          <w:lang w:eastAsia="en-IN"/>
          <w14:ligatures w14:val="none"/>
        </w:rPr>
        <w:t>, R. K. (2024). Effect of foliar application of plant growth regulators on expression of flowering genes in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The Nucleus</w:t>
      </w:r>
      <w:r w:rsidRPr="00681DE8">
        <w:rPr>
          <w:rFonts w:eastAsia="Times New Roman" w:cs="Times New Roman"/>
          <w:kern w:val="0"/>
          <w:szCs w:val="24"/>
          <w:lang w:eastAsia="en-IN"/>
          <w14:ligatures w14:val="none"/>
        </w:rPr>
        <w:t>: 1–11.</w:t>
      </w:r>
    </w:p>
    <w:p w14:paraId="1453A81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Lai, Y. S., Shen, D., Zhang, W., Zhang, X., Yang, Q., Wang, H., Dou, X., Li, S., Wu, Y., Song, J., Ji, G. and Li, X. (2018). Temperature and photoperiod changes affect cucumber sex expression by different epigenetic regulations. </w:t>
      </w:r>
      <w:r w:rsidRPr="00681DE8">
        <w:rPr>
          <w:rFonts w:eastAsia="Times New Roman" w:cs="Times New Roman"/>
          <w:i/>
          <w:iCs/>
          <w:kern w:val="0"/>
          <w:szCs w:val="24"/>
          <w:lang w:eastAsia="en-IN"/>
          <w14:ligatures w14:val="none"/>
        </w:rPr>
        <w:t>BMC Plant Biology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18</w:t>
      </w:r>
      <w:r w:rsidRPr="00681DE8">
        <w:rPr>
          <w:rFonts w:eastAsia="Times New Roman" w:cs="Times New Roman"/>
          <w:kern w:val="0"/>
          <w:szCs w:val="24"/>
          <w:lang w:eastAsia="en-IN"/>
          <w14:ligatures w14:val="none"/>
        </w:rPr>
        <w:t>(1): 268.</w:t>
      </w:r>
    </w:p>
    <w:p w14:paraId="68655AAB"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Li, Q., Chen, P., Tang, H., Zeng, F. and Li, X. (2022). Integrated transcriptome and hormone analyses provide insights into silver thiosulfate-induced maleness responses in the floral sex differentiation of pumpkin (</w:t>
      </w:r>
      <w:r w:rsidRPr="00681DE8">
        <w:rPr>
          <w:rFonts w:eastAsia="Times New Roman" w:cs="Times New Roman"/>
          <w:i/>
          <w:iCs/>
          <w:kern w:val="0"/>
          <w:szCs w:val="24"/>
          <w:lang w:eastAsia="en-IN"/>
          <w14:ligatures w14:val="none"/>
        </w:rPr>
        <w:t xml:space="preserve">Cucurbita </w:t>
      </w:r>
      <w:proofErr w:type="spellStart"/>
      <w:r w:rsidRPr="00681DE8">
        <w:rPr>
          <w:rFonts w:eastAsia="Times New Roman" w:cs="Times New Roman"/>
          <w:i/>
          <w:iCs/>
          <w:kern w:val="0"/>
          <w:szCs w:val="24"/>
          <w:lang w:eastAsia="en-IN"/>
          <w14:ligatures w14:val="none"/>
        </w:rPr>
        <w:t>moschata</w:t>
      </w:r>
      <w:proofErr w:type="spellEnd"/>
      <w:r w:rsidRPr="00681DE8">
        <w:rPr>
          <w:rFonts w:eastAsia="Times New Roman" w:cs="Times New Roman"/>
          <w:kern w:val="0"/>
          <w:szCs w:val="24"/>
          <w:lang w:eastAsia="en-IN"/>
          <w14:ligatures w14:val="none"/>
        </w:rPr>
        <w:t xml:space="preserve"> D.). </w:t>
      </w:r>
      <w:r w:rsidRPr="00681DE8">
        <w:rPr>
          <w:rFonts w:eastAsia="Times New Roman" w:cs="Times New Roman"/>
          <w:i/>
          <w:iCs/>
          <w:kern w:val="0"/>
          <w:szCs w:val="24"/>
          <w:lang w:eastAsia="en-IN"/>
          <w14:ligatures w14:val="none"/>
        </w:rPr>
        <w:t>Frontiers in Genetics</w:t>
      </w:r>
      <w:r w:rsidRPr="00681DE8">
        <w:rPr>
          <w:rFonts w:eastAsia="Times New Roman" w:cs="Times New Roman"/>
          <w:kern w:val="0"/>
          <w:szCs w:val="24"/>
          <w:lang w:eastAsia="en-IN"/>
          <w14:ligatures w14:val="none"/>
        </w:rPr>
        <w:t>, 13.</w:t>
      </w:r>
    </w:p>
    <w:p w14:paraId="13542EC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Luo, H., Zhang, H. and Wang, H. (2023). Advances in sex differentiation in cucumber. </w:t>
      </w:r>
      <w:r w:rsidRPr="00681DE8">
        <w:rPr>
          <w:rFonts w:eastAsia="Times New Roman" w:cs="Times New Roman"/>
          <w:i/>
          <w:iCs/>
          <w:kern w:val="0"/>
          <w:szCs w:val="24"/>
          <w:lang w:eastAsia="en-IN"/>
          <w14:ligatures w14:val="none"/>
        </w:rPr>
        <w:t>Frontiers in Plant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14</w:t>
      </w:r>
      <w:r w:rsidRPr="00681DE8">
        <w:rPr>
          <w:rFonts w:eastAsia="Times New Roman" w:cs="Times New Roman"/>
          <w:kern w:val="0"/>
          <w:szCs w:val="24"/>
          <w:lang w:eastAsia="en-IN"/>
          <w14:ligatures w14:val="none"/>
        </w:rPr>
        <w:t>: 1186904.</w:t>
      </w:r>
    </w:p>
    <w:p w14:paraId="1F948920"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Manzano, S., Martinez, C., Garcia, J. M., </w:t>
      </w:r>
      <w:proofErr w:type="spellStart"/>
      <w:r w:rsidRPr="00681DE8">
        <w:rPr>
          <w:rFonts w:eastAsia="Times New Roman" w:cs="Times New Roman"/>
          <w:kern w:val="0"/>
          <w:szCs w:val="24"/>
          <w:lang w:eastAsia="en-IN"/>
          <w14:ligatures w14:val="none"/>
        </w:rPr>
        <w:t>Megias</w:t>
      </w:r>
      <w:proofErr w:type="spellEnd"/>
      <w:r w:rsidRPr="00681DE8">
        <w:rPr>
          <w:rFonts w:eastAsia="Times New Roman" w:cs="Times New Roman"/>
          <w:kern w:val="0"/>
          <w:szCs w:val="24"/>
          <w:lang w:eastAsia="en-IN"/>
          <w14:ligatures w14:val="none"/>
        </w:rPr>
        <w:t xml:space="preserve">, Z. and </w:t>
      </w:r>
      <w:proofErr w:type="spellStart"/>
      <w:r w:rsidRPr="00681DE8">
        <w:rPr>
          <w:rFonts w:eastAsia="Times New Roman" w:cs="Times New Roman"/>
          <w:kern w:val="0"/>
          <w:szCs w:val="24"/>
          <w:lang w:eastAsia="en-IN"/>
          <w14:ligatures w14:val="none"/>
        </w:rPr>
        <w:t>Jamilena</w:t>
      </w:r>
      <w:proofErr w:type="spellEnd"/>
      <w:r w:rsidRPr="00681DE8">
        <w:rPr>
          <w:rFonts w:eastAsia="Times New Roman" w:cs="Times New Roman"/>
          <w:kern w:val="0"/>
          <w:szCs w:val="24"/>
          <w:lang w:eastAsia="en-IN"/>
          <w14:ligatures w14:val="none"/>
        </w:rPr>
        <w:t>, M. (2014). Involvement of ethylene in sex expression and female flower development in watermelon (</w:t>
      </w:r>
      <w:r w:rsidRPr="00681DE8">
        <w:rPr>
          <w:rFonts w:eastAsia="Times New Roman" w:cs="Times New Roman"/>
          <w:i/>
          <w:iCs/>
          <w:kern w:val="0"/>
          <w:szCs w:val="24"/>
          <w:lang w:eastAsia="en-IN"/>
          <w14:ligatures w14:val="none"/>
        </w:rPr>
        <w:t xml:space="preserve">Citrullus </w:t>
      </w:r>
      <w:proofErr w:type="spellStart"/>
      <w:r w:rsidRPr="00681DE8">
        <w:rPr>
          <w:rFonts w:eastAsia="Times New Roman" w:cs="Times New Roman"/>
          <w:i/>
          <w:iCs/>
          <w:kern w:val="0"/>
          <w:szCs w:val="24"/>
          <w:lang w:eastAsia="en-IN"/>
          <w14:ligatures w14:val="none"/>
        </w:rPr>
        <w:t>lanatus</w:t>
      </w:r>
      <w:proofErr w:type="spellEnd"/>
      <w:r w:rsidRPr="00681DE8">
        <w:rPr>
          <w:rFonts w:eastAsia="Times New Roman" w:cs="Times New Roman"/>
          <w:kern w:val="0"/>
          <w:szCs w:val="24"/>
          <w:lang w:eastAsia="en-IN"/>
          <w14:ligatures w14:val="none"/>
        </w:rPr>
        <w:t xml:space="preserve">). </w:t>
      </w:r>
      <w:r w:rsidRPr="00681DE8">
        <w:rPr>
          <w:rFonts w:eastAsia="Times New Roman" w:cs="Times New Roman"/>
          <w:i/>
          <w:iCs/>
          <w:kern w:val="0"/>
          <w:szCs w:val="24"/>
          <w:lang w:eastAsia="en-IN"/>
          <w14:ligatures w14:val="none"/>
        </w:rPr>
        <w:t>Plant Physiology and Biochemistry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85</w:t>
      </w:r>
      <w:r w:rsidRPr="00681DE8">
        <w:rPr>
          <w:rFonts w:eastAsia="Times New Roman" w:cs="Times New Roman"/>
          <w:kern w:val="0"/>
          <w:szCs w:val="24"/>
          <w:lang w:eastAsia="en-IN"/>
          <w14:ligatures w14:val="none"/>
        </w:rPr>
        <w:t>: 96–104.</w:t>
      </w:r>
    </w:p>
    <w:p w14:paraId="205D66DF"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Manzano, S., Martinez, C., </w:t>
      </w:r>
      <w:proofErr w:type="spellStart"/>
      <w:r w:rsidRPr="00681DE8">
        <w:rPr>
          <w:rFonts w:eastAsia="Times New Roman" w:cs="Times New Roman"/>
          <w:kern w:val="0"/>
          <w:szCs w:val="24"/>
          <w:lang w:eastAsia="en-IN"/>
          <w14:ligatures w14:val="none"/>
        </w:rPr>
        <w:t>Megias</w:t>
      </w:r>
      <w:proofErr w:type="spellEnd"/>
      <w:r w:rsidRPr="00681DE8">
        <w:rPr>
          <w:rFonts w:eastAsia="Times New Roman" w:cs="Times New Roman"/>
          <w:kern w:val="0"/>
          <w:szCs w:val="24"/>
          <w:lang w:eastAsia="en-IN"/>
          <w14:ligatures w14:val="none"/>
        </w:rPr>
        <w:t xml:space="preserve">, Z., Gomez, P., Garrido, D. and </w:t>
      </w:r>
      <w:proofErr w:type="spellStart"/>
      <w:r w:rsidRPr="00681DE8">
        <w:rPr>
          <w:rFonts w:eastAsia="Times New Roman" w:cs="Times New Roman"/>
          <w:kern w:val="0"/>
          <w:szCs w:val="24"/>
          <w:lang w:eastAsia="en-IN"/>
          <w14:ligatures w14:val="none"/>
        </w:rPr>
        <w:t>Jamilena</w:t>
      </w:r>
      <w:proofErr w:type="spellEnd"/>
      <w:r w:rsidRPr="00681DE8">
        <w:rPr>
          <w:rFonts w:eastAsia="Times New Roman" w:cs="Times New Roman"/>
          <w:kern w:val="0"/>
          <w:szCs w:val="24"/>
          <w:lang w:eastAsia="en-IN"/>
          <w14:ligatures w14:val="none"/>
        </w:rPr>
        <w:t xml:space="preserve">, M. (2011). The role of ethylene and </w:t>
      </w:r>
      <w:proofErr w:type="spellStart"/>
      <w:r w:rsidRPr="00681DE8">
        <w:rPr>
          <w:rFonts w:eastAsia="Times New Roman" w:cs="Times New Roman"/>
          <w:kern w:val="0"/>
          <w:szCs w:val="24"/>
          <w:lang w:eastAsia="en-IN"/>
          <w14:ligatures w14:val="none"/>
        </w:rPr>
        <w:t>brassinosteroids</w:t>
      </w:r>
      <w:proofErr w:type="spellEnd"/>
      <w:r w:rsidRPr="00681DE8">
        <w:rPr>
          <w:rFonts w:eastAsia="Times New Roman" w:cs="Times New Roman"/>
          <w:kern w:val="0"/>
          <w:szCs w:val="24"/>
          <w:lang w:eastAsia="en-IN"/>
          <w14:ligatures w14:val="none"/>
        </w:rPr>
        <w:t xml:space="preserve"> in the control of sex expression and flower development in </w:t>
      </w:r>
      <w:r w:rsidRPr="00681DE8">
        <w:rPr>
          <w:rFonts w:eastAsia="Times New Roman" w:cs="Times New Roman"/>
          <w:i/>
          <w:iCs/>
          <w:kern w:val="0"/>
          <w:szCs w:val="24"/>
          <w:lang w:eastAsia="en-IN"/>
          <w14:ligatures w14:val="none"/>
        </w:rPr>
        <w:t>Cucurbita pepo</w:t>
      </w:r>
      <w:r w:rsidRPr="00681DE8">
        <w:rPr>
          <w:rFonts w:eastAsia="Times New Roman" w:cs="Times New Roman"/>
          <w:kern w:val="0"/>
          <w:szCs w:val="24"/>
          <w:lang w:eastAsia="en-IN"/>
          <w14:ligatures w14:val="none"/>
        </w:rPr>
        <w:t xml:space="preserve">. </w:t>
      </w:r>
      <w:r w:rsidRPr="00681DE8">
        <w:rPr>
          <w:rFonts w:eastAsia="Times New Roman" w:cs="Times New Roman"/>
          <w:i/>
          <w:iCs/>
          <w:kern w:val="0"/>
          <w:szCs w:val="24"/>
          <w:lang w:eastAsia="en-IN"/>
          <w14:ligatures w14:val="none"/>
        </w:rPr>
        <w:t>Plant Growth Regulation</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65</w:t>
      </w:r>
      <w:r w:rsidRPr="00681DE8">
        <w:rPr>
          <w:rFonts w:eastAsia="Times New Roman" w:cs="Times New Roman"/>
          <w:kern w:val="0"/>
          <w:szCs w:val="24"/>
          <w:lang w:eastAsia="en-IN"/>
          <w14:ligatures w14:val="none"/>
        </w:rPr>
        <w:t>(2): 213–221.</w:t>
      </w:r>
    </w:p>
    <w:p w14:paraId="3A402F1C"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Mir, A. A., Sadat, M. A., Amin, M. R. and Islam, M. N. (2019). Plant growth regulators: One of the techniques of enhancing growth and yield of Bangladeshi local cucumber variety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w:t>
      </w:r>
      <w:r w:rsidRPr="00681DE8">
        <w:rPr>
          <w:rFonts w:eastAsia="Times New Roman" w:cs="Times New Roman"/>
          <w:i/>
          <w:iCs/>
          <w:kern w:val="0"/>
          <w:szCs w:val="24"/>
          <w:lang w:eastAsia="en-IN"/>
          <w14:ligatures w14:val="none"/>
        </w:rPr>
        <w:t>Plant Science Today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6</w:t>
      </w:r>
      <w:r w:rsidRPr="00681DE8">
        <w:rPr>
          <w:rFonts w:eastAsia="Times New Roman" w:cs="Times New Roman"/>
          <w:kern w:val="0"/>
          <w:szCs w:val="24"/>
          <w:lang w:eastAsia="en-IN"/>
          <w14:ligatures w14:val="none"/>
        </w:rPr>
        <w:t>(2): 252–258.</w:t>
      </w:r>
    </w:p>
    <w:p w14:paraId="4B5C248E"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Ren, Z. and Pinheiro, C. C. (2022). Gibberellins regulate lateral root development that is associated with auxin and cell wall metabolisms in cucumber. </w:t>
      </w:r>
      <w:r w:rsidRPr="00681DE8">
        <w:rPr>
          <w:rFonts w:eastAsia="Times New Roman" w:cs="Times New Roman"/>
          <w:i/>
          <w:iCs/>
          <w:kern w:val="0"/>
          <w:szCs w:val="24"/>
          <w:lang w:eastAsia="en-IN"/>
          <w14:ligatures w14:val="none"/>
        </w:rPr>
        <w:t>Plant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317</w:t>
      </w:r>
      <w:r w:rsidRPr="00681DE8">
        <w:rPr>
          <w:rFonts w:eastAsia="Times New Roman" w:cs="Times New Roman"/>
          <w:kern w:val="0"/>
          <w:szCs w:val="24"/>
          <w:lang w:eastAsia="en-IN"/>
          <w14:ligatures w14:val="none"/>
        </w:rPr>
        <w:t>: 110995.</w:t>
      </w:r>
    </w:p>
    <w:p w14:paraId="28F33E31"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proofErr w:type="spellStart"/>
      <w:r w:rsidRPr="00681DE8">
        <w:rPr>
          <w:rFonts w:eastAsia="Times New Roman" w:cs="Times New Roman"/>
          <w:kern w:val="0"/>
          <w:szCs w:val="24"/>
          <w:lang w:eastAsia="en-IN"/>
          <w14:ligatures w14:val="none"/>
        </w:rPr>
        <w:t>Thappa</w:t>
      </w:r>
      <w:proofErr w:type="spellEnd"/>
      <w:r w:rsidRPr="00681DE8">
        <w:rPr>
          <w:rFonts w:eastAsia="Times New Roman" w:cs="Times New Roman"/>
          <w:kern w:val="0"/>
          <w:szCs w:val="24"/>
          <w:lang w:eastAsia="en-IN"/>
          <w14:ligatures w14:val="none"/>
        </w:rPr>
        <w:t>, M., Kumar, S. and Rafiq, R. (2011). Influence of plant growth regulators on morphological, floral and yield traits of cucumber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Agriculture and Natural Resources</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45</w:t>
      </w:r>
      <w:r w:rsidRPr="00681DE8">
        <w:rPr>
          <w:rFonts w:eastAsia="Times New Roman" w:cs="Times New Roman"/>
          <w:kern w:val="0"/>
          <w:szCs w:val="24"/>
          <w:lang w:eastAsia="en-IN"/>
          <w14:ligatures w14:val="none"/>
        </w:rPr>
        <w:t>(2): 177–188.</w:t>
      </w:r>
    </w:p>
    <w:p w14:paraId="16A5B924"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Yamasaki, S. and Manabe, K. (2011). Application of silver nitrate induces functional bisexual flowers in </w:t>
      </w:r>
      <w:proofErr w:type="spellStart"/>
      <w:r w:rsidRPr="00681DE8">
        <w:rPr>
          <w:rFonts w:eastAsia="Times New Roman" w:cs="Times New Roman"/>
          <w:kern w:val="0"/>
          <w:szCs w:val="24"/>
          <w:lang w:eastAsia="en-IN"/>
          <w14:ligatures w14:val="none"/>
        </w:rPr>
        <w:t>gynoecious</w:t>
      </w:r>
      <w:proofErr w:type="spellEnd"/>
      <w:r w:rsidRPr="00681DE8">
        <w:rPr>
          <w:rFonts w:eastAsia="Times New Roman" w:cs="Times New Roman"/>
          <w:kern w:val="0"/>
          <w:szCs w:val="24"/>
          <w:lang w:eastAsia="en-IN"/>
          <w14:ligatures w14:val="none"/>
        </w:rPr>
        <w:t xml:space="preserve"> cucumber plants (</w:t>
      </w:r>
      <w:r w:rsidRPr="00681DE8">
        <w:rPr>
          <w:rFonts w:eastAsia="Times New Roman" w:cs="Times New Roman"/>
          <w:i/>
          <w:iCs/>
          <w:kern w:val="0"/>
          <w:szCs w:val="24"/>
          <w:lang w:eastAsia="en-IN"/>
          <w14:ligatures w14:val="none"/>
        </w:rPr>
        <w:t>Cucumis sativus</w:t>
      </w:r>
      <w:r w:rsidRPr="00681DE8">
        <w:rPr>
          <w:rFonts w:eastAsia="Times New Roman" w:cs="Times New Roman"/>
          <w:kern w:val="0"/>
          <w:szCs w:val="24"/>
          <w:lang w:eastAsia="en-IN"/>
          <w14:ligatures w14:val="none"/>
        </w:rPr>
        <w:t xml:space="preserve"> L.). </w:t>
      </w:r>
      <w:r w:rsidRPr="00681DE8">
        <w:rPr>
          <w:rFonts w:eastAsia="Times New Roman" w:cs="Times New Roman"/>
          <w:i/>
          <w:iCs/>
          <w:kern w:val="0"/>
          <w:szCs w:val="24"/>
          <w:lang w:eastAsia="en-IN"/>
          <w14:ligatures w14:val="none"/>
        </w:rPr>
        <w:t>Journal of the Japanese Society for Horticultural Science</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80</w:t>
      </w:r>
      <w:r w:rsidRPr="00681DE8">
        <w:rPr>
          <w:rFonts w:eastAsia="Times New Roman" w:cs="Times New Roman"/>
          <w:kern w:val="0"/>
          <w:szCs w:val="24"/>
          <w:lang w:eastAsia="en-IN"/>
          <w14:ligatures w14:val="none"/>
        </w:rPr>
        <w:t>(1): 66–75.</w:t>
      </w:r>
    </w:p>
    <w:p w14:paraId="6EBC5DA9"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Yamasaki, S., </w:t>
      </w:r>
      <w:proofErr w:type="spellStart"/>
      <w:r w:rsidRPr="00681DE8">
        <w:rPr>
          <w:rFonts w:eastAsia="Times New Roman" w:cs="Times New Roman"/>
          <w:kern w:val="0"/>
          <w:szCs w:val="24"/>
          <w:lang w:eastAsia="en-IN"/>
          <w14:ligatures w14:val="none"/>
        </w:rPr>
        <w:t>Fujii</w:t>
      </w:r>
      <w:proofErr w:type="spellEnd"/>
      <w:r w:rsidRPr="00681DE8">
        <w:rPr>
          <w:rFonts w:eastAsia="Times New Roman" w:cs="Times New Roman"/>
          <w:kern w:val="0"/>
          <w:szCs w:val="24"/>
          <w:lang w:eastAsia="en-IN"/>
          <w14:ligatures w14:val="none"/>
        </w:rPr>
        <w:t xml:space="preserve">, N. and Takahashi, H. (2003). Characterization of ethylene effects on sex determination in cucumber plants. </w:t>
      </w:r>
      <w:r w:rsidRPr="00681DE8">
        <w:rPr>
          <w:rFonts w:eastAsia="Times New Roman" w:cs="Times New Roman"/>
          <w:i/>
          <w:iCs/>
          <w:kern w:val="0"/>
          <w:szCs w:val="24"/>
          <w:lang w:eastAsia="en-IN"/>
          <w14:ligatures w14:val="none"/>
        </w:rPr>
        <w:t>Sexual Plant Reproduction</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16</w:t>
      </w:r>
      <w:r w:rsidRPr="00681DE8">
        <w:rPr>
          <w:rFonts w:eastAsia="Times New Roman" w:cs="Times New Roman"/>
          <w:kern w:val="0"/>
          <w:szCs w:val="24"/>
          <w:lang w:eastAsia="en-IN"/>
          <w14:ligatures w14:val="none"/>
        </w:rPr>
        <w:t>(3): 103–111.</w:t>
      </w:r>
    </w:p>
    <w:p w14:paraId="4B621674"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Ye, H., Wang, T., </w:t>
      </w:r>
      <w:proofErr w:type="spellStart"/>
      <w:r w:rsidRPr="00681DE8">
        <w:rPr>
          <w:rFonts w:eastAsia="Times New Roman" w:cs="Times New Roman"/>
          <w:kern w:val="0"/>
          <w:szCs w:val="24"/>
          <w:lang w:eastAsia="en-IN"/>
          <w14:ligatures w14:val="none"/>
        </w:rPr>
        <w:t>Lv</w:t>
      </w:r>
      <w:proofErr w:type="spellEnd"/>
      <w:r w:rsidRPr="00681DE8">
        <w:rPr>
          <w:rFonts w:eastAsia="Times New Roman" w:cs="Times New Roman"/>
          <w:kern w:val="0"/>
          <w:szCs w:val="24"/>
          <w:lang w:eastAsia="en-IN"/>
          <w14:ligatures w14:val="none"/>
        </w:rPr>
        <w:t xml:space="preserve">, L., Hu, Y. and Wang, B. (2020). Ethylene control of flowering and sex differentiation in three sex types of inbred melon lines. </w:t>
      </w:r>
      <w:r w:rsidRPr="00681DE8">
        <w:rPr>
          <w:rFonts w:eastAsia="Times New Roman" w:cs="Times New Roman"/>
          <w:i/>
          <w:iCs/>
          <w:kern w:val="0"/>
          <w:szCs w:val="24"/>
          <w:lang w:eastAsia="en-IN"/>
          <w14:ligatures w14:val="none"/>
        </w:rPr>
        <w:t>Horticultural Science and Technology</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38</w:t>
      </w:r>
      <w:r w:rsidRPr="00681DE8">
        <w:rPr>
          <w:rFonts w:eastAsia="Times New Roman" w:cs="Times New Roman"/>
          <w:kern w:val="0"/>
          <w:szCs w:val="24"/>
          <w:lang w:eastAsia="en-IN"/>
          <w14:ligatures w14:val="none"/>
        </w:rPr>
        <w:t>(4): 512–521.</w:t>
      </w:r>
    </w:p>
    <w:p w14:paraId="0D0435F0" w14:textId="77777777" w:rsidR="00CE00EB" w:rsidRPr="00681DE8" w:rsidRDefault="00CE00EB" w:rsidP="00651645">
      <w:pPr>
        <w:pStyle w:val="ListParagraph"/>
        <w:numPr>
          <w:ilvl w:val="0"/>
          <w:numId w:val="20"/>
        </w:numPr>
        <w:spacing w:before="100" w:beforeAutospacing="1" w:after="100" w:afterAutospacing="1" w:line="240" w:lineRule="auto"/>
        <w:jc w:val="both"/>
        <w:rPr>
          <w:rFonts w:eastAsia="Times New Roman" w:cs="Times New Roman"/>
          <w:kern w:val="0"/>
          <w:szCs w:val="24"/>
          <w:lang w:eastAsia="en-IN"/>
          <w14:ligatures w14:val="none"/>
        </w:rPr>
      </w:pPr>
      <w:r w:rsidRPr="00681DE8">
        <w:rPr>
          <w:rFonts w:eastAsia="Times New Roman" w:cs="Times New Roman"/>
          <w:kern w:val="0"/>
          <w:szCs w:val="24"/>
          <w:lang w:eastAsia="en-IN"/>
          <w14:ligatures w14:val="none"/>
        </w:rPr>
        <w:t xml:space="preserve">Zhang, J., Shi, J., Ji, G., Zhang, H., Gong, G., Guo, S. and Xu, Y. (2017). Modulation of sex expression in four forms of watermelon by gibberellin, ethephon and silver nitrate. </w:t>
      </w:r>
      <w:r w:rsidRPr="00681DE8">
        <w:rPr>
          <w:rFonts w:eastAsia="Times New Roman" w:cs="Times New Roman"/>
          <w:i/>
          <w:iCs/>
          <w:kern w:val="0"/>
          <w:szCs w:val="24"/>
          <w:lang w:eastAsia="en-IN"/>
          <w14:ligatures w14:val="none"/>
        </w:rPr>
        <w:t>Horticultural Plant Journal</w:t>
      </w:r>
      <w:r w:rsidRPr="00681DE8">
        <w:rPr>
          <w:rFonts w:eastAsia="Times New Roman" w:cs="Times New Roman"/>
          <w:kern w:val="0"/>
          <w:szCs w:val="24"/>
          <w:lang w:eastAsia="en-IN"/>
          <w14:ligatures w14:val="none"/>
        </w:rPr>
        <w:t xml:space="preserve">, </w:t>
      </w:r>
      <w:r w:rsidRPr="00681DE8">
        <w:rPr>
          <w:rFonts w:eastAsia="Times New Roman" w:cs="Times New Roman"/>
          <w:b/>
          <w:bCs/>
          <w:kern w:val="0"/>
          <w:szCs w:val="24"/>
          <w:lang w:eastAsia="en-IN"/>
          <w14:ligatures w14:val="none"/>
        </w:rPr>
        <w:t>3</w:t>
      </w:r>
      <w:r w:rsidRPr="00681DE8">
        <w:rPr>
          <w:rFonts w:eastAsia="Times New Roman" w:cs="Times New Roman"/>
          <w:kern w:val="0"/>
          <w:szCs w:val="24"/>
          <w:lang w:eastAsia="en-IN"/>
          <w14:ligatures w14:val="none"/>
        </w:rPr>
        <w:t>(3): 91–100.</w:t>
      </w:r>
    </w:p>
    <w:p w14:paraId="69A44E1A" w14:textId="77777777" w:rsidR="00CE00EB" w:rsidRPr="00681DE8" w:rsidRDefault="00CE00EB" w:rsidP="00CE00EB">
      <w:pPr>
        <w:pStyle w:val="ListParagraph"/>
        <w:ind w:left="1080"/>
        <w:jc w:val="both"/>
      </w:pPr>
    </w:p>
    <w:p w14:paraId="44EBA289" w14:textId="21A24746" w:rsidR="00441BE7" w:rsidRPr="00681DE8" w:rsidRDefault="00441BE7" w:rsidP="00441BE7">
      <w:pPr>
        <w:ind w:left="360"/>
        <w:jc w:val="both"/>
      </w:pPr>
      <w:r w:rsidRPr="00681DE8">
        <w:t xml:space="preserve"> </w:t>
      </w:r>
    </w:p>
    <w:sectPr w:rsidR="00441BE7" w:rsidRPr="00681DE8" w:rsidSect="003A5BA8">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8DB306" w14:textId="77777777" w:rsidR="00AD4355" w:rsidRDefault="00AD4355" w:rsidP="006E5E16">
      <w:pPr>
        <w:spacing w:after="0" w:line="240" w:lineRule="auto"/>
      </w:pPr>
      <w:r>
        <w:separator/>
      </w:r>
    </w:p>
  </w:endnote>
  <w:endnote w:type="continuationSeparator" w:id="0">
    <w:p w14:paraId="581ABD56" w14:textId="77777777" w:rsidR="00AD4355" w:rsidRDefault="00AD4355" w:rsidP="006E5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619AB4" w14:textId="77777777" w:rsidR="006E5E16" w:rsidRDefault="006E5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BB45C" w14:textId="77777777" w:rsidR="006E5E16" w:rsidRDefault="006E5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04D29E" w14:textId="77777777" w:rsidR="006E5E16" w:rsidRDefault="006E5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108471" w14:textId="77777777" w:rsidR="00AD4355" w:rsidRDefault="00AD4355" w:rsidP="006E5E16">
      <w:pPr>
        <w:spacing w:after="0" w:line="240" w:lineRule="auto"/>
      </w:pPr>
      <w:r>
        <w:separator/>
      </w:r>
    </w:p>
  </w:footnote>
  <w:footnote w:type="continuationSeparator" w:id="0">
    <w:p w14:paraId="240A5B3D" w14:textId="77777777" w:rsidR="00AD4355" w:rsidRDefault="00AD4355" w:rsidP="006E5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67CE66" w14:textId="6EFCC30F" w:rsidR="006E5E16" w:rsidRDefault="006E5E16">
    <w:pPr>
      <w:pStyle w:val="Header"/>
    </w:pPr>
    <w:r>
      <w:rPr>
        <w:noProof/>
      </w:rPr>
      <w:pict w14:anchorId="38D8C4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677391" o:spid="_x0000_s2050" type="#_x0000_t136" style="position:absolute;margin-left:0;margin-top:0;width:662.9pt;height:74.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87308" w14:textId="7B5F563D" w:rsidR="006E5E16" w:rsidRDefault="006E5E16">
    <w:pPr>
      <w:pStyle w:val="Header"/>
    </w:pPr>
    <w:r>
      <w:rPr>
        <w:noProof/>
      </w:rPr>
      <w:pict w14:anchorId="3BCB25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677392" o:spid="_x0000_s2051" type="#_x0000_t136" style="position:absolute;margin-left:0;margin-top:0;width:662.9pt;height:74.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C9498" w14:textId="2975C260" w:rsidR="006E5E16" w:rsidRDefault="006E5E16">
    <w:pPr>
      <w:pStyle w:val="Header"/>
    </w:pPr>
    <w:r>
      <w:rPr>
        <w:noProof/>
      </w:rPr>
      <w:pict w14:anchorId="48741C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18677390" o:spid="_x0000_s2049" type="#_x0000_t136" style="position:absolute;margin-left:0;margin-top:0;width:662.9pt;height:74.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132"/>
    <w:multiLevelType w:val="hybridMultilevel"/>
    <w:tmpl w:val="EA509B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1D7131"/>
    <w:multiLevelType w:val="multilevel"/>
    <w:tmpl w:val="6CAA4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4369A"/>
    <w:multiLevelType w:val="multilevel"/>
    <w:tmpl w:val="EC004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3D123A"/>
    <w:multiLevelType w:val="hybridMultilevel"/>
    <w:tmpl w:val="C8F04F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15217C9"/>
    <w:multiLevelType w:val="multilevel"/>
    <w:tmpl w:val="7CCC1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77078C"/>
    <w:multiLevelType w:val="multilevel"/>
    <w:tmpl w:val="5204C0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F37357"/>
    <w:multiLevelType w:val="multilevel"/>
    <w:tmpl w:val="30348C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2570A0"/>
    <w:multiLevelType w:val="hybridMultilevel"/>
    <w:tmpl w:val="FE6E728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01C669E"/>
    <w:multiLevelType w:val="hybridMultilevel"/>
    <w:tmpl w:val="FEA0F2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2E4E8F"/>
    <w:multiLevelType w:val="hybridMultilevel"/>
    <w:tmpl w:val="37F8810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BB37192"/>
    <w:multiLevelType w:val="multilevel"/>
    <w:tmpl w:val="776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C21D40"/>
    <w:multiLevelType w:val="hybridMultilevel"/>
    <w:tmpl w:val="AB1A72B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4B6F1D74"/>
    <w:multiLevelType w:val="hybridMultilevel"/>
    <w:tmpl w:val="3E58133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4E294432"/>
    <w:multiLevelType w:val="hybridMultilevel"/>
    <w:tmpl w:val="06CAF76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1E2E7F"/>
    <w:multiLevelType w:val="multilevel"/>
    <w:tmpl w:val="D744E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13A48C7"/>
    <w:multiLevelType w:val="hybridMultilevel"/>
    <w:tmpl w:val="3E58133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995353"/>
    <w:multiLevelType w:val="hybridMultilevel"/>
    <w:tmpl w:val="D02CA3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C264EFF"/>
    <w:multiLevelType w:val="multilevel"/>
    <w:tmpl w:val="8668BF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123256E"/>
    <w:multiLevelType w:val="multilevel"/>
    <w:tmpl w:val="AA82B594"/>
    <w:lvl w:ilvl="0">
      <w:start w:val="1"/>
      <w:numFmt w:val="decimal"/>
      <w:lvlText w:val="%1."/>
      <w:lvlJc w:val="left"/>
      <w:pPr>
        <w:ind w:left="145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181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2534" w:hanging="1440"/>
      </w:pPr>
      <w:rPr>
        <w:rFonts w:hint="default"/>
      </w:rPr>
    </w:lvl>
    <w:lvl w:ilvl="8">
      <w:start w:val="1"/>
      <w:numFmt w:val="decimal"/>
      <w:isLgl/>
      <w:lvlText w:val="%1.%2.%3.%4.%5.%6.%7.%8.%9."/>
      <w:lvlJc w:val="left"/>
      <w:pPr>
        <w:ind w:left="2894" w:hanging="1800"/>
      </w:pPr>
      <w:rPr>
        <w:rFonts w:hint="default"/>
      </w:rPr>
    </w:lvl>
  </w:abstractNum>
  <w:abstractNum w:abstractNumId="19" w15:restartNumberingAfterBreak="0">
    <w:nsid w:val="772F0F44"/>
    <w:multiLevelType w:val="multilevel"/>
    <w:tmpl w:val="55A03BCE"/>
    <w:lvl w:ilvl="0">
      <w:start w:val="1"/>
      <w:numFmt w:val="decimal"/>
      <w:lvlText w:val="%1."/>
      <w:lvlJc w:val="left"/>
      <w:pPr>
        <w:ind w:left="1440" w:hanging="360"/>
      </w:pPr>
      <w:rPr>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num w:numId="1">
    <w:abstractNumId w:val="2"/>
  </w:num>
  <w:num w:numId="2">
    <w:abstractNumId w:val="10"/>
  </w:num>
  <w:num w:numId="3">
    <w:abstractNumId w:val="5"/>
  </w:num>
  <w:num w:numId="4">
    <w:abstractNumId w:val="14"/>
  </w:num>
  <w:num w:numId="5">
    <w:abstractNumId w:val="7"/>
  </w:num>
  <w:num w:numId="6">
    <w:abstractNumId w:val="4"/>
  </w:num>
  <w:num w:numId="7">
    <w:abstractNumId w:val="3"/>
  </w:num>
  <w:num w:numId="8">
    <w:abstractNumId w:val="8"/>
  </w:num>
  <w:num w:numId="9">
    <w:abstractNumId w:val="9"/>
  </w:num>
  <w:num w:numId="10">
    <w:abstractNumId w:val="17"/>
  </w:num>
  <w:num w:numId="11">
    <w:abstractNumId w:val="13"/>
  </w:num>
  <w:num w:numId="12">
    <w:abstractNumId w:val="6"/>
  </w:num>
  <w:num w:numId="13">
    <w:abstractNumId w:val="1"/>
  </w:num>
  <w:num w:numId="14">
    <w:abstractNumId w:val="19"/>
  </w:num>
  <w:num w:numId="15">
    <w:abstractNumId w:val="16"/>
  </w:num>
  <w:num w:numId="16">
    <w:abstractNumId w:val="0"/>
  </w:num>
  <w:num w:numId="17">
    <w:abstractNumId w:val="12"/>
  </w:num>
  <w:num w:numId="18">
    <w:abstractNumId w:val="15"/>
  </w:num>
  <w:num w:numId="19">
    <w:abstractNumId w:val="18"/>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7D9"/>
    <w:rsid w:val="0000374F"/>
    <w:rsid w:val="000133B8"/>
    <w:rsid w:val="000155A1"/>
    <w:rsid w:val="00022B51"/>
    <w:rsid w:val="000257EE"/>
    <w:rsid w:val="00031089"/>
    <w:rsid w:val="00031E90"/>
    <w:rsid w:val="00032558"/>
    <w:rsid w:val="00032767"/>
    <w:rsid w:val="0003303A"/>
    <w:rsid w:val="00035084"/>
    <w:rsid w:val="00053961"/>
    <w:rsid w:val="0005552F"/>
    <w:rsid w:val="00065CD1"/>
    <w:rsid w:val="00074401"/>
    <w:rsid w:val="00074B36"/>
    <w:rsid w:val="00074DDA"/>
    <w:rsid w:val="00083C5B"/>
    <w:rsid w:val="00090E45"/>
    <w:rsid w:val="00097E25"/>
    <w:rsid w:val="000A07A8"/>
    <w:rsid w:val="000A134F"/>
    <w:rsid w:val="000A4B18"/>
    <w:rsid w:val="000A51C6"/>
    <w:rsid w:val="000B1866"/>
    <w:rsid w:val="000B2ABE"/>
    <w:rsid w:val="000C0307"/>
    <w:rsid w:val="000C1762"/>
    <w:rsid w:val="000C1A7C"/>
    <w:rsid w:val="000C391B"/>
    <w:rsid w:val="000C6644"/>
    <w:rsid w:val="000D788E"/>
    <w:rsid w:val="000E055A"/>
    <w:rsid w:val="000E4641"/>
    <w:rsid w:val="000E5799"/>
    <w:rsid w:val="000E7621"/>
    <w:rsid w:val="000E7B3E"/>
    <w:rsid w:val="00103164"/>
    <w:rsid w:val="00110476"/>
    <w:rsid w:val="00110EB6"/>
    <w:rsid w:val="001133F3"/>
    <w:rsid w:val="00122383"/>
    <w:rsid w:val="001252AE"/>
    <w:rsid w:val="001300B9"/>
    <w:rsid w:val="001300BF"/>
    <w:rsid w:val="00131E3C"/>
    <w:rsid w:val="0013362F"/>
    <w:rsid w:val="0013762B"/>
    <w:rsid w:val="00144543"/>
    <w:rsid w:val="0014585A"/>
    <w:rsid w:val="00152D52"/>
    <w:rsid w:val="001572A9"/>
    <w:rsid w:val="00160CA5"/>
    <w:rsid w:val="001650CE"/>
    <w:rsid w:val="001651E0"/>
    <w:rsid w:val="001653BB"/>
    <w:rsid w:val="0017048F"/>
    <w:rsid w:val="0017607C"/>
    <w:rsid w:val="001778F2"/>
    <w:rsid w:val="00182943"/>
    <w:rsid w:val="00182A82"/>
    <w:rsid w:val="001869FA"/>
    <w:rsid w:val="001877F1"/>
    <w:rsid w:val="001917E8"/>
    <w:rsid w:val="00192C9E"/>
    <w:rsid w:val="00193BE9"/>
    <w:rsid w:val="001A27BE"/>
    <w:rsid w:val="001A4716"/>
    <w:rsid w:val="001A5843"/>
    <w:rsid w:val="001A6B90"/>
    <w:rsid w:val="001A7276"/>
    <w:rsid w:val="001C6DC0"/>
    <w:rsid w:val="001D255F"/>
    <w:rsid w:val="001D6A56"/>
    <w:rsid w:val="001E328F"/>
    <w:rsid w:val="001E4296"/>
    <w:rsid w:val="002023AA"/>
    <w:rsid w:val="00205555"/>
    <w:rsid w:val="0021267E"/>
    <w:rsid w:val="00215FBF"/>
    <w:rsid w:val="002200FE"/>
    <w:rsid w:val="0022268E"/>
    <w:rsid w:val="00226C36"/>
    <w:rsid w:val="00230CDD"/>
    <w:rsid w:val="00231A22"/>
    <w:rsid w:val="00231B0E"/>
    <w:rsid w:val="00237C74"/>
    <w:rsid w:val="002422FC"/>
    <w:rsid w:val="00247B20"/>
    <w:rsid w:val="00260417"/>
    <w:rsid w:val="00262816"/>
    <w:rsid w:val="0026495C"/>
    <w:rsid w:val="00272097"/>
    <w:rsid w:val="002737C1"/>
    <w:rsid w:val="002743CE"/>
    <w:rsid w:val="002879F1"/>
    <w:rsid w:val="00295974"/>
    <w:rsid w:val="00295F3E"/>
    <w:rsid w:val="00297558"/>
    <w:rsid w:val="002A1C1B"/>
    <w:rsid w:val="002A2158"/>
    <w:rsid w:val="002B118D"/>
    <w:rsid w:val="002B2D02"/>
    <w:rsid w:val="002B3110"/>
    <w:rsid w:val="002B4FF9"/>
    <w:rsid w:val="002C21FA"/>
    <w:rsid w:val="002C26B3"/>
    <w:rsid w:val="002C3A87"/>
    <w:rsid w:val="002C7E65"/>
    <w:rsid w:val="002D1293"/>
    <w:rsid w:val="002D240B"/>
    <w:rsid w:val="002D35EC"/>
    <w:rsid w:val="002D6567"/>
    <w:rsid w:val="002D7377"/>
    <w:rsid w:val="002D7EC9"/>
    <w:rsid w:val="002F2677"/>
    <w:rsid w:val="002F37FC"/>
    <w:rsid w:val="0030550C"/>
    <w:rsid w:val="003058B5"/>
    <w:rsid w:val="0031029B"/>
    <w:rsid w:val="00311F6E"/>
    <w:rsid w:val="00314447"/>
    <w:rsid w:val="00316014"/>
    <w:rsid w:val="0032497D"/>
    <w:rsid w:val="0033367C"/>
    <w:rsid w:val="00336F01"/>
    <w:rsid w:val="0033711B"/>
    <w:rsid w:val="00341106"/>
    <w:rsid w:val="003411F8"/>
    <w:rsid w:val="00345941"/>
    <w:rsid w:val="003529BE"/>
    <w:rsid w:val="00354B55"/>
    <w:rsid w:val="00364CDF"/>
    <w:rsid w:val="00374889"/>
    <w:rsid w:val="00392C5F"/>
    <w:rsid w:val="00394BE9"/>
    <w:rsid w:val="00396203"/>
    <w:rsid w:val="003974FB"/>
    <w:rsid w:val="00397877"/>
    <w:rsid w:val="00397C52"/>
    <w:rsid w:val="003A0030"/>
    <w:rsid w:val="003A2771"/>
    <w:rsid w:val="003A5BA8"/>
    <w:rsid w:val="003B1B92"/>
    <w:rsid w:val="003B2147"/>
    <w:rsid w:val="003C1DBE"/>
    <w:rsid w:val="003C7F0D"/>
    <w:rsid w:val="003D5300"/>
    <w:rsid w:val="003D5C6D"/>
    <w:rsid w:val="003D6024"/>
    <w:rsid w:val="003D6252"/>
    <w:rsid w:val="003D76D8"/>
    <w:rsid w:val="003E1B7E"/>
    <w:rsid w:val="003F5E28"/>
    <w:rsid w:val="003F63E1"/>
    <w:rsid w:val="0040196D"/>
    <w:rsid w:val="00407903"/>
    <w:rsid w:val="0041533F"/>
    <w:rsid w:val="00422AFB"/>
    <w:rsid w:val="00432C41"/>
    <w:rsid w:val="00441BE7"/>
    <w:rsid w:val="00441C4E"/>
    <w:rsid w:val="004458B6"/>
    <w:rsid w:val="004513D7"/>
    <w:rsid w:val="00454055"/>
    <w:rsid w:val="00454170"/>
    <w:rsid w:val="004733EF"/>
    <w:rsid w:val="00475290"/>
    <w:rsid w:val="0047582B"/>
    <w:rsid w:val="004759FB"/>
    <w:rsid w:val="00482C87"/>
    <w:rsid w:val="0048307C"/>
    <w:rsid w:val="004915E8"/>
    <w:rsid w:val="004953E8"/>
    <w:rsid w:val="00495702"/>
    <w:rsid w:val="004A23ED"/>
    <w:rsid w:val="004A6EF7"/>
    <w:rsid w:val="004B3985"/>
    <w:rsid w:val="004C4E36"/>
    <w:rsid w:val="004D41E2"/>
    <w:rsid w:val="004D7235"/>
    <w:rsid w:val="004D7CD2"/>
    <w:rsid w:val="004E478B"/>
    <w:rsid w:val="004F3CF0"/>
    <w:rsid w:val="004F6F07"/>
    <w:rsid w:val="004F72BC"/>
    <w:rsid w:val="00500CA5"/>
    <w:rsid w:val="00500DCC"/>
    <w:rsid w:val="00501A2A"/>
    <w:rsid w:val="00515541"/>
    <w:rsid w:val="005209A2"/>
    <w:rsid w:val="00521A93"/>
    <w:rsid w:val="0052356A"/>
    <w:rsid w:val="00527609"/>
    <w:rsid w:val="0054520C"/>
    <w:rsid w:val="00551A18"/>
    <w:rsid w:val="00561AAD"/>
    <w:rsid w:val="00571998"/>
    <w:rsid w:val="005729F0"/>
    <w:rsid w:val="00581BCA"/>
    <w:rsid w:val="00581FE1"/>
    <w:rsid w:val="00584BA1"/>
    <w:rsid w:val="00586F73"/>
    <w:rsid w:val="005A348D"/>
    <w:rsid w:val="005A62ED"/>
    <w:rsid w:val="005A6F8B"/>
    <w:rsid w:val="005B3114"/>
    <w:rsid w:val="005B444B"/>
    <w:rsid w:val="005C02BA"/>
    <w:rsid w:val="005C2BAD"/>
    <w:rsid w:val="005E1B5B"/>
    <w:rsid w:val="005E4032"/>
    <w:rsid w:val="005E6CAD"/>
    <w:rsid w:val="005F0BC0"/>
    <w:rsid w:val="005F747F"/>
    <w:rsid w:val="005F7D10"/>
    <w:rsid w:val="0060437F"/>
    <w:rsid w:val="00610C6B"/>
    <w:rsid w:val="00614661"/>
    <w:rsid w:val="00624468"/>
    <w:rsid w:val="0063310D"/>
    <w:rsid w:val="006344F3"/>
    <w:rsid w:val="00635E45"/>
    <w:rsid w:val="0063754A"/>
    <w:rsid w:val="00637816"/>
    <w:rsid w:val="00645A65"/>
    <w:rsid w:val="00651645"/>
    <w:rsid w:val="006568DD"/>
    <w:rsid w:val="00661E74"/>
    <w:rsid w:val="00675330"/>
    <w:rsid w:val="00675836"/>
    <w:rsid w:val="00676560"/>
    <w:rsid w:val="00681DE8"/>
    <w:rsid w:val="0068450F"/>
    <w:rsid w:val="006863EE"/>
    <w:rsid w:val="00690E89"/>
    <w:rsid w:val="006950B6"/>
    <w:rsid w:val="0069631A"/>
    <w:rsid w:val="00697117"/>
    <w:rsid w:val="006978F7"/>
    <w:rsid w:val="006B04E8"/>
    <w:rsid w:val="006B5A4D"/>
    <w:rsid w:val="006B6094"/>
    <w:rsid w:val="006B6FC2"/>
    <w:rsid w:val="006C1022"/>
    <w:rsid w:val="006C295D"/>
    <w:rsid w:val="006D0192"/>
    <w:rsid w:val="006D01B1"/>
    <w:rsid w:val="006D1ABF"/>
    <w:rsid w:val="006E5E16"/>
    <w:rsid w:val="006F67DD"/>
    <w:rsid w:val="006F6C81"/>
    <w:rsid w:val="00701BBD"/>
    <w:rsid w:val="00701C89"/>
    <w:rsid w:val="00703510"/>
    <w:rsid w:val="00710720"/>
    <w:rsid w:val="00711CC5"/>
    <w:rsid w:val="00711DF8"/>
    <w:rsid w:val="0071288F"/>
    <w:rsid w:val="00712AB4"/>
    <w:rsid w:val="00714115"/>
    <w:rsid w:val="00714262"/>
    <w:rsid w:val="00722ADE"/>
    <w:rsid w:val="00732B6C"/>
    <w:rsid w:val="007362C2"/>
    <w:rsid w:val="00737F99"/>
    <w:rsid w:val="007444FC"/>
    <w:rsid w:val="007468B6"/>
    <w:rsid w:val="00751D14"/>
    <w:rsid w:val="00753F88"/>
    <w:rsid w:val="00754564"/>
    <w:rsid w:val="007567E9"/>
    <w:rsid w:val="007617D9"/>
    <w:rsid w:val="00761E14"/>
    <w:rsid w:val="007672AB"/>
    <w:rsid w:val="00773D44"/>
    <w:rsid w:val="00774A13"/>
    <w:rsid w:val="00776E87"/>
    <w:rsid w:val="00792783"/>
    <w:rsid w:val="00793E43"/>
    <w:rsid w:val="0079549D"/>
    <w:rsid w:val="00795600"/>
    <w:rsid w:val="007B3A91"/>
    <w:rsid w:val="007D076E"/>
    <w:rsid w:val="007D4158"/>
    <w:rsid w:val="007D5493"/>
    <w:rsid w:val="007E1F18"/>
    <w:rsid w:val="007E6C06"/>
    <w:rsid w:val="007F610C"/>
    <w:rsid w:val="00801834"/>
    <w:rsid w:val="00805A9B"/>
    <w:rsid w:val="00805CE7"/>
    <w:rsid w:val="008100E3"/>
    <w:rsid w:val="008109FD"/>
    <w:rsid w:val="0081259F"/>
    <w:rsid w:val="00824DC9"/>
    <w:rsid w:val="008268E3"/>
    <w:rsid w:val="00833543"/>
    <w:rsid w:val="00834171"/>
    <w:rsid w:val="00834348"/>
    <w:rsid w:val="00835BF2"/>
    <w:rsid w:val="00836B64"/>
    <w:rsid w:val="00837834"/>
    <w:rsid w:val="008409DB"/>
    <w:rsid w:val="00847118"/>
    <w:rsid w:val="008528AE"/>
    <w:rsid w:val="00856353"/>
    <w:rsid w:val="0085653F"/>
    <w:rsid w:val="00876859"/>
    <w:rsid w:val="00884744"/>
    <w:rsid w:val="00892ED9"/>
    <w:rsid w:val="008A52E7"/>
    <w:rsid w:val="008A57E8"/>
    <w:rsid w:val="008C375C"/>
    <w:rsid w:val="008C7864"/>
    <w:rsid w:val="008D5331"/>
    <w:rsid w:val="008F088C"/>
    <w:rsid w:val="008F11B0"/>
    <w:rsid w:val="008F3280"/>
    <w:rsid w:val="00913291"/>
    <w:rsid w:val="00913F33"/>
    <w:rsid w:val="00917A97"/>
    <w:rsid w:val="00920B1A"/>
    <w:rsid w:val="00921681"/>
    <w:rsid w:val="0092208B"/>
    <w:rsid w:val="009233F7"/>
    <w:rsid w:val="00930779"/>
    <w:rsid w:val="00943834"/>
    <w:rsid w:val="009458E7"/>
    <w:rsid w:val="00952CC0"/>
    <w:rsid w:val="00953CBA"/>
    <w:rsid w:val="00956697"/>
    <w:rsid w:val="0095698F"/>
    <w:rsid w:val="00957F17"/>
    <w:rsid w:val="00963CCF"/>
    <w:rsid w:val="009655AA"/>
    <w:rsid w:val="00971D12"/>
    <w:rsid w:val="00983CEE"/>
    <w:rsid w:val="009851DB"/>
    <w:rsid w:val="009852D6"/>
    <w:rsid w:val="00994C71"/>
    <w:rsid w:val="009A04B1"/>
    <w:rsid w:val="009A3153"/>
    <w:rsid w:val="009A4E97"/>
    <w:rsid w:val="009A7335"/>
    <w:rsid w:val="009C25E0"/>
    <w:rsid w:val="009E1573"/>
    <w:rsid w:val="009F43D1"/>
    <w:rsid w:val="00A06569"/>
    <w:rsid w:val="00A129EE"/>
    <w:rsid w:val="00A1783E"/>
    <w:rsid w:val="00A26722"/>
    <w:rsid w:val="00A31477"/>
    <w:rsid w:val="00A322AB"/>
    <w:rsid w:val="00A4492E"/>
    <w:rsid w:val="00A5055B"/>
    <w:rsid w:val="00A526C0"/>
    <w:rsid w:val="00A52FCC"/>
    <w:rsid w:val="00A5622B"/>
    <w:rsid w:val="00A665BB"/>
    <w:rsid w:val="00A71A06"/>
    <w:rsid w:val="00A7233B"/>
    <w:rsid w:val="00A73813"/>
    <w:rsid w:val="00A802D1"/>
    <w:rsid w:val="00A839B9"/>
    <w:rsid w:val="00A96AB6"/>
    <w:rsid w:val="00AA29B3"/>
    <w:rsid w:val="00AA4D0C"/>
    <w:rsid w:val="00AB17A7"/>
    <w:rsid w:val="00AB48C1"/>
    <w:rsid w:val="00AB6B51"/>
    <w:rsid w:val="00AC17CC"/>
    <w:rsid w:val="00AC1EB4"/>
    <w:rsid w:val="00AC23A0"/>
    <w:rsid w:val="00AC56FA"/>
    <w:rsid w:val="00AC6560"/>
    <w:rsid w:val="00AD09FF"/>
    <w:rsid w:val="00AD4355"/>
    <w:rsid w:val="00B0087F"/>
    <w:rsid w:val="00B1375C"/>
    <w:rsid w:val="00B257A0"/>
    <w:rsid w:val="00B261A5"/>
    <w:rsid w:val="00B31DF0"/>
    <w:rsid w:val="00B41A98"/>
    <w:rsid w:val="00B431B1"/>
    <w:rsid w:val="00B574D1"/>
    <w:rsid w:val="00B64448"/>
    <w:rsid w:val="00B67F66"/>
    <w:rsid w:val="00B76664"/>
    <w:rsid w:val="00B8092E"/>
    <w:rsid w:val="00B909B2"/>
    <w:rsid w:val="00BA6032"/>
    <w:rsid w:val="00BA6829"/>
    <w:rsid w:val="00BA7FF3"/>
    <w:rsid w:val="00BB4272"/>
    <w:rsid w:val="00BC1583"/>
    <w:rsid w:val="00BC32C1"/>
    <w:rsid w:val="00BD0F92"/>
    <w:rsid w:val="00BD780B"/>
    <w:rsid w:val="00BD7960"/>
    <w:rsid w:val="00BE0FCD"/>
    <w:rsid w:val="00BE1DA3"/>
    <w:rsid w:val="00BE7FE6"/>
    <w:rsid w:val="00BF0209"/>
    <w:rsid w:val="00BF175E"/>
    <w:rsid w:val="00C1206E"/>
    <w:rsid w:val="00C122AC"/>
    <w:rsid w:val="00C12BD1"/>
    <w:rsid w:val="00C173A4"/>
    <w:rsid w:val="00C17C8D"/>
    <w:rsid w:val="00C20FFE"/>
    <w:rsid w:val="00C24971"/>
    <w:rsid w:val="00C249FE"/>
    <w:rsid w:val="00C25E45"/>
    <w:rsid w:val="00C2780B"/>
    <w:rsid w:val="00C27F1F"/>
    <w:rsid w:val="00C33C9A"/>
    <w:rsid w:val="00C340D9"/>
    <w:rsid w:val="00C36434"/>
    <w:rsid w:val="00C51ABF"/>
    <w:rsid w:val="00C733E5"/>
    <w:rsid w:val="00C75AC9"/>
    <w:rsid w:val="00C77935"/>
    <w:rsid w:val="00C84114"/>
    <w:rsid w:val="00C861C7"/>
    <w:rsid w:val="00C91F3B"/>
    <w:rsid w:val="00CA41A8"/>
    <w:rsid w:val="00CE00EB"/>
    <w:rsid w:val="00CE42E2"/>
    <w:rsid w:val="00CE768D"/>
    <w:rsid w:val="00CF2815"/>
    <w:rsid w:val="00D02E9C"/>
    <w:rsid w:val="00D033C8"/>
    <w:rsid w:val="00D10432"/>
    <w:rsid w:val="00D20C3A"/>
    <w:rsid w:val="00D212E2"/>
    <w:rsid w:val="00D31BE8"/>
    <w:rsid w:val="00D4060A"/>
    <w:rsid w:val="00D434BC"/>
    <w:rsid w:val="00D44A9D"/>
    <w:rsid w:val="00D54155"/>
    <w:rsid w:val="00D63397"/>
    <w:rsid w:val="00D711ED"/>
    <w:rsid w:val="00D715C8"/>
    <w:rsid w:val="00D744F9"/>
    <w:rsid w:val="00D7593E"/>
    <w:rsid w:val="00D76295"/>
    <w:rsid w:val="00D83C98"/>
    <w:rsid w:val="00D92EE9"/>
    <w:rsid w:val="00D93C7F"/>
    <w:rsid w:val="00D94076"/>
    <w:rsid w:val="00DB3F56"/>
    <w:rsid w:val="00DB6092"/>
    <w:rsid w:val="00DD073A"/>
    <w:rsid w:val="00DD4A0F"/>
    <w:rsid w:val="00DD4D73"/>
    <w:rsid w:val="00DD60FC"/>
    <w:rsid w:val="00DE30B3"/>
    <w:rsid w:val="00DE6E64"/>
    <w:rsid w:val="00DF2FEE"/>
    <w:rsid w:val="00DF65D2"/>
    <w:rsid w:val="00E02421"/>
    <w:rsid w:val="00E02DCF"/>
    <w:rsid w:val="00E033C5"/>
    <w:rsid w:val="00E05467"/>
    <w:rsid w:val="00E06090"/>
    <w:rsid w:val="00E1621B"/>
    <w:rsid w:val="00E22D47"/>
    <w:rsid w:val="00E3167D"/>
    <w:rsid w:val="00E34778"/>
    <w:rsid w:val="00E34FF6"/>
    <w:rsid w:val="00E47464"/>
    <w:rsid w:val="00E56690"/>
    <w:rsid w:val="00E570B8"/>
    <w:rsid w:val="00E617C6"/>
    <w:rsid w:val="00E65660"/>
    <w:rsid w:val="00E66752"/>
    <w:rsid w:val="00E67201"/>
    <w:rsid w:val="00E70437"/>
    <w:rsid w:val="00E734D3"/>
    <w:rsid w:val="00E74236"/>
    <w:rsid w:val="00E76FBA"/>
    <w:rsid w:val="00E84DE2"/>
    <w:rsid w:val="00E86E59"/>
    <w:rsid w:val="00EA327B"/>
    <w:rsid w:val="00EA7B21"/>
    <w:rsid w:val="00EB093B"/>
    <w:rsid w:val="00EB5900"/>
    <w:rsid w:val="00EC084D"/>
    <w:rsid w:val="00EC5044"/>
    <w:rsid w:val="00EC538C"/>
    <w:rsid w:val="00EC5FD8"/>
    <w:rsid w:val="00ED0CBF"/>
    <w:rsid w:val="00ED4784"/>
    <w:rsid w:val="00EE3985"/>
    <w:rsid w:val="00EE78A5"/>
    <w:rsid w:val="00EF2907"/>
    <w:rsid w:val="00F0080D"/>
    <w:rsid w:val="00F027D5"/>
    <w:rsid w:val="00F05A71"/>
    <w:rsid w:val="00F07074"/>
    <w:rsid w:val="00F12FA4"/>
    <w:rsid w:val="00F14D2A"/>
    <w:rsid w:val="00F156C7"/>
    <w:rsid w:val="00F251D2"/>
    <w:rsid w:val="00F26C92"/>
    <w:rsid w:val="00F300DB"/>
    <w:rsid w:val="00F30593"/>
    <w:rsid w:val="00F31D41"/>
    <w:rsid w:val="00F322DF"/>
    <w:rsid w:val="00F332F7"/>
    <w:rsid w:val="00F37124"/>
    <w:rsid w:val="00F41C7C"/>
    <w:rsid w:val="00F5115F"/>
    <w:rsid w:val="00F5298F"/>
    <w:rsid w:val="00F529AC"/>
    <w:rsid w:val="00F55B5D"/>
    <w:rsid w:val="00F629EA"/>
    <w:rsid w:val="00F63CD6"/>
    <w:rsid w:val="00F726B6"/>
    <w:rsid w:val="00F737B1"/>
    <w:rsid w:val="00F743A2"/>
    <w:rsid w:val="00F74CBC"/>
    <w:rsid w:val="00F81F7F"/>
    <w:rsid w:val="00F8379E"/>
    <w:rsid w:val="00F84145"/>
    <w:rsid w:val="00F84FF1"/>
    <w:rsid w:val="00F86001"/>
    <w:rsid w:val="00F8707A"/>
    <w:rsid w:val="00FA1775"/>
    <w:rsid w:val="00FA1D44"/>
    <w:rsid w:val="00FB07D9"/>
    <w:rsid w:val="00FB0A0A"/>
    <w:rsid w:val="00FB2F69"/>
    <w:rsid w:val="00FB665B"/>
    <w:rsid w:val="00FB78B5"/>
    <w:rsid w:val="00FC5371"/>
    <w:rsid w:val="00FC65D2"/>
    <w:rsid w:val="00FC6630"/>
    <w:rsid w:val="00FC73AE"/>
    <w:rsid w:val="00FD32A9"/>
    <w:rsid w:val="00FE0311"/>
    <w:rsid w:val="00FE2354"/>
    <w:rsid w:val="00FE5DBE"/>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2228E8"/>
  <w15:chartTrackingRefBased/>
  <w15:docId w15:val="{AA921BBE-7DA5-4A20-A309-3E1CA066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7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B07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B07D9"/>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B07D9"/>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B07D9"/>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B07D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B07D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B07D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B07D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7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B07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B07D9"/>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B07D9"/>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B07D9"/>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B07D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B07D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B07D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B07D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B0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7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7D9"/>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7D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B07D9"/>
    <w:pPr>
      <w:spacing w:before="160"/>
      <w:jc w:val="center"/>
    </w:pPr>
    <w:rPr>
      <w:i/>
      <w:iCs/>
      <w:color w:val="404040" w:themeColor="text1" w:themeTint="BF"/>
    </w:rPr>
  </w:style>
  <w:style w:type="character" w:customStyle="1" w:styleId="QuoteChar">
    <w:name w:val="Quote Char"/>
    <w:basedOn w:val="DefaultParagraphFont"/>
    <w:link w:val="Quote"/>
    <w:uiPriority w:val="29"/>
    <w:rsid w:val="00FB07D9"/>
    <w:rPr>
      <w:i/>
      <w:iCs/>
      <w:color w:val="404040" w:themeColor="text1" w:themeTint="BF"/>
    </w:rPr>
  </w:style>
  <w:style w:type="paragraph" w:styleId="ListParagraph">
    <w:name w:val="List Paragraph"/>
    <w:basedOn w:val="Normal"/>
    <w:uiPriority w:val="34"/>
    <w:qFormat/>
    <w:rsid w:val="00FB07D9"/>
    <w:pPr>
      <w:ind w:left="720"/>
      <w:contextualSpacing/>
    </w:pPr>
  </w:style>
  <w:style w:type="character" w:styleId="IntenseEmphasis">
    <w:name w:val="Intense Emphasis"/>
    <w:basedOn w:val="DefaultParagraphFont"/>
    <w:uiPriority w:val="21"/>
    <w:qFormat/>
    <w:rsid w:val="00FB07D9"/>
    <w:rPr>
      <w:i/>
      <w:iCs/>
      <w:color w:val="2F5496" w:themeColor="accent1" w:themeShade="BF"/>
    </w:rPr>
  </w:style>
  <w:style w:type="paragraph" w:styleId="IntenseQuote">
    <w:name w:val="Intense Quote"/>
    <w:basedOn w:val="Normal"/>
    <w:next w:val="Normal"/>
    <w:link w:val="IntenseQuoteChar"/>
    <w:uiPriority w:val="30"/>
    <w:qFormat/>
    <w:rsid w:val="00FB07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B07D9"/>
    <w:rPr>
      <w:i/>
      <w:iCs/>
      <w:color w:val="2F5496" w:themeColor="accent1" w:themeShade="BF"/>
    </w:rPr>
  </w:style>
  <w:style w:type="character" w:styleId="IntenseReference">
    <w:name w:val="Intense Reference"/>
    <w:basedOn w:val="DefaultParagraphFont"/>
    <w:uiPriority w:val="32"/>
    <w:qFormat/>
    <w:rsid w:val="00FB07D9"/>
    <w:rPr>
      <w:b/>
      <w:bCs/>
      <w:smallCaps/>
      <w:color w:val="2F5496" w:themeColor="accent1" w:themeShade="BF"/>
      <w:spacing w:val="5"/>
    </w:rPr>
  </w:style>
  <w:style w:type="paragraph" w:styleId="NormalWeb">
    <w:name w:val="Normal (Web)"/>
    <w:basedOn w:val="Normal"/>
    <w:uiPriority w:val="99"/>
    <w:semiHidden/>
    <w:unhideWhenUsed/>
    <w:rsid w:val="003C7F0D"/>
    <w:rPr>
      <w:rFonts w:cs="Times New Roman"/>
      <w:szCs w:val="24"/>
    </w:rPr>
  </w:style>
  <w:style w:type="character" w:styleId="Hyperlink">
    <w:name w:val="Hyperlink"/>
    <w:basedOn w:val="DefaultParagraphFont"/>
    <w:uiPriority w:val="99"/>
    <w:unhideWhenUsed/>
    <w:rsid w:val="00EF2907"/>
    <w:rPr>
      <w:color w:val="0563C1" w:themeColor="hyperlink"/>
      <w:u w:val="single"/>
    </w:rPr>
  </w:style>
  <w:style w:type="character" w:styleId="UnresolvedMention">
    <w:name w:val="Unresolved Mention"/>
    <w:basedOn w:val="DefaultParagraphFont"/>
    <w:uiPriority w:val="99"/>
    <w:semiHidden/>
    <w:unhideWhenUsed/>
    <w:rsid w:val="00EF2907"/>
    <w:rPr>
      <w:color w:val="605E5C"/>
      <w:shd w:val="clear" w:color="auto" w:fill="E1DFDD"/>
    </w:rPr>
  </w:style>
  <w:style w:type="character" w:styleId="CommentReference">
    <w:name w:val="annotation reference"/>
    <w:basedOn w:val="DefaultParagraphFont"/>
    <w:uiPriority w:val="99"/>
    <w:semiHidden/>
    <w:unhideWhenUsed/>
    <w:rsid w:val="00B257A0"/>
    <w:rPr>
      <w:sz w:val="16"/>
      <w:szCs w:val="16"/>
    </w:rPr>
  </w:style>
  <w:style w:type="paragraph" w:styleId="CommentText">
    <w:name w:val="annotation text"/>
    <w:basedOn w:val="Normal"/>
    <w:link w:val="CommentTextChar"/>
    <w:uiPriority w:val="99"/>
    <w:unhideWhenUsed/>
    <w:rsid w:val="00B257A0"/>
    <w:pPr>
      <w:spacing w:line="240" w:lineRule="auto"/>
    </w:pPr>
    <w:rPr>
      <w:sz w:val="20"/>
      <w:szCs w:val="20"/>
    </w:rPr>
  </w:style>
  <w:style w:type="character" w:customStyle="1" w:styleId="CommentTextChar">
    <w:name w:val="Comment Text Char"/>
    <w:basedOn w:val="DefaultParagraphFont"/>
    <w:link w:val="CommentText"/>
    <w:uiPriority w:val="99"/>
    <w:rsid w:val="00B257A0"/>
    <w:rPr>
      <w:sz w:val="20"/>
      <w:szCs w:val="20"/>
    </w:rPr>
  </w:style>
  <w:style w:type="paragraph" w:styleId="CommentSubject">
    <w:name w:val="annotation subject"/>
    <w:basedOn w:val="CommentText"/>
    <w:next w:val="CommentText"/>
    <w:link w:val="CommentSubjectChar"/>
    <w:uiPriority w:val="99"/>
    <w:semiHidden/>
    <w:unhideWhenUsed/>
    <w:rsid w:val="00B257A0"/>
    <w:rPr>
      <w:b/>
      <w:bCs/>
    </w:rPr>
  </w:style>
  <w:style w:type="character" w:customStyle="1" w:styleId="CommentSubjectChar">
    <w:name w:val="Comment Subject Char"/>
    <w:basedOn w:val="CommentTextChar"/>
    <w:link w:val="CommentSubject"/>
    <w:uiPriority w:val="99"/>
    <w:semiHidden/>
    <w:rsid w:val="00B257A0"/>
    <w:rPr>
      <w:b/>
      <w:bCs/>
      <w:sz w:val="20"/>
      <w:szCs w:val="20"/>
    </w:rPr>
  </w:style>
  <w:style w:type="character" w:styleId="Emphasis">
    <w:name w:val="Emphasis"/>
    <w:basedOn w:val="DefaultParagraphFont"/>
    <w:uiPriority w:val="20"/>
    <w:qFormat/>
    <w:rsid w:val="00CE00EB"/>
    <w:rPr>
      <w:i/>
      <w:iCs/>
    </w:rPr>
  </w:style>
  <w:style w:type="paragraph" w:styleId="Header">
    <w:name w:val="header"/>
    <w:basedOn w:val="Normal"/>
    <w:link w:val="HeaderChar"/>
    <w:uiPriority w:val="99"/>
    <w:unhideWhenUsed/>
    <w:rsid w:val="006E5E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5E16"/>
  </w:style>
  <w:style w:type="paragraph" w:styleId="Footer">
    <w:name w:val="footer"/>
    <w:basedOn w:val="Normal"/>
    <w:link w:val="FooterChar"/>
    <w:uiPriority w:val="99"/>
    <w:unhideWhenUsed/>
    <w:rsid w:val="006E5E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5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706526">
      <w:bodyDiv w:val="1"/>
      <w:marLeft w:val="0"/>
      <w:marRight w:val="0"/>
      <w:marTop w:val="0"/>
      <w:marBottom w:val="0"/>
      <w:divBdr>
        <w:top w:val="none" w:sz="0" w:space="0" w:color="auto"/>
        <w:left w:val="none" w:sz="0" w:space="0" w:color="auto"/>
        <w:bottom w:val="none" w:sz="0" w:space="0" w:color="auto"/>
        <w:right w:val="none" w:sz="0" w:space="0" w:color="auto"/>
      </w:divBdr>
    </w:div>
    <w:div w:id="293633340">
      <w:bodyDiv w:val="1"/>
      <w:marLeft w:val="0"/>
      <w:marRight w:val="0"/>
      <w:marTop w:val="0"/>
      <w:marBottom w:val="0"/>
      <w:divBdr>
        <w:top w:val="none" w:sz="0" w:space="0" w:color="auto"/>
        <w:left w:val="none" w:sz="0" w:space="0" w:color="auto"/>
        <w:bottom w:val="none" w:sz="0" w:space="0" w:color="auto"/>
        <w:right w:val="none" w:sz="0" w:space="0" w:color="auto"/>
      </w:divBdr>
    </w:div>
    <w:div w:id="429670081">
      <w:bodyDiv w:val="1"/>
      <w:marLeft w:val="0"/>
      <w:marRight w:val="0"/>
      <w:marTop w:val="0"/>
      <w:marBottom w:val="0"/>
      <w:divBdr>
        <w:top w:val="none" w:sz="0" w:space="0" w:color="auto"/>
        <w:left w:val="none" w:sz="0" w:space="0" w:color="auto"/>
        <w:bottom w:val="none" w:sz="0" w:space="0" w:color="auto"/>
        <w:right w:val="none" w:sz="0" w:space="0" w:color="auto"/>
      </w:divBdr>
    </w:div>
    <w:div w:id="432825874">
      <w:bodyDiv w:val="1"/>
      <w:marLeft w:val="0"/>
      <w:marRight w:val="0"/>
      <w:marTop w:val="0"/>
      <w:marBottom w:val="0"/>
      <w:divBdr>
        <w:top w:val="none" w:sz="0" w:space="0" w:color="auto"/>
        <w:left w:val="none" w:sz="0" w:space="0" w:color="auto"/>
        <w:bottom w:val="none" w:sz="0" w:space="0" w:color="auto"/>
        <w:right w:val="none" w:sz="0" w:space="0" w:color="auto"/>
      </w:divBdr>
    </w:div>
    <w:div w:id="483472471">
      <w:bodyDiv w:val="1"/>
      <w:marLeft w:val="0"/>
      <w:marRight w:val="0"/>
      <w:marTop w:val="0"/>
      <w:marBottom w:val="0"/>
      <w:divBdr>
        <w:top w:val="none" w:sz="0" w:space="0" w:color="auto"/>
        <w:left w:val="none" w:sz="0" w:space="0" w:color="auto"/>
        <w:bottom w:val="none" w:sz="0" w:space="0" w:color="auto"/>
        <w:right w:val="none" w:sz="0" w:space="0" w:color="auto"/>
      </w:divBdr>
    </w:div>
    <w:div w:id="550577782">
      <w:bodyDiv w:val="1"/>
      <w:marLeft w:val="0"/>
      <w:marRight w:val="0"/>
      <w:marTop w:val="0"/>
      <w:marBottom w:val="0"/>
      <w:divBdr>
        <w:top w:val="none" w:sz="0" w:space="0" w:color="auto"/>
        <w:left w:val="none" w:sz="0" w:space="0" w:color="auto"/>
        <w:bottom w:val="none" w:sz="0" w:space="0" w:color="auto"/>
        <w:right w:val="none" w:sz="0" w:space="0" w:color="auto"/>
      </w:divBdr>
      <w:divsChild>
        <w:div w:id="1290211533">
          <w:marLeft w:val="0"/>
          <w:marRight w:val="0"/>
          <w:marTop w:val="0"/>
          <w:marBottom w:val="45"/>
          <w:divBdr>
            <w:top w:val="none" w:sz="0" w:space="0" w:color="auto"/>
            <w:left w:val="none" w:sz="0" w:space="0" w:color="auto"/>
            <w:bottom w:val="none" w:sz="0" w:space="0" w:color="auto"/>
            <w:right w:val="none" w:sz="0" w:space="0" w:color="auto"/>
          </w:divBdr>
        </w:div>
      </w:divsChild>
    </w:div>
    <w:div w:id="568729807">
      <w:bodyDiv w:val="1"/>
      <w:marLeft w:val="0"/>
      <w:marRight w:val="0"/>
      <w:marTop w:val="0"/>
      <w:marBottom w:val="0"/>
      <w:divBdr>
        <w:top w:val="none" w:sz="0" w:space="0" w:color="auto"/>
        <w:left w:val="none" w:sz="0" w:space="0" w:color="auto"/>
        <w:bottom w:val="none" w:sz="0" w:space="0" w:color="auto"/>
        <w:right w:val="none" w:sz="0" w:space="0" w:color="auto"/>
      </w:divBdr>
      <w:divsChild>
        <w:div w:id="534924761">
          <w:marLeft w:val="0"/>
          <w:marRight w:val="0"/>
          <w:marTop w:val="0"/>
          <w:marBottom w:val="0"/>
          <w:divBdr>
            <w:top w:val="none" w:sz="0" w:space="0" w:color="auto"/>
            <w:left w:val="none" w:sz="0" w:space="0" w:color="auto"/>
            <w:bottom w:val="none" w:sz="0" w:space="0" w:color="auto"/>
            <w:right w:val="none" w:sz="0" w:space="0" w:color="auto"/>
          </w:divBdr>
          <w:divsChild>
            <w:div w:id="1707216064">
              <w:marLeft w:val="0"/>
              <w:marRight w:val="0"/>
              <w:marTop w:val="0"/>
              <w:marBottom w:val="0"/>
              <w:divBdr>
                <w:top w:val="none" w:sz="0" w:space="0" w:color="auto"/>
                <w:left w:val="none" w:sz="0" w:space="0" w:color="auto"/>
                <w:bottom w:val="none" w:sz="0" w:space="0" w:color="auto"/>
                <w:right w:val="none" w:sz="0" w:space="0" w:color="auto"/>
              </w:divBdr>
              <w:divsChild>
                <w:div w:id="1613633220">
                  <w:marLeft w:val="0"/>
                  <w:marRight w:val="0"/>
                  <w:marTop w:val="0"/>
                  <w:marBottom w:val="0"/>
                  <w:divBdr>
                    <w:top w:val="none" w:sz="0" w:space="0" w:color="auto"/>
                    <w:left w:val="none" w:sz="0" w:space="0" w:color="auto"/>
                    <w:bottom w:val="none" w:sz="0" w:space="0" w:color="auto"/>
                    <w:right w:val="none" w:sz="0" w:space="0" w:color="auto"/>
                  </w:divBdr>
                  <w:divsChild>
                    <w:div w:id="1629164908">
                      <w:marLeft w:val="0"/>
                      <w:marRight w:val="0"/>
                      <w:marTop w:val="0"/>
                      <w:marBottom w:val="0"/>
                      <w:divBdr>
                        <w:top w:val="none" w:sz="0" w:space="0" w:color="auto"/>
                        <w:left w:val="none" w:sz="0" w:space="0" w:color="auto"/>
                        <w:bottom w:val="none" w:sz="0" w:space="0" w:color="auto"/>
                        <w:right w:val="none" w:sz="0" w:space="0" w:color="auto"/>
                      </w:divBdr>
                      <w:divsChild>
                        <w:div w:id="872499865">
                          <w:marLeft w:val="0"/>
                          <w:marRight w:val="0"/>
                          <w:marTop w:val="0"/>
                          <w:marBottom w:val="0"/>
                          <w:divBdr>
                            <w:top w:val="none" w:sz="0" w:space="0" w:color="auto"/>
                            <w:left w:val="none" w:sz="0" w:space="0" w:color="auto"/>
                            <w:bottom w:val="none" w:sz="0" w:space="0" w:color="auto"/>
                            <w:right w:val="none" w:sz="0" w:space="0" w:color="auto"/>
                          </w:divBdr>
                          <w:divsChild>
                            <w:div w:id="1776515065">
                              <w:marLeft w:val="0"/>
                              <w:marRight w:val="0"/>
                              <w:marTop w:val="0"/>
                              <w:marBottom w:val="0"/>
                              <w:divBdr>
                                <w:top w:val="none" w:sz="0" w:space="0" w:color="auto"/>
                                <w:left w:val="none" w:sz="0" w:space="0" w:color="auto"/>
                                <w:bottom w:val="none" w:sz="0" w:space="0" w:color="auto"/>
                                <w:right w:val="none" w:sz="0" w:space="0" w:color="auto"/>
                              </w:divBdr>
                              <w:divsChild>
                                <w:div w:id="605042161">
                                  <w:marLeft w:val="0"/>
                                  <w:marRight w:val="0"/>
                                  <w:marTop w:val="0"/>
                                  <w:marBottom w:val="0"/>
                                  <w:divBdr>
                                    <w:top w:val="none" w:sz="0" w:space="0" w:color="auto"/>
                                    <w:left w:val="none" w:sz="0" w:space="0" w:color="auto"/>
                                    <w:bottom w:val="none" w:sz="0" w:space="0" w:color="auto"/>
                                    <w:right w:val="none" w:sz="0" w:space="0" w:color="auto"/>
                                  </w:divBdr>
                                  <w:divsChild>
                                    <w:div w:id="943879784">
                                      <w:marLeft w:val="0"/>
                                      <w:marRight w:val="0"/>
                                      <w:marTop w:val="0"/>
                                      <w:marBottom w:val="0"/>
                                      <w:divBdr>
                                        <w:top w:val="none" w:sz="0" w:space="0" w:color="auto"/>
                                        <w:left w:val="none" w:sz="0" w:space="0" w:color="auto"/>
                                        <w:bottom w:val="none" w:sz="0" w:space="0" w:color="auto"/>
                                        <w:right w:val="none" w:sz="0" w:space="0" w:color="auto"/>
                                      </w:divBdr>
                                      <w:divsChild>
                                        <w:div w:id="102307322">
                                          <w:marLeft w:val="0"/>
                                          <w:marRight w:val="0"/>
                                          <w:marTop w:val="0"/>
                                          <w:marBottom w:val="0"/>
                                          <w:divBdr>
                                            <w:top w:val="none" w:sz="0" w:space="0" w:color="auto"/>
                                            <w:left w:val="none" w:sz="0" w:space="0" w:color="auto"/>
                                            <w:bottom w:val="none" w:sz="0" w:space="0" w:color="auto"/>
                                            <w:right w:val="none" w:sz="0" w:space="0" w:color="auto"/>
                                          </w:divBdr>
                                          <w:divsChild>
                                            <w:div w:id="1321882223">
                                              <w:marLeft w:val="0"/>
                                              <w:marRight w:val="0"/>
                                              <w:marTop w:val="0"/>
                                              <w:marBottom w:val="0"/>
                                              <w:divBdr>
                                                <w:top w:val="none" w:sz="0" w:space="0" w:color="auto"/>
                                                <w:left w:val="none" w:sz="0" w:space="0" w:color="auto"/>
                                                <w:bottom w:val="none" w:sz="0" w:space="0" w:color="auto"/>
                                                <w:right w:val="none" w:sz="0" w:space="0" w:color="auto"/>
                                              </w:divBdr>
                                              <w:divsChild>
                                                <w:div w:id="1219514749">
                                                  <w:marLeft w:val="0"/>
                                                  <w:marRight w:val="0"/>
                                                  <w:marTop w:val="0"/>
                                                  <w:marBottom w:val="0"/>
                                                  <w:divBdr>
                                                    <w:top w:val="none" w:sz="0" w:space="0" w:color="auto"/>
                                                    <w:left w:val="none" w:sz="0" w:space="0" w:color="auto"/>
                                                    <w:bottom w:val="none" w:sz="0" w:space="0" w:color="auto"/>
                                                    <w:right w:val="none" w:sz="0" w:space="0" w:color="auto"/>
                                                  </w:divBdr>
                                                  <w:divsChild>
                                                    <w:div w:id="41759172">
                                                      <w:marLeft w:val="0"/>
                                                      <w:marRight w:val="0"/>
                                                      <w:marTop w:val="0"/>
                                                      <w:marBottom w:val="0"/>
                                                      <w:divBdr>
                                                        <w:top w:val="none" w:sz="0" w:space="0" w:color="auto"/>
                                                        <w:left w:val="none" w:sz="0" w:space="0" w:color="auto"/>
                                                        <w:bottom w:val="none" w:sz="0" w:space="0" w:color="auto"/>
                                                        <w:right w:val="none" w:sz="0" w:space="0" w:color="auto"/>
                                                      </w:divBdr>
                                                      <w:divsChild>
                                                        <w:div w:id="72119371">
                                                          <w:marLeft w:val="0"/>
                                                          <w:marRight w:val="0"/>
                                                          <w:marTop w:val="0"/>
                                                          <w:marBottom w:val="0"/>
                                                          <w:divBdr>
                                                            <w:top w:val="none" w:sz="0" w:space="0" w:color="auto"/>
                                                            <w:left w:val="none" w:sz="0" w:space="0" w:color="auto"/>
                                                            <w:bottom w:val="none" w:sz="0" w:space="0" w:color="auto"/>
                                                            <w:right w:val="none" w:sz="0" w:space="0" w:color="auto"/>
                                                          </w:divBdr>
                                                          <w:divsChild>
                                                            <w:div w:id="149556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7704379">
      <w:bodyDiv w:val="1"/>
      <w:marLeft w:val="0"/>
      <w:marRight w:val="0"/>
      <w:marTop w:val="0"/>
      <w:marBottom w:val="0"/>
      <w:divBdr>
        <w:top w:val="none" w:sz="0" w:space="0" w:color="auto"/>
        <w:left w:val="none" w:sz="0" w:space="0" w:color="auto"/>
        <w:bottom w:val="none" w:sz="0" w:space="0" w:color="auto"/>
        <w:right w:val="none" w:sz="0" w:space="0" w:color="auto"/>
      </w:divBdr>
    </w:div>
    <w:div w:id="685444444">
      <w:bodyDiv w:val="1"/>
      <w:marLeft w:val="0"/>
      <w:marRight w:val="0"/>
      <w:marTop w:val="0"/>
      <w:marBottom w:val="0"/>
      <w:divBdr>
        <w:top w:val="none" w:sz="0" w:space="0" w:color="auto"/>
        <w:left w:val="none" w:sz="0" w:space="0" w:color="auto"/>
        <w:bottom w:val="none" w:sz="0" w:space="0" w:color="auto"/>
        <w:right w:val="none" w:sz="0" w:space="0" w:color="auto"/>
      </w:divBdr>
    </w:div>
    <w:div w:id="825707551">
      <w:bodyDiv w:val="1"/>
      <w:marLeft w:val="0"/>
      <w:marRight w:val="0"/>
      <w:marTop w:val="0"/>
      <w:marBottom w:val="0"/>
      <w:divBdr>
        <w:top w:val="none" w:sz="0" w:space="0" w:color="auto"/>
        <w:left w:val="none" w:sz="0" w:space="0" w:color="auto"/>
        <w:bottom w:val="none" w:sz="0" w:space="0" w:color="auto"/>
        <w:right w:val="none" w:sz="0" w:space="0" w:color="auto"/>
      </w:divBdr>
    </w:div>
    <w:div w:id="905603597">
      <w:bodyDiv w:val="1"/>
      <w:marLeft w:val="0"/>
      <w:marRight w:val="0"/>
      <w:marTop w:val="0"/>
      <w:marBottom w:val="0"/>
      <w:divBdr>
        <w:top w:val="none" w:sz="0" w:space="0" w:color="auto"/>
        <w:left w:val="none" w:sz="0" w:space="0" w:color="auto"/>
        <w:bottom w:val="none" w:sz="0" w:space="0" w:color="auto"/>
        <w:right w:val="none" w:sz="0" w:space="0" w:color="auto"/>
      </w:divBdr>
    </w:div>
    <w:div w:id="936525593">
      <w:bodyDiv w:val="1"/>
      <w:marLeft w:val="0"/>
      <w:marRight w:val="0"/>
      <w:marTop w:val="0"/>
      <w:marBottom w:val="0"/>
      <w:divBdr>
        <w:top w:val="none" w:sz="0" w:space="0" w:color="auto"/>
        <w:left w:val="none" w:sz="0" w:space="0" w:color="auto"/>
        <w:bottom w:val="none" w:sz="0" w:space="0" w:color="auto"/>
        <w:right w:val="none" w:sz="0" w:space="0" w:color="auto"/>
      </w:divBdr>
    </w:div>
    <w:div w:id="994067398">
      <w:bodyDiv w:val="1"/>
      <w:marLeft w:val="0"/>
      <w:marRight w:val="0"/>
      <w:marTop w:val="0"/>
      <w:marBottom w:val="0"/>
      <w:divBdr>
        <w:top w:val="none" w:sz="0" w:space="0" w:color="auto"/>
        <w:left w:val="none" w:sz="0" w:space="0" w:color="auto"/>
        <w:bottom w:val="none" w:sz="0" w:space="0" w:color="auto"/>
        <w:right w:val="none" w:sz="0" w:space="0" w:color="auto"/>
      </w:divBdr>
    </w:div>
    <w:div w:id="1025062809">
      <w:bodyDiv w:val="1"/>
      <w:marLeft w:val="0"/>
      <w:marRight w:val="0"/>
      <w:marTop w:val="0"/>
      <w:marBottom w:val="0"/>
      <w:divBdr>
        <w:top w:val="none" w:sz="0" w:space="0" w:color="auto"/>
        <w:left w:val="none" w:sz="0" w:space="0" w:color="auto"/>
        <w:bottom w:val="none" w:sz="0" w:space="0" w:color="auto"/>
        <w:right w:val="none" w:sz="0" w:space="0" w:color="auto"/>
      </w:divBdr>
    </w:div>
    <w:div w:id="1029598605">
      <w:bodyDiv w:val="1"/>
      <w:marLeft w:val="0"/>
      <w:marRight w:val="0"/>
      <w:marTop w:val="0"/>
      <w:marBottom w:val="0"/>
      <w:divBdr>
        <w:top w:val="none" w:sz="0" w:space="0" w:color="auto"/>
        <w:left w:val="none" w:sz="0" w:space="0" w:color="auto"/>
        <w:bottom w:val="none" w:sz="0" w:space="0" w:color="auto"/>
        <w:right w:val="none" w:sz="0" w:space="0" w:color="auto"/>
      </w:divBdr>
    </w:div>
    <w:div w:id="1087191410">
      <w:bodyDiv w:val="1"/>
      <w:marLeft w:val="0"/>
      <w:marRight w:val="0"/>
      <w:marTop w:val="0"/>
      <w:marBottom w:val="0"/>
      <w:divBdr>
        <w:top w:val="none" w:sz="0" w:space="0" w:color="auto"/>
        <w:left w:val="none" w:sz="0" w:space="0" w:color="auto"/>
        <w:bottom w:val="none" w:sz="0" w:space="0" w:color="auto"/>
        <w:right w:val="none" w:sz="0" w:space="0" w:color="auto"/>
      </w:divBdr>
    </w:div>
    <w:div w:id="1104155325">
      <w:bodyDiv w:val="1"/>
      <w:marLeft w:val="0"/>
      <w:marRight w:val="0"/>
      <w:marTop w:val="0"/>
      <w:marBottom w:val="0"/>
      <w:divBdr>
        <w:top w:val="none" w:sz="0" w:space="0" w:color="auto"/>
        <w:left w:val="none" w:sz="0" w:space="0" w:color="auto"/>
        <w:bottom w:val="none" w:sz="0" w:space="0" w:color="auto"/>
        <w:right w:val="none" w:sz="0" w:space="0" w:color="auto"/>
      </w:divBdr>
    </w:div>
    <w:div w:id="1112670701">
      <w:bodyDiv w:val="1"/>
      <w:marLeft w:val="0"/>
      <w:marRight w:val="0"/>
      <w:marTop w:val="0"/>
      <w:marBottom w:val="0"/>
      <w:divBdr>
        <w:top w:val="none" w:sz="0" w:space="0" w:color="auto"/>
        <w:left w:val="none" w:sz="0" w:space="0" w:color="auto"/>
        <w:bottom w:val="none" w:sz="0" w:space="0" w:color="auto"/>
        <w:right w:val="none" w:sz="0" w:space="0" w:color="auto"/>
      </w:divBdr>
    </w:div>
    <w:div w:id="1118525615">
      <w:bodyDiv w:val="1"/>
      <w:marLeft w:val="0"/>
      <w:marRight w:val="0"/>
      <w:marTop w:val="0"/>
      <w:marBottom w:val="0"/>
      <w:divBdr>
        <w:top w:val="none" w:sz="0" w:space="0" w:color="auto"/>
        <w:left w:val="none" w:sz="0" w:space="0" w:color="auto"/>
        <w:bottom w:val="none" w:sz="0" w:space="0" w:color="auto"/>
        <w:right w:val="none" w:sz="0" w:space="0" w:color="auto"/>
      </w:divBdr>
    </w:div>
    <w:div w:id="1156842197">
      <w:bodyDiv w:val="1"/>
      <w:marLeft w:val="0"/>
      <w:marRight w:val="0"/>
      <w:marTop w:val="0"/>
      <w:marBottom w:val="0"/>
      <w:divBdr>
        <w:top w:val="none" w:sz="0" w:space="0" w:color="auto"/>
        <w:left w:val="none" w:sz="0" w:space="0" w:color="auto"/>
        <w:bottom w:val="none" w:sz="0" w:space="0" w:color="auto"/>
        <w:right w:val="none" w:sz="0" w:space="0" w:color="auto"/>
      </w:divBdr>
    </w:div>
    <w:div w:id="1163427749">
      <w:bodyDiv w:val="1"/>
      <w:marLeft w:val="0"/>
      <w:marRight w:val="0"/>
      <w:marTop w:val="0"/>
      <w:marBottom w:val="0"/>
      <w:divBdr>
        <w:top w:val="none" w:sz="0" w:space="0" w:color="auto"/>
        <w:left w:val="none" w:sz="0" w:space="0" w:color="auto"/>
        <w:bottom w:val="none" w:sz="0" w:space="0" w:color="auto"/>
        <w:right w:val="none" w:sz="0" w:space="0" w:color="auto"/>
      </w:divBdr>
    </w:div>
    <w:div w:id="1187064117">
      <w:bodyDiv w:val="1"/>
      <w:marLeft w:val="0"/>
      <w:marRight w:val="0"/>
      <w:marTop w:val="0"/>
      <w:marBottom w:val="0"/>
      <w:divBdr>
        <w:top w:val="none" w:sz="0" w:space="0" w:color="auto"/>
        <w:left w:val="none" w:sz="0" w:space="0" w:color="auto"/>
        <w:bottom w:val="none" w:sz="0" w:space="0" w:color="auto"/>
        <w:right w:val="none" w:sz="0" w:space="0" w:color="auto"/>
      </w:divBdr>
      <w:divsChild>
        <w:div w:id="1924412809">
          <w:marLeft w:val="0"/>
          <w:marRight w:val="0"/>
          <w:marTop w:val="0"/>
          <w:marBottom w:val="0"/>
          <w:divBdr>
            <w:top w:val="none" w:sz="0" w:space="0" w:color="auto"/>
            <w:left w:val="none" w:sz="0" w:space="0" w:color="auto"/>
            <w:bottom w:val="none" w:sz="0" w:space="0" w:color="auto"/>
            <w:right w:val="none" w:sz="0" w:space="0" w:color="auto"/>
          </w:divBdr>
          <w:divsChild>
            <w:div w:id="10574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689443">
      <w:bodyDiv w:val="1"/>
      <w:marLeft w:val="0"/>
      <w:marRight w:val="0"/>
      <w:marTop w:val="0"/>
      <w:marBottom w:val="0"/>
      <w:divBdr>
        <w:top w:val="none" w:sz="0" w:space="0" w:color="auto"/>
        <w:left w:val="none" w:sz="0" w:space="0" w:color="auto"/>
        <w:bottom w:val="none" w:sz="0" w:space="0" w:color="auto"/>
        <w:right w:val="none" w:sz="0" w:space="0" w:color="auto"/>
      </w:divBdr>
      <w:divsChild>
        <w:div w:id="1460535912">
          <w:marLeft w:val="0"/>
          <w:marRight w:val="0"/>
          <w:marTop w:val="0"/>
          <w:marBottom w:val="0"/>
          <w:divBdr>
            <w:top w:val="none" w:sz="0" w:space="0" w:color="auto"/>
            <w:left w:val="none" w:sz="0" w:space="0" w:color="auto"/>
            <w:bottom w:val="none" w:sz="0" w:space="0" w:color="auto"/>
            <w:right w:val="none" w:sz="0" w:space="0" w:color="auto"/>
          </w:divBdr>
          <w:divsChild>
            <w:div w:id="57898882">
              <w:marLeft w:val="0"/>
              <w:marRight w:val="0"/>
              <w:marTop w:val="0"/>
              <w:marBottom w:val="0"/>
              <w:divBdr>
                <w:top w:val="none" w:sz="0" w:space="0" w:color="auto"/>
                <w:left w:val="none" w:sz="0" w:space="0" w:color="auto"/>
                <w:bottom w:val="none" w:sz="0" w:space="0" w:color="auto"/>
                <w:right w:val="none" w:sz="0" w:space="0" w:color="auto"/>
              </w:divBdr>
              <w:divsChild>
                <w:div w:id="1401365563">
                  <w:marLeft w:val="0"/>
                  <w:marRight w:val="0"/>
                  <w:marTop w:val="0"/>
                  <w:marBottom w:val="0"/>
                  <w:divBdr>
                    <w:top w:val="none" w:sz="0" w:space="0" w:color="auto"/>
                    <w:left w:val="none" w:sz="0" w:space="0" w:color="auto"/>
                    <w:bottom w:val="none" w:sz="0" w:space="0" w:color="auto"/>
                    <w:right w:val="none" w:sz="0" w:space="0" w:color="auto"/>
                  </w:divBdr>
                  <w:divsChild>
                    <w:div w:id="953705338">
                      <w:marLeft w:val="0"/>
                      <w:marRight w:val="0"/>
                      <w:marTop w:val="0"/>
                      <w:marBottom w:val="0"/>
                      <w:divBdr>
                        <w:top w:val="none" w:sz="0" w:space="0" w:color="auto"/>
                        <w:left w:val="none" w:sz="0" w:space="0" w:color="auto"/>
                        <w:bottom w:val="none" w:sz="0" w:space="0" w:color="auto"/>
                        <w:right w:val="none" w:sz="0" w:space="0" w:color="auto"/>
                      </w:divBdr>
                      <w:divsChild>
                        <w:div w:id="798911000">
                          <w:marLeft w:val="0"/>
                          <w:marRight w:val="0"/>
                          <w:marTop w:val="0"/>
                          <w:marBottom w:val="0"/>
                          <w:divBdr>
                            <w:top w:val="none" w:sz="0" w:space="0" w:color="auto"/>
                            <w:left w:val="none" w:sz="0" w:space="0" w:color="auto"/>
                            <w:bottom w:val="none" w:sz="0" w:space="0" w:color="auto"/>
                            <w:right w:val="none" w:sz="0" w:space="0" w:color="auto"/>
                          </w:divBdr>
                          <w:divsChild>
                            <w:div w:id="626854353">
                              <w:marLeft w:val="0"/>
                              <w:marRight w:val="0"/>
                              <w:marTop w:val="0"/>
                              <w:marBottom w:val="0"/>
                              <w:divBdr>
                                <w:top w:val="none" w:sz="0" w:space="0" w:color="auto"/>
                                <w:left w:val="none" w:sz="0" w:space="0" w:color="auto"/>
                                <w:bottom w:val="none" w:sz="0" w:space="0" w:color="auto"/>
                                <w:right w:val="none" w:sz="0" w:space="0" w:color="auto"/>
                              </w:divBdr>
                              <w:divsChild>
                                <w:div w:id="1743792572">
                                  <w:marLeft w:val="0"/>
                                  <w:marRight w:val="0"/>
                                  <w:marTop w:val="0"/>
                                  <w:marBottom w:val="0"/>
                                  <w:divBdr>
                                    <w:top w:val="none" w:sz="0" w:space="0" w:color="auto"/>
                                    <w:left w:val="none" w:sz="0" w:space="0" w:color="auto"/>
                                    <w:bottom w:val="none" w:sz="0" w:space="0" w:color="auto"/>
                                    <w:right w:val="none" w:sz="0" w:space="0" w:color="auto"/>
                                  </w:divBdr>
                                  <w:divsChild>
                                    <w:div w:id="225192212">
                                      <w:marLeft w:val="0"/>
                                      <w:marRight w:val="0"/>
                                      <w:marTop w:val="0"/>
                                      <w:marBottom w:val="0"/>
                                      <w:divBdr>
                                        <w:top w:val="none" w:sz="0" w:space="0" w:color="auto"/>
                                        <w:left w:val="none" w:sz="0" w:space="0" w:color="auto"/>
                                        <w:bottom w:val="none" w:sz="0" w:space="0" w:color="auto"/>
                                        <w:right w:val="none" w:sz="0" w:space="0" w:color="auto"/>
                                      </w:divBdr>
                                      <w:divsChild>
                                        <w:div w:id="1712456621">
                                          <w:marLeft w:val="0"/>
                                          <w:marRight w:val="0"/>
                                          <w:marTop w:val="0"/>
                                          <w:marBottom w:val="0"/>
                                          <w:divBdr>
                                            <w:top w:val="none" w:sz="0" w:space="0" w:color="auto"/>
                                            <w:left w:val="none" w:sz="0" w:space="0" w:color="auto"/>
                                            <w:bottom w:val="none" w:sz="0" w:space="0" w:color="auto"/>
                                            <w:right w:val="none" w:sz="0" w:space="0" w:color="auto"/>
                                          </w:divBdr>
                                          <w:divsChild>
                                            <w:div w:id="932666934">
                                              <w:marLeft w:val="0"/>
                                              <w:marRight w:val="0"/>
                                              <w:marTop w:val="0"/>
                                              <w:marBottom w:val="0"/>
                                              <w:divBdr>
                                                <w:top w:val="none" w:sz="0" w:space="0" w:color="auto"/>
                                                <w:left w:val="none" w:sz="0" w:space="0" w:color="auto"/>
                                                <w:bottom w:val="none" w:sz="0" w:space="0" w:color="auto"/>
                                                <w:right w:val="none" w:sz="0" w:space="0" w:color="auto"/>
                                              </w:divBdr>
                                              <w:divsChild>
                                                <w:div w:id="423459313">
                                                  <w:marLeft w:val="0"/>
                                                  <w:marRight w:val="0"/>
                                                  <w:marTop w:val="0"/>
                                                  <w:marBottom w:val="0"/>
                                                  <w:divBdr>
                                                    <w:top w:val="none" w:sz="0" w:space="0" w:color="auto"/>
                                                    <w:left w:val="none" w:sz="0" w:space="0" w:color="auto"/>
                                                    <w:bottom w:val="none" w:sz="0" w:space="0" w:color="auto"/>
                                                    <w:right w:val="none" w:sz="0" w:space="0" w:color="auto"/>
                                                  </w:divBdr>
                                                  <w:divsChild>
                                                    <w:div w:id="953711965">
                                                      <w:marLeft w:val="0"/>
                                                      <w:marRight w:val="0"/>
                                                      <w:marTop w:val="0"/>
                                                      <w:marBottom w:val="0"/>
                                                      <w:divBdr>
                                                        <w:top w:val="none" w:sz="0" w:space="0" w:color="auto"/>
                                                        <w:left w:val="none" w:sz="0" w:space="0" w:color="auto"/>
                                                        <w:bottom w:val="none" w:sz="0" w:space="0" w:color="auto"/>
                                                        <w:right w:val="none" w:sz="0" w:space="0" w:color="auto"/>
                                                      </w:divBdr>
                                                      <w:divsChild>
                                                        <w:div w:id="1775325041">
                                                          <w:marLeft w:val="0"/>
                                                          <w:marRight w:val="0"/>
                                                          <w:marTop w:val="0"/>
                                                          <w:marBottom w:val="0"/>
                                                          <w:divBdr>
                                                            <w:top w:val="none" w:sz="0" w:space="0" w:color="auto"/>
                                                            <w:left w:val="none" w:sz="0" w:space="0" w:color="auto"/>
                                                            <w:bottom w:val="none" w:sz="0" w:space="0" w:color="auto"/>
                                                            <w:right w:val="none" w:sz="0" w:space="0" w:color="auto"/>
                                                          </w:divBdr>
                                                          <w:divsChild>
                                                            <w:div w:id="147568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19186940">
      <w:bodyDiv w:val="1"/>
      <w:marLeft w:val="0"/>
      <w:marRight w:val="0"/>
      <w:marTop w:val="0"/>
      <w:marBottom w:val="0"/>
      <w:divBdr>
        <w:top w:val="none" w:sz="0" w:space="0" w:color="auto"/>
        <w:left w:val="none" w:sz="0" w:space="0" w:color="auto"/>
        <w:bottom w:val="none" w:sz="0" w:space="0" w:color="auto"/>
        <w:right w:val="none" w:sz="0" w:space="0" w:color="auto"/>
      </w:divBdr>
    </w:div>
    <w:div w:id="1451775197">
      <w:bodyDiv w:val="1"/>
      <w:marLeft w:val="0"/>
      <w:marRight w:val="0"/>
      <w:marTop w:val="0"/>
      <w:marBottom w:val="0"/>
      <w:divBdr>
        <w:top w:val="none" w:sz="0" w:space="0" w:color="auto"/>
        <w:left w:val="none" w:sz="0" w:space="0" w:color="auto"/>
        <w:bottom w:val="none" w:sz="0" w:space="0" w:color="auto"/>
        <w:right w:val="none" w:sz="0" w:space="0" w:color="auto"/>
      </w:divBdr>
    </w:div>
    <w:div w:id="1590040414">
      <w:bodyDiv w:val="1"/>
      <w:marLeft w:val="0"/>
      <w:marRight w:val="0"/>
      <w:marTop w:val="0"/>
      <w:marBottom w:val="0"/>
      <w:divBdr>
        <w:top w:val="none" w:sz="0" w:space="0" w:color="auto"/>
        <w:left w:val="none" w:sz="0" w:space="0" w:color="auto"/>
        <w:bottom w:val="none" w:sz="0" w:space="0" w:color="auto"/>
        <w:right w:val="none" w:sz="0" w:space="0" w:color="auto"/>
      </w:divBdr>
      <w:divsChild>
        <w:div w:id="1360548266">
          <w:marLeft w:val="0"/>
          <w:marRight w:val="0"/>
          <w:marTop w:val="0"/>
          <w:marBottom w:val="0"/>
          <w:divBdr>
            <w:top w:val="none" w:sz="0" w:space="0" w:color="auto"/>
            <w:left w:val="none" w:sz="0" w:space="0" w:color="auto"/>
            <w:bottom w:val="none" w:sz="0" w:space="0" w:color="auto"/>
            <w:right w:val="none" w:sz="0" w:space="0" w:color="auto"/>
          </w:divBdr>
          <w:divsChild>
            <w:div w:id="162477522">
              <w:marLeft w:val="0"/>
              <w:marRight w:val="0"/>
              <w:marTop w:val="0"/>
              <w:marBottom w:val="0"/>
              <w:divBdr>
                <w:top w:val="none" w:sz="0" w:space="0" w:color="auto"/>
                <w:left w:val="none" w:sz="0" w:space="0" w:color="auto"/>
                <w:bottom w:val="none" w:sz="0" w:space="0" w:color="auto"/>
                <w:right w:val="none" w:sz="0" w:space="0" w:color="auto"/>
              </w:divBdr>
            </w:div>
          </w:divsChild>
        </w:div>
        <w:div w:id="157694508">
          <w:marLeft w:val="0"/>
          <w:marRight w:val="0"/>
          <w:marTop w:val="0"/>
          <w:marBottom w:val="0"/>
          <w:divBdr>
            <w:top w:val="none" w:sz="0" w:space="0" w:color="auto"/>
            <w:left w:val="none" w:sz="0" w:space="0" w:color="auto"/>
            <w:bottom w:val="none" w:sz="0" w:space="0" w:color="auto"/>
            <w:right w:val="none" w:sz="0" w:space="0" w:color="auto"/>
          </w:divBdr>
          <w:divsChild>
            <w:div w:id="152385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631">
      <w:bodyDiv w:val="1"/>
      <w:marLeft w:val="0"/>
      <w:marRight w:val="0"/>
      <w:marTop w:val="0"/>
      <w:marBottom w:val="0"/>
      <w:divBdr>
        <w:top w:val="none" w:sz="0" w:space="0" w:color="auto"/>
        <w:left w:val="none" w:sz="0" w:space="0" w:color="auto"/>
        <w:bottom w:val="none" w:sz="0" w:space="0" w:color="auto"/>
        <w:right w:val="none" w:sz="0" w:space="0" w:color="auto"/>
      </w:divBdr>
    </w:div>
    <w:div w:id="1678923613">
      <w:bodyDiv w:val="1"/>
      <w:marLeft w:val="0"/>
      <w:marRight w:val="0"/>
      <w:marTop w:val="0"/>
      <w:marBottom w:val="0"/>
      <w:divBdr>
        <w:top w:val="none" w:sz="0" w:space="0" w:color="auto"/>
        <w:left w:val="none" w:sz="0" w:space="0" w:color="auto"/>
        <w:bottom w:val="none" w:sz="0" w:space="0" w:color="auto"/>
        <w:right w:val="none" w:sz="0" w:space="0" w:color="auto"/>
      </w:divBdr>
    </w:div>
    <w:div w:id="1949576476">
      <w:bodyDiv w:val="1"/>
      <w:marLeft w:val="0"/>
      <w:marRight w:val="0"/>
      <w:marTop w:val="0"/>
      <w:marBottom w:val="0"/>
      <w:divBdr>
        <w:top w:val="none" w:sz="0" w:space="0" w:color="auto"/>
        <w:left w:val="none" w:sz="0" w:space="0" w:color="auto"/>
        <w:bottom w:val="none" w:sz="0" w:space="0" w:color="auto"/>
        <w:right w:val="none" w:sz="0" w:space="0" w:color="auto"/>
      </w:divBdr>
    </w:div>
    <w:div w:id="2076656096">
      <w:bodyDiv w:val="1"/>
      <w:marLeft w:val="0"/>
      <w:marRight w:val="0"/>
      <w:marTop w:val="0"/>
      <w:marBottom w:val="0"/>
      <w:divBdr>
        <w:top w:val="none" w:sz="0" w:space="0" w:color="auto"/>
        <w:left w:val="none" w:sz="0" w:space="0" w:color="auto"/>
        <w:bottom w:val="none" w:sz="0" w:space="0" w:color="auto"/>
        <w:right w:val="none" w:sz="0" w:space="0" w:color="auto"/>
      </w:divBdr>
    </w:div>
    <w:div w:id="2078553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3F75294-0FEA-4F3C-9551-E7B085278947}">
  <we:reference id="wa200001482" version="1.0.5.0" store="en-US" storeType="OMEX"/>
  <we:alternateReferences>
    <we:reference id="WA200001482" version="1.0.5.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398</TotalTime>
  <Pages>7</Pages>
  <Words>3042</Words>
  <Characters>17343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SDI 1084</cp:lastModifiedBy>
  <cp:revision>261</cp:revision>
  <dcterms:created xsi:type="dcterms:W3CDTF">2025-07-27T05:13:00Z</dcterms:created>
  <dcterms:modified xsi:type="dcterms:W3CDTF">2026-01-29T09:49:00Z</dcterms:modified>
</cp:coreProperties>
</file>