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936" w:rsidRPr="002B4F6F" w:rsidRDefault="0082765A" w:rsidP="0082765A">
      <w:pPr>
        <w:pStyle w:val="Heading1"/>
        <w:spacing w:before="0" w:after="120" w:line="275" w:lineRule="auto"/>
        <w:jc w:val="center"/>
        <w:rPr>
          <w:rFonts w:ascii="Times New Roman" w:eastAsia="Google Sans" w:hAnsi="Times New Roman" w:cs="Times New Roman"/>
          <w:color w:val="1F1F1F"/>
          <w:sz w:val="22"/>
          <w:szCs w:val="22"/>
        </w:rPr>
      </w:pPr>
      <w:r w:rsidRPr="002B4F6F">
        <w:rPr>
          <w:rFonts w:ascii="Times New Roman" w:eastAsia="Google Sans" w:hAnsi="Times New Roman" w:cs="Times New Roman"/>
          <w:color w:val="1F1F1F"/>
          <w:sz w:val="22"/>
          <w:szCs w:val="22"/>
        </w:rPr>
        <w:t xml:space="preserve">Effects of Seed Priming with </w:t>
      </w:r>
      <w:r w:rsidR="003443B2">
        <w:rPr>
          <w:rFonts w:ascii="Times New Roman" w:eastAsia="Google Sans" w:hAnsi="Times New Roman" w:cs="Times New Roman"/>
          <w:color w:val="1F1F1F"/>
          <w:sz w:val="22"/>
          <w:szCs w:val="22"/>
        </w:rPr>
        <w:t>Ginger</w:t>
      </w:r>
      <w:r w:rsidRPr="002B4F6F">
        <w:rPr>
          <w:rFonts w:ascii="Times New Roman" w:eastAsia="Google Sans" w:hAnsi="Times New Roman" w:cs="Times New Roman"/>
          <w:color w:val="1F1F1F"/>
          <w:sz w:val="22"/>
          <w:szCs w:val="22"/>
        </w:rPr>
        <w:t xml:space="preserve"> (</w:t>
      </w:r>
      <w:r w:rsidRPr="002B4F6F">
        <w:rPr>
          <w:rFonts w:ascii="Times New Roman" w:eastAsia="Google Sans Text" w:hAnsi="Times New Roman" w:cs="Times New Roman"/>
          <w:i/>
          <w:iCs/>
          <w:color w:val="1F1F1F"/>
          <w:sz w:val="22"/>
          <w:szCs w:val="22"/>
        </w:rPr>
        <w:t>Zingiber officinale</w:t>
      </w:r>
      <w:r w:rsidRPr="002B4F6F">
        <w:rPr>
          <w:rFonts w:ascii="Times New Roman" w:eastAsia="Google Sans" w:hAnsi="Times New Roman" w:cs="Times New Roman"/>
          <w:color w:val="1F1F1F"/>
          <w:sz w:val="22"/>
          <w:szCs w:val="22"/>
        </w:rPr>
        <w:t>) and Neem (</w:t>
      </w:r>
      <w:r w:rsidRPr="002B4F6F">
        <w:rPr>
          <w:rFonts w:ascii="Times New Roman" w:eastAsia="Google Sans Text" w:hAnsi="Times New Roman" w:cs="Times New Roman"/>
          <w:i/>
          <w:iCs/>
          <w:color w:val="1F1F1F"/>
          <w:sz w:val="22"/>
          <w:szCs w:val="22"/>
        </w:rPr>
        <w:t>Azadirachta indica</w:t>
      </w:r>
      <w:r w:rsidRPr="002B4F6F">
        <w:rPr>
          <w:rFonts w:ascii="Times New Roman" w:eastAsia="Google Sans" w:hAnsi="Times New Roman" w:cs="Times New Roman"/>
          <w:color w:val="1F1F1F"/>
          <w:sz w:val="22"/>
          <w:szCs w:val="22"/>
        </w:rPr>
        <w:t>) Extracts on Germ</w:t>
      </w:r>
      <w:r w:rsidR="00893E89">
        <w:rPr>
          <w:rFonts w:ascii="Times New Roman" w:eastAsia="Google Sans" w:hAnsi="Times New Roman" w:cs="Times New Roman"/>
          <w:color w:val="1F1F1F"/>
          <w:sz w:val="22"/>
          <w:szCs w:val="22"/>
        </w:rPr>
        <w:t>ination, Germination</w:t>
      </w:r>
      <w:r w:rsidRPr="002B4F6F">
        <w:rPr>
          <w:rFonts w:ascii="Times New Roman" w:eastAsia="Google Sans" w:hAnsi="Times New Roman" w:cs="Times New Roman"/>
          <w:color w:val="1F1F1F"/>
          <w:sz w:val="22"/>
          <w:szCs w:val="22"/>
        </w:rPr>
        <w:t xml:space="preserve"> Kinetics</w:t>
      </w:r>
      <w:r w:rsidR="00893E89">
        <w:rPr>
          <w:rFonts w:ascii="Times New Roman" w:eastAsia="Google Sans" w:hAnsi="Times New Roman" w:cs="Times New Roman"/>
          <w:color w:val="1F1F1F"/>
          <w:sz w:val="22"/>
          <w:szCs w:val="22"/>
        </w:rPr>
        <w:t>, and Moisture Retention</w:t>
      </w:r>
      <w:r w:rsidRPr="002B4F6F">
        <w:rPr>
          <w:rFonts w:ascii="Times New Roman" w:eastAsia="Google Sans" w:hAnsi="Times New Roman" w:cs="Times New Roman"/>
          <w:color w:val="1F1F1F"/>
          <w:sz w:val="22"/>
          <w:szCs w:val="22"/>
        </w:rPr>
        <w:t xml:space="preserve"> of Bambara Groundnut (</w:t>
      </w:r>
      <w:r w:rsidR="001D228C">
        <w:rPr>
          <w:rFonts w:ascii="Times New Roman" w:eastAsia="Google Sans Text" w:hAnsi="Times New Roman" w:cs="Times New Roman"/>
          <w:i/>
          <w:iCs/>
          <w:color w:val="1F1F1F"/>
          <w:sz w:val="22"/>
          <w:szCs w:val="22"/>
        </w:rPr>
        <w:t>Vigna subterranea</w:t>
      </w:r>
      <w:r w:rsidRPr="002B4F6F">
        <w:rPr>
          <w:rFonts w:ascii="Times New Roman" w:eastAsia="Google Sans" w:hAnsi="Times New Roman" w:cs="Times New Roman"/>
          <w:color w:val="1F1F1F"/>
          <w:sz w:val="22"/>
          <w:szCs w:val="22"/>
        </w:rPr>
        <w:t>)</w:t>
      </w:r>
      <w:r w:rsidR="00A148DC">
        <w:rPr>
          <w:rFonts w:ascii="Times New Roman" w:eastAsia="Google Sans" w:hAnsi="Times New Roman" w:cs="Times New Roman"/>
          <w:color w:val="1F1F1F"/>
          <w:sz w:val="22"/>
          <w:szCs w:val="22"/>
        </w:rPr>
        <w:t xml:space="preserve"> Under Water Stress Conditions</w:t>
      </w:r>
    </w:p>
    <w:p w:rsidR="00E9714E" w:rsidRDefault="00E9714E" w:rsidP="0094685B">
      <w:pPr>
        <w:pBdr>
          <w:top w:val="nil"/>
          <w:left w:val="nil"/>
          <w:bottom w:val="nil"/>
          <w:right w:val="nil"/>
          <w:between w:val="nil"/>
        </w:pBdr>
        <w:spacing w:after="240" w:line="275" w:lineRule="auto"/>
        <w:jc w:val="both"/>
        <w:rPr>
          <w:rFonts w:ascii="Times New Roman" w:eastAsia="Google Sans Text" w:hAnsi="Times New Roman" w:cs="Times New Roman"/>
          <w:b/>
          <w:bCs/>
          <w:color w:val="1F1F1F"/>
        </w:rPr>
      </w:pPr>
    </w:p>
    <w:p w:rsidR="00AB5936" w:rsidRPr="009250FC"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b/>
          <w:bCs/>
          <w:color w:val="1F1F1F"/>
        </w:rPr>
      </w:pPr>
      <w:bookmarkStart w:id="0" w:name="_GoBack"/>
      <w:bookmarkEnd w:id="0"/>
      <w:r w:rsidRPr="009250FC">
        <w:rPr>
          <w:rFonts w:ascii="Times New Roman" w:eastAsia="Google Sans Text" w:hAnsi="Times New Roman" w:cs="Times New Roman"/>
          <w:b/>
          <w:bCs/>
          <w:color w:val="1F1F1F"/>
        </w:rPr>
        <w:t>Abstract</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 xml:space="preserve">Seed priming with botanical extracts represents a sustainable strategy to enhance crop establishment and resilience under water-limited conditions. This study investigated the effects of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w:t>
      </w:r>
      <w:r w:rsidRPr="00E169C4">
        <w:rPr>
          <w:rFonts w:ascii="Times New Roman" w:eastAsia="Google Sans Text" w:hAnsi="Times New Roman" w:cs="Times New Roman"/>
          <w:i/>
          <w:iCs/>
          <w:color w:val="1F1F1F"/>
        </w:rPr>
        <w:t>Zingiber officinale</w:t>
      </w:r>
      <w:r w:rsidRPr="00E169C4">
        <w:rPr>
          <w:rFonts w:ascii="Times New Roman" w:eastAsia="Google Sans Text" w:hAnsi="Times New Roman" w:cs="Times New Roman"/>
          <w:color w:val="1F1F1F"/>
        </w:rPr>
        <w:t>) and neem (</w:t>
      </w:r>
      <w:r w:rsidRPr="00E169C4">
        <w:rPr>
          <w:rFonts w:ascii="Times New Roman" w:eastAsia="Google Sans Text" w:hAnsi="Times New Roman" w:cs="Times New Roman"/>
          <w:i/>
          <w:iCs/>
          <w:color w:val="1F1F1F"/>
        </w:rPr>
        <w:t>Azadirachta indica</w:t>
      </w:r>
      <w:r w:rsidRPr="00E169C4">
        <w:rPr>
          <w:rFonts w:ascii="Times New Roman" w:eastAsia="Google Sans Text" w:hAnsi="Times New Roman" w:cs="Times New Roman"/>
          <w:color w:val="1F1F1F"/>
        </w:rPr>
        <w:t>) seed priming at varying concentrations on the germination kinetics and early vegetative development of two genotypes (</w:t>
      </w:r>
      <w:r w:rsidR="00CD7774">
        <w:rPr>
          <w:rFonts w:ascii="Times New Roman" w:eastAsia="Google Sans Text" w:hAnsi="Times New Roman" w:cs="Times New Roman"/>
          <w:color w:val="1F1F1F"/>
        </w:rPr>
        <w:t>ZM 1856</w:t>
      </w:r>
      <w:r w:rsidRPr="00E169C4">
        <w:rPr>
          <w:rFonts w:ascii="Times New Roman" w:eastAsia="Google Sans Text" w:hAnsi="Times New Roman" w:cs="Times New Roman"/>
          <w:color w:val="1F1F1F"/>
        </w:rPr>
        <w:t xml:space="preserve"> and </w:t>
      </w:r>
      <w:r w:rsidR="00CD7774">
        <w:rPr>
          <w:rFonts w:ascii="Times New Roman" w:eastAsia="Google Sans Text" w:hAnsi="Times New Roman" w:cs="Times New Roman"/>
          <w:color w:val="1F1F1F"/>
        </w:rPr>
        <w:t>ZM 2656</w:t>
      </w:r>
      <w:r w:rsidRPr="00E169C4">
        <w:rPr>
          <w:rFonts w:ascii="Times New Roman" w:eastAsia="Google Sans Text" w:hAnsi="Times New Roman" w:cs="Times New Roman"/>
          <w:color w:val="1F1F1F"/>
        </w:rPr>
        <w:t>) of Bambara groundnut (</w:t>
      </w:r>
      <w:r w:rsidR="001D228C">
        <w:rPr>
          <w:rFonts w:ascii="Times New Roman" w:eastAsia="Google Sans Text" w:hAnsi="Times New Roman" w:cs="Times New Roman"/>
          <w:i/>
          <w:iCs/>
          <w:color w:val="1F1F1F"/>
        </w:rPr>
        <w:t>Vigna subterranea</w:t>
      </w:r>
      <w:r w:rsidRPr="00E169C4">
        <w:rPr>
          <w:rFonts w:ascii="Times New Roman" w:eastAsia="Google Sans Text" w:hAnsi="Times New Roman" w:cs="Times New Roman"/>
          <w:color w:val="1F1F1F"/>
        </w:rPr>
        <w:t xml:space="preserve"> L.). A factorial experiment was conducted using different concentrations of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extract (0–20% w/v) and neem extract (0–4% w/v). Results revealed significant genotype </w:t>
      </w:r>
      <w:r w:rsidR="00A776F3" w:rsidRPr="00E169C4">
        <w:rPr>
          <w:rFonts w:ascii="Times New Roman" w:eastAsia="Google Sans Text" w:hAnsi="Times New Roman" w:cs="Times New Roman"/>
          <w:noProof/>
          <w:color w:val="1F1F1F"/>
        </w:rPr>
        <w:t>x</w:t>
      </w:r>
      <w:r w:rsidRPr="00E169C4">
        <w:rPr>
          <w:rFonts w:ascii="Times New Roman" w:eastAsia="Google Sans Text" w:hAnsi="Times New Roman" w:cs="Times New Roman"/>
          <w:color w:val="1F1F1F"/>
        </w:rPr>
        <w:t xml:space="preserve"> priming </w:t>
      </w:r>
      <w:r w:rsidR="00C320B2">
        <w:rPr>
          <w:rFonts w:ascii="Times New Roman" w:eastAsia="Google Sans Text" w:hAnsi="Times New Roman" w:cs="Times New Roman"/>
          <w:color w:val="1F1F1F"/>
        </w:rPr>
        <w:t xml:space="preserve">treatment </w:t>
      </w:r>
      <w:r w:rsidRPr="00E169C4">
        <w:rPr>
          <w:rFonts w:ascii="Times New Roman" w:eastAsia="Google Sans Text" w:hAnsi="Times New Roman" w:cs="Times New Roman"/>
          <w:color w:val="1F1F1F"/>
        </w:rPr>
        <w:t xml:space="preserve">interactions for seedling vigor index (SVI), shoot length, and total </w:t>
      </w:r>
      <w:r w:rsidR="00E169C4" w:rsidRPr="00E169C4">
        <w:rPr>
          <w:rFonts w:ascii="Times New Roman" w:eastAsia="Google Sans Text" w:hAnsi="Times New Roman" w:cs="Times New Roman"/>
          <w:color w:val="1F1F1F"/>
        </w:rPr>
        <w:t>dry matter</w:t>
      </w:r>
      <w:r w:rsidRPr="00E169C4">
        <w:rPr>
          <w:rFonts w:ascii="Times New Roman" w:eastAsia="Google Sans Text" w:hAnsi="Times New Roman" w:cs="Times New Roman"/>
          <w:color w:val="1F1F1F"/>
        </w:rPr>
        <w:t xml:space="preserve"> (</w:t>
      </w:r>
      <w:r w:rsidR="0094685B" w:rsidRPr="00E169C4">
        <w:rPr>
          <w:rFonts w:ascii="Times New Roman" w:eastAsia="Google Sans Text" w:hAnsi="Times New Roman" w:cs="Times New Roman"/>
          <w:noProof/>
          <w:color w:val="1F1F1F"/>
        </w:rPr>
        <w:t>p&lt;0.05</w:t>
      </w:r>
      <w:r w:rsidRPr="00E169C4">
        <w:rPr>
          <w:rFonts w:ascii="Times New Roman" w:eastAsia="Google Sans Text" w:hAnsi="Times New Roman" w:cs="Times New Roman"/>
          <w:color w:val="1F1F1F"/>
        </w:rPr>
        <w:t xml:space="preserve">). Effect size analysis </w:t>
      </w:r>
      <w:r w:rsidR="00075BFD" w:rsidRPr="00E169C4">
        <w:rPr>
          <w:rFonts w:ascii="Times New Roman" w:eastAsia="Google Sans Text" w:hAnsi="Times New Roman" w:cs="Times New Roman"/>
          <w:color w:val="1F1F1F"/>
        </w:rPr>
        <w:t>(</w:t>
      </w:r>
      <w:r w:rsidR="0050511C" w:rsidRPr="00E169C4">
        <w:rPr>
          <w:rFonts w:ascii="Times New Roman" w:eastAsia="Google Sans Text" w:hAnsi="Times New Roman" w:cs="Times New Roman"/>
          <w:bCs/>
          <w:noProof/>
          <w:color w:val="1F1F1F"/>
        </w:rPr>
        <w:drawing>
          <wp:inline distT="19050" distB="19050" distL="19050" distR="19050" wp14:anchorId="5974A753" wp14:editId="6B43F37E">
            <wp:extent cx="150452" cy="212403"/>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00075BFD" w:rsidRPr="00E169C4">
        <w:rPr>
          <w:rFonts w:ascii="Times New Roman" w:eastAsia="Google Sans Text" w:hAnsi="Times New Roman" w:cs="Times New Roman"/>
          <w:color w:val="1F1F1F"/>
        </w:rPr>
        <w:t>)</w:t>
      </w:r>
      <w:r w:rsidRPr="00E169C4">
        <w:rPr>
          <w:rFonts w:ascii="Times New Roman" w:eastAsia="Google Sans Text" w:hAnsi="Times New Roman" w:cs="Times New Roman"/>
          <w:color w:val="1F1F1F"/>
        </w:rPr>
        <w:t xml:space="preserve"> demonstrated that botanical t</w:t>
      </w:r>
      <w:r w:rsidR="0050511C" w:rsidRPr="00E169C4">
        <w:rPr>
          <w:rFonts w:ascii="Times New Roman" w:eastAsia="Google Sans Text" w:hAnsi="Times New Roman" w:cs="Times New Roman"/>
          <w:color w:val="1F1F1F"/>
        </w:rPr>
        <w:t>reatments exerted a large effect</w:t>
      </w:r>
      <w:r w:rsidRPr="00E169C4">
        <w:rPr>
          <w:rFonts w:ascii="Times New Roman" w:eastAsia="Google Sans Text" w:hAnsi="Times New Roman" w:cs="Times New Roman"/>
          <w:color w:val="1F1F1F"/>
        </w:rPr>
        <w:t xml:space="preserve"> on </w:t>
      </w:r>
      <w:r w:rsidR="0050511C" w:rsidRPr="00E169C4">
        <w:rPr>
          <w:rFonts w:ascii="Times New Roman" w:eastAsia="Google Sans Text" w:hAnsi="Times New Roman" w:cs="Times New Roman"/>
          <w:color w:val="1F1F1F"/>
        </w:rPr>
        <w:t xml:space="preserve">number of root nodules (0.548) </w:t>
      </w:r>
      <w:r w:rsidR="000F057B">
        <w:rPr>
          <w:rFonts w:ascii="Times New Roman" w:eastAsia="Google Sans Text" w:hAnsi="Times New Roman" w:cs="Times New Roman"/>
          <w:color w:val="1F1F1F"/>
        </w:rPr>
        <w:t xml:space="preserve">relative </w:t>
      </w:r>
      <w:r w:rsidR="000910E2">
        <w:rPr>
          <w:rFonts w:ascii="Times New Roman" w:eastAsia="Google Sans Text" w:hAnsi="Times New Roman" w:cs="Times New Roman"/>
          <w:color w:val="1F1F1F"/>
        </w:rPr>
        <w:t xml:space="preserve">moisture content (0.40), </w:t>
      </w:r>
      <w:r w:rsidRPr="00E169C4">
        <w:rPr>
          <w:rFonts w:ascii="Times New Roman" w:eastAsia="Google Sans Text" w:hAnsi="Times New Roman" w:cs="Times New Roman"/>
          <w:color w:val="1F1F1F"/>
        </w:rPr>
        <w:t xml:space="preserve">germination rate (0.442) and seedling vigor (0.444). Post-hoc mean separation identified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priming at 10–15% as the most effective for enhanc</w:t>
      </w:r>
      <w:r w:rsidR="00505FD7" w:rsidRPr="00E169C4">
        <w:rPr>
          <w:rFonts w:ascii="Times New Roman" w:eastAsia="Google Sans Text" w:hAnsi="Times New Roman" w:cs="Times New Roman"/>
          <w:color w:val="1F1F1F"/>
        </w:rPr>
        <w:t>ing early growth kinetics, seed vigour index</w:t>
      </w:r>
      <w:r w:rsidRPr="00E169C4">
        <w:rPr>
          <w:rFonts w:ascii="Times New Roman" w:eastAsia="Google Sans Text" w:hAnsi="Times New Roman" w:cs="Times New Roman"/>
          <w:color w:val="1F1F1F"/>
        </w:rPr>
        <w:t>, and leaf efficiency (LE). Pearson correla</w:t>
      </w:r>
      <w:r w:rsidR="001E71AF" w:rsidRPr="00E169C4">
        <w:rPr>
          <w:rFonts w:ascii="Times New Roman" w:eastAsia="Google Sans Text" w:hAnsi="Times New Roman" w:cs="Times New Roman"/>
          <w:color w:val="1F1F1F"/>
        </w:rPr>
        <w:t>tion analysis further demonstrated</w:t>
      </w:r>
      <w:r w:rsidRPr="00E169C4">
        <w:rPr>
          <w:rFonts w:ascii="Times New Roman" w:eastAsia="Google Sans Text" w:hAnsi="Times New Roman" w:cs="Times New Roman"/>
          <w:color w:val="1F1F1F"/>
        </w:rPr>
        <w:t xml:space="preserve"> strong interdependencies</w:t>
      </w:r>
      <w:r w:rsidR="001E71AF" w:rsidRPr="00E169C4">
        <w:rPr>
          <w:rFonts w:ascii="Times New Roman" w:eastAsia="Google Sans Text" w:hAnsi="Times New Roman" w:cs="Times New Roman"/>
          <w:color w:val="1F1F1F"/>
        </w:rPr>
        <w:t xml:space="preserve"> among variables such as </w:t>
      </w:r>
      <w:r w:rsidR="0069115B" w:rsidRPr="00E169C4">
        <w:rPr>
          <w:rFonts w:ascii="Times New Roman" w:eastAsia="Google Sans Text" w:hAnsi="Times New Roman" w:cs="Times New Roman"/>
          <w:color w:val="1F1F1F"/>
        </w:rPr>
        <w:t>SVI and germination (r=0.972</w:t>
      </w:r>
      <w:r w:rsidR="0094685B" w:rsidRPr="00E169C4">
        <w:rPr>
          <w:rFonts w:ascii="Times New Roman" w:eastAsia="Google Sans Text" w:hAnsi="Times New Roman" w:cs="Times New Roman"/>
          <w:color w:val="1F1F1F"/>
        </w:rPr>
        <w:t>)</w:t>
      </w:r>
      <w:r w:rsidR="001E71AF" w:rsidRPr="00E169C4">
        <w:rPr>
          <w:rFonts w:ascii="Times New Roman" w:eastAsia="Google Sans Text" w:hAnsi="Times New Roman" w:cs="Times New Roman"/>
          <w:color w:val="1F1F1F"/>
        </w:rPr>
        <w:t xml:space="preserve">, </w:t>
      </w:r>
      <w:r w:rsidRPr="00E169C4">
        <w:rPr>
          <w:rFonts w:ascii="Times New Roman" w:eastAsia="Google Sans Text" w:hAnsi="Times New Roman" w:cs="Times New Roman"/>
          <w:color w:val="1F1F1F"/>
        </w:rPr>
        <w:t>leaf ef</w:t>
      </w:r>
      <w:r w:rsidR="0094685B" w:rsidRPr="00E169C4">
        <w:rPr>
          <w:rFonts w:ascii="Times New Roman" w:eastAsia="Google Sans Text" w:hAnsi="Times New Roman" w:cs="Times New Roman"/>
          <w:color w:val="1F1F1F"/>
        </w:rPr>
        <w:t>ficiency a</w:t>
      </w:r>
      <w:r w:rsidR="0069115B" w:rsidRPr="00E169C4">
        <w:rPr>
          <w:rFonts w:ascii="Times New Roman" w:eastAsia="Google Sans Text" w:hAnsi="Times New Roman" w:cs="Times New Roman"/>
          <w:color w:val="1F1F1F"/>
        </w:rPr>
        <w:t xml:space="preserve">nd total </w:t>
      </w:r>
      <w:r w:rsidR="00E169C4" w:rsidRPr="00E169C4">
        <w:rPr>
          <w:rFonts w:ascii="Times New Roman" w:eastAsia="Google Sans Text" w:hAnsi="Times New Roman" w:cs="Times New Roman"/>
          <w:color w:val="1F1F1F"/>
        </w:rPr>
        <w:t>dry matter</w:t>
      </w:r>
      <w:r w:rsidR="0069115B" w:rsidRPr="00E169C4">
        <w:rPr>
          <w:rFonts w:ascii="Times New Roman" w:eastAsia="Google Sans Text" w:hAnsi="Times New Roman" w:cs="Times New Roman"/>
          <w:color w:val="1F1F1F"/>
        </w:rPr>
        <w:t xml:space="preserve"> (r=0.524</w:t>
      </w:r>
      <w:r w:rsidR="0094685B" w:rsidRPr="00E169C4">
        <w:rPr>
          <w:rFonts w:ascii="Times New Roman" w:eastAsia="Google Sans Text" w:hAnsi="Times New Roman" w:cs="Times New Roman"/>
          <w:color w:val="1F1F1F"/>
        </w:rPr>
        <w:t>)</w:t>
      </w:r>
      <w:r w:rsidRPr="00E169C4">
        <w:rPr>
          <w:rFonts w:ascii="Times New Roman" w:eastAsia="Google Sans Text" w:hAnsi="Times New Roman" w:cs="Times New Roman"/>
          <w:color w:val="1F1F1F"/>
        </w:rPr>
        <w:t>. These findings demonstrate the</w:t>
      </w:r>
      <w:r w:rsidR="00733C12">
        <w:rPr>
          <w:rFonts w:ascii="Times New Roman" w:eastAsia="Google Sans Text" w:hAnsi="Times New Roman" w:cs="Times New Roman"/>
          <w:color w:val="1F1F1F"/>
        </w:rPr>
        <w:t xml:space="preserve"> positive effects of</w:t>
      </w:r>
      <w:r w:rsidRPr="00E169C4">
        <w:rPr>
          <w:rFonts w:ascii="Times New Roman" w:eastAsia="Google Sans Text" w:hAnsi="Times New Roman" w:cs="Times New Roman"/>
          <w:color w:val="1F1F1F"/>
        </w:rPr>
        <w:t xml:space="preserve"> botanical seed priming in improving the resilience of Bambara groundnut, offering a sustainable tool for stabilizing yields in semi-arid environments.</w:t>
      </w:r>
    </w:p>
    <w:p w:rsidR="00AB5936" w:rsidRPr="00E169C4" w:rsidRDefault="0082765A" w:rsidP="000A37DC">
      <w:pPr>
        <w:pBdr>
          <w:top w:val="nil"/>
          <w:left w:val="nil"/>
          <w:bottom w:val="nil"/>
          <w:right w:val="nil"/>
          <w:between w:val="nil"/>
        </w:pBdr>
        <w:spacing w:after="240" w:line="275" w:lineRule="auto"/>
        <w:jc w:val="center"/>
        <w:rPr>
          <w:rFonts w:ascii="Times New Roman" w:eastAsia="Google Sans Text" w:hAnsi="Times New Roman" w:cs="Times New Roman"/>
          <w:i/>
          <w:iCs/>
          <w:color w:val="1F1F1F"/>
        </w:rPr>
      </w:pPr>
      <w:r w:rsidRPr="00E169C4">
        <w:rPr>
          <w:rFonts w:ascii="Times New Roman" w:eastAsia="Google Sans Text" w:hAnsi="Times New Roman" w:cs="Times New Roman"/>
          <w:bCs/>
          <w:color w:val="1F1F1F"/>
        </w:rPr>
        <w:t>Keywords</w:t>
      </w:r>
      <w:r w:rsidRPr="00E169C4">
        <w:rPr>
          <w:rFonts w:ascii="Times New Roman" w:eastAsia="Google Sans Text" w:hAnsi="Times New Roman" w:cs="Times New Roman"/>
          <w:color w:val="1F1F1F"/>
        </w:rPr>
        <w:t xml:space="preserve">: </w:t>
      </w:r>
      <w:r w:rsidRPr="00E169C4">
        <w:rPr>
          <w:rFonts w:ascii="Times New Roman" w:eastAsia="Google Sans Text" w:hAnsi="Times New Roman" w:cs="Times New Roman"/>
          <w:i/>
          <w:iCs/>
          <w:color w:val="1F1F1F"/>
        </w:rPr>
        <w:t>Azadirachta indica</w:t>
      </w:r>
      <w:r w:rsidRPr="00E169C4">
        <w:rPr>
          <w:rFonts w:ascii="Times New Roman" w:eastAsia="Google Sans Text" w:hAnsi="Times New Roman" w:cs="Times New Roman"/>
          <w:color w:val="1F1F1F"/>
        </w:rPr>
        <w:t xml:space="preserve">, botanical </w:t>
      </w:r>
      <w:r w:rsidR="004F78C7" w:rsidRPr="00E169C4">
        <w:rPr>
          <w:rFonts w:ascii="Times New Roman" w:eastAsia="Google Sans Text" w:hAnsi="Times New Roman" w:cs="Times New Roman"/>
          <w:color w:val="1F1F1F"/>
        </w:rPr>
        <w:t>bio stimulants</w:t>
      </w:r>
      <w:r w:rsidRPr="00E169C4">
        <w:rPr>
          <w:rFonts w:ascii="Times New Roman" w:eastAsia="Google Sans Text" w:hAnsi="Times New Roman" w:cs="Times New Roman"/>
          <w:color w:val="1F1F1F"/>
        </w:rPr>
        <w:t xml:space="preserve">, effect size, </w:t>
      </w:r>
      <w:r w:rsidR="004F78C7" w:rsidRPr="00E169C4">
        <w:rPr>
          <w:rFonts w:ascii="Times New Roman" w:eastAsia="Google Sans Text" w:hAnsi="Times New Roman" w:cs="Times New Roman"/>
          <w:color w:val="1F1F1F"/>
        </w:rPr>
        <w:t>heat map</w:t>
      </w:r>
      <w:r w:rsidRPr="00E169C4">
        <w:rPr>
          <w:rFonts w:ascii="Times New Roman" w:eastAsia="Google Sans Text" w:hAnsi="Times New Roman" w:cs="Times New Roman"/>
          <w:color w:val="1F1F1F"/>
        </w:rPr>
        <w:t>, leaf e</w:t>
      </w:r>
      <w:r w:rsidR="0094685B" w:rsidRPr="00E169C4">
        <w:rPr>
          <w:rFonts w:ascii="Times New Roman" w:eastAsia="Google Sans Text" w:hAnsi="Times New Roman" w:cs="Times New Roman"/>
          <w:color w:val="1F1F1F"/>
        </w:rPr>
        <w:t xml:space="preserve">fficiency, </w:t>
      </w:r>
      <w:r w:rsidRPr="00E169C4">
        <w:rPr>
          <w:rFonts w:ascii="Times New Roman" w:eastAsia="Google Sans Text" w:hAnsi="Times New Roman" w:cs="Times New Roman"/>
          <w:color w:val="1F1F1F"/>
        </w:rPr>
        <w:t xml:space="preserve">seed vigor index, </w:t>
      </w:r>
      <w:r w:rsidRPr="00E169C4">
        <w:rPr>
          <w:rFonts w:ascii="Times New Roman" w:eastAsia="Google Sans Text" w:hAnsi="Times New Roman" w:cs="Times New Roman"/>
          <w:i/>
          <w:iCs/>
          <w:color w:val="1F1F1F"/>
        </w:rPr>
        <w:t>Zingiber officinale</w:t>
      </w:r>
    </w:p>
    <w:p w:rsidR="00AB5936" w:rsidRPr="009250FC" w:rsidRDefault="0082765A" w:rsidP="0094685B">
      <w:pPr>
        <w:pStyle w:val="Heading2"/>
        <w:spacing w:before="0" w:after="120" w:line="275" w:lineRule="auto"/>
        <w:jc w:val="both"/>
        <w:rPr>
          <w:rFonts w:ascii="Times New Roman" w:eastAsia="Google Sans" w:hAnsi="Times New Roman" w:cs="Times New Roman"/>
          <w:color w:val="1F1F1F"/>
          <w:sz w:val="22"/>
          <w:szCs w:val="22"/>
        </w:rPr>
      </w:pPr>
      <w:r w:rsidRPr="009250FC">
        <w:rPr>
          <w:rFonts w:ascii="Times New Roman" w:eastAsia="Google Sans" w:hAnsi="Times New Roman" w:cs="Times New Roman"/>
          <w:color w:val="1F1F1F"/>
          <w:sz w:val="22"/>
          <w:szCs w:val="22"/>
        </w:rPr>
        <w:t>1 Introduction</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Bambara groundnut (</w:t>
      </w:r>
      <w:r w:rsidR="001D228C">
        <w:rPr>
          <w:rFonts w:ascii="Times New Roman" w:eastAsia="Google Sans Text" w:hAnsi="Times New Roman" w:cs="Times New Roman"/>
          <w:i/>
          <w:iCs/>
          <w:color w:val="1F1F1F"/>
        </w:rPr>
        <w:t>Vigna subterranea</w:t>
      </w:r>
      <w:r w:rsidRPr="00E169C4">
        <w:rPr>
          <w:rFonts w:ascii="Times New Roman" w:eastAsia="Google Sans Text" w:hAnsi="Times New Roman" w:cs="Times New Roman"/>
          <w:color w:val="1F1F1F"/>
        </w:rPr>
        <w:t xml:space="preserve"> L. </w:t>
      </w:r>
      <w:proofErr w:type="spellStart"/>
      <w:r w:rsidRPr="00E169C4">
        <w:rPr>
          <w:rFonts w:ascii="Times New Roman" w:eastAsia="Google Sans Text" w:hAnsi="Times New Roman" w:cs="Times New Roman"/>
          <w:color w:val="1F1F1F"/>
        </w:rPr>
        <w:t>Verdc</w:t>
      </w:r>
      <w:proofErr w:type="spellEnd"/>
      <w:r w:rsidRPr="00E169C4">
        <w:rPr>
          <w:rFonts w:ascii="Times New Roman" w:eastAsia="Google Sans Text" w:hAnsi="Times New Roman" w:cs="Times New Roman"/>
          <w:color w:val="1F1F1F"/>
        </w:rPr>
        <w:t>.) is a critical grain legume indigenous to Africa, predominantly cultivated by small-scale farmers in semi-arid regions of Sub-Saharan Africa under low-input production systems (</w:t>
      </w:r>
      <w:proofErr w:type="spellStart"/>
      <w:r w:rsidRPr="00E169C4">
        <w:rPr>
          <w:rFonts w:ascii="Times New Roman" w:eastAsia="Google Sans Text" w:hAnsi="Times New Roman" w:cs="Times New Roman"/>
          <w:color w:val="1F1F1F"/>
        </w:rPr>
        <w:t>Mubaiwa</w:t>
      </w:r>
      <w:proofErr w:type="spellEnd"/>
      <w:r w:rsidR="004F78C7" w:rsidRPr="00E169C4">
        <w:rPr>
          <w:rFonts w:ascii="Times New Roman" w:eastAsia="Google Sans Text" w:hAnsi="Times New Roman" w:cs="Times New Roman"/>
          <w:color w:val="1F1F1F"/>
        </w:rPr>
        <w:t xml:space="preserve"> et al</w:t>
      </w:r>
      <w:r w:rsidRPr="00E169C4">
        <w:rPr>
          <w:rFonts w:ascii="Times New Roman" w:eastAsia="Google Sans Text" w:hAnsi="Times New Roman" w:cs="Times New Roman"/>
          <w:color w:val="1F1F1F"/>
        </w:rPr>
        <w:t xml:space="preserve"> 2018; </w:t>
      </w:r>
      <w:proofErr w:type="spellStart"/>
      <w:r w:rsidRPr="00E169C4">
        <w:rPr>
          <w:rFonts w:ascii="Times New Roman" w:eastAsia="Google Sans Text" w:hAnsi="Times New Roman" w:cs="Times New Roman"/>
          <w:color w:val="1F1F1F"/>
        </w:rPr>
        <w:t>Majola</w:t>
      </w:r>
      <w:proofErr w:type="spellEnd"/>
      <w:r w:rsidR="004F78C7" w:rsidRPr="00E169C4">
        <w:rPr>
          <w:rFonts w:ascii="Times New Roman" w:eastAsia="Google Sans Text" w:hAnsi="Times New Roman" w:cs="Times New Roman"/>
          <w:color w:val="1F1F1F"/>
        </w:rPr>
        <w:t xml:space="preserve"> et al</w:t>
      </w:r>
      <w:r w:rsidRPr="00E169C4">
        <w:rPr>
          <w:rFonts w:ascii="Times New Roman" w:eastAsia="Google Sans Text" w:hAnsi="Times New Roman" w:cs="Times New Roman"/>
          <w:color w:val="1F1F1F"/>
        </w:rPr>
        <w:t xml:space="preserve"> 2021). Despite its potential as a "complete balanced diet" rich in carbohydrates (63–69%) and protein (18–24%), national average yields in regions like Zambia remain significantly below their documented potential of 3,000 kg/ha (Khan</w:t>
      </w:r>
      <w:r w:rsidR="004F78C7" w:rsidRPr="00E169C4">
        <w:rPr>
          <w:rFonts w:ascii="Times New Roman" w:eastAsia="Google Sans Text" w:hAnsi="Times New Roman" w:cs="Times New Roman"/>
          <w:color w:val="1F1F1F"/>
        </w:rPr>
        <w:t xml:space="preserve"> et al, </w:t>
      </w:r>
      <w:r w:rsidRPr="00E169C4">
        <w:rPr>
          <w:rFonts w:ascii="Times New Roman" w:eastAsia="Google Sans Text" w:hAnsi="Times New Roman" w:cs="Times New Roman"/>
          <w:color w:val="1F1F1F"/>
        </w:rPr>
        <w:t xml:space="preserve">2021; </w:t>
      </w:r>
      <w:proofErr w:type="spellStart"/>
      <w:r w:rsidRPr="00E169C4">
        <w:rPr>
          <w:rFonts w:ascii="Times New Roman" w:eastAsia="Google Sans Text" w:hAnsi="Times New Roman" w:cs="Times New Roman"/>
          <w:color w:val="1F1F1F"/>
        </w:rPr>
        <w:t>Majola</w:t>
      </w:r>
      <w:proofErr w:type="spellEnd"/>
      <w:r w:rsidR="004F78C7" w:rsidRPr="00E169C4">
        <w:rPr>
          <w:rFonts w:ascii="Times New Roman" w:eastAsia="Google Sans Text" w:hAnsi="Times New Roman" w:cs="Times New Roman"/>
          <w:color w:val="1F1F1F"/>
        </w:rPr>
        <w:t xml:space="preserve"> et al, </w:t>
      </w:r>
      <w:r w:rsidRPr="00E169C4">
        <w:rPr>
          <w:rFonts w:ascii="Times New Roman" w:eastAsia="Google Sans Text" w:hAnsi="Times New Roman" w:cs="Times New Roman"/>
          <w:color w:val="1F1F1F"/>
        </w:rPr>
        <w:t xml:space="preserve">2021). This productivity gap is exacerbated by the increasing frequency of droughts, which now occur </w:t>
      </w:r>
      <w:r w:rsidR="00823CF4" w:rsidRPr="00E169C4">
        <w:rPr>
          <w:rFonts w:ascii="Times New Roman" w:eastAsia="Google Sans Text" w:hAnsi="Times New Roman" w:cs="Times New Roman"/>
          <w:color w:val="1F1F1F"/>
        </w:rPr>
        <w:t xml:space="preserve">almost </w:t>
      </w:r>
      <w:r w:rsidRPr="00E169C4">
        <w:rPr>
          <w:rFonts w:ascii="Times New Roman" w:eastAsia="Google Sans Text" w:hAnsi="Times New Roman" w:cs="Times New Roman"/>
          <w:color w:val="1F1F1F"/>
        </w:rPr>
        <w:t>every 4 to 5 years due to global climate change (</w:t>
      </w:r>
      <w:proofErr w:type="spellStart"/>
      <w:r w:rsidRPr="00E169C4">
        <w:rPr>
          <w:rFonts w:ascii="Times New Roman" w:eastAsia="Google Sans Text" w:hAnsi="Times New Roman" w:cs="Times New Roman"/>
          <w:color w:val="1F1F1F"/>
        </w:rPr>
        <w:t>Hamududu</w:t>
      </w:r>
      <w:proofErr w:type="spellEnd"/>
      <w:r w:rsidRPr="00E169C4">
        <w:rPr>
          <w:rFonts w:ascii="Times New Roman" w:eastAsia="Google Sans Text" w:hAnsi="Times New Roman" w:cs="Times New Roman"/>
          <w:color w:val="1F1F1F"/>
        </w:rPr>
        <w:t xml:space="preserve"> and Ngoma 2019; </w:t>
      </w:r>
      <w:proofErr w:type="spellStart"/>
      <w:r w:rsidRPr="00E169C4">
        <w:rPr>
          <w:rFonts w:ascii="Times New Roman" w:eastAsia="Google Sans Text" w:hAnsi="Times New Roman" w:cs="Times New Roman"/>
          <w:color w:val="1F1F1F"/>
        </w:rPr>
        <w:t>ZamStats</w:t>
      </w:r>
      <w:proofErr w:type="spellEnd"/>
      <w:r w:rsidRPr="00E169C4">
        <w:rPr>
          <w:rFonts w:ascii="Times New Roman" w:eastAsia="Google Sans Text" w:hAnsi="Times New Roman" w:cs="Times New Roman"/>
          <w:color w:val="1F1F1F"/>
        </w:rPr>
        <w:t xml:space="preserve"> 2024).</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Drought is a major factor limiting plant survival, particularly during germination when water constraints impair seedling establishment, leading to yield losses of up to 40% (Ahluwalia</w:t>
      </w:r>
      <w:r w:rsidR="004F78C7" w:rsidRPr="00E169C4">
        <w:rPr>
          <w:rFonts w:ascii="Times New Roman" w:eastAsia="Google Sans Text" w:hAnsi="Times New Roman" w:cs="Times New Roman"/>
          <w:color w:val="1F1F1F"/>
        </w:rPr>
        <w:t xml:space="preserve"> et al</w:t>
      </w:r>
      <w:r w:rsidRPr="00E169C4">
        <w:rPr>
          <w:rFonts w:ascii="Times New Roman" w:eastAsia="Google Sans Text" w:hAnsi="Times New Roman" w:cs="Times New Roman"/>
          <w:color w:val="1F1F1F"/>
        </w:rPr>
        <w:t>, a 2021; IAPRI 2023). Seed priming has been proposed as a key low-cost intervention to enhance seedling vigor and yield stability under such conditions (</w:t>
      </w:r>
      <w:r w:rsidR="004F78C7" w:rsidRPr="00E169C4">
        <w:rPr>
          <w:rFonts w:ascii="Times New Roman" w:eastAsia="Google Sans Text" w:hAnsi="Times New Roman" w:cs="Times New Roman"/>
          <w:color w:val="1F1F1F"/>
        </w:rPr>
        <w:t>Ntshalintshali, et al,</w:t>
      </w:r>
      <w:r w:rsidRPr="00E169C4">
        <w:rPr>
          <w:rFonts w:ascii="Times New Roman" w:eastAsia="Google Sans Text" w:hAnsi="Times New Roman" w:cs="Times New Roman"/>
          <w:color w:val="1F1F1F"/>
        </w:rPr>
        <w:t xml:space="preserve"> 2026). This strategy induces biochemical mechanisms, including the activation of antioxidant systems and reserve mobilization, preparing the seedling for future stress through "stress memory" (Wojtyla</w:t>
      </w:r>
      <w:r w:rsidR="004F78C7" w:rsidRPr="00E169C4">
        <w:rPr>
          <w:rFonts w:ascii="Times New Roman" w:eastAsia="Google Sans Text" w:hAnsi="Times New Roman" w:cs="Times New Roman"/>
          <w:color w:val="1F1F1F"/>
        </w:rPr>
        <w:t xml:space="preserve"> et al </w:t>
      </w:r>
      <w:r w:rsidRPr="00E169C4">
        <w:rPr>
          <w:rFonts w:ascii="Times New Roman" w:eastAsia="Google Sans Text" w:hAnsi="Times New Roman" w:cs="Times New Roman"/>
          <w:color w:val="1F1F1F"/>
        </w:rPr>
        <w:t xml:space="preserve">2016a; Johnson and </w:t>
      </w:r>
      <w:proofErr w:type="spellStart"/>
      <w:r w:rsidRPr="00E169C4">
        <w:rPr>
          <w:rFonts w:ascii="Times New Roman" w:eastAsia="Google Sans Text" w:hAnsi="Times New Roman" w:cs="Times New Roman"/>
          <w:color w:val="1F1F1F"/>
        </w:rPr>
        <w:t>Puthur</w:t>
      </w:r>
      <w:proofErr w:type="spellEnd"/>
      <w:r w:rsidRPr="00E169C4">
        <w:rPr>
          <w:rFonts w:ascii="Times New Roman" w:eastAsia="Google Sans Text" w:hAnsi="Times New Roman" w:cs="Times New Roman"/>
          <w:color w:val="1F1F1F"/>
        </w:rPr>
        <w:t xml:space="preserve"> 2021).</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 xml:space="preserve">Botanical extracts such as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and neem are gaining interest as sustainable </w:t>
      </w:r>
      <w:r w:rsidR="005E46B3" w:rsidRPr="00E169C4">
        <w:rPr>
          <w:rFonts w:ascii="Times New Roman" w:eastAsia="Google Sans Text" w:hAnsi="Times New Roman" w:cs="Times New Roman"/>
          <w:color w:val="1F1F1F"/>
        </w:rPr>
        <w:t>bio stimulants</w:t>
      </w:r>
      <w:r w:rsidRPr="00E169C4">
        <w:rPr>
          <w:rFonts w:ascii="Times New Roman" w:eastAsia="Google Sans Text" w:hAnsi="Times New Roman" w:cs="Times New Roman"/>
          <w:color w:val="1F1F1F"/>
        </w:rPr>
        <w:t xml:space="preserve"> (</w:t>
      </w:r>
      <w:proofErr w:type="spellStart"/>
      <w:r w:rsidRPr="00E169C4">
        <w:rPr>
          <w:rFonts w:ascii="Times New Roman" w:eastAsia="Google Sans Text" w:hAnsi="Times New Roman" w:cs="Times New Roman"/>
          <w:color w:val="1F1F1F"/>
        </w:rPr>
        <w:t>Naz</w:t>
      </w:r>
      <w:proofErr w:type="spellEnd"/>
      <w:r w:rsidR="004F78C7" w:rsidRPr="00E169C4">
        <w:rPr>
          <w:rFonts w:ascii="Times New Roman" w:eastAsia="Google Sans Text" w:hAnsi="Times New Roman" w:cs="Times New Roman"/>
          <w:color w:val="1F1F1F"/>
        </w:rPr>
        <w:t xml:space="preserve"> et al, </w:t>
      </w:r>
      <w:r w:rsidRPr="00E169C4">
        <w:rPr>
          <w:rFonts w:ascii="Times New Roman" w:eastAsia="Google Sans Text" w:hAnsi="Times New Roman" w:cs="Times New Roman"/>
          <w:color w:val="1F1F1F"/>
        </w:rPr>
        <w:t xml:space="preserve">2022; </w:t>
      </w:r>
      <w:proofErr w:type="spellStart"/>
      <w:r w:rsidRPr="00E169C4">
        <w:rPr>
          <w:rFonts w:ascii="Times New Roman" w:eastAsia="Google Sans Text" w:hAnsi="Times New Roman" w:cs="Times New Roman"/>
          <w:color w:val="1F1F1F"/>
        </w:rPr>
        <w:t>Queslati</w:t>
      </w:r>
      <w:proofErr w:type="spellEnd"/>
      <w:r w:rsidRPr="00E169C4">
        <w:rPr>
          <w:rFonts w:ascii="Times New Roman" w:eastAsia="Google Sans Text" w:hAnsi="Times New Roman" w:cs="Times New Roman"/>
          <w:color w:val="1F1F1F"/>
        </w:rPr>
        <w:t xml:space="preserve"> et al. 2025).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rhizome extracts are rich in phenolics that enhance oxidative defense, while neem leaf extracts contain bioactive limonoids like nimbolide B, which exhibit potent allelopathic activity but also growth-regulating benefits at controlled doses (Noguchi,</w:t>
      </w:r>
      <w:r w:rsidR="004F78C7" w:rsidRPr="00E169C4">
        <w:rPr>
          <w:rFonts w:ascii="Times New Roman" w:eastAsia="Google Sans Text" w:hAnsi="Times New Roman" w:cs="Times New Roman"/>
          <w:color w:val="1F1F1F"/>
        </w:rPr>
        <w:t xml:space="preserve"> et al, </w:t>
      </w:r>
      <w:r w:rsidRPr="00E169C4">
        <w:rPr>
          <w:rFonts w:ascii="Times New Roman" w:eastAsia="Google Sans Text" w:hAnsi="Times New Roman" w:cs="Times New Roman"/>
          <w:color w:val="1F1F1F"/>
        </w:rPr>
        <w:t xml:space="preserve">2014). This study investigates the physiological and morphophysiological responses to these extracts in alleviating drought-associated stress in </w:t>
      </w:r>
      <w:r w:rsidR="001D228C">
        <w:rPr>
          <w:rFonts w:ascii="Times New Roman" w:eastAsia="Google Sans Text" w:hAnsi="Times New Roman" w:cs="Times New Roman"/>
          <w:i/>
          <w:iCs/>
          <w:color w:val="1F1F1F"/>
        </w:rPr>
        <w:t>Vigna subterranea</w:t>
      </w:r>
      <w:r w:rsidRPr="00E169C4">
        <w:rPr>
          <w:rFonts w:ascii="Times New Roman" w:eastAsia="Google Sans Text" w:hAnsi="Times New Roman" w:cs="Times New Roman"/>
          <w:color w:val="1F1F1F"/>
        </w:rPr>
        <w:t>.</w:t>
      </w:r>
    </w:p>
    <w:p w:rsidR="00AB5936" w:rsidRPr="009250FC" w:rsidRDefault="0082765A" w:rsidP="0094685B">
      <w:pPr>
        <w:pStyle w:val="Heading2"/>
        <w:spacing w:before="0" w:after="120" w:line="275" w:lineRule="auto"/>
        <w:jc w:val="both"/>
        <w:rPr>
          <w:rFonts w:ascii="Times New Roman" w:eastAsia="Google Sans" w:hAnsi="Times New Roman" w:cs="Times New Roman"/>
          <w:color w:val="1F1F1F"/>
          <w:sz w:val="22"/>
          <w:szCs w:val="22"/>
        </w:rPr>
      </w:pPr>
      <w:r w:rsidRPr="009250FC">
        <w:rPr>
          <w:rFonts w:ascii="Times New Roman" w:eastAsia="Google Sans" w:hAnsi="Times New Roman" w:cs="Times New Roman"/>
          <w:color w:val="1F1F1F"/>
          <w:sz w:val="22"/>
          <w:szCs w:val="22"/>
        </w:rPr>
        <w:lastRenderedPageBreak/>
        <w:t>2 Materials and methods</w:t>
      </w:r>
    </w:p>
    <w:p w:rsidR="00AB5936" w:rsidRPr="009250FC" w:rsidRDefault="0082765A" w:rsidP="0094685B">
      <w:pPr>
        <w:pStyle w:val="Heading3"/>
        <w:spacing w:before="0" w:after="120" w:line="275" w:lineRule="auto"/>
        <w:jc w:val="both"/>
        <w:rPr>
          <w:rFonts w:ascii="Times New Roman" w:eastAsia="Google Sans" w:hAnsi="Times New Roman" w:cs="Times New Roman"/>
          <w:color w:val="1F1F1F"/>
          <w:sz w:val="22"/>
          <w:szCs w:val="22"/>
        </w:rPr>
      </w:pPr>
      <w:r w:rsidRPr="009250FC">
        <w:rPr>
          <w:rFonts w:ascii="Times New Roman" w:eastAsia="Google Sans" w:hAnsi="Times New Roman" w:cs="Times New Roman"/>
          <w:color w:val="1F1F1F"/>
          <w:sz w:val="22"/>
          <w:szCs w:val="22"/>
        </w:rPr>
        <w:t>2.1 Experimental workflow</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 xml:space="preserve">The study followed a multi-phase approach to transition from seed-level laboratory </w:t>
      </w:r>
      <w:r w:rsidR="004F78C7" w:rsidRPr="00E169C4">
        <w:rPr>
          <w:rFonts w:ascii="Times New Roman" w:eastAsia="Google Sans Text" w:hAnsi="Times New Roman" w:cs="Times New Roman"/>
          <w:color w:val="1F1F1F"/>
        </w:rPr>
        <w:t>bio stimulation</w:t>
      </w:r>
      <w:r w:rsidRPr="00E169C4">
        <w:rPr>
          <w:rFonts w:ascii="Times New Roman" w:eastAsia="Google Sans Text" w:hAnsi="Times New Roman" w:cs="Times New Roman"/>
          <w:color w:val="1F1F1F"/>
        </w:rPr>
        <w:t xml:space="preserve"> to whole-plant greenhouse evalu</w:t>
      </w:r>
      <w:r w:rsidR="000522AB">
        <w:rPr>
          <w:rFonts w:ascii="Times New Roman" w:eastAsia="Google Sans Text" w:hAnsi="Times New Roman" w:cs="Times New Roman"/>
          <w:color w:val="1F1F1F"/>
        </w:rPr>
        <w:t>ation under moisture deficit conditions</w:t>
      </w:r>
      <w:r w:rsidRPr="00E169C4">
        <w:rPr>
          <w:rFonts w:ascii="Times New Roman" w:eastAsia="Google Sans Text" w:hAnsi="Times New Roman" w:cs="Times New Roman"/>
          <w:color w:val="1F1F1F"/>
        </w:rPr>
        <w:t>.</w:t>
      </w:r>
    </w:p>
    <w:p w:rsidR="00AB5936" w:rsidRPr="009250FC" w:rsidRDefault="0082765A" w:rsidP="0094685B">
      <w:pPr>
        <w:pStyle w:val="Heading3"/>
        <w:spacing w:before="0" w:after="120" w:line="275" w:lineRule="auto"/>
        <w:jc w:val="both"/>
        <w:rPr>
          <w:rFonts w:ascii="Times New Roman" w:eastAsia="Google Sans" w:hAnsi="Times New Roman" w:cs="Times New Roman"/>
          <w:color w:val="1F1F1F"/>
          <w:sz w:val="22"/>
          <w:szCs w:val="22"/>
        </w:rPr>
      </w:pPr>
      <w:r w:rsidRPr="009250FC">
        <w:rPr>
          <w:rFonts w:ascii="Times New Roman" w:eastAsia="Google Sans" w:hAnsi="Times New Roman" w:cs="Times New Roman"/>
          <w:color w:val="1F1F1F"/>
          <w:sz w:val="22"/>
          <w:szCs w:val="22"/>
        </w:rPr>
        <w:t>2.2 Preparation of priming extracts and growth conditions</w:t>
      </w:r>
    </w:p>
    <w:p w:rsidR="00DF318B" w:rsidRPr="00DF318B" w:rsidRDefault="0082765A" w:rsidP="00DF318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Seeds of two genotypes (</w:t>
      </w:r>
      <w:r w:rsidR="00CD7774">
        <w:rPr>
          <w:rFonts w:ascii="Times New Roman" w:eastAsia="Google Sans Text" w:hAnsi="Times New Roman" w:cs="Times New Roman"/>
          <w:color w:val="1F1F1F"/>
        </w:rPr>
        <w:t>ZM 1856</w:t>
      </w:r>
      <w:r w:rsidRPr="00E169C4">
        <w:rPr>
          <w:rFonts w:ascii="Times New Roman" w:eastAsia="Google Sans Text" w:hAnsi="Times New Roman" w:cs="Times New Roman"/>
          <w:color w:val="1F1F1F"/>
        </w:rPr>
        <w:t xml:space="preserve"> and </w:t>
      </w:r>
      <w:r w:rsidR="00CD7774">
        <w:rPr>
          <w:rFonts w:ascii="Times New Roman" w:eastAsia="Google Sans Text" w:hAnsi="Times New Roman" w:cs="Times New Roman"/>
          <w:color w:val="1F1F1F"/>
        </w:rPr>
        <w:t>ZM 2656</w:t>
      </w:r>
      <w:r w:rsidRPr="00E169C4">
        <w:rPr>
          <w:rFonts w:ascii="Times New Roman" w:eastAsia="Google Sans Text" w:hAnsi="Times New Roman" w:cs="Times New Roman"/>
          <w:color w:val="1F1F1F"/>
        </w:rPr>
        <w:t>) were obtained from the National Plant Genetic Resources Center.</w:t>
      </w:r>
      <w:r w:rsidRPr="00E169C4">
        <w:rPr>
          <w:rFonts w:ascii="Times New Roman" w:eastAsia="Google Sans Text" w:hAnsi="Times New Roman" w:cs="Times New Roman"/>
          <w:color w:val="444746"/>
          <w:vertAlign w:val="superscript"/>
        </w:rPr>
        <w:t>1</w:t>
      </w:r>
      <w:r w:rsidRPr="00E169C4">
        <w:rPr>
          <w:rFonts w:ascii="Times New Roman" w:eastAsia="Google Sans Text" w:hAnsi="Times New Roman" w:cs="Times New Roman"/>
          <w:color w:val="1F1F1F"/>
        </w:rPr>
        <w:t xml:space="preserve"> Priming solutions were prepared using fresh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rhizomes and neem leaves blended with distilled water: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(0–20% w/v) and neem (0–4% w/v). Seeds were surface-sterilized with 1% sodium hypochlorite, soaked in botanical extracts for 24 hours at</w:t>
      </w:r>
      <w:r w:rsidR="00A50883" w:rsidRPr="00E169C4">
        <w:rPr>
          <w:rFonts w:ascii="Times New Roman" w:eastAsia="Google Sans Text" w:hAnsi="Times New Roman" w:cs="Times New Roman"/>
          <w:color w:val="1F1F1F"/>
        </w:rPr>
        <w:t xml:space="preserve"> (</w:t>
      </w:r>
      <w:r w:rsidR="00A776F3" w:rsidRPr="00E169C4">
        <w:rPr>
          <w:rFonts w:ascii="Times New Roman" w:eastAsia="Google Sans Text" w:hAnsi="Times New Roman" w:cs="Times New Roman"/>
          <w:color w:val="1F1F1F"/>
        </w:rPr>
        <w:t>25</w:t>
      </w:r>
      <w:r w:rsidR="00A776F3" w:rsidRPr="00E169C4">
        <w:rPr>
          <w:rFonts w:ascii="Times New Roman" w:eastAsia="Google Sans Text" w:hAnsi="Times New Roman" w:cs="Times New Roman"/>
          <w:color w:val="1F1F1F"/>
          <w:u w:val="single"/>
        </w:rPr>
        <w:t>+</w:t>
      </w:r>
      <w:r w:rsidR="00A776F3" w:rsidRPr="00E169C4">
        <w:rPr>
          <w:rFonts w:ascii="Times New Roman" w:eastAsia="Google Sans Text" w:hAnsi="Times New Roman" w:cs="Times New Roman"/>
          <w:color w:val="1F1F1F"/>
        </w:rPr>
        <w:t>2</w:t>
      </w:r>
      <w:r w:rsidR="00DD6E2F">
        <w:rPr>
          <w:rFonts w:ascii="Times New Roman" w:eastAsia="Google Sans Text" w:hAnsi="Times New Roman" w:cs="Times New Roman"/>
          <w:color w:val="1F1F1F"/>
        </w:rPr>
        <w:t xml:space="preserve">°C in darkness, and planted </w:t>
      </w:r>
      <w:r w:rsidR="00DB3606">
        <w:rPr>
          <w:rFonts w:ascii="Times New Roman" w:eastAsia="Google Sans Text" w:hAnsi="Times New Roman" w:cs="Times New Roman"/>
          <w:color w:val="1F1F1F"/>
        </w:rPr>
        <w:t>in 20litre buckets filled with a mixture of top soil, sand and compost in a ratio of 1:1:1.</w:t>
      </w:r>
      <w:r w:rsidRPr="00E169C4">
        <w:rPr>
          <w:rFonts w:ascii="Times New Roman" w:eastAsia="Google Sans Text" w:hAnsi="Times New Roman" w:cs="Times New Roman"/>
          <w:color w:val="1F1F1F"/>
        </w:rPr>
        <w:t xml:space="preserve"> The experiment used a randomized complete block design</w:t>
      </w:r>
      <w:r w:rsidR="00DD6E2F">
        <w:rPr>
          <w:rFonts w:ascii="Times New Roman" w:eastAsia="Google Sans Text" w:hAnsi="Times New Roman" w:cs="Times New Roman"/>
          <w:color w:val="1F1F1F"/>
        </w:rPr>
        <w:t xml:space="preserve"> (RCBD) with four replications thus </w:t>
      </w:r>
      <w:r w:rsidRPr="00E169C4">
        <w:rPr>
          <w:rFonts w:ascii="Times New Roman" w:eastAsia="Google Sans Text" w:hAnsi="Times New Roman" w:cs="Times New Roman"/>
          <w:color w:val="1F1F1F"/>
        </w:rPr>
        <w:t xml:space="preserve">employing a </w:t>
      </w:r>
      <w:r w:rsidR="00A776F3" w:rsidRPr="00E169C4">
        <w:rPr>
          <w:rFonts w:ascii="Times New Roman" w:eastAsia="Google Sans Text" w:hAnsi="Times New Roman" w:cs="Times New Roman"/>
          <w:noProof/>
          <w:color w:val="1F1F1F"/>
        </w:rPr>
        <w:t>2 x 10</w:t>
      </w:r>
      <w:r w:rsidRPr="00E169C4">
        <w:rPr>
          <w:rFonts w:ascii="Times New Roman" w:eastAsia="Google Sans Text" w:hAnsi="Times New Roman" w:cs="Times New Roman"/>
          <w:color w:val="1F1F1F"/>
        </w:rPr>
        <w:t xml:space="preserve"> factorial arrangement.</w:t>
      </w:r>
    </w:p>
    <w:p w:rsidR="00DF318B" w:rsidRPr="00DF318B" w:rsidRDefault="00DF318B" w:rsidP="00DF318B">
      <w:pPr>
        <w:pStyle w:val="Heading3"/>
        <w:rPr>
          <w:rFonts w:ascii="Times New Roman" w:hAnsi="Times New Roman" w:cs="Times New Roman"/>
          <w:sz w:val="24"/>
        </w:rPr>
      </w:pPr>
      <w:r w:rsidRPr="00DF318B">
        <w:rPr>
          <w:rFonts w:ascii="Times New Roman" w:hAnsi="Times New Roman" w:cs="Times New Roman"/>
          <w:sz w:val="24"/>
        </w:rPr>
        <w:t>Germination and Early Seedling Growth</w:t>
      </w:r>
    </w:p>
    <w:p w:rsidR="00DF318B" w:rsidRDefault="00DF318B" w:rsidP="00DF318B">
      <w:pPr>
        <w:pStyle w:val="NormalWeb"/>
      </w:pPr>
      <w:r>
        <w:t>Seed germination was monitored daily for 21 days. A seed was c</w:t>
      </w:r>
      <w:r w:rsidR="00C3452C">
        <w:t>onsidered germinated when the plumule was clearly visible above the soil surface</w:t>
      </w:r>
      <w:r>
        <w:t>. The following indices were calculated:</w:t>
      </w:r>
    </w:p>
    <w:p w:rsidR="00DF318B" w:rsidRPr="00DC28DB" w:rsidRDefault="00DF318B" w:rsidP="00DF318B">
      <w:pPr>
        <w:pStyle w:val="NormalWeb"/>
        <w:numPr>
          <w:ilvl w:val="0"/>
          <w:numId w:val="7"/>
        </w:numPr>
      </w:pPr>
      <w:r w:rsidRPr="00DC28DB">
        <w:rPr>
          <w:b/>
          <w:bCs/>
        </w:rPr>
        <w:t>Germination Rate (GR):</w:t>
      </w:r>
      <w:r w:rsidRPr="00DC28DB">
        <w:t xml:space="preserve"> Expressed as the final percentage of seeds that germinated relative to the total number of seeds sown.</w:t>
      </w:r>
    </w:p>
    <w:p w:rsidR="00DF318B" w:rsidRPr="00DC28DB" w:rsidRDefault="00DF318B" w:rsidP="00DF318B">
      <w:pPr>
        <w:pStyle w:val="NormalWeb"/>
        <w:numPr>
          <w:ilvl w:val="0"/>
          <w:numId w:val="7"/>
        </w:numPr>
      </w:pPr>
      <w:r w:rsidRPr="00DC28DB">
        <w:rPr>
          <w:b/>
          <w:bCs/>
        </w:rPr>
        <w:t>Mean Germination Time (MGT):</w:t>
      </w:r>
      <w:r w:rsidRPr="00DC28DB">
        <w:t xml:space="preserve"> Calculated using the formula:</w:t>
      </w:r>
    </w:p>
    <w:p w:rsidR="00DF318B" w:rsidRPr="00DC28DB" w:rsidRDefault="00DF318B" w:rsidP="00C3452C">
      <w:pPr>
        <w:spacing w:beforeAutospacing="1" w:afterAutospacing="1"/>
        <w:ind w:left="720"/>
        <w:rPr>
          <w:rFonts w:ascii="Times New Roman" w:hAnsi="Times New Roman" w:cs="Times New Roman"/>
        </w:rPr>
      </w:pPr>
      <w:r w:rsidRPr="00DC28DB">
        <w:rPr>
          <w:rFonts w:ascii="Times New Roman" w:hAnsi="Times New Roman" w:cs="Times New Roman"/>
        </w:rPr>
        <w:t>MGT =</w:t>
      </w:r>
      <w:r w:rsidR="00111E6F" w:rsidRPr="00DC28DB">
        <w:rPr>
          <w:rFonts w:ascii="Times New Roman" w:hAnsi="Times New Roman" w:cs="Times New Roman"/>
        </w:rPr>
        <w:t>∑(nxd)/N</w:t>
      </w:r>
      <w:r w:rsidR="00111E6F" w:rsidRPr="00DC28DB">
        <w:rPr>
          <w:rFonts w:ascii="Times New Roman" w:hAnsi="Times New Roman" w:cs="Times New Roman"/>
        </w:rPr>
        <w:br/>
      </w:r>
      <w:r w:rsidRPr="00DC28DB">
        <w:rPr>
          <w:rFonts w:ascii="Times New Roman" w:hAnsi="Times New Roman" w:cs="Times New Roman"/>
        </w:rPr>
        <w:t xml:space="preserve">where </w:t>
      </w:r>
      <w:r w:rsidRPr="00DC28DB">
        <w:rPr>
          <w:rStyle w:val="math-inline"/>
          <w:rFonts w:ascii="Times New Roman" w:hAnsi="Times New Roman" w:cs="Times New Roman"/>
        </w:rPr>
        <w:t>n</w:t>
      </w:r>
      <w:r w:rsidRPr="00DC28DB">
        <w:rPr>
          <w:rFonts w:ascii="Times New Roman" w:hAnsi="Times New Roman" w:cs="Times New Roman"/>
        </w:rPr>
        <w:t xml:space="preserve"> is the number of seeds germinated on day </w:t>
      </w:r>
      <w:r w:rsidRPr="00DC28DB">
        <w:rPr>
          <w:rStyle w:val="math-inline"/>
          <w:rFonts w:ascii="Times New Roman" w:hAnsi="Times New Roman" w:cs="Times New Roman"/>
        </w:rPr>
        <w:t>d</w:t>
      </w:r>
      <w:r w:rsidRPr="00DC28DB">
        <w:rPr>
          <w:rFonts w:ascii="Times New Roman" w:hAnsi="Times New Roman" w:cs="Times New Roman"/>
        </w:rPr>
        <w:t xml:space="preserve">, </w:t>
      </w:r>
      <w:r w:rsidR="002D7E38" w:rsidRPr="00DC28DB">
        <w:rPr>
          <w:rFonts w:ascii="Times New Roman" w:hAnsi="Times New Roman" w:cs="Times New Roman"/>
        </w:rPr>
        <w:t xml:space="preserve">and </w:t>
      </w:r>
      <w:r w:rsidR="00C3452C" w:rsidRPr="00DC28DB">
        <w:rPr>
          <w:rFonts w:ascii="Times New Roman" w:hAnsi="Times New Roman" w:cs="Times New Roman"/>
        </w:rPr>
        <w:t xml:space="preserve">N </w:t>
      </w:r>
      <w:r w:rsidR="002D7E38" w:rsidRPr="00DC28DB">
        <w:rPr>
          <w:rFonts w:ascii="Times New Roman" w:hAnsi="Times New Roman" w:cs="Times New Roman"/>
        </w:rPr>
        <w:t>is</w:t>
      </w:r>
      <w:r w:rsidRPr="00DC28DB">
        <w:rPr>
          <w:rFonts w:ascii="Times New Roman" w:hAnsi="Times New Roman" w:cs="Times New Roman"/>
        </w:rPr>
        <w:t xml:space="preserve"> the total number of germinated seeds.</w:t>
      </w:r>
    </w:p>
    <w:p w:rsidR="00DF318B" w:rsidRPr="00DC28DB" w:rsidRDefault="00DF318B" w:rsidP="00DF318B">
      <w:pPr>
        <w:pStyle w:val="NormalWeb"/>
        <w:numPr>
          <w:ilvl w:val="0"/>
          <w:numId w:val="7"/>
        </w:numPr>
      </w:pPr>
      <w:r w:rsidRPr="00DC28DB">
        <w:rPr>
          <w:b/>
          <w:bCs/>
        </w:rPr>
        <w:t>Germination Index (GI):</w:t>
      </w:r>
      <w:r w:rsidRPr="00DC28DB">
        <w:t xml:space="preserve"> Computed to reflect both germination percentage and speed:</w:t>
      </w:r>
    </w:p>
    <w:p w:rsidR="00DF318B" w:rsidRPr="00DC28DB" w:rsidRDefault="00DF318B" w:rsidP="00DF318B">
      <w:pPr>
        <w:spacing w:beforeAutospacing="1" w:afterAutospacing="1"/>
        <w:ind w:left="720"/>
        <w:rPr>
          <w:rFonts w:ascii="Times New Roman" w:hAnsi="Times New Roman" w:cs="Times New Roman"/>
        </w:rPr>
      </w:pPr>
      <w:r w:rsidRPr="00DC28DB">
        <w:rPr>
          <w:rFonts w:ascii="Times New Roman" w:hAnsi="Times New Roman" w:cs="Times New Roman"/>
        </w:rPr>
        <w:t xml:space="preserve">GI = </w:t>
      </w:r>
      <w:r w:rsidR="00C3452C" w:rsidRPr="00DC28DB">
        <w:rPr>
          <w:rFonts w:ascii="Times New Roman" w:hAnsi="Times New Roman" w:cs="Times New Roman"/>
        </w:rPr>
        <w:t>∑(n/d)</w:t>
      </w:r>
    </w:p>
    <w:p w:rsidR="00DF318B" w:rsidRPr="00DC28DB" w:rsidRDefault="00DF318B" w:rsidP="00DF318B">
      <w:pPr>
        <w:pStyle w:val="NormalWeb"/>
        <w:ind w:left="720"/>
      </w:pPr>
      <w:r w:rsidRPr="00DC28DB">
        <w:t xml:space="preserve">where </w:t>
      </w:r>
      <w:r w:rsidRPr="00DC28DB">
        <w:rPr>
          <w:rStyle w:val="math-inline"/>
        </w:rPr>
        <w:t>Gt</w:t>
      </w:r>
      <w:r w:rsidRPr="00DC28DB">
        <w:t xml:space="preserve"> is the number of germinated seeds on day </w:t>
      </w:r>
      <w:r w:rsidRPr="00DC28DB">
        <w:rPr>
          <w:rStyle w:val="math-inline"/>
        </w:rPr>
        <w:t>t</w:t>
      </w:r>
      <w:r w:rsidRPr="00DC28DB">
        <w:t xml:space="preserve"> and </w:t>
      </w:r>
      <w:r w:rsidRPr="00DC28DB">
        <w:rPr>
          <w:rStyle w:val="math-inline"/>
        </w:rPr>
        <w:t>Dt</w:t>
      </w:r>
      <w:r w:rsidRPr="00DC28DB">
        <w:t xml:space="preserve"> is the corresponding day of culture.</w:t>
      </w:r>
    </w:p>
    <w:p w:rsidR="00DF318B" w:rsidRPr="00DC28DB" w:rsidRDefault="00DF318B" w:rsidP="00DF318B">
      <w:pPr>
        <w:pStyle w:val="NormalWeb"/>
        <w:numPr>
          <w:ilvl w:val="0"/>
          <w:numId w:val="7"/>
        </w:numPr>
      </w:pPr>
      <w:r w:rsidRPr="00DC28DB">
        <w:rPr>
          <w:b/>
          <w:bCs/>
        </w:rPr>
        <w:t>Seed Vigour Index (SVI):</w:t>
      </w:r>
      <w:r w:rsidRPr="00DC28DB">
        <w:t xml:space="preserve"> Determined using the following relationship:</w:t>
      </w:r>
    </w:p>
    <w:p w:rsidR="00DF318B" w:rsidRPr="00DC28DB" w:rsidRDefault="00DF318B" w:rsidP="00DF318B">
      <w:pPr>
        <w:spacing w:beforeAutospacing="1" w:afterAutospacing="1"/>
        <w:ind w:left="720"/>
        <w:rPr>
          <w:rFonts w:ascii="Times New Roman" w:hAnsi="Times New Roman" w:cs="Times New Roman"/>
        </w:rPr>
      </w:pPr>
      <w:r w:rsidRPr="00DC28DB">
        <w:rPr>
          <w:rFonts w:ascii="Times New Roman" w:hAnsi="Times New Roman" w:cs="Times New Roman"/>
        </w:rPr>
        <w:t>SVI = Germination % x Seedling Length</w:t>
      </w:r>
    </w:p>
    <w:p w:rsidR="00DF318B" w:rsidRPr="00DF318B" w:rsidRDefault="00DF318B" w:rsidP="00DF318B">
      <w:pPr>
        <w:pStyle w:val="Heading3"/>
        <w:rPr>
          <w:rFonts w:ascii="Times New Roman" w:hAnsi="Times New Roman" w:cs="Times New Roman"/>
          <w:sz w:val="24"/>
        </w:rPr>
      </w:pPr>
      <w:r w:rsidRPr="00DF318B">
        <w:rPr>
          <w:rFonts w:ascii="Times New Roman" w:hAnsi="Times New Roman" w:cs="Times New Roman"/>
          <w:sz w:val="24"/>
        </w:rPr>
        <w:t>Nodulation and Biomass Allocation</w:t>
      </w:r>
    </w:p>
    <w:p w:rsidR="00DF318B" w:rsidRDefault="00DF318B" w:rsidP="00DF318B">
      <w:pPr>
        <w:pStyle w:val="NormalWeb"/>
      </w:pPr>
      <w:r>
        <w:t>At 28 days after sowing (DAS), plants were harvested to assess growth and symbiotic performance.</w:t>
      </w:r>
    </w:p>
    <w:p w:rsidR="00DF318B" w:rsidRDefault="00DF318B" w:rsidP="00DF318B">
      <w:pPr>
        <w:pStyle w:val="NormalWeb"/>
        <w:numPr>
          <w:ilvl w:val="0"/>
          <w:numId w:val="8"/>
        </w:numPr>
      </w:pPr>
      <w:r>
        <w:rPr>
          <w:b/>
          <w:bCs/>
        </w:rPr>
        <w:t>Root Nodules per Plant:</w:t>
      </w:r>
      <w:r>
        <w:t xml:space="preserve"> Roots were carefully washed under a gentle stream of water to remove soil particles. All visible nodules were detached and counted manually to determine the mean number of nodules per plant.</w:t>
      </w:r>
    </w:p>
    <w:p w:rsidR="00DF318B" w:rsidRDefault="00DF318B" w:rsidP="00DF318B">
      <w:pPr>
        <w:pStyle w:val="NormalWeb"/>
        <w:numPr>
          <w:ilvl w:val="0"/>
          <w:numId w:val="8"/>
        </w:numPr>
      </w:pPr>
      <w:r>
        <w:rPr>
          <w:b/>
          <w:bCs/>
        </w:rPr>
        <w:t>Dry Matter Accumulation:</w:t>
      </w:r>
      <w:r>
        <w:t xml:space="preserve"> Plants were partitioned into roots and shoots. Samples were oven-dried at 70°C for 72 hours until a constant weight was achieved.</w:t>
      </w:r>
    </w:p>
    <w:p w:rsidR="00DF318B" w:rsidRDefault="00DF318B" w:rsidP="00DF318B">
      <w:pPr>
        <w:pStyle w:val="NormalWeb"/>
        <w:numPr>
          <w:ilvl w:val="1"/>
          <w:numId w:val="8"/>
        </w:numPr>
      </w:pPr>
      <w:r>
        <w:rPr>
          <w:b/>
          <w:bCs/>
        </w:rPr>
        <w:lastRenderedPageBreak/>
        <w:t>Root Dry Weight (RDW)</w:t>
      </w:r>
      <w:r>
        <w:t xml:space="preserve"> and </w:t>
      </w:r>
      <w:r>
        <w:rPr>
          <w:b/>
          <w:bCs/>
        </w:rPr>
        <w:t>Shoot Dry Weight (SDW)</w:t>
      </w:r>
      <w:r>
        <w:t xml:space="preserve"> were recorded using a precision analytical balance.</w:t>
      </w:r>
    </w:p>
    <w:p w:rsidR="00DF318B" w:rsidRDefault="00DF318B" w:rsidP="00DF318B">
      <w:pPr>
        <w:pStyle w:val="NormalWeb"/>
        <w:numPr>
          <w:ilvl w:val="1"/>
          <w:numId w:val="8"/>
        </w:numPr>
      </w:pPr>
      <w:r>
        <w:rPr>
          <w:b/>
          <w:bCs/>
        </w:rPr>
        <w:t>Total Dry Matter (TDM)</w:t>
      </w:r>
      <w:r>
        <w:t xml:space="preserve"> was calculated as the sum of RDW and SDW.</w:t>
      </w:r>
    </w:p>
    <w:p w:rsidR="00DF318B" w:rsidRDefault="00111D05" w:rsidP="00DF318B">
      <w:pPr>
        <w:pStyle w:val="NormalWeb"/>
        <w:numPr>
          <w:ilvl w:val="1"/>
          <w:numId w:val="8"/>
        </w:numPr>
      </w:pPr>
      <w:r>
        <w:rPr>
          <w:b/>
          <w:bCs/>
        </w:rPr>
        <w:t>Root: Shoot</w:t>
      </w:r>
      <w:r w:rsidR="00DF318B">
        <w:rPr>
          <w:b/>
          <w:bCs/>
        </w:rPr>
        <w:t xml:space="preserve"> Ratio</w:t>
      </w:r>
      <w:r w:rsidR="00DF318B">
        <w:t xml:space="preserve"> was determined by dividing RDW by SDW to assess biomass partitioning.</w:t>
      </w:r>
    </w:p>
    <w:p w:rsidR="00DF318B" w:rsidRPr="00DF318B" w:rsidRDefault="00DF318B" w:rsidP="00DF318B">
      <w:pPr>
        <w:pStyle w:val="Heading3"/>
        <w:rPr>
          <w:rFonts w:ascii="Times New Roman" w:hAnsi="Times New Roman" w:cs="Times New Roman"/>
          <w:sz w:val="24"/>
        </w:rPr>
      </w:pPr>
      <w:r w:rsidRPr="00DF318B">
        <w:rPr>
          <w:rFonts w:ascii="Times New Roman" w:hAnsi="Times New Roman" w:cs="Times New Roman"/>
          <w:sz w:val="24"/>
        </w:rPr>
        <w:t>Physiological and Stress Parameters</w:t>
      </w:r>
    </w:p>
    <w:p w:rsidR="00DF318B" w:rsidRDefault="00DF318B" w:rsidP="00DF318B">
      <w:pPr>
        <w:pStyle w:val="NormalWeb"/>
      </w:pPr>
      <w:r>
        <w:t>To evaluate the water status of the plants under experimental conditions, the following were recorded:</w:t>
      </w:r>
    </w:p>
    <w:p w:rsidR="00DF318B" w:rsidRPr="00DC28DB" w:rsidRDefault="00DF318B" w:rsidP="00DF318B">
      <w:pPr>
        <w:pStyle w:val="NormalWeb"/>
        <w:numPr>
          <w:ilvl w:val="0"/>
          <w:numId w:val="9"/>
        </w:numPr>
      </w:pPr>
      <w:r w:rsidRPr="00DC28DB">
        <w:rPr>
          <w:b/>
          <w:bCs/>
        </w:rPr>
        <w:t>Relative Moisture Content (RMC):</w:t>
      </w:r>
      <w:r w:rsidRPr="00DC28DB">
        <w:t xml:space="preserve"> Also referred to as Relative Water Content (RWC), this was determined using leaf discs. The fresh weight (FW) was recorded immediately, followed by the turgid weight (TW) after immersion in distilled water for 24 hours, and finally the dry weight (DW) after oven-drying.</w:t>
      </w:r>
    </w:p>
    <w:p w:rsidR="00DF318B" w:rsidRPr="00DC28DB" w:rsidRDefault="00C3452C" w:rsidP="00DF318B">
      <w:pPr>
        <w:spacing w:beforeAutospacing="1" w:afterAutospacing="1"/>
        <w:ind w:left="720"/>
        <w:rPr>
          <w:rFonts w:ascii="Times New Roman" w:hAnsi="Times New Roman" w:cs="Times New Roman"/>
        </w:rPr>
      </w:pPr>
      <w:r w:rsidRPr="00DC28DB">
        <w:rPr>
          <w:rFonts w:ascii="Times New Roman" w:hAnsi="Times New Roman" w:cs="Times New Roman"/>
        </w:rPr>
        <w:t xml:space="preserve">RMC (\%) = (FW - </w:t>
      </w:r>
      <w:r w:rsidR="00DC28DB" w:rsidRPr="00DC28DB">
        <w:rPr>
          <w:rFonts w:ascii="Times New Roman" w:hAnsi="Times New Roman" w:cs="Times New Roman"/>
        </w:rPr>
        <w:t>DW) (</w:t>
      </w:r>
      <w:r w:rsidR="00DF318B" w:rsidRPr="00DC28DB">
        <w:rPr>
          <w:rFonts w:ascii="Times New Roman" w:hAnsi="Times New Roman" w:cs="Times New Roman"/>
        </w:rPr>
        <w:t>TW - DW)</w:t>
      </w:r>
      <w:r w:rsidRPr="00DC28DB">
        <w:rPr>
          <w:rFonts w:ascii="Times New Roman" w:hAnsi="Times New Roman" w:cs="Times New Roman"/>
        </w:rPr>
        <w:t xml:space="preserve"> x</w:t>
      </w:r>
      <w:r w:rsidR="00DF318B" w:rsidRPr="00DC28DB">
        <w:rPr>
          <w:rFonts w:ascii="Times New Roman" w:hAnsi="Times New Roman" w:cs="Times New Roman"/>
        </w:rPr>
        <w:t xml:space="preserve"> 100</w:t>
      </w:r>
    </w:p>
    <w:p w:rsidR="00DF318B" w:rsidRDefault="00DF318B" w:rsidP="00DF318B">
      <w:pPr>
        <w:pStyle w:val="NormalWeb"/>
        <w:numPr>
          <w:ilvl w:val="0"/>
          <w:numId w:val="9"/>
        </w:numPr>
      </w:pPr>
      <w:r>
        <w:rPr>
          <w:b/>
          <w:bCs/>
        </w:rPr>
        <w:t>Wilting Scores:</w:t>
      </w:r>
      <w:r>
        <w:t xml:space="preserve"> Visual symptoms of water stress were assessed using a standardized 1–5 scale, where </w:t>
      </w:r>
      <w:r>
        <w:rPr>
          <w:b/>
          <w:bCs/>
        </w:rPr>
        <w:t>1</w:t>
      </w:r>
      <w:r>
        <w:t xml:space="preserve"> indicated a healthy plant with full turgidity and </w:t>
      </w:r>
      <w:r>
        <w:rPr>
          <w:b/>
          <w:bCs/>
        </w:rPr>
        <w:t>5</w:t>
      </w:r>
      <w:r>
        <w:t xml:space="preserve"> indicated a completely wilted or necrotic plant.</w:t>
      </w:r>
    </w:p>
    <w:p w:rsidR="00AB5936" w:rsidRPr="009250FC" w:rsidRDefault="0082765A" w:rsidP="0094685B">
      <w:pPr>
        <w:pStyle w:val="Heading3"/>
        <w:spacing w:before="0" w:after="120" w:line="275" w:lineRule="auto"/>
        <w:jc w:val="both"/>
        <w:rPr>
          <w:rFonts w:ascii="Times New Roman" w:eastAsia="Google Sans" w:hAnsi="Times New Roman" w:cs="Times New Roman"/>
          <w:color w:val="1F1F1F"/>
          <w:sz w:val="22"/>
          <w:szCs w:val="22"/>
        </w:rPr>
      </w:pPr>
      <w:r w:rsidRPr="009250FC">
        <w:rPr>
          <w:rFonts w:ascii="Times New Roman" w:eastAsia="Google Sans" w:hAnsi="Times New Roman" w:cs="Times New Roman"/>
          <w:color w:val="1F1F1F"/>
          <w:sz w:val="22"/>
          <w:szCs w:val="22"/>
        </w:rPr>
        <w:t>2.4 Data analysis</w:t>
      </w:r>
    </w:p>
    <w:p w:rsidR="00846AE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444746"/>
          <w:vertAlign w:val="superscript"/>
        </w:rPr>
      </w:pPr>
      <w:r w:rsidRPr="00E169C4">
        <w:rPr>
          <w:rFonts w:ascii="Times New Roman" w:eastAsia="Google Sans Text" w:hAnsi="Times New Roman" w:cs="Times New Roman"/>
          <w:color w:val="1F1F1F"/>
        </w:rPr>
        <w:t>Data were subjected to a two</w:t>
      </w:r>
      <w:r w:rsidR="00140801" w:rsidRPr="00E169C4">
        <w:rPr>
          <w:rFonts w:ascii="Times New Roman" w:eastAsia="Google Sans Text" w:hAnsi="Times New Roman" w:cs="Times New Roman"/>
          <w:color w:val="1F1F1F"/>
        </w:rPr>
        <w:t xml:space="preserve">-way ANOVA using Jamovi statistical package </w:t>
      </w:r>
      <w:r w:rsidR="00EC6BE3" w:rsidRPr="00E169C4">
        <w:rPr>
          <w:rFonts w:ascii="Times New Roman" w:eastAsia="Google Sans Text" w:hAnsi="Times New Roman" w:cs="Times New Roman"/>
          <w:color w:val="1F1F1F"/>
        </w:rPr>
        <w:t>version.</w:t>
      </w:r>
      <w:r w:rsidRPr="00E169C4">
        <w:rPr>
          <w:rFonts w:ascii="Times New Roman" w:eastAsia="Google Sans Text" w:hAnsi="Times New Roman" w:cs="Times New Roman"/>
          <w:color w:val="1F1F1F"/>
        </w:rPr>
        <w:t xml:space="preserve"> Treatment means were separated using Tukey’s HSD test at </w:t>
      </w:r>
      <w:r w:rsidR="00A50883" w:rsidRPr="00E169C4">
        <w:rPr>
          <w:rFonts w:ascii="Times New Roman" w:eastAsia="Google Sans Text" w:hAnsi="Times New Roman" w:cs="Times New Roman"/>
          <w:color w:val="1F1F1F"/>
        </w:rPr>
        <w:t>p</w:t>
      </w:r>
      <w:r w:rsidR="00A50883" w:rsidRPr="00E169C4">
        <w:rPr>
          <w:rFonts w:ascii="Times New Roman" w:eastAsia="Google Sans Text" w:hAnsi="Times New Roman" w:cs="Times New Roman"/>
          <w:color w:val="1F1F1F"/>
          <w:u w:val="single"/>
        </w:rPr>
        <w:t>&lt;</w:t>
      </w:r>
      <w:r w:rsidR="00A50883" w:rsidRPr="00E169C4">
        <w:rPr>
          <w:rFonts w:ascii="Times New Roman" w:eastAsia="Google Sans Text" w:hAnsi="Times New Roman" w:cs="Times New Roman"/>
          <w:noProof/>
          <w:color w:val="1F1F1F"/>
        </w:rPr>
        <w:t xml:space="preserve"> 0.05</w:t>
      </w:r>
      <w:r w:rsidRPr="00E169C4">
        <w:rPr>
          <w:rFonts w:ascii="Times New Roman" w:eastAsia="Google Sans Text" w:hAnsi="Times New Roman" w:cs="Times New Roman"/>
          <w:color w:val="1F1F1F"/>
        </w:rPr>
        <w:t>. Effect sizes were calculated as partial eta squared (</w:t>
      </w:r>
      <w:r w:rsidRPr="00E169C4">
        <w:rPr>
          <w:rFonts w:ascii="Times New Roman" w:eastAsia="Google Sans Text" w:hAnsi="Times New Roman" w:cs="Times New Roman"/>
          <w:noProof/>
          <w:color w:val="1F1F1F"/>
        </w:rPr>
        <w:drawing>
          <wp:inline distT="19050" distB="19050" distL="19050" distR="19050">
            <wp:extent cx="150452" cy="21240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color w:val="1F1F1F"/>
        </w:rPr>
        <w:t>)</w:t>
      </w:r>
      <w:r w:rsidR="00EB7F35" w:rsidRPr="00E169C4">
        <w:rPr>
          <w:rFonts w:ascii="Times New Roman" w:eastAsia="Google Sans Text" w:hAnsi="Times New Roman" w:cs="Times New Roman"/>
          <w:color w:val="1F1F1F"/>
        </w:rPr>
        <w:t xml:space="preserve">. </w:t>
      </w:r>
      <w:r w:rsidRPr="00E169C4">
        <w:rPr>
          <w:rFonts w:ascii="Times New Roman" w:eastAsia="Google Sans Text" w:hAnsi="Times New Roman" w:cs="Times New Roman"/>
          <w:color w:val="1F1F1F"/>
        </w:rPr>
        <w:t xml:space="preserve"> Pearson correlation coefficients </w:t>
      </w:r>
      <w:r w:rsidR="00A50883" w:rsidRPr="00E169C4">
        <w:rPr>
          <w:rFonts w:ascii="Times New Roman" w:eastAsia="Google Sans Text" w:hAnsi="Times New Roman" w:cs="Times New Roman"/>
          <w:color w:val="1F1F1F"/>
        </w:rPr>
        <w:t>(</w:t>
      </w:r>
      <w:r w:rsidR="00EB7F35" w:rsidRPr="00E169C4">
        <w:rPr>
          <w:rFonts w:ascii="Times New Roman" w:eastAsia="Google Sans Text" w:hAnsi="Times New Roman" w:cs="Times New Roman"/>
          <w:color w:val="1F1F1F"/>
        </w:rPr>
        <w:t>r)</w:t>
      </w:r>
      <w:r w:rsidR="00A50883" w:rsidRPr="00E169C4">
        <w:rPr>
          <w:rFonts w:ascii="Times New Roman" w:eastAsia="Google Sans Text" w:hAnsi="Times New Roman" w:cs="Times New Roman"/>
          <w:color w:val="1F1F1F"/>
        </w:rPr>
        <w:t xml:space="preserve"> </w:t>
      </w:r>
      <w:r w:rsidRPr="00E169C4">
        <w:rPr>
          <w:rFonts w:ascii="Times New Roman" w:eastAsia="Google Sans Text" w:hAnsi="Times New Roman" w:cs="Times New Roman"/>
          <w:color w:val="1F1F1F"/>
        </w:rPr>
        <w:t xml:space="preserve">assessed relationships between growth and physiological variables. Derivative statistics, including the </w:t>
      </w:r>
      <w:r w:rsidRPr="00E169C4">
        <w:rPr>
          <w:rFonts w:ascii="Times New Roman" w:eastAsia="Google Sans Text" w:hAnsi="Times New Roman" w:cs="Times New Roman"/>
          <w:bCs/>
          <w:color w:val="1F1F1F"/>
        </w:rPr>
        <w:t>Coefficient of Variation (CV%)</w:t>
      </w:r>
      <w:r w:rsidRPr="00E169C4">
        <w:rPr>
          <w:rFonts w:ascii="Times New Roman" w:eastAsia="Google Sans Text" w:hAnsi="Times New Roman" w:cs="Times New Roman"/>
          <w:color w:val="1F1F1F"/>
        </w:rPr>
        <w:t xml:space="preserve"> and </w:t>
      </w:r>
      <w:r w:rsidRPr="00E169C4">
        <w:rPr>
          <w:rFonts w:ascii="Times New Roman" w:eastAsia="Google Sans Text" w:hAnsi="Times New Roman" w:cs="Times New Roman"/>
          <w:bCs/>
          <w:color w:val="1F1F1F"/>
        </w:rPr>
        <w:t>Least Significant Difference (LSD at 0.05)</w:t>
      </w:r>
      <w:r w:rsidRPr="00E169C4">
        <w:rPr>
          <w:rFonts w:ascii="Times New Roman" w:eastAsia="Google Sans Text" w:hAnsi="Times New Roman" w:cs="Times New Roman"/>
          <w:color w:val="1F1F1F"/>
        </w:rPr>
        <w:t>, were calculated for each trait using the residual mean squares from the ANOVA models</w:t>
      </w:r>
      <w:r w:rsidR="00140801" w:rsidRPr="00E169C4">
        <w:rPr>
          <w:rFonts w:ascii="Times New Roman" w:eastAsia="Google Sans Text" w:hAnsi="Times New Roman" w:cs="Times New Roman"/>
          <w:color w:val="1F1F1F"/>
        </w:rPr>
        <w:t>.</w:t>
      </w:r>
    </w:p>
    <w:p w:rsidR="00AB5936" w:rsidRPr="009250FC" w:rsidRDefault="0082765A" w:rsidP="0094685B">
      <w:pPr>
        <w:pStyle w:val="Heading2"/>
        <w:spacing w:before="0" w:after="120" w:line="275" w:lineRule="auto"/>
        <w:jc w:val="both"/>
        <w:rPr>
          <w:rFonts w:ascii="Times New Roman" w:eastAsia="Google Sans" w:hAnsi="Times New Roman" w:cs="Times New Roman"/>
          <w:color w:val="1F1F1F"/>
          <w:sz w:val="22"/>
          <w:szCs w:val="22"/>
        </w:rPr>
      </w:pPr>
      <w:r w:rsidRPr="009250FC">
        <w:rPr>
          <w:rFonts w:ascii="Times New Roman" w:eastAsia="Google Sans" w:hAnsi="Times New Roman" w:cs="Times New Roman"/>
          <w:color w:val="1F1F1F"/>
          <w:sz w:val="22"/>
          <w:szCs w:val="22"/>
        </w:rPr>
        <w:t>3 Results</w:t>
      </w:r>
    </w:p>
    <w:p w:rsidR="00AB5936" w:rsidRPr="00E169C4" w:rsidRDefault="0082765A" w:rsidP="0094685B">
      <w:pPr>
        <w:pStyle w:val="Heading3"/>
        <w:spacing w:before="0" w:after="120" w:line="275" w:lineRule="auto"/>
        <w:jc w:val="both"/>
        <w:rPr>
          <w:rFonts w:ascii="Times New Roman" w:eastAsia="Google Sans" w:hAnsi="Times New Roman" w:cs="Times New Roman"/>
          <w:b w:val="0"/>
          <w:color w:val="1F1F1F"/>
          <w:sz w:val="22"/>
          <w:szCs w:val="22"/>
        </w:rPr>
      </w:pPr>
      <w:r w:rsidRPr="00E169C4">
        <w:rPr>
          <w:rFonts w:ascii="Times New Roman" w:eastAsia="Google Sans" w:hAnsi="Times New Roman" w:cs="Times New Roman"/>
          <w:b w:val="0"/>
          <w:color w:val="1F1F1F"/>
          <w:sz w:val="22"/>
          <w:szCs w:val="22"/>
        </w:rPr>
        <w:t>3.1 ANOVA and derivative statistics for establishment traits</w:t>
      </w:r>
    </w:p>
    <w:p w:rsidR="00AB5936" w:rsidRPr="00E169C4" w:rsidRDefault="009D1C61"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Analysis of variance results indicate that</w:t>
      </w:r>
      <w:r w:rsidR="0082765A" w:rsidRPr="00E169C4">
        <w:rPr>
          <w:rFonts w:ascii="Times New Roman" w:eastAsia="Google Sans Text" w:hAnsi="Times New Roman" w:cs="Times New Roman"/>
          <w:color w:val="1F1F1F"/>
        </w:rPr>
        <w:t xml:space="preserve"> botanical priming </w:t>
      </w:r>
      <w:r w:rsidRPr="00E169C4">
        <w:rPr>
          <w:rFonts w:ascii="Times New Roman" w:eastAsia="Google Sans Text" w:hAnsi="Times New Roman" w:cs="Times New Roman"/>
          <w:color w:val="1F1F1F"/>
        </w:rPr>
        <w:t xml:space="preserve">treatments exerted a considerable </w:t>
      </w:r>
      <w:r w:rsidR="0082765A" w:rsidRPr="00E169C4">
        <w:rPr>
          <w:rFonts w:ascii="Times New Roman" w:eastAsia="Google Sans Text" w:hAnsi="Times New Roman" w:cs="Times New Roman"/>
          <w:color w:val="1F1F1F"/>
        </w:rPr>
        <w:t>effect on major traits, particularly</w:t>
      </w:r>
      <w:r w:rsidRPr="00E169C4">
        <w:rPr>
          <w:rFonts w:ascii="Times New Roman" w:eastAsia="Google Sans Text" w:hAnsi="Times New Roman" w:cs="Times New Roman"/>
          <w:color w:val="1F1F1F"/>
        </w:rPr>
        <w:t xml:space="preserve"> number of </w:t>
      </w:r>
      <w:r w:rsidR="0082765A" w:rsidRPr="00E169C4">
        <w:rPr>
          <w:rFonts w:ascii="Times New Roman" w:eastAsia="Google Sans Text" w:hAnsi="Times New Roman" w:cs="Times New Roman"/>
          <w:color w:val="1F1F1F"/>
        </w:rPr>
        <w:t xml:space="preserve"> root nodule</w:t>
      </w:r>
      <w:r w:rsidRPr="00E169C4">
        <w:rPr>
          <w:rFonts w:ascii="Times New Roman" w:eastAsia="Google Sans Text" w:hAnsi="Times New Roman" w:cs="Times New Roman"/>
          <w:color w:val="1F1F1F"/>
        </w:rPr>
        <w:t>s</w:t>
      </w:r>
      <w:r w:rsidR="0082765A" w:rsidRPr="00E169C4">
        <w:rPr>
          <w:rFonts w:ascii="Times New Roman" w:eastAsia="Google Sans Text" w:hAnsi="Times New Roman" w:cs="Times New Roman"/>
          <w:color w:val="1F1F1F"/>
        </w:rPr>
        <w:t xml:space="preserve"> (</w:t>
      </w:r>
      <w:r w:rsidR="0082765A" w:rsidRPr="00E169C4">
        <w:rPr>
          <w:rFonts w:ascii="Times New Roman" w:eastAsia="Google Sans Text" w:hAnsi="Times New Roman" w:cs="Times New Roman"/>
          <w:noProof/>
          <w:color w:val="1F1F1F"/>
        </w:rPr>
        <w:drawing>
          <wp:inline distT="19050" distB="19050" distL="19050" distR="19050">
            <wp:extent cx="837767" cy="235622"/>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37767" cy="235622"/>
                    </a:xfrm>
                    <a:prstGeom prst="rect">
                      <a:avLst/>
                    </a:prstGeom>
                    <a:ln/>
                  </pic:spPr>
                </pic:pic>
              </a:graphicData>
            </a:graphic>
          </wp:inline>
        </w:drawing>
      </w:r>
      <w:r w:rsidR="0082765A" w:rsidRPr="00E169C4">
        <w:rPr>
          <w:rFonts w:ascii="Times New Roman" w:eastAsia="Google Sans Text" w:hAnsi="Times New Roman" w:cs="Times New Roman"/>
          <w:color w:val="1F1F1F"/>
        </w:rPr>
        <w:t>) and germination rate (</w:t>
      </w:r>
      <w:r w:rsidR="00DB5E5D" w:rsidRPr="00E169C4">
        <w:rPr>
          <w:rFonts w:ascii="Times New Roman" w:eastAsia="Google Sans Text" w:hAnsi="Times New Roman" w:cs="Times New Roman"/>
          <w:bCs/>
          <w:noProof/>
          <w:color w:val="1F1F1F"/>
        </w:rPr>
        <w:drawing>
          <wp:inline distT="19050" distB="19050" distL="19050" distR="19050" wp14:anchorId="61E84D49" wp14:editId="27E9CAB4">
            <wp:extent cx="150452" cy="21240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00DB5E5D" w:rsidRPr="00E169C4">
        <w:rPr>
          <w:rFonts w:ascii="Times New Roman" w:eastAsia="Google Sans Text" w:hAnsi="Times New Roman" w:cs="Times New Roman"/>
          <w:color w:val="1F1F1F"/>
        </w:rPr>
        <w:t>=</w:t>
      </w:r>
      <w:r w:rsidR="0082765A" w:rsidRPr="00E169C4">
        <w:rPr>
          <w:rFonts w:ascii="Times New Roman" w:eastAsia="Google Sans Text" w:hAnsi="Times New Roman" w:cs="Times New Roman"/>
          <w:color w:val="1F1F1F"/>
        </w:rPr>
        <w:t>0.442).</w:t>
      </w:r>
    </w:p>
    <w:p w:rsidR="00BF277F" w:rsidRPr="00E169C4" w:rsidRDefault="00BF277F"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Table 1: ANOVA and effect sizes (</w:t>
      </w:r>
      <w:r w:rsidR="00337F72" w:rsidRPr="00E169C4">
        <w:rPr>
          <w:rFonts w:ascii="Times New Roman" w:eastAsia="Google Sans Text" w:hAnsi="Times New Roman" w:cs="Times New Roman"/>
          <w:bCs/>
          <w:noProof/>
          <w:color w:val="1F1F1F"/>
        </w:rPr>
        <w:drawing>
          <wp:inline distT="19050" distB="19050" distL="19050" distR="19050" wp14:anchorId="6AA61DF4" wp14:editId="01D7F7D4">
            <wp:extent cx="150452" cy="212403"/>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color w:val="1F1F1F"/>
        </w:rPr>
        <w:t>) for Germination and Growth Traits</w:t>
      </w:r>
    </w:p>
    <w:tbl>
      <w:tblPr>
        <w:tblStyle w:val="a"/>
        <w:tblW w:w="10979"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5"/>
        <w:gridCol w:w="1072"/>
        <w:gridCol w:w="1054"/>
        <w:gridCol w:w="993"/>
        <w:gridCol w:w="1134"/>
        <w:gridCol w:w="1409"/>
        <w:gridCol w:w="992"/>
        <w:gridCol w:w="1170"/>
        <w:gridCol w:w="1170"/>
      </w:tblGrid>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9E3A03" w:rsidRDefault="00A23C70" w:rsidP="00E54A45">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F-Values for Sources of Variation and their Effect Sizes</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No. Leaves</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Germ Rate (%)</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Seed Vigour Index</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Germination Index</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Mean Germination Time</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Shoot Length</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Number of Root Nodules</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Relative Moisture Content</w:t>
            </w:r>
          </w:p>
          <w:p w:rsidR="00A23C70" w:rsidRPr="009E3A03"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16"/>
              </w:rPr>
            </w:pPr>
            <w:r w:rsidRPr="009E3A03">
              <w:rPr>
                <w:rFonts w:ascii="Times New Roman" w:eastAsia="Google Sans Text" w:hAnsi="Times New Roman" w:cs="Times New Roman"/>
                <w:b/>
                <w:bCs/>
                <w:color w:val="1F1F1F"/>
                <w:sz w:val="16"/>
              </w:rPr>
              <w:t>(%)</w:t>
            </w:r>
          </w:p>
        </w:tc>
      </w:tr>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TREATMENT (F)</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2.78**</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5.02</w:t>
            </w:r>
          </w:p>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5.07</w:t>
            </w:r>
          </w:p>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CB4D9D"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103.7***</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D42355"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41.22***</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1.56</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7.45</w:t>
            </w:r>
          </w:p>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89018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66.19***</w:t>
            </w:r>
          </w:p>
        </w:tc>
      </w:tr>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lastRenderedPageBreak/>
              <w:t>Genotype (F)</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47.80***</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52.05***</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58.29</w:t>
            </w:r>
          </w:p>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CB4D9D"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645.8***</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D42355"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564.8***</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33.13</w:t>
            </w:r>
          </w:p>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sidRPr="00E169C4">
              <w:rPr>
                <w:rFonts w:ascii="Times New Roman" w:eastAsia="Google Sans Text" w:hAnsi="Times New Roman" w:cs="Times New Roman"/>
                <w:color w:val="1F1F1F"/>
              </w:rPr>
              <w:t>1.29</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890180" w:rsidP="004F78C7">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291.7***</w:t>
            </w:r>
          </w:p>
        </w:tc>
      </w:tr>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Interaction (Genotype x Treatment) (F)</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1.63</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1.73</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2.14*</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CB4D9D"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66.14***</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D42355"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23.3***</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2.44*</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1.6</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89018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56.9***</w:t>
            </w:r>
          </w:p>
        </w:tc>
      </w:tr>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Effect Size (Treatments (</w:t>
            </w:r>
            <w:r w:rsidRPr="00E169C4">
              <w:rPr>
                <w:rFonts w:ascii="Times New Roman" w:eastAsia="Google Sans Text" w:hAnsi="Times New Roman" w:cs="Times New Roman"/>
                <w:bCs/>
                <w:noProof/>
                <w:color w:val="1F1F1F"/>
              </w:rPr>
              <w:drawing>
                <wp:inline distT="19050" distB="19050" distL="19050" distR="19050" wp14:anchorId="09B0BDEB" wp14:editId="5C7287B5">
                  <wp:extent cx="150452" cy="21240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bCs/>
                <w:color w:val="1F1F1F"/>
              </w:rPr>
              <w:t>)</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0.305</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0.442</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0.444</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CB4D9D"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0.418</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B756FB"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0.307</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0.197</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0.540</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89018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0.40</w:t>
            </w:r>
          </w:p>
        </w:tc>
      </w:tr>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Effect Size (Genotypes) (</w:t>
            </w:r>
            <w:r w:rsidRPr="00E169C4">
              <w:rPr>
                <w:rFonts w:ascii="Times New Roman" w:eastAsia="Google Sans Text" w:hAnsi="Times New Roman" w:cs="Times New Roman"/>
                <w:bCs/>
                <w:noProof/>
                <w:color w:val="1F1F1F"/>
              </w:rPr>
              <w:drawing>
                <wp:inline distT="19050" distB="19050" distL="19050" distR="19050" wp14:anchorId="30CD1275" wp14:editId="4649D4F7">
                  <wp:extent cx="150452" cy="212403"/>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bCs/>
                <w:color w:val="1F1F1F"/>
              </w:rPr>
              <w:t>)</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0.456</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0.477</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0.506</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CB4D9D"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0.281</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B756FB"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0.467</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0.368</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0.022</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89018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0.199</w:t>
            </w:r>
          </w:p>
        </w:tc>
      </w:tr>
      <w:tr w:rsidR="00A23C70" w:rsidRPr="00E169C4" w:rsidTr="00A23C70">
        <w:trPr>
          <w:jc w:val="center"/>
        </w:trPr>
        <w:tc>
          <w:tcPr>
            <w:tcW w:w="19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Effect Size (Interactions)(</w:t>
            </w:r>
            <w:r w:rsidRPr="00E169C4">
              <w:rPr>
                <w:rFonts w:ascii="Times New Roman" w:eastAsia="Google Sans Text" w:hAnsi="Times New Roman" w:cs="Times New Roman"/>
                <w:bCs/>
                <w:noProof/>
                <w:color w:val="1F1F1F"/>
              </w:rPr>
              <w:drawing>
                <wp:inline distT="19050" distB="19050" distL="19050" distR="19050" wp14:anchorId="197BE5FE" wp14:editId="41330815">
                  <wp:extent cx="150452" cy="212403"/>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bCs/>
                <w:color w:val="1F1F1F"/>
              </w:rPr>
              <w:t>)</w:t>
            </w:r>
          </w:p>
        </w:tc>
        <w:tc>
          <w:tcPr>
            <w:tcW w:w="10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0.205</w:t>
            </w:r>
          </w:p>
        </w:tc>
        <w:tc>
          <w:tcPr>
            <w:tcW w:w="1054"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0.215</w:t>
            </w:r>
          </w:p>
        </w:tc>
        <w:tc>
          <w:tcPr>
            <w:tcW w:w="99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0.252</w:t>
            </w:r>
          </w:p>
        </w:tc>
        <w:tc>
          <w:tcPr>
            <w:tcW w:w="1134"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CB4D9D"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0.265</w:t>
            </w:r>
          </w:p>
        </w:tc>
        <w:tc>
          <w:tcPr>
            <w:tcW w:w="1409"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B756FB"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0.174</w:t>
            </w:r>
          </w:p>
        </w:tc>
        <w:tc>
          <w:tcPr>
            <w:tcW w:w="99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0.278</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rsidR="00A23C70" w:rsidRPr="00E169C4" w:rsidRDefault="00A23C7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sidRPr="00E169C4">
              <w:rPr>
                <w:rFonts w:ascii="Times New Roman" w:eastAsia="Google Sans Text" w:hAnsi="Times New Roman" w:cs="Times New Roman"/>
                <w:bCs/>
                <w:color w:val="1F1F1F"/>
              </w:rPr>
              <w:t>0.202</w:t>
            </w:r>
          </w:p>
        </w:tc>
        <w:tc>
          <w:tcPr>
            <w:tcW w:w="1170" w:type="dxa"/>
            <w:tcBorders>
              <w:top w:val="single" w:sz="6" w:space="0" w:color="000000"/>
              <w:left w:val="single" w:sz="6" w:space="0" w:color="000000"/>
              <w:bottom w:val="single" w:sz="6" w:space="0" w:color="000000"/>
              <w:right w:val="single" w:sz="6" w:space="0" w:color="000000"/>
            </w:tcBorders>
            <w:shd w:val="clear" w:color="auto" w:fill="F8FAFD"/>
          </w:tcPr>
          <w:p w:rsidR="00A23C70" w:rsidRPr="00E169C4" w:rsidRDefault="00890180" w:rsidP="00436579">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0.35</w:t>
            </w:r>
          </w:p>
        </w:tc>
      </w:tr>
    </w:tbl>
    <w:p w:rsidR="005F3672" w:rsidRPr="00E169C4" w:rsidRDefault="005F3672" w:rsidP="005F3672">
      <w:pPr>
        <w:widowControl/>
        <w:spacing w:after="240"/>
        <w:jc w:val="both"/>
        <w:rPr>
          <w:rFonts w:ascii="Times New Roman" w:eastAsia="Times New Roman" w:hAnsi="Times New Roman" w:cs="Times New Roman"/>
        </w:rPr>
      </w:pPr>
      <w:r w:rsidRPr="00E169C4">
        <w:rPr>
          <w:rFonts w:ascii="Times New Roman" w:eastAsia="Times New Roman" w:hAnsi="Times New Roman" w:cs="Times New Roman"/>
          <w:color w:val="1F1F1F"/>
        </w:rPr>
        <w:t>*** p &lt; 0.001 (Highly Significant), ** p &lt; 0.01 (Significant), p &lt; 0.05 (Moderately Significant)</w:t>
      </w:r>
    </w:p>
    <w:p w:rsidR="00EF12AC" w:rsidRPr="00074720" w:rsidRDefault="00074720" w:rsidP="00EF12AC">
      <w:pPr>
        <w:widowControl/>
        <w:rPr>
          <w:rFonts w:ascii="Times New Roman" w:eastAsia="Times New Roman" w:hAnsi="Times New Roman" w:cs="Times New Roman"/>
          <w:b/>
          <w:sz w:val="24"/>
          <w:szCs w:val="24"/>
        </w:rPr>
      </w:pPr>
      <w:r w:rsidRPr="00074720">
        <w:rPr>
          <w:rFonts w:ascii="Times New Roman" w:eastAsia="Times New Roman" w:hAnsi="Times New Roman" w:cs="Times New Roman"/>
          <w:b/>
          <w:sz w:val="24"/>
          <w:szCs w:val="24"/>
        </w:rPr>
        <w:t>Germination Index</w:t>
      </w:r>
    </w:p>
    <w:p w:rsidR="00EF12AC" w:rsidRDefault="00EF12AC" w:rsidP="00EF12AC">
      <w:pPr>
        <w:widowControl/>
        <w:jc w:val="both"/>
        <w:rPr>
          <w:rFonts w:ascii="Times New Roman" w:eastAsia="Times New Roman" w:hAnsi="Times New Roman" w:cs="Times New Roman"/>
          <w:sz w:val="24"/>
          <w:szCs w:val="24"/>
        </w:rPr>
      </w:pPr>
      <w:r w:rsidRPr="00EF12AC">
        <w:rPr>
          <w:rFonts w:ascii="Times New Roman" w:eastAsia="Times New Roman" w:hAnsi="Times New Roman" w:cs="Times New Roman"/>
          <w:sz w:val="24"/>
          <w:szCs w:val="24"/>
        </w:rPr>
        <w:t xml:space="preserve">Analysis of Variance (ANOVA) revealed that the Germination Index (GI) was significantly influenced by the main effects of </w:t>
      </w:r>
      <w:r w:rsidR="00074720">
        <w:rPr>
          <w:rFonts w:ascii="Times New Roman" w:eastAsia="Times New Roman" w:hAnsi="Times New Roman" w:cs="Times New Roman"/>
          <w:sz w:val="24"/>
          <w:szCs w:val="24"/>
        </w:rPr>
        <w:t>botanical treatment (</w:t>
      </w:r>
      <w:r w:rsidRPr="00EF12AC">
        <w:rPr>
          <w:rFonts w:ascii="Times New Roman" w:eastAsia="Times New Roman" w:hAnsi="Times New Roman" w:cs="Times New Roman"/>
          <w:sz w:val="24"/>
          <w:szCs w:val="24"/>
        </w:rPr>
        <w:t xml:space="preserve">p &lt; .001) and genotype </w:t>
      </w:r>
      <w:r w:rsidR="00074720" w:rsidRPr="00EF12AC">
        <w:rPr>
          <w:rFonts w:ascii="Times New Roman" w:eastAsia="Times New Roman" w:hAnsi="Times New Roman" w:cs="Times New Roman"/>
          <w:sz w:val="24"/>
          <w:szCs w:val="24"/>
        </w:rPr>
        <w:t>(</w:t>
      </w:r>
      <w:r w:rsidR="00074720">
        <w:rPr>
          <w:rFonts w:ascii="Times New Roman" w:eastAsia="Times New Roman" w:hAnsi="Times New Roman" w:cs="Times New Roman"/>
          <w:sz w:val="24"/>
          <w:szCs w:val="24"/>
        </w:rPr>
        <w:t>p &lt; .001</w:t>
      </w:r>
      <w:r w:rsidRPr="00EF12AC">
        <w:rPr>
          <w:rFonts w:ascii="Times New Roman" w:eastAsia="Times New Roman" w:hAnsi="Times New Roman" w:cs="Times New Roman"/>
          <w:sz w:val="24"/>
          <w:szCs w:val="24"/>
        </w:rPr>
        <w:t>). A highl</w:t>
      </w:r>
      <w:r w:rsidR="00C13C59">
        <w:rPr>
          <w:rFonts w:ascii="Times New Roman" w:eastAsia="Times New Roman" w:hAnsi="Times New Roman" w:cs="Times New Roman"/>
          <w:sz w:val="24"/>
          <w:szCs w:val="24"/>
        </w:rPr>
        <w:t xml:space="preserve">y significant Treatment </w:t>
      </w:r>
      <w:r w:rsidR="002B1671">
        <w:rPr>
          <w:rFonts w:ascii="Times New Roman" w:eastAsia="Times New Roman" w:hAnsi="Times New Roman" w:cs="Times New Roman"/>
          <w:sz w:val="24"/>
          <w:szCs w:val="24"/>
        </w:rPr>
        <w:t>X</w:t>
      </w:r>
      <w:r w:rsidR="00C13C59">
        <w:rPr>
          <w:rFonts w:ascii="Times New Roman" w:eastAsia="Times New Roman" w:hAnsi="Times New Roman" w:cs="Times New Roman"/>
          <w:sz w:val="24"/>
          <w:szCs w:val="24"/>
        </w:rPr>
        <w:t xml:space="preserve"> </w:t>
      </w:r>
      <w:r w:rsidR="00074720">
        <w:rPr>
          <w:rFonts w:ascii="Times New Roman" w:eastAsia="Times New Roman" w:hAnsi="Times New Roman" w:cs="Times New Roman"/>
          <w:sz w:val="24"/>
          <w:szCs w:val="24"/>
        </w:rPr>
        <w:t>Genotype interaction (</w:t>
      </w:r>
      <w:r w:rsidRPr="00EF12AC">
        <w:rPr>
          <w:rFonts w:ascii="Times New Roman" w:eastAsia="Times New Roman" w:hAnsi="Times New Roman" w:cs="Times New Roman"/>
          <w:sz w:val="24"/>
          <w:szCs w:val="24"/>
        </w:rPr>
        <w:t xml:space="preserve">p &lt; .001) indicated that the response to priming extracts was genotype-specific. For </w:t>
      </w:r>
      <w:r w:rsidR="00126A2B">
        <w:rPr>
          <w:bCs/>
        </w:rPr>
        <w:t>ZM 1856</w:t>
      </w:r>
      <w:r w:rsidRPr="00EF12AC">
        <w:rPr>
          <w:rFonts w:ascii="Times New Roman" w:eastAsia="Times New Roman" w:hAnsi="Times New Roman" w:cs="Times New Roman"/>
          <w:sz w:val="24"/>
          <w:szCs w:val="24"/>
        </w:rPr>
        <w:t>, the hi</w:t>
      </w:r>
      <w:r w:rsidR="00074720">
        <w:rPr>
          <w:rFonts w:ascii="Times New Roman" w:eastAsia="Times New Roman" w:hAnsi="Times New Roman" w:cs="Times New Roman"/>
          <w:sz w:val="24"/>
          <w:szCs w:val="24"/>
        </w:rPr>
        <w:t xml:space="preserve">ghest </w:t>
      </w:r>
      <w:r w:rsidR="00126A2B">
        <w:rPr>
          <w:bCs/>
        </w:rPr>
        <w:t xml:space="preserve">ZM 1856 </w:t>
      </w:r>
      <w:r w:rsidR="00074720">
        <w:rPr>
          <w:rFonts w:ascii="Times New Roman" w:eastAsia="Times New Roman" w:hAnsi="Times New Roman" w:cs="Times New Roman"/>
          <w:sz w:val="24"/>
          <w:szCs w:val="24"/>
        </w:rPr>
        <w:t>was recorded under G</w:t>
      </w:r>
      <w:r w:rsidRPr="00EF12AC">
        <w:rPr>
          <w:rFonts w:ascii="Times New Roman" w:eastAsia="Times New Roman" w:hAnsi="Times New Roman" w:cs="Times New Roman"/>
          <w:sz w:val="24"/>
          <w:szCs w:val="24"/>
        </w:rPr>
        <w:t>15</w:t>
      </w:r>
      <w:r w:rsidR="00074720">
        <w:rPr>
          <w:rFonts w:ascii="Times New Roman" w:eastAsia="Times New Roman" w:hAnsi="Times New Roman" w:cs="Times New Roman"/>
          <w:sz w:val="24"/>
          <w:szCs w:val="24"/>
        </w:rPr>
        <w:t xml:space="preserve"> (1</w:t>
      </w:r>
      <w:r w:rsidRPr="00EF12AC">
        <w:rPr>
          <w:rFonts w:ascii="Times New Roman" w:eastAsia="Times New Roman" w:hAnsi="Times New Roman" w:cs="Times New Roman"/>
          <w:sz w:val="24"/>
          <w:szCs w:val="24"/>
        </w:rPr>
        <w:t xml:space="preserve">6.82), while </w:t>
      </w:r>
      <w:r w:rsidR="00074720">
        <w:rPr>
          <w:rFonts w:ascii="Times New Roman" w:eastAsia="Times New Roman" w:hAnsi="Times New Roman" w:cs="Times New Roman"/>
          <w:sz w:val="24"/>
          <w:szCs w:val="24"/>
        </w:rPr>
        <w:t>the lowest was observed in the N</w:t>
      </w:r>
      <w:r w:rsidRPr="00EF12AC">
        <w:rPr>
          <w:rFonts w:ascii="Times New Roman" w:eastAsia="Times New Roman" w:hAnsi="Times New Roman" w:cs="Times New Roman"/>
          <w:sz w:val="24"/>
          <w:szCs w:val="24"/>
        </w:rPr>
        <w:t>4</w:t>
      </w:r>
      <w:r w:rsidR="00074720">
        <w:rPr>
          <w:rFonts w:ascii="Times New Roman" w:eastAsia="Times New Roman" w:hAnsi="Times New Roman" w:cs="Times New Roman"/>
          <w:sz w:val="24"/>
          <w:szCs w:val="24"/>
        </w:rPr>
        <w:t xml:space="preserve"> treatment (9.20</w:t>
      </w:r>
      <w:r w:rsidRPr="00EF12AC">
        <w:rPr>
          <w:rFonts w:ascii="Times New Roman" w:eastAsia="Times New Roman" w:hAnsi="Times New Roman" w:cs="Times New Roman"/>
          <w:sz w:val="24"/>
          <w:szCs w:val="24"/>
        </w:rPr>
        <w:t xml:space="preserve">). Conversely, </w:t>
      </w:r>
      <w:r w:rsidR="00126A2B" w:rsidRPr="003443B2">
        <w:rPr>
          <w:bCs/>
        </w:rPr>
        <w:t>ZM 2656</w:t>
      </w:r>
      <w:r w:rsidR="00126A2B">
        <w:rPr>
          <w:bCs/>
        </w:rPr>
        <w:t xml:space="preserve"> </w:t>
      </w:r>
      <w:r w:rsidRPr="00EF12AC">
        <w:rPr>
          <w:rFonts w:ascii="Times New Roman" w:eastAsia="Times New Roman" w:hAnsi="Times New Roman" w:cs="Times New Roman"/>
          <w:sz w:val="24"/>
          <w:szCs w:val="24"/>
        </w:rPr>
        <w:t>achieved its maximum GI</w:t>
      </w:r>
      <w:r w:rsidR="00074720">
        <w:rPr>
          <w:rFonts w:ascii="Times New Roman" w:eastAsia="Times New Roman" w:hAnsi="Times New Roman" w:cs="Times New Roman"/>
          <w:sz w:val="24"/>
          <w:szCs w:val="24"/>
        </w:rPr>
        <w:t xml:space="preserve"> at G</w:t>
      </w:r>
      <w:r w:rsidRPr="00EF12AC">
        <w:rPr>
          <w:rFonts w:ascii="Times New Roman" w:eastAsia="Times New Roman" w:hAnsi="Times New Roman" w:cs="Times New Roman"/>
          <w:sz w:val="24"/>
          <w:szCs w:val="24"/>
        </w:rPr>
        <w:t>10</w:t>
      </w:r>
      <w:r w:rsidR="00074720">
        <w:rPr>
          <w:rFonts w:ascii="Times New Roman" w:eastAsia="Times New Roman" w:hAnsi="Times New Roman" w:cs="Times New Roman"/>
          <w:sz w:val="24"/>
          <w:szCs w:val="24"/>
        </w:rPr>
        <w:t xml:space="preserve"> (</w:t>
      </w:r>
      <w:r w:rsidRPr="00EF12AC">
        <w:rPr>
          <w:rFonts w:ascii="Times New Roman" w:eastAsia="Times New Roman" w:hAnsi="Times New Roman" w:cs="Times New Roman"/>
          <w:sz w:val="24"/>
          <w:szCs w:val="24"/>
        </w:rPr>
        <w:t xml:space="preserve">13.50), suggesting a higher sensitivity to lower concentrations of ginger extract compared to </w:t>
      </w:r>
      <w:r w:rsidR="00126A2B">
        <w:rPr>
          <w:bCs/>
        </w:rPr>
        <w:t>ZM 1856</w:t>
      </w:r>
      <w:r w:rsidR="00126A2B">
        <w:rPr>
          <w:rFonts w:ascii="Times New Roman" w:eastAsia="Times New Roman" w:hAnsi="Times New Roman" w:cs="Times New Roman"/>
          <w:sz w:val="24"/>
          <w:szCs w:val="24"/>
        </w:rPr>
        <w:t xml:space="preserve"> (Figure 1)</w:t>
      </w:r>
      <w:r w:rsidRPr="00EF12AC">
        <w:rPr>
          <w:rFonts w:ascii="Times New Roman" w:eastAsia="Times New Roman" w:hAnsi="Times New Roman" w:cs="Times New Roman"/>
          <w:sz w:val="24"/>
          <w:szCs w:val="24"/>
        </w:rPr>
        <w:t>.</w:t>
      </w:r>
    </w:p>
    <w:p w:rsidR="00EF12AC" w:rsidRPr="00074720" w:rsidRDefault="00EF12AC" w:rsidP="00EF12AC">
      <w:pPr>
        <w:pStyle w:val="Heading4"/>
        <w:rPr>
          <w:rFonts w:ascii="Times New Roman" w:hAnsi="Times New Roman" w:cs="Times New Roman"/>
        </w:rPr>
      </w:pPr>
      <w:r w:rsidRPr="00074720">
        <w:rPr>
          <w:rFonts w:ascii="Times New Roman" w:hAnsi="Times New Roman" w:cs="Times New Roman"/>
        </w:rPr>
        <w:t>Mean Germination Time (MGT)</w:t>
      </w:r>
    </w:p>
    <w:p w:rsidR="00EF12AC" w:rsidRDefault="00EF12AC" w:rsidP="008D6E57">
      <w:pPr>
        <w:pStyle w:val="NormalWeb"/>
        <w:jc w:val="both"/>
      </w:pPr>
      <w:r>
        <w:t>MGT was significantly affected by treatment (</w:t>
      </w:r>
      <w:r>
        <w:rPr>
          <w:rStyle w:val="math-inline"/>
        </w:rPr>
        <w:t>p &lt; .001</w:t>
      </w:r>
      <w:r>
        <w:t>), genotype (</w:t>
      </w:r>
      <w:r>
        <w:rPr>
          <w:rStyle w:val="math-inline"/>
        </w:rPr>
        <w:t>p &lt; .001</w:t>
      </w:r>
      <w:r>
        <w:t>), and their interaction (</w:t>
      </w:r>
      <w:r>
        <w:rPr>
          <w:rStyle w:val="math-inline"/>
        </w:rPr>
        <w:t>p &lt; .001</w:t>
      </w:r>
      <w:r>
        <w:t xml:space="preserve">). </w:t>
      </w:r>
      <w:r w:rsidR="003568BA">
        <w:t>ZM 1856</w:t>
      </w:r>
      <w:r>
        <w:t xml:space="preserve"> generally exhibited faster germination (lower MGT) than </w:t>
      </w:r>
      <w:r w:rsidR="003568BA">
        <w:t>ZM 2656</w:t>
      </w:r>
      <w:r>
        <w:t xml:space="preserve">. The most rapid germination for </w:t>
      </w:r>
      <w:r w:rsidR="00126A2B">
        <w:rPr>
          <w:bCs/>
          <w:sz w:val="22"/>
          <w:szCs w:val="22"/>
        </w:rPr>
        <w:t xml:space="preserve">ZM 1856 </w:t>
      </w:r>
      <w:r>
        <w:t xml:space="preserve">occurred at </w:t>
      </w:r>
      <w:r w:rsidR="00074720">
        <w:rPr>
          <w:rStyle w:val="math-inline"/>
        </w:rPr>
        <w:t>G</w:t>
      </w:r>
      <w:r>
        <w:rPr>
          <w:rStyle w:val="math-inline"/>
        </w:rPr>
        <w:t>15</w:t>
      </w:r>
      <w:r w:rsidR="00074720">
        <w:rPr>
          <w:rStyle w:val="math-inline"/>
        </w:rPr>
        <w:t xml:space="preserve"> </w:t>
      </w:r>
      <w:r>
        <w:t>(</w:t>
      </w:r>
      <w:r>
        <w:rPr>
          <w:rStyle w:val="math-inline"/>
        </w:rPr>
        <w:t>5.90</w:t>
      </w:r>
      <w:r>
        <w:t xml:space="preserve"> days), whereas </w:t>
      </w:r>
      <w:r w:rsidR="00074720">
        <w:rPr>
          <w:rStyle w:val="math-inline"/>
        </w:rPr>
        <w:t>N</w:t>
      </w:r>
      <w:r>
        <w:rPr>
          <w:rStyle w:val="math-inline"/>
        </w:rPr>
        <w:t>4</w:t>
      </w:r>
      <w:r>
        <w:t xml:space="preserve"> significantly delayed germination to </w:t>
      </w:r>
      <w:r>
        <w:rPr>
          <w:rStyle w:val="math-inline"/>
        </w:rPr>
        <w:t>8.10</w:t>
      </w:r>
      <w:r>
        <w:t xml:space="preserve"> days. In </w:t>
      </w:r>
      <w:r w:rsidR="003568BA">
        <w:t>ZM 2656</w:t>
      </w:r>
      <w:r>
        <w:t xml:space="preserve">, </w:t>
      </w:r>
      <w:r w:rsidR="008D6E57">
        <w:rPr>
          <w:rStyle w:val="math-inline"/>
        </w:rPr>
        <w:t>G</w:t>
      </w:r>
      <w:r>
        <w:rPr>
          <w:rStyle w:val="math-inline"/>
        </w:rPr>
        <w:t>10</w:t>
      </w:r>
      <w:r>
        <w:t xml:space="preserve"> emerged as the most effective treatment for reducing MGT (</w:t>
      </w:r>
      <w:r>
        <w:rPr>
          <w:rStyle w:val="math-inline"/>
        </w:rPr>
        <w:t>7.10</w:t>
      </w:r>
      <w:r>
        <w:t xml:space="preserve"> days) compared to its control (</w:t>
      </w:r>
      <w:r w:rsidR="008D6E57">
        <w:rPr>
          <w:rStyle w:val="math-inline"/>
        </w:rPr>
        <w:t>8</w:t>
      </w:r>
      <w:r>
        <w:rPr>
          <w:rStyle w:val="math-inline"/>
        </w:rPr>
        <w:t>.40</w:t>
      </w:r>
      <w:r w:rsidR="008D6E57">
        <w:rPr>
          <w:rStyle w:val="math-inline"/>
        </w:rPr>
        <w:t xml:space="preserve"> </w:t>
      </w:r>
      <w:r>
        <w:t>days). These results suggest that botanical priming not only improves the total germination percentage but also significantly accelerates the germination process.</w:t>
      </w:r>
    </w:p>
    <w:p w:rsidR="00EF12AC" w:rsidRPr="00EF12AC" w:rsidRDefault="00EF12AC" w:rsidP="00971066">
      <w:pPr>
        <w:widowControl/>
        <w:jc w:val="both"/>
        <w:rPr>
          <w:rFonts w:ascii="Times New Roman" w:eastAsia="Times New Roman" w:hAnsi="Times New Roman" w:cs="Times New Roman"/>
          <w:sz w:val="24"/>
          <w:szCs w:val="24"/>
        </w:rPr>
      </w:pPr>
    </w:p>
    <w:p w:rsidR="006B51AA" w:rsidRPr="002576CD" w:rsidRDefault="006B51AA" w:rsidP="006B51AA">
      <w:pPr>
        <w:pStyle w:val="Heading4"/>
        <w:rPr>
          <w:rFonts w:ascii="Times New Roman" w:hAnsi="Times New Roman" w:cs="Times New Roman"/>
          <w:sz w:val="22"/>
          <w:szCs w:val="22"/>
        </w:rPr>
      </w:pPr>
      <w:r w:rsidRPr="002576CD">
        <w:rPr>
          <w:rFonts w:ascii="Times New Roman" w:hAnsi="Times New Roman" w:cs="Times New Roman"/>
          <w:sz w:val="22"/>
          <w:szCs w:val="22"/>
        </w:rPr>
        <w:t xml:space="preserve">Germination </w:t>
      </w:r>
      <w:r w:rsidR="00B74E10">
        <w:rPr>
          <w:rFonts w:ascii="Times New Roman" w:hAnsi="Times New Roman" w:cs="Times New Roman"/>
          <w:sz w:val="22"/>
          <w:szCs w:val="22"/>
        </w:rPr>
        <w:t xml:space="preserve">Kinetics </w:t>
      </w:r>
      <w:r w:rsidRPr="002576CD">
        <w:rPr>
          <w:rFonts w:ascii="Times New Roman" w:hAnsi="Times New Roman" w:cs="Times New Roman"/>
          <w:sz w:val="22"/>
          <w:szCs w:val="22"/>
        </w:rPr>
        <w:t>and Seed Vigour Index</w:t>
      </w:r>
    </w:p>
    <w:p w:rsidR="006B51AA" w:rsidRPr="00E169C4" w:rsidRDefault="006B51AA" w:rsidP="00C24B20">
      <w:pPr>
        <w:pStyle w:val="NormalWeb"/>
        <w:jc w:val="both"/>
        <w:rPr>
          <w:sz w:val="22"/>
          <w:szCs w:val="22"/>
        </w:rPr>
      </w:pPr>
      <w:r w:rsidRPr="00E169C4">
        <w:rPr>
          <w:sz w:val="22"/>
          <w:szCs w:val="22"/>
        </w:rPr>
        <w:t xml:space="preserve">The germination percentage (Germ %) and Seed Vigour Index (SVI) showed a distinct sensitivity to botanical concentrations, particularly in </w:t>
      </w:r>
      <w:r w:rsidR="00CD7774">
        <w:rPr>
          <w:bCs/>
          <w:sz w:val="22"/>
          <w:szCs w:val="22"/>
        </w:rPr>
        <w:t>ZM 1856</w:t>
      </w:r>
      <w:r w:rsidRPr="00E169C4">
        <w:rPr>
          <w:bCs/>
          <w:sz w:val="22"/>
          <w:szCs w:val="22"/>
        </w:rPr>
        <w:t xml:space="preserve"> (</w:t>
      </w:r>
      <w:r w:rsidR="00CD7774">
        <w:rPr>
          <w:bCs/>
          <w:sz w:val="22"/>
          <w:szCs w:val="22"/>
        </w:rPr>
        <w:t>ZM 1856</w:t>
      </w:r>
      <w:r w:rsidRPr="00E169C4">
        <w:rPr>
          <w:bCs/>
          <w:sz w:val="22"/>
          <w:szCs w:val="22"/>
        </w:rPr>
        <w:t>)</w:t>
      </w:r>
      <w:r w:rsidRPr="00E169C4">
        <w:rPr>
          <w:sz w:val="22"/>
          <w:szCs w:val="22"/>
        </w:rPr>
        <w:t xml:space="preserve">. For </w:t>
      </w:r>
      <w:r w:rsidR="00CD7774">
        <w:rPr>
          <w:sz w:val="22"/>
          <w:szCs w:val="22"/>
        </w:rPr>
        <w:t>ZM 1856</w:t>
      </w:r>
      <w:r w:rsidRPr="00E169C4">
        <w:rPr>
          <w:sz w:val="22"/>
          <w:szCs w:val="22"/>
        </w:rPr>
        <w:t xml:space="preserve">, the control group maintained a high SVI (3161), but as the concentration of Neem and </w:t>
      </w:r>
      <w:r w:rsidR="003443B2">
        <w:rPr>
          <w:sz w:val="22"/>
          <w:szCs w:val="22"/>
        </w:rPr>
        <w:t>Ginger</w:t>
      </w:r>
      <w:r w:rsidRPr="00E169C4">
        <w:rPr>
          <w:sz w:val="22"/>
          <w:szCs w:val="22"/>
        </w:rPr>
        <w:t xml:space="preserve"> increased, both germination and vigour significantly declined. The lowest germination (</w:t>
      </w:r>
      <w:r w:rsidRPr="00E169C4">
        <w:rPr>
          <w:rStyle w:val="math-inline"/>
          <w:sz w:val="22"/>
          <w:szCs w:val="22"/>
        </w:rPr>
        <w:t>23.3</w:t>
      </w:r>
      <w:r w:rsidR="00C24B20" w:rsidRPr="00E169C4">
        <w:rPr>
          <w:rStyle w:val="math-inline"/>
          <w:sz w:val="22"/>
          <w:szCs w:val="22"/>
        </w:rPr>
        <w:t>%</w:t>
      </w:r>
      <w:r w:rsidRPr="00E169C4">
        <w:rPr>
          <w:sz w:val="22"/>
          <w:szCs w:val="22"/>
        </w:rPr>
        <w:t>) and SVI (</w:t>
      </w:r>
      <w:r w:rsidRPr="00E169C4">
        <w:rPr>
          <w:rStyle w:val="math-inline"/>
          <w:sz w:val="22"/>
          <w:szCs w:val="22"/>
        </w:rPr>
        <w:t>944</w:t>
      </w:r>
      <w:r w:rsidRPr="00E169C4">
        <w:rPr>
          <w:sz w:val="22"/>
          <w:szCs w:val="22"/>
        </w:rPr>
        <w:t xml:space="preserve">) were recorded at </w:t>
      </w:r>
      <w:r w:rsidRPr="00E169C4">
        <w:rPr>
          <w:bCs/>
          <w:sz w:val="22"/>
          <w:szCs w:val="22"/>
        </w:rPr>
        <w:t>Neem 3%</w:t>
      </w:r>
      <w:r w:rsidRPr="00E169C4">
        <w:rPr>
          <w:sz w:val="22"/>
          <w:szCs w:val="22"/>
        </w:rPr>
        <w:t>.</w:t>
      </w:r>
    </w:p>
    <w:p w:rsidR="006B51AA" w:rsidRDefault="006B51AA" w:rsidP="00C24B20">
      <w:pPr>
        <w:pStyle w:val="NormalWeb"/>
        <w:jc w:val="both"/>
        <w:rPr>
          <w:sz w:val="22"/>
          <w:szCs w:val="22"/>
        </w:rPr>
      </w:pPr>
      <w:r w:rsidRPr="00E169C4">
        <w:rPr>
          <w:sz w:val="22"/>
          <w:szCs w:val="22"/>
        </w:rPr>
        <w:lastRenderedPageBreak/>
        <w:t xml:space="preserve">In contrast, </w:t>
      </w:r>
      <w:r w:rsidR="00CD7774">
        <w:rPr>
          <w:bCs/>
          <w:sz w:val="22"/>
          <w:szCs w:val="22"/>
        </w:rPr>
        <w:t>ZM 2656</w:t>
      </w:r>
      <w:r w:rsidR="00F5146C">
        <w:rPr>
          <w:bCs/>
          <w:sz w:val="22"/>
          <w:szCs w:val="22"/>
        </w:rPr>
        <w:t xml:space="preserve"> </w:t>
      </w:r>
      <w:r w:rsidRPr="00E169C4">
        <w:rPr>
          <w:sz w:val="22"/>
          <w:szCs w:val="22"/>
        </w:rPr>
        <w:t>appeared much more resilient to the botanical treatments. The highest germination (</w:t>
      </w:r>
      <w:r w:rsidRPr="00E169C4">
        <w:rPr>
          <w:rStyle w:val="math-inline"/>
          <w:sz w:val="22"/>
          <w:szCs w:val="22"/>
        </w:rPr>
        <w:t>90.0%</w:t>
      </w:r>
      <w:r w:rsidRPr="00E169C4">
        <w:rPr>
          <w:sz w:val="22"/>
          <w:szCs w:val="22"/>
        </w:rPr>
        <w:t>) and SVI (</w:t>
      </w:r>
      <w:r w:rsidRPr="00E169C4">
        <w:rPr>
          <w:rStyle w:val="math-inline"/>
          <w:sz w:val="22"/>
          <w:szCs w:val="22"/>
        </w:rPr>
        <w:t>4032</w:t>
      </w:r>
      <w:r w:rsidRPr="00E169C4">
        <w:rPr>
          <w:sz w:val="22"/>
          <w:szCs w:val="22"/>
        </w:rPr>
        <w:t xml:space="preserve">) were observed under </w:t>
      </w:r>
      <w:r w:rsidR="003443B2">
        <w:rPr>
          <w:bCs/>
          <w:sz w:val="22"/>
          <w:szCs w:val="22"/>
        </w:rPr>
        <w:t>Ginger</w:t>
      </w:r>
      <w:r w:rsidRPr="00E169C4">
        <w:rPr>
          <w:bCs/>
          <w:sz w:val="22"/>
          <w:szCs w:val="22"/>
        </w:rPr>
        <w:t xml:space="preserve"> 10%</w:t>
      </w:r>
      <w:r w:rsidRPr="00E169C4">
        <w:rPr>
          <w:sz w:val="22"/>
          <w:szCs w:val="22"/>
        </w:rPr>
        <w:t xml:space="preserve">. Even at higher concentrations like </w:t>
      </w:r>
      <w:r w:rsidR="003443B2">
        <w:rPr>
          <w:bCs/>
          <w:sz w:val="22"/>
          <w:szCs w:val="22"/>
        </w:rPr>
        <w:t>Ginger</w:t>
      </w:r>
      <w:r w:rsidRPr="00E169C4">
        <w:rPr>
          <w:bCs/>
          <w:sz w:val="22"/>
          <w:szCs w:val="22"/>
        </w:rPr>
        <w:t xml:space="preserve"> 20%</w:t>
      </w:r>
      <w:r w:rsidRPr="00E169C4">
        <w:rPr>
          <w:sz w:val="22"/>
          <w:szCs w:val="22"/>
        </w:rPr>
        <w:t xml:space="preserve">, </w:t>
      </w:r>
      <w:r w:rsidR="00CD7774">
        <w:rPr>
          <w:sz w:val="22"/>
          <w:szCs w:val="22"/>
        </w:rPr>
        <w:t>ZM 2656</w:t>
      </w:r>
      <w:r w:rsidRPr="00E169C4">
        <w:rPr>
          <w:sz w:val="22"/>
          <w:szCs w:val="22"/>
        </w:rPr>
        <w:t xml:space="preserve"> maintained a high germination rate (</w:t>
      </w:r>
      <w:r w:rsidRPr="00E169C4">
        <w:rPr>
          <w:rStyle w:val="math-inline"/>
          <w:sz w:val="22"/>
          <w:szCs w:val="22"/>
        </w:rPr>
        <w:t>80.0</w:t>
      </w:r>
      <w:r w:rsidR="00C24B20" w:rsidRPr="00E169C4">
        <w:rPr>
          <w:rStyle w:val="math-inline"/>
          <w:sz w:val="22"/>
          <w:szCs w:val="22"/>
        </w:rPr>
        <w:t>%</w:t>
      </w:r>
      <w:r w:rsidRPr="00E169C4">
        <w:rPr>
          <w:sz w:val="22"/>
          <w:szCs w:val="22"/>
        </w:rPr>
        <w:t>) and SVI (</w:t>
      </w:r>
      <w:r w:rsidRPr="00E169C4">
        <w:rPr>
          <w:rStyle w:val="math-inline"/>
          <w:sz w:val="22"/>
          <w:szCs w:val="22"/>
        </w:rPr>
        <w:t>3747</w:t>
      </w:r>
      <w:r w:rsidRPr="00E169C4">
        <w:rPr>
          <w:sz w:val="22"/>
          <w:szCs w:val="22"/>
        </w:rPr>
        <w:t>), suggesting a genotype-specific tolerance to these botanical extracts.</w:t>
      </w:r>
    </w:p>
    <w:p w:rsidR="00A27899" w:rsidRPr="0045582D" w:rsidRDefault="00094CA4" w:rsidP="0091771A">
      <w:pPr>
        <w:widowControl/>
        <w:jc w:val="both"/>
        <w:rPr>
          <w:rFonts w:ascii="Times New Roman" w:eastAsia="Times New Roman" w:hAnsi="Times New Roman" w:cs="Times New Roman"/>
          <w:i/>
          <w:sz w:val="24"/>
          <w:szCs w:val="24"/>
        </w:rPr>
      </w:pPr>
      <w:r w:rsidRPr="00094CA4">
        <w:rPr>
          <w:noProof/>
        </w:rPr>
        <w:drawing>
          <wp:inline distT="0" distB="0" distL="0" distR="0">
            <wp:extent cx="6637602" cy="4741737"/>
            <wp:effectExtent l="0" t="0" r="0" b="1905"/>
            <wp:docPr id="18" name="Picture 18" descr="C:\Users\New User\Downloads\Code_Generated_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 User\Downloads\Code_Generated_Image (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1666" cy="4744640"/>
                    </a:xfrm>
                    <a:prstGeom prst="rect">
                      <a:avLst/>
                    </a:prstGeom>
                    <a:noFill/>
                    <a:ln>
                      <a:noFill/>
                    </a:ln>
                  </pic:spPr>
                </pic:pic>
              </a:graphicData>
            </a:graphic>
          </wp:inline>
        </w:drawing>
      </w:r>
      <w:r w:rsidR="0045582D">
        <w:t>Figure 1-</w:t>
      </w:r>
      <w:r w:rsidR="0045582D">
        <w:rPr>
          <w:rFonts w:ascii="Times New Roman" w:eastAsia="Times New Roman" w:hAnsi="Times New Roman" w:cs="Times New Roman"/>
          <w:sz w:val="24"/>
          <w:szCs w:val="24"/>
        </w:rPr>
        <w:t>Effects</w:t>
      </w:r>
      <w:r w:rsidR="0045582D" w:rsidRPr="0045582D">
        <w:rPr>
          <w:rFonts w:ascii="Times New Roman" w:eastAsia="Times New Roman" w:hAnsi="Times New Roman" w:cs="Times New Roman"/>
          <w:sz w:val="24"/>
          <w:szCs w:val="24"/>
        </w:rPr>
        <w:t xml:space="preserve"> of botanical priming with Ginger (G) and Neem (N) extracts on (A) Germination Index, (B) Mean Germination Time, (C) Germination Percentage, and (D) Seed Vigor Index of two Bambara groundnut </w:t>
      </w:r>
      <w:r w:rsidR="0045582D">
        <w:rPr>
          <w:rFonts w:ascii="Times New Roman" w:eastAsia="Times New Roman" w:hAnsi="Times New Roman" w:cs="Times New Roman"/>
          <w:sz w:val="24"/>
          <w:szCs w:val="24"/>
        </w:rPr>
        <w:t xml:space="preserve">genotypes. Error bars represent </w:t>
      </w:r>
      <w:r w:rsidR="0045582D" w:rsidRPr="0045582D">
        <w:rPr>
          <w:rFonts w:ascii="Times New Roman" w:eastAsia="Times New Roman" w:hAnsi="Times New Roman" w:cs="Times New Roman"/>
          <w:sz w:val="24"/>
          <w:szCs w:val="24"/>
          <w:u w:val="single"/>
        </w:rPr>
        <w:t>+</w:t>
      </w:r>
      <w:r w:rsidR="0045582D">
        <w:rPr>
          <w:rFonts w:ascii="Times New Roman" w:eastAsia="Times New Roman" w:hAnsi="Times New Roman" w:cs="Times New Roman"/>
          <w:sz w:val="24"/>
          <w:szCs w:val="24"/>
          <w:u w:val="single"/>
        </w:rPr>
        <w:t xml:space="preserve"> </w:t>
      </w:r>
      <w:r w:rsidR="0045582D" w:rsidRPr="0045582D">
        <w:rPr>
          <w:rFonts w:ascii="Times New Roman" w:eastAsia="Times New Roman" w:hAnsi="Times New Roman" w:cs="Times New Roman"/>
          <w:sz w:val="24"/>
          <w:szCs w:val="24"/>
        </w:rPr>
        <w:t>Standard Error. G0/N0 represent non-primed controls.</w:t>
      </w:r>
      <w:r w:rsidR="00A27899" w:rsidRPr="00A27899">
        <w:rPr>
          <w:rFonts w:ascii="Times New Roman" w:eastAsia="Times New Roman" w:hAnsi="Times New Roman" w:cs="Times New Roman"/>
          <w:sz w:val="24"/>
          <w:szCs w:val="24"/>
        </w:rPr>
        <w:t xml:space="preserve"> </w:t>
      </w:r>
    </w:p>
    <w:p w:rsidR="006B51AA" w:rsidRPr="00122E8F" w:rsidRDefault="006B51AA" w:rsidP="006B51AA">
      <w:pPr>
        <w:pStyle w:val="Heading4"/>
        <w:rPr>
          <w:rFonts w:ascii="Times New Roman" w:hAnsi="Times New Roman" w:cs="Times New Roman"/>
          <w:sz w:val="22"/>
          <w:szCs w:val="22"/>
        </w:rPr>
      </w:pPr>
      <w:r w:rsidRPr="00122E8F">
        <w:rPr>
          <w:rFonts w:ascii="Times New Roman" w:hAnsi="Times New Roman" w:cs="Times New Roman"/>
          <w:sz w:val="22"/>
          <w:szCs w:val="22"/>
        </w:rPr>
        <w:t>3. Root Nodule Development</w:t>
      </w:r>
    </w:p>
    <w:p w:rsidR="00122E8F" w:rsidRDefault="00122E8F" w:rsidP="00A44AEA">
      <w:pPr>
        <w:pStyle w:val="NormalWeb"/>
        <w:jc w:val="both"/>
      </w:pPr>
      <w:r>
        <w:t xml:space="preserve">Nodule formation, a key indicator of symbiotic efficiency and plant health, was significantly enhanced by </w:t>
      </w:r>
      <w:r w:rsidR="003443B2">
        <w:t>Ginger</w:t>
      </w:r>
      <w:r>
        <w:t xml:space="preserve"> treatments across both genotypes.</w:t>
      </w:r>
      <w:r w:rsidR="003443B2">
        <w:t xml:space="preserve"> For</w:t>
      </w:r>
      <w:r>
        <w:t xml:space="preserve"> </w:t>
      </w:r>
      <w:r w:rsidR="00CD7774" w:rsidRPr="003443B2">
        <w:rPr>
          <w:bCs/>
        </w:rPr>
        <w:t xml:space="preserve">ZM </w:t>
      </w:r>
      <w:r w:rsidR="001E7E02" w:rsidRPr="003443B2">
        <w:rPr>
          <w:bCs/>
        </w:rPr>
        <w:t>1856</w:t>
      </w:r>
      <w:r w:rsidR="001E7E02">
        <w:rPr>
          <w:b/>
          <w:bCs/>
        </w:rPr>
        <w:t>,</w:t>
      </w:r>
      <w:r>
        <w:t xml:space="preserve"> the highest number of root nodules (</w:t>
      </w:r>
      <w:r>
        <w:rPr>
          <w:rStyle w:val="math-inline"/>
        </w:rPr>
        <w:t>61.1</w:t>
      </w:r>
      <w:r>
        <w:t xml:space="preserve">) was recorded with </w:t>
      </w:r>
      <w:r w:rsidR="003443B2">
        <w:rPr>
          <w:b/>
          <w:bCs/>
        </w:rPr>
        <w:t>Ginger</w:t>
      </w:r>
      <w:r>
        <w:rPr>
          <w:b/>
          <w:bCs/>
        </w:rPr>
        <w:t xml:space="preserve"> 10%</w:t>
      </w:r>
      <w:r>
        <w:t>, nearly doubling the count of the control group (</w:t>
      </w:r>
      <w:r>
        <w:rPr>
          <w:rStyle w:val="math-inline"/>
        </w:rPr>
        <w:t>32.0</w:t>
      </w:r>
      <w:r w:rsidR="003443B2">
        <w:t>), while with</w:t>
      </w:r>
      <w:r w:rsidRPr="003443B2">
        <w:t xml:space="preserve"> </w:t>
      </w:r>
      <w:r w:rsidR="00CD7774" w:rsidRPr="003443B2">
        <w:rPr>
          <w:bCs/>
        </w:rPr>
        <w:t xml:space="preserve">ZM </w:t>
      </w:r>
      <w:r w:rsidR="001E7E02" w:rsidRPr="003443B2">
        <w:rPr>
          <w:bCs/>
        </w:rPr>
        <w:t>2656,</w:t>
      </w:r>
      <w:r>
        <w:t xml:space="preserve"> the highest nodule count (</w:t>
      </w:r>
      <w:r>
        <w:rPr>
          <w:rStyle w:val="math-inline"/>
        </w:rPr>
        <w:t>62.0</w:t>
      </w:r>
      <w:r>
        <w:t xml:space="preserve">) was observed at the highest concentration of </w:t>
      </w:r>
      <w:r w:rsidR="003443B2">
        <w:rPr>
          <w:b/>
          <w:bCs/>
        </w:rPr>
        <w:t>Ginger</w:t>
      </w:r>
      <w:r>
        <w:rPr>
          <w:b/>
          <w:bCs/>
        </w:rPr>
        <w:t xml:space="preserve"> 20%</w:t>
      </w:r>
      <w:r>
        <w:t>.</w:t>
      </w:r>
      <w:r w:rsidR="003443B2">
        <w:t xml:space="preserve"> Whereas n</w:t>
      </w:r>
      <w:r>
        <w:t xml:space="preserve">eem treatments also improved nodule counts compared to the control in some instances (e.g., </w:t>
      </w:r>
      <w:r w:rsidR="00CD7774">
        <w:t xml:space="preserve">ZM </w:t>
      </w:r>
      <w:r w:rsidR="00E625B4">
        <w:t>1856 Neem</w:t>
      </w:r>
      <w:r>
        <w:t xml:space="preserve"> 1% at </w:t>
      </w:r>
      <w:r>
        <w:rPr>
          <w:rStyle w:val="math-inline"/>
        </w:rPr>
        <w:t>45.5</w:t>
      </w:r>
      <w:r>
        <w:t xml:space="preserve">), they generally did not match the stimulatory effect seen with the </w:t>
      </w:r>
      <w:r w:rsidR="003443B2">
        <w:t>Ginger</w:t>
      </w:r>
      <w:r>
        <w:t xml:space="preserve"> extracts</w:t>
      </w:r>
    </w:p>
    <w:p w:rsidR="00F40412" w:rsidRDefault="00F40412" w:rsidP="00A44AEA">
      <w:pPr>
        <w:pStyle w:val="NormalWeb"/>
        <w:jc w:val="both"/>
      </w:pPr>
    </w:p>
    <w:p w:rsidR="00D74D19" w:rsidRPr="00D74D19" w:rsidRDefault="00D74D19" w:rsidP="00D74D19">
      <w:pPr>
        <w:widowControl/>
        <w:spacing w:before="100" w:beforeAutospacing="1" w:after="100" w:afterAutospacing="1"/>
        <w:jc w:val="center"/>
        <w:rPr>
          <w:rFonts w:ascii="Times New Roman" w:eastAsia="Times New Roman" w:hAnsi="Times New Roman" w:cs="Times New Roman"/>
          <w:sz w:val="24"/>
          <w:szCs w:val="24"/>
        </w:rPr>
      </w:pPr>
      <w:r w:rsidRPr="00D74D19">
        <w:rPr>
          <w:rFonts w:ascii="Times New Roman" w:eastAsia="Times New Roman" w:hAnsi="Times New Roman" w:cs="Times New Roman"/>
          <w:noProof/>
          <w:sz w:val="24"/>
          <w:szCs w:val="24"/>
        </w:rPr>
        <w:lastRenderedPageBreak/>
        <w:drawing>
          <wp:inline distT="0" distB="0" distL="0" distR="0">
            <wp:extent cx="5248275" cy="3060400"/>
            <wp:effectExtent l="0" t="0" r="0" b="6985"/>
            <wp:docPr id="20" name="Picture 20" descr="C:\Users\New User\Downloads\Code_Generated_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w User\Downloads\Code_Generated_Image (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4163" cy="3063833"/>
                    </a:xfrm>
                    <a:prstGeom prst="rect">
                      <a:avLst/>
                    </a:prstGeom>
                    <a:noFill/>
                    <a:ln>
                      <a:noFill/>
                    </a:ln>
                  </pic:spPr>
                </pic:pic>
              </a:graphicData>
            </a:graphic>
          </wp:inline>
        </w:drawing>
      </w:r>
    </w:p>
    <w:p w:rsidR="0045582D" w:rsidRPr="0045582D" w:rsidRDefault="0045582D" w:rsidP="0045582D">
      <w:pPr>
        <w:widowControl/>
        <w:rPr>
          <w:rFonts w:ascii="Times New Roman" w:eastAsia="Times New Roman" w:hAnsi="Times New Roman" w:cs="Times New Roman"/>
          <w:i/>
          <w:sz w:val="24"/>
          <w:szCs w:val="24"/>
        </w:rPr>
      </w:pPr>
      <w:r w:rsidRPr="00846AF2">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w:t>
      </w:r>
      <w:r w:rsidRPr="0045582D">
        <w:rPr>
          <w:rFonts w:ascii="Times New Roman" w:eastAsia="Times New Roman" w:hAnsi="Times New Roman" w:cs="Times New Roman"/>
          <w:sz w:val="24"/>
          <w:szCs w:val="24"/>
        </w:rPr>
        <w:t>Effect of seed priming with varying concentrations of Ginger (G) and Neem (N) botanical extracts on the nodule count per plant in two Bambara groundnut genotypes. Error bars indicate the Standard Error of the Mean (SEM). G0 and N0 represent the non-primed control groups for each treatment series.</w:t>
      </w:r>
      <w:r w:rsidR="00EB5036">
        <w:rPr>
          <w:rFonts w:ascii="Times New Roman" w:eastAsia="Times New Roman" w:hAnsi="Times New Roman" w:cs="Times New Roman"/>
          <w:sz w:val="24"/>
          <w:szCs w:val="24"/>
        </w:rPr>
        <w:t xml:space="preserve"> </w:t>
      </w:r>
    </w:p>
    <w:p w:rsidR="006418A9" w:rsidRPr="00E169C4" w:rsidRDefault="006418A9" w:rsidP="006418A9">
      <w:pPr>
        <w:pStyle w:val="NormalWeb"/>
        <w:jc w:val="both"/>
        <w:rPr>
          <w:sz w:val="22"/>
          <w:szCs w:val="22"/>
        </w:rPr>
      </w:pPr>
      <w:r w:rsidRPr="00E169C4">
        <w:rPr>
          <w:sz w:val="22"/>
          <w:szCs w:val="22"/>
        </w:rPr>
        <w:t>The application of botanical extracts significantly affected the biomass parameters of both genotypes compared to the control (</w:t>
      </w:r>
      <w:r w:rsidRPr="00E169C4">
        <w:rPr>
          <w:rStyle w:val="math-inline"/>
          <w:sz w:val="22"/>
          <w:szCs w:val="22"/>
        </w:rPr>
        <w:t>0%</w:t>
      </w:r>
      <w:r w:rsidRPr="00E169C4">
        <w:rPr>
          <w:sz w:val="22"/>
          <w:szCs w:val="22"/>
        </w:rPr>
        <w:t xml:space="preserve">). In </w:t>
      </w:r>
      <w:r w:rsidR="00CD7774">
        <w:rPr>
          <w:bCs/>
          <w:sz w:val="22"/>
          <w:szCs w:val="22"/>
        </w:rPr>
        <w:t>ZM 1856</w:t>
      </w:r>
      <w:r w:rsidRPr="00E169C4">
        <w:rPr>
          <w:sz w:val="22"/>
          <w:szCs w:val="22"/>
        </w:rPr>
        <w:t>, the highest root dry weight (</w:t>
      </w:r>
      <w:r w:rsidRPr="00E169C4">
        <w:rPr>
          <w:rStyle w:val="math-inline"/>
          <w:sz w:val="22"/>
          <w:szCs w:val="22"/>
        </w:rPr>
        <w:t>0.9g)</w:t>
      </w:r>
      <w:r w:rsidRPr="00E169C4">
        <w:rPr>
          <w:sz w:val="22"/>
          <w:szCs w:val="22"/>
        </w:rPr>
        <w:t>, shoot dry weight (</w:t>
      </w:r>
      <w:r w:rsidRPr="00E169C4">
        <w:rPr>
          <w:rStyle w:val="math-inline"/>
          <w:sz w:val="22"/>
          <w:szCs w:val="22"/>
        </w:rPr>
        <w:t>5.52g</w:t>
      </w:r>
      <w:r w:rsidRPr="00E169C4">
        <w:rPr>
          <w:sz w:val="22"/>
          <w:szCs w:val="22"/>
        </w:rPr>
        <w:t xml:space="preserve">), and total </w:t>
      </w:r>
      <w:r w:rsidR="00E169C4" w:rsidRPr="00E169C4">
        <w:rPr>
          <w:sz w:val="22"/>
          <w:szCs w:val="22"/>
        </w:rPr>
        <w:t>dry matter</w:t>
      </w:r>
      <w:r w:rsidRPr="00E169C4">
        <w:rPr>
          <w:sz w:val="22"/>
          <w:szCs w:val="22"/>
        </w:rPr>
        <w:t xml:space="preserve"> (</w:t>
      </w:r>
      <w:r w:rsidRPr="00E169C4">
        <w:rPr>
          <w:rStyle w:val="math-inline"/>
          <w:sz w:val="22"/>
          <w:szCs w:val="22"/>
        </w:rPr>
        <w:t>6.47g</w:t>
      </w:r>
      <w:r w:rsidRPr="00E169C4">
        <w:rPr>
          <w:sz w:val="22"/>
          <w:szCs w:val="22"/>
        </w:rPr>
        <w:t xml:space="preserve">) were recorded under the </w:t>
      </w:r>
      <w:r w:rsidR="003443B2">
        <w:rPr>
          <w:bCs/>
          <w:sz w:val="22"/>
          <w:szCs w:val="22"/>
        </w:rPr>
        <w:t>Ginger</w:t>
      </w:r>
      <w:r w:rsidRPr="00E169C4">
        <w:rPr>
          <w:bCs/>
          <w:sz w:val="22"/>
          <w:szCs w:val="22"/>
        </w:rPr>
        <w:t xml:space="preserve"> 20%</w:t>
      </w:r>
      <w:r w:rsidRPr="00E169C4">
        <w:rPr>
          <w:sz w:val="22"/>
          <w:szCs w:val="22"/>
        </w:rPr>
        <w:t xml:space="preserve"> treatment. These values represented a significant increase over the control, which recorded the lowest total biomass (</w:t>
      </w:r>
      <w:r w:rsidRPr="00E169C4">
        <w:rPr>
          <w:rStyle w:val="math-inline"/>
          <w:sz w:val="22"/>
          <w:szCs w:val="22"/>
        </w:rPr>
        <w:t>3.3g</w:t>
      </w:r>
      <w:r w:rsidRPr="00E169C4">
        <w:rPr>
          <w:sz w:val="22"/>
          <w:szCs w:val="22"/>
        </w:rPr>
        <w:t xml:space="preserve">). Neem treatments in </w:t>
      </w:r>
      <w:r w:rsidR="00CD7774">
        <w:rPr>
          <w:sz w:val="22"/>
          <w:szCs w:val="22"/>
        </w:rPr>
        <w:t>ZM 1856</w:t>
      </w:r>
      <w:r w:rsidRPr="00E169C4">
        <w:rPr>
          <w:sz w:val="22"/>
          <w:szCs w:val="22"/>
        </w:rPr>
        <w:t xml:space="preserve"> also showed an upward trend in biomass compared to the control, with </w:t>
      </w:r>
      <w:r w:rsidRPr="00E169C4">
        <w:rPr>
          <w:bCs/>
          <w:sz w:val="22"/>
          <w:szCs w:val="22"/>
        </w:rPr>
        <w:t>Neem 3%</w:t>
      </w:r>
      <w:r w:rsidRPr="00E169C4">
        <w:rPr>
          <w:sz w:val="22"/>
          <w:szCs w:val="22"/>
        </w:rPr>
        <w:t xml:space="preserve"> reaching a total </w:t>
      </w:r>
      <w:r w:rsidR="00E169C4" w:rsidRPr="00E169C4">
        <w:rPr>
          <w:sz w:val="22"/>
          <w:szCs w:val="22"/>
        </w:rPr>
        <w:t>dry matter</w:t>
      </w:r>
      <w:r w:rsidRPr="00E169C4">
        <w:rPr>
          <w:sz w:val="22"/>
          <w:szCs w:val="22"/>
        </w:rPr>
        <w:t xml:space="preserve"> of </w:t>
      </w:r>
      <w:r w:rsidRPr="00E169C4">
        <w:rPr>
          <w:rStyle w:val="math-inline"/>
          <w:sz w:val="22"/>
          <w:szCs w:val="22"/>
        </w:rPr>
        <w:t>5.12g</w:t>
      </w:r>
      <w:r w:rsidRPr="00E169C4">
        <w:rPr>
          <w:sz w:val="22"/>
          <w:szCs w:val="22"/>
        </w:rPr>
        <w:t xml:space="preserve">, though it remained statistically comparable to the mid-range </w:t>
      </w:r>
      <w:r w:rsidR="003443B2">
        <w:rPr>
          <w:sz w:val="22"/>
          <w:szCs w:val="22"/>
        </w:rPr>
        <w:t>ginger</w:t>
      </w:r>
      <w:r w:rsidRPr="00E169C4">
        <w:rPr>
          <w:sz w:val="22"/>
          <w:szCs w:val="22"/>
        </w:rPr>
        <w:t xml:space="preserve"> treatments.</w:t>
      </w:r>
    </w:p>
    <w:p w:rsidR="006418A9" w:rsidRDefault="006418A9" w:rsidP="00B0521A">
      <w:pPr>
        <w:pStyle w:val="NormalWeb"/>
        <w:jc w:val="both"/>
        <w:rPr>
          <w:sz w:val="22"/>
          <w:szCs w:val="22"/>
        </w:rPr>
      </w:pPr>
      <w:r w:rsidRPr="00E169C4">
        <w:rPr>
          <w:sz w:val="22"/>
          <w:szCs w:val="22"/>
        </w:rPr>
        <w:t xml:space="preserve">In </w:t>
      </w:r>
      <w:r w:rsidR="00CD7774">
        <w:rPr>
          <w:bCs/>
          <w:sz w:val="22"/>
          <w:szCs w:val="22"/>
        </w:rPr>
        <w:t>ZM 2656</w:t>
      </w:r>
      <w:r w:rsidRPr="00E169C4">
        <w:rPr>
          <w:sz w:val="22"/>
          <w:szCs w:val="22"/>
        </w:rPr>
        <w:t xml:space="preserve">, a similar trend was observed. The </w:t>
      </w:r>
      <w:r w:rsidR="003443B2">
        <w:rPr>
          <w:bCs/>
          <w:sz w:val="22"/>
          <w:szCs w:val="22"/>
        </w:rPr>
        <w:t>Ginger</w:t>
      </w:r>
      <w:r w:rsidRPr="00E169C4">
        <w:rPr>
          <w:bCs/>
          <w:sz w:val="22"/>
          <w:szCs w:val="22"/>
        </w:rPr>
        <w:t xml:space="preserve"> 20%</w:t>
      </w:r>
      <w:r w:rsidRPr="00E169C4">
        <w:rPr>
          <w:sz w:val="22"/>
          <w:szCs w:val="22"/>
        </w:rPr>
        <w:t xml:space="preserve"> treatment again yielded the highest root dry weight (</w:t>
      </w:r>
      <w:r w:rsidRPr="00E169C4">
        <w:rPr>
          <w:rStyle w:val="math-inline"/>
          <w:sz w:val="22"/>
          <w:szCs w:val="22"/>
        </w:rPr>
        <w:t>1.125g</w:t>
      </w:r>
      <w:r w:rsidRPr="00E169C4">
        <w:rPr>
          <w:sz w:val="22"/>
          <w:szCs w:val="22"/>
        </w:rPr>
        <w:t xml:space="preserve">) and total </w:t>
      </w:r>
      <w:r w:rsidR="00E169C4" w:rsidRPr="00E169C4">
        <w:rPr>
          <w:sz w:val="22"/>
          <w:szCs w:val="22"/>
        </w:rPr>
        <w:t>dry matter</w:t>
      </w:r>
      <w:r w:rsidRPr="00E169C4">
        <w:rPr>
          <w:sz w:val="22"/>
          <w:szCs w:val="22"/>
        </w:rPr>
        <w:t xml:space="preserve"> (</w:t>
      </w:r>
      <w:r w:rsidRPr="00E169C4">
        <w:rPr>
          <w:rStyle w:val="math-inline"/>
          <w:sz w:val="22"/>
          <w:szCs w:val="22"/>
        </w:rPr>
        <w:t>5.45g</w:t>
      </w:r>
      <w:r w:rsidRPr="00E169C4">
        <w:rPr>
          <w:sz w:val="22"/>
          <w:szCs w:val="22"/>
        </w:rPr>
        <w:t xml:space="preserve">). Notably, while the control for </w:t>
      </w:r>
      <w:r w:rsidR="00CD7774">
        <w:rPr>
          <w:sz w:val="22"/>
          <w:szCs w:val="22"/>
        </w:rPr>
        <w:t>ZM 2656</w:t>
      </w:r>
      <w:r w:rsidRPr="00E169C4">
        <w:rPr>
          <w:sz w:val="22"/>
          <w:szCs w:val="22"/>
        </w:rPr>
        <w:t xml:space="preserve"> had a low shoot dry weight (</w:t>
      </w:r>
      <w:r w:rsidRPr="00E169C4">
        <w:rPr>
          <w:rStyle w:val="math-inline"/>
          <w:sz w:val="22"/>
          <w:szCs w:val="22"/>
        </w:rPr>
        <w:t>2.85g</w:t>
      </w:r>
      <w:r w:rsidRPr="00E169C4">
        <w:rPr>
          <w:sz w:val="22"/>
          <w:szCs w:val="22"/>
        </w:rPr>
        <w:t xml:space="preserve">), both </w:t>
      </w:r>
      <w:r w:rsidR="003443B2">
        <w:rPr>
          <w:bCs/>
          <w:sz w:val="22"/>
          <w:szCs w:val="22"/>
        </w:rPr>
        <w:t>Ginger</w:t>
      </w:r>
      <w:r w:rsidRPr="00E169C4">
        <w:rPr>
          <w:bCs/>
          <w:sz w:val="22"/>
          <w:szCs w:val="22"/>
        </w:rPr>
        <w:t xml:space="preserve"> 20%</w:t>
      </w:r>
      <w:r w:rsidRPr="00E169C4">
        <w:rPr>
          <w:sz w:val="22"/>
          <w:szCs w:val="22"/>
        </w:rPr>
        <w:t xml:space="preserve"> and </w:t>
      </w:r>
      <w:r w:rsidRPr="00E169C4">
        <w:rPr>
          <w:bCs/>
          <w:sz w:val="22"/>
          <w:szCs w:val="22"/>
        </w:rPr>
        <w:t>Neem 3%</w:t>
      </w:r>
      <w:r w:rsidRPr="00E169C4">
        <w:rPr>
          <w:sz w:val="22"/>
          <w:szCs w:val="22"/>
        </w:rPr>
        <w:t xml:space="preserve"> significantly enhanced shoot growth (</w:t>
      </w:r>
      <w:r w:rsidR="00B0521A" w:rsidRPr="00E169C4">
        <w:rPr>
          <w:rStyle w:val="math-inline"/>
          <w:sz w:val="22"/>
          <w:szCs w:val="22"/>
        </w:rPr>
        <w:t>4.32</w:t>
      </w:r>
      <w:r w:rsidRPr="00E169C4">
        <w:rPr>
          <w:rStyle w:val="math-inline"/>
          <w:sz w:val="22"/>
          <w:szCs w:val="22"/>
        </w:rPr>
        <w:t>g</w:t>
      </w:r>
      <w:r w:rsidRPr="00E169C4">
        <w:rPr>
          <w:sz w:val="22"/>
          <w:szCs w:val="22"/>
        </w:rPr>
        <w:t xml:space="preserve"> and </w:t>
      </w:r>
      <w:r w:rsidRPr="00E169C4">
        <w:rPr>
          <w:rStyle w:val="math-inline"/>
          <w:sz w:val="22"/>
          <w:szCs w:val="22"/>
        </w:rPr>
        <w:t>4.35g</w:t>
      </w:r>
      <w:r w:rsidRPr="00E169C4">
        <w:rPr>
          <w:sz w:val="22"/>
          <w:szCs w:val="22"/>
        </w:rPr>
        <w:t>, respectively).</w:t>
      </w:r>
    </w:p>
    <w:p w:rsidR="00AB5936" w:rsidRPr="009250FC" w:rsidRDefault="0091771A" w:rsidP="0094685B">
      <w:pPr>
        <w:pStyle w:val="Heading3"/>
        <w:spacing w:before="0" w:after="120" w:line="275" w:lineRule="auto"/>
        <w:jc w:val="both"/>
        <w:rPr>
          <w:rFonts w:ascii="Times New Roman" w:eastAsia="Google Sans" w:hAnsi="Times New Roman" w:cs="Times New Roman"/>
          <w:color w:val="1F1F1F"/>
          <w:sz w:val="22"/>
          <w:szCs w:val="22"/>
        </w:rPr>
      </w:pPr>
      <w:r>
        <w:rPr>
          <w:rFonts w:ascii="Times New Roman" w:eastAsia="Google Sans" w:hAnsi="Times New Roman" w:cs="Times New Roman"/>
          <w:color w:val="1F1F1F"/>
          <w:sz w:val="22"/>
          <w:szCs w:val="22"/>
        </w:rPr>
        <w:t>3</w:t>
      </w:r>
      <w:r w:rsidR="002808BB" w:rsidRPr="009250FC">
        <w:rPr>
          <w:rFonts w:ascii="Times New Roman" w:eastAsia="Google Sans" w:hAnsi="Times New Roman" w:cs="Times New Roman"/>
          <w:color w:val="1F1F1F"/>
          <w:sz w:val="22"/>
          <w:szCs w:val="22"/>
        </w:rPr>
        <w:t>.2 Biomass P</w:t>
      </w:r>
      <w:r w:rsidR="0082765A" w:rsidRPr="009250FC">
        <w:rPr>
          <w:rFonts w:ascii="Times New Roman" w:eastAsia="Google Sans" w:hAnsi="Times New Roman" w:cs="Times New Roman"/>
          <w:color w:val="1F1F1F"/>
          <w:sz w:val="22"/>
          <w:szCs w:val="22"/>
        </w:rPr>
        <w:t>artition</w:t>
      </w:r>
      <w:r w:rsidR="006E7C1C" w:rsidRPr="009250FC">
        <w:rPr>
          <w:rFonts w:ascii="Times New Roman" w:eastAsia="Google Sans" w:hAnsi="Times New Roman" w:cs="Times New Roman"/>
          <w:color w:val="1F1F1F"/>
          <w:sz w:val="22"/>
          <w:szCs w:val="22"/>
        </w:rPr>
        <w:t>ing</w:t>
      </w:r>
      <w:r w:rsidR="002808BB" w:rsidRPr="009250FC">
        <w:rPr>
          <w:rFonts w:ascii="Times New Roman" w:eastAsia="Google Sans" w:hAnsi="Times New Roman" w:cs="Times New Roman"/>
          <w:color w:val="1F1F1F"/>
          <w:sz w:val="22"/>
          <w:szCs w:val="22"/>
        </w:rPr>
        <w:t xml:space="preserve"> and Physiological Traits</w:t>
      </w:r>
    </w:p>
    <w:p w:rsidR="009250FC" w:rsidRPr="00446C07" w:rsidRDefault="009250FC" w:rsidP="009250FC">
      <w:pPr>
        <w:pBdr>
          <w:top w:val="nil"/>
          <w:left w:val="nil"/>
          <w:bottom w:val="nil"/>
          <w:right w:val="nil"/>
          <w:between w:val="nil"/>
        </w:pBdr>
        <w:spacing w:before="480" w:after="240" w:line="275" w:lineRule="auto"/>
        <w:jc w:val="both"/>
        <w:rPr>
          <w:rFonts w:ascii="Times New Roman" w:eastAsia="Google Sans Text" w:hAnsi="Times New Roman" w:cs="Times New Roman"/>
          <w:b/>
          <w:color w:val="444746"/>
          <w:vertAlign w:val="superscript"/>
        </w:rPr>
      </w:pPr>
      <w:r w:rsidRPr="00446C07">
        <w:rPr>
          <w:rFonts w:ascii="Times New Roman" w:eastAsia="Google Sans Text" w:hAnsi="Times New Roman" w:cs="Times New Roman"/>
          <w:b/>
          <w:color w:val="1F1F1F"/>
        </w:rPr>
        <w:t xml:space="preserve">Table </w:t>
      </w:r>
      <w:r w:rsidR="005A7ABD">
        <w:rPr>
          <w:rFonts w:ascii="Times New Roman" w:eastAsia="Google Sans Text" w:hAnsi="Times New Roman" w:cs="Times New Roman"/>
          <w:b/>
          <w:color w:val="1F1F1F"/>
        </w:rPr>
        <w:t>2</w:t>
      </w:r>
      <w:r w:rsidRPr="00446C07">
        <w:rPr>
          <w:rFonts w:ascii="Times New Roman" w:eastAsia="Google Sans Text" w:hAnsi="Times New Roman" w:cs="Times New Roman"/>
          <w:b/>
          <w:color w:val="1F1F1F"/>
        </w:rPr>
        <w:t xml:space="preserve">: ANOVA and effect sizes for biomass and physiological traits. </w:t>
      </w:r>
    </w:p>
    <w:tbl>
      <w:tblPr>
        <w:tblW w:w="10887" w:type="dxa"/>
        <w:tblInd w:w="-434" w:type="dxa"/>
        <w:tblCellMar>
          <w:top w:w="15" w:type="dxa"/>
          <w:left w:w="15" w:type="dxa"/>
          <w:bottom w:w="15" w:type="dxa"/>
          <w:right w:w="15" w:type="dxa"/>
        </w:tblCellMar>
        <w:tblLook w:val="04A0" w:firstRow="1" w:lastRow="0" w:firstColumn="1" w:lastColumn="0" w:noHBand="0" w:noVBand="1"/>
      </w:tblPr>
      <w:tblGrid>
        <w:gridCol w:w="2400"/>
        <w:gridCol w:w="981"/>
        <w:gridCol w:w="1179"/>
        <w:gridCol w:w="1161"/>
        <w:gridCol w:w="899"/>
        <w:gridCol w:w="940"/>
        <w:gridCol w:w="1072"/>
        <w:gridCol w:w="1126"/>
        <w:gridCol w:w="1129"/>
      </w:tblGrid>
      <w:tr w:rsidR="00CA665C" w:rsidRPr="00E169C4" w:rsidTr="00CA665C">
        <w:trPr>
          <w:trHeight w:val="540"/>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Source of Variation</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 xml:space="preserve">Root Fresh </w:t>
            </w:r>
            <w:proofErr w:type="spellStart"/>
            <w:r w:rsidRPr="000C27E6">
              <w:rPr>
                <w:b/>
                <w:bCs/>
                <w:color w:val="000000"/>
                <w:sz w:val="20"/>
                <w:szCs w:val="22"/>
              </w:rPr>
              <w:t>Wt</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 xml:space="preserve">Shoot Fresh </w:t>
            </w:r>
            <w:proofErr w:type="spellStart"/>
            <w:r w:rsidRPr="000C27E6">
              <w:rPr>
                <w:b/>
                <w:bCs/>
                <w:color w:val="000000"/>
                <w:sz w:val="20"/>
                <w:szCs w:val="22"/>
              </w:rPr>
              <w:t>Wt</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 xml:space="preserve">Total Fresh </w:t>
            </w:r>
            <w:proofErr w:type="spellStart"/>
            <w:r w:rsidRPr="000C27E6">
              <w:rPr>
                <w:b/>
                <w:bCs/>
                <w:color w:val="000000"/>
                <w:sz w:val="20"/>
                <w:szCs w:val="22"/>
              </w:rPr>
              <w:t>Wt</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 xml:space="preserve">Root Dry </w:t>
            </w:r>
            <w:proofErr w:type="spellStart"/>
            <w:r w:rsidRPr="000C27E6">
              <w:rPr>
                <w:b/>
                <w:bCs/>
                <w:color w:val="000000"/>
                <w:sz w:val="20"/>
                <w:szCs w:val="22"/>
              </w:rPr>
              <w:t>Wt</w:t>
            </w:r>
            <w:proofErr w:type="spellEnd"/>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 xml:space="preserve">Shoot Dry </w:t>
            </w:r>
            <w:proofErr w:type="spellStart"/>
            <w:r w:rsidRPr="000C27E6">
              <w:rPr>
                <w:b/>
                <w:bCs/>
                <w:color w:val="000000"/>
                <w:sz w:val="20"/>
                <w:szCs w:val="22"/>
              </w:rPr>
              <w:t>Wt</w:t>
            </w:r>
            <w:proofErr w:type="spellEnd"/>
          </w:p>
        </w:tc>
        <w:tc>
          <w:tcPr>
            <w:tcW w:w="0" w:type="auto"/>
            <w:tcBorders>
              <w:top w:val="single" w:sz="6" w:space="0" w:color="CCCCCC"/>
              <w:left w:val="single" w:sz="6" w:space="0" w:color="CCCCCC"/>
              <w:bottom w:val="single" w:sz="6" w:space="0" w:color="CCCCCC"/>
              <w:right w:val="single" w:sz="6" w:space="0" w:color="CCCCCC"/>
            </w:tcBorders>
          </w:tcPr>
          <w:p w:rsidR="00CA665C" w:rsidRPr="000C27E6"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b/>
                <w:bCs/>
                <w:color w:val="1F1F1F"/>
                <w:sz w:val="20"/>
              </w:rPr>
            </w:pPr>
            <w:r w:rsidRPr="000C27E6">
              <w:rPr>
                <w:rFonts w:ascii="Times New Roman" w:eastAsia="Google Sans Text" w:hAnsi="Times New Roman" w:cs="Times New Roman"/>
                <w:b/>
                <w:bCs/>
                <w:color w:val="1F1F1F"/>
                <w:sz w:val="20"/>
              </w:rPr>
              <w:t>Root: Shoot Ratio</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Total Dry matter</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0C27E6" w:rsidRDefault="00CA665C" w:rsidP="00CA665C">
            <w:pPr>
              <w:pStyle w:val="NormalWeb"/>
              <w:spacing w:before="0" w:beforeAutospacing="0" w:after="0" w:afterAutospacing="0"/>
              <w:jc w:val="center"/>
              <w:rPr>
                <w:b/>
                <w:sz w:val="20"/>
                <w:szCs w:val="22"/>
              </w:rPr>
            </w:pPr>
            <w:r w:rsidRPr="000C27E6">
              <w:rPr>
                <w:b/>
                <w:bCs/>
                <w:color w:val="000000"/>
                <w:sz w:val="20"/>
                <w:szCs w:val="22"/>
              </w:rPr>
              <w:t>Wilting Score</w:t>
            </w:r>
            <w:r w:rsidR="000C27E6">
              <w:rPr>
                <w:b/>
                <w:bCs/>
                <w:color w:val="000000"/>
                <w:sz w:val="20"/>
                <w:szCs w:val="22"/>
              </w:rPr>
              <w:t>s</w:t>
            </w:r>
          </w:p>
        </w:tc>
      </w:tr>
      <w:tr w:rsidR="00CA665C" w:rsidRPr="00E169C4" w:rsidTr="00CA665C">
        <w:trPr>
          <w:trHeight w:val="315"/>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TREATMENT (F)</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5.39</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4.19</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4.53</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6.16</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2.90</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c>
          <w:tcPr>
            <w:tcW w:w="0" w:type="auto"/>
            <w:tcBorders>
              <w:top w:val="single" w:sz="6" w:space="0" w:color="CCCCCC"/>
              <w:left w:val="single" w:sz="6" w:space="0" w:color="CCCCCC"/>
              <w:bottom w:val="single" w:sz="6" w:space="0" w:color="CCCCCC"/>
              <w:right w:val="single" w:sz="6" w:space="0" w:color="CCCCCC"/>
            </w:tcBorders>
          </w:tcPr>
          <w:p w:rsidR="00495476"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3.97</w:t>
            </w:r>
          </w:p>
          <w:p w:rsidR="00CA665C" w:rsidRPr="00E169C4"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3.66</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495476" w:rsidRDefault="00CA665C" w:rsidP="00CA665C">
            <w:pPr>
              <w:pStyle w:val="NormalWeb"/>
              <w:spacing w:before="0" w:beforeAutospacing="0" w:after="0" w:afterAutospacing="0"/>
              <w:jc w:val="center"/>
              <w:rPr>
                <w:color w:val="000000"/>
                <w:sz w:val="22"/>
                <w:szCs w:val="22"/>
              </w:rPr>
            </w:pPr>
            <w:r w:rsidRPr="00E169C4">
              <w:rPr>
                <w:color w:val="000000"/>
                <w:sz w:val="22"/>
                <w:szCs w:val="22"/>
              </w:rPr>
              <w:t>3.62</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w:t>
            </w:r>
          </w:p>
        </w:tc>
      </w:tr>
      <w:tr w:rsidR="00CA665C" w:rsidRPr="00E169C4" w:rsidTr="00CA665C">
        <w:trPr>
          <w:trHeight w:val="315"/>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Genotype (F)</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0.318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14.62***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13.18***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0.528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5.16*</w:t>
            </w:r>
          </w:p>
        </w:tc>
        <w:tc>
          <w:tcPr>
            <w:tcW w:w="0" w:type="auto"/>
            <w:tcBorders>
              <w:top w:val="single" w:sz="6" w:space="0" w:color="CCCCCC"/>
              <w:left w:val="single" w:sz="6" w:space="0" w:color="CCCCCC"/>
              <w:bottom w:val="single" w:sz="6" w:space="0" w:color="CCCCCC"/>
              <w:right w:val="single" w:sz="6" w:space="0" w:color="CCCCCC"/>
            </w:tcBorders>
          </w:tcPr>
          <w:p w:rsidR="00CA665C" w:rsidRPr="00E169C4"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color w:val="1F1F1F"/>
              </w:rPr>
            </w:pPr>
            <w:r>
              <w:rPr>
                <w:rFonts w:ascii="Times New Roman" w:eastAsia="Google Sans Text" w:hAnsi="Times New Roman" w:cs="Times New Roman"/>
                <w:color w:val="1F1F1F"/>
              </w:rPr>
              <w:t>4.49*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4.16*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17.61***</w:t>
            </w:r>
          </w:p>
        </w:tc>
      </w:tr>
      <w:tr w:rsidR="00CA665C" w:rsidRPr="00E169C4" w:rsidTr="00CA665C">
        <w:trPr>
          <w:trHeight w:val="315"/>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lastRenderedPageBreak/>
              <w:t>Interaction</w:t>
            </w:r>
          </w:p>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(Treat*Gen)(F)</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1.43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1.13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1.14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0.81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0.46</w:t>
            </w:r>
          </w:p>
        </w:tc>
        <w:tc>
          <w:tcPr>
            <w:tcW w:w="0" w:type="auto"/>
            <w:tcBorders>
              <w:top w:val="single" w:sz="6" w:space="0" w:color="CCCCCC"/>
              <w:left w:val="single" w:sz="6" w:space="0" w:color="CCCCCC"/>
              <w:bottom w:val="single" w:sz="6" w:space="0" w:color="CCCCCC"/>
              <w:right w:val="single" w:sz="6" w:space="0" w:color="CCCCCC"/>
            </w:tcBorders>
          </w:tcPr>
          <w:p w:rsidR="00CA665C" w:rsidRPr="00E169C4"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0.414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0.44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1.2</w:t>
            </w:r>
          </w:p>
        </w:tc>
      </w:tr>
      <w:tr w:rsidR="00CA665C" w:rsidRPr="00E169C4" w:rsidTr="00CA665C">
        <w:trPr>
          <w:trHeight w:val="315"/>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jc w:val="center"/>
              <w:rPr>
                <w:rFonts w:ascii="Times New Roman" w:hAnsi="Times New Roman" w:cs="Times New Roman"/>
              </w:rPr>
            </w:pPr>
            <w:r w:rsidRPr="00E169C4">
              <w:rPr>
                <w:rFonts w:ascii="Times New Roman" w:hAnsi="Times New Roman" w:cs="Times New Roman"/>
                <w:color w:val="000000"/>
              </w:rPr>
              <w:t>Effect Size (Treatments</w:t>
            </w:r>
            <w:r w:rsidRPr="00E169C4">
              <w:rPr>
                <w:rFonts w:ascii="Times New Roman" w:eastAsia="Google Sans Text" w:hAnsi="Times New Roman" w:cs="Times New Roman"/>
                <w:bCs/>
                <w:noProof/>
                <w:color w:val="1F1F1F"/>
              </w:rPr>
              <w:t xml:space="preserve"> (</w:t>
            </w:r>
            <w:r w:rsidRPr="00E169C4">
              <w:rPr>
                <w:rFonts w:ascii="Times New Roman" w:eastAsia="Google Sans Text" w:hAnsi="Times New Roman" w:cs="Times New Roman"/>
                <w:bCs/>
                <w:noProof/>
                <w:color w:val="1F1F1F"/>
              </w:rPr>
              <w:drawing>
                <wp:inline distT="19050" distB="19050" distL="19050" distR="19050" wp14:anchorId="7A6CEEC4" wp14:editId="4010C6A5">
                  <wp:extent cx="150452" cy="21240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bCs/>
                <w:noProof/>
                <w:color w:val="1F1F1F"/>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0.46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0.398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0.417</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0.493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0.314</w:t>
            </w:r>
          </w:p>
        </w:tc>
        <w:tc>
          <w:tcPr>
            <w:tcW w:w="0" w:type="auto"/>
            <w:tcBorders>
              <w:top w:val="single" w:sz="6" w:space="0" w:color="CCCCCC"/>
              <w:left w:val="single" w:sz="6" w:space="0" w:color="CCCCCC"/>
              <w:bottom w:val="single" w:sz="6" w:space="0" w:color="CCCCCC"/>
              <w:right w:val="single" w:sz="6" w:space="0" w:color="CCCCCC"/>
            </w:tcBorders>
          </w:tcPr>
          <w:p w:rsidR="00CA665C" w:rsidRPr="00E169C4" w:rsidRDefault="00CA665C" w:rsidP="00CA665C">
            <w:pPr>
              <w:pBdr>
                <w:top w:val="nil"/>
                <w:left w:val="nil"/>
                <w:bottom w:val="nil"/>
                <w:right w:val="nil"/>
                <w:between w:val="nil"/>
              </w:pBdr>
              <w:spacing w:before="120" w:after="120" w:line="275" w:lineRule="auto"/>
              <w:rPr>
                <w:rFonts w:ascii="Times New Roman" w:eastAsia="Google Sans Text" w:hAnsi="Times New Roman" w:cs="Times New Roman"/>
                <w:bCs/>
                <w:color w:val="1F1F1F"/>
              </w:rPr>
            </w:pPr>
            <w:r>
              <w:rPr>
                <w:rFonts w:ascii="Times New Roman" w:eastAsia="Google Sans Text" w:hAnsi="Times New Roman" w:cs="Times New Roman"/>
                <w:bCs/>
                <w:color w:val="1F1F1F"/>
              </w:rPr>
              <w:t>0.385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0.366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0.364</w:t>
            </w:r>
          </w:p>
        </w:tc>
      </w:tr>
      <w:tr w:rsidR="00CA665C" w:rsidRPr="00E169C4" w:rsidTr="00CA665C">
        <w:trPr>
          <w:trHeight w:val="315"/>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Effect Size</w:t>
            </w:r>
            <w:r w:rsidRPr="00E169C4">
              <w:rPr>
                <w:rFonts w:eastAsia="Google Sans Text"/>
                <w:bCs/>
                <w:noProof/>
                <w:color w:val="1F1F1F"/>
                <w:sz w:val="22"/>
                <w:szCs w:val="22"/>
              </w:rPr>
              <w:t xml:space="preserve"> (Genotype (</w:t>
            </w:r>
            <w:r w:rsidRPr="00E169C4">
              <w:rPr>
                <w:rFonts w:eastAsia="Google Sans Text"/>
                <w:bCs/>
                <w:noProof/>
                <w:color w:val="1F1F1F"/>
                <w:sz w:val="22"/>
                <w:szCs w:val="22"/>
              </w:rPr>
              <w:drawing>
                <wp:inline distT="19050" distB="19050" distL="19050" distR="19050" wp14:anchorId="5EA18214" wp14:editId="750826CF">
                  <wp:extent cx="150452" cy="21240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eastAsia="Google Sans Text"/>
                <w:bCs/>
                <w:noProof/>
                <w:color w:val="1F1F1F"/>
                <w:sz w:val="22"/>
                <w:szCs w:val="22"/>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0.006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0.204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0.188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0.009</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0.083</w:t>
            </w:r>
          </w:p>
        </w:tc>
        <w:tc>
          <w:tcPr>
            <w:tcW w:w="0" w:type="auto"/>
            <w:tcBorders>
              <w:top w:val="single" w:sz="6" w:space="0" w:color="CCCCCC"/>
              <w:left w:val="single" w:sz="6" w:space="0" w:color="CCCCCC"/>
              <w:bottom w:val="single" w:sz="6" w:space="0" w:color="CCCCCC"/>
              <w:right w:val="single" w:sz="6" w:space="0" w:color="CCCCCC"/>
            </w:tcBorders>
          </w:tcPr>
          <w:p w:rsidR="00CA665C" w:rsidRPr="00E169C4"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0.073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0.068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0.236</w:t>
            </w:r>
          </w:p>
        </w:tc>
      </w:tr>
      <w:tr w:rsidR="00CA665C" w:rsidRPr="00E169C4" w:rsidTr="00CA665C">
        <w:trPr>
          <w:trHeight w:val="315"/>
        </w:trPr>
        <w:tc>
          <w:tcPr>
            <w:tcW w:w="24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rPr>
                <w:rFonts w:ascii="Times New Roman" w:hAnsi="Times New Roman" w:cs="Times New Roman"/>
              </w:rPr>
            </w:pPr>
            <w:r w:rsidRPr="00E169C4">
              <w:rPr>
                <w:rFonts w:ascii="Times New Roman" w:hAnsi="Times New Roman" w:cs="Times New Roman"/>
                <w:color w:val="000000"/>
              </w:rPr>
              <w:t>Effect Size</w:t>
            </w:r>
            <w:r w:rsidRPr="00E169C4">
              <w:rPr>
                <w:rFonts w:ascii="Times New Roman" w:eastAsia="Google Sans Text" w:hAnsi="Times New Roman" w:cs="Times New Roman"/>
                <w:bCs/>
                <w:noProof/>
                <w:color w:val="1F1F1F"/>
              </w:rPr>
              <w:t xml:space="preserve"> (Interactions) (</w:t>
            </w:r>
            <w:r w:rsidRPr="00E169C4">
              <w:rPr>
                <w:rFonts w:ascii="Times New Roman" w:eastAsia="Google Sans Text" w:hAnsi="Times New Roman" w:cs="Times New Roman"/>
                <w:bCs/>
                <w:noProof/>
                <w:color w:val="1F1F1F"/>
              </w:rPr>
              <w:drawing>
                <wp:inline distT="19050" distB="19050" distL="19050" distR="19050" wp14:anchorId="54C5C277" wp14:editId="41C24565">
                  <wp:extent cx="150452" cy="21240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bCs/>
                <w:noProof/>
                <w:color w:val="1F1F1F"/>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0.184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0.151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0.153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0.114</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0.067</w:t>
            </w:r>
          </w:p>
        </w:tc>
        <w:tc>
          <w:tcPr>
            <w:tcW w:w="0" w:type="auto"/>
            <w:tcBorders>
              <w:top w:val="single" w:sz="6" w:space="0" w:color="CCCCCC"/>
              <w:left w:val="single" w:sz="6" w:space="0" w:color="CCCCCC"/>
              <w:bottom w:val="single" w:sz="6" w:space="0" w:color="CCCCCC"/>
              <w:right w:val="single" w:sz="6" w:space="0" w:color="CCCCCC"/>
            </w:tcBorders>
          </w:tcPr>
          <w:p w:rsidR="00CA665C" w:rsidRPr="00E169C4" w:rsidRDefault="00CA665C" w:rsidP="00CA665C">
            <w:pPr>
              <w:pBdr>
                <w:top w:val="nil"/>
                <w:left w:val="nil"/>
                <w:bottom w:val="nil"/>
                <w:right w:val="nil"/>
                <w:between w:val="nil"/>
              </w:pBdr>
              <w:spacing w:before="120" w:after="120" w:line="275" w:lineRule="auto"/>
              <w:jc w:val="center"/>
              <w:rPr>
                <w:rFonts w:ascii="Times New Roman" w:eastAsia="Google Sans Text" w:hAnsi="Times New Roman" w:cs="Times New Roman"/>
                <w:bCs/>
                <w:color w:val="1F1F1F"/>
              </w:rPr>
            </w:pPr>
            <w:r>
              <w:rPr>
                <w:rFonts w:ascii="Times New Roman" w:eastAsia="Google Sans Text" w:hAnsi="Times New Roman" w:cs="Times New Roman"/>
                <w:bCs/>
                <w:color w:val="1F1F1F"/>
              </w:rPr>
              <w:t>0.142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0.065</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rsidR="00CA665C" w:rsidRPr="00E169C4" w:rsidRDefault="00CA665C" w:rsidP="00CA665C">
            <w:pPr>
              <w:pStyle w:val="NormalWeb"/>
              <w:spacing w:before="0" w:beforeAutospacing="0" w:after="0" w:afterAutospacing="0"/>
              <w:jc w:val="center"/>
              <w:rPr>
                <w:sz w:val="22"/>
                <w:szCs w:val="22"/>
              </w:rPr>
            </w:pPr>
            <w:r w:rsidRPr="00E169C4">
              <w:rPr>
                <w:color w:val="000000"/>
                <w:sz w:val="22"/>
                <w:szCs w:val="22"/>
              </w:rPr>
              <w:t>0.159</w:t>
            </w:r>
          </w:p>
        </w:tc>
      </w:tr>
    </w:tbl>
    <w:p w:rsidR="005F3672" w:rsidRPr="00E169C4" w:rsidRDefault="005F3672" w:rsidP="005F3672">
      <w:pPr>
        <w:widowControl/>
        <w:spacing w:after="240"/>
        <w:jc w:val="both"/>
        <w:rPr>
          <w:rFonts w:ascii="Times New Roman" w:eastAsia="Times New Roman" w:hAnsi="Times New Roman" w:cs="Times New Roman"/>
        </w:rPr>
      </w:pPr>
      <w:r w:rsidRPr="00E169C4">
        <w:rPr>
          <w:rFonts w:ascii="Times New Roman" w:eastAsia="Times New Roman" w:hAnsi="Times New Roman" w:cs="Times New Roman"/>
          <w:color w:val="1F1F1F"/>
        </w:rPr>
        <w:t>*** p &lt; 0.001 (Highly Significant), ** p &lt; 0.01 (Significant), p &lt; 0.05 (Moderately Significant)</w:t>
      </w:r>
    </w:p>
    <w:p w:rsidR="009250FC" w:rsidRPr="00E169C4" w:rsidRDefault="009250FC" w:rsidP="0094685B">
      <w:pPr>
        <w:pBdr>
          <w:top w:val="nil"/>
          <w:left w:val="nil"/>
          <w:bottom w:val="nil"/>
          <w:right w:val="nil"/>
          <w:between w:val="nil"/>
        </w:pBdr>
        <w:spacing w:before="480" w:after="240" w:line="275" w:lineRule="auto"/>
        <w:jc w:val="both"/>
        <w:rPr>
          <w:rFonts w:ascii="Times New Roman" w:eastAsia="Google Sans Text" w:hAnsi="Times New Roman" w:cs="Times New Roman"/>
          <w:color w:val="444746"/>
          <w:vertAlign w:val="superscript"/>
        </w:rPr>
      </w:pPr>
      <w:r w:rsidRPr="00E169C4">
        <w:rPr>
          <w:rFonts w:ascii="Times New Roman" w:eastAsia="Google Sans Text" w:hAnsi="Times New Roman" w:cs="Times New Roman"/>
          <w:color w:val="1F1F1F"/>
        </w:rPr>
        <w:t>Treatment</w:t>
      </w:r>
      <w:r>
        <w:rPr>
          <w:rFonts w:ascii="Times New Roman" w:eastAsia="Google Sans Text" w:hAnsi="Times New Roman" w:cs="Times New Roman"/>
          <w:color w:val="1F1F1F"/>
        </w:rPr>
        <w:t xml:space="preserve"> effects were highly significant</w:t>
      </w:r>
      <w:r w:rsidRPr="00E169C4">
        <w:rPr>
          <w:rFonts w:ascii="Times New Roman" w:eastAsia="Google Sans Text" w:hAnsi="Times New Roman" w:cs="Times New Roman"/>
          <w:color w:val="1F1F1F"/>
        </w:rPr>
        <w:t xml:space="preserve"> for root dry weight (</w:t>
      </w:r>
      <w:r w:rsidRPr="00E169C4">
        <w:rPr>
          <w:rStyle w:val="mord"/>
          <w:rFonts w:ascii="Times New Roman" w:hAnsi="Times New Roman" w:cs="Times New Roman"/>
          <w:iCs/>
          <w:color w:val="0F1115"/>
          <w:shd w:val="clear" w:color="auto" w:fill="FFFFFF"/>
        </w:rPr>
        <w:t>η</w:t>
      </w:r>
      <w:r w:rsidRPr="00E169C4">
        <w:rPr>
          <w:rStyle w:val="mord"/>
          <w:rFonts w:ascii="Times New Roman" w:hAnsi="Times New Roman" w:cs="Times New Roman"/>
          <w:color w:val="0F1115"/>
          <w:shd w:val="clear" w:color="auto" w:fill="FFFFFF"/>
          <w:vertAlign w:val="superscript"/>
        </w:rPr>
        <w:t>2</w:t>
      </w:r>
      <w:r w:rsidRPr="00E169C4">
        <w:rPr>
          <w:rStyle w:val="mord"/>
          <w:rFonts w:ascii="Times New Roman" w:hAnsi="Times New Roman" w:cs="Times New Roman"/>
          <w:iCs/>
          <w:color w:val="0F1115"/>
          <w:shd w:val="clear" w:color="auto" w:fill="FFFFFF"/>
        </w:rPr>
        <w:t>p=0.493</w:t>
      </w:r>
      <w:r w:rsidRPr="00E169C4">
        <w:rPr>
          <w:rFonts w:ascii="Times New Roman" w:eastAsia="Google Sans Text" w:hAnsi="Times New Roman" w:cs="Times New Roman"/>
          <w:color w:val="1F1F1F"/>
        </w:rPr>
        <w:t xml:space="preserve">) and total biomass (0.366) (Table </w:t>
      </w:r>
      <w:r w:rsidR="005A7ABD">
        <w:rPr>
          <w:rFonts w:ascii="Times New Roman" w:eastAsia="Google Sans Text" w:hAnsi="Times New Roman" w:cs="Times New Roman"/>
          <w:color w:val="1F1F1F"/>
        </w:rPr>
        <w:t>2</w:t>
      </w:r>
      <w:r w:rsidRPr="00E169C4">
        <w:rPr>
          <w:rFonts w:ascii="Times New Roman" w:eastAsia="Google Sans Text" w:hAnsi="Times New Roman" w:cs="Times New Roman"/>
          <w:color w:val="1F1F1F"/>
        </w:rPr>
        <w:t>).</w:t>
      </w:r>
    </w:p>
    <w:p w:rsidR="00AB5936" w:rsidRDefault="00CD7774"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Pr>
          <w:rFonts w:ascii="Times New Roman" w:eastAsia="Google Sans Text" w:hAnsi="Times New Roman" w:cs="Times New Roman"/>
          <w:color w:val="1F1F1F"/>
        </w:rPr>
        <w:t>ZM 1856</w:t>
      </w:r>
      <w:r w:rsidR="0082765A" w:rsidRPr="00E169C4">
        <w:rPr>
          <w:rFonts w:ascii="Times New Roman" w:eastAsia="Google Sans Text" w:hAnsi="Times New Roman" w:cs="Times New Roman"/>
          <w:color w:val="1F1F1F"/>
        </w:rPr>
        <w:t xml:space="preserve"> achieved peak </w:t>
      </w:r>
      <w:r w:rsidR="00B9660B" w:rsidRPr="00E169C4">
        <w:rPr>
          <w:rFonts w:ascii="Times New Roman" w:eastAsia="Google Sans Text" w:hAnsi="Times New Roman" w:cs="Times New Roman"/>
          <w:color w:val="1F1F1F"/>
        </w:rPr>
        <w:t xml:space="preserve">dry matter </w:t>
      </w:r>
      <w:r w:rsidR="0082765A" w:rsidRPr="00E169C4">
        <w:rPr>
          <w:rFonts w:ascii="Times New Roman" w:eastAsia="Google Sans Text" w:hAnsi="Times New Roman" w:cs="Times New Roman"/>
          <w:color w:val="1F1F1F"/>
        </w:rPr>
        <w:t>productivity (6.47 g</w:t>
      </w:r>
      <w:r w:rsidR="00B9660B" w:rsidRPr="00E169C4">
        <w:rPr>
          <w:rFonts w:ascii="Times New Roman" w:eastAsia="Google Sans Text" w:hAnsi="Times New Roman" w:cs="Times New Roman"/>
          <w:color w:val="1F1F1F"/>
        </w:rPr>
        <w:t>/plot</w:t>
      </w:r>
      <w:r w:rsidR="0082765A" w:rsidRPr="00E169C4">
        <w:rPr>
          <w:rFonts w:ascii="Times New Roman" w:eastAsia="Google Sans Text" w:hAnsi="Times New Roman" w:cs="Times New Roman"/>
          <w:color w:val="1F1F1F"/>
        </w:rPr>
        <w:t xml:space="preserve">) under 20% </w:t>
      </w:r>
      <w:r w:rsidR="003443B2">
        <w:rPr>
          <w:rFonts w:ascii="Times New Roman" w:eastAsia="Google Sans Text" w:hAnsi="Times New Roman" w:cs="Times New Roman"/>
          <w:color w:val="1F1F1F"/>
        </w:rPr>
        <w:t>ginger</w:t>
      </w:r>
      <w:r w:rsidR="0082765A" w:rsidRPr="00E169C4">
        <w:rPr>
          <w:rFonts w:ascii="Times New Roman" w:eastAsia="Google Sans Text" w:hAnsi="Times New Roman" w:cs="Times New Roman"/>
          <w:color w:val="1F1F1F"/>
        </w:rPr>
        <w:t xml:space="preserve">, while Neem 3% yielded the lowest wilting score in </w:t>
      </w:r>
      <w:r>
        <w:rPr>
          <w:rFonts w:ascii="Times New Roman" w:eastAsia="Google Sans Text" w:hAnsi="Times New Roman" w:cs="Times New Roman"/>
          <w:color w:val="1F1F1F"/>
        </w:rPr>
        <w:t>ZM 1856</w:t>
      </w:r>
      <w:r w:rsidR="00EF4BD8">
        <w:rPr>
          <w:rFonts w:ascii="Times New Roman" w:eastAsia="Google Sans Text" w:hAnsi="Times New Roman" w:cs="Times New Roman"/>
          <w:color w:val="1F1F1F"/>
        </w:rPr>
        <w:t xml:space="preserve"> (1.00 b) (T</w:t>
      </w:r>
    </w:p>
    <w:p w:rsidR="002D2A13" w:rsidRDefault="003130DD"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Pr>
          <w:noProof/>
        </w:rPr>
        <w:drawing>
          <wp:inline distT="0" distB="0" distL="0" distR="0" wp14:anchorId="4AD9A39D" wp14:editId="27CA0429">
            <wp:extent cx="4819650" cy="418147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2A13" w:rsidRPr="00E169C4" w:rsidRDefault="005E7309"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846AF2">
        <w:rPr>
          <w:rFonts w:ascii="Times New Roman" w:eastAsia="Google Sans Text" w:hAnsi="Times New Roman" w:cs="Times New Roman"/>
          <w:b/>
          <w:color w:val="1F1F1F"/>
        </w:rPr>
        <w:t>Figure 3</w:t>
      </w:r>
      <w:r>
        <w:rPr>
          <w:rFonts w:ascii="Times New Roman" w:eastAsia="Google Sans Text" w:hAnsi="Times New Roman" w:cs="Times New Roman"/>
          <w:color w:val="1F1F1F"/>
        </w:rPr>
        <w:t>: Effects of botanical priming of bambara groundnuts genotypes (ZM 2656 and ZM 1856) on water status under water stress as measured by % moisture content against control treatments and wilting scores</w:t>
      </w:r>
    </w:p>
    <w:p w:rsidR="003F4E03" w:rsidRDefault="003F4E03" w:rsidP="003F4E03">
      <w:pPr>
        <w:pStyle w:val="NormalWeb"/>
        <w:jc w:val="both"/>
        <w:rPr>
          <w:sz w:val="22"/>
          <w:szCs w:val="22"/>
        </w:rPr>
      </w:pPr>
      <w:r w:rsidRPr="00E169C4">
        <w:rPr>
          <w:sz w:val="22"/>
          <w:szCs w:val="22"/>
        </w:rPr>
        <w:t>Wilting scores, which indicate the level of plant stress, were highest in the untreated controls for both genotypes (</w:t>
      </w:r>
      <w:r w:rsidR="00CD7774">
        <w:rPr>
          <w:sz w:val="22"/>
          <w:szCs w:val="22"/>
        </w:rPr>
        <w:t>ZM 1856</w:t>
      </w:r>
      <w:r w:rsidRPr="00E169C4">
        <w:rPr>
          <w:sz w:val="22"/>
          <w:szCs w:val="22"/>
        </w:rPr>
        <w:t>:</w:t>
      </w:r>
      <w:r w:rsidR="00CD7774">
        <w:rPr>
          <w:sz w:val="22"/>
          <w:szCs w:val="22"/>
        </w:rPr>
        <w:t>ZM 2656</w:t>
      </w:r>
      <w:r w:rsidRPr="00E169C4">
        <w:rPr>
          <w:sz w:val="22"/>
          <w:szCs w:val="22"/>
        </w:rPr>
        <w:t xml:space="preserve">. The application of botanicals effectively reduced these scores. In </w:t>
      </w:r>
      <w:r w:rsidR="00CD7774">
        <w:rPr>
          <w:bCs/>
          <w:sz w:val="22"/>
          <w:szCs w:val="22"/>
        </w:rPr>
        <w:t>ZM 1856</w:t>
      </w:r>
      <w:r w:rsidRPr="00E169C4">
        <w:rPr>
          <w:sz w:val="22"/>
          <w:szCs w:val="22"/>
        </w:rPr>
        <w:t xml:space="preserve">, the most substantial reduction in wilting was observed with </w:t>
      </w:r>
      <w:r w:rsidRPr="00E169C4">
        <w:rPr>
          <w:bCs/>
          <w:sz w:val="22"/>
          <w:szCs w:val="22"/>
        </w:rPr>
        <w:t>Neem 3%</w:t>
      </w:r>
      <w:r w:rsidRPr="00E169C4">
        <w:rPr>
          <w:sz w:val="22"/>
          <w:szCs w:val="22"/>
        </w:rPr>
        <w:t xml:space="preserve"> (</w:t>
      </w:r>
      <w:r w:rsidRPr="00E169C4">
        <w:rPr>
          <w:rStyle w:val="math-inline"/>
          <w:sz w:val="22"/>
          <w:szCs w:val="22"/>
        </w:rPr>
        <w:t>1.0</w:t>
      </w:r>
      <w:r w:rsidRPr="00E169C4">
        <w:rPr>
          <w:sz w:val="22"/>
          <w:szCs w:val="22"/>
        </w:rPr>
        <w:t xml:space="preserve">), which was significantly lower </w:t>
      </w:r>
      <w:r w:rsidRPr="00E169C4">
        <w:rPr>
          <w:sz w:val="22"/>
          <w:szCs w:val="22"/>
        </w:rPr>
        <w:lastRenderedPageBreak/>
        <w:t xml:space="preserve">than the control. In </w:t>
      </w:r>
      <w:r w:rsidR="00CD7774">
        <w:rPr>
          <w:bCs/>
          <w:sz w:val="22"/>
          <w:szCs w:val="22"/>
        </w:rPr>
        <w:t>ZM 2656</w:t>
      </w:r>
      <w:r w:rsidRPr="00E169C4">
        <w:rPr>
          <w:sz w:val="22"/>
          <w:szCs w:val="22"/>
        </w:rPr>
        <w:t xml:space="preserve">, while all treatments reduced wilting, the most effective were </w:t>
      </w:r>
      <w:r w:rsidR="003443B2">
        <w:rPr>
          <w:bCs/>
          <w:sz w:val="22"/>
          <w:szCs w:val="22"/>
        </w:rPr>
        <w:t>Ginger</w:t>
      </w:r>
      <w:r w:rsidRPr="00E169C4">
        <w:rPr>
          <w:bCs/>
          <w:sz w:val="22"/>
          <w:szCs w:val="22"/>
        </w:rPr>
        <w:t xml:space="preserve"> 10%</w:t>
      </w:r>
      <w:r w:rsidRPr="00E169C4">
        <w:rPr>
          <w:sz w:val="22"/>
          <w:szCs w:val="22"/>
        </w:rPr>
        <w:t xml:space="preserve"> and </w:t>
      </w:r>
      <w:r w:rsidR="003443B2">
        <w:rPr>
          <w:bCs/>
          <w:sz w:val="22"/>
          <w:szCs w:val="22"/>
        </w:rPr>
        <w:t>Ginger</w:t>
      </w:r>
      <w:r w:rsidRPr="00E169C4">
        <w:rPr>
          <w:bCs/>
          <w:sz w:val="22"/>
          <w:szCs w:val="22"/>
        </w:rPr>
        <w:t xml:space="preserve"> 20%</w:t>
      </w:r>
      <w:r w:rsidRPr="00E169C4">
        <w:rPr>
          <w:sz w:val="22"/>
          <w:szCs w:val="22"/>
        </w:rPr>
        <w:t xml:space="preserve">, alongside </w:t>
      </w:r>
      <w:r w:rsidRPr="00E169C4">
        <w:rPr>
          <w:bCs/>
          <w:sz w:val="22"/>
          <w:szCs w:val="22"/>
        </w:rPr>
        <w:t>Neem 4%</w:t>
      </w:r>
      <w:r w:rsidRPr="00E169C4">
        <w:rPr>
          <w:sz w:val="22"/>
          <w:szCs w:val="22"/>
        </w:rPr>
        <w:t xml:space="preserve">, all showing scores </w:t>
      </w:r>
      <w:r w:rsidRPr="00E169C4">
        <w:rPr>
          <w:rStyle w:val="math-inline"/>
          <w:sz w:val="22"/>
          <w:szCs w:val="22"/>
        </w:rPr>
        <w:t>2.75</w:t>
      </w:r>
      <w:r w:rsidRPr="00E169C4">
        <w:rPr>
          <w:sz w:val="22"/>
          <w:szCs w:val="22"/>
        </w:rPr>
        <w:t xml:space="preserve"> compared to the control's </w:t>
      </w:r>
      <w:r w:rsidRPr="00E169C4">
        <w:rPr>
          <w:rStyle w:val="math-inline"/>
          <w:sz w:val="22"/>
          <w:szCs w:val="22"/>
        </w:rPr>
        <w:t>4.5</w:t>
      </w:r>
      <w:r w:rsidRPr="00E169C4">
        <w:rPr>
          <w:sz w:val="22"/>
          <w:szCs w:val="22"/>
        </w:rPr>
        <w:t>.</w:t>
      </w:r>
    </w:p>
    <w:p w:rsidR="00452A32" w:rsidRPr="00452A32" w:rsidRDefault="00452A32" w:rsidP="00452A32">
      <w:pPr>
        <w:widowControl/>
        <w:spacing w:before="100" w:beforeAutospacing="1" w:after="100" w:afterAutospacing="1"/>
        <w:rPr>
          <w:rFonts w:ascii="Times New Roman" w:eastAsia="Times New Roman" w:hAnsi="Times New Roman" w:cs="Times New Roman"/>
          <w:sz w:val="24"/>
          <w:szCs w:val="24"/>
        </w:rPr>
      </w:pPr>
      <w:r w:rsidRPr="00452A32">
        <w:rPr>
          <w:rFonts w:ascii="Times New Roman" w:eastAsia="Times New Roman" w:hAnsi="Times New Roman" w:cs="Times New Roman"/>
          <w:noProof/>
          <w:sz w:val="24"/>
          <w:szCs w:val="24"/>
        </w:rPr>
        <w:drawing>
          <wp:inline distT="0" distB="0" distL="0" distR="0">
            <wp:extent cx="6704965" cy="3352483"/>
            <wp:effectExtent l="0" t="0" r="635" b="635"/>
            <wp:docPr id="21" name="Picture 21" descr="C:\Users\New User\Downloads\Code_Generated_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 User\Downloads\Code_Generated_Image (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6875" cy="3353438"/>
                    </a:xfrm>
                    <a:prstGeom prst="rect">
                      <a:avLst/>
                    </a:prstGeom>
                    <a:noFill/>
                    <a:ln>
                      <a:noFill/>
                    </a:ln>
                  </pic:spPr>
                </pic:pic>
              </a:graphicData>
            </a:graphic>
          </wp:inline>
        </w:drawing>
      </w:r>
    </w:p>
    <w:p w:rsidR="00EF4BD8" w:rsidRPr="00EF4BD8" w:rsidRDefault="00EF4BD8" w:rsidP="00EF4BD8">
      <w:pPr>
        <w:rPr>
          <w:rFonts w:ascii="Times New Roman" w:eastAsia="Times New Roman" w:hAnsi="Times New Roman" w:cs="Times New Roman"/>
          <w:sz w:val="24"/>
          <w:szCs w:val="24"/>
        </w:rPr>
      </w:pPr>
      <w:r w:rsidRPr="00846AF2">
        <w:rPr>
          <w:b/>
        </w:rPr>
        <w:t>Figure 4</w:t>
      </w:r>
      <w:r>
        <w:t xml:space="preserve">: </w:t>
      </w:r>
      <w:r w:rsidRPr="00EF4BD8">
        <w:rPr>
          <w:rFonts w:ascii="Times New Roman" w:eastAsia="Times New Roman" w:hAnsi="Times New Roman" w:cs="Times New Roman"/>
          <w:sz w:val="24"/>
          <w:szCs w:val="24"/>
        </w:rPr>
        <w:t>Biomass allocation in two Bambara groundnut genotypes (ZM 1856 and ZM 2656) foll</w:t>
      </w:r>
      <w:r w:rsidR="005E7309">
        <w:rPr>
          <w:rFonts w:ascii="Times New Roman" w:eastAsia="Times New Roman" w:hAnsi="Times New Roman" w:cs="Times New Roman"/>
          <w:sz w:val="24"/>
          <w:szCs w:val="24"/>
        </w:rPr>
        <w:t xml:space="preserve">owing seed priming with Ginger </w:t>
      </w:r>
      <w:r w:rsidRPr="00EF4BD8">
        <w:rPr>
          <w:rFonts w:ascii="Times New Roman" w:eastAsia="Times New Roman" w:hAnsi="Times New Roman" w:cs="Times New Roman"/>
          <w:sz w:val="24"/>
          <w:szCs w:val="24"/>
        </w:rPr>
        <w:t>G) and Neem (N) botanical extracts. Stacked bars represent total dry matter (g), partitioned into Root Dry Weight (brown) and Shoot Dry Weight (green). G0 and N0 serve as the non-primed control groups.</w:t>
      </w:r>
    </w:p>
    <w:p w:rsidR="00452A32" w:rsidRPr="00E169C4" w:rsidRDefault="00452A32" w:rsidP="003F4E03">
      <w:pPr>
        <w:pStyle w:val="NormalWeb"/>
        <w:jc w:val="both"/>
        <w:rPr>
          <w:sz w:val="22"/>
          <w:szCs w:val="22"/>
        </w:rPr>
      </w:pPr>
    </w:p>
    <w:p w:rsidR="003F4E03" w:rsidRPr="00DC2C5C" w:rsidRDefault="003F4E03" w:rsidP="003F4E03">
      <w:pPr>
        <w:pStyle w:val="Heading4"/>
        <w:rPr>
          <w:rFonts w:ascii="Times New Roman" w:hAnsi="Times New Roman" w:cs="Times New Roman"/>
          <w:sz w:val="22"/>
          <w:szCs w:val="22"/>
        </w:rPr>
      </w:pPr>
      <w:r w:rsidRPr="00DC2C5C">
        <w:rPr>
          <w:rFonts w:ascii="Times New Roman" w:hAnsi="Times New Roman" w:cs="Times New Roman"/>
          <w:sz w:val="22"/>
          <w:szCs w:val="22"/>
        </w:rPr>
        <w:t>3. Leaf Efficiency</w:t>
      </w:r>
    </w:p>
    <w:p w:rsidR="004B17D0" w:rsidRDefault="003F4E03" w:rsidP="00E169C4">
      <w:pPr>
        <w:pStyle w:val="NormalWeb"/>
        <w:jc w:val="both"/>
        <w:rPr>
          <w:sz w:val="22"/>
          <w:szCs w:val="22"/>
        </w:rPr>
      </w:pPr>
      <w:r w:rsidRPr="00E169C4">
        <w:rPr>
          <w:sz w:val="22"/>
          <w:szCs w:val="22"/>
        </w:rPr>
        <w:t xml:space="preserve">Leaf efficiency, calculated as total </w:t>
      </w:r>
      <w:r w:rsidR="00E169C4" w:rsidRPr="00E169C4">
        <w:rPr>
          <w:sz w:val="22"/>
          <w:szCs w:val="22"/>
        </w:rPr>
        <w:t>dry matter</w:t>
      </w:r>
      <w:r w:rsidRPr="00E169C4">
        <w:rPr>
          <w:sz w:val="22"/>
          <w:szCs w:val="22"/>
        </w:rPr>
        <w:t xml:space="preserve">/total number of leaves varied across treatments and genotypes. For </w:t>
      </w:r>
      <w:r w:rsidR="00CD7774">
        <w:rPr>
          <w:bCs/>
          <w:sz w:val="22"/>
          <w:szCs w:val="22"/>
        </w:rPr>
        <w:t>ZM 1856</w:t>
      </w:r>
      <w:r w:rsidRPr="00E169C4">
        <w:rPr>
          <w:sz w:val="22"/>
          <w:szCs w:val="22"/>
        </w:rPr>
        <w:t xml:space="preserve">, the highest efficiency was observed in the </w:t>
      </w:r>
      <w:r w:rsidR="003443B2">
        <w:rPr>
          <w:bCs/>
          <w:sz w:val="22"/>
          <w:szCs w:val="22"/>
        </w:rPr>
        <w:t>Ginger</w:t>
      </w:r>
      <w:r w:rsidRPr="00E169C4">
        <w:rPr>
          <w:bCs/>
          <w:sz w:val="22"/>
          <w:szCs w:val="22"/>
        </w:rPr>
        <w:t xml:space="preserve"> 20%</w:t>
      </w:r>
      <w:r w:rsidRPr="00E169C4">
        <w:rPr>
          <w:sz w:val="22"/>
          <w:szCs w:val="22"/>
        </w:rPr>
        <w:t xml:space="preserve"> group (</w:t>
      </w:r>
      <w:r w:rsidRPr="00E169C4">
        <w:rPr>
          <w:rStyle w:val="math-inline"/>
          <w:sz w:val="22"/>
          <w:szCs w:val="22"/>
        </w:rPr>
        <w:t>0.462g/leaf</w:t>
      </w:r>
      <w:r w:rsidRPr="00E169C4">
        <w:rPr>
          <w:sz w:val="22"/>
          <w:szCs w:val="22"/>
        </w:rPr>
        <w:t xml:space="preserve">). Interestingly, for </w:t>
      </w:r>
      <w:r w:rsidR="00CD7774">
        <w:rPr>
          <w:bCs/>
          <w:sz w:val="22"/>
          <w:szCs w:val="22"/>
        </w:rPr>
        <w:t>ZM 2656</w:t>
      </w:r>
      <w:r w:rsidRPr="00E169C4">
        <w:rPr>
          <w:sz w:val="22"/>
          <w:szCs w:val="22"/>
        </w:rPr>
        <w:t xml:space="preserve">, the highest leaf efficiency was recorded in the </w:t>
      </w:r>
      <w:r w:rsidRPr="00E169C4">
        <w:rPr>
          <w:bCs/>
          <w:sz w:val="22"/>
          <w:szCs w:val="22"/>
        </w:rPr>
        <w:t>Neem 3%</w:t>
      </w:r>
      <w:r w:rsidRPr="00E169C4">
        <w:rPr>
          <w:sz w:val="22"/>
          <w:szCs w:val="22"/>
        </w:rPr>
        <w:t xml:space="preserve"> treatment (</w:t>
      </w:r>
      <w:r w:rsidRPr="00E169C4">
        <w:rPr>
          <w:rStyle w:val="math-inline"/>
          <w:sz w:val="22"/>
          <w:szCs w:val="22"/>
        </w:rPr>
        <w:t>0.678g/leaf</w:t>
      </w:r>
      <w:r w:rsidRPr="00E169C4">
        <w:rPr>
          <w:sz w:val="22"/>
          <w:szCs w:val="22"/>
        </w:rPr>
        <w:t>), which significantly outperformed the control (</w:t>
      </w:r>
      <w:r w:rsidRPr="00E169C4">
        <w:rPr>
          <w:rStyle w:val="math-inline"/>
          <w:sz w:val="22"/>
          <w:szCs w:val="22"/>
        </w:rPr>
        <w:t>0.406g/leaf</w:t>
      </w:r>
      <w:r w:rsidRPr="00E169C4">
        <w:rPr>
          <w:sz w:val="22"/>
          <w:szCs w:val="22"/>
        </w:rPr>
        <w:t xml:space="preserve">). Across both genotypes, the higher concentrations of </w:t>
      </w:r>
      <w:r w:rsidR="003443B2">
        <w:rPr>
          <w:sz w:val="22"/>
          <w:szCs w:val="22"/>
        </w:rPr>
        <w:t>Ginger</w:t>
      </w:r>
      <w:r w:rsidRPr="00E169C4">
        <w:rPr>
          <w:sz w:val="22"/>
          <w:szCs w:val="22"/>
        </w:rPr>
        <w:t xml:space="preserve"> generally maintained or improved leaf efficiency, while the performance of Neem wa</w:t>
      </w:r>
      <w:r w:rsidR="00E169C4">
        <w:rPr>
          <w:sz w:val="22"/>
          <w:szCs w:val="22"/>
        </w:rPr>
        <w:t xml:space="preserve">s more concentration-specific, </w:t>
      </w:r>
    </w:p>
    <w:p w:rsidR="00E620BE" w:rsidRPr="00E169C4" w:rsidRDefault="00E620BE" w:rsidP="000A37DC">
      <w:pPr>
        <w:pStyle w:val="NormalWeb"/>
        <w:jc w:val="center"/>
        <w:rPr>
          <w:sz w:val="22"/>
          <w:szCs w:val="22"/>
        </w:rPr>
      </w:pPr>
      <w:r>
        <w:rPr>
          <w:noProof/>
        </w:rPr>
        <w:lastRenderedPageBreak/>
        <w:drawing>
          <wp:inline distT="0" distB="0" distL="0" distR="0" wp14:anchorId="0A99AC86" wp14:editId="6F6EF745">
            <wp:extent cx="5153025" cy="30099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7309" w:rsidRPr="005E7309" w:rsidRDefault="00C4685A" w:rsidP="005E7309">
      <w:pPr>
        <w:widowControl/>
        <w:rPr>
          <w:rFonts w:ascii="Times New Roman" w:eastAsia="Times New Roman" w:hAnsi="Times New Roman" w:cs="Times New Roman"/>
          <w:sz w:val="24"/>
          <w:szCs w:val="24"/>
        </w:rPr>
      </w:pPr>
      <w:r w:rsidRPr="00846AF2">
        <w:rPr>
          <w:rFonts w:ascii="Times New Roman" w:eastAsia="Times New Roman" w:hAnsi="Times New Roman" w:cs="Times New Roman"/>
          <w:b/>
          <w:sz w:val="24"/>
          <w:szCs w:val="24"/>
        </w:rPr>
        <w:t xml:space="preserve">Figure 5: </w:t>
      </w:r>
      <w:r w:rsidR="005E7309" w:rsidRPr="00846AF2">
        <w:rPr>
          <w:rFonts w:ascii="Times New Roman" w:eastAsia="Times New Roman" w:hAnsi="Times New Roman" w:cs="Times New Roman"/>
          <w:b/>
          <w:sz w:val="24"/>
          <w:szCs w:val="24"/>
        </w:rPr>
        <w:t>Comparative</w:t>
      </w:r>
      <w:r w:rsidR="005E7309" w:rsidRPr="005E7309">
        <w:rPr>
          <w:rFonts w:ascii="Times New Roman" w:eastAsia="Times New Roman" w:hAnsi="Times New Roman" w:cs="Times New Roman"/>
          <w:sz w:val="24"/>
          <w:szCs w:val="24"/>
        </w:rPr>
        <w:t xml:space="preserve"> analysis of (A) Biomass Partitioning (</w:t>
      </w:r>
      <w:r w:rsidRPr="005E7309">
        <w:rPr>
          <w:rFonts w:ascii="Times New Roman" w:eastAsia="Times New Roman" w:hAnsi="Times New Roman" w:cs="Times New Roman"/>
          <w:sz w:val="24"/>
          <w:szCs w:val="24"/>
        </w:rPr>
        <w:t>Root: Shoot</w:t>
      </w:r>
      <w:r w:rsidR="005E7309" w:rsidRPr="005E7309">
        <w:rPr>
          <w:rFonts w:ascii="Times New Roman" w:eastAsia="Times New Roman" w:hAnsi="Times New Roman" w:cs="Times New Roman"/>
          <w:sz w:val="24"/>
          <w:szCs w:val="24"/>
        </w:rPr>
        <w:t xml:space="preserve"> Ratio) and (B) Physiological Performance (Leaf Efficiency) in two Bambara groundnut genotypes (ZM 1856 and ZM 2656) subjected to seed priming with various concentrations of Ginger (G) and Neem (N) botanical extracts. Data points represent the mean values for each treatment (G0–G20 and N1–N4).</w:t>
      </w:r>
    </w:p>
    <w:p w:rsidR="005E7309" w:rsidRDefault="005E7309" w:rsidP="0094685B">
      <w:pPr>
        <w:pStyle w:val="Heading3"/>
        <w:spacing w:before="0" w:after="120" w:line="275" w:lineRule="auto"/>
        <w:jc w:val="both"/>
        <w:rPr>
          <w:rFonts w:ascii="Times New Roman" w:eastAsia="Google Sans" w:hAnsi="Times New Roman" w:cs="Times New Roman"/>
          <w:color w:val="1F1F1F"/>
          <w:sz w:val="22"/>
          <w:szCs w:val="22"/>
        </w:rPr>
      </w:pPr>
    </w:p>
    <w:p w:rsidR="004B17D0" w:rsidRPr="00DC2C5C" w:rsidRDefault="000A614F" w:rsidP="0094685B">
      <w:pPr>
        <w:pStyle w:val="Heading3"/>
        <w:spacing w:before="0" w:after="120" w:line="275" w:lineRule="auto"/>
        <w:jc w:val="both"/>
        <w:rPr>
          <w:rFonts w:ascii="Times New Roman" w:eastAsia="Google Sans" w:hAnsi="Times New Roman" w:cs="Times New Roman"/>
          <w:color w:val="1F1F1F"/>
          <w:sz w:val="22"/>
          <w:szCs w:val="22"/>
        </w:rPr>
      </w:pPr>
      <w:r w:rsidRPr="00DC2C5C">
        <w:rPr>
          <w:rFonts w:ascii="Times New Roman" w:eastAsia="Google Sans" w:hAnsi="Times New Roman" w:cs="Times New Roman"/>
          <w:color w:val="1F1F1F"/>
          <w:sz w:val="22"/>
          <w:szCs w:val="22"/>
        </w:rPr>
        <w:t>Correlation Analysis</w:t>
      </w:r>
    </w:p>
    <w:p w:rsidR="00B06B15" w:rsidRPr="00E169C4" w:rsidRDefault="00B06B15" w:rsidP="00B06B15">
      <w:pPr>
        <w:pStyle w:val="NormalWeb"/>
        <w:rPr>
          <w:sz w:val="22"/>
          <w:szCs w:val="22"/>
        </w:rPr>
      </w:pPr>
      <w:r w:rsidRPr="00E169C4">
        <w:rPr>
          <w:sz w:val="22"/>
          <w:szCs w:val="22"/>
        </w:rPr>
        <w:t>The Pearson correlation analysis revealed several significant relationships am</w:t>
      </w:r>
      <w:r w:rsidR="00BE3109" w:rsidRPr="00E169C4">
        <w:rPr>
          <w:sz w:val="22"/>
          <w:szCs w:val="22"/>
        </w:rPr>
        <w:t>ong the studied plant traits</w:t>
      </w:r>
      <w:r w:rsidRPr="00E169C4">
        <w:rPr>
          <w:sz w:val="22"/>
          <w:szCs w:val="22"/>
        </w:rPr>
        <w:t>, ranging from strong positive associations to notable negative correlations.</w:t>
      </w:r>
    </w:p>
    <w:p w:rsidR="00B06B15" w:rsidRPr="00DC2C5C" w:rsidRDefault="00B06B15" w:rsidP="00B06B15">
      <w:pPr>
        <w:pStyle w:val="Heading4"/>
        <w:rPr>
          <w:rFonts w:ascii="Times New Roman" w:hAnsi="Times New Roman" w:cs="Times New Roman"/>
          <w:sz w:val="22"/>
          <w:szCs w:val="22"/>
        </w:rPr>
      </w:pPr>
      <w:r w:rsidRPr="00DC2C5C">
        <w:rPr>
          <w:rFonts w:ascii="Times New Roman" w:hAnsi="Times New Roman" w:cs="Times New Roman"/>
          <w:sz w:val="22"/>
          <w:szCs w:val="22"/>
        </w:rPr>
        <w:t>1. Strong Positive Correlations (Germination and Early Growth)</w:t>
      </w:r>
    </w:p>
    <w:p w:rsidR="00B06B15" w:rsidRPr="00E169C4" w:rsidRDefault="00B06B15" w:rsidP="00BE3109">
      <w:pPr>
        <w:pStyle w:val="NormalWeb"/>
        <w:jc w:val="both"/>
        <w:rPr>
          <w:sz w:val="22"/>
          <w:szCs w:val="22"/>
        </w:rPr>
      </w:pPr>
      <w:r w:rsidRPr="00E169C4">
        <w:rPr>
          <w:sz w:val="22"/>
          <w:szCs w:val="22"/>
        </w:rPr>
        <w:t xml:space="preserve">A very strong and highly significant positive correlation was observed between </w:t>
      </w:r>
      <w:r w:rsidRPr="00E169C4">
        <w:rPr>
          <w:bCs/>
          <w:sz w:val="22"/>
          <w:szCs w:val="22"/>
        </w:rPr>
        <w:t>Germination Percentage (Germ %)</w:t>
      </w:r>
      <w:r w:rsidRPr="00E169C4">
        <w:rPr>
          <w:sz w:val="22"/>
          <w:szCs w:val="22"/>
        </w:rPr>
        <w:t xml:space="preserve"> and the </w:t>
      </w:r>
      <w:r w:rsidRPr="00E169C4">
        <w:rPr>
          <w:bCs/>
          <w:sz w:val="22"/>
          <w:szCs w:val="22"/>
        </w:rPr>
        <w:t>Seed Vigour Index (SVI)</w:t>
      </w:r>
      <w:r w:rsidRPr="00E169C4">
        <w:rPr>
          <w:sz w:val="22"/>
          <w:szCs w:val="22"/>
        </w:rPr>
        <w:t xml:space="preserve"> (</w:t>
      </w:r>
      <w:r w:rsidRPr="00E169C4">
        <w:rPr>
          <w:rStyle w:val="math-inline"/>
          <w:sz w:val="22"/>
          <w:szCs w:val="22"/>
        </w:rPr>
        <w:t>r = 0.972, p &lt; 0.001</w:t>
      </w:r>
      <w:r w:rsidRPr="00E169C4">
        <w:rPr>
          <w:sz w:val="22"/>
          <w:szCs w:val="22"/>
        </w:rPr>
        <w:t xml:space="preserve">), indicating that treatments promoting higher germination rates concurrently enhanced seedling vigour. Both Germ % and SVI were also significantly and positively correlated with </w:t>
      </w:r>
      <w:r w:rsidRPr="00E169C4">
        <w:rPr>
          <w:bCs/>
          <w:sz w:val="22"/>
          <w:szCs w:val="22"/>
        </w:rPr>
        <w:t>Shoot Length</w:t>
      </w:r>
      <w:r w:rsidRPr="00E169C4">
        <w:rPr>
          <w:sz w:val="22"/>
          <w:szCs w:val="22"/>
        </w:rPr>
        <w:t xml:space="preserve"> (</w:t>
      </w:r>
      <w:r w:rsidRPr="00E169C4">
        <w:rPr>
          <w:rStyle w:val="math-inline"/>
          <w:sz w:val="22"/>
          <w:szCs w:val="22"/>
        </w:rPr>
        <w:t>r = 0.670</w:t>
      </w:r>
      <w:r w:rsidRPr="00E169C4">
        <w:rPr>
          <w:sz w:val="22"/>
          <w:szCs w:val="22"/>
        </w:rPr>
        <w:t xml:space="preserve"> and </w:t>
      </w:r>
      <w:r w:rsidRPr="00E169C4">
        <w:rPr>
          <w:rStyle w:val="math-inline"/>
          <w:sz w:val="22"/>
          <w:szCs w:val="22"/>
        </w:rPr>
        <w:t>r = 0.704</w:t>
      </w:r>
      <w:r w:rsidRPr="00E169C4">
        <w:rPr>
          <w:sz w:val="22"/>
          <w:szCs w:val="22"/>
        </w:rPr>
        <w:t xml:space="preserve">, respectively; </w:t>
      </w:r>
      <w:r w:rsidRPr="00E169C4">
        <w:rPr>
          <w:rStyle w:val="math-inline"/>
          <w:sz w:val="22"/>
          <w:szCs w:val="22"/>
        </w:rPr>
        <w:t>p &lt; 0.001</w:t>
      </w:r>
      <w:r w:rsidR="00BE3109" w:rsidRPr="00E169C4">
        <w:rPr>
          <w:sz w:val="22"/>
          <w:szCs w:val="22"/>
        </w:rPr>
        <w:t>)</w:t>
      </w:r>
      <w:r w:rsidRPr="00E169C4">
        <w:rPr>
          <w:sz w:val="22"/>
          <w:szCs w:val="22"/>
        </w:rPr>
        <w:t>.</w:t>
      </w:r>
    </w:p>
    <w:p w:rsidR="00B06B15" w:rsidRPr="00DC2C5C" w:rsidRDefault="00B06B15" w:rsidP="00B06B15">
      <w:pPr>
        <w:pStyle w:val="Heading4"/>
        <w:rPr>
          <w:rFonts w:ascii="Times New Roman" w:hAnsi="Times New Roman" w:cs="Times New Roman"/>
          <w:sz w:val="22"/>
          <w:szCs w:val="22"/>
        </w:rPr>
      </w:pPr>
      <w:r w:rsidRPr="00DC2C5C">
        <w:rPr>
          <w:rFonts w:ascii="Times New Roman" w:hAnsi="Times New Roman" w:cs="Times New Roman"/>
          <w:sz w:val="22"/>
          <w:szCs w:val="22"/>
        </w:rPr>
        <w:t>2. Biomass and Nodulation Relationships</w:t>
      </w:r>
    </w:p>
    <w:p w:rsidR="00B06B15" w:rsidRPr="00E169C4" w:rsidRDefault="00B06B15" w:rsidP="004D7E16">
      <w:pPr>
        <w:pStyle w:val="NormalWeb"/>
        <w:rPr>
          <w:sz w:val="22"/>
          <w:szCs w:val="22"/>
        </w:rPr>
      </w:pPr>
      <w:r w:rsidRPr="00E169C4">
        <w:rPr>
          <w:bCs/>
          <w:sz w:val="22"/>
          <w:szCs w:val="22"/>
        </w:rPr>
        <w:t xml:space="preserve">Total </w:t>
      </w:r>
      <w:r w:rsidR="004D7E16">
        <w:rPr>
          <w:bCs/>
          <w:sz w:val="22"/>
          <w:szCs w:val="22"/>
        </w:rPr>
        <w:t>d</w:t>
      </w:r>
      <w:r w:rsidR="00E169C4" w:rsidRPr="00E169C4">
        <w:rPr>
          <w:bCs/>
          <w:sz w:val="22"/>
          <w:szCs w:val="22"/>
        </w:rPr>
        <w:t>ry matter</w:t>
      </w:r>
      <w:r w:rsidRPr="00E169C4">
        <w:rPr>
          <w:sz w:val="22"/>
          <w:szCs w:val="22"/>
        </w:rPr>
        <w:t xml:space="preserve"> </w:t>
      </w:r>
      <w:r w:rsidR="004D7E16">
        <w:rPr>
          <w:sz w:val="22"/>
          <w:szCs w:val="22"/>
        </w:rPr>
        <w:t xml:space="preserve">accumulation </w:t>
      </w:r>
      <w:r w:rsidRPr="00E169C4">
        <w:rPr>
          <w:sz w:val="22"/>
          <w:szCs w:val="22"/>
        </w:rPr>
        <w:t>showed a significant positive correla</w:t>
      </w:r>
      <w:r w:rsidR="00E169C4" w:rsidRPr="00E169C4">
        <w:rPr>
          <w:sz w:val="22"/>
          <w:szCs w:val="22"/>
        </w:rPr>
        <w:t>tion with several key traits</w:t>
      </w:r>
      <w:r w:rsidR="004D7E16">
        <w:rPr>
          <w:sz w:val="22"/>
          <w:szCs w:val="22"/>
        </w:rPr>
        <w:t xml:space="preserve"> such as number of root nodules (r=0.521,</w:t>
      </w:r>
      <w:r w:rsidR="004D7E16" w:rsidRPr="00E169C4">
        <w:rPr>
          <w:rStyle w:val="math-inline"/>
          <w:sz w:val="22"/>
          <w:szCs w:val="22"/>
        </w:rPr>
        <w:t xml:space="preserve"> p &lt; 0.001</w:t>
      </w:r>
      <w:r w:rsidR="004D7E16">
        <w:rPr>
          <w:rStyle w:val="math-inline"/>
          <w:sz w:val="22"/>
          <w:szCs w:val="22"/>
        </w:rPr>
        <w:t>) and leaf efficiency (</w:t>
      </w:r>
      <w:r w:rsidR="004D7E16" w:rsidRPr="00E169C4">
        <w:rPr>
          <w:rStyle w:val="math-inline"/>
          <w:sz w:val="22"/>
          <w:szCs w:val="22"/>
        </w:rPr>
        <w:t>r = 0.524, p &lt; 0.001</w:t>
      </w:r>
      <w:r w:rsidR="004D7E16">
        <w:rPr>
          <w:rStyle w:val="math-inline"/>
          <w:sz w:val="22"/>
          <w:szCs w:val="22"/>
        </w:rPr>
        <w:t>). The correlation with root length was not significant (r=0.168).</w:t>
      </w:r>
    </w:p>
    <w:p w:rsidR="00B06B15" w:rsidRPr="00DC2C5C" w:rsidRDefault="00B06B15" w:rsidP="00B06B15">
      <w:pPr>
        <w:pStyle w:val="Heading4"/>
        <w:rPr>
          <w:rFonts w:ascii="Times New Roman" w:hAnsi="Times New Roman" w:cs="Times New Roman"/>
          <w:sz w:val="22"/>
          <w:szCs w:val="22"/>
        </w:rPr>
      </w:pPr>
      <w:r w:rsidRPr="00DC2C5C">
        <w:rPr>
          <w:rFonts w:ascii="Times New Roman" w:hAnsi="Times New Roman" w:cs="Times New Roman"/>
          <w:sz w:val="22"/>
          <w:szCs w:val="22"/>
        </w:rPr>
        <w:t>3. Root Characteristics and Leaf Efficiency</w:t>
      </w:r>
    </w:p>
    <w:p w:rsidR="00B06B15" w:rsidRDefault="00B06B15" w:rsidP="002576CD">
      <w:pPr>
        <w:pStyle w:val="NormalWeb"/>
        <w:jc w:val="both"/>
        <w:rPr>
          <w:sz w:val="22"/>
          <w:szCs w:val="22"/>
        </w:rPr>
      </w:pPr>
      <w:r w:rsidRPr="00E169C4">
        <w:rPr>
          <w:bCs/>
          <w:sz w:val="22"/>
          <w:szCs w:val="22"/>
        </w:rPr>
        <w:t>Root Length</w:t>
      </w:r>
      <w:r w:rsidRPr="00E169C4">
        <w:rPr>
          <w:sz w:val="22"/>
          <w:szCs w:val="22"/>
        </w:rPr>
        <w:t xml:space="preserve"> exhibited a significant positive correlation with the </w:t>
      </w:r>
      <w:r w:rsidR="00EE6B06">
        <w:rPr>
          <w:bCs/>
          <w:sz w:val="22"/>
          <w:szCs w:val="22"/>
        </w:rPr>
        <w:t>n</w:t>
      </w:r>
      <w:r w:rsidRPr="00E169C4">
        <w:rPr>
          <w:bCs/>
          <w:sz w:val="22"/>
          <w:szCs w:val="22"/>
        </w:rPr>
        <w:t>umber of</w:t>
      </w:r>
      <w:r w:rsidR="00EE6B06">
        <w:rPr>
          <w:bCs/>
          <w:sz w:val="22"/>
          <w:szCs w:val="22"/>
        </w:rPr>
        <w:t xml:space="preserve"> root n</w:t>
      </w:r>
      <w:r w:rsidRPr="00E169C4">
        <w:rPr>
          <w:bCs/>
          <w:sz w:val="22"/>
          <w:szCs w:val="22"/>
        </w:rPr>
        <w:t>odules</w:t>
      </w:r>
      <w:r w:rsidRPr="00E169C4">
        <w:rPr>
          <w:sz w:val="22"/>
          <w:szCs w:val="22"/>
        </w:rPr>
        <w:t xml:space="preserve"> (</w:t>
      </w:r>
      <w:r w:rsidRPr="00E169C4">
        <w:rPr>
          <w:rStyle w:val="math-inline"/>
          <w:sz w:val="22"/>
          <w:szCs w:val="22"/>
        </w:rPr>
        <w:t>r = 0.487, p &lt; 0.001</w:t>
      </w:r>
      <w:r w:rsidRPr="00E169C4">
        <w:rPr>
          <w:sz w:val="22"/>
          <w:szCs w:val="22"/>
        </w:rPr>
        <w:t xml:space="preserve">), confirming that a more extensive root system provides more sites for nodule formation. Furthermore, </w:t>
      </w:r>
      <w:r w:rsidR="00EE6B06">
        <w:rPr>
          <w:bCs/>
          <w:sz w:val="22"/>
          <w:szCs w:val="22"/>
        </w:rPr>
        <w:t>Leaf e</w:t>
      </w:r>
      <w:r w:rsidRPr="00E169C4">
        <w:rPr>
          <w:bCs/>
          <w:sz w:val="22"/>
          <w:szCs w:val="22"/>
        </w:rPr>
        <w:t>fficiency</w:t>
      </w:r>
      <w:r w:rsidRPr="00E169C4">
        <w:rPr>
          <w:sz w:val="22"/>
          <w:szCs w:val="22"/>
        </w:rPr>
        <w:t xml:space="preserve"> was significantly and positively correlated with a</w:t>
      </w:r>
      <w:r w:rsidR="00EE6B06">
        <w:rPr>
          <w:sz w:val="22"/>
          <w:szCs w:val="22"/>
        </w:rPr>
        <w:t>ll other parameters except for t</w:t>
      </w:r>
      <w:r w:rsidRPr="00E169C4">
        <w:rPr>
          <w:sz w:val="22"/>
          <w:szCs w:val="22"/>
        </w:rPr>
        <w:t xml:space="preserve">otal </w:t>
      </w:r>
      <w:r w:rsidR="00EE6B06">
        <w:rPr>
          <w:sz w:val="22"/>
          <w:szCs w:val="22"/>
        </w:rPr>
        <w:t>d</w:t>
      </w:r>
      <w:r w:rsidR="00E169C4" w:rsidRPr="00E169C4">
        <w:rPr>
          <w:sz w:val="22"/>
          <w:szCs w:val="22"/>
        </w:rPr>
        <w:t>ry matter</w:t>
      </w:r>
      <w:r w:rsidR="00EE6B06">
        <w:rPr>
          <w:sz w:val="22"/>
          <w:szCs w:val="22"/>
        </w:rPr>
        <w:t xml:space="preserve"> accumulation</w:t>
      </w:r>
      <w:r w:rsidRPr="00E169C4">
        <w:rPr>
          <w:sz w:val="22"/>
          <w:szCs w:val="22"/>
        </w:rPr>
        <w:t xml:space="preserve">, with notable links to </w:t>
      </w:r>
      <w:r w:rsidRPr="00E169C4">
        <w:rPr>
          <w:bCs/>
          <w:sz w:val="22"/>
          <w:szCs w:val="22"/>
        </w:rPr>
        <w:t>Shoot Length</w:t>
      </w:r>
      <w:r w:rsidRPr="00E169C4">
        <w:rPr>
          <w:sz w:val="22"/>
          <w:szCs w:val="22"/>
        </w:rPr>
        <w:t xml:space="preserve"> (</w:t>
      </w:r>
      <w:r w:rsidRPr="00E169C4">
        <w:rPr>
          <w:rStyle w:val="math-inline"/>
          <w:sz w:val="22"/>
          <w:szCs w:val="22"/>
        </w:rPr>
        <w:t>r = 0.438, p &lt; 0.001</w:t>
      </w:r>
      <w:r w:rsidRPr="00E169C4">
        <w:rPr>
          <w:sz w:val="22"/>
          <w:szCs w:val="22"/>
        </w:rPr>
        <w:t xml:space="preserve">) and </w:t>
      </w:r>
      <w:r w:rsidR="00EE6B06">
        <w:rPr>
          <w:sz w:val="22"/>
          <w:szCs w:val="22"/>
        </w:rPr>
        <w:t>number of root n</w:t>
      </w:r>
      <w:r w:rsidRPr="00E169C4">
        <w:rPr>
          <w:bCs/>
          <w:sz w:val="22"/>
          <w:szCs w:val="22"/>
        </w:rPr>
        <w:t>odules</w:t>
      </w:r>
      <w:r w:rsidRPr="00E169C4">
        <w:rPr>
          <w:sz w:val="22"/>
          <w:szCs w:val="22"/>
        </w:rPr>
        <w:t xml:space="preserve"> (</w:t>
      </w:r>
      <w:r w:rsidRPr="00E169C4">
        <w:rPr>
          <w:rStyle w:val="math-inline"/>
          <w:sz w:val="22"/>
          <w:szCs w:val="22"/>
        </w:rPr>
        <w:t>r = 0.401, p &lt; 0.001</w:t>
      </w:r>
      <w:r w:rsidRPr="00E169C4">
        <w:rPr>
          <w:sz w:val="22"/>
          <w:szCs w:val="22"/>
        </w:rPr>
        <w:t>).</w:t>
      </w:r>
    </w:p>
    <w:p w:rsidR="00C559C5" w:rsidRPr="00E169C4" w:rsidRDefault="00C559C5" w:rsidP="002576CD">
      <w:pPr>
        <w:pStyle w:val="NormalWeb"/>
        <w:jc w:val="both"/>
        <w:rPr>
          <w:sz w:val="22"/>
          <w:szCs w:val="22"/>
        </w:rPr>
      </w:pPr>
    </w:p>
    <w:p w:rsidR="00B06B15" w:rsidRPr="00DC2C5C" w:rsidRDefault="00B06B15" w:rsidP="00B06B15">
      <w:pPr>
        <w:pStyle w:val="Heading4"/>
        <w:rPr>
          <w:rFonts w:ascii="Times New Roman" w:hAnsi="Times New Roman" w:cs="Times New Roman"/>
          <w:sz w:val="22"/>
          <w:szCs w:val="22"/>
        </w:rPr>
      </w:pPr>
      <w:r w:rsidRPr="00DC2C5C">
        <w:rPr>
          <w:rFonts w:ascii="Times New Roman" w:hAnsi="Times New Roman" w:cs="Times New Roman"/>
          <w:sz w:val="22"/>
          <w:szCs w:val="22"/>
        </w:rPr>
        <w:lastRenderedPageBreak/>
        <w:t>4. Significant Negative Correlations</w:t>
      </w:r>
    </w:p>
    <w:p w:rsidR="00B06B15" w:rsidRPr="00E169C4" w:rsidRDefault="00B06B15" w:rsidP="00CF389A">
      <w:pPr>
        <w:pStyle w:val="NormalWeb"/>
        <w:jc w:val="both"/>
        <w:rPr>
          <w:sz w:val="22"/>
          <w:szCs w:val="22"/>
        </w:rPr>
      </w:pPr>
      <w:r w:rsidRPr="00E169C4">
        <w:rPr>
          <w:bCs/>
          <w:sz w:val="22"/>
          <w:szCs w:val="22"/>
        </w:rPr>
        <w:t xml:space="preserve">Total </w:t>
      </w:r>
      <w:r w:rsidR="00E169C4" w:rsidRPr="00E169C4">
        <w:rPr>
          <w:bCs/>
          <w:sz w:val="22"/>
          <w:szCs w:val="22"/>
        </w:rPr>
        <w:t>Dry matter</w:t>
      </w:r>
      <w:r w:rsidRPr="00E169C4">
        <w:rPr>
          <w:sz w:val="22"/>
          <w:szCs w:val="22"/>
        </w:rPr>
        <w:t xml:space="preserve"> exhibited a significant negative correlation with </w:t>
      </w:r>
      <w:r w:rsidRPr="00E169C4">
        <w:rPr>
          <w:bCs/>
          <w:sz w:val="22"/>
          <w:szCs w:val="22"/>
        </w:rPr>
        <w:t>Germination %</w:t>
      </w:r>
      <w:r w:rsidRPr="00E169C4">
        <w:rPr>
          <w:sz w:val="22"/>
          <w:szCs w:val="22"/>
        </w:rPr>
        <w:t xml:space="preserve"> (</w:t>
      </w:r>
      <w:r w:rsidRPr="00E169C4">
        <w:rPr>
          <w:rStyle w:val="math-inline"/>
          <w:sz w:val="22"/>
          <w:szCs w:val="22"/>
        </w:rPr>
        <w:t>r = -0.437, p &lt; 0.001</w:t>
      </w:r>
      <w:r w:rsidRPr="00E169C4">
        <w:rPr>
          <w:sz w:val="22"/>
          <w:szCs w:val="22"/>
        </w:rPr>
        <w:t xml:space="preserve">) and </w:t>
      </w:r>
      <w:r w:rsidRPr="00E169C4">
        <w:rPr>
          <w:bCs/>
          <w:sz w:val="22"/>
          <w:szCs w:val="22"/>
        </w:rPr>
        <w:t>SVI</w:t>
      </w:r>
      <w:r w:rsidRPr="00E169C4">
        <w:rPr>
          <w:sz w:val="22"/>
          <w:szCs w:val="22"/>
        </w:rPr>
        <w:t xml:space="preserve"> (</w:t>
      </w:r>
      <w:r w:rsidRPr="00E169C4">
        <w:rPr>
          <w:rStyle w:val="math-inline"/>
          <w:sz w:val="22"/>
          <w:szCs w:val="22"/>
        </w:rPr>
        <w:t>r = -0.370, p &lt; 0.001</w:t>
      </w:r>
      <w:r w:rsidRPr="00E169C4">
        <w:rPr>
          <w:sz w:val="22"/>
          <w:szCs w:val="22"/>
        </w:rPr>
        <w:t xml:space="preserve">). This inverse relationship suggests that under the specific botanical treatments used, conditions that maximized initial germination and vigour may not have necessarily translated to the highest final </w:t>
      </w:r>
      <w:r w:rsidR="00E169C4" w:rsidRPr="00E169C4">
        <w:rPr>
          <w:sz w:val="22"/>
          <w:szCs w:val="22"/>
        </w:rPr>
        <w:t>dry matter</w:t>
      </w:r>
      <w:r w:rsidRPr="00E169C4">
        <w:rPr>
          <w:sz w:val="22"/>
          <w:szCs w:val="22"/>
        </w:rPr>
        <w:t>, or that certain high-biomass treatments may have had a suppressive effect on the initial germination phase.</w:t>
      </w:r>
    </w:p>
    <w:p w:rsidR="00B06B15" w:rsidRPr="00E169C4" w:rsidRDefault="00B06B15" w:rsidP="00B06B15">
      <w:pPr>
        <w:rPr>
          <w:rFonts w:ascii="Times New Roman" w:hAnsi="Times New Roman" w:cs="Times New Roman"/>
        </w:rPr>
      </w:pP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444746"/>
          <w:vertAlign w:val="superscript"/>
        </w:rPr>
      </w:pPr>
      <w:r w:rsidRPr="00E169C4">
        <w:rPr>
          <w:rFonts w:ascii="Times New Roman" w:eastAsia="Google Sans Text" w:hAnsi="Times New Roman" w:cs="Times New Roman"/>
          <w:noProof/>
          <w:color w:val="1F1F1F"/>
        </w:rPr>
        <w:drawing>
          <wp:inline distT="114300" distB="114300" distL="114300" distR="114300">
            <wp:extent cx="6686550" cy="44386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686550" cy="4438650"/>
                    </a:xfrm>
                    <a:prstGeom prst="rect">
                      <a:avLst/>
                    </a:prstGeom>
                    <a:ln/>
                  </pic:spPr>
                </pic:pic>
              </a:graphicData>
            </a:graphic>
          </wp:inline>
        </w:drawing>
      </w:r>
    </w:p>
    <w:p w:rsidR="00672CB4" w:rsidRDefault="00CB043E" w:rsidP="00672CB4">
      <w:pPr>
        <w:widowControl/>
        <w:jc w:val="both"/>
        <w:rPr>
          <w:rFonts w:ascii="Times New Roman" w:eastAsia="Times New Roman" w:hAnsi="Times New Roman" w:cs="Times New Roman"/>
          <w:color w:val="1F1F1F"/>
        </w:rPr>
      </w:pPr>
      <w:r>
        <w:rPr>
          <w:rFonts w:ascii="Times New Roman" w:eastAsia="Times New Roman" w:hAnsi="Times New Roman" w:cs="Times New Roman"/>
          <w:bCs/>
        </w:rPr>
        <w:t>Figure 6</w:t>
      </w:r>
      <w:r w:rsidR="001F15A9">
        <w:rPr>
          <w:rFonts w:ascii="Times New Roman" w:eastAsia="Times New Roman" w:hAnsi="Times New Roman" w:cs="Times New Roman"/>
          <w:bCs/>
        </w:rPr>
        <w:t xml:space="preserve">: </w:t>
      </w:r>
      <w:r w:rsidR="00672CB4" w:rsidRPr="00E169C4">
        <w:rPr>
          <w:rFonts w:ascii="Times New Roman" w:eastAsia="Times New Roman" w:hAnsi="Times New Roman" w:cs="Times New Roman"/>
        </w:rPr>
        <w:t xml:space="preserve">Pearson correlation matrix heat map representing the interdependencies between establishment, growth, and physiological variables of Bambara groundnut genotypes under botanical priming. The color ramp indicates the strength and direction of the correlation coefficients (r), ranging from +1.0 (vibrant red; strong positive correlation) to -1.0 (cool blue; strong negative correlation). </w:t>
      </w:r>
      <w:r w:rsidR="00243C6B" w:rsidRPr="00E169C4">
        <w:rPr>
          <w:rFonts w:ascii="Times New Roman" w:eastAsia="Times New Roman" w:hAnsi="Times New Roman" w:cs="Times New Roman"/>
          <w:color w:val="1F1F1F"/>
        </w:rPr>
        <w:t>*** p &lt; 0.001 (Highly Significant), ** p &lt; 0.01 (Significant), p &lt; 0.05 (Moderately Significant</w:t>
      </w:r>
      <w:r w:rsidR="002576CD">
        <w:rPr>
          <w:rFonts w:ascii="Times New Roman" w:eastAsia="Times New Roman" w:hAnsi="Times New Roman" w:cs="Times New Roman"/>
          <w:color w:val="1F1F1F"/>
        </w:rPr>
        <w:t>)</w:t>
      </w:r>
    </w:p>
    <w:p w:rsidR="002576CD" w:rsidRPr="00E169C4" w:rsidRDefault="002576CD" w:rsidP="00672CB4">
      <w:pPr>
        <w:widowControl/>
        <w:jc w:val="both"/>
        <w:rPr>
          <w:rFonts w:ascii="Times New Roman" w:eastAsia="Times New Roman" w:hAnsi="Times New Roman" w:cs="Times New Roman"/>
        </w:rPr>
      </w:pPr>
    </w:p>
    <w:p w:rsidR="00672CB4" w:rsidRPr="00E169C4" w:rsidRDefault="00672CB4" w:rsidP="00672CB4">
      <w:pPr>
        <w:widowControl/>
        <w:jc w:val="both"/>
        <w:rPr>
          <w:rFonts w:ascii="Times New Roman" w:eastAsia="Google Sans" w:hAnsi="Times New Roman" w:cs="Times New Roman"/>
          <w:color w:val="1F1F1F"/>
        </w:rPr>
      </w:pPr>
    </w:p>
    <w:p w:rsidR="00AB5936" w:rsidRPr="001F15A9" w:rsidRDefault="0082765A" w:rsidP="0094685B">
      <w:pPr>
        <w:pStyle w:val="Heading2"/>
        <w:spacing w:before="0" w:after="120" w:line="275" w:lineRule="auto"/>
        <w:jc w:val="both"/>
        <w:rPr>
          <w:rFonts w:ascii="Times New Roman" w:eastAsia="Google Sans" w:hAnsi="Times New Roman" w:cs="Times New Roman"/>
          <w:color w:val="1F1F1F"/>
          <w:sz w:val="22"/>
          <w:szCs w:val="22"/>
        </w:rPr>
      </w:pPr>
      <w:r w:rsidRPr="001F15A9">
        <w:rPr>
          <w:rFonts w:ascii="Times New Roman" w:eastAsia="Google Sans" w:hAnsi="Times New Roman" w:cs="Times New Roman"/>
          <w:color w:val="1F1F1F"/>
          <w:sz w:val="22"/>
          <w:szCs w:val="22"/>
        </w:rPr>
        <w:t>4 Discussion</w:t>
      </w:r>
    </w:p>
    <w:p w:rsidR="00AB5936" w:rsidRPr="001F15A9" w:rsidRDefault="0082765A" w:rsidP="0094685B">
      <w:pPr>
        <w:pStyle w:val="Heading3"/>
        <w:spacing w:before="0" w:after="120" w:line="275" w:lineRule="auto"/>
        <w:jc w:val="both"/>
        <w:rPr>
          <w:rFonts w:ascii="Times New Roman" w:eastAsia="Google Sans" w:hAnsi="Times New Roman" w:cs="Times New Roman"/>
          <w:color w:val="1F1F1F"/>
          <w:sz w:val="22"/>
          <w:szCs w:val="22"/>
        </w:rPr>
      </w:pPr>
      <w:r w:rsidRPr="001F15A9">
        <w:rPr>
          <w:rFonts w:ascii="Times New Roman" w:eastAsia="Google Sans" w:hAnsi="Times New Roman" w:cs="Times New Roman"/>
          <w:color w:val="1F1F1F"/>
          <w:sz w:val="22"/>
          <w:szCs w:val="22"/>
        </w:rPr>
        <w:t>4.1 Germination kinetic</w:t>
      </w:r>
      <w:r w:rsidR="00067901" w:rsidRPr="001F15A9">
        <w:rPr>
          <w:rFonts w:ascii="Times New Roman" w:eastAsia="Google Sans" w:hAnsi="Times New Roman" w:cs="Times New Roman"/>
          <w:color w:val="1F1F1F"/>
          <w:sz w:val="22"/>
          <w:szCs w:val="22"/>
        </w:rPr>
        <w:t>s, Seed Vigour Index and Physiological Traits</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 xml:space="preserve">The study revealed a significant genotype </w:t>
      </w:r>
      <w:r w:rsidRPr="00E169C4">
        <w:rPr>
          <w:rFonts w:ascii="Times New Roman" w:eastAsia="Google Sans Text" w:hAnsi="Times New Roman" w:cs="Times New Roman"/>
          <w:noProof/>
          <w:color w:val="1F1F1F"/>
        </w:rPr>
        <w:drawing>
          <wp:inline distT="19050" distB="19050" distL="19050" distR="19050">
            <wp:extent cx="143551" cy="224299"/>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43551" cy="224299"/>
                    </a:xfrm>
                    <a:prstGeom prst="rect">
                      <a:avLst/>
                    </a:prstGeom>
                    <a:ln/>
                  </pic:spPr>
                </pic:pic>
              </a:graphicData>
            </a:graphic>
          </wp:inline>
        </w:drawing>
      </w:r>
      <w:r w:rsidRPr="00E169C4">
        <w:rPr>
          <w:rFonts w:ascii="Times New Roman" w:eastAsia="Google Sans Text" w:hAnsi="Times New Roman" w:cs="Times New Roman"/>
          <w:color w:val="1F1F1F"/>
        </w:rPr>
        <w:t xml:space="preserve"> priming interaction for the seedling vigor index (SVI) (</w:t>
      </w:r>
      <w:r w:rsidR="004B17D0" w:rsidRPr="00E169C4">
        <w:rPr>
          <w:rFonts w:ascii="Times New Roman" w:eastAsia="Google Sans Text" w:hAnsi="Times New Roman" w:cs="Times New Roman"/>
          <w:color w:val="1F1F1F"/>
        </w:rPr>
        <w:t>p</w:t>
      </w:r>
      <w:r w:rsidR="004B17D0" w:rsidRPr="00E169C4">
        <w:rPr>
          <w:rFonts w:ascii="Times New Roman" w:eastAsia="Google Sans Text" w:hAnsi="Times New Roman" w:cs="Times New Roman"/>
          <w:color w:val="1F1F1F"/>
          <w:u w:val="single"/>
        </w:rPr>
        <w:t>&lt;</w:t>
      </w:r>
      <w:r w:rsidR="004B17D0" w:rsidRPr="00E169C4">
        <w:rPr>
          <w:rFonts w:ascii="Times New Roman" w:eastAsia="Google Sans Text" w:hAnsi="Times New Roman" w:cs="Times New Roman"/>
          <w:noProof/>
          <w:color w:val="1F1F1F"/>
        </w:rPr>
        <w:t xml:space="preserve"> 0.05</w:t>
      </w:r>
      <w:r w:rsidRPr="00E169C4">
        <w:rPr>
          <w:rFonts w:ascii="Times New Roman" w:eastAsia="Google Sans Text" w:hAnsi="Times New Roman" w:cs="Times New Roman"/>
          <w:color w:val="1F1F1F"/>
        </w:rPr>
        <w:t>), with a large treatment effect size (</w:t>
      </w:r>
      <w:r w:rsidR="008D4233" w:rsidRPr="00E169C4">
        <w:rPr>
          <w:rFonts w:ascii="Times New Roman" w:eastAsia="Google Sans Text" w:hAnsi="Times New Roman" w:cs="Times New Roman"/>
          <w:bCs/>
          <w:noProof/>
          <w:color w:val="1F1F1F"/>
        </w:rPr>
        <w:drawing>
          <wp:inline distT="19050" distB="19050" distL="19050" distR="19050" wp14:anchorId="5974A753" wp14:editId="6B43F37E">
            <wp:extent cx="150452" cy="21240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0452" cy="212403"/>
                    </a:xfrm>
                    <a:prstGeom prst="rect">
                      <a:avLst/>
                    </a:prstGeom>
                    <a:ln/>
                  </pic:spPr>
                </pic:pic>
              </a:graphicData>
            </a:graphic>
          </wp:inline>
        </w:drawing>
      </w:r>
      <w:r w:rsidRPr="00E169C4">
        <w:rPr>
          <w:rFonts w:ascii="Times New Roman" w:eastAsia="Google Sans Text" w:hAnsi="Times New Roman" w:cs="Times New Roman"/>
          <w:color w:val="1F1F1F"/>
        </w:rPr>
        <w:t>).</w:t>
      </w:r>
      <w:r w:rsidRPr="00E169C4">
        <w:rPr>
          <w:rFonts w:ascii="Times New Roman" w:eastAsia="Google Sans Text" w:hAnsi="Times New Roman" w:cs="Times New Roman"/>
          <w:color w:val="444746"/>
          <w:vertAlign w:val="superscript"/>
        </w:rPr>
        <w:t>1</w:t>
      </w:r>
      <w:r w:rsidRPr="00E169C4">
        <w:rPr>
          <w:rFonts w:ascii="Times New Roman" w:eastAsia="Google Sans Text" w:hAnsi="Times New Roman" w:cs="Times New Roman"/>
          <w:color w:val="1F1F1F"/>
        </w:rPr>
        <w:t xml:space="preserve"> The visual Heat Map confirms a near-linear interdependence between SVI and germination rate </w:t>
      </w:r>
      <w:r w:rsidR="00067901" w:rsidRPr="00E169C4">
        <w:rPr>
          <w:rFonts w:ascii="Times New Roman" w:eastAsia="Google Sans Text" w:hAnsi="Times New Roman" w:cs="Times New Roman"/>
          <w:color w:val="1F1F1F"/>
        </w:rPr>
        <w:t>(r=0.972</w:t>
      </w:r>
      <w:r w:rsidR="00633351" w:rsidRPr="00E169C4">
        <w:rPr>
          <w:rFonts w:ascii="Times New Roman" w:eastAsia="Google Sans Text" w:hAnsi="Times New Roman" w:cs="Times New Roman"/>
          <w:color w:val="1F1F1F"/>
        </w:rPr>
        <w:t>)</w:t>
      </w:r>
      <w:r w:rsidRPr="00E169C4">
        <w:rPr>
          <w:rFonts w:ascii="Times New Roman" w:eastAsia="Google Sans Text" w:hAnsi="Times New Roman" w:cs="Times New Roman"/>
          <w:color w:val="1F1F1F"/>
        </w:rPr>
        <w:t>, indicating that the physiological stamina of the seed directly dictates the rate of stand establishment.</w:t>
      </w:r>
      <w:r w:rsidRPr="00E169C4">
        <w:rPr>
          <w:rFonts w:ascii="Times New Roman" w:eastAsia="Google Sans Text" w:hAnsi="Times New Roman" w:cs="Times New Roman"/>
          <w:color w:val="444746"/>
          <w:vertAlign w:val="superscript"/>
        </w:rPr>
        <w:t>1</w:t>
      </w:r>
      <w:r w:rsidRPr="00E169C4">
        <w:rPr>
          <w:rFonts w:ascii="Times New Roman" w:eastAsia="Google Sans Text" w:hAnsi="Times New Roman" w:cs="Times New Roman"/>
          <w:color w:val="1F1F1F"/>
        </w:rPr>
        <w:t xml:space="preserve">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priming at 10–15% significantly improved both parameters, likely because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ols facilitate a faster transition from Phase II to Phase III of imbibition by mobilizing </w:t>
      </w:r>
      <w:r w:rsidRPr="00E169C4">
        <w:rPr>
          <w:rFonts w:ascii="Times New Roman" w:eastAsia="Google Sans Text" w:hAnsi="Times New Roman" w:cs="Times New Roman"/>
          <w:color w:val="1F1F1F"/>
        </w:rPr>
        <w:lastRenderedPageBreak/>
        <w:t>food reserves more effectively (Ali,</w:t>
      </w:r>
      <w:r w:rsidR="004F78C7" w:rsidRPr="00E169C4">
        <w:rPr>
          <w:rFonts w:ascii="Times New Roman" w:eastAsia="Google Sans Text" w:hAnsi="Times New Roman" w:cs="Times New Roman"/>
          <w:color w:val="1F1F1F"/>
        </w:rPr>
        <w:t xml:space="preserve"> et al,</w:t>
      </w:r>
      <w:r w:rsidRPr="00E169C4">
        <w:rPr>
          <w:rFonts w:ascii="Times New Roman" w:eastAsia="Google Sans Text" w:hAnsi="Times New Roman" w:cs="Times New Roman"/>
          <w:color w:val="1F1F1F"/>
        </w:rPr>
        <w:t xml:space="preserve"> 2008; </w:t>
      </w:r>
      <w:proofErr w:type="spellStart"/>
      <w:r w:rsidRPr="00E169C4">
        <w:rPr>
          <w:rFonts w:ascii="Times New Roman" w:eastAsia="Google Sans Text" w:hAnsi="Times New Roman" w:cs="Times New Roman"/>
          <w:color w:val="1F1F1F"/>
        </w:rPr>
        <w:t>Queslati</w:t>
      </w:r>
      <w:proofErr w:type="spellEnd"/>
      <w:r w:rsidRPr="00E169C4">
        <w:rPr>
          <w:rFonts w:ascii="Times New Roman" w:eastAsia="Google Sans Text" w:hAnsi="Times New Roman" w:cs="Times New Roman"/>
          <w:color w:val="1F1F1F"/>
        </w:rPr>
        <w:t xml:space="preserve"> et al. 2025). </w:t>
      </w:r>
      <w:r w:rsidR="00067901" w:rsidRPr="00E169C4">
        <w:rPr>
          <w:rFonts w:ascii="Times New Roman" w:eastAsia="Google Sans Text" w:hAnsi="Times New Roman" w:cs="Times New Roman"/>
          <w:color w:val="1F1F1F"/>
        </w:rPr>
        <w:t>The large effect size confirms the utility of biostimulants</w:t>
      </w:r>
      <w:r w:rsidRPr="00E169C4">
        <w:rPr>
          <w:rFonts w:ascii="Times New Roman" w:eastAsia="Google Sans Text" w:hAnsi="Times New Roman" w:cs="Times New Roman"/>
          <w:color w:val="1F1F1F"/>
        </w:rPr>
        <w:t xml:space="preserve"> choice </w:t>
      </w:r>
      <w:r w:rsidR="00067901" w:rsidRPr="00E169C4">
        <w:rPr>
          <w:rFonts w:ascii="Times New Roman" w:eastAsia="Google Sans Text" w:hAnsi="Times New Roman" w:cs="Times New Roman"/>
          <w:color w:val="1F1F1F"/>
        </w:rPr>
        <w:t xml:space="preserve">in </w:t>
      </w:r>
      <w:r w:rsidRPr="00E169C4">
        <w:rPr>
          <w:rFonts w:ascii="Times New Roman" w:eastAsia="Google Sans Text" w:hAnsi="Times New Roman" w:cs="Times New Roman"/>
          <w:color w:val="1F1F1F"/>
        </w:rPr>
        <w:t>driv</w:t>
      </w:r>
      <w:r w:rsidR="00067901" w:rsidRPr="00E169C4">
        <w:rPr>
          <w:rFonts w:ascii="Times New Roman" w:eastAsia="Google Sans Text" w:hAnsi="Times New Roman" w:cs="Times New Roman"/>
          <w:color w:val="1F1F1F"/>
        </w:rPr>
        <w:t>ing</w:t>
      </w:r>
      <w:r w:rsidRPr="00E169C4">
        <w:rPr>
          <w:rFonts w:ascii="Times New Roman" w:eastAsia="Google Sans Text" w:hAnsi="Times New Roman" w:cs="Times New Roman"/>
          <w:color w:val="1F1F1F"/>
        </w:rPr>
        <w:t xml:space="preserve"> </w:t>
      </w:r>
      <w:r w:rsidR="00067901" w:rsidRPr="00E169C4">
        <w:rPr>
          <w:rFonts w:ascii="Times New Roman" w:eastAsia="Google Sans Text" w:hAnsi="Times New Roman" w:cs="Times New Roman"/>
          <w:color w:val="1F1F1F"/>
        </w:rPr>
        <w:t>seedling performance.</w:t>
      </w:r>
      <w:r w:rsidRPr="00E169C4">
        <w:rPr>
          <w:rFonts w:ascii="Times New Roman" w:eastAsia="Google Sans Text" w:hAnsi="Times New Roman" w:cs="Times New Roman"/>
          <w:color w:val="1F1F1F"/>
        </w:rPr>
        <w:t xml:space="preserve"> (Cohen 1988).</w:t>
      </w:r>
    </w:p>
    <w:p w:rsidR="00AB5936" w:rsidRPr="00D95EFF" w:rsidRDefault="00DB5E5D" w:rsidP="0094685B">
      <w:pPr>
        <w:pStyle w:val="Heading3"/>
        <w:spacing w:before="0" w:after="120" w:line="275" w:lineRule="auto"/>
        <w:jc w:val="both"/>
        <w:rPr>
          <w:rFonts w:ascii="Times New Roman" w:eastAsia="Google Sans" w:hAnsi="Times New Roman" w:cs="Times New Roman"/>
          <w:color w:val="1F1F1F"/>
          <w:sz w:val="22"/>
          <w:szCs w:val="22"/>
        </w:rPr>
      </w:pPr>
      <w:r w:rsidRPr="00D95EFF">
        <w:rPr>
          <w:rFonts w:ascii="Times New Roman" w:eastAsia="Google Sans" w:hAnsi="Times New Roman" w:cs="Times New Roman"/>
          <w:color w:val="1F1F1F"/>
          <w:sz w:val="22"/>
          <w:szCs w:val="22"/>
        </w:rPr>
        <w:t>4.2 Biomass Partitioning and Leaf E</w:t>
      </w:r>
      <w:r w:rsidR="0082765A" w:rsidRPr="00D95EFF">
        <w:rPr>
          <w:rFonts w:ascii="Times New Roman" w:eastAsia="Google Sans" w:hAnsi="Times New Roman" w:cs="Times New Roman"/>
          <w:color w:val="1F1F1F"/>
          <w:sz w:val="22"/>
          <w:szCs w:val="22"/>
        </w:rPr>
        <w:t>fficiency</w:t>
      </w:r>
    </w:p>
    <w:p w:rsidR="00AB5936" w:rsidRPr="00E169C4" w:rsidRDefault="00DB5E5D"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One critical observation was</w:t>
      </w:r>
      <w:r w:rsidR="0082765A" w:rsidRPr="00E169C4">
        <w:rPr>
          <w:rFonts w:ascii="Times New Roman" w:eastAsia="Google Sans Text" w:hAnsi="Times New Roman" w:cs="Times New Roman"/>
          <w:color w:val="1F1F1F"/>
        </w:rPr>
        <w:t xml:space="preserve"> in leaf efficiency (LE), which showed a significant genotype effect (</w:t>
      </w:r>
      <w:r w:rsidR="0082765A" w:rsidRPr="00E169C4">
        <w:rPr>
          <w:rFonts w:ascii="Times New Roman" w:eastAsia="Google Sans Text" w:hAnsi="Times New Roman" w:cs="Times New Roman"/>
          <w:noProof/>
          <w:color w:val="1F1F1F"/>
        </w:rPr>
        <w:drawing>
          <wp:inline distT="19050" distB="19050" distL="19050" distR="19050">
            <wp:extent cx="837767" cy="235622"/>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837767" cy="235622"/>
                    </a:xfrm>
                    <a:prstGeom prst="rect">
                      <a:avLst/>
                    </a:prstGeom>
                    <a:ln/>
                  </pic:spPr>
                </pic:pic>
              </a:graphicData>
            </a:graphic>
          </wp:inline>
        </w:drawing>
      </w:r>
      <w:r w:rsidRPr="00E169C4">
        <w:rPr>
          <w:rFonts w:ascii="Times New Roman" w:eastAsia="Google Sans Text" w:hAnsi="Times New Roman" w:cs="Times New Roman"/>
          <w:color w:val="1F1F1F"/>
        </w:rPr>
        <w:t xml:space="preserve">) </w:t>
      </w:r>
      <w:r w:rsidR="0082765A" w:rsidRPr="00E169C4">
        <w:rPr>
          <w:rFonts w:ascii="Times New Roman" w:eastAsia="Google Sans Text" w:hAnsi="Times New Roman" w:cs="Times New Roman"/>
          <w:color w:val="1F1F1F"/>
        </w:rPr>
        <w:t xml:space="preserve">peaking at 0.678 in </w:t>
      </w:r>
      <w:r w:rsidR="00CD7774">
        <w:rPr>
          <w:rFonts w:ascii="Times New Roman" w:eastAsia="Google Sans Text" w:hAnsi="Times New Roman" w:cs="Times New Roman"/>
          <w:color w:val="1F1F1F"/>
        </w:rPr>
        <w:t>ZM 2656</w:t>
      </w:r>
      <w:r w:rsidR="0082765A" w:rsidRPr="00E169C4">
        <w:rPr>
          <w:rFonts w:ascii="Times New Roman" w:eastAsia="Google Sans Text" w:hAnsi="Times New Roman" w:cs="Times New Roman"/>
          <w:color w:val="1F1F1F"/>
        </w:rPr>
        <w:t xml:space="preserve"> under 3% neem, correlated positively with total </w:t>
      </w:r>
      <w:r w:rsidR="00E169C4" w:rsidRPr="00E169C4">
        <w:rPr>
          <w:rFonts w:ascii="Times New Roman" w:eastAsia="Google Sans Text" w:hAnsi="Times New Roman" w:cs="Times New Roman"/>
          <w:color w:val="1F1F1F"/>
        </w:rPr>
        <w:t>dry matter</w:t>
      </w:r>
      <w:r w:rsidR="0082765A" w:rsidRPr="00E169C4">
        <w:rPr>
          <w:rFonts w:ascii="Times New Roman" w:eastAsia="Google Sans Text" w:hAnsi="Times New Roman" w:cs="Times New Roman"/>
          <w:color w:val="1F1F1F"/>
        </w:rPr>
        <w:t xml:space="preserve"> </w:t>
      </w:r>
      <w:r w:rsidR="00067901" w:rsidRPr="00E169C4">
        <w:rPr>
          <w:rFonts w:ascii="Times New Roman" w:eastAsia="Google Sans Text" w:hAnsi="Times New Roman" w:cs="Times New Roman"/>
          <w:color w:val="1F1F1F"/>
        </w:rPr>
        <w:t>(r=0.524).</w:t>
      </w:r>
      <w:r w:rsidR="0082765A" w:rsidRPr="00E169C4">
        <w:rPr>
          <w:rFonts w:ascii="Times New Roman" w:eastAsia="Google Sans Text" w:hAnsi="Times New Roman" w:cs="Times New Roman"/>
          <w:color w:val="1F1F1F"/>
        </w:rPr>
        <w:t xml:space="preserve"> This relationship suggests that biostimulants enhance the functional capacity of the photosynthetic surface area to assimilate carbon under stress. The positive correlation between shoot length and leaf efficiency</w:t>
      </w:r>
      <w:r w:rsidR="00067901" w:rsidRPr="00E169C4">
        <w:rPr>
          <w:rFonts w:ascii="Times New Roman" w:eastAsia="Google Sans Text" w:hAnsi="Times New Roman" w:cs="Times New Roman"/>
          <w:color w:val="1F1F1F"/>
        </w:rPr>
        <w:t xml:space="preserve"> (r=0.438)</w:t>
      </w:r>
      <w:r w:rsidR="0082765A" w:rsidRPr="00E169C4">
        <w:rPr>
          <w:rFonts w:ascii="Times New Roman" w:eastAsia="Google Sans Text" w:hAnsi="Times New Roman" w:cs="Times New Roman"/>
          <w:color w:val="1F1F1F"/>
        </w:rPr>
        <w:t xml:space="preserve"> indicates that successful genotypes reorganize biomass partition to prioritize vertical growth and light interception area when total biomass is </w:t>
      </w:r>
      <w:r w:rsidR="004F78C7" w:rsidRPr="00E169C4">
        <w:rPr>
          <w:rFonts w:ascii="Times New Roman" w:eastAsia="Google Sans Text" w:hAnsi="Times New Roman" w:cs="Times New Roman"/>
          <w:color w:val="1F1F1F"/>
        </w:rPr>
        <w:t>constrained by drought (</w:t>
      </w:r>
      <w:proofErr w:type="spellStart"/>
      <w:r w:rsidR="004F78C7" w:rsidRPr="00E169C4">
        <w:rPr>
          <w:rFonts w:ascii="Times New Roman" w:eastAsia="Google Sans Text" w:hAnsi="Times New Roman" w:cs="Times New Roman"/>
          <w:color w:val="1F1F1F"/>
        </w:rPr>
        <w:t>Mateva</w:t>
      </w:r>
      <w:proofErr w:type="spellEnd"/>
      <w:r w:rsidR="004F78C7" w:rsidRPr="00E169C4">
        <w:rPr>
          <w:rFonts w:ascii="Times New Roman" w:eastAsia="Google Sans Text" w:hAnsi="Times New Roman" w:cs="Times New Roman"/>
          <w:color w:val="1F1F1F"/>
        </w:rPr>
        <w:t xml:space="preserve">, et al </w:t>
      </w:r>
      <w:r w:rsidR="0082765A" w:rsidRPr="00E169C4">
        <w:rPr>
          <w:rFonts w:ascii="Times New Roman" w:eastAsia="Google Sans Text" w:hAnsi="Times New Roman" w:cs="Times New Roman"/>
          <w:color w:val="1F1F1F"/>
        </w:rPr>
        <w:t>2022).</w:t>
      </w:r>
    </w:p>
    <w:p w:rsidR="00AB5936" w:rsidRPr="00D95EFF" w:rsidRDefault="008C602A" w:rsidP="0094685B">
      <w:pPr>
        <w:pStyle w:val="Heading3"/>
        <w:spacing w:before="0" w:after="120" w:line="275" w:lineRule="auto"/>
        <w:jc w:val="both"/>
        <w:rPr>
          <w:rFonts w:ascii="Times New Roman" w:eastAsia="Google Sans" w:hAnsi="Times New Roman" w:cs="Times New Roman"/>
          <w:color w:val="1F1F1F"/>
          <w:sz w:val="22"/>
          <w:szCs w:val="22"/>
        </w:rPr>
      </w:pPr>
      <w:r w:rsidRPr="00D95EFF">
        <w:rPr>
          <w:rFonts w:ascii="Times New Roman" w:eastAsia="Google Sans" w:hAnsi="Times New Roman" w:cs="Times New Roman"/>
          <w:color w:val="1F1F1F"/>
          <w:sz w:val="22"/>
          <w:szCs w:val="22"/>
        </w:rPr>
        <w:t>4.3 Symbiotic P</w:t>
      </w:r>
      <w:r w:rsidR="0082765A" w:rsidRPr="00D95EFF">
        <w:rPr>
          <w:rFonts w:ascii="Times New Roman" w:eastAsia="Google Sans" w:hAnsi="Times New Roman" w:cs="Times New Roman"/>
          <w:color w:val="1F1F1F"/>
          <w:sz w:val="22"/>
          <w:szCs w:val="22"/>
        </w:rPr>
        <w:t>o</w:t>
      </w:r>
      <w:r w:rsidRPr="00D95EFF">
        <w:rPr>
          <w:rFonts w:ascii="Times New Roman" w:eastAsia="Google Sans" w:hAnsi="Times New Roman" w:cs="Times New Roman"/>
          <w:color w:val="1F1F1F"/>
          <w:sz w:val="22"/>
          <w:szCs w:val="22"/>
        </w:rPr>
        <w:t>tential and Root I</w:t>
      </w:r>
      <w:r w:rsidR="0082765A" w:rsidRPr="00D95EFF">
        <w:rPr>
          <w:rFonts w:ascii="Times New Roman" w:eastAsia="Google Sans" w:hAnsi="Times New Roman" w:cs="Times New Roman"/>
          <w:color w:val="1F1F1F"/>
          <w:sz w:val="22"/>
          <w:szCs w:val="22"/>
        </w:rPr>
        <w:t>nfrastructure</w:t>
      </w:r>
    </w:p>
    <w:p w:rsidR="00AB5936" w:rsidRPr="00E169C4" w:rsidRDefault="0082765A"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E169C4">
        <w:rPr>
          <w:rFonts w:ascii="Times New Roman" w:eastAsia="Google Sans Text" w:hAnsi="Times New Roman" w:cs="Times New Roman"/>
          <w:color w:val="1F1F1F"/>
        </w:rPr>
        <w:t xml:space="preserve">Heat Map analysis revealed root nodules were significantly associated with root length </w:t>
      </w:r>
      <w:r w:rsidR="00067901" w:rsidRPr="00E169C4">
        <w:rPr>
          <w:rFonts w:ascii="Times New Roman" w:eastAsia="Google Sans Text" w:hAnsi="Times New Roman" w:cs="Times New Roman"/>
          <w:color w:val="1F1F1F"/>
        </w:rPr>
        <w:t>(r=0.487)</w:t>
      </w:r>
      <w:r w:rsidRPr="00E169C4">
        <w:rPr>
          <w:rFonts w:ascii="Times New Roman" w:eastAsia="Google Sans Text" w:hAnsi="Times New Roman" w:cs="Times New Roman"/>
          <w:color w:val="1F1F1F"/>
        </w:rPr>
        <w:t xml:space="preserve"> and total </w:t>
      </w:r>
      <w:r w:rsidR="00E169C4" w:rsidRPr="00E169C4">
        <w:rPr>
          <w:rFonts w:ascii="Times New Roman" w:eastAsia="Google Sans Text" w:hAnsi="Times New Roman" w:cs="Times New Roman"/>
          <w:color w:val="1F1F1F"/>
        </w:rPr>
        <w:t>dry matter</w:t>
      </w:r>
      <w:r w:rsidR="00067901" w:rsidRPr="00E169C4">
        <w:rPr>
          <w:rFonts w:ascii="Times New Roman" w:eastAsia="Google Sans Text" w:hAnsi="Times New Roman" w:cs="Times New Roman"/>
          <w:color w:val="1F1F1F"/>
        </w:rPr>
        <w:t xml:space="preserve"> (r=0.521).</w:t>
      </w:r>
      <w:r w:rsidRPr="00E169C4">
        <w:rPr>
          <w:rFonts w:ascii="Times New Roman" w:eastAsia="Google Sans Text" w:hAnsi="Times New Roman" w:cs="Times New Roman"/>
          <w:color w:val="1F1F1F"/>
        </w:rPr>
        <w:t xml:space="preserve"> This highlights that root infrastructure is a limiting factor for biological nitrogen fixation in legumes under stress (</w:t>
      </w:r>
      <w:proofErr w:type="spellStart"/>
      <w:r w:rsidR="008C602A" w:rsidRPr="00E169C4">
        <w:rPr>
          <w:rFonts w:ascii="Times New Roman" w:eastAsia="Google Sans Text" w:hAnsi="Times New Roman" w:cs="Times New Roman"/>
          <w:color w:val="1F1F1F"/>
        </w:rPr>
        <w:t>Mohale</w:t>
      </w:r>
      <w:proofErr w:type="spellEnd"/>
      <w:r w:rsidR="008C602A" w:rsidRPr="00E169C4">
        <w:rPr>
          <w:rFonts w:ascii="Times New Roman" w:eastAsia="Google Sans Text" w:hAnsi="Times New Roman" w:cs="Times New Roman"/>
          <w:color w:val="1F1F1F"/>
        </w:rPr>
        <w:t>, et</w:t>
      </w:r>
      <w:r w:rsidR="004F78C7" w:rsidRPr="00E169C4">
        <w:rPr>
          <w:rFonts w:ascii="Times New Roman" w:eastAsia="Google Sans Text" w:hAnsi="Times New Roman" w:cs="Times New Roman"/>
          <w:color w:val="1F1F1F"/>
        </w:rPr>
        <w:t xml:space="preserve"> al </w:t>
      </w:r>
      <w:r w:rsidRPr="00E169C4">
        <w:rPr>
          <w:rFonts w:ascii="Times New Roman" w:eastAsia="Google Sans Text" w:hAnsi="Times New Roman" w:cs="Times New Roman"/>
          <w:color w:val="1F1F1F"/>
        </w:rPr>
        <w:t xml:space="preserve">2014). </w:t>
      </w:r>
      <w:r w:rsidR="003443B2">
        <w:rPr>
          <w:rFonts w:ascii="Times New Roman" w:eastAsia="Google Sans Text" w:hAnsi="Times New Roman" w:cs="Times New Roman"/>
          <w:color w:val="1F1F1F"/>
        </w:rPr>
        <w:t>Ginger</w:t>
      </w:r>
      <w:r w:rsidRPr="00E169C4">
        <w:rPr>
          <w:rFonts w:ascii="Times New Roman" w:eastAsia="Google Sans Text" w:hAnsi="Times New Roman" w:cs="Times New Roman"/>
          <w:color w:val="1F1F1F"/>
        </w:rPr>
        <w:t xml:space="preserve"> priming, which facilita</w:t>
      </w:r>
      <w:r w:rsidR="008C602A" w:rsidRPr="00E169C4">
        <w:rPr>
          <w:rFonts w:ascii="Times New Roman" w:eastAsia="Google Sans Text" w:hAnsi="Times New Roman" w:cs="Times New Roman"/>
          <w:color w:val="1F1F1F"/>
        </w:rPr>
        <w:t xml:space="preserve">ted root nodulation (max 62.0 </w:t>
      </w:r>
      <w:r w:rsidRPr="00E169C4">
        <w:rPr>
          <w:rFonts w:ascii="Times New Roman" w:eastAsia="Google Sans Text" w:hAnsi="Times New Roman" w:cs="Times New Roman"/>
          <w:color w:val="1F1F1F"/>
        </w:rPr>
        <w:t xml:space="preserve">in </w:t>
      </w:r>
      <w:r w:rsidR="00CD7774">
        <w:rPr>
          <w:rFonts w:ascii="Times New Roman" w:eastAsia="Google Sans Text" w:hAnsi="Times New Roman" w:cs="Times New Roman"/>
          <w:color w:val="1F1F1F"/>
        </w:rPr>
        <w:t>ZM 2656</w:t>
      </w:r>
      <w:r w:rsidRPr="00E169C4">
        <w:rPr>
          <w:rFonts w:ascii="Times New Roman" w:eastAsia="Google Sans Text" w:hAnsi="Times New Roman" w:cs="Times New Roman"/>
          <w:color w:val="1F1F1F"/>
        </w:rPr>
        <w:t>), likely created a more conducive rhizosphere for rhizobia colonization. In contrast, the substantial reduction in wilting rate under neem priming (</w:t>
      </w:r>
      <w:r w:rsidRPr="00E169C4">
        <w:rPr>
          <w:rFonts w:ascii="Times New Roman" w:eastAsia="Google Sans Text" w:hAnsi="Times New Roman" w:cs="Times New Roman"/>
          <w:noProof/>
          <w:color w:val="1F1F1F"/>
        </w:rPr>
        <w:drawing>
          <wp:inline distT="19050" distB="19050" distL="19050" distR="19050">
            <wp:extent cx="837767" cy="235622"/>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837767" cy="235622"/>
                    </a:xfrm>
                    <a:prstGeom prst="rect">
                      <a:avLst/>
                    </a:prstGeom>
                    <a:ln/>
                  </pic:spPr>
                </pic:pic>
              </a:graphicData>
            </a:graphic>
          </wp:inline>
        </w:drawing>
      </w:r>
      <w:r w:rsidRPr="00E169C4">
        <w:rPr>
          <w:rFonts w:ascii="Times New Roman" w:eastAsia="Google Sans Text" w:hAnsi="Times New Roman" w:cs="Times New Roman"/>
          <w:color w:val="1F1F1F"/>
        </w:rPr>
        <w:t>) despite suppressed early growth suggests a triggered physiological pathway for water-use efficiency (</w:t>
      </w:r>
      <w:proofErr w:type="spellStart"/>
      <w:r w:rsidRPr="00E169C4">
        <w:rPr>
          <w:rFonts w:ascii="Times New Roman" w:eastAsia="Google Sans Text" w:hAnsi="Times New Roman" w:cs="Times New Roman"/>
          <w:color w:val="1F1F1F"/>
        </w:rPr>
        <w:t>Naz</w:t>
      </w:r>
      <w:proofErr w:type="spellEnd"/>
      <w:r w:rsidR="004F78C7" w:rsidRPr="00E169C4">
        <w:rPr>
          <w:rFonts w:ascii="Times New Roman" w:eastAsia="Google Sans Text" w:hAnsi="Times New Roman" w:cs="Times New Roman"/>
          <w:color w:val="1F1F1F"/>
        </w:rPr>
        <w:t xml:space="preserve">, et al, </w:t>
      </w:r>
      <w:r w:rsidRPr="00E169C4">
        <w:rPr>
          <w:rFonts w:ascii="Times New Roman" w:eastAsia="Google Sans Text" w:hAnsi="Times New Roman" w:cs="Times New Roman"/>
          <w:color w:val="1F1F1F"/>
        </w:rPr>
        <w:t>2022).</w:t>
      </w:r>
    </w:p>
    <w:p w:rsidR="00AB5936" w:rsidRPr="00A25ABC" w:rsidRDefault="0082765A" w:rsidP="0094685B">
      <w:pPr>
        <w:pStyle w:val="Heading2"/>
        <w:spacing w:before="0" w:after="120" w:line="275" w:lineRule="auto"/>
        <w:jc w:val="both"/>
        <w:rPr>
          <w:rFonts w:ascii="Times New Roman" w:eastAsia="Google Sans" w:hAnsi="Times New Roman" w:cs="Times New Roman"/>
          <w:color w:val="1F1F1F"/>
          <w:sz w:val="22"/>
          <w:szCs w:val="22"/>
        </w:rPr>
      </w:pPr>
      <w:r w:rsidRPr="00A25ABC">
        <w:rPr>
          <w:rFonts w:ascii="Times New Roman" w:eastAsia="Google Sans" w:hAnsi="Times New Roman" w:cs="Times New Roman"/>
          <w:color w:val="1F1F1F"/>
          <w:sz w:val="22"/>
          <w:szCs w:val="22"/>
        </w:rPr>
        <w:t>5 Conclusions</w:t>
      </w:r>
    </w:p>
    <w:p w:rsidR="00AB5936" w:rsidRPr="00E169C4" w:rsidRDefault="00DE30BE" w:rsidP="0094685B">
      <w:p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Pr>
          <w:rFonts w:ascii="Times New Roman" w:eastAsia="Google Sans Text" w:hAnsi="Times New Roman" w:cs="Times New Roman"/>
          <w:color w:val="1F1F1F"/>
        </w:rPr>
        <w:t>B</w:t>
      </w:r>
      <w:r w:rsidR="0082765A" w:rsidRPr="00E169C4">
        <w:rPr>
          <w:rFonts w:ascii="Times New Roman" w:eastAsia="Google Sans Text" w:hAnsi="Times New Roman" w:cs="Times New Roman"/>
          <w:color w:val="1F1F1F"/>
        </w:rPr>
        <w:t xml:space="preserve">otanical seed priming is a viable strategy for improving drought resilience in Bambara groundnut. Large effect sizes and mean separation confirm that </w:t>
      </w:r>
      <w:r w:rsidR="003443B2">
        <w:rPr>
          <w:rFonts w:ascii="Times New Roman" w:eastAsia="Google Sans Text" w:hAnsi="Times New Roman" w:cs="Times New Roman"/>
          <w:color w:val="1F1F1F"/>
        </w:rPr>
        <w:t>ginger</w:t>
      </w:r>
      <w:r w:rsidR="0082765A" w:rsidRPr="00E169C4">
        <w:rPr>
          <w:rFonts w:ascii="Times New Roman" w:eastAsia="Google Sans Text" w:hAnsi="Times New Roman" w:cs="Times New Roman"/>
          <w:color w:val="1F1F1F"/>
        </w:rPr>
        <w:t xml:space="preserve"> extract at 10–15% is optimal for enhancing germination, SVI, and leaf efficiency. While neem offers survival benefits via reduced wilting, </w:t>
      </w:r>
      <w:r w:rsidR="00F5146C">
        <w:rPr>
          <w:rFonts w:ascii="Times New Roman" w:eastAsia="Google Sans Text" w:hAnsi="Times New Roman" w:cs="Times New Roman"/>
          <w:color w:val="1F1F1F"/>
        </w:rPr>
        <w:t xml:space="preserve">under water stress conditions, </w:t>
      </w:r>
      <w:r w:rsidR="0082765A" w:rsidRPr="00E169C4">
        <w:rPr>
          <w:rFonts w:ascii="Times New Roman" w:eastAsia="Google Sans Text" w:hAnsi="Times New Roman" w:cs="Times New Roman"/>
          <w:color w:val="1F1F1F"/>
        </w:rPr>
        <w:t xml:space="preserve">careful concentration management is needed to avoid suppressive thresholds. These findings provide </w:t>
      </w:r>
      <w:r w:rsidR="004F78C7" w:rsidRPr="00E169C4">
        <w:rPr>
          <w:rFonts w:ascii="Times New Roman" w:eastAsia="Google Sans Text" w:hAnsi="Times New Roman" w:cs="Times New Roman"/>
          <w:color w:val="1F1F1F"/>
        </w:rPr>
        <w:t>a foundation</w:t>
      </w:r>
      <w:r w:rsidR="0082765A" w:rsidRPr="00E169C4">
        <w:rPr>
          <w:rFonts w:ascii="Times New Roman" w:eastAsia="Google Sans Text" w:hAnsi="Times New Roman" w:cs="Times New Roman"/>
          <w:color w:val="1F1F1F"/>
        </w:rPr>
        <w:t xml:space="preserve"> for stabilizing yields in semi-arid environments.</w:t>
      </w:r>
    </w:p>
    <w:p w:rsidR="00AB5936" w:rsidRPr="00A25ABC" w:rsidRDefault="0082765A" w:rsidP="0094685B">
      <w:pPr>
        <w:pStyle w:val="Heading2"/>
        <w:spacing w:before="0" w:after="120" w:line="275" w:lineRule="auto"/>
        <w:jc w:val="both"/>
        <w:rPr>
          <w:rFonts w:ascii="Times New Roman" w:eastAsia="Google Sans" w:hAnsi="Times New Roman" w:cs="Times New Roman"/>
          <w:color w:val="1F1F1F"/>
          <w:sz w:val="22"/>
          <w:szCs w:val="22"/>
        </w:rPr>
      </w:pPr>
      <w:r w:rsidRPr="00A25ABC">
        <w:rPr>
          <w:rFonts w:ascii="Times New Roman" w:eastAsia="Google Sans" w:hAnsi="Times New Roman" w:cs="Times New Roman"/>
          <w:color w:val="1F1F1F"/>
          <w:sz w:val="22"/>
          <w:szCs w:val="22"/>
        </w:rPr>
        <w:t>References</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Ahluwalia, O., Singh, P.C. and Bhatia, R. (2021) 'A review on drought stress in plants: Implications, mitigation and the role of plant growth promoting rhizobacteria', </w:t>
      </w:r>
      <w:r w:rsidRPr="00BE6829">
        <w:rPr>
          <w:rFonts w:ascii="Times New Roman" w:eastAsia="Google Sans Text" w:hAnsi="Times New Roman" w:cs="Times New Roman"/>
          <w:i/>
          <w:iCs/>
          <w:color w:val="1F1F1F"/>
        </w:rPr>
        <w:t>Resources, Environment and Sustainability</w:t>
      </w:r>
      <w:r w:rsidRPr="00BE6829">
        <w:rPr>
          <w:rFonts w:ascii="Times New Roman" w:eastAsia="Google Sans Text" w:hAnsi="Times New Roman" w:cs="Times New Roman"/>
          <w:color w:val="1F1F1F"/>
        </w:rPr>
        <w:t xml:space="preserve">, 5, p. 100032. Available at: </w:t>
      </w:r>
      <w:hyperlink r:id="rId18">
        <w:r w:rsidRPr="00BE6829">
          <w:rPr>
            <w:rFonts w:ascii="Times New Roman" w:eastAsia="Google Sans Text" w:hAnsi="Times New Roman" w:cs="Times New Roman"/>
            <w:color w:val="0B57D0"/>
            <w:u w:val="single"/>
          </w:rPr>
          <w:t>https://doi.org/10.1016/j.resenv.2021.100032</w:t>
        </w:r>
      </w:hyperlink>
      <w:r w:rsidRPr="00BE6829">
        <w:rPr>
          <w:rFonts w:ascii="Times New Roman" w:eastAsia="Google Sans Text" w:hAnsi="Times New Roman" w:cs="Times New Roman"/>
          <w:color w:val="1F1F1F"/>
        </w:rPr>
        <w:t>.</w:t>
      </w:r>
    </w:p>
    <w:p w:rsidR="00AB5936" w:rsidRPr="00BE6829" w:rsidRDefault="005E46B3"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A</w:t>
      </w:r>
      <w:r w:rsidR="0082765A" w:rsidRPr="00BE6829">
        <w:rPr>
          <w:rFonts w:ascii="Times New Roman" w:eastAsia="Google Sans Text" w:hAnsi="Times New Roman" w:cs="Times New Roman"/>
          <w:color w:val="1F1F1F"/>
        </w:rPr>
        <w:t xml:space="preserve">li, B.H., Blunden, G., </w:t>
      </w:r>
      <w:proofErr w:type="spellStart"/>
      <w:r w:rsidR="0082765A" w:rsidRPr="00BE6829">
        <w:rPr>
          <w:rFonts w:ascii="Times New Roman" w:eastAsia="Google Sans Text" w:hAnsi="Times New Roman" w:cs="Times New Roman"/>
          <w:color w:val="1F1F1F"/>
        </w:rPr>
        <w:t>Tanira</w:t>
      </w:r>
      <w:proofErr w:type="spellEnd"/>
      <w:r w:rsidR="0082765A" w:rsidRPr="00BE6829">
        <w:rPr>
          <w:rFonts w:ascii="Times New Roman" w:eastAsia="Google Sans Text" w:hAnsi="Times New Roman" w:cs="Times New Roman"/>
          <w:color w:val="1F1F1F"/>
        </w:rPr>
        <w:t xml:space="preserve">, M.O. and </w:t>
      </w:r>
      <w:proofErr w:type="spellStart"/>
      <w:r w:rsidR="0082765A" w:rsidRPr="00BE6829">
        <w:rPr>
          <w:rFonts w:ascii="Times New Roman" w:eastAsia="Google Sans Text" w:hAnsi="Times New Roman" w:cs="Times New Roman"/>
          <w:color w:val="1F1F1F"/>
        </w:rPr>
        <w:t>Nemmar</w:t>
      </w:r>
      <w:proofErr w:type="spellEnd"/>
      <w:r w:rsidR="0082765A" w:rsidRPr="00BE6829">
        <w:rPr>
          <w:rFonts w:ascii="Times New Roman" w:eastAsia="Google Sans Text" w:hAnsi="Times New Roman" w:cs="Times New Roman"/>
          <w:color w:val="1F1F1F"/>
        </w:rPr>
        <w:t xml:space="preserve">, A. (2008) 'Some phytochemical, pharmacological and toxicological properties of </w:t>
      </w:r>
      <w:r w:rsidR="003443B2" w:rsidRPr="00BE6829">
        <w:rPr>
          <w:rFonts w:ascii="Times New Roman" w:eastAsia="Google Sans Text" w:hAnsi="Times New Roman" w:cs="Times New Roman"/>
          <w:color w:val="1F1F1F"/>
        </w:rPr>
        <w:t>ginger</w:t>
      </w:r>
      <w:r w:rsidR="0082765A" w:rsidRPr="00BE6829">
        <w:rPr>
          <w:rFonts w:ascii="Times New Roman" w:eastAsia="Google Sans Text" w:hAnsi="Times New Roman" w:cs="Times New Roman"/>
          <w:color w:val="1F1F1F"/>
        </w:rPr>
        <w:t xml:space="preserve"> (Zingiber officinale Roscoe): A review of recent research', </w:t>
      </w:r>
      <w:r w:rsidR="0082765A" w:rsidRPr="00BE6829">
        <w:rPr>
          <w:rFonts w:ascii="Times New Roman" w:eastAsia="Google Sans Text" w:hAnsi="Times New Roman" w:cs="Times New Roman"/>
          <w:i/>
          <w:iCs/>
          <w:color w:val="1F1F1F"/>
        </w:rPr>
        <w:t>Food and Chemical Toxicology</w:t>
      </w:r>
      <w:r w:rsidR="0082765A" w:rsidRPr="00BE6829">
        <w:rPr>
          <w:rFonts w:ascii="Times New Roman" w:eastAsia="Google Sans Text" w:hAnsi="Times New Roman" w:cs="Times New Roman"/>
          <w:color w:val="1F1F1F"/>
        </w:rPr>
        <w:t xml:space="preserve">, 46(2), pp. 409–420. Available at: </w:t>
      </w:r>
      <w:hyperlink r:id="rId19">
        <w:r w:rsidR="0082765A" w:rsidRPr="00BE6829">
          <w:rPr>
            <w:rFonts w:ascii="Times New Roman" w:eastAsia="Google Sans Text" w:hAnsi="Times New Roman" w:cs="Times New Roman"/>
            <w:color w:val="0B57D0"/>
            <w:u w:val="single"/>
          </w:rPr>
          <w:t>https://doi.org/10.1016/j.fct.2007.09.085</w:t>
        </w:r>
      </w:hyperlink>
      <w:r w:rsidR="0082765A"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Alharbi</w:t>
      </w:r>
      <w:proofErr w:type="spellEnd"/>
      <w:r w:rsidRPr="00BE6829">
        <w:rPr>
          <w:rFonts w:ascii="Times New Roman" w:eastAsia="Google Sans Text" w:hAnsi="Times New Roman" w:cs="Times New Roman"/>
          <w:color w:val="1F1F1F"/>
        </w:rPr>
        <w:t>, K., Al-</w:t>
      </w:r>
      <w:proofErr w:type="spellStart"/>
      <w:r w:rsidRPr="00BE6829">
        <w:rPr>
          <w:rFonts w:ascii="Times New Roman" w:eastAsia="Google Sans Text" w:hAnsi="Times New Roman" w:cs="Times New Roman"/>
          <w:color w:val="1F1F1F"/>
        </w:rPr>
        <w:t>Osaimi</w:t>
      </w:r>
      <w:proofErr w:type="spellEnd"/>
      <w:r w:rsidRPr="00BE6829">
        <w:rPr>
          <w:rFonts w:ascii="Times New Roman" w:eastAsia="Google Sans Text" w:hAnsi="Times New Roman" w:cs="Times New Roman"/>
          <w:color w:val="1F1F1F"/>
        </w:rPr>
        <w:t xml:space="preserve">, A.A. and Alghamdi, B.A. (2022) 'Sodium chloride (NaCl)-induced physiological alteration and oxidative stress generation in Pisum sativum (L.): a toxicity assessment', </w:t>
      </w:r>
      <w:r w:rsidRPr="00BE6829">
        <w:rPr>
          <w:rFonts w:ascii="Times New Roman" w:eastAsia="Google Sans Text" w:hAnsi="Times New Roman" w:cs="Times New Roman"/>
          <w:i/>
          <w:iCs/>
          <w:color w:val="1F1F1F"/>
        </w:rPr>
        <w:t>ACS Omega</w:t>
      </w:r>
      <w:r w:rsidRPr="00BE6829">
        <w:rPr>
          <w:rFonts w:ascii="Times New Roman" w:eastAsia="Google Sans Text" w:hAnsi="Times New Roman" w:cs="Times New Roman"/>
          <w:color w:val="1F1F1F"/>
        </w:rPr>
        <w:t xml:space="preserve">, 7, pp. 20819–20832. Available at: </w:t>
      </w:r>
      <w:hyperlink r:id="rId20">
        <w:r w:rsidRPr="00BE6829">
          <w:rPr>
            <w:rFonts w:ascii="Times New Roman" w:eastAsia="Google Sans Text" w:hAnsi="Times New Roman" w:cs="Times New Roman"/>
            <w:color w:val="0B57D0"/>
            <w:u w:val="single"/>
          </w:rPr>
          <w:t>https://doi.org/10.1021/acsomega.2c01427</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Andrade, C.A., de Souza, K.R.D., de Oliveira Santos, M., da Silva, D.M. and Alves, J.D. (2018) 'Hydrogen peroxide promotes the tolerance of soybeans to waterlogging', </w:t>
      </w:r>
      <w:r w:rsidRPr="00BE6829">
        <w:rPr>
          <w:rFonts w:ascii="Times New Roman" w:eastAsia="Google Sans Text" w:hAnsi="Times New Roman" w:cs="Times New Roman"/>
          <w:i/>
          <w:iCs/>
          <w:color w:val="1F1F1F"/>
        </w:rPr>
        <w:t xml:space="preserve">Scientia </w:t>
      </w:r>
      <w:proofErr w:type="spellStart"/>
      <w:r w:rsidRPr="00BE6829">
        <w:rPr>
          <w:rFonts w:ascii="Times New Roman" w:eastAsia="Google Sans Text" w:hAnsi="Times New Roman" w:cs="Times New Roman"/>
          <w:i/>
          <w:iCs/>
          <w:color w:val="1F1F1F"/>
        </w:rPr>
        <w:t>Horticulturae</w:t>
      </w:r>
      <w:proofErr w:type="spellEnd"/>
      <w:r w:rsidRPr="00BE6829">
        <w:rPr>
          <w:rFonts w:ascii="Times New Roman" w:eastAsia="Google Sans Text" w:hAnsi="Times New Roman" w:cs="Times New Roman"/>
          <w:color w:val="1F1F1F"/>
        </w:rPr>
        <w:t xml:space="preserve">, 232, pp. 40–45. Available at: </w:t>
      </w:r>
      <w:hyperlink r:id="rId21">
        <w:r w:rsidRPr="00BE6829">
          <w:rPr>
            <w:rFonts w:ascii="Times New Roman" w:eastAsia="Google Sans Text" w:hAnsi="Times New Roman" w:cs="Times New Roman"/>
            <w:color w:val="0B57D0"/>
            <w:u w:val="single"/>
          </w:rPr>
          <w:t>https://doi.org/10.1016/j.scienta.2017.12.048</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Anjum, N.A., Gill, S.S., </w:t>
      </w:r>
      <w:proofErr w:type="spellStart"/>
      <w:r w:rsidRPr="00BE6829">
        <w:rPr>
          <w:rFonts w:ascii="Times New Roman" w:eastAsia="Google Sans Text" w:hAnsi="Times New Roman" w:cs="Times New Roman"/>
          <w:color w:val="1F1F1F"/>
        </w:rPr>
        <w:t>Corpas</w:t>
      </w:r>
      <w:proofErr w:type="spellEnd"/>
      <w:r w:rsidRPr="00BE6829">
        <w:rPr>
          <w:rFonts w:ascii="Times New Roman" w:eastAsia="Google Sans Text" w:hAnsi="Times New Roman" w:cs="Times New Roman"/>
          <w:color w:val="1F1F1F"/>
        </w:rPr>
        <w:t>, F.J., Ortega-</w:t>
      </w:r>
      <w:proofErr w:type="spellStart"/>
      <w:r w:rsidRPr="00BE6829">
        <w:rPr>
          <w:rFonts w:ascii="Times New Roman" w:eastAsia="Google Sans Text" w:hAnsi="Times New Roman" w:cs="Times New Roman"/>
          <w:color w:val="1F1F1F"/>
        </w:rPr>
        <w:t>Villasante</w:t>
      </w:r>
      <w:proofErr w:type="spellEnd"/>
      <w:r w:rsidRPr="00BE6829">
        <w:rPr>
          <w:rFonts w:ascii="Times New Roman" w:eastAsia="Google Sans Text" w:hAnsi="Times New Roman" w:cs="Times New Roman"/>
          <w:color w:val="1F1F1F"/>
        </w:rPr>
        <w:t xml:space="preserve">, C., Hernández, L.E., </w:t>
      </w:r>
      <w:proofErr w:type="spellStart"/>
      <w:r w:rsidRPr="00BE6829">
        <w:rPr>
          <w:rFonts w:ascii="Times New Roman" w:eastAsia="Google Sans Text" w:hAnsi="Times New Roman" w:cs="Times New Roman"/>
          <w:color w:val="1F1F1F"/>
        </w:rPr>
        <w:t>Tuteja</w:t>
      </w:r>
      <w:proofErr w:type="spellEnd"/>
      <w:r w:rsidRPr="00BE6829">
        <w:rPr>
          <w:rFonts w:ascii="Times New Roman" w:eastAsia="Google Sans Text" w:hAnsi="Times New Roman" w:cs="Times New Roman"/>
          <w:color w:val="1F1F1F"/>
        </w:rPr>
        <w:t xml:space="preserve">, N., </w:t>
      </w:r>
      <w:proofErr w:type="spellStart"/>
      <w:r w:rsidRPr="00BE6829">
        <w:rPr>
          <w:rFonts w:ascii="Times New Roman" w:eastAsia="Google Sans Text" w:hAnsi="Times New Roman" w:cs="Times New Roman"/>
          <w:color w:val="1F1F1F"/>
        </w:rPr>
        <w:t>Sofo</w:t>
      </w:r>
      <w:proofErr w:type="spellEnd"/>
      <w:r w:rsidRPr="00BE6829">
        <w:rPr>
          <w:rFonts w:ascii="Times New Roman" w:eastAsia="Google Sans Text" w:hAnsi="Times New Roman" w:cs="Times New Roman"/>
          <w:color w:val="1F1F1F"/>
        </w:rPr>
        <w:t xml:space="preserve">, A., </w:t>
      </w:r>
      <w:proofErr w:type="spellStart"/>
      <w:r w:rsidRPr="00BE6829">
        <w:rPr>
          <w:rFonts w:ascii="Times New Roman" w:eastAsia="Google Sans Text" w:hAnsi="Times New Roman" w:cs="Times New Roman"/>
          <w:color w:val="1F1F1F"/>
        </w:rPr>
        <w:t>Hasanuzzaman</w:t>
      </w:r>
      <w:proofErr w:type="spellEnd"/>
      <w:r w:rsidRPr="00BE6829">
        <w:rPr>
          <w:rFonts w:ascii="Times New Roman" w:eastAsia="Google Sans Text" w:hAnsi="Times New Roman" w:cs="Times New Roman"/>
          <w:color w:val="1F1F1F"/>
        </w:rPr>
        <w:t xml:space="preserve">, M. and Fujita, M. (2022) 'Editorial: recent insights into the double role of hydrogen peroxide in plants', </w:t>
      </w:r>
      <w:r w:rsidRPr="00BE6829">
        <w:rPr>
          <w:rFonts w:ascii="Times New Roman" w:eastAsia="Google Sans Text" w:hAnsi="Times New Roman" w:cs="Times New Roman"/>
          <w:i/>
          <w:iCs/>
          <w:color w:val="1F1F1F"/>
        </w:rPr>
        <w:t>Frontiers in Plant Science</w:t>
      </w:r>
      <w:r w:rsidRPr="00BE6829">
        <w:rPr>
          <w:rFonts w:ascii="Times New Roman" w:eastAsia="Google Sans Text" w:hAnsi="Times New Roman" w:cs="Times New Roman"/>
          <w:color w:val="1F1F1F"/>
        </w:rPr>
        <w:t xml:space="preserve">, 13, p. 843274. Available at: </w:t>
      </w:r>
      <w:hyperlink r:id="rId22">
        <w:r w:rsidRPr="00BE6829">
          <w:rPr>
            <w:rFonts w:ascii="Times New Roman" w:eastAsia="Google Sans Text" w:hAnsi="Times New Roman" w:cs="Times New Roman"/>
            <w:color w:val="0B57D0"/>
            <w:u w:val="single"/>
          </w:rPr>
          <w:t>https://doi.org/10.3389/fpls.2022.843274</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Chaudhry, S. and Sidhu, G.P.S. (2022) 'Climate change regulated abiotic stress mechanisms in plants: a comprehensive review', </w:t>
      </w:r>
      <w:r w:rsidRPr="00BE6829">
        <w:rPr>
          <w:rFonts w:ascii="Times New Roman" w:eastAsia="Google Sans Text" w:hAnsi="Times New Roman" w:cs="Times New Roman"/>
          <w:i/>
          <w:iCs/>
          <w:color w:val="1F1F1F"/>
        </w:rPr>
        <w:t>Plant Cell Reports</w:t>
      </w:r>
      <w:r w:rsidRPr="00BE6829">
        <w:rPr>
          <w:rFonts w:ascii="Times New Roman" w:eastAsia="Google Sans Text" w:hAnsi="Times New Roman" w:cs="Times New Roman"/>
          <w:color w:val="1F1F1F"/>
        </w:rPr>
        <w:t xml:space="preserve">, 41, pp. 1–31. Available at: </w:t>
      </w:r>
      <w:hyperlink r:id="rId23">
        <w:r w:rsidRPr="00BE6829">
          <w:rPr>
            <w:rFonts w:ascii="Times New Roman" w:eastAsia="Google Sans Text" w:hAnsi="Times New Roman" w:cs="Times New Roman"/>
            <w:color w:val="0B57D0"/>
            <w:u w:val="single"/>
          </w:rPr>
          <w:t>https://doi.org/10.1007/s00299-021-02759-5</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Cohen, J. (1988) </w:t>
      </w:r>
      <w:r w:rsidRPr="00BE6829">
        <w:rPr>
          <w:rFonts w:ascii="Times New Roman" w:eastAsia="Google Sans Text" w:hAnsi="Times New Roman" w:cs="Times New Roman"/>
          <w:i/>
          <w:iCs/>
          <w:color w:val="1F1F1F"/>
        </w:rPr>
        <w:t>Statistical power analysis for the behavioral sciences</w:t>
      </w:r>
      <w:r w:rsidRPr="00BE6829">
        <w:rPr>
          <w:rFonts w:ascii="Times New Roman" w:eastAsia="Google Sans Text" w:hAnsi="Times New Roman" w:cs="Times New Roman"/>
          <w:color w:val="1F1F1F"/>
        </w:rPr>
        <w:t>. Hillsdale: Lawrence Erlbaum.</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El </w:t>
      </w:r>
      <w:proofErr w:type="spellStart"/>
      <w:r w:rsidRPr="00BE6829">
        <w:rPr>
          <w:rFonts w:ascii="Times New Roman" w:eastAsia="Google Sans Text" w:hAnsi="Times New Roman" w:cs="Times New Roman"/>
          <w:color w:val="1F1F1F"/>
        </w:rPr>
        <w:t>Bilali</w:t>
      </w:r>
      <w:proofErr w:type="spellEnd"/>
      <w:r w:rsidRPr="00BE6829">
        <w:rPr>
          <w:rFonts w:ascii="Times New Roman" w:eastAsia="Google Sans Text" w:hAnsi="Times New Roman" w:cs="Times New Roman"/>
          <w:color w:val="1F1F1F"/>
        </w:rPr>
        <w:t xml:space="preserve">, H., </w:t>
      </w:r>
      <w:proofErr w:type="spellStart"/>
      <w:r w:rsidRPr="00BE6829">
        <w:rPr>
          <w:rFonts w:ascii="Times New Roman" w:eastAsia="Google Sans Text" w:hAnsi="Times New Roman" w:cs="Times New Roman"/>
          <w:color w:val="1F1F1F"/>
        </w:rPr>
        <w:t>Kiebre</w:t>
      </w:r>
      <w:proofErr w:type="spellEnd"/>
      <w:r w:rsidRPr="00BE6829">
        <w:rPr>
          <w:rFonts w:ascii="Times New Roman" w:eastAsia="Google Sans Text" w:hAnsi="Times New Roman" w:cs="Times New Roman"/>
          <w:color w:val="1F1F1F"/>
        </w:rPr>
        <w:t xml:space="preserve">, Z., </w:t>
      </w:r>
      <w:proofErr w:type="spellStart"/>
      <w:r w:rsidRPr="00BE6829">
        <w:rPr>
          <w:rFonts w:ascii="Times New Roman" w:eastAsia="Google Sans Text" w:hAnsi="Times New Roman" w:cs="Times New Roman"/>
          <w:color w:val="1F1F1F"/>
        </w:rPr>
        <w:t>Nanema</w:t>
      </w:r>
      <w:proofErr w:type="spellEnd"/>
      <w:r w:rsidRPr="00BE6829">
        <w:rPr>
          <w:rFonts w:ascii="Times New Roman" w:eastAsia="Google Sans Text" w:hAnsi="Times New Roman" w:cs="Times New Roman"/>
          <w:color w:val="1F1F1F"/>
        </w:rPr>
        <w:t xml:space="preserve">, R.K., </w:t>
      </w:r>
      <w:proofErr w:type="spellStart"/>
      <w:r w:rsidRPr="00BE6829">
        <w:rPr>
          <w:rFonts w:ascii="Times New Roman" w:eastAsia="Google Sans Text" w:hAnsi="Times New Roman" w:cs="Times New Roman"/>
          <w:color w:val="1F1F1F"/>
        </w:rPr>
        <w:t>Guimbo</w:t>
      </w:r>
      <w:proofErr w:type="spellEnd"/>
      <w:r w:rsidRPr="00BE6829">
        <w:rPr>
          <w:rFonts w:ascii="Times New Roman" w:eastAsia="Google Sans Text" w:hAnsi="Times New Roman" w:cs="Times New Roman"/>
          <w:color w:val="1F1F1F"/>
        </w:rPr>
        <w:t xml:space="preserve">, I.D., </w:t>
      </w:r>
      <w:proofErr w:type="spellStart"/>
      <w:r w:rsidRPr="00BE6829">
        <w:rPr>
          <w:rFonts w:ascii="Times New Roman" w:eastAsia="Google Sans Text" w:hAnsi="Times New Roman" w:cs="Times New Roman"/>
          <w:color w:val="1F1F1F"/>
        </w:rPr>
        <w:t>Rokka</w:t>
      </w:r>
      <w:proofErr w:type="spellEnd"/>
      <w:r w:rsidRPr="00BE6829">
        <w:rPr>
          <w:rFonts w:ascii="Times New Roman" w:eastAsia="Google Sans Text" w:hAnsi="Times New Roman" w:cs="Times New Roman"/>
          <w:color w:val="1F1F1F"/>
        </w:rPr>
        <w:t xml:space="preserve">, V.-M., Gonnella, M., </w:t>
      </w:r>
      <w:proofErr w:type="spellStart"/>
      <w:r w:rsidRPr="00BE6829">
        <w:rPr>
          <w:rFonts w:ascii="Times New Roman" w:eastAsia="Google Sans Text" w:hAnsi="Times New Roman" w:cs="Times New Roman"/>
          <w:color w:val="1F1F1F"/>
        </w:rPr>
        <w:t>Tietiambou</w:t>
      </w:r>
      <w:proofErr w:type="spellEnd"/>
      <w:r w:rsidRPr="00BE6829">
        <w:rPr>
          <w:rFonts w:ascii="Times New Roman" w:eastAsia="Google Sans Text" w:hAnsi="Times New Roman" w:cs="Times New Roman"/>
          <w:color w:val="1F1F1F"/>
        </w:rPr>
        <w:t xml:space="preserve">, S.R.F., </w:t>
      </w:r>
      <w:proofErr w:type="spellStart"/>
      <w:r w:rsidRPr="00BE6829">
        <w:rPr>
          <w:rFonts w:ascii="Times New Roman" w:eastAsia="Google Sans Text" w:hAnsi="Times New Roman" w:cs="Times New Roman"/>
          <w:color w:val="1F1F1F"/>
        </w:rPr>
        <w:t>Dambo</w:t>
      </w:r>
      <w:proofErr w:type="spellEnd"/>
      <w:r w:rsidRPr="00BE6829">
        <w:rPr>
          <w:rFonts w:ascii="Times New Roman" w:eastAsia="Google Sans Text" w:hAnsi="Times New Roman" w:cs="Times New Roman"/>
          <w:color w:val="1F1F1F"/>
        </w:rPr>
        <w:t xml:space="preserve">, L., </w:t>
      </w:r>
      <w:proofErr w:type="spellStart"/>
      <w:r w:rsidRPr="00BE6829">
        <w:rPr>
          <w:rFonts w:ascii="Times New Roman" w:eastAsia="Google Sans Text" w:hAnsi="Times New Roman" w:cs="Times New Roman"/>
          <w:color w:val="1F1F1F"/>
        </w:rPr>
        <w:t>Nanema</w:t>
      </w:r>
      <w:proofErr w:type="spellEnd"/>
      <w:r w:rsidRPr="00BE6829">
        <w:rPr>
          <w:rFonts w:ascii="Times New Roman" w:eastAsia="Google Sans Text" w:hAnsi="Times New Roman" w:cs="Times New Roman"/>
          <w:color w:val="1F1F1F"/>
        </w:rPr>
        <w:t xml:space="preserve">, J. and </w:t>
      </w:r>
      <w:proofErr w:type="spellStart"/>
      <w:r w:rsidRPr="00BE6829">
        <w:rPr>
          <w:rFonts w:ascii="Times New Roman" w:eastAsia="Google Sans Text" w:hAnsi="Times New Roman" w:cs="Times New Roman"/>
          <w:color w:val="1F1F1F"/>
        </w:rPr>
        <w:t>Grazioli</w:t>
      </w:r>
      <w:proofErr w:type="spellEnd"/>
      <w:r w:rsidRPr="00BE6829">
        <w:rPr>
          <w:rFonts w:ascii="Times New Roman" w:eastAsia="Google Sans Text" w:hAnsi="Times New Roman" w:cs="Times New Roman"/>
          <w:color w:val="1F1F1F"/>
        </w:rPr>
        <w:t xml:space="preserve">, F. (2024) 'Mapping Research on Bambara Groundnut (Vigna subterranea (L.) </w:t>
      </w:r>
      <w:proofErr w:type="spellStart"/>
      <w:r w:rsidRPr="00BE6829">
        <w:rPr>
          <w:rFonts w:ascii="Times New Roman" w:eastAsia="Google Sans Text" w:hAnsi="Times New Roman" w:cs="Times New Roman"/>
          <w:color w:val="1F1F1F"/>
        </w:rPr>
        <w:t>Verdc</w:t>
      </w:r>
      <w:proofErr w:type="spellEnd"/>
      <w:r w:rsidRPr="00BE6829">
        <w:rPr>
          <w:rFonts w:ascii="Times New Roman" w:eastAsia="Google Sans Text" w:hAnsi="Times New Roman" w:cs="Times New Roman"/>
          <w:color w:val="1F1F1F"/>
        </w:rPr>
        <w:t xml:space="preserve">.) in Africa: Bibliometric, Geographical, and Topical Perspectives', </w:t>
      </w:r>
      <w:r w:rsidRPr="00BE6829">
        <w:rPr>
          <w:rFonts w:ascii="Times New Roman" w:eastAsia="Google Sans Text" w:hAnsi="Times New Roman" w:cs="Times New Roman"/>
          <w:i/>
          <w:iCs/>
          <w:color w:val="1F1F1F"/>
        </w:rPr>
        <w:t>Agriculture</w:t>
      </w:r>
      <w:r w:rsidRPr="00BE6829">
        <w:rPr>
          <w:rFonts w:ascii="Times New Roman" w:eastAsia="Google Sans Text" w:hAnsi="Times New Roman" w:cs="Times New Roman"/>
          <w:color w:val="1F1F1F"/>
        </w:rPr>
        <w:t xml:space="preserve">, 14, p. 1541. Available at: </w:t>
      </w:r>
      <w:hyperlink r:id="rId24">
        <w:r w:rsidRPr="00BE6829">
          <w:rPr>
            <w:rFonts w:ascii="Times New Roman" w:eastAsia="Google Sans Text" w:hAnsi="Times New Roman" w:cs="Times New Roman"/>
            <w:color w:val="0B57D0"/>
            <w:u w:val="single"/>
          </w:rPr>
          <w:t>https://doi.org/10.3390/agriculture14091541</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FAO (2020) </w:t>
      </w:r>
      <w:r w:rsidRPr="00BE6829">
        <w:rPr>
          <w:rFonts w:ascii="Times New Roman" w:eastAsia="Google Sans Text" w:hAnsi="Times New Roman" w:cs="Times New Roman"/>
          <w:i/>
          <w:iCs/>
          <w:color w:val="1F1F1F"/>
        </w:rPr>
        <w:t>FAOSTAT Statistical Database: Crops and Livestock Products</w:t>
      </w:r>
      <w:r w:rsidRPr="00BE6829">
        <w:rPr>
          <w:rFonts w:ascii="Times New Roman" w:eastAsia="Google Sans Text" w:hAnsi="Times New Roman" w:cs="Times New Roman"/>
          <w:color w:val="1F1F1F"/>
        </w:rPr>
        <w:t xml:space="preserve">. Rome: FAO. Available at: </w:t>
      </w:r>
      <w:hyperlink r:id="rId25" w:anchor="data/QCL">
        <w:r w:rsidRPr="00BE6829">
          <w:rPr>
            <w:rFonts w:ascii="Times New Roman" w:eastAsia="Google Sans Text" w:hAnsi="Times New Roman" w:cs="Times New Roman"/>
            <w:color w:val="0B57D0"/>
            <w:u w:val="single"/>
          </w:rPr>
          <w:t>https://www.fao.org/faostat/en/#data/QCL</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Hamududu, B.H. and Ngoma, H. (2019) 'Impacts of climate change on water resources availability in Zambia', </w:t>
      </w:r>
      <w:r w:rsidRPr="00BE6829">
        <w:rPr>
          <w:rFonts w:ascii="Times New Roman" w:eastAsia="Google Sans Text" w:hAnsi="Times New Roman" w:cs="Times New Roman"/>
          <w:i/>
          <w:iCs/>
          <w:color w:val="1F1F1F"/>
        </w:rPr>
        <w:t>Water</w:t>
      </w:r>
      <w:r w:rsidRPr="00BE6829">
        <w:rPr>
          <w:rFonts w:ascii="Times New Roman" w:eastAsia="Google Sans Text" w:hAnsi="Times New Roman" w:cs="Times New Roman"/>
          <w:color w:val="1F1F1F"/>
        </w:rPr>
        <w:t xml:space="preserve">, 11(6), p. 1146. Available at: </w:t>
      </w:r>
      <w:hyperlink r:id="rId26">
        <w:r w:rsidRPr="00BE6829">
          <w:rPr>
            <w:rFonts w:ascii="Times New Roman" w:eastAsia="Google Sans Text" w:hAnsi="Times New Roman" w:cs="Times New Roman"/>
            <w:color w:val="0B57D0"/>
            <w:u w:val="single"/>
          </w:rPr>
          <w:t>https://doi.org/10.3390/w11061146</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Hasegawa, P.M., </w:t>
      </w:r>
      <w:proofErr w:type="spellStart"/>
      <w:r w:rsidRPr="00BE6829">
        <w:rPr>
          <w:rFonts w:ascii="Times New Roman" w:eastAsia="Google Sans Text" w:hAnsi="Times New Roman" w:cs="Times New Roman"/>
          <w:color w:val="1F1F1F"/>
        </w:rPr>
        <w:t>Bressan</w:t>
      </w:r>
      <w:proofErr w:type="spellEnd"/>
      <w:r w:rsidRPr="00BE6829">
        <w:rPr>
          <w:rFonts w:ascii="Times New Roman" w:eastAsia="Google Sans Text" w:hAnsi="Times New Roman" w:cs="Times New Roman"/>
          <w:color w:val="1F1F1F"/>
        </w:rPr>
        <w:t xml:space="preserve">, R.A., Zhu, J.K. and </w:t>
      </w:r>
      <w:proofErr w:type="spellStart"/>
      <w:r w:rsidRPr="00BE6829">
        <w:rPr>
          <w:rFonts w:ascii="Times New Roman" w:eastAsia="Google Sans Text" w:hAnsi="Times New Roman" w:cs="Times New Roman"/>
          <w:color w:val="1F1F1F"/>
        </w:rPr>
        <w:t>Bohnert</w:t>
      </w:r>
      <w:proofErr w:type="spellEnd"/>
      <w:r w:rsidRPr="00BE6829">
        <w:rPr>
          <w:rFonts w:ascii="Times New Roman" w:eastAsia="Google Sans Text" w:hAnsi="Times New Roman" w:cs="Times New Roman"/>
          <w:color w:val="1F1F1F"/>
        </w:rPr>
        <w:t xml:space="preserve">, H.J. (2000) 'Plant cellular and molecular responses to high salinity', </w:t>
      </w:r>
      <w:r w:rsidRPr="00BE6829">
        <w:rPr>
          <w:rFonts w:ascii="Times New Roman" w:eastAsia="Google Sans Text" w:hAnsi="Times New Roman" w:cs="Times New Roman"/>
          <w:i/>
          <w:iCs/>
          <w:color w:val="1F1F1F"/>
        </w:rPr>
        <w:t>Annual Review of Plant Physiology and Plant Molecular Biology</w:t>
      </w:r>
      <w:r w:rsidRPr="00BE6829">
        <w:rPr>
          <w:rFonts w:ascii="Times New Roman" w:eastAsia="Google Sans Text" w:hAnsi="Times New Roman" w:cs="Times New Roman"/>
          <w:color w:val="1F1F1F"/>
        </w:rPr>
        <w:t xml:space="preserve">, 51, pp. 463–499. Available at: </w:t>
      </w:r>
      <w:hyperlink r:id="rId27">
        <w:r w:rsidRPr="00BE6829">
          <w:rPr>
            <w:rFonts w:ascii="Times New Roman" w:eastAsia="Google Sans Text" w:hAnsi="Times New Roman" w:cs="Times New Roman"/>
            <w:color w:val="0B57D0"/>
            <w:u w:val="single"/>
          </w:rPr>
          <w:t>https://doi.org/10.1146/annurev.arplant.51.1.463</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Hossain, M.A., Bhattacharjee, S., Armin, S.M., Qian, P., Xin, W., Li, H.Y., Burritt, D.J., Fujita, M. and Tran, L.P. (2015) 'Hydrogen peroxide priming modulates abiotic oxidative stress tolerance: insights from ROS detoxification', </w:t>
      </w:r>
      <w:r w:rsidRPr="00BE6829">
        <w:rPr>
          <w:rFonts w:ascii="Times New Roman" w:eastAsia="Google Sans Text" w:hAnsi="Times New Roman" w:cs="Times New Roman"/>
          <w:i/>
          <w:iCs/>
          <w:color w:val="1F1F1F"/>
        </w:rPr>
        <w:t>Frontiers in Plant Science</w:t>
      </w:r>
      <w:r w:rsidRPr="00BE6829">
        <w:rPr>
          <w:rFonts w:ascii="Times New Roman" w:eastAsia="Google Sans Text" w:hAnsi="Times New Roman" w:cs="Times New Roman"/>
          <w:color w:val="1F1F1F"/>
        </w:rPr>
        <w:t xml:space="preserve">, 6, p. 420. Available at: </w:t>
      </w:r>
      <w:hyperlink r:id="rId28">
        <w:r w:rsidRPr="00BE6829">
          <w:rPr>
            <w:rFonts w:ascii="Times New Roman" w:eastAsia="Google Sans Text" w:hAnsi="Times New Roman" w:cs="Times New Roman"/>
            <w:color w:val="0B57D0"/>
            <w:u w:val="single"/>
          </w:rPr>
          <w:t>https://doi.org/10.3389/fpls.2015.00420</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IAPRI (2023) </w:t>
      </w:r>
      <w:r w:rsidRPr="00BE6829">
        <w:rPr>
          <w:rFonts w:ascii="Times New Roman" w:eastAsia="Google Sans Text" w:hAnsi="Times New Roman" w:cs="Times New Roman"/>
          <w:i/>
          <w:iCs/>
          <w:color w:val="1F1F1F"/>
        </w:rPr>
        <w:t>Zambian Agriculture Status Report 2023</w:t>
      </w:r>
      <w:r w:rsidRPr="00BE6829">
        <w:rPr>
          <w:rFonts w:ascii="Times New Roman" w:eastAsia="Google Sans Text" w:hAnsi="Times New Roman" w:cs="Times New Roman"/>
          <w:color w:val="1F1F1F"/>
        </w:rPr>
        <w:t xml:space="preserve">. Lusaka: Indaba Agricultural Policy Research Institute. Available at: </w:t>
      </w:r>
      <w:hyperlink r:id="rId29">
        <w:r w:rsidRPr="00BE6829">
          <w:rPr>
            <w:rFonts w:ascii="Times New Roman" w:eastAsia="Google Sans Text" w:hAnsi="Times New Roman" w:cs="Times New Roman"/>
            <w:color w:val="0B57D0"/>
            <w:u w:val="single"/>
          </w:rPr>
          <w:t>https://www.iapri.org.zm/</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Johnson, R. and </w:t>
      </w:r>
      <w:proofErr w:type="spellStart"/>
      <w:r w:rsidRPr="00BE6829">
        <w:rPr>
          <w:rFonts w:ascii="Times New Roman" w:eastAsia="Google Sans Text" w:hAnsi="Times New Roman" w:cs="Times New Roman"/>
          <w:color w:val="1F1F1F"/>
        </w:rPr>
        <w:t>Puthur</w:t>
      </w:r>
      <w:proofErr w:type="spellEnd"/>
      <w:r w:rsidRPr="00BE6829">
        <w:rPr>
          <w:rFonts w:ascii="Times New Roman" w:eastAsia="Google Sans Text" w:hAnsi="Times New Roman" w:cs="Times New Roman"/>
          <w:color w:val="1F1F1F"/>
        </w:rPr>
        <w:t xml:space="preserve">, J.T. (2021) 'Seed priming as a cost effective technique for developing plants with cross tolerance', </w:t>
      </w:r>
      <w:r w:rsidRPr="00BE6829">
        <w:rPr>
          <w:rFonts w:ascii="Times New Roman" w:eastAsia="Google Sans Text" w:hAnsi="Times New Roman" w:cs="Times New Roman"/>
          <w:i/>
          <w:iCs/>
          <w:color w:val="1F1F1F"/>
        </w:rPr>
        <w:t>Plant Physiology and Biochemistry</w:t>
      </w:r>
      <w:r w:rsidRPr="00BE6829">
        <w:rPr>
          <w:rFonts w:ascii="Times New Roman" w:eastAsia="Google Sans Text" w:hAnsi="Times New Roman" w:cs="Times New Roman"/>
          <w:color w:val="1F1F1F"/>
        </w:rPr>
        <w:t xml:space="preserve">, 162, pp. 247–257. Available at: </w:t>
      </w:r>
      <w:hyperlink r:id="rId30">
        <w:r w:rsidRPr="00BE6829">
          <w:rPr>
            <w:rFonts w:ascii="Times New Roman" w:eastAsia="Google Sans Text" w:hAnsi="Times New Roman" w:cs="Times New Roman"/>
            <w:color w:val="0B57D0"/>
            <w:u w:val="single"/>
          </w:rPr>
          <w:t>https://doi.org/10.1016/j.plaphy.2021.02.034</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Khan, M.M.H., </w:t>
      </w:r>
      <w:proofErr w:type="spellStart"/>
      <w:r w:rsidRPr="00BE6829">
        <w:rPr>
          <w:rFonts w:ascii="Times New Roman" w:eastAsia="Google Sans Text" w:hAnsi="Times New Roman" w:cs="Times New Roman"/>
          <w:color w:val="1F1F1F"/>
        </w:rPr>
        <w:t>Rafii</w:t>
      </w:r>
      <w:proofErr w:type="spellEnd"/>
      <w:r w:rsidRPr="00BE6829">
        <w:rPr>
          <w:rFonts w:ascii="Times New Roman" w:eastAsia="Google Sans Text" w:hAnsi="Times New Roman" w:cs="Times New Roman"/>
          <w:color w:val="1F1F1F"/>
        </w:rPr>
        <w:t xml:space="preserve">, M.Y., </w:t>
      </w:r>
      <w:proofErr w:type="spellStart"/>
      <w:r w:rsidRPr="00BE6829">
        <w:rPr>
          <w:rFonts w:ascii="Times New Roman" w:eastAsia="Google Sans Text" w:hAnsi="Times New Roman" w:cs="Times New Roman"/>
          <w:color w:val="1F1F1F"/>
        </w:rPr>
        <w:t>Ramlee</w:t>
      </w:r>
      <w:proofErr w:type="spellEnd"/>
      <w:r w:rsidRPr="00BE6829">
        <w:rPr>
          <w:rFonts w:ascii="Times New Roman" w:eastAsia="Google Sans Text" w:hAnsi="Times New Roman" w:cs="Times New Roman"/>
          <w:color w:val="1F1F1F"/>
        </w:rPr>
        <w:t xml:space="preserve">, S.I., </w:t>
      </w:r>
      <w:proofErr w:type="spellStart"/>
      <w:r w:rsidRPr="00BE6829">
        <w:rPr>
          <w:rFonts w:ascii="Times New Roman" w:eastAsia="Google Sans Text" w:hAnsi="Times New Roman" w:cs="Times New Roman"/>
          <w:color w:val="1F1F1F"/>
        </w:rPr>
        <w:t>Jusoh</w:t>
      </w:r>
      <w:proofErr w:type="spellEnd"/>
      <w:r w:rsidRPr="00BE6829">
        <w:rPr>
          <w:rFonts w:ascii="Times New Roman" w:eastAsia="Google Sans Text" w:hAnsi="Times New Roman" w:cs="Times New Roman"/>
          <w:color w:val="1F1F1F"/>
        </w:rPr>
        <w:t xml:space="preserve">, M. and Al-Mamun, M. (2021) 'Bambara Groundnut (Vigna subterranea L. </w:t>
      </w:r>
      <w:proofErr w:type="spellStart"/>
      <w:r w:rsidRPr="00BE6829">
        <w:rPr>
          <w:rFonts w:ascii="Times New Roman" w:eastAsia="Google Sans Text" w:hAnsi="Times New Roman" w:cs="Times New Roman"/>
          <w:color w:val="1F1F1F"/>
        </w:rPr>
        <w:t>Verdc</w:t>
      </w:r>
      <w:proofErr w:type="spellEnd"/>
      <w:r w:rsidRPr="00BE6829">
        <w:rPr>
          <w:rFonts w:ascii="Times New Roman" w:eastAsia="Google Sans Text" w:hAnsi="Times New Roman" w:cs="Times New Roman"/>
          <w:color w:val="1F1F1F"/>
        </w:rPr>
        <w:t xml:space="preserve">): A Crop for the New Millennium', </w:t>
      </w:r>
      <w:r w:rsidRPr="00BE6829">
        <w:rPr>
          <w:rFonts w:ascii="Times New Roman" w:eastAsia="Google Sans Text" w:hAnsi="Times New Roman" w:cs="Times New Roman"/>
          <w:i/>
          <w:iCs/>
          <w:color w:val="1F1F1F"/>
        </w:rPr>
        <w:t>Sustainability</w:t>
      </w:r>
      <w:r w:rsidRPr="00BE6829">
        <w:rPr>
          <w:rFonts w:ascii="Times New Roman" w:eastAsia="Google Sans Text" w:hAnsi="Times New Roman" w:cs="Times New Roman"/>
          <w:color w:val="1F1F1F"/>
        </w:rPr>
        <w:t xml:space="preserve">, 13, p. 5530. Available at: </w:t>
      </w:r>
      <w:hyperlink r:id="rId31">
        <w:r w:rsidRPr="00BE6829">
          <w:rPr>
            <w:rFonts w:ascii="Times New Roman" w:eastAsia="Google Sans Text" w:hAnsi="Times New Roman" w:cs="Times New Roman"/>
            <w:color w:val="0B57D0"/>
            <w:u w:val="single"/>
          </w:rPr>
          <w:t>https://doi.org/10.3390/su13105530</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Kunene, S., </w:t>
      </w:r>
      <w:proofErr w:type="spellStart"/>
      <w:r w:rsidRPr="00BE6829">
        <w:rPr>
          <w:rFonts w:ascii="Times New Roman" w:eastAsia="Google Sans Text" w:hAnsi="Times New Roman" w:cs="Times New Roman"/>
          <w:color w:val="1F1F1F"/>
        </w:rPr>
        <w:t>Gerrano</w:t>
      </w:r>
      <w:proofErr w:type="spellEnd"/>
      <w:r w:rsidRPr="00BE6829">
        <w:rPr>
          <w:rFonts w:ascii="Times New Roman" w:eastAsia="Google Sans Text" w:hAnsi="Times New Roman" w:cs="Times New Roman"/>
          <w:color w:val="1F1F1F"/>
        </w:rPr>
        <w:t xml:space="preserve">, A.S. and </w:t>
      </w:r>
      <w:proofErr w:type="spellStart"/>
      <w:r w:rsidRPr="00BE6829">
        <w:rPr>
          <w:rFonts w:ascii="Times New Roman" w:eastAsia="Google Sans Text" w:hAnsi="Times New Roman" w:cs="Times New Roman"/>
          <w:color w:val="1F1F1F"/>
        </w:rPr>
        <w:t>Odindo</w:t>
      </w:r>
      <w:proofErr w:type="spellEnd"/>
      <w:r w:rsidRPr="00BE6829">
        <w:rPr>
          <w:rFonts w:ascii="Times New Roman" w:eastAsia="Google Sans Text" w:hAnsi="Times New Roman" w:cs="Times New Roman"/>
          <w:color w:val="1F1F1F"/>
        </w:rPr>
        <w:t xml:space="preserve">, A.O. (2025) 'Drought tolerance assessment of Bambara groundnut accessions based on morphological and physiological traits', </w:t>
      </w:r>
      <w:r w:rsidRPr="00BE6829">
        <w:rPr>
          <w:rFonts w:ascii="Times New Roman" w:eastAsia="Google Sans Text" w:hAnsi="Times New Roman" w:cs="Times New Roman"/>
          <w:i/>
          <w:iCs/>
          <w:color w:val="1F1F1F"/>
        </w:rPr>
        <w:t>South African Journal of Botany</w:t>
      </w:r>
      <w:r w:rsidRPr="00BE6829">
        <w:rPr>
          <w:rFonts w:ascii="Times New Roman" w:eastAsia="Google Sans Text" w:hAnsi="Times New Roman" w:cs="Times New Roman"/>
          <w:color w:val="1F1F1F"/>
        </w:rPr>
        <w:t xml:space="preserve">, 184, pp. 880–894. Available at: </w:t>
      </w:r>
      <w:hyperlink r:id="rId32">
        <w:r w:rsidRPr="00BE6829">
          <w:rPr>
            <w:rFonts w:ascii="Times New Roman" w:eastAsia="Google Sans Text" w:hAnsi="Times New Roman" w:cs="Times New Roman"/>
            <w:color w:val="0B57D0"/>
            <w:u w:val="single"/>
          </w:rPr>
          <w:t>https://doi.org/10.1016/j.sajb.2025.07.002</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Kunene, S., </w:t>
      </w:r>
      <w:proofErr w:type="spellStart"/>
      <w:r w:rsidRPr="00BE6829">
        <w:rPr>
          <w:rFonts w:ascii="Times New Roman" w:eastAsia="Google Sans Text" w:hAnsi="Times New Roman" w:cs="Times New Roman"/>
          <w:color w:val="1F1F1F"/>
        </w:rPr>
        <w:t>Odindo</w:t>
      </w:r>
      <w:proofErr w:type="spellEnd"/>
      <w:r w:rsidRPr="00BE6829">
        <w:rPr>
          <w:rFonts w:ascii="Times New Roman" w:eastAsia="Google Sans Text" w:hAnsi="Times New Roman" w:cs="Times New Roman"/>
          <w:color w:val="1F1F1F"/>
        </w:rPr>
        <w:t xml:space="preserve">, A.O., </w:t>
      </w:r>
      <w:proofErr w:type="spellStart"/>
      <w:r w:rsidRPr="00BE6829">
        <w:rPr>
          <w:rFonts w:ascii="Times New Roman" w:eastAsia="Google Sans Text" w:hAnsi="Times New Roman" w:cs="Times New Roman"/>
          <w:color w:val="1F1F1F"/>
        </w:rPr>
        <w:t>Gerrano</w:t>
      </w:r>
      <w:proofErr w:type="spellEnd"/>
      <w:r w:rsidRPr="00BE6829">
        <w:rPr>
          <w:rFonts w:ascii="Times New Roman" w:eastAsia="Google Sans Text" w:hAnsi="Times New Roman" w:cs="Times New Roman"/>
          <w:color w:val="1F1F1F"/>
        </w:rPr>
        <w:t xml:space="preserve">, A.S. and </w:t>
      </w:r>
      <w:proofErr w:type="spellStart"/>
      <w:r w:rsidRPr="00BE6829">
        <w:rPr>
          <w:rFonts w:ascii="Times New Roman" w:eastAsia="Google Sans Text" w:hAnsi="Times New Roman" w:cs="Times New Roman"/>
          <w:color w:val="1F1F1F"/>
        </w:rPr>
        <w:t>Mandizvo</w:t>
      </w:r>
      <w:proofErr w:type="spellEnd"/>
      <w:r w:rsidRPr="00BE6829">
        <w:rPr>
          <w:rFonts w:ascii="Times New Roman" w:eastAsia="Google Sans Text" w:hAnsi="Times New Roman" w:cs="Times New Roman"/>
          <w:color w:val="1F1F1F"/>
        </w:rPr>
        <w:t xml:space="preserve">, T. (2022) 'Screening Bambara Groundnut Genotypes for Drought Tolerance at the Germination Stage', </w:t>
      </w:r>
      <w:r w:rsidRPr="00BE6829">
        <w:rPr>
          <w:rFonts w:ascii="Times New Roman" w:eastAsia="Google Sans Text" w:hAnsi="Times New Roman" w:cs="Times New Roman"/>
          <w:i/>
          <w:iCs/>
          <w:color w:val="1F1F1F"/>
        </w:rPr>
        <w:t>Plants</w:t>
      </w:r>
      <w:r w:rsidRPr="00BE6829">
        <w:rPr>
          <w:rFonts w:ascii="Times New Roman" w:eastAsia="Google Sans Text" w:hAnsi="Times New Roman" w:cs="Times New Roman"/>
          <w:color w:val="1F1F1F"/>
        </w:rPr>
        <w:t xml:space="preserve">, 11, p. 3562. Available at: </w:t>
      </w:r>
      <w:hyperlink r:id="rId33">
        <w:r w:rsidRPr="00BE6829">
          <w:rPr>
            <w:rFonts w:ascii="Times New Roman" w:eastAsia="Google Sans Text" w:hAnsi="Times New Roman" w:cs="Times New Roman"/>
            <w:color w:val="0B57D0"/>
            <w:u w:val="single"/>
          </w:rPr>
          <w:t>https://doi.org/10.3390/plants11243562</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Levine, T.R. and </w:t>
      </w:r>
      <w:proofErr w:type="spellStart"/>
      <w:r w:rsidRPr="00BE6829">
        <w:rPr>
          <w:rFonts w:ascii="Times New Roman" w:eastAsia="Google Sans Text" w:hAnsi="Times New Roman" w:cs="Times New Roman"/>
          <w:color w:val="1F1F1F"/>
        </w:rPr>
        <w:t>Hullett</w:t>
      </w:r>
      <w:proofErr w:type="spellEnd"/>
      <w:r w:rsidRPr="00BE6829">
        <w:rPr>
          <w:rFonts w:ascii="Times New Roman" w:eastAsia="Google Sans Text" w:hAnsi="Times New Roman" w:cs="Times New Roman"/>
          <w:color w:val="1F1F1F"/>
        </w:rPr>
        <w:t xml:space="preserve">, C.R. (2002) 'Eta squared, partial eta squared, and misreporting of effect size in communication research', </w:t>
      </w:r>
      <w:r w:rsidRPr="00BE6829">
        <w:rPr>
          <w:rFonts w:ascii="Times New Roman" w:eastAsia="Google Sans Text" w:hAnsi="Times New Roman" w:cs="Times New Roman"/>
          <w:i/>
          <w:iCs/>
          <w:color w:val="1F1F1F"/>
        </w:rPr>
        <w:t>Human Communication Research</w:t>
      </w:r>
      <w:r w:rsidRPr="00BE6829">
        <w:rPr>
          <w:rFonts w:ascii="Times New Roman" w:eastAsia="Google Sans Text" w:hAnsi="Times New Roman" w:cs="Times New Roman"/>
          <w:color w:val="1F1F1F"/>
        </w:rPr>
        <w:t xml:space="preserve">, 28, pp. 612–625. Available at: </w:t>
      </w:r>
      <w:hyperlink r:id="rId34">
        <w:r w:rsidRPr="00BE6829">
          <w:rPr>
            <w:rFonts w:ascii="Times New Roman" w:eastAsia="Google Sans Text" w:hAnsi="Times New Roman" w:cs="Times New Roman"/>
            <w:color w:val="0B57D0"/>
            <w:u w:val="single"/>
          </w:rPr>
          <w:t>https://doi.org/10.1111/j.1468-2958.2002.tb00828.x</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Lichtenthaler</w:t>
      </w:r>
      <w:proofErr w:type="spellEnd"/>
      <w:r w:rsidRPr="00BE6829">
        <w:rPr>
          <w:rFonts w:ascii="Times New Roman" w:eastAsia="Google Sans Text" w:hAnsi="Times New Roman" w:cs="Times New Roman"/>
          <w:color w:val="1F1F1F"/>
        </w:rPr>
        <w:t xml:space="preserve">, H.K. (1987) 'Chlorophylls and carotenoids: pigments of photosynthetic </w:t>
      </w:r>
      <w:proofErr w:type="spellStart"/>
      <w:r w:rsidRPr="00BE6829">
        <w:rPr>
          <w:rFonts w:ascii="Times New Roman" w:eastAsia="Google Sans Text" w:hAnsi="Times New Roman" w:cs="Times New Roman"/>
          <w:color w:val="1F1F1F"/>
        </w:rPr>
        <w:t>biomembranes</w:t>
      </w:r>
      <w:proofErr w:type="spellEnd"/>
      <w:r w:rsidRPr="00BE6829">
        <w:rPr>
          <w:rFonts w:ascii="Times New Roman" w:eastAsia="Google Sans Text" w:hAnsi="Times New Roman" w:cs="Times New Roman"/>
          <w:color w:val="1F1F1F"/>
        </w:rPr>
        <w:t xml:space="preserve">', </w:t>
      </w:r>
      <w:r w:rsidRPr="00BE6829">
        <w:rPr>
          <w:rFonts w:ascii="Times New Roman" w:eastAsia="Google Sans Text" w:hAnsi="Times New Roman" w:cs="Times New Roman"/>
          <w:i/>
          <w:iCs/>
          <w:color w:val="1F1F1F"/>
        </w:rPr>
        <w:t>Methods in Enzymology</w:t>
      </w:r>
      <w:r w:rsidRPr="00BE6829">
        <w:rPr>
          <w:rFonts w:ascii="Times New Roman" w:eastAsia="Google Sans Text" w:hAnsi="Times New Roman" w:cs="Times New Roman"/>
          <w:color w:val="1F1F1F"/>
        </w:rPr>
        <w:t xml:space="preserve">, Academic Press, pp. 350–382. Available at: </w:t>
      </w:r>
      <w:hyperlink r:id="rId35">
        <w:r w:rsidRPr="00BE6829">
          <w:rPr>
            <w:rFonts w:ascii="Times New Roman" w:eastAsia="Google Sans Text" w:hAnsi="Times New Roman" w:cs="Times New Roman"/>
            <w:color w:val="0B57D0"/>
            <w:u w:val="single"/>
          </w:rPr>
          <w:t>https://doi.org/10.1016/0076-6879(87)48036-1</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Liu, X., Quan, W. and Bartels, D. (2022b) 'Stress memory responses and seed priming correlate with drought tolerance in plants: an overview', </w:t>
      </w:r>
      <w:r w:rsidRPr="00BE6829">
        <w:rPr>
          <w:rFonts w:ascii="Times New Roman" w:eastAsia="Google Sans Text" w:hAnsi="Times New Roman" w:cs="Times New Roman"/>
          <w:i/>
          <w:iCs/>
          <w:color w:val="1F1F1F"/>
        </w:rPr>
        <w:t>Planta</w:t>
      </w:r>
      <w:r w:rsidRPr="00BE6829">
        <w:rPr>
          <w:rFonts w:ascii="Times New Roman" w:eastAsia="Google Sans Text" w:hAnsi="Times New Roman" w:cs="Times New Roman"/>
          <w:color w:val="1F1F1F"/>
        </w:rPr>
        <w:t xml:space="preserve">, 255, p. 45. Available at: </w:t>
      </w:r>
      <w:hyperlink r:id="rId36">
        <w:r w:rsidRPr="00BE6829">
          <w:rPr>
            <w:rFonts w:ascii="Times New Roman" w:eastAsia="Google Sans Text" w:hAnsi="Times New Roman" w:cs="Times New Roman"/>
            <w:color w:val="0B57D0"/>
            <w:u w:val="single"/>
          </w:rPr>
          <w:t>https://doi.org/10.1007/s00425-022-03828-z</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Mabhaudhi, T., </w:t>
      </w:r>
      <w:proofErr w:type="spellStart"/>
      <w:r w:rsidRPr="00BE6829">
        <w:rPr>
          <w:rFonts w:ascii="Times New Roman" w:eastAsia="Google Sans Text" w:hAnsi="Times New Roman" w:cs="Times New Roman"/>
          <w:color w:val="1F1F1F"/>
        </w:rPr>
        <w:t>Chibarabada</w:t>
      </w:r>
      <w:proofErr w:type="spellEnd"/>
      <w:r w:rsidRPr="00BE6829">
        <w:rPr>
          <w:rFonts w:ascii="Times New Roman" w:eastAsia="Google Sans Text" w:hAnsi="Times New Roman" w:cs="Times New Roman"/>
          <w:color w:val="1F1F1F"/>
        </w:rPr>
        <w:t xml:space="preserve">, T.P. and Modi, A.T. (2018) 'Bambara groundnut: A climate-smart crop for food security', </w:t>
      </w:r>
      <w:r w:rsidRPr="00BE6829">
        <w:rPr>
          <w:rFonts w:ascii="Times New Roman" w:eastAsia="Google Sans Text" w:hAnsi="Times New Roman" w:cs="Times New Roman"/>
          <w:i/>
          <w:iCs/>
          <w:color w:val="1F1F1F"/>
        </w:rPr>
        <w:t>Agronomy Journal</w:t>
      </w:r>
      <w:r w:rsidRPr="00BE6829">
        <w:rPr>
          <w:rFonts w:ascii="Times New Roman" w:eastAsia="Google Sans Text" w:hAnsi="Times New Roman" w:cs="Times New Roman"/>
          <w:color w:val="1F1F1F"/>
        </w:rPr>
        <w:t xml:space="preserve">, 110, pp. 1215–1226. Available at: </w:t>
      </w:r>
      <w:hyperlink r:id="rId37">
        <w:r w:rsidRPr="00BE6829">
          <w:rPr>
            <w:rFonts w:ascii="Times New Roman" w:eastAsia="Google Sans Text" w:hAnsi="Times New Roman" w:cs="Times New Roman"/>
            <w:color w:val="0B57D0"/>
            <w:u w:val="single"/>
          </w:rPr>
          <w:t>https://doi.org/10.2134/agronj2017.10.0583</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Majola</w:t>
      </w:r>
      <w:proofErr w:type="spellEnd"/>
      <w:r w:rsidRPr="00BE6829">
        <w:rPr>
          <w:rFonts w:ascii="Times New Roman" w:eastAsia="Google Sans Text" w:hAnsi="Times New Roman" w:cs="Times New Roman"/>
          <w:color w:val="1F1F1F"/>
        </w:rPr>
        <w:t xml:space="preserve">, N.G., </w:t>
      </w:r>
      <w:proofErr w:type="spellStart"/>
      <w:r w:rsidRPr="00BE6829">
        <w:rPr>
          <w:rFonts w:ascii="Times New Roman" w:eastAsia="Google Sans Text" w:hAnsi="Times New Roman" w:cs="Times New Roman"/>
          <w:color w:val="1F1F1F"/>
        </w:rPr>
        <w:t>Gerrano</w:t>
      </w:r>
      <w:proofErr w:type="spellEnd"/>
      <w:r w:rsidRPr="00BE6829">
        <w:rPr>
          <w:rFonts w:ascii="Times New Roman" w:eastAsia="Google Sans Text" w:hAnsi="Times New Roman" w:cs="Times New Roman"/>
          <w:color w:val="1F1F1F"/>
        </w:rPr>
        <w:t xml:space="preserve">, A.S. and Hussein, S. (2021) 'Bambara Groundnut (Vigna subterranea [L.] </w:t>
      </w:r>
      <w:proofErr w:type="spellStart"/>
      <w:r w:rsidRPr="00BE6829">
        <w:rPr>
          <w:rFonts w:ascii="Times New Roman" w:eastAsia="Google Sans Text" w:hAnsi="Times New Roman" w:cs="Times New Roman"/>
          <w:color w:val="1F1F1F"/>
        </w:rPr>
        <w:lastRenderedPageBreak/>
        <w:t>Verdc</w:t>
      </w:r>
      <w:proofErr w:type="spellEnd"/>
      <w:r w:rsidRPr="00BE6829">
        <w:rPr>
          <w:rFonts w:ascii="Times New Roman" w:eastAsia="Google Sans Text" w:hAnsi="Times New Roman" w:cs="Times New Roman"/>
          <w:color w:val="1F1F1F"/>
        </w:rPr>
        <w:t xml:space="preserve">.) Production, </w:t>
      </w:r>
      <w:proofErr w:type="spellStart"/>
      <w:r w:rsidRPr="00BE6829">
        <w:rPr>
          <w:rFonts w:ascii="Times New Roman" w:eastAsia="Google Sans Text" w:hAnsi="Times New Roman" w:cs="Times New Roman"/>
          <w:color w:val="1F1F1F"/>
        </w:rPr>
        <w:t>Utilisation</w:t>
      </w:r>
      <w:proofErr w:type="spellEnd"/>
      <w:r w:rsidRPr="00BE6829">
        <w:rPr>
          <w:rFonts w:ascii="Times New Roman" w:eastAsia="Google Sans Text" w:hAnsi="Times New Roman" w:cs="Times New Roman"/>
          <w:color w:val="1F1F1F"/>
        </w:rPr>
        <w:t xml:space="preserve"> and Genetic Improvement', </w:t>
      </w:r>
      <w:r w:rsidRPr="00BE6829">
        <w:rPr>
          <w:rFonts w:ascii="Times New Roman" w:eastAsia="Google Sans Text" w:hAnsi="Times New Roman" w:cs="Times New Roman"/>
          <w:i/>
          <w:iCs/>
          <w:color w:val="1F1F1F"/>
        </w:rPr>
        <w:t>Agronomy</w:t>
      </w:r>
      <w:r w:rsidRPr="00BE6829">
        <w:rPr>
          <w:rFonts w:ascii="Times New Roman" w:eastAsia="Google Sans Text" w:hAnsi="Times New Roman" w:cs="Times New Roman"/>
          <w:color w:val="1F1F1F"/>
        </w:rPr>
        <w:t xml:space="preserve">, 11, p. 1345. Available at: </w:t>
      </w:r>
      <w:hyperlink r:id="rId38">
        <w:r w:rsidRPr="00BE6829">
          <w:rPr>
            <w:rFonts w:ascii="Times New Roman" w:eastAsia="Google Sans Text" w:hAnsi="Times New Roman" w:cs="Times New Roman"/>
            <w:color w:val="0B57D0"/>
            <w:u w:val="single"/>
          </w:rPr>
          <w:t>https://doi.org/10.3390/agronomy11071345</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Mateva</w:t>
      </w:r>
      <w:proofErr w:type="spellEnd"/>
      <w:r w:rsidRPr="00BE6829">
        <w:rPr>
          <w:rFonts w:ascii="Times New Roman" w:eastAsia="Google Sans Text" w:hAnsi="Times New Roman" w:cs="Times New Roman"/>
          <w:color w:val="1F1F1F"/>
        </w:rPr>
        <w:t xml:space="preserve">, K.I., Chai, H.H., Mayes, S. and </w:t>
      </w:r>
      <w:proofErr w:type="spellStart"/>
      <w:r w:rsidRPr="00BE6829">
        <w:rPr>
          <w:rFonts w:ascii="Times New Roman" w:eastAsia="Google Sans Text" w:hAnsi="Times New Roman" w:cs="Times New Roman"/>
          <w:color w:val="1F1F1F"/>
        </w:rPr>
        <w:t>Massawe</w:t>
      </w:r>
      <w:proofErr w:type="spellEnd"/>
      <w:r w:rsidRPr="00BE6829">
        <w:rPr>
          <w:rFonts w:ascii="Times New Roman" w:eastAsia="Google Sans Text" w:hAnsi="Times New Roman" w:cs="Times New Roman"/>
          <w:color w:val="1F1F1F"/>
        </w:rPr>
        <w:t xml:space="preserve">, F. (2022) 'Genotypic variation in root systems of Bambara groundnut', </w:t>
      </w:r>
      <w:r w:rsidRPr="00BE6829">
        <w:rPr>
          <w:rFonts w:ascii="Times New Roman" w:eastAsia="Google Sans Text" w:hAnsi="Times New Roman" w:cs="Times New Roman"/>
          <w:i/>
          <w:iCs/>
          <w:color w:val="1F1F1F"/>
        </w:rPr>
        <w:t>Frontiers in Plant Science</w:t>
      </w:r>
      <w:r w:rsidRPr="00BE6829">
        <w:rPr>
          <w:rFonts w:ascii="Times New Roman" w:eastAsia="Google Sans Text" w:hAnsi="Times New Roman" w:cs="Times New Roman"/>
          <w:color w:val="1F1F1F"/>
        </w:rPr>
        <w:t xml:space="preserve">, 13, p. 760879. Available at: </w:t>
      </w:r>
      <w:hyperlink r:id="rId39">
        <w:r w:rsidRPr="00BE6829">
          <w:rPr>
            <w:rFonts w:ascii="Times New Roman" w:eastAsia="Google Sans Text" w:hAnsi="Times New Roman" w:cs="Times New Roman"/>
            <w:color w:val="0B57D0"/>
            <w:u w:val="single"/>
          </w:rPr>
          <w:t>https://doi.org/10.3389/fpls.2022.760879</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Mubaiwa</w:t>
      </w:r>
      <w:proofErr w:type="spellEnd"/>
      <w:r w:rsidRPr="00BE6829">
        <w:rPr>
          <w:rFonts w:ascii="Times New Roman" w:eastAsia="Google Sans Text" w:hAnsi="Times New Roman" w:cs="Times New Roman"/>
          <w:color w:val="1F1F1F"/>
        </w:rPr>
        <w:t xml:space="preserve">, J., </w:t>
      </w:r>
      <w:proofErr w:type="spellStart"/>
      <w:r w:rsidRPr="00BE6829">
        <w:rPr>
          <w:rFonts w:ascii="Times New Roman" w:eastAsia="Google Sans Text" w:hAnsi="Times New Roman" w:cs="Times New Roman"/>
          <w:color w:val="1F1F1F"/>
        </w:rPr>
        <w:t>Fogliano</w:t>
      </w:r>
      <w:proofErr w:type="spellEnd"/>
      <w:r w:rsidRPr="00BE6829">
        <w:rPr>
          <w:rFonts w:ascii="Times New Roman" w:eastAsia="Google Sans Text" w:hAnsi="Times New Roman" w:cs="Times New Roman"/>
          <w:color w:val="1F1F1F"/>
        </w:rPr>
        <w:t xml:space="preserve">, V., </w:t>
      </w:r>
      <w:proofErr w:type="spellStart"/>
      <w:r w:rsidRPr="00BE6829">
        <w:rPr>
          <w:rFonts w:ascii="Times New Roman" w:eastAsia="Google Sans Text" w:hAnsi="Times New Roman" w:cs="Times New Roman"/>
          <w:color w:val="1F1F1F"/>
        </w:rPr>
        <w:t>Chidewe</w:t>
      </w:r>
      <w:proofErr w:type="spellEnd"/>
      <w:r w:rsidRPr="00BE6829">
        <w:rPr>
          <w:rFonts w:ascii="Times New Roman" w:eastAsia="Google Sans Text" w:hAnsi="Times New Roman" w:cs="Times New Roman"/>
          <w:color w:val="1F1F1F"/>
        </w:rPr>
        <w:t xml:space="preserve">, C., Bakker, E.J. and </w:t>
      </w:r>
      <w:proofErr w:type="spellStart"/>
      <w:r w:rsidRPr="00BE6829">
        <w:rPr>
          <w:rFonts w:ascii="Times New Roman" w:eastAsia="Google Sans Text" w:hAnsi="Times New Roman" w:cs="Times New Roman"/>
          <w:color w:val="1F1F1F"/>
        </w:rPr>
        <w:t>Linnemann</w:t>
      </w:r>
      <w:proofErr w:type="spellEnd"/>
      <w:r w:rsidRPr="00BE6829">
        <w:rPr>
          <w:rFonts w:ascii="Times New Roman" w:eastAsia="Google Sans Text" w:hAnsi="Times New Roman" w:cs="Times New Roman"/>
          <w:color w:val="1F1F1F"/>
        </w:rPr>
        <w:t xml:space="preserve">, A.R. (2018) 'Utilization of bambara groundnut for sustainable food security', </w:t>
      </w:r>
      <w:r w:rsidRPr="00BE6829">
        <w:rPr>
          <w:rFonts w:ascii="Times New Roman" w:eastAsia="Google Sans Text" w:hAnsi="Times New Roman" w:cs="Times New Roman"/>
          <w:i/>
          <w:iCs/>
          <w:color w:val="1F1F1F"/>
        </w:rPr>
        <w:t>PLOS ONE</w:t>
      </w:r>
      <w:r w:rsidRPr="00BE6829">
        <w:rPr>
          <w:rFonts w:ascii="Times New Roman" w:eastAsia="Google Sans Text" w:hAnsi="Times New Roman" w:cs="Times New Roman"/>
          <w:color w:val="1F1F1F"/>
        </w:rPr>
        <w:t xml:space="preserve">, 13(10), p. e0204817. Available at: </w:t>
      </w:r>
      <w:hyperlink r:id="rId40">
        <w:r w:rsidRPr="00BE6829">
          <w:rPr>
            <w:rFonts w:ascii="Times New Roman" w:eastAsia="Google Sans Text" w:hAnsi="Times New Roman" w:cs="Times New Roman"/>
            <w:color w:val="0B57D0"/>
            <w:u w:val="single"/>
          </w:rPr>
          <w:t>https://doi.org/10.1371/journal.pone.0204817</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Naz</w:t>
      </w:r>
      <w:proofErr w:type="spellEnd"/>
      <w:r w:rsidRPr="00BE6829">
        <w:rPr>
          <w:rFonts w:ascii="Times New Roman" w:eastAsia="Google Sans Text" w:hAnsi="Times New Roman" w:cs="Times New Roman"/>
          <w:color w:val="1F1F1F"/>
        </w:rPr>
        <w:t xml:space="preserve">, H., </w:t>
      </w:r>
      <w:proofErr w:type="spellStart"/>
      <w:r w:rsidRPr="00BE6829">
        <w:rPr>
          <w:rFonts w:ascii="Times New Roman" w:eastAsia="Google Sans Text" w:hAnsi="Times New Roman" w:cs="Times New Roman"/>
          <w:color w:val="1F1F1F"/>
        </w:rPr>
        <w:t>Akram</w:t>
      </w:r>
      <w:proofErr w:type="spellEnd"/>
      <w:r w:rsidRPr="00BE6829">
        <w:rPr>
          <w:rFonts w:ascii="Times New Roman" w:eastAsia="Google Sans Text" w:hAnsi="Times New Roman" w:cs="Times New Roman"/>
          <w:color w:val="1F1F1F"/>
        </w:rPr>
        <w:t xml:space="preserve">, N.A., Ashraf, M., </w:t>
      </w:r>
      <w:proofErr w:type="spellStart"/>
      <w:r w:rsidRPr="00BE6829">
        <w:rPr>
          <w:rFonts w:ascii="Times New Roman" w:eastAsia="Google Sans Text" w:hAnsi="Times New Roman" w:cs="Times New Roman"/>
          <w:color w:val="1F1F1F"/>
        </w:rPr>
        <w:t>Hefft</w:t>
      </w:r>
      <w:proofErr w:type="spellEnd"/>
      <w:r w:rsidRPr="00BE6829">
        <w:rPr>
          <w:rFonts w:ascii="Times New Roman" w:eastAsia="Google Sans Text" w:hAnsi="Times New Roman" w:cs="Times New Roman"/>
          <w:color w:val="1F1F1F"/>
        </w:rPr>
        <w:t xml:space="preserve">, D.I. and Jan, B.L. (2022) 'Leaf extract of neem (Azadirachta indica) alleviates adverse effects of drought in quinoa', </w:t>
      </w:r>
      <w:r w:rsidRPr="00BE6829">
        <w:rPr>
          <w:rFonts w:ascii="Times New Roman" w:eastAsia="Google Sans Text" w:hAnsi="Times New Roman" w:cs="Times New Roman"/>
          <w:i/>
          <w:iCs/>
          <w:color w:val="1F1F1F"/>
        </w:rPr>
        <w:t>Saudi Journal of Biological Sciences</w:t>
      </w:r>
      <w:r w:rsidRPr="00BE6829">
        <w:rPr>
          <w:rFonts w:ascii="Times New Roman" w:eastAsia="Google Sans Text" w:hAnsi="Times New Roman" w:cs="Times New Roman"/>
          <w:color w:val="1F1F1F"/>
        </w:rPr>
        <w:t xml:space="preserve">, 29, pp. 1367–1374. Available at: </w:t>
      </w:r>
      <w:hyperlink r:id="rId41">
        <w:r w:rsidRPr="00BE6829">
          <w:rPr>
            <w:rFonts w:ascii="Times New Roman" w:eastAsia="Google Sans Text" w:hAnsi="Times New Roman" w:cs="Times New Roman"/>
            <w:color w:val="0B57D0"/>
            <w:u w:val="single"/>
          </w:rPr>
          <w:t>https://doi.org/10.1016/j.sjbs.2022.01.035</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Noguchi, H.K., Salam, M.A., </w:t>
      </w:r>
      <w:proofErr w:type="spellStart"/>
      <w:r w:rsidRPr="00BE6829">
        <w:rPr>
          <w:rFonts w:ascii="Times New Roman" w:eastAsia="Google Sans Text" w:hAnsi="Times New Roman" w:cs="Times New Roman"/>
          <w:color w:val="1F1F1F"/>
        </w:rPr>
        <w:t>Oono</w:t>
      </w:r>
      <w:proofErr w:type="spellEnd"/>
      <w:r w:rsidRPr="00BE6829">
        <w:rPr>
          <w:rFonts w:ascii="Times New Roman" w:eastAsia="Google Sans Text" w:hAnsi="Times New Roman" w:cs="Times New Roman"/>
          <w:color w:val="1F1F1F"/>
        </w:rPr>
        <w:t xml:space="preserve">, O. and </w:t>
      </w:r>
      <w:proofErr w:type="spellStart"/>
      <w:r w:rsidRPr="00BE6829">
        <w:rPr>
          <w:rFonts w:ascii="Times New Roman" w:eastAsia="Google Sans Text" w:hAnsi="Times New Roman" w:cs="Times New Roman"/>
          <w:color w:val="1F1F1F"/>
        </w:rPr>
        <w:t>Suenaga</w:t>
      </w:r>
      <w:proofErr w:type="spellEnd"/>
      <w:r w:rsidRPr="00BE6829">
        <w:rPr>
          <w:rFonts w:ascii="Times New Roman" w:eastAsia="Google Sans Text" w:hAnsi="Times New Roman" w:cs="Times New Roman"/>
          <w:color w:val="1F1F1F"/>
        </w:rPr>
        <w:t>, K. (2014) '</w:t>
      </w:r>
      <w:proofErr w:type="spellStart"/>
      <w:r w:rsidRPr="00BE6829">
        <w:rPr>
          <w:rFonts w:ascii="Times New Roman" w:eastAsia="Google Sans Text" w:hAnsi="Times New Roman" w:cs="Times New Roman"/>
          <w:color w:val="1F1F1F"/>
        </w:rPr>
        <w:t>Nimbolide</w:t>
      </w:r>
      <w:proofErr w:type="spellEnd"/>
      <w:r w:rsidRPr="00BE6829">
        <w:rPr>
          <w:rFonts w:ascii="Times New Roman" w:eastAsia="Google Sans Text" w:hAnsi="Times New Roman" w:cs="Times New Roman"/>
          <w:color w:val="1F1F1F"/>
        </w:rPr>
        <w:t xml:space="preserve"> B and </w:t>
      </w:r>
      <w:proofErr w:type="spellStart"/>
      <w:r w:rsidRPr="00BE6829">
        <w:rPr>
          <w:rFonts w:ascii="Times New Roman" w:eastAsia="Google Sans Text" w:hAnsi="Times New Roman" w:cs="Times New Roman"/>
          <w:color w:val="1F1F1F"/>
        </w:rPr>
        <w:t>Nimbic</w:t>
      </w:r>
      <w:proofErr w:type="spellEnd"/>
      <w:r w:rsidRPr="00BE6829">
        <w:rPr>
          <w:rFonts w:ascii="Times New Roman" w:eastAsia="Google Sans Text" w:hAnsi="Times New Roman" w:cs="Times New Roman"/>
          <w:color w:val="1F1F1F"/>
        </w:rPr>
        <w:t xml:space="preserve"> Acid B, Phytotoxic Substances in Neem Leaves', </w:t>
      </w:r>
      <w:r w:rsidRPr="00BE6829">
        <w:rPr>
          <w:rFonts w:ascii="Times New Roman" w:eastAsia="Google Sans Text" w:hAnsi="Times New Roman" w:cs="Times New Roman"/>
          <w:i/>
          <w:iCs/>
          <w:color w:val="1F1F1F"/>
        </w:rPr>
        <w:t>Molecules</w:t>
      </w:r>
      <w:r w:rsidRPr="00BE6829">
        <w:rPr>
          <w:rFonts w:ascii="Times New Roman" w:eastAsia="Google Sans Text" w:hAnsi="Times New Roman" w:cs="Times New Roman"/>
          <w:color w:val="1F1F1F"/>
        </w:rPr>
        <w:t xml:space="preserve">, 19, pp. 6929–6939. Available at: </w:t>
      </w:r>
      <w:hyperlink r:id="rId42">
        <w:r w:rsidRPr="00BE6829">
          <w:rPr>
            <w:rFonts w:ascii="Times New Roman" w:eastAsia="Google Sans Text" w:hAnsi="Times New Roman" w:cs="Times New Roman"/>
            <w:color w:val="0B57D0"/>
            <w:u w:val="single"/>
          </w:rPr>
          <w:t>https://doi.org/10.3390/molecules19066929</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Ntshalintshali, S., </w:t>
      </w:r>
      <w:proofErr w:type="spellStart"/>
      <w:r w:rsidRPr="00BE6829">
        <w:rPr>
          <w:rFonts w:ascii="Times New Roman" w:eastAsia="Google Sans Text" w:hAnsi="Times New Roman" w:cs="Times New Roman"/>
          <w:color w:val="1F1F1F"/>
        </w:rPr>
        <w:t>Mngoma</w:t>
      </w:r>
      <w:proofErr w:type="spellEnd"/>
      <w:r w:rsidRPr="00BE6829">
        <w:rPr>
          <w:rFonts w:ascii="Times New Roman" w:eastAsia="Google Sans Text" w:hAnsi="Times New Roman" w:cs="Times New Roman"/>
          <w:color w:val="1F1F1F"/>
        </w:rPr>
        <w:t xml:space="preserve">, M., Mabuza, N., Nkomo, M. and Buthelezi, L.G. (2026) 'Effect of seed priming on Bambara groundnut under salinity stress', </w:t>
      </w:r>
      <w:r w:rsidRPr="00BE6829">
        <w:rPr>
          <w:rFonts w:ascii="Times New Roman" w:eastAsia="Google Sans Text" w:hAnsi="Times New Roman" w:cs="Times New Roman"/>
          <w:i/>
          <w:iCs/>
          <w:color w:val="1F1F1F"/>
        </w:rPr>
        <w:t>BMC Plant Biology</w:t>
      </w:r>
      <w:r w:rsidRPr="00BE6829">
        <w:rPr>
          <w:rFonts w:ascii="Times New Roman" w:eastAsia="Google Sans Text" w:hAnsi="Times New Roman" w:cs="Times New Roman"/>
          <w:color w:val="1F1F1F"/>
        </w:rPr>
        <w:t xml:space="preserve">, 25, p. 225. Available at: </w:t>
      </w:r>
      <w:hyperlink r:id="rId43">
        <w:r w:rsidRPr="00BE6829">
          <w:rPr>
            <w:rFonts w:ascii="Times New Roman" w:eastAsia="Google Sans Text" w:hAnsi="Times New Roman" w:cs="Times New Roman"/>
            <w:color w:val="0B57D0"/>
            <w:u w:val="single"/>
          </w:rPr>
          <w:t>https://doi.org/10.1186/s12870-025-08078-1</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Pasipanodya</w:t>
      </w:r>
      <w:proofErr w:type="spellEnd"/>
      <w:r w:rsidRPr="00BE6829">
        <w:rPr>
          <w:rFonts w:ascii="Times New Roman" w:eastAsia="Google Sans Text" w:hAnsi="Times New Roman" w:cs="Times New Roman"/>
          <w:color w:val="1F1F1F"/>
        </w:rPr>
        <w:t xml:space="preserve">, J.T., Horn, L.N., </w:t>
      </w:r>
      <w:proofErr w:type="spellStart"/>
      <w:r w:rsidRPr="00BE6829">
        <w:rPr>
          <w:rFonts w:ascii="Times New Roman" w:eastAsia="Google Sans Text" w:hAnsi="Times New Roman" w:cs="Times New Roman"/>
          <w:color w:val="1F1F1F"/>
        </w:rPr>
        <w:t>Achigan-Dako</w:t>
      </w:r>
      <w:proofErr w:type="spellEnd"/>
      <w:r w:rsidRPr="00BE6829">
        <w:rPr>
          <w:rFonts w:ascii="Times New Roman" w:eastAsia="Google Sans Text" w:hAnsi="Times New Roman" w:cs="Times New Roman"/>
          <w:color w:val="1F1F1F"/>
        </w:rPr>
        <w:t xml:space="preserve">, E.G., </w:t>
      </w:r>
      <w:proofErr w:type="spellStart"/>
      <w:r w:rsidRPr="00BE6829">
        <w:rPr>
          <w:rFonts w:ascii="Times New Roman" w:eastAsia="Google Sans Text" w:hAnsi="Times New Roman" w:cs="Times New Roman"/>
          <w:color w:val="1F1F1F"/>
        </w:rPr>
        <w:t>Musango</w:t>
      </w:r>
      <w:proofErr w:type="spellEnd"/>
      <w:r w:rsidRPr="00BE6829">
        <w:rPr>
          <w:rFonts w:ascii="Times New Roman" w:eastAsia="Google Sans Text" w:hAnsi="Times New Roman" w:cs="Times New Roman"/>
          <w:color w:val="1F1F1F"/>
        </w:rPr>
        <w:t xml:space="preserve">, R. and Sibiya, J. (2022) 'Utilization of plant genetic resources of Bambara groundnut', </w:t>
      </w:r>
      <w:r w:rsidRPr="00BE6829">
        <w:rPr>
          <w:rFonts w:ascii="Times New Roman" w:eastAsia="Google Sans Text" w:hAnsi="Times New Roman" w:cs="Times New Roman"/>
          <w:i/>
          <w:iCs/>
          <w:color w:val="1F1F1F"/>
        </w:rPr>
        <w:t>Agriculture</w:t>
      </w:r>
      <w:r w:rsidRPr="00BE6829">
        <w:rPr>
          <w:rFonts w:ascii="Times New Roman" w:eastAsia="Google Sans Text" w:hAnsi="Times New Roman" w:cs="Times New Roman"/>
          <w:color w:val="1F1F1F"/>
        </w:rPr>
        <w:t xml:space="preserve">, 12, p. 492. Available at: </w:t>
      </w:r>
      <w:hyperlink r:id="rId44">
        <w:r w:rsidRPr="00BE6829">
          <w:rPr>
            <w:rFonts w:ascii="Times New Roman" w:eastAsia="Google Sans Text" w:hAnsi="Times New Roman" w:cs="Times New Roman"/>
            <w:color w:val="0B57D0"/>
            <w:u w:val="single"/>
          </w:rPr>
          <w:t>https://doi.org/10.3390/agriculture12040492</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Paul, S. and </w:t>
      </w:r>
      <w:proofErr w:type="spellStart"/>
      <w:r w:rsidRPr="00BE6829">
        <w:rPr>
          <w:rFonts w:ascii="Times New Roman" w:eastAsia="Google Sans Text" w:hAnsi="Times New Roman" w:cs="Times New Roman"/>
          <w:color w:val="1F1F1F"/>
        </w:rPr>
        <w:t>Roychoudhury</w:t>
      </w:r>
      <w:proofErr w:type="spellEnd"/>
      <w:r w:rsidRPr="00BE6829">
        <w:rPr>
          <w:rFonts w:ascii="Times New Roman" w:eastAsia="Google Sans Text" w:hAnsi="Times New Roman" w:cs="Times New Roman"/>
          <w:color w:val="1F1F1F"/>
        </w:rPr>
        <w:t xml:space="preserve">, A. (2017) 'Seed priming with spermine and spermidine regulates abiotic stress-responsive genes', </w:t>
      </w:r>
      <w:r w:rsidRPr="00BE6829">
        <w:rPr>
          <w:rFonts w:ascii="Times New Roman" w:eastAsia="Google Sans Text" w:hAnsi="Times New Roman" w:cs="Times New Roman"/>
          <w:i/>
          <w:iCs/>
          <w:color w:val="1F1F1F"/>
        </w:rPr>
        <w:t>Plant Gene</w:t>
      </w:r>
      <w:r w:rsidRPr="00BE6829">
        <w:rPr>
          <w:rFonts w:ascii="Times New Roman" w:eastAsia="Google Sans Text" w:hAnsi="Times New Roman" w:cs="Times New Roman"/>
          <w:color w:val="1F1F1F"/>
        </w:rPr>
        <w:t xml:space="preserve">, 11, pp. 124–132. Available at: </w:t>
      </w:r>
      <w:hyperlink r:id="rId45">
        <w:r w:rsidRPr="00BE6829">
          <w:rPr>
            <w:rFonts w:ascii="Times New Roman" w:eastAsia="Google Sans Text" w:hAnsi="Times New Roman" w:cs="Times New Roman"/>
            <w:color w:val="0B57D0"/>
            <w:u w:val="single"/>
          </w:rPr>
          <w:t>https://doi.org/10.1016/j.plgene.2017.04.004</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Queslati</w:t>
      </w:r>
      <w:proofErr w:type="spellEnd"/>
      <w:r w:rsidRPr="00BE6829">
        <w:rPr>
          <w:rFonts w:ascii="Times New Roman" w:eastAsia="Google Sans Text" w:hAnsi="Times New Roman" w:cs="Times New Roman"/>
          <w:color w:val="1F1F1F"/>
        </w:rPr>
        <w:t xml:space="preserve">, S. et al. (2025) 'Effects of seed priming with </w:t>
      </w:r>
      <w:r w:rsidR="003443B2" w:rsidRPr="00BE6829">
        <w:rPr>
          <w:rFonts w:ascii="Times New Roman" w:eastAsia="Google Sans Text" w:hAnsi="Times New Roman" w:cs="Times New Roman"/>
          <w:color w:val="1F1F1F"/>
        </w:rPr>
        <w:t>ginger</w:t>
      </w:r>
      <w:r w:rsidRPr="00BE6829">
        <w:rPr>
          <w:rFonts w:ascii="Times New Roman" w:eastAsia="Google Sans Text" w:hAnsi="Times New Roman" w:cs="Times New Roman"/>
          <w:color w:val="1F1F1F"/>
        </w:rPr>
        <w:t xml:space="preserve"> extract on phenolic content and antioxidant activity', </w:t>
      </w:r>
      <w:proofErr w:type="spellStart"/>
      <w:r w:rsidRPr="00BE6829">
        <w:rPr>
          <w:rFonts w:ascii="Times New Roman" w:eastAsia="Google Sans Text" w:hAnsi="Times New Roman" w:cs="Times New Roman"/>
          <w:i/>
          <w:iCs/>
          <w:color w:val="1F1F1F"/>
        </w:rPr>
        <w:t>Notulae</w:t>
      </w:r>
      <w:proofErr w:type="spellEnd"/>
      <w:r w:rsidRPr="00BE6829">
        <w:rPr>
          <w:rFonts w:ascii="Times New Roman" w:eastAsia="Google Sans Text" w:hAnsi="Times New Roman" w:cs="Times New Roman"/>
          <w:i/>
          <w:iCs/>
          <w:color w:val="1F1F1F"/>
        </w:rPr>
        <w:t xml:space="preserve"> </w:t>
      </w:r>
      <w:proofErr w:type="spellStart"/>
      <w:r w:rsidRPr="00BE6829">
        <w:rPr>
          <w:rFonts w:ascii="Times New Roman" w:eastAsia="Google Sans Text" w:hAnsi="Times New Roman" w:cs="Times New Roman"/>
          <w:i/>
          <w:iCs/>
          <w:color w:val="1F1F1F"/>
        </w:rPr>
        <w:t>Botanicae</w:t>
      </w:r>
      <w:proofErr w:type="spellEnd"/>
      <w:r w:rsidRPr="00BE6829">
        <w:rPr>
          <w:rFonts w:ascii="Times New Roman" w:eastAsia="Google Sans Text" w:hAnsi="Times New Roman" w:cs="Times New Roman"/>
          <w:i/>
          <w:iCs/>
          <w:color w:val="1F1F1F"/>
        </w:rPr>
        <w:t xml:space="preserve"> </w:t>
      </w:r>
      <w:proofErr w:type="spellStart"/>
      <w:r w:rsidRPr="00BE6829">
        <w:rPr>
          <w:rFonts w:ascii="Times New Roman" w:eastAsia="Google Sans Text" w:hAnsi="Times New Roman" w:cs="Times New Roman"/>
          <w:i/>
          <w:iCs/>
          <w:color w:val="1F1F1F"/>
        </w:rPr>
        <w:t>Horti</w:t>
      </w:r>
      <w:proofErr w:type="spellEnd"/>
      <w:r w:rsidRPr="00BE6829">
        <w:rPr>
          <w:rFonts w:ascii="Times New Roman" w:eastAsia="Google Sans Text" w:hAnsi="Times New Roman" w:cs="Times New Roman"/>
          <w:i/>
          <w:iCs/>
          <w:color w:val="1F1F1F"/>
        </w:rPr>
        <w:t xml:space="preserve"> </w:t>
      </w:r>
      <w:proofErr w:type="spellStart"/>
      <w:r w:rsidRPr="00BE6829">
        <w:rPr>
          <w:rFonts w:ascii="Times New Roman" w:eastAsia="Google Sans Text" w:hAnsi="Times New Roman" w:cs="Times New Roman"/>
          <w:i/>
          <w:iCs/>
          <w:color w:val="1F1F1F"/>
        </w:rPr>
        <w:t>Agrobotanici</w:t>
      </w:r>
      <w:proofErr w:type="spellEnd"/>
      <w:r w:rsidRPr="00BE6829">
        <w:rPr>
          <w:rFonts w:ascii="Times New Roman" w:eastAsia="Google Sans Text" w:hAnsi="Times New Roman" w:cs="Times New Roman"/>
          <w:i/>
          <w:iCs/>
          <w:color w:val="1F1F1F"/>
        </w:rPr>
        <w:t xml:space="preserve"> Cluj-Napoca</w:t>
      </w:r>
      <w:r w:rsidRPr="00BE6829">
        <w:rPr>
          <w:rFonts w:ascii="Times New Roman" w:eastAsia="Google Sans Text" w:hAnsi="Times New Roman" w:cs="Times New Roman"/>
          <w:color w:val="1F1F1F"/>
        </w:rPr>
        <w:t xml:space="preserve">, 53(4), p. 14869. Available at: </w:t>
      </w:r>
      <w:hyperlink r:id="rId46">
        <w:r w:rsidRPr="00BE6829">
          <w:rPr>
            <w:rFonts w:ascii="Times New Roman" w:eastAsia="Google Sans Text" w:hAnsi="Times New Roman" w:cs="Times New Roman"/>
            <w:color w:val="0B57D0"/>
            <w:u w:val="single"/>
          </w:rPr>
          <w:t>https://doi.org/10.15835/nbha53414869</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Saha</w:t>
      </w:r>
      <w:proofErr w:type="spellEnd"/>
      <w:r w:rsidRPr="00BE6829">
        <w:rPr>
          <w:rFonts w:ascii="Times New Roman" w:eastAsia="Google Sans Text" w:hAnsi="Times New Roman" w:cs="Times New Roman"/>
          <w:color w:val="1F1F1F"/>
        </w:rPr>
        <w:t xml:space="preserve">, D., </w:t>
      </w:r>
      <w:proofErr w:type="spellStart"/>
      <w:r w:rsidRPr="00BE6829">
        <w:rPr>
          <w:rFonts w:ascii="Times New Roman" w:eastAsia="Google Sans Text" w:hAnsi="Times New Roman" w:cs="Times New Roman"/>
          <w:color w:val="1F1F1F"/>
        </w:rPr>
        <w:t>Choyal</w:t>
      </w:r>
      <w:proofErr w:type="spellEnd"/>
      <w:r w:rsidRPr="00BE6829">
        <w:rPr>
          <w:rFonts w:ascii="Times New Roman" w:eastAsia="Google Sans Text" w:hAnsi="Times New Roman" w:cs="Times New Roman"/>
          <w:color w:val="1F1F1F"/>
        </w:rPr>
        <w:t xml:space="preserve">, P., Mishra, U.N., Singhal, R.K. et al. (2022) 'Drought stress responses and inducing tolerance by seed priming', </w:t>
      </w:r>
      <w:r w:rsidRPr="00BE6829">
        <w:rPr>
          <w:rFonts w:ascii="Times New Roman" w:eastAsia="Google Sans Text" w:hAnsi="Times New Roman" w:cs="Times New Roman"/>
          <w:i/>
          <w:iCs/>
          <w:color w:val="1F1F1F"/>
        </w:rPr>
        <w:t>Plant Stress</w:t>
      </w:r>
      <w:r w:rsidRPr="00BE6829">
        <w:rPr>
          <w:rFonts w:ascii="Times New Roman" w:eastAsia="Google Sans Text" w:hAnsi="Times New Roman" w:cs="Times New Roman"/>
          <w:color w:val="1F1F1F"/>
        </w:rPr>
        <w:t xml:space="preserve">, 4, p. 100066. Available at: </w:t>
      </w:r>
      <w:hyperlink r:id="rId47">
        <w:r w:rsidRPr="00BE6829">
          <w:rPr>
            <w:rFonts w:ascii="Times New Roman" w:eastAsia="Google Sans Text" w:hAnsi="Times New Roman" w:cs="Times New Roman"/>
            <w:color w:val="0B57D0"/>
            <w:u w:val="single"/>
          </w:rPr>
          <w:t>https://doi.org/10.1016/j.stress.2022.100066</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Schmutterer</w:t>
      </w:r>
      <w:proofErr w:type="spellEnd"/>
      <w:r w:rsidRPr="00BE6829">
        <w:rPr>
          <w:rFonts w:ascii="Times New Roman" w:eastAsia="Google Sans Text" w:hAnsi="Times New Roman" w:cs="Times New Roman"/>
          <w:color w:val="1F1F1F"/>
        </w:rPr>
        <w:t xml:space="preserve">, H. (1990) 'Properties and potential of natural pesticides from the neem tree', </w:t>
      </w:r>
      <w:r w:rsidRPr="00BE6829">
        <w:rPr>
          <w:rFonts w:ascii="Times New Roman" w:eastAsia="Google Sans Text" w:hAnsi="Times New Roman" w:cs="Times New Roman"/>
          <w:i/>
          <w:iCs/>
          <w:color w:val="1F1F1F"/>
        </w:rPr>
        <w:t>Annual Review of Entomology</w:t>
      </w:r>
      <w:r w:rsidRPr="00BE6829">
        <w:rPr>
          <w:rFonts w:ascii="Times New Roman" w:eastAsia="Google Sans Text" w:hAnsi="Times New Roman" w:cs="Times New Roman"/>
          <w:color w:val="1F1F1F"/>
        </w:rPr>
        <w:t xml:space="preserve">, 35, pp. 271–297. Available at: </w:t>
      </w:r>
      <w:hyperlink r:id="rId48">
        <w:r w:rsidRPr="00BE6829">
          <w:rPr>
            <w:rFonts w:ascii="Times New Roman" w:eastAsia="Google Sans Text" w:hAnsi="Times New Roman" w:cs="Times New Roman"/>
            <w:color w:val="0B57D0"/>
            <w:u w:val="single"/>
          </w:rPr>
          <w:t>https://doi.org/10.1146/annurev.en.35.010190.001415</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Wojtyla, L., </w:t>
      </w:r>
      <w:proofErr w:type="spellStart"/>
      <w:r w:rsidRPr="00BE6829">
        <w:rPr>
          <w:rFonts w:ascii="Times New Roman" w:eastAsia="Google Sans Text" w:hAnsi="Times New Roman" w:cs="Times New Roman"/>
          <w:color w:val="1F1F1F"/>
        </w:rPr>
        <w:t>Lechowska</w:t>
      </w:r>
      <w:proofErr w:type="spellEnd"/>
      <w:r w:rsidRPr="00BE6829">
        <w:rPr>
          <w:rFonts w:ascii="Times New Roman" w:eastAsia="Google Sans Text" w:hAnsi="Times New Roman" w:cs="Times New Roman"/>
          <w:color w:val="1F1F1F"/>
        </w:rPr>
        <w:t xml:space="preserve">, K., </w:t>
      </w:r>
      <w:proofErr w:type="spellStart"/>
      <w:r w:rsidRPr="00BE6829">
        <w:rPr>
          <w:rFonts w:ascii="Times New Roman" w:eastAsia="Google Sans Text" w:hAnsi="Times New Roman" w:cs="Times New Roman"/>
          <w:color w:val="1F1F1F"/>
        </w:rPr>
        <w:t>Kubala</w:t>
      </w:r>
      <w:proofErr w:type="spellEnd"/>
      <w:r w:rsidRPr="00BE6829">
        <w:rPr>
          <w:rFonts w:ascii="Times New Roman" w:eastAsia="Google Sans Text" w:hAnsi="Times New Roman" w:cs="Times New Roman"/>
          <w:color w:val="1F1F1F"/>
        </w:rPr>
        <w:t xml:space="preserve">, S. and </w:t>
      </w:r>
      <w:proofErr w:type="spellStart"/>
      <w:r w:rsidRPr="00BE6829">
        <w:rPr>
          <w:rFonts w:ascii="Times New Roman" w:eastAsia="Google Sans Text" w:hAnsi="Times New Roman" w:cs="Times New Roman"/>
          <w:color w:val="1F1F1F"/>
        </w:rPr>
        <w:t>Garnczarska</w:t>
      </w:r>
      <w:proofErr w:type="spellEnd"/>
      <w:r w:rsidRPr="00BE6829">
        <w:rPr>
          <w:rFonts w:ascii="Times New Roman" w:eastAsia="Google Sans Text" w:hAnsi="Times New Roman" w:cs="Times New Roman"/>
          <w:color w:val="1F1F1F"/>
        </w:rPr>
        <w:t xml:space="preserve">, M. (2016a) 'Different modes of hydrogen peroxide action during seed germination', </w:t>
      </w:r>
      <w:r w:rsidRPr="00BE6829">
        <w:rPr>
          <w:rFonts w:ascii="Times New Roman" w:eastAsia="Google Sans Text" w:hAnsi="Times New Roman" w:cs="Times New Roman"/>
          <w:i/>
          <w:iCs/>
          <w:color w:val="1F1F1F"/>
        </w:rPr>
        <w:t>Frontiers in Plant Science</w:t>
      </w:r>
      <w:r w:rsidRPr="00BE6829">
        <w:rPr>
          <w:rFonts w:ascii="Times New Roman" w:eastAsia="Google Sans Text" w:hAnsi="Times New Roman" w:cs="Times New Roman"/>
          <w:color w:val="1F1F1F"/>
        </w:rPr>
        <w:t xml:space="preserve">, 7, p. 66. Available at: </w:t>
      </w:r>
      <w:hyperlink r:id="rId49">
        <w:r w:rsidRPr="00BE6829">
          <w:rPr>
            <w:rFonts w:ascii="Times New Roman" w:eastAsia="Google Sans Text" w:hAnsi="Times New Roman" w:cs="Times New Roman"/>
            <w:color w:val="0B57D0"/>
            <w:u w:val="single"/>
          </w:rPr>
          <w:t>https://doi.org/10.3389/fpls.2016.00066</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Wojtyla, L., </w:t>
      </w:r>
      <w:proofErr w:type="spellStart"/>
      <w:r w:rsidRPr="00BE6829">
        <w:rPr>
          <w:rFonts w:ascii="Times New Roman" w:eastAsia="Google Sans Text" w:hAnsi="Times New Roman" w:cs="Times New Roman"/>
          <w:color w:val="1F1F1F"/>
        </w:rPr>
        <w:t>Lechowska</w:t>
      </w:r>
      <w:proofErr w:type="spellEnd"/>
      <w:r w:rsidRPr="00BE6829">
        <w:rPr>
          <w:rFonts w:ascii="Times New Roman" w:eastAsia="Google Sans Text" w:hAnsi="Times New Roman" w:cs="Times New Roman"/>
          <w:color w:val="1F1F1F"/>
        </w:rPr>
        <w:t xml:space="preserve">, K., </w:t>
      </w:r>
      <w:proofErr w:type="spellStart"/>
      <w:r w:rsidRPr="00BE6829">
        <w:rPr>
          <w:rFonts w:ascii="Times New Roman" w:eastAsia="Google Sans Text" w:hAnsi="Times New Roman" w:cs="Times New Roman"/>
          <w:color w:val="1F1F1F"/>
        </w:rPr>
        <w:t>Kubala</w:t>
      </w:r>
      <w:proofErr w:type="spellEnd"/>
      <w:r w:rsidRPr="00BE6829">
        <w:rPr>
          <w:rFonts w:ascii="Times New Roman" w:eastAsia="Google Sans Text" w:hAnsi="Times New Roman" w:cs="Times New Roman"/>
          <w:color w:val="1F1F1F"/>
        </w:rPr>
        <w:t xml:space="preserve">, S. and </w:t>
      </w:r>
      <w:proofErr w:type="spellStart"/>
      <w:r w:rsidRPr="00BE6829">
        <w:rPr>
          <w:rFonts w:ascii="Times New Roman" w:eastAsia="Google Sans Text" w:hAnsi="Times New Roman" w:cs="Times New Roman"/>
          <w:color w:val="1F1F1F"/>
        </w:rPr>
        <w:t>Garnczarska</w:t>
      </w:r>
      <w:proofErr w:type="spellEnd"/>
      <w:r w:rsidRPr="00BE6829">
        <w:rPr>
          <w:rFonts w:ascii="Times New Roman" w:eastAsia="Google Sans Text" w:hAnsi="Times New Roman" w:cs="Times New Roman"/>
          <w:color w:val="1F1F1F"/>
        </w:rPr>
        <w:t xml:space="preserve">, M. (2016b) 'Molecular processes induced in primed seeds—increasing the potential to stabilize crop yields under drought conditions', </w:t>
      </w:r>
      <w:r w:rsidRPr="00BE6829">
        <w:rPr>
          <w:rFonts w:ascii="Times New Roman" w:eastAsia="Google Sans Text" w:hAnsi="Times New Roman" w:cs="Times New Roman"/>
          <w:i/>
          <w:iCs/>
          <w:color w:val="1F1F1F"/>
        </w:rPr>
        <w:t>Journal of Plant Physiology</w:t>
      </w:r>
      <w:r w:rsidRPr="00BE6829">
        <w:rPr>
          <w:rFonts w:ascii="Times New Roman" w:eastAsia="Google Sans Text" w:hAnsi="Times New Roman" w:cs="Times New Roman"/>
          <w:color w:val="1F1F1F"/>
        </w:rPr>
        <w:t xml:space="preserve">, 203, pp. 116–126. Available at: </w:t>
      </w:r>
      <w:hyperlink r:id="rId50">
        <w:r w:rsidRPr="00BE6829">
          <w:rPr>
            <w:rFonts w:ascii="Times New Roman" w:eastAsia="Google Sans Text" w:hAnsi="Times New Roman" w:cs="Times New Roman"/>
            <w:color w:val="0B57D0"/>
            <w:u w:val="single"/>
          </w:rPr>
          <w:t>https://doi.org/10.1016/j.jplph.2016.04.008</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40" w:line="275" w:lineRule="auto"/>
        <w:jc w:val="both"/>
        <w:rPr>
          <w:rFonts w:ascii="Times New Roman" w:eastAsia="Google Sans Text" w:hAnsi="Times New Roman" w:cs="Times New Roman"/>
          <w:color w:val="1F1F1F"/>
        </w:rPr>
      </w:pPr>
      <w:proofErr w:type="spellStart"/>
      <w:r w:rsidRPr="00BE6829">
        <w:rPr>
          <w:rFonts w:ascii="Times New Roman" w:eastAsia="Google Sans Text" w:hAnsi="Times New Roman" w:cs="Times New Roman"/>
          <w:color w:val="1F1F1F"/>
        </w:rPr>
        <w:t>ZamStats</w:t>
      </w:r>
      <w:proofErr w:type="spellEnd"/>
      <w:r w:rsidRPr="00BE6829">
        <w:rPr>
          <w:rFonts w:ascii="Times New Roman" w:eastAsia="Google Sans Text" w:hAnsi="Times New Roman" w:cs="Times New Roman"/>
          <w:color w:val="1F1F1F"/>
        </w:rPr>
        <w:t xml:space="preserve"> (2024) </w:t>
      </w:r>
      <w:r w:rsidRPr="00BE6829">
        <w:rPr>
          <w:rFonts w:ascii="Times New Roman" w:eastAsia="Google Sans Text" w:hAnsi="Times New Roman" w:cs="Times New Roman"/>
          <w:i/>
          <w:iCs/>
          <w:color w:val="1F1F1F"/>
        </w:rPr>
        <w:t>2024 Integrated Agricultural Survey Results</w:t>
      </w:r>
      <w:r w:rsidRPr="00BE6829">
        <w:rPr>
          <w:rFonts w:ascii="Times New Roman" w:eastAsia="Google Sans Text" w:hAnsi="Times New Roman" w:cs="Times New Roman"/>
          <w:color w:val="1F1F1F"/>
        </w:rPr>
        <w:t xml:space="preserve">. Lusaka: Government of Zambia. Available at: </w:t>
      </w:r>
      <w:hyperlink r:id="rId51">
        <w:r w:rsidRPr="00BE6829">
          <w:rPr>
            <w:rFonts w:ascii="Times New Roman" w:eastAsia="Google Sans Text" w:hAnsi="Times New Roman" w:cs="Times New Roman"/>
            <w:color w:val="0B57D0"/>
            <w:u w:val="single"/>
          </w:rPr>
          <w:t>https://www.zamstats.gov.zm/</w:t>
        </w:r>
      </w:hyperlink>
      <w:r w:rsidRPr="00BE6829">
        <w:rPr>
          <w:rFonts w:ascii="Times New Roman" w:eastAsia="Google Sans Text" w:hAnsi="Times New Roman" w:cs="Times New Roman"/>
          <w:color w:val="1F1F1F"/>
        </w:rPr>
        <w:t>.</w:t>
      </w:r>
    </w:p>
    <w:p w:rsidR="00AB5936" w:rsidRPr="00BE6829" w:rsidRDefault="0082765A" w:rsidP="00BE6829">
      <w:pPr>
        <w:pStyle w:val="ListParagraph"/>
        <w:numPr>
          <w:ilvl w:val="0"/>
          <w:numId w:val="6"/>
        </w:numPr>
        <w:pBdr>
          <w:top w:val="nil"/>
          <w:left w:val="nil"/>
          <w:bottom w:val="nil"/>
          <w:right w:val="nil"/>
          <w:between w:val="nil"/>
        </w:pBdr>
        <w:spacing w:after="255" w:line="275" w:lineRule="auto"/>
        <w:jc w:val="both"/>
        <w:rPr>
          <w:rFonts w:ascii="Times New Roman" w:eastAsia="Google Sans Text" w:hAnsi="Times New Roman" w:cs="Times New Roman"/>
          <w:color w:val="1F1F1F"/>
        </w:rPr>
      </w:pPr>
      <w:r w:rsidRPr="00BE6829">
        <w:rPr>
          <w:rFonts w:ascii="Times New Roman" w:eastAsia="Google Sans Text" w:hAnsi="Times New Roman" w:cs="Times New Roman"/>
          <w:color w:val="1F1F1F"/>
        </w:rPr>
        <w:t xml:space="preserve">Zhang, D., Chen, L., Li, D., </w:t>
      </w:r>
      <w:proofErr w:type="spellStart"/>
      <w:r w:rsidRPr="00BE6829">
        <w:rPr>
          <w:rFonts w:ascii="Times New Roman" w:eastAsia="Google Sans Text" w:hAnsi="Times New Roman" w:cs="Times New Roman"/>
          <w:color w:val="1F1F1F"/>
        </w:rPr>
        <w:t>Lv</w:t>
      </w:r>
      <w:proofErr w:type="spellEnd"/>
      <w:r w:rsidRPr="00BE6829">
        <w:rPr>
          <w:rFonts w:ascii="Times New Roman" w:eastAsia="Google Sans Text" w:hAnsi="Times New Roman" w:cs="Times New Roman"/>
          <w:color w:val="1F1F1F"/>
        </w:rPr>
        <w:t xml:space="preserve">, B., Chen, Y., Chen, J. and Liang, J. (2014) 'OsRACK1 involved in abscisic acid signaling', </w:t>
      </w:r>
      <w:proofErr w:type="spellStart"/>
      <w:r w:rsidRPr="00BE6829">
        <w:rPr>
          <w:rFonts w:ascii="Times New Roman" w:eastAsia="Google Sans Text" w:hAnsi="Times New Roman" w:cs="Times New Roman"/>
          <w:i/>
          <w:iCs/>
          <w:color w:val="1F1F1F"/>
        </w:rPr>
        <w:t>PLoS</w:t>
      </w:r>
      <w:proofErr w:type="spellEnd"/>
      <w:r w:rsidRPr="00BE6829">
        <w:rPr>
          <w:rFonts w:ascii="Times New Roman" w:eastAsia="Google Sans Text" w:hAnsi="Times New Roman" w:cs="Times New Roman"/>
          <w:i/>
          <w:iCs/>
          <w:color w:val="1F1F1F"/>
        </w:rPr>
        <w:t xml:space="preserve"> ONE</w:t>
      </w:r>
      <w:r w:rsidRPr="00BE6829">
        <w:rPr>
          <w:rFonts w:ascii="Times New Roman" w:eastAsia="Google Sans Text" w:hAnsi="Times New Roman" w:cs="Times New Roman"/>
          <w:color w:val="1F1F1F"/>
        </w:rPr>
        <w:t xml:space="preserve">, 9, p. e97120. Available at: </w:t>
      </w:r>
      <w:hyperlink r:id="rId52">
        <w:r w:rsidRPr="00BE6829">
          <w:rPr>
            <w:rFonts w:ascii="Times New Roman" w:eastAsia="Google Sans Text" w:hAnsi="Times New Roman" w:cs="Times New Roman"/>
            <w:color w:val="0B57D0"/>
            <w:u w:val="single"/>
          </w:rPr>
          <w:t>https://doi.org/10.1371/journal.pone.0097120</w:t>
        </w:r>
      </w:hyperlink>
      <w:r w:rsidRPr="00BE6829">
        <w:rPr>
          <w:rFonts w:ascii="Times New Roman" w:eastAsia="Google Sans Text" w:hAnsi="Times New Roman" w:cs="Times New Roman"/>
          <w:color w:val="1F1F1F"/>
        </w:rPr>
        <w:t>.</w:t>
      </w:r>
    </w:p>
    <w:p w:rsidR="005E46B3" w:rsidRPr="00E169C4" w:rsidRDefault="005E46B3" w:rsidP="0094685B">
      <w:pPr>
        <w:pBdr>
          <w:top w:val="nil"/>
          <w:left w:val="nil"/>
          <w:bottom w:val="nil"/>
          <w:right w:val="nil"/>
          <w:between w:val="nil"/>
        </w:pBdr>
        <w:spacing w:after="255" w:line="275" w:lineRule="auto"/>
        <w:jc w:val="both"/>
        <w:rPr>
          <w:rFonts w:ascii="Times New Roman" w:eastAsia="Google Sans Text" w:hAnsi="Times New Roman" w:cs="Times New Roman"/>
          <w:color w:val="1F1F1F"/>
        </w:rPr>
      </w:pPr>
    </w:p>
    <w:p w:rsidR="005E46B3" w:rsidRPr="00E169C4" w:rsidRDefault="005E46B3" w:rsidP="0094685B">
      <w:pPr>
        <w:pBdr>
          <w:top w:val="nil"/>
          <w:left w:val="nil"/>
          <w:bottom w:val="nil"/>
          <w:right w:val="nil"/>
          <w:between w:val="nil"/>
        </w:pBdr>
        <w:spacing w:after="255" w:line="275" w:lineRule="auto"/>
        <w:jc w:val="both"/>
        <w:rPr>
          <w:rFonts w:ascii="Times New Roman" w:eastAsia="Google Sans Text" w:hAnsi="Times New Roman" w:cs="Times New Roman"/>
          <w:color w:val="1F1F1F"/>
        </w:rPr>
      </w:pPr>
    </w:p>
    <w:p w:rsidR="005E46B3" w:rsidRPr="00E169C4" w:rsidRDefault="005E46B3" w:rsidP="0094685B">
      <w:pPr>
        <w:pBdr>
          <w:top w:val="nil"/>
          <w:left w:val="nil"/>
          <w:bottom w:val="nil"/>
          <w:right w:val="nil"/>
          <w:between w:val="nil"/>
        </w:pBdr>
        <w:spacing w:after="255" w:line="275" w:lineRule="auto"/>
        <w:jc w:val="both"/>
        <w:rPr>
          <w:rFonts w:ascii="Times New Roman" w:eastAsia="Google Sans Text" w:hAnsi="Times New Roman" w:cs="Times New Roman"/>
          <w:color w:val="1F1F1F"/>
        </w:rPr>
      </w:pPr>
    </w:p>
    <w:p w:rsidR="005E46B3" w:rsidRPr="00E169C4" w:rsidRDefault="005E46B3" w:rsidP="00570F90">
      <w:pPr>
        <w:widowControl/>
        <w:spacing w:before="100" w:beforeAutospacing="1" w:after="100" w:afterAutospacing="1"/>
        <w:rPr>
          <w:rFonts w:ascii="Times New Roman" w:eastAsia="Times New Roman" w:hAnsi="Times New Roman" w:cs="Times New Roman"/>
        </w:rPr>
      </w:pPr>
    </w:p>
    <w:p w:rsidR="00AB5936" w:rsidRPr="00E169C4" w:rsidRDefault="00AB5936" w:rsidP="005E46B3">
      <w:pPr>
        <w:pStyle w:val="Heading4"/>
        <w:spacing w:before="0"/>
        <w:jc w:val="both"/>
        <w:rPr>
          <w:rFonts w:ascii="Times New Roman" w:hAnsi="Times New Roman" w:cs="Times New Roman"/>
          <w:b w:val="0"/>
          <w:sz w:val="22"/>
          <w:szCs w:val="22"/>
        </w:rPr>
      </w:pPr>
    </w:p>
    <w:sectPr w:rsidR="00AB5936" w:rsidRPr="00E169C4" w:rsidSect="00A23C70">
      <w:headerReference w:type="even" r:id="rId53"/>
      <w:headerReference w:type="default" r:id="rId54"/>
      <w:footerReference w:type="even" r:id="rId55"/>
      <w:footerReference w:type="default" r:id="rId56"/>
      <w:headerReference w:type="first" r:id="rId57"/>
      <w:footerReference w:type="first" r:id="rId58"/>
      <w:pgSz w:w="12240" w:h="15840"/>
      <w:pgMar w:top="851" w:right="1440" w:bottom="709"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AEF" w:rsidRDefault="00F61AEF" w:rsidP="00E9714E">
      <w:r>
        <w:separator/>
      </w:r>
    </w:p>
  </w:endnote>
  <w:endnote w:type="continuationSeparator" w:id="0">
    <w:p w:rsidR="00F61AEF" w:rsidRDefault="00F61AEF" w:rsidP="00E9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6285F8D-04A4-46BA-8275-AB2870D632A9}"/>
  </w:font>
  <w:font w:name="Google Sans">
    <w:charset w:val="00"/>
    <w:family w:val="auto"/>
    <w:pitch w:val="default"/>
    <w:embedRegular r:id="rId2" w:fontKey="{53946CEF-191B-4455-B45D-64DCE7F00611}"/>
    <w:embedBold r:id="rId3" w:fontKey="{6D05AD68-3012-4684-8FD5-4A63A6EF0672}"/>
  </w:font>
  <w:font w:name="Google Sans Text">
    <w:charset w:val="00"/>
    <w:family w:val="auto"/>
    <w:pitch w:val="default"/>
    <w:embedRegular r:id="rId4" w:fontKey="{04043231-1B46-4721-801D-E48035BC8F35}"/>
    <w:embedBold r:id="rId5" w:fontKey="{83749C95-1B56-4462-B8E0-AD5C3ADEFD42}"/>
    <w:embedItalic r:id="rId6" w:fontKey="{9CE7A30B-A8B0-442F-9C10-F7CC10741C55}"/>
    <w:embedBoldItalic r:id="rId7" w:fontKey="{30A97E1D-88E3-4C95-BDA9-41A6DECBDD06}"/>
  </w:font>
  <w:font w:name="Calibri">
    <w:panose1 w:val="020F0502020204030204"/>
    <w:charset w:val="00"/>
    <w:family w:val="swiss"/>
    <w:pitch w:val="variable"/>
    <w:sig w:usb0="E4002EFF" w:usb1="C000247B" w:usb2="00000009" w:usb3="00000000" w:csb0="000001FF" w:csb1="00000000"/>
    <w:embedRegular r:id="rId8" w:fontKey="{4CA91E1B-C7CD-4A5D-8647-A8566FF3C418}"/>
  </w:font>
  <w:font w:name="Cambria">
    <w:panose1 w:val="02040503050406030204"/>
    <w:charset w:val="00"/>
    <w:family w:val="roman"/>
    <w:pitch w:val="variable"/>
    <w:sig w:usb0="E00006FF" w:usb1="420024FF" w:usb2="02000000" w:usb3="00000000" w:csb0="0000019F" w:csb1="00000000"/>
    <w:embedRegular r:id="rId9" w:fontKey="{B3284556-1D30-4D65-9BE5-E0040E5E9A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14E" w:rsidRDefault="00E971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14E" w:rsidRDefault="00E971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14E" w:rsidRDefault="00E97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AEF" w:rsidRDefault="00F61AEF" w:rsidP="00E9714E">
      <w:r>
        <w:separator/>
      </w:r>
    </w:p>
  </w:footnote>
  <w:footnote w:type="continuationSeparator" w:id="0">
    <w:p w:rsidR="00F61AEF" w:rsidRDefault="00F61AEF" w:rsidP="00E97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14E" w:rsidRDefault="00E971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809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14E" w:rsidRDefault="00E971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809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14E" w:rsidRDefault="00E971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809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83912"/>
    <w:multiLevelType w:val="multilevel"/>
    <w:tmpl w:val="61C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835AF"/>
    <w:multiLevelType w:val="multilevel"/>
    <w:tmpl w:val="6108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41358"/>
    <w:multiLevelType w:val="multilevel"/>
    <w:tmpl w:val="919A5C04"/>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DCA4B83"/>
    <w:multiLevelType w:val="multilevel"/>
    <w:tmpl w:val="2FEA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8057A6"/>
    <w:multiLevelType w:val="multilevel"/>
    <w:tmpl w:val="74100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628CB"/>
    <w:multiLevelType w:val="hybridMultilevel"/>
    <w:tmpl w:val="62BAE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E06F5"/>
    <w:multiLevelType w:val="multilevel"/>
    <w:tmpl w:val="300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D343A"/>
    <w:multiLevelType w:val="multilevel"/>
    <w:tmpl w:val="A3A0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4406A0"/>
    <w:multiLevelType w:val="multilevel"/>
    <w:tmpl w:val="9278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7"/>
  </w:num>
  <w:num w:numId="5">
    <w:abstractNumId w:val="8"/>
  </w:num>
  <w:num w:numId="6">
    <w:abstractNumId w:val="5"/>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936"/>
    <w:rsid w:val="00051D47"/>
    <w:rsid w:val="000522AB"/>
    <w:rsid w:val="00067901"/>
    <w:rsid w:val="00074720"/>
    <w:rsid w:val="00075BFD"/>
    <w:rsid w:val="000910E2"/>
    <w:rsid w:val="00094CA4"/>
    <w:rsid w:val="000A37DC"/>
    <w:rsid w:val="000A614F"/>
    <w:rsid w:val="000B24D2"/>
    <w:rsid w:val="000C27E6"/>
    <w:rsid w:val="000F057B"/>
    <w:rsid w:val="000F45A0"/>
    <w:rsid w:val="00111D05"/>
    <w:rsid w:val="00111E6F"/>
    <w:rsid w:val="00122E8F"/>
    <w:rsid w:val="00126A2B"/>
    <w:rsid w:val="00140801"/>
    <w:rsid w:val="00165992"/>
    <w:rsid w:val="001A337C"/>
    <w:rsid w:val="001A7270"/>
    <w:rsid w:val="001C5E16"/>
    <w:rsid w:val="001D228C"/>
    <w:rsid w:val="001E71AF"/>
    <w:rsid w:val="001E7E02"/>
    <w:rsid w:val="001F15A9"/>
    <w:rsid w:val="001F3D3E"/>
    <w:rsid w:val="001F4F17"/>
    <w:rsid w:val="00243C6B"/>
    <w:rsid w:val="002576CD"/>
    <w:rsid w:val="002808BB"/>
    <w:rsid w:val="0028756D"/>
    <w:rsid w:val="002B1671"/>
    <w:rsid w:val="002B4F6F"/>
    <w:rsid w:val="002D2A13"/>
    <w:rsid w:val="002D7E38"/>
    <w:rsid w:val="002F2D75"/>
    <w:rsid w:val="00303656"/>
    <w:rsid w:val="0030417F"/>
    <w:rsid w:val="003130DD"/>
    <w:rsid w:val="003157C2"/>
    <w:rsid w:val="00337F72"/>
    <w:rsid w:val="003443B2"/>
    <w:rsid w:val="003568BA"/>
    <w:rsid w:val="00361772"/>
    <w:rsid w:val="003B0504"/>
    <w:rsid w:val="003B1820"/>
    <w:rsid w:val="003F4E03"/>
    <w:rsid w:val="00436579"/>
    <w:rsid w:val="00446C07"/>
    <w:rsid w:val="00452A32"/>
    <w:rsid w:val="0045582D"/>
    <w:rsid w:val="00457180"/>
    <w:rsid w:val="00475C61"/>
    <w:rsid w:val="004948B7"/>
    <w:rsid w:val="00495476"/>
    <w:rsid w:val="004A5477"/>
    <w:rsid w:val="004B17D0"/>
    <w:rsid w:val="004C2009"/>
    <w:rsid w:val="004D7E16"/>
    <w:rsid w:val="004F78C7"/>
    <w:rsid w:val="0050511C"/>
    <w:rsid w:val="00505FD7"/>
    <w:rsid w:val="005255B2"/>
    <w:rsid w:val="005418BF"/>
    <w:rsid w:val="00570F90"/>
    <w:rsid w:val="005A7ABD"/>
    <w:rsid w:val="005C7F74"/>
    <w:rsid w:val="005E46B3"/>
    <w:rsid w:val="005E7309"/>
    <w:rsid w:val="005F3672"/>
    <w:rsid w:val="00601212"/>
    <w:rsid w:val="00633351"/>
    <w:rsid w:val="006418A9"/>
    <w:rsid w:val="006453A2"/>
    <w:rsid w:val="00672CB4"/>
    <w:rsid w:val="0069115B"/>
    <w:rsid w:val="0069782B"/>
    <w:rsid w:val="006B51AA"/>
    <w:rsid w:val="006E7C1C"/>
    <w:rsid w:val="007020B0"/>
    <w:rsid w:val="00707C52"/>
    <w:rsid w:val="00733C12"/>
    <w:rsid w:val="00751DEE"/>
    <w:rsid w:val="00823CF4"/>
    <w:rsid w:val="0082765A"/>
    <w:rsid w:val="00846AE6"/>
    <w:rsid w:val="00846AF2"/>
    <w:rsid w:val="00846BF1"/>
    <w:rsid w:val="00852278"/>
    <w:rsid w:val="008700D6"/>
    <w:rsid w:val="00871CFA"/>
    <w:rsid w:val="00890180"/>
    <w:rsid w:val="00893E89"/>
    <w:rsid w:val="008A5AB5"/>
    <w:rsid w:val="008C602A"/>
    <w:rsid w:val="008D2B9B"/>
    <w:rsid w:val="008D4233"/>
    <w:rsid w:val="008D6E57"/>
    <w:rsid w:val="0091771A"/>
    <w:rsid w:val="009250FC"/>
    <w:rsid w:val="0094685B"/>
    <w:rsid w:val="00971066"/>
    <w:rsid w:val="009B6229"/>
    <w:rsid w:val="009C3E2E"/>
    <w:rsid w:val="009D1C61"/>
    <w:rsid w:val="009E3A03"/>
    <w:rsid w:val="00A12CD6"/>
    <w:rsid w:val="00A148DC"/>
    <w:rsid w:val="00A23C70"/>
    <w:rsid w:val="00A25ABC"/>
    <w:rsid w:val="00A27899"/>
    <w:rsid w:val="00A44AEA"/>
    <w:rsid w:val="00A50883"/>
    <w:rsid w:val="00A61286"/>
    <w:rsid w:val="00A776F3"/>
    <w:rsid w:val="00A85154"/>
    <w:rsid w:val="00A9520D"/>
    <w:rsid w:val="00AA339D"/>
    <w:rsid w:val="00AB5936"/>
    <w:rsid w:val="00AC7C9D"/>
    <w:rsid w:val="00AF37B6"/>
    <w:rsid w:val="00B0521A"/>
    <w:rsid w:val="00B06B15"/>
    <w:rsid w:val="00B35CFC"/>
    <w:rsid w:val="00B52B8D"/>
    <w:rsid w:val="00B74E10"/>
    <w:rsid w:val="00B756FB"/>
    <w:rsid w:val="00B81A8C"/>
    <w:rsid w:val="00B9660B"/>
    <w:rsid w:val="00BC7C80"/>
    <w:rsid w:val="00BE3109"/>
    <w:rsid w:val="00BE6829"/>
    <w:rsid w:val="00BF09EC"/>
    <w:rsid w:val="00BF277F"/>
    <w:rsid w:val="00C02601"/>
    <w:rsid w:val="00C13C59"/>
    <w:rsid w:val="00C23007"/>
    <w:rsid w:val="00C24B20"/>
    <w:rsid w:val="00C320B2"/>
    <w:rsid w:val="00C3452C"/>
    <w:rsid w:val="00C4685A"/>
    <w:rsid w:val="00C54EDC"/>
    <w:rsid w:val="00C559C5"/>
    <w:rsid w:val="00C923BE"/>
    <w:rsid w:val="00CA665C"/>
    <w:rsid w:val="00CB043E"/>
    <w:rsid w:val="00CB4D9D"/>
    <w:rsid w:val="00CD7774"/>
    <w:rsid w:val="00CE4C5E"/>
    <w:rsid w:val="00CF389A"/>
    <w:rsid w:val="00D02679"/>
    <w:rsid w:val="00D17548"/>
    <w:rsid w:val="00D42355"/>
    <w:rsid w:val="00D4434E"/>
    <w:rsid w:val="00D62473"/>
    <w:rsid w:val="00D74D19"/>
    <w:rsid w:val="00D95EFF"/>
    <w:rsid w:val="00DB1100"/>
    <w:rsid w:val="00DB3606"/>
    <w:rsid w:val="00DB5E5D"/>
    <w:rsid w:val="00DC28DB"/>
    <w:rsid w:val="00DC2C5C"/>
    <w:rsid w:val="00DD6E2F"/>
    <w:rsid w:val="00DE30BE"/>
    <w:rsid w:val="00DF318B"/>
    <w:rsid w:val="00DF7D4F"/>
    <w:rsid w:val="00E05C10"/>
    <w:rsid w:val="00E12B71"/>
    <w:rsid w:val="00E169C4"/>
    <w:rsid w:val="00E35537"/>
    <w:rsid w:val="00E36AB9"/>
    <w:rsid w:val="00E50AB4"/>
    <w:rsid w:val="00E54A45"/>
    <w:rsid w:val="00E620BE"/>
    <w:rsid w:val="00E625B4"/>
    <w:rsid w:val="00E6269F"/>
    <w:rsid w:val="00E96379"/>
    <w:rsid w:val="00E9714E"/>
    <w:rsid w:val="00EA06C3"/>
    <w:rsid w:val="00EA251C"/>
    <w:rsid w:val="00EA52B9"/>
    <w:rsid w:val="00EA627A"/>
    <w:rsid w:val="00EB5036"/>
    <w:rsid w:val="00EB7F35"/>
    <w:rsid w:val="00EC6BE3"/>
    <w:rsid w:val="00EE6B06"/>
    <w:rsid w:val="00EF12AC"/>
    <w:rsid w:val="00EF4BD8"/>
    <w:rsid w:val="00F4026B"/>
    <w:rsid w:val="00F40412"/>
    <w:rsid w:val="00F5146C"/>
    <w:rsid w:val="00F61AEF"/>
    <w:rsid w:val="00F62518"/>
    <w:rsid w:val="00F6303A"/>
    <w:rsid w:val="00FE6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7ED425"/>
  <w15:docId w15:val="{6A0A2996-80D4-44C6-BC64-9D07CD1D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NormalWeb">
    <w:name w:val="Normal (Web)"/>
    <w:basedOn w:val="Normal"/>
    <w:uiPriority w:val="99"/>
    <w:unhideWhenUsed/>
    <w:rsid w:val="005E46B3"/>
    <w:pPr>
      <w:widowControl/>
      <w:spacing w:before="100" w:beforeAutospacing="1" w:after="100" w:afterAutospacing="1"/>
    </w:pPr>
    <w:rPr>
      <w:rFonts w:ascii="Times New Roman" w:eastAsia="Times New Roman" w:hAnsi="Times New Roman" w:cs="Times New Roman"/>
      <w:sz w:val="24"/>
      <w:szCs w:val="24"/>
    </w:rPr>
  </w:style>
  <w:style w:type="character" w:customStyle="1" w:styleId="citation-176">
    <w:name w:val="citation-176"/>
    <w:basedOn w:val="DefaultParagraphFont"/>
    <w:rsid w:val="005E46B3"/>
  </w:style>
  <w:style w:type="character" w:customStyle="1" w:styleId="citation-175">
    <w:name w:val="citation-175"/>
    <w:basedOn w:val="DefaultParagraphFont"/>
    <w:rsid w:val="005E46B3"/>
  </w:style>
  <w:style w:type="character" w:customStyle="1" w:styleId="citation-174">
    <w:name w:val="citation-174"/>
    <w:basedOn w:val="DefaultParagraphFont"/>
    <w:rsid w:val="005E46B3"/>
  </w:style>
  <w:style w:type="character" w:customStyle="1" w:styleId="citation-173">
    <w:name w:val="citation-173"/>
    <w:basedOn w:val="DefaultParagraphFont"/>
    <w:rsid w:val="005E46B3"/>
  </w:style>
  <w:style w:type="character" w:customStyle="1" w:styleId="citation-172">
    <w:name w:val="citation-172"/>
    <w:basedOn w:val="DefaultParagraphFont"/>
    <w:rsid w:val="005E46B3"/>
  </w:style>
  <w:style w:type="character" w:customStyle="1" w:styleId="citation-171">
    <w:name w:val="citation-171"/>
    <w:basedOn w:val="DefaultParagraphFont"/>
    <w:rsid w:val="005E46B3"/>
  </w:style>
  <w:style w:type="character" w:customStyle="1" w:styleId="citation-170">
    <w:name w:val="citation-170"/>
    <w:basedOn w:val="DefaultParagraphFont"/>
    <w:rsid w:val="005E46B3"/>
  </w:style>
  <w:style w:type="character" w:customStyle="1" w:styleId="citation-169">
    <w:name w:val="citation-169"/>
    <w:basedOn w:val="DefaultParagraphFont"/>
    <w:rsid w:val="005E46B3"/>
  </w:style>
  <w:style w:type="character" w:customStyle="1" w:styleId="button-label">
    <w:name w:val="button-label"/>
    <w:basedOn w:val="DefaultParagraphFont"/>
    <w:rsid w:val="005E46B3"/>
  </w:style>
  <w:style w:type="character" w:customStyle="1" w:styleId="citation-168">
    <w:name w:val="citation-168"/>
    <w:basedOn w:val="DefaultParagraphFont"/>
    <w:rsid w:val="005E46B3"/>
  </w:style>
  <w:style w:type="character" w:customStyle="1" w:styleId="citation-167">
    <w:name w:val="citation-167"/>
    <w:basedOn w:val="DefaultParagraphFont"/>
    <w:rsid w:val="005E46B3"/>
  </w:style>
  <w:style w:type="character" w:customStyle="1" w:styleId="citation-166">
    <w:name w:val="citation-166"/>
    <w:basedOn w:val="DefaultParagraphFont"/>
    <w:rsid w:val="005E46B3"/>
  </w:style>
  <w:style w:type="character" w:customStyle="1" w:styleId="citation-165">
    <w:name w:val="citation-165"/>
    <w:basedOn w:val="DefaultParagraphFont"/>
    <w:rsid w:val="005E46B3"/>
  </w:style>
  <w:style w:type="character" w:customStyle="1" w:styleId="citation-164">
    <w:name w:val="citation-164"/>
    <w:basedOn w:val="DefaultParagraphFont"/>
    <w:rsid w:val="005E46B3"/>
  </w:style>
  <w:style w:type="character" w:customStyle="1" w:styleId="citation-163">
    <w:name w:val="citation-163"/>
    <w:basedOn w:val="DefaultParagraphFont"/>
    <w:rsid w:val="005E46B3"/>
  </w:style>
  <w:style w:type="character" w:customStyle="1" w:styleId="mord">
    <w:name w:val="mord"/>
    <w:basedOn w:val="DefaultParagraphFont"/>
    <w:rsid w:val="008D4233"/>
  </w:style>
  <w:style w:type="character" w:customStyle="1" w:styleId="math-inline">
    <w:name w:val="math-inline"/>
    <w:basedOn w:val="DefaultParagraphFont"/>
    <w:rsid w:val="00672CB4"/>
  </w:style>
  <w:style w:type="paragraph" w:styleId="ListParagraph">
    <w:name w:val="List Paragraph"/>
    <w:basedOn w:val="Normal"/>
    <w:uiPriority w:val="34"/>
    <w:qFormat/>
    <w:rsid w:val="00BE6829"/>
    <w:pPr>
      <w:ind w:left="720"/>
      <w:contextualSpacing/>
    </w:pPr>
  </w:style>
  <w:style w:type="character" w:customStyle="1" w:styleId="label">
    <w:name w:val="label"/>
    <w:basedOn w:val="DefaultParagraphFont"/>
    <w:rsid w:val="00EF12AC"/>
  </w:style>
  <w:style w:type="character" w:styleId="PlaceholderText">
    <w:name w:val="Placeholder Text"/>
    <w:basedOn w:val="DefaultParagraphFont"/>
    <w:uiPriority w:val="99"/>
    <w:semiHidden/>
    <w:rsid w:val="00111E6F"/>
    <w:rPr>
      <w:color w:val="808080"/>
    </w:rPr>
  </w:style>
  <w:style w:type="character" w:styleId="Hyperlink">
    <w:name w:val="Hyperlink"/>
    <w:basedOn w:val="DefaultParagraphFont"/>
    <w:uiPriority w:val="99"/>
    <w:unhideWhenUsed/>
    <w:rsid w:val="008A5AB5"/>
    <w:rPr>
      <w:color w:val="0000FF" w:themeColor="hyperlink"/>
      <w:u w:val="single"/>
    </w:rPr>
  </w:style>
  <w:style w:type="character" w:styleId="UnresolvedMention">
    <w:name w:val="Unresolved Mention"/>
    <w:basedOn w:val="DefaultParagraphFont"/>
    <w:uiPriority w:val="99"/>
    <w:semiHidden/>
    <w:unhideWhenUsed/>
    <w:rsid w:val="008A5AB5"/>
    <w:rPr>
      <w:color w:val="605E5C"/>
      <w:shd w:val="clear" w:color="auto" w:fill="E1DFDD"/>
    </w:rPr>
  </w:style>
  <w:style w:type="paragraph" w:styleId="Header">
    <w:name w:val="header"/>
    <w:basedOn w:val="Normal"/>
    <w:link w:val="HeaderChar"/>
    <w:uiPriority w:val="99"/>
    <w:unhideWhenUsed/>
    <w:rsid w:val="00E9714E"/>
    <w:pPr>
      <w:tabs>
        <w:tab w:val="center" w:pos="4680"/>
        <w:tab w:val="right" w:pos="9360"/>
      </w:tabs>
    </w:pPr>
  </w:style>
  <w:style w:type="character" w:customStyle="1" w:styleId="HeaderChar">
    <w:name w:val="Header Char"/>
    <w:basedOn w:val="DefaultParagraphFont"/>
    <w:link w:val="Header"/>
    <w:uiPriority w:val="99"/>
    <w:rsid w:val="00E9714E"/>
  </w:style>
  <w:style w:type="paragraph" w:styleId="Footer">
    <w:name w:val="footer"/>
    <w:basedOn w:val="Normal"/>
    <w:link w:val="FooterChar"/>
    <w:uiPriority w:val="99"/>
    <w:unhideWhenUsed/>
    <w:rsid w:val="00E9714E"/>
    <w:pPr>
      <w:tabs>
        <w:tab w:val="center" w:pos="4680"/>
        <w:tab w:val="right" w:pos="9360"/>
      </w:tabs>
    </w:pPr>
  </w:style>
  <w:style w:type="character" w:customStyle="1" w:styleId="FooterChar">
    <w:name w:val="Footer Char"/>
    <w:basedOn w:val="DefaultParagraphFont"/>
    <w:link w:val="Footer"/>
    <w:uiPriority w:val="99"/>
    <w:rsid w:val="00E97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96995">
      <w:bodyDiv w:val="1"/>
      <w:marLeft w:val="0"/>
      <w:marRight w:val="0"/>
      <w:marTop w:val="0"/>
      <w:marBottom w:val="0"/>
      <w:divBdr>
        <w:top w:val="none" w:sz="0" w:space="0" w:color="auto"/>
        <w:left w:val="none" w:sz="0" w:space="0" w:color="auto"/>
        <w:bottom w:val="none" w:sz="0" w:space="0" w:color="auto"/>
        <w:right w:val="none" w:sz="0" w:space="0" w:color="auto"/>
      </w:divBdr>
    </w:div>
    <w:div w:id="61411599">
      <w:bodyDiv w:val="1"/>
      <w:marLeft w:val="0"/>
      <w:marRight w:val="0"/>
      <w:marTop w:val="0"/>
      <w:marBottom w:val="0"/>
      <w:divBdr>
        <w:top w:val="none" w:sz="0" w:space="0" w:color="auto"/>
        <w:left w:val="none" w:sz="0" w:space="0" w:color="auto"/>
        <w:bottom w:val="none" w:sz="0" w:space="0" w:color="auto"/>
        <w:right w:val="none" w:sz="0" w:space="0" w:color="auto"/>
      </w:divBdr>
    </w:div>
    <w:div w:id="232861885">
      <w:bodyDiv w:val="1"/>
      <w:marLeft w:val="0"/>
      <w:marRight w:val="0"/>
      <w:marTop w:val="0"/>
      <w:marBottom w:val="0"/>
      <w:divBdr>
        <w:top w:val="none" w:sz="0" w:space="0" w:color="auto"/>
        <w:left w:val="none" w:sz="0" w:space="0" w:color="auto"/>
        <w:bottom w:val="none" w:sz="0" w:space="0" w:color="auto"/>
        <w:right w:val="none" w:sz="0" w:space="0" w:color="auto"/>
      </w:divBdr>
    </w:div>
    <w:div w:id="272900258">
      <w:bodyDiv w:val="1"/>
      <w:marLeft w:val="0"/>
      <w:marRight w:val="0"/>
      <w:marTop w:val="0"/>
      <w:marBottom w:val="0"/>
      <w:divBdr>
        <w:top w:val="none" w:sz="0" w:space="0" w:color="auto"/>
        <w:left w:val="none" w:sz="0" w:space="0" w:color="auto"/>
        <w:bottom w:val="none" w:sz="0" w:space="0" w:color="auto"/>
        <w:right w:val="none" w:sz="0" w:space="0" w:color="auto"/>
      </w:divBdr>
    </w:div>
    <w:div w:id="339238646">
      <w:bodyDiv w:val="1"/>
      <w:marLeft w:val="0"/>
      <w:marRight w:val="0"/>
      <w:marTop w:val="0"/>
      <w:marBottom w:val="0"/>
      <w:divBdr>
        <w:top w:val="none" w:sz="0" w:space="0" w:color="auto"/>
        <w:left w:val="none" w:sz="0" w:space="0" w:color="auto"/>
        <w:bottom w:val="none" w:sz="0" w:space="0" w:color="auto"/>
        <w:right w:val="none" w:sz="0" w:space="0" w:color="auto"/>
      </w:divBdr>
    </w:div>
    <w:div w:id="342363632">
      <w:bodyDiv w:val="1"/>
      <w:marLeft w:val="0"/>
      <w:marRight w:val="0"/>
      <w:marTop w:val="0"/>
      <w:marBottom w:val="0"/>
      <w:divBdr>
        <w:top w:val="none" w:sz="0" w:space="0" w:color="auto"/>
        <w:left w:val="none" w:sz="0" w:space="0" w:color="auto"/>
        <w:bottom w:val="none" w:sz="0" w:space="0" w:color="auto"/>
        <w:right w:val="none" w:sz="0" w:space="0" w:color="auto"/>
      </w:divBdr>
      <w:divsChild>
        <w:div w:id="106586643">
          <w:marLeft w:val="-1035"/>
          <w:marRight w:val="0"/>
          <w:marTop w:val="0"/>
          <w:marBottom w:val="0"/>
          <w:divBdr>
            <w:top w:val="none" w:sz="0" w:space="0" w:color="auto"/>
            <w:left w:val="none" w:sz="0" w:space="0" w:color="auto"/>
            <w:bottom w:val="none" w:sz="0" w:space="0" w:color="auto"/>
            <w:right w:val="none" w:sz="0" w:space="0" w:color="auto"/>
          </w:divBdr>
        </w:div>
      </w:divsChild>
    </w:div>
    <w:div w:id="362440356">
      <w:bodyDiv w:val="1"/>
      <w:marLeft w:val="0"/>
      <w:marRight w:val="0"/>
      <w:marTop w:val="0"/>
      <w:marBottom w:val="0"/>
      <w:divBdr>
        <w:top w:val="none" w:sz="0" w:space="0" w:color="auto"/>
        <w:left w:val="none" w:sz="0" w:space="0" w:color="auto"/>
        <w:bottom w:val="none" w:sz="0" w:space="0" w:color="auto"/>
        <w:right w:val="none" w:sz="0" w:space="0" w:color="auto"/>
      </w:divBdr>
    </w:div>
    <w:div w:id="373579807">
      <w:bodyDiv w:val="1"/>
      <w:marLeft w:val="0"/>
      <w:marRight w:val="0"/>
      <w:marTop w:val="0"/>
      <w:marBottom w:val="0"/>
      <w:divBdr>
        <w:top w:val="none" w:sz="0" w:space="0" w:color="auto"/>
        <w:left w:val="none" w:sz="0" w:space="0" w:color="auto"/>
        <w:bottom w:val="none" w:sz="0" w:space="0" w:color="auto"/>
        <w:right w:val="none" w:sz="0" w:space="0" w:color="auto"/>
      </w:divBdr>
    </w:div>
    <w:div w:id="393048905">
      <w:bodyDiv w:val="1"/>
      <w:marLeft w:val="0"/>
      <w:marRight w:val="0"/>
      <w:marTop w:val="0"/>
      <w:marBottom w:val="0"/>
      <w:divBdr>
        <w:top w:val="none" w:sz="0" w:space="0" w:color="auto"/>
        <w:left w:val="none" w:sz="0" w:space="0" w:color="auto"/>
        <w:bottom w:val="none" w:sz="0" w:space="0" w:color="auto"/>
        <w:right w:val="none" w:sz="0" w:space="0" w:color="auto"/>
      </w:divBdr>
    </w:div>
    <w:div w:id="408894565">
      <w:bodyDiv w:val="1"/>
      <w:marLeft w:val="0"/>
      <w:marRight w:val="0"/>
      <w:marTop w:val="0"/>
      <w:marBottom w:val="0"/>
      <w:divBdr>
        <w:top w:val="none" w:sz="0" w:space="0" w:color="auto"/>
        <w:left w:val="none" w:sz="0" w:space="0" w:color="auto"/>
        <w:bottom w:val="none" w:sz="0" w:space="0" w:color="auto"/>
        <w:right w:val="none" w:sz="0" w:space="0" w:color="auto"/>
      </w:divBdr>
    </w:div>
    <w:div w:id="499390577">
      <w:bodyDiv w:val="1"/>
      <w:marLeft w:val="0"/>
      <w:marRight w:val="0"/>
      <w:marTop w:val="0"/>
      <w:marBottom w:val="0"/>
      <w:divBdr>
        <w:top w:val="none" w:sz="0" w:space="0" w:color="auto"/>
        <w:left w:val="none" w:sz="0" w:space="0" w:color="auto"/>
        <w:bottom w:val="none" w:sz="0" w:space="0" w:color="auto"/>
        <w:right w:val="none" w:sz="0" w:space="0" w:color="auto"/>
      </w:divBdr>
    </w:div>
    <w:div w:id="524750565">
      <w:bodyDiv w:val="1"/>
      <w:marLeft w:val="0"/>
      <w:marRight w:val="0"/>
      <w:marTop w:val="0"/>
      <w:marBottom w:val="0"/>
      <w:divBdr>
        <w:top w:val="none" w:sz="0" w:space="0" w:color="auto"/>
        <w:left w:val="none" w:sz="0" w:space="0" w:color="auto"/>
        <w:bottom w:val="none" w:sz="0" w:space="0" w:color="auto"/>
        <w:right w:val="none" w:sz="0" w:space="0" w:color="auto"/>
      </w:divBdr>
    </w:div>
    <w:div w:id="560412439">
      <w:bodyDiv w:val="1"/>
      <w:marLeft w:val="0"/>
      <w:marRight w:val="0"/>
      <w:marTop w:val="0"/>
      <w:marBottom w:val="0"/>
      <w:divBdr>
        <w:top w:val="none" w:sz="0" w:space="0" w:color="auto"/>
        <w:left w:val="none" w:sz="0" w:space="0" w:color="auto"/>
        <w:bottom w:val="none" w:sz="0" w:space="0" w:color="auto"/>
        <w:right w:val="none" w:sz="0" w:space="0" w:color="auto"/>
      </w:divBdr>
    </w:div>
    <w:div w:id="597250455">
      <w:bodyDiv w:val="1"/>
      <w:marLeft w:val="0"/>
      <w:marRight w:val="0"/>
      <w:marTop w:val="0"/>
      <w:marBottom w:val="0"/>
      <w:divBdr>
        <w:top w:val="none" w:sz="0" w:space="0" w:color="auto"/>
        <w:left w:val="none" w:sz="0" w:space="0" w:color="auto"/>
        <w:bottom w:val="none" w:sz="0" w:space="0" w:color="auto"/>
        <w:right w:val="none" w:sz="0" w:space="0" w:color="auto"/>
      </w:divBdr>
    </w:div>
    <w:div w:id="702436742">
      <w:bodyDiv w:val="1"/>
      <w:marLeft w:val="0"/>
      <w:marRight w:val="0"/>
      <w:marTop w:val="0"/>
      <w:marBottom w:val="0"/>
      <w:divBdr>
        <w:top w:val="none" w:sz="0" w:space="0" w:color="auto"/>
        <w:left w:val="none" w:sz="0" w:space="0" w:color="auto"/>
        <w:bottom w:val="none" w:sz="0" w:space="0" w:color="auto"/>
        <w:right w:val="none" w:sz="0" w:space="0" w:color="auto"/>
      </w:divBdr>
    </w:div>
    <w:div w:id="770513356">
      <w:bodyDiv w:val="1"/>
      <w:marLeft w:val="0"/>
      <w:marRight w:val="0"/>
      <w:marTop w:val="0"/>
      <w:marBottom w:val="0"/>
      <w:divBdr>
        <w:top w:val="none" w:sz="0" w:space="0" w:color="auto"/>
        <w:left w:val="none" w:sz="0" w:space="0" w:color="auto"/>
        <w:bottom w:val="none" w:sz="0" w:space="0" w:color="auto"/>
        <w:right w:val="none" w:sz="0" w:space="0" w:color="auto"/>
      </w:divBdr>
      <w:divsChild>
        <w:div w:id="1044325720">
          <w:marLeft w:val="0"/>
          <w:marRight w:val="0"/>
          <w:marTop w:val="0"/>
          <w:marBottom w:val="0"/>
          <w:divBdr>
            <w:top w:val="none" w:sz="0" w:space="0" w:color="auto"/>
            <w:left w:val="none" w:sz="0" w:space="0" w:color="auto"/>
            <w:bottom w:val="none" w:sz="0" w:space="0" w:color="auto"/>
            <w:right w:val="none" w:sz="0" w:space="0" w:color="auto"/>
          </w:divBdr>
        </w:div>
      </w:divsChild>
    </w:div>
    <w:div w:id="858274816">
      <w:bodyDiv w:val="1"/>
      <w:marLeft w:val="0"/>
      <w:marRight w:val="0"/>
      <w:marTop w:val="0"/>
      <w:marBottom w:val="0"/>
      <w:divBdr>
        <w:top w:val="none" w:sz="0" w:space="0" w:color="auto"/>
        <w:left w:val="none" w:sz="0" w:space="0" w:color="auto"/>
        <w:bottom w:val="none" w:sz="0" w:space="0" w:color="auto"/>
        <w:right w:val="none" w:sz="0" w:space="0" w:color="auto"/>
      </w:divBdr>
    </w:div>
    <w:div w:id="897398002">
      <w:bodyDiv w:val="1"/>
      <w:marLeft w:val="0"/>
      <w:marRight w:val="0"/>
      <w:marTop w:val="0"/>
      <w:marBottom w:val="0"/>
      <w:divBdr>
        <w:top w:val="none" w:sz="0" w:space="0" w:color="auto"/>
        <w:left w:val="none" w:sz="0" w:space="0" w:color="auto"/>
        <w:bottom w:val="none" w:sz="0" w:space="0" w:color="auto"/>
        <w:right w:val="none" w:sz="0" w:space="0" w:color="auto"/>
      </w:divBdr>
    </w:div>
    <w:div w:id="902833222">
      <w:bodyDiv w:val="1"/>
      <w:marLeft w:val="0"/>
      <w:marRight w:val="0"/>
      <w:marTop w:val="0"/>
      <w:marBottom w:val="0"/>
      <w:divBdr>
        <w:top w:val="none" w:sz="0" w:space="0" w:color="auto"/>
        <w:left w:val="none" w:sz="0" w:space="0" w:color="auto"/>
        <w:bottom w:val="none" w:sz="0" w:space="0" w:color="auto"/>
        <w:right w:val="none" w:sz="0" w:space="0" w:color="auto"/>
      </w:divBdr>
    </w:div>
    <w:div w:id="949161619">
      <w:bodyDiv w:val="1"/>
      <w:marLeft w:val="0"/>
      <w:marRight w:val="0"/>
      <w:marTop w:val="0"/>
      <w:marBottom w:val="0"/>
      <w:divBdr>
        <w:top w:val="none" w:sz="0" w:space="0" w:color="auto"/>
        <w:left w:val="none" w:sz="0" w:space="0" w:color="auto"/>
        <w:bottom w:val="none" w:sz="0" w:space="0" w:color="auto"/>
        <w:right w:val="none" w:sz="0" w:space="0" w:color="auto"/>
      </w:divBdr>
      <w:divsChild>
        <w:div w:id="1031296788">
          <w:marLeft w:val="0"/>
          <w:marRight w:val="0"/>
          <w:marTop w:val="0"/>
          <w:marBottom w:val="0"/>
          <w:divBdr>
            <w:top w:val="none" w:sz="0" w:space="0" w:color="auto"/>
            <w:left w:val="none" w:sz="0" w:space="0" w:color="auto"/>
            <w:bottom w:val="none" w:sz="0" w:space="0" w:color="auto"/>
            <w:right w:val="none" w:sz="0" w:space="0" w:color="auto"/>
          </w:divBdr>
          <w:divsChild>
            <w:div w:id="1846288848">
              <w:marLeft w:val="0"/>
              <w:marRight w:val="0"/>
              <w:marTop w:val="0"/>
              <w:marBottom w:val="0"/>
              <w:divBdr>
                <w:top w:val="none" w:sz="0" w:space="0" w:color="auto"/>
                <w:left w:val="none" w:sz="0" w:space="0" w:color="auto"/>
                <w:bottom w:val="none" w:sz="0" w:space="0" w:color="auto"/>
                <w:right w:val="none" w:sz="0" w:space="0" w:color="auto"/>
              </w:divBdr>
            </w:div>
          </w:divsChild>
        </w:div>
        <w:div w:id="637418378">
          <w:marLeft w:val="0"/>
          <w:marRight w:val="0"/>
          <w:marTop w:val="0"/>
          <w:marBottom w:val="0"/>
          <w:divBdr>
            <w:top w:val="none" w:sz="0" w:space="0" w:color="auto"/>
            <w:left w:val="none" w:sz="0" w:space="0" w:color="auto"/>
            <w:bottom w:val="none" w:sz="0" w:space="0" w:color="auto"/>
            <w:right w:val="none" w:sz="0" w:space="0" w:color="auto"/>
          </w:divBdr>
          <w:divsChild>
            <w:div w:id="926118030">
              <w:marLeft w:val="0"/>
              <w:marRight w:val="0"/>
              <w:marTop w:val="0"/>
              <w:marBottom w:val="0"/>
              <w:divBdr>
                <w:top w:val="none" w:sz="0" w:space="0" w:color="auto"/>
                <w:left w:val="none" w:sz="0" w:space="0" w:color="auto"/>
                <w:bottom w:val="none" w:sz="0" w:space="0" w:color="auto"/>
                <w:right w:val="none" w:sz="0" w:space="0" w:color="auto"/>
              </w:divBdr>
            </w:div>
          </w:divsChild>
        </w:div>
        <w:div w:id="1132669693">
          <w:marLeft w:val="0"/>
          <w:marRight w:val="0"/>
          <w:marTop w:val="0"/>
          <w:marBottom w:val="0"/>
          <w:divBdr>
            <w:top w:val="none" w:sz="0" w:space="0" w:color="auto"/>
            <w:left w:val="none" w:sz="0" w:space="0" w:color="auto"/>
            <w:bottom w:val="none" w:sz="0" w:space="0" w:color="auto"/>
            <w:right w:val="none" w:sz="0" w:space="0" w:color="auto"/>
          </w:divBdr>
          <w:divsChild>
            <w:div w:id="879513350">
              <w:marLeft w:val="0"/>
              <w:marRight w:val="0"/>
              <w:marTop w:val="0"/>
              <w:marBottom w:val="0"/>
              <w:divBdr>
                <w:top w:val="none" w:sz="0" w:space="0" w:color="auto"/>
                <w:left w:val="none" w:sz="0" w:space="0" w:color="auto"/>
                <w:bottom w:val="none" w:sz="0" w:space="0" w:color="auto"/>
                <w:right w:val="none" w:sz="0" w:space="0" w:color="auto"/>
              </w:divBdr>
            </w:div>
          </w:divsChild>
        </w:div>
        <w:div w:id="615715632">
          <w:marLeft w:val="0"/>
          <w:marRight w:val="0"/>
          <w:marTop w:val="0"/>
          <w:marBottom w:val="0"/>
          <w:divBdr>
            <w:top w:val="none" w:sz="0" w:space="0" w:color="auto"/>
            <w:left w:val="none" w:sz="0" w:space="0" w:color="auto"/>
            <w:bottom w:val="none" w:sz="0" w:space="0" w:color="auto"/>
            <w:right w:val="none" w:sz="0" w:space="0" w:color="auto"/>
          </w:divBdr>
          <w:divsChild>
            <w:div w:id="7864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05336">
      <w:bodyDiv w:val="1"/>
      <w:marLeft w:val="0"/>
      <w:marRight w:val="0"/>
      <w:marTop w:val="0"/>
      <w:marBottom w:val="0"/>
      <w:divBdr>
        <w:top w:val="none" w:sz="0" w:space="0" w:color="auto"/>
        <w:left w:val="none" w:sz="0" w:space="0" w:color="auto"/>
        <w:bottom w:val="none" w:sz="0" w:space="0" w:color="auto"/>
        <w:right w:val="none" w:sz="0" w:space="0" w:color="auto"/>
      </w:divBdr>
      <w:divsChild>
        <w:div w:id="1755324593">
          <w:marLeft w:val="-450"/>
          <w:marRight w:val="0"/>
          <w:marTop w:val="0"/>
          <w:marBottom w:val="0"/>
          <w:divBdr>
            <w:top w:val="none" w:sz="0" w:space="0" w:color="auto"/>
            <w:left w:val="none" w:sz="0" w:space="0" w:color="auto"/>
            <w:bottom w:val="none" w:sz="0" w:space="0" w:color="auto"/>
            <w:right w:val="none" w:sz="0" w:space="0" w:color="auto"/>
          </w:divBdr>
        </w:div>
      </w:divsChild>
    </w:div>
    <w:div w:id="1337418599">
      <w:bodyDiv w:val="1"/>
      <w:marLeft w:val="0"/>
      <w:marRight w:val="0"/>
      <w:marTop w:val="0"/>
      <w:marBottom w:val="0"/>
      <w:divBdr>
        <w:top w:val="none" w:sz="0" w:space="0" w:color="auto"/>
        <w:left w:val="none" w:sz="0" w:space="0" w:color="auto"/>
        <w:bottom w:val="none" w:sz="0" w:space="0" w:color="auto"/>
        <w:right w:val="none" w:sz="0" w:space="0" w:color="auto"/>
      </w:divBdr>
    </w:div>
    <w:div w:id="1396734974">
      <w:bodyDiv w:val="1"/>
      <w:marLeft w:val="0"/>
      <w:marRight w:val="0"/>
      <w:marTop w:val="0"/>
      <w:marBottom w:val="0"/>
      <w:divBdr>
        <w:top w:val="none" w:sz="0" w:space="0" w:color="auto"/>
        <w:left w:val="none" w:sz="0" w:space="0" w:color="auto"/>
        <w:bottom w:val="none" w:sz="0" w:space="0" w:color="auto"/>
        <w:right w:val="none" w:sz="0" w:space="0" w:color="auto"/>
      </w:divBdr>
    </w:div>
    <w:div w:id="1444882872">
      <w:bodyDiv w:val="1"/>
      <w:marLeft w:val="0"/>
      <w:marRight w:val="0"/>
      <w:marTop w:val="0"/>
      <w:marBottom w:val="0"/>
      <w:divBdr>
        <w:top w:val="none" w:sz="0" w:space="0" w:color="auto"/>
        <w:left w:val="none" w:sz="0" w:space="0" w:color="auto"/>
        <w:bottom w:val="none" w:sz="0" w:space="0" w:color="auto"/>
        <w:right w:val="none" w:sz="0" w:space="0" w:color="auto"/>
      </w:divBdr>
    </w:div>
    <w:div w:id="1448499009">
      <w:bodyDiv w:val="1"/>
      <w:marLeft w:val="0"/>
      <w:marRight w:val="0"/>
      <w:marTop w:val="0"/>
      <w:marBottom w:val="0"/>
      <w:divBdr>
        <w:top w:val="none" w:sz="0" w:space="0" w:color="auto"/>
        <w:left w:val="none" w:sz="0" w:space="0" w:color="auto"/>
        <w:bottom w:val="none" w:sz="0" w:space="0" w:color="auto"/>
        <w:right w:val="none" w:sz="0" w:space="0" w:color="auto"/>
      </w:divBdr>
    </w:div>
    <w:div w:id="1499611852">
      <w:bodyDiv w:val="1"/>
      <w:marLeft w:val="0"/>
      <w:marRight w:val="0"/>
      <w:marTop w:val="0"/>
      <w:marBottom w:val="0"/>
      <w:divBdr>
        <w:top w:val="none" w:sz="0" w:space="0" w:color="auto"/>
        <w:left w:val="none" w:sz="0" w:space="0" w:color="auto"/>
        <w:bottom w:val="none" w:sz="0" w:space="0" w:color="auto"/>
        <w:right w:val="none" w:sz="0" w:space="0" w:color="auto"/>
      </w:divBdr>
      <w:divsChild>
        <w:div w:id="111636830">
          <w:marLeft w:val="0"/>
          <w:marRight w:val="0"/>
          <w:marTop w:val="0"/>
          <w:marBottom w:val="0"/>
          <w:divBdr>
            <w:top w:val="none" w:sz="0" w:space="0" w:color="auto"/>
            <w:left w:val="none" w:sz="0" w:space="0" w:color="auto"/>
            <w:bottom w:val="none" w:sz="0" w:space="0" w:color="auto"/>
            <w:right w:val="none" w:sz="0" w:space="0" w:color="auto"/>
          </w:divBdr>
          <w:divsChild>
            <w:div w:id="148592783">
              <w:marLeft w:val="0"/>
              <w:marRight w:val="0"/>
              <w:marTop w:val="0"/>
              <w:marBottom w:val="0"/>
              <w:divBdr>
                <w:top w:val="none" w:sz="0" w:space="0" w:color="auto"/>
                <w:left w:val="none" w:sz="0" w:space="0" w:color="auto"/>
                <w:bottom w:val="none" w:sz="0" w:space="0" w:color="auto"/>
                <w:right w:val="none" w:sz="0" w:space="0" w:color="auto"/>
              </w:divBdr>
              <w:divsChild>
                <w:div w:id="6199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0203">
      <w:bodyDiv w:val="1"/>
      <w:marLeft w:val="0"/>
      <w:marRight w:val="0"/>
      <w:marTop w:val="0"/>
      <w:marBottom w:val="0"/>
      <w:divBdr>
        <w:top w:val="none" w:sz="0" w:space="0" w:color="auto"/>
        <w:left w:val="none" w:sz="0" w:space="0" w:color="auto"/>
        <w:bottom w:val="none" w:sz="0" w:space="0" w:color="auto"/>
        <w:right w:val="none" w:sz="0" w:space="0" w:color="auto"/>
      </w:divBdr>
    </w:div>
    <w:div w:id="1759013362">
      <w:bodyDiv w:val="1"/>
      <w:marLeft w:val="0"/>
      <w:marRight w:val="0"/>
      <w:marTop w:val="0"/>
      <w:marBottom w:val="0"/>
      <w:divBdr>
        <w:top w:val="none" w:sz="0" w:space="0" w:color="auto"/>
        <w:left w:val="none" w:sz="0" w:space="0" w:color="auto"/>
        <w:bottom w:val="none" w:sz="0" w:space="0" w:color="auto"/>
        <w:right w:val="none" w:sz="0" w:space="0" w:color="auto"/>
      </w:divBdr>
      <w:divsChild>
        <w:div w:id="1690637066">
          <w:marLeft w:val="-1035"/>
          <w:marRight w:val="0"/>
          <w:marTop w:val="0"/>
          <w:marBottom w:val="0"/>
          <w:divBdr>
            <w:top w:val="none" w:sz="0" w:space="0" w:color="auto"/>
            <w:left w:val="none" w:sz="0" w:space="0" w:color="auto"/>
            <w:bottom w:val="none" w:sz="0" w:space="0" w:color="auto"/>
            <w:right w:val="none" w:sz="0" w:space="0" w:color="auto"/>
          </w:divBdr>
        </w:div>
      </w:divsChild>
    </w:div>
    <w:div w:id="1854415722">
      <w:bodyDiv w:val="1"/>
      <w:marLeft w:val="0"/>
      <w:marRight w:val="0"/>
      <w:marTop w:val="0"/>
      <w:marBottom w:val="0"/>
      <w:divBdr>
        <w:top w:val="none" w:sz="0" w:space="0" w:color="auto"/>
        <w:left w:val="none" w:sz="0" w:space="0" w:color="auto"/>
        <w:bottom w:val="none" w:sz="0" w:space="0" w:color="auto"/>
        <w:right w:val="none" w:sz="0" w:space="0" w:color="auto"/>
      </w:divBdr>
    </w:div>
    <w:div w:id="1854489459">
      <w:bodyDiv w:val="1"/>
      <w:marLeft w:val="0"/>
      <w:marRight w:val="0"/>
      <w:marTop w:val="0"/>
      <w:marBottom w:val="0"/>
      <w:divBdr>
        <w:top w:val="none" w:sz="0" w:space="0" w:color="auto"/>
        <w:left w:val="none" w:sz="0" w:space="0" w:color="auto"/>
        <w:bottom w:val="none" w:sz="0" w:space="0" w:color="auto"/>
        <w:right w:val="none" w:sz="0" w:space="0" w:color="auto"/>
      </w:divBdr>
    </w:div>
    <w:div w:id="1905337653">
      <w:bodyDiv w:val="1"/>
      <w:marLeft w:val="0"/>
      <w:marRight w:val="0"/>
      <w:marTop w:val="0"/>
      <w:marBottom w:val="0"/>
      <w:divBdr>
        <w:top w:val="none" w:sz="0" w:space="0" w:color="auto"/>
        <w:left w:val="none" w:sz="0" w:space="0" w:color="auto"/>
        <w:bottom w:val="none" w:sz="0" w:space="0" w:color="auto"/>
        <w:right w:val="none" w:sz="0" w:space="0" w:color="auto"/>
      </w:divBdr>
    </w:div>
    <w:div w:id="2068260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j.resenv.2021.100032" TargetMode="External"/><Relationship Id="rId26" Type="http://schemas.openxmlformats.org/officeDocument/2006/relationships/hyperlink" Target="https://doi.org/10.3390/w11061146" TargetMode="External"/><Relationship Id="rId39" Type="http://schemas.openxmlformats.org/officeDocument/2006/relationships/hyperlink" Target="https://doi.org/10.3389/fpls.2022.760879" TargetMode="External"/><Relationship Id="rId21" Type="http://schemas.openxmlformats.org/officeDocument/2006/relationships/hyperlink" Target="https://doi.org/10.1016/j.scienta.2017.12.048" TargetMode="External"/><Relationship Id="rId34" Type="http://schemas.openxmlformats.org/officeDocument/2006/relationships/hyperlink" Target="https://doi.org/10.1111/j.1468-2958.2002.tb00828.x" TargetMode="External"/><Relationship Id="rId42" Type="http://schemas.openxmlformats.org/officeDocument/2006/relationships/hyperlink" Target="https://doi.org/10.3390/molecules19066929" TargetMode="External"/><Relationship Id="rId47" Type="http://schemas.openxmlformats.org/officeDocument/2006/relationships/hyperlink" Target="https://doi.org/10.1016/j.stress.2022.100066" TargetMode="External"/><Relationship Id="rId50" Type="http://schemas.openxmlformats.org/officeDocument/2006/relationships/hyperlink" Target="https://doi.org/10.1016/j.jplph.2016.04.008"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iapri.org.zm/" TargetMode="External"/><Relationship Id="rId11" Type="http://schemas.openxmlformats.org/officeDocument/2006/relationships/chart" Target="charts/chart1.xml"/><Relationship Id="rId24" Type="http://schemas.openxmlformats.org/officeDocument/2006/relationships/hyperlink" Target="https://doi.org/10.3390/agriculture14091541" TargetMode="External"/><Relationship Id="rId32" Type="http://schemas.openxmlformats.org/officeDocument/2006/relationships/hyperlink" Target="https://doi.org/10.1016/j.sajb.2025.07.002" TargetMode="External"/><Relationship Id="rId37" Type="http://schemas.openxmlformats.org/officeDocument/2006/relationships/hyperlink" Target="https://doi.org/10.2134/agronj2017.10.0583" TargetMode="External"/><Relationship Id="rId40" Type="http://schemas.openxmlformats.org/officeDocument/2006/relationships/hyperlink" Target="https://doi.org/10.1371/journal.pone.0204817" TargetMode="External"/><Relationship Id="rId45" Type="http://schemas.openxmlformats.org/officeDocument/2006/relationships/hyperlink" Target="https://doi.org/10.1016/j.plgene.2017.04.004"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doi.org/10.1016/j.fct.2007.09.08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3389/fpls.2022.843274" TargetMode="External"/><Relationship Id="rId27" Type="http://schemas.openxmlformats.org/officeDocument/2006/relationships/hyperlink" Target="https://doi.org/10.1146/annurev.arplant.51.1.463" TargetMode="External"/><Relationship Id="rId30" Type="http://schemas.openxmlformats.org/officeDocument/2006/relationships/hyperlink" Target="https://doi.org/10.1016/j.plaphy.2021.02.034" TargetMode="External"/><Relationship Id="rId35" Type="http://schemas.openxmlformats.org/officeDocument/2006/relationships/hyperlink" Target="https://doi.org/10.1016/0076-6879(87)48036-1" TargetMode="External"/><Relationship Id="rId43" Type="http://schemas.openxmlformats.org/officeDocument/2006/relationships/hyperlink" Target="https://doi.org/10.1186/s12870-025-08078-1" TargetMode="External"/><Relationship Id="rId48" Type="http://schemas.openxmlformats.org/officeDocument/2006/relationships/hyperlink" Target="https://doi.org/10.1146/annurev.en.35.010190.001415" TargetMode="Externa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https://www.zamstats.gov.z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o.org/faostat/en/" TargetMode="External"/><Relationship Id="rId33" Type="http://schemas.openxmlformats.org/officeDocument/2006/relationships/hyperlink" Target="https://doi.org/10.3390/plants11243562" TargetMode="External"/><Relationship Id="rId38" Type="http://schemas.openxmlformats.org/officeDocument/2006/relationships/hyperlink" Target="https://doi.org/10.3390/agronomy11071345" TargetMode="External"/><Relationship Id="rId46" Type="http://schemas.openxmlformats.org/officeDocument/2006/relationships/hyperlink" Target="https://doi.org/10.15835/nbha53414869" TargetMode="External"/><Relationship Id="rId59" Type="http://schemas.openxmlformats.org/officeDocument/2006/relationships/fontTable" Target="fontTable.xml"/><Relationship Id="rId20" Type="http://schemas.openxmlformats.org/officeDocument/2006/relationships/hyperlink" Target="https://doi.org/10.1021/acsomega.2c01427" TargetMode="External"/><Relationship Id="rId41" Type="http://schemas.openxmlformats.org/officeDocument/2006/relationships/hyperlink" Target="https://doi.org/10.1016/j.sjbs.2022.01.035"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1007/s00299-021-02759-5" TargetMode="External"/><Relationship Id="rId28" Type="http://schemas.openxmlformats.org/officeDocument/2006/relationships/hyperlink" Target="https://doi.org/10.3389/fpls.2015.00420" TargetMode="External"/><Relationship Id="rId36" Type="http://schemas.openxmlformats.org/officeDocument/2006/relationships/hyperlink" Target="https://doi.org/10.1007/s00425-022-03828-z" TargetMode="External"/><Relationship Id="rId49" Type="http://schemas.openxmlformats.org/officeDocument/2006/relationships/hyperlink" Target="https://doi.org/10.3389/fpls.2016.00066" TargetMode="External"/><Relationship Id="rId57" Type="http://schemas.openxmlformats.org/officeDocument/2006/relationships/header" Target="header3.xml"/><Relationship Id="rId10" Type="http://schemas.openxmlformats.org/officeDocument/2006/relationships/image" Target="media/image4.png"/><Relationship Id="rId31" Type="http://schemas.openxmlformats.org/officeDocument/2006/relationships/hyperlink" Target="https://doi.org/10.3390/su13105530" TargetMode="External"/><Relationship Id="rId44" Type="http://schemas.openxmlformats.org/officeDocument/2006/relationships/hyperlink" Target="https://doi.org/10.3390/agriculture12040492" TargetMode="External"/><Relationship Id="rId52" Type="http://schemas.openxmlformats.org/officeDocument/2006/relationships/hyperlink" Target="https://doi.org/10.1371/journal.pone.0097120"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Effects</a:t>
            </a:r>
            <a:r>
              <a:rPr lang="en-US" b="1" baseline="0"/>
              <a:t> of Botanical Priming of Bambara groundnuts on Plant Water Status  Under Water Stress</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Sheet2!$D$2</c:f>
              <c:strCache>
                <c:ptCount val="1"/>
                <c:pt idx="0">
                  <c:v>Wilting Score (0–5)</c:v>
                </c:pt>
              </c:strCache>
            </c:strRef>
          </c:tx>
          <c:spPr>
            <a:solidFill>
              <a:schemeClr val="accent1"/>
            </a:solidFill>
            <a:ln>
              <a:noFill/>
            </a:ln>
            <a:effectLst/>
          </c:spPr>
          <c:invertIfNegative val="0"/>
          <c:cat>
            <c:multiLvlStrRef>
              <c:f>Sheet2!$B$3:$C$20</c:f>
              <c:multiLvlStrCache>
                <c:ptCount val="18"/>
                <c:lvl>
                  <c:pt idx="0">
                    <c:v>G0 (Control)</c:v>
                  </c:pt>
                  <c:pt idx="1">
                    <c:v>G5</c:v>
                  </c:pt>
                  <c:pt idx="2">
                    <c:v>G10</c:v>
                  </c:pt>
                  <c:pt idx="3">
                    <c:v>G15</c:v>
                  </c:pt>
                  <c:pt idx="4">
                    <c:v>G20</c:v>
                  </c:pt>
                  <c:pt idx="5">
                    <c:v>N1</c:v>
                  </c:pt>
                  <c:pt idx="6">
                    <c:v>N2</c:v>
                  </c:pt>
                  <c:pt idx="7">
                    <c:v>N3</c:v>
                  </c:pt>
                  <c:pt idx="8">
                    <c:v>N4</c:v>
                  </c:pt>
                  <c:pt idx="9">
                    <c:v>G0 (Control)</c:v>
                  </c:pt>
                  <c:pt idx="10">
                    <c:v>G5</c:v>
                  </c:pt>
                  <c:pt idx="11">
                    <c:v>G10</c:v>
                  </c:pt>
                  <c:pt idx="12">
                    <c:v>G15</c:v>
                  </c:pt>
                  <c:pt idx="13">
                    <c:v>G20</c:v>
                  </c:pt>
                  <c:pt idx="14">
                    <c:v>N1</c:v>
                  </c:pt>
                  <c:pt idx="15">
                    <c:v>N2</c:v>
                  </c:pt>
                  <c:pt idx="16">
                    <c:v>N3</c:v>
                  </c:pt>
                  <c:pt idx="17">
                    <c:v>N4</c:v>
                  </c:pt>
                </c:lvl>
                <c:lvl>
                  <c:pt idx="0">
                    <c:v>ZM 1856</c:v>
                  </c:pt>
                  <c:pt idx="9">
                    <c:v>ZM 2656</c:v>
                  </c:pt>
                </c:lvl>
              </c:multiLvlStrCache>
            </c:multiLvlStrRef>
          </c:cat>
          <c:val>
            <c:numRef>
              <c:f>Sheet2!$D$3:$D$20</c:f>
              <c:numCache>
                <c:formatCode>General</c:formatCode>
                <c:ptCount val="18"/>
                <c:pt idx="0">
                  <c:v>4</c:v>
                </c:pt>
                <c:pt idx="1">
                  <c:v>2</c:v>
                </c:pt>
                <c:pt idx="2">
                  <c:v>2.75</c:v>
                </c:pt>
                <c:pt idx="3">
                  <c:v>1.75</c:v>
                </c:pt>
                <c:pt idx="4">
                  <c:v>2</c:v>
                </c:pt>
                <c:pt idx="5">
                  <c:v>3</c:v>
                </c:pt>
                <c:pt idx="6">
                  <c:v>2.5</c:v>
                </c:pt>
                <c:pt idx="7">
                  <c:v>1</c:v>
                </c:pt>
                <c:pt idx="8">
                  <c:v>2</c:v>
                </c:pt>
                <c:pt idx="9">
                  <c:v>4.5</c:v>
                </c:pt>
                <c:pt idx="10">
                  <c:v>3.75</c:v>
                </c:pt>
                <c:pt idx="11">
                  <c:v>0</c:v>
                </c:pt>
                <c:pt idx="12">
                  <c:v>3.5</c:v>
                </c:pt>
                <c:pt idx="13">
                  <c:v>2.75</c:v>
                </c:pt>
                <c:pt idx="14">
                  <c:v>4</c:v>
                </c:pt>
                <c:pt idx="15">
                  <c:v>3.25</c:v>
                </c:pt>
                <c:pt idx="16">
                  <c:v>3.75</c:v>
                </c:pt>
                <c:pt idx="17">
                  <c:v>2.75</c:v>
                </c:pt>
              </c:numCache>
            </c:numRef>
          </c:val>
          <c:extLst>
            <c:ext xmlns:c16="http://schemas.microsoft.com/office/drawing/2014/chart" uri="{C3380CC4-5D6E-409C-BE32-E72D297353CC}">
              <c16:uniqueId val="{00000000-CE0B-49DD-87F1-0CFACD70655C}"/>
            </c:ext>
          </c:extLst>
        </c:ser>
        <c:ser>
          <c:idx val="1"/>
          <c:order val="1"/>
          <c:tx>
            <c:strRef>
              <c:f>Sheet2!$E$2</c:f>
              <c:strCache>
                <c:ptCount val="1"/>
                <c:pt idx="0">
                  <c:v>% Moisture Retention/Control</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Sheet2!$B$3:$C$20</c:f>
              <c:multiLvlStrCache>
                <c:ptCount val="18"/>
                <c:lvl>
                  <c:pt idx="0">
                    <c:v>G0 (Control)</c:v>
                  </c:pt>
                  <c:pt idx="1">
                    <c:v>G5</c:v>
                  </c:pt>
                  <c:pt idx="2">
                    <c:v>G10</c:v>
                  </c:pt>
                  <c:pt idx="3">
                    <c:v>G15</c:v>
                  </c:pt>
                  <c:pt idx="4">
                    <c:v>G20</c:v>
                  </c:pt>
                  <c:pt idx="5">
                    <c:v>N1</c:v>
                  </c:pt>
                  <c:pt idx="6">
                    <c:v>N2</c:v>
                  </c:pt>
                  <c:pt idx="7">
                    <c:v>N3</c:v>
                  </c:pt>
                  <c:pt idx="8">
                    <c:v>N4</c:v>
                  </c:pt>
                  <c:pt idx="9">
                    <c:v>G0 (Control)</c:v>
                  </c:pt>
                  <c:pt idx="10">
                    <c:v>G5</c:v>
                  </c:pt>
                  <c:pt idx="11">
                    <c:v>G10</c:v>
                  </c:pt>
                  <c:pt idx="12">
                    <c:v>G15</c:v>
                  </c:pt>
                  <c:pt idx="13">
                    <c:v>G20</c:v>
                  </c:pt>
                  <c:pt idx="14">
                    <c:v>N1</c:v>
                  </c:pt>
                  <c:pt idx="15">
                    <c:v>N2</c:v>
                  </c:pt>
                  <c:pt idx="16">
                    <c:v>N3</c:v>
                  </c:pt>
                  <c:pt idx="17">
                    <c:v>N4</c:v>
                  </c:pt>
                </c:lvl>
                <c:lvl>
                  <c:pt idx="0">
                    <c:v>ZM 1856</c:v>
                  </c:pt>
                  <c:pt idx="9">
                    <c:v>ZM 2656</c:v>
                  </c:pt>
                </c:lvl>
              </c:multiLvlStrCache>
            </c:multiLvlStrRef>
          </c:cat>
          <c:val>
            <c:numRef>
              <c:f>Sheet2!$E$3:$E$20</c:f>
              <c:numCache>
                <c:formatCode>General</c:formatCode>
                <c:ptCount val="18"/>
                <c:pt idx="0">
                  <c:v>0</c:v>
                </c:pt>
                <c:pt idx="1">
                  <c:v>2.8999999999999915</c:v>
                </c:pt>
                <c:pt idx="2">
                  <c:v>1.6999999999999886</c:v>
                </c:pt>
                <c:pt idx="3">
                  <c:v>7.6999999999999886</c:v>
                </c:pt>
                <c:pt idx="4">
                  <c:v>3.1999999999999886</c:v>
                </c:pt>
                <c:pt idx="5">
                  <c:v>5.2999999999999972</c:v>
                </c:pt>
                <c:pt idx="6">
                  <c:v>6.1999999999999886</c:v>
                </c:pt>
                <c:pt idx="7">
                  <c:v>4.7999999999999972</c:v>
                </c:pt>
                <c:pt idx="8">
                  <c:v>-5.7000000000000028</c:v>
                </c:pt>
                <c:pt idx="9">
                  <c:v>0</c:v>
                </c:pt>
                <c:pt idx="10">
                  <c:v>5.5999999999999943</c:v>
                </c:pt>
                <c:pt idx="11">
                  <c:v>7.5999999999999943</c:v>
                </c:pt>
                <c:pt idx="12">
                  <c:v>3.9000000000000057</c:v>
                </c:pt>
                <c:pt idx="13">
                  <c:v>5.0999999999999943</c:v>
                </c:pt>
                <c:pt idx="14">
                  <c:v>4.2999999999999972</c:v>
                </c:pt>
                <c:pt idx="15">
                  <c:v>5.2000000000000028</c:v>
                </c:pt>
                <c:pt idx="16">
                  <c:v>1.2000000000000028</c:v>
                </c:pt>
                <c:pt idx="17">
                  <c:v>5.2000000000000028</c:v>
                </c:pt>
              </c:numCache>
            </c:numRef>
          </c:val>
          <c:extLst>
            <c:ext xmlns:c16="http://schemas.microsoft.com/office/drawing/2014/chart" uri="{C3380CC4-5D6E-409C-BE32-E72D297353CC}">
              <c16:uniqueId val="{00000001-CE0B-49DD-87F1-0CFACD70655C}"/>
            </c:ext>
          </c:extLst>
        </c:ser>
        <c:dLbls>
          <c:showLegendKey val="0"/>
          <c:showVal val="0"/>
          <c:showCatName val="0"/>
          <c:showSerName val="0"/>
          <c:showPercent val="0"/>
          <c:showBubbleSize val="0"/>
        </c:dLbls>
        <c:gapWidth val="182"/>
        <c:axId val="847711807"/>
        <c:axId val="847714719"/>
      </c:barChart>
      <c:catAx>
        <c:axId val="8477118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714719"/>
        <c:crosses val="autoZero"/>
        <c:auto val="1"/>
        <c:lblAlgn val="ctr"/>
        <c:lblOffset val="100"/>
        <c:noMultiLvlLbl val="0"/>
      </c:catAx>
      <c:valAx>
        <c:axId val="8477147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7711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r>
              <a:rPr lang="en-US"/>
              <a:t>Response</a:t>
            </a:r>
            <a:r>
              <a:rPr lang="en-US" baseline="0"/>
              <a:t> of Bambara groundnut Botanical Primed Seeds to Water Stress-Wilting  Scores</a:t>
            </a:r>
            <a:endParaRPr lang="en-US"/>
          </a:p>
        </c:rich>
      </c:tx>
      <c:layout>
        <c:manualLayout>
          <c:xMode val="edge"/>
          <c:yMode val="edge"/>
          <c:x val="0.13213188976377954"/>
          <c:y val="1.8518518518518517E-2"/>
        </c:manualLayout>
      </c:layout>
      <c:overlay val="0"/>
      <c:spPr>
        <a:noFill/>
        <a:ln>
          <a:noFill/>
        </a:ln>
        <a:effectLst/>
      </c:spPr>
      <c:txPr>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Sheet2!$E$5</c:f>
              <c:strCache>
                <c:ptCount val="1"/>
                <c:pt idx="0">
                  <c:v>Wilting Score (1–5)</c:v>
                </c:pt>
              </c:strCache>
            </c:strRef>
          </c:tx>
          <c:spPr>
            <a:solidFill>
              <a:schemeClr val="accent1"/>
            </a:solidFill>
            <a:ln>
              <a:noFill/>
            </a:ln>
            <a:effectLst/>
          </c:spPr>
          <c:invertIfNegative val="0"/>
          <c:cat>
            <c:multiLvlStrRef>
              <c:f>Sheet2!$C$6:$D$22</c:f>
              <c:multiLvlStrCache>
                <c:ptCount val="17"/>
                <c:lvl>
                  <c:pt idx="0">
                    <c:v>Control (0%)</c:v>
                  </c:pt>
                  <c:pt idx="1">
                    <c:v>Ginger 5%</c:v>
                  </c:pt>
                  <c:pt idx="2">
                    <c:v>Ginger 10%</c:v>
                  </c:pt>
                  <c:pt idx="3">
                    <c:v>Ginger 15%</c:v>
                  </c:pt>
                  <c:pt idx="4">
                    <c:v>Ginger 20%</c:v>
                  </c:pt>
                  <c:pt idx="5">
                    <c:v>Neem 1%</c:v>
                  </c:pt>
                  <c:pt idx="6">
                    <c:v>Neem 2%</c:v>
                  </c:pt>
                  <c:pt idx="7">
                    <c:v>Neem 3%</c:v>
                  </c:pt>
                  <c:pt idx="8">
                    <c:v>Neem 4%</c:v>
                  </c:pt>
                  <c:pt idx="9">
                    <c:v>Ginger 5%</c:v>
                  </c:pt>
                  <c:pt idx="10">
                    <c:v>Ginger 10%</c:v>
                  </c:pt>
                  <c:pt idx="11">
                    <c:v>Ginger 15%</c:v>
                  </c:pt>
                  <c:pt idx="12">
                    <c:v>Ginger 20%</c:v>
                  </c:pt>
                  <c:pt idx="13">
                    <c:v>Neem 1%</c:v>
                  </c:pt>
                  <c:pt idx="14">
                    <c:v>Neem 2%</c:v>
                  </c:pt>
                  <c:pt idx="15">
                    <c:v>Neem 3%</c:v>
                  </c:pt>
                  <c:pt idx="16">
                    <c:v>Neem 4%</c:v>
                  </c:pt>
                </c:lvl>
                <c:lvl>
                  <c:pt idx="0">
                    <c:v>ZM 1856</c:v>
                  </c:pt>
                  <c:pt idx="9">
                    <c:v>ZM 2656</c:v>
                  </c:pt>
                </c:lvl>
              </c:multiLvlStrCache>
            </c:multiLvlStrRef>
          </c:cat>
          <c:val>
            <c:numRef>
              <c:f>Sheet2!$E$6:$E$22</c:f>
              <c:numCache>
                <c:formatCode>General</c:formatCode>
                <c:ptCount val="17"/>
                <c:pt idx="0">
                  <c:v>4</c:v>
                </c:pt>
                <c:pt idx="1">
                  <c:v>2</c:v>
                </c:pt>
                <c:pt idx="2">
                  <c:v>2</c:v>
                </c:pt>
                <c:pt idx="3">
                  <c:v>1.75</c:v>
                </c:pt>
                <c:pt idx="4">
                  <c:v>2</c:v>
                </c:pt>
                <c:pt idx="5">
                  <c:v>3</c:v>
                </c:pt>
                <c:pt idx="6">
                  <c:v>2.5</c:v>
                </c:pt>
                <c:pt idx="7">
                  <c:v>1</c:v>
                </c:pt>
                <c:pt idx="8">
                  <c:v>2</c:v>
                </c:pt>
                <c:pt idx="9">
                  <c:v>3.75</c:v>
                </c:pt>
                <c:pt idx="10">
                  <c:v>2.5</c:v>
                </c:pt>
                <c:pt idx="11">
                  <c:v>3.5</c:v>
                </c:pt>
                <c:pt idx="12">
                  <c:v>2.75</c:v>
                </c:pt>
                <c:pt idx="13">
                  <c:v>4</c:v>
                </c:pt>
                <c:pt idx="14">
                  <c:v>3.25</c:v>
                </c:pt>
                <c:pt idx="15">
                  <c:v>3.75</c:v>
                </c:pt>
                <c:pt idx="16">
                  <c:v>2.75</c:v>
                </c:pt>
              </c:numCache>
            </c:numRef>
          </c:val>
          <c:extLst>
            <c:ext xmlns:c16="http://schemas.microsoft.com/office/drawing/2014/chart" uri="{C3380CC4-5D6E-409C-BE32-E72D297353CC}">
              <c16:uniqueId val="{00000000-02C3-4207-B4F0-368126F16E77}"/>
            </c:ext>
          </c:extLst>
        </c:ser>
        <c:dLbls>
          <c:showLegendKey val="0"/>
          <c:showVal val="0"/>
          <c:showCatName val="0"/>
          <c:showSerName val="0"/>
          <c:showPercent val="0"/>
          <c:showBubbleSize val="0"/>
        </c:dLbls>
        <c:gapWidth val="219"/>
        <c:overlap val="-27"/>
        <c:axId val="888764175"/>
        <c:axId val="888746287"/>
      </c:barChart>
      <c:catAx>
        <c:axId val="88876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746287"/>
        <c:crosses val="autoZero"/>
        <c:auto val="1"/>
        <c:lblAlgn val="ctr"/>
        <c:lblOffset val="100"/>
        <c:noMultiLvlLbl val="0"/>
      </c:catAx>
      <c:valAx>
        <c:axId val="888746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8764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5238095" cy="12695238"/>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3128</TotalTime>
  <Pages>14</Pages>
  <Words>4700</Words>
  <Characters>26790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SDI 1084</cp:lastModifiedBy>
  <cp:revision>166</cp:revision>
  <dcterms:created xsi:type="dcterms:W3CDTF">2026-02-16T06:33:00Z</dcterms:created>
  <dcterms:modified xsi:type="dcterms:W3CDTF">2026-03-17T13:23:00Z</dcterms:modified>
</cp:coreProperties>
</file>