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B28" w:rsidRDefault="00355B2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55B28">
        <w:trPr>
          <w:trHeight w:val="290"/>
        </w:trPr>
        <w:tc>
          <w:tcPr>
            <w:tcW w:w="20934" w:type="dxa"/>
            <w:gridSpan w:val="2"/>
            <w:tcBorders>
              <w:top w:val="nil"/>
              <w:left w:val="nil"/>
              <w:right w:val="nil"/>
            </w:tcBorders>
          </w:tcPr>
          <w:p w:rsidR="00355B28" w:rsidRDefault="00355B28">
            <w:pPr>
              <w:pStyle w:val="Heading2"/>
              <w:jc w:val="left"/>
              <w:rPr>
                <w:rFonts w:ascii="Arial" w:eastAsia="Arial" w:hAnsi="Arial" w:cs="Arial"/>
                <w:b w:val="0"/>
                <w:bCs w:val="0"/>
                <w:sz w:val="28"/>
                <w:szCs w:val="28"/>
              </w:rPr>
            </w:pPr>
          </w:p>
        </w:tc>
      </w:tr>
      <w:tr w:rsidR="00355B28">
        <w:trPr>
          <w:trHeight w:val="290"/>
        </w:trPr>
        <w:tc>
          <w:tcPr>
            <w:tcW w:w="5167" w:type="dxa"/>
          </w:tcPr>
          <w:p w:rsidR="00355B28" w:rsidRDefault="007C52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55B28" w:rsidRDefault="007C52C9">
            <w:pPr>
              <w:rPr>
                <w:rFonts w:ascii="Arial" w:eastAsia="Arial" w:hAnsi="Arial" w:cs="Arial"/>
                <w:color w:val="0000FF"/>
                <w:sz w:val="20"/>
                <w:szCs w:val="20"/>
              </w:rPr>
            </w:pPr>
            <w:hyperlink r:id="rId8">
              <w:r>
                <w:rPr>
                  <w:rFonts w:ascii="Arial" w:eastAsia="Arial" w:hAnsi="Arial" w:cs="Arial"/>
                  <w:b/>
                  <w:bCs/>
                  <w:color w:val="0000FF"/>
                  <w:sz w:val="20"/>
                  <w:szCs w:val="20"/>
                  <w:u w:val="single"/>
                </w:rPr>
                <w:t>South Asian Research Journal of Natural Products</w:t>
              </w:r>
            </w:hyperlink>
            <w:r>
              <w:rPr>
                <w:rFonts w:ascii="Arial" w:eastAsia="Arial" w:hAnsi="Arial" w:cs="Arial"/>
                <w:b/>
                <w:bCs/>
                <w:color w:val="0000FF"/>
                <w:sz w:val="20"/>
                <w:szCs w:val="20"/>
              </w:rPr>
              <w:t xml:space="preserve"> </w:t>
            </w:r>
          </w:p>
        </w:tc>
      </w:tr>
      <w:tr w:rsidR="00355B28">
        <w:trPr>
          <w:trHeight w:val="290"/>
        </w:trPr>
        <w:tc>
          <w:tcPr>
            <w:tcW w:w="5167" w:type="dxa"/>
          </w:tcPr>
          <w:p w:rsidR="00355B28" w:rsidRDefault="007C52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55B28" w:rsidRDefault="007C52C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Ms_SARJNP_153630</w:t>
            </w:r>
          </w:p>
        </w:tc>
      </w:tr>
      <w:tr w:rsidR="00355B28">
        <w:trPr>
          <w:trHeight w:val="650"/>
        </w:trPr>
        <w:tc>
          <w:tcPr>
            <w:tcW w:w="5167" w:type="dxa"/>
          </w:tcPr>
          <w:p w:rsidR="00355B28" w:rsidRDefault="007C52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55B28" w:rsidRDefault="007C52C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Comparative Analysis of Natural and Synthetic Preservatives in Agricultural Products</w:t>
            </w:r>
          </w:p>
        </w:tc>
      </w:tr>
      <w:tr w:rsidR="00355B28">
        <w:trPr>
          <w:trHeight w:val="332"/>
        </w:trPr>
        <w:tc>
          <w:tcPr>
            <w:tcW w:w="5167" w:type="dxa"/>
          </w:tcPr>
          <w:p w:rsidR="00355B28" w:rsidRDefault="007C52C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55B28" w:rsidRDefault="007C52C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Systematic Review</w:t>
            </w:r>
          </w:p>
        </w:tc>
      </w:tr>
    </w:tbl>
    <w:p w:rsidR="00355B28" w:rsidRDefault="00355B28">
      <w:pPr>
        <w:pBdr>
          <w:top w:val="nil"/>
          <w:left w:val="nil"/>
          <w:bottom w:val="nil"/>
          <w:right w:val="nil"/>
          <w:between w:val="nil"/>
        </w:pBdr>
        <w:jc w:val="both"/>
        <w:rPr>
          <w:rFonts w:ascii="Arial" w:eastAsia="Arial" w:hAnsi="Arial" w:cs="Arial"/>
          <w:color w:val="000000"/>
          <w:sz w:val="20"/>
          <w:szCs w:val="20"/>
          <w:u w:val="single"/>
        </w:rPr>
      </w:pPr>
    </w:p>
    <w:p w:rsidR="00355B28" w:rsidRDefault="00355B28">
      <w:pPr>
        <w:rPr>
          <w:sz w:val="20"/>
          <w:szCs w:val="20"/>
        </w:rPr>
      </w:pPr>
      <w:bookmarkStart w:id="0" w:name="_heading=h.uau9xx2agwk9" w:colFirst="0" w:colLast="0"/>
      <w:bookmarkStart w:id="1" w:name="_heading=h.72od639h2ke8" w:colFirst="0" w:colLast="0"/>
      <w:bookmarkStart w:id="2" w:name="_GoBack"/>
      <w:bookmarkEnd w:id="0"/>
      <w:bookmarkEnd w:id="1"/>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55B28">
        <w:tc>
          <w:tcPr>
            <w:tcW w:w="21150" w:type="dxa"/>
            <w:gridSpan w:val="3"/>
            <w:tcBorders>
              <w:top w:val="nil"/>
              <w:left w:val="nil"/>
              <w:right w:val="nil"/>
            </w:tcBorders>
          </w:tcPr>
          <w:p w:rsidR="00355B28" w:rsidRDefault="007C52C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355B28" w:rsidRDefault="00355B28">
            <w:pPr>
              <w:rPr>
                <w:sz w:val="20"/>
                <w:szCs w:val="20"/>
              </w:rPr>
            </w:pPr>
          </w:p>
        </w:tc>
      </w:tr>
      <w:tr w:rsidR="00355B28">
        <w:tc>
          <w:tcPr>
            <w:tcW w:w="5351" w:type="dxa"/>
          </w:tcPr>
          <w:p w:rsidR="00355B28" w:rsidRDefault="00355B28">
            <w:pPr>
              <w:pStyle w:val="Heading2"/>
              <w:jc w:val="left"/>
              <w:rPr>
                <w:rFonts w:ascii="Times New Roman" w:eastAsia="Times New Roman" w:hAnsi="Times New Roman" w:cs="Times New Roman"/>
              </w:rPr>
            </w:pPr>
          </w:p>
        </w:tc>
        <w:tc>
          <w:tcPr>
            <w:tcW w:w="9357" w:type="dxa"/>
          </w:tcPr>
          <w:p w:rsidR="00355B28" w:rsidRDefault="007C52C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355B28" w:rsidRDefault="00355B28"/>
        </w:tc>
        <w:tc>
          <w:tcPr>
            <w:tcW w:w="6442" w:type="dxa"/>
          </w:tcPr>
          <w:p w:rsidR="00355B28" w:rsidRDefault="007C52C9">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355B28" w:rsidRDefault="00355B28">
            <w:pPr>
              <w:pStyle w:val="Heading2"/>
              <w:jc w:val="left"/>
              <w:rPr>
                <w:rFonts w:ascii="Times New Roman" w:eastAsia="Times New Roman" w:hAnsi="Times New Roman" w:cs="Times New Roman"/>
                <w:b w:val="0"/>
                <w:bCs w:val="0"/>
              </w:rPr>
            </w:pPr>
          </w:p>
        </w:tc>
      </w:tr>
      <w:tr w:rsidR="00355B28">
        <w:trPr>
          <w:trHeight w:val="1264"/>
        </w:trPr>
        <w:tc>
          <w:tcPr>
            <w:tcW w:w="5351" w:type="dxa"/>
          </w:tcPr>
          <w:p w:rsidR="00355B28" w:rsidRDefault="007C52C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355B28" w:rsidRDefault="00355B28">
            <w:pPr>
              <w:ind w:left="360"/>
              <w:rPr>
                <w:sz w:val="20"/>
                <w:szCs w:val="20"/>
              </w:rPr>
            </w:pPr>
          </w:p>
        </w:tc>
        <w:tc>
          <w:tcPr>
            <w:tcW w:w="9357" w:type="dxa"/>
          </w:tcPr>
          <w:p w:rsidR="00355B28" w:rsidRDefault="007C52C9">
            <w:pPr>
              <w:pBdr>
                <w:top w:val="nil"/>
                <w:left w:val="nil"/>
                <w:bottom w:val="nil"/>
                <w:right w:val="nil"/>
                <w:between w:val="nil"/>
              </w:pBdr>
              <w:rPr>
                <w:color w:val="000000"/>
                <w:sz w:val="20"/>
                <w:szCs w:val="20"/>
              </w:rPr>
            </w:pPr>
            <w:r>
              <w:rPr>
                <w:b/>
                <w:bCs/>
                <w:color w:val="000000"/>
                <w:sz w:val="20"/>
                <w:szCs w:val="20"/>
              </w:rPr>
              <w:t>This manuscript addresses a highly relevant and contemporary topic in food science and agricultural preservation. The growing concerns regarding the safety and long-term health implications of synthetic preservatives make this comparative analysis timely a</w:t>
            </w:r>
            <w:r>
              <w:rPr>
                <w:b/>
                <w:bCs/>
                <w:color w:val="000000"/>
                <w:sz w:val="20"/>
                <w:szCs w:val="20"/>
              </w:rPr>
              <w:t>nd important. The review provides useful insights into the efficacy, safety profile, environmental impact, and economic considerations of natural versus synthetic preservatives. The findings contribute to the ongoing global discussion on clean-label produc</w:t>
            </w:r>
            <w:r>
              <w:rPr>
                <w:b/>
                <w:bCs/>
                <w:color w:val="000000"/>
                <w:sz w:val="20"/>
                <w:szCs w:val="20"/>
              </w:rPr>
              <w:t>ts and sustainable food systems, which is of significant interest to researchers, policymakers, and the food industry.</w:t>
            </w:r>
          </w:p>
        </w:tc>
        <w:tc>
          <w:tcPr>
            <w:tcW w:w="6442" w:type="dxa"/>
          </w:tcPr>
          <w:p w:rsidR="00355B28" w:rsidRDefault="007C52C9">
            <w:pPr>
              <w:pStyle w:val="Heading2"/>
              <w:jc w:val="left"/>
              <w:rPr>
                <w:rFonts w:ascii="Times New Roman" w:eastAsia="Times New Roman" w:hAnsi="Times New Roman" w:cs="Times New Roman"/>
                <w:b w:val="0"/>
                <w:bCs w:val="0"/>
              </w:rPr>
            </w:pPr>
            <w:bookmarkStart w:id="3" w:name="_heading=h.8xrmtlolcb0x" w:colFirst="0" w:colLast="0"/>
            <w:bookmarkEnd w:id="3"/>
            <w:r>
              <w:rPr>
                <w:rFonts w:ascii="Times New Roman" w:eastAsia="Times New Roman" w:hAnsi="Times New Roman" w:cs="Times New Roman"/>
                <w:b w:val="0"/>
                <w:bCs w:val="0"/>
              </w:rPr>
              <w:t>No correction requested</w:t>
            </w:r>
          </w:p>
        </w:tc>
      </w:tr>
      <w:tr w:rsidR="00355B28">
        <w:trPr>
          <w:trHeight w:val="1262"/>
        </w:trPr>
        <w:tc>
          <w:tcPr>
            <w:tcW w:w="5351" w:type="dxa"/>
          </w:tcPr>
          <w:p w:rsidR="00355B28" w:rsidRDefault="007C52C9">
            <w:pPr>
              <w:ind w:left="360"/>
              <w:rPr>
                <w:sz w:val="20"/>
                <w:szCs w:val="20"/>
              </w:rPr>
            </w:pPr>
            <w:r>
              <w:rPr>
                <w:b/>
                <w:bCs/>
                <w:sz w:val="20"/>
                <w:szCs w:val="20"/>
              </w:rPr>
              <w:t>Is the title of the article suitable?</w:t>
            </w:r>
          </w:p>
          <w:p w:rsidR="00355B28" w:rsidRDefault="007C52C9">
            <w:pPr>
              <w:ind w:left="360"/>
              <w:rPr>
                <w:sz w:val="20"/>
                <w:szCs w:val="20"/>
              </w:rPr>
            </w:pPr>
            <w:r>
              <w:rPr>
                <w:b/>
                <w:bCs/>
                <w:sz w:val="20"/>
                <w:szCs w:val="20"/>
              </w:rPr>
              <w:t>(If not please suggest an alternative title)</w:t>
            </w:r>
          </w:p>
          <w:p w:rsidR="00355B28" w:rsidRDefault="00355B28">
            <w:pPr>
              <w:pStyle w:val="Heading2"/>
              <w:jc w:val="left"/>
              <w:rPr>
                <w:rFonts w:ascii="Times New Roman" w:eastAsia="Times New Roman" w:hAnsi="Times New Roman" w:cs="Times New Roman"/>
                <w:u w:val="single"/>
              </w:rPr>
            </w:pPr>
          </w:p>
        </w:tc>
        <w:tc>
          <w:tcPr>
            <w:tcW w:w="9357" w:type="dxa"/>
          </w:tcPr>
          <w:p w:rsidR="00355B28" w:rsidRDefault="007C52C9">
            <w:pPr>
              <w:ind w:left="360"/>
              <w:rPr>
                <w:sz w:val="20"/>
                <w:szCs w:val="20"/>
              </w:rPr>
            </w:pPr>
            <w:r>
              <w:rPr>
                <w:b/>
                <w:bCs/>
                <w:sz w:val="20"/>
                <w:szCs w:val="20"/>
              </w:rPr>
              <w:t>The title is generally appro</w:t>
            </w:r>
            <w:r>
              <w:rPr>
                <w:b/>
                <w:bCs/>
                <w:sz w:val="20"/>
                <w:szCs w:val="20"/>
              </w:rPr>
              <w:t>priate and reflects the scope of the study. However, since the manuscript follows a systematic review methodology, the title may be slightly modified for clarity.</w:t>
            </w:r>
          </w:p>
          <w:p w:rsidR="00355B28" w:rsidRDefault="007C52C9">
            <w:pPr>
              <w:ind w:left="360"/>
              <w:rPr>
                <w:sz w:val="20"/>
                <w:szCs w:val="20"/>
              </w:rPr>
            </w:pPr>
            <w:r>
              <w:rPr>
                <w:b/>
                <w:bCs/>
                <w:sz w:val="20"/>
                <w:szCs w:val="20"/>
              </w:rPr>
              <w:t>Suggested Alternative Title:</w:t>
            </w:r>
            <w:r>
              <w:rPr>
                <w:b/>
                <w:bCs/>
                <w:sz w:val="20"/>
                <w:szCs w:val="20"/>
              </w:rPr>
              <w:br/>
              <w:t>“A Systematic Review on the Comparative Effectiveness, Safety, a</w:t>
            </w:r>
            <w:r>
              <w:rPr>
                <w:b/>
                <w:bCs/>
                <w:sz w:val="20"/>
                <w:szCs w:val="20"/>
              </w:rPr>
              <w:t>nd Environmental Impact of Natural and Synthetic Preservatives in Agricultural Products”</w:t>
            </w:r>
          </w:p>
          <w:p w:rsidR="00355B28" w:rsidRDefault="00355B28">
            <w:pPr>
              <w:ind w:left="360"/>
              <w:rPr>
                <w:sz w:val="20"/>
                <w:szCs w:val="20"/>
              </w:rPr>
            </w:pPr>
          </w:p>
        </w:tc>
        <w:tc>
          <w:tcPr>
            <w:tcW w:w="6442" w:type="dxa"/>
          </w:tcPr>
          <w:p w:rsidR="00355B28" w:rsidRDefault="007C52C9">
            <w:pPr>
              <w:pStyle w:val="Heading2"/>
              <w:jc w:val="left"/>
              <w:rPr>
                <w:rFonts w:ascii="Times New Roman" w:eastAsia="Times New Roman" w:hAnsi="Times New Roman" w:cs="Times New Roman"/>
                <w:b w:val="0"/>
                <w:bCs w:val="0"/>
              </w:rPr>
            </w:pPr>
            <w:bookmarkStart w:id="4" w:name="_heading=h.y0qyynom7t7o" w:colFirst="0" w:colLast="0"/>
            <w:bookmarkEnd w:id="4"/>
            <w:r>
              <w:rPr>
                <w:rFonts w:ascii="Times New Roman" w:eastAsia="Times New Roman" w:hAnsi="Times New Roman" w:cs="Times New Roman"/>
                <w:b w:val="0"/>
                <w:bCs w:val="0"/>
              </w:rPr>
              <w:t xml:space="preserve">The title has been changed to “Natural versus Synthetic Preservatives in Agricultural Products: A Systematic Review of Efficacy, Safety, and Environmental Impact” as </w:t>
            </w:r>
            <w:r>
              <w:rPr>
                <w:rFonts w:ascii="Times New Roman" w:eastAsia="Times New Roman" w:hAnsi="Times New Roman" w:cs="Times New Roman"/>
                <w:b w:val="0"/>
                <w:bCs w:val="0"/>
              </w:rPr>
              <w:t>suggested by one of the reviewers.</w:t>
            </w:r>
          </w:p>
        </w:tc>
      </w:tr>
      <w:tr w:rsidR="00355B28">
        <w:trPr>
          <w:trHeight w:val="1262"/>
        </w:trPr>
        <w:tc>
          <w:tcPr>
            <w:tcW w:w="5351" w:type="dxa"/>
          </w:tcPr>
          <w:p w:rsidR="00355B28" w:rsidRDefault="007C52C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355B28" w:rsidRDefault="00355B28">
            <w:pPr>
              <w:pStyle w:val="Heading2"/>
              <w:jc w:val="left"/>
              <w:rPr>
                <w:rFonts w:ascii="Times New Roman" w:eastAsia="Times New Roman" w:hAnsi="Times New Roman" w:cs="Times New Roman"/>
                <w:u w:val="single"/>
              </w:rPr>
            </w:pPr>
          </w:p>
        </w:tc>
        <w:tc>
          <w:tcPr>
            <w:tcW w:w="9357" w:type="dxa"/>
          </w:tcPr>
          <w:p w:rsidR="00355B28" w:rsidRDefault="007C52C9">
            <w:pPr>
              <w:ind w:left="360"/>
              <w:rPr>
                <w:sz w:val="20"/>
                <w:szCs w:val="20"/>
              </w:rPr>
            </w:pPr>
            <w:r>
              <w:rPr>
                <w:b/>
                <w:bCs/>
                <w:sz w:val="20"/>
                <w:szCs w:val="20"/>
              </w:rPr>
              <w:t>The abstract is clear and structured; however, some improvements are recommended:</w:t>
            </w:r>
          </w:p>
          <w:p w:rsidR="00355B28" w:rsidRDefault="007C52C9">
            <w:pPr>
              <w:numPr>
                <w:ilvl w:val="0"/>
                <w:numId w:val="1"/>
              </w:numPr>
              <w:rPr>
                <w:sz w:val="20"/>
                <w:szCs w:val="20"/>
              </w:rPr>
            </w:pPr>
            <w:r>
              <w:rPr>
                <w:b/>
                <w:bCs/>
                <w:sz w:val="20"/>
                <w:szCs w:val="20"/>
              </w:rPr>
              <w:t>The methodology section in the abstract should briefly mention:</w:t>
            </w:r>
          </w:p>
          <w:p w:rsidR="00355B28" w:rsidRDefault="007C52C9">
            <w:pPr>
              <w:numPr>
                <w:ilvl w:val="1"/>
                <w:numId w:val="1"/>
              </w:numPr>
              <w:rPr>
                <w:sz w:val="20"/>
                <w:szCs w:val="20"/>
              </w:rPr>
            </w:pPr>
            <w:r>
              <w:rPr>
                <w:b/>
                <w:bCs/>
                <w:sz w:val="20"/>
                <w:szCs w:val="20"/>
              </w:rPr>
              <w:t>Databases used</w:t>
            </w:r>
          </w:p>
          <w:p w:rsidR="00355B28" w:rsidRDefault="007C52C9">
            <w:pPr>
              <w:numPr>
                <w:ilvl w:val="1"/>
                <w:numId w:val="1"/>
              </w:numPr>
              <w:rPr>
                <w:sz w:val="20"/>
                <w:szCs w:val="20"/>
              </w:rPr>
            </w:pPr>
            <w:r>
              <w:rPr>
                <w:b/>
                <w:bCs/>
                <w:sz w:val="20"/>
                <w:szCs w:val="20"/>
              </w:rPr>
              <w:t>Number of included studies (n = 8)</w:t>
            </w:r>
          </w:p>
          <w:p w:rsidR="00355B28" w:rsidRDefault="007C52C9">
            <w:pPr>
              <w:numPr>
                <w:ilvl w:val="0"/>
                <w:numId w:val="1"/>
              </w:numPr>
              <w:rPr>
                <w:sz w:val="20"/>
                <w:szCs w:val="20"/>
              </w:rPr>
            </w:pPr>
            <w:r>
              <w:rPr>
                <w:b/>
                <w:bCs/>
                <w:sz w:val="20"/>
                <w:szCs w:val="20"/>
              </w:rPr>
              <w:t>The conclusion should be slightly more cautious, as only eig</w:t>
            </w:r>
            <w:r>
              <w:rPr>
                <w:b/>
                <w:bCs/>
                <w:sz w:val="20"/>
                <w:szCs w:val="20"/>
              </w:rPr>
              <w:t>ht studies were included.</w:t>
            </w:r>
          </w:p>
          <w:p w:rsidR="00355B28" w:rsidRDefault="007C52C9">
            <w:pPr>
              <w:numPr>
                <w:ilvl w:val="0"/>
                <w:numId w:val="1"/>
              </w:numPr>
              <w:rPr>
                <w:sz w:val="20"/>
                <w:szCs w:val="20"/>
              </w:rPr>
            </w:pPr>
            <w:r>
              <w:rPr>
                <w:b/>
                <w:bCs/>
                <w:sz w:val="20"/>
                <w:szCs w:val="20"/>
              </w:rPr>
              <w:t>The term “systematic review” should explicitly appear in the first sentence.</w:t>
            </w:r>
          </w:p>
          <w:p w:rsidR="00355B28" w:rsidRDefault="00355B28">
            <w:pPr>
              <w:ind w:left="360"/>
              <w:rPr>
                <w:sz w:val="20"/>
                <w:szCs w:val="20"/>
              </w:rPr>
            </w:pPr>
          </w:p>
        </w:tc>
        <w:tc>
          <w:tcPr>
            <w:tcW w:w="6442" w:type="dxa"/>
          </w:tcPr>
          <w:p w:rsidR="00355B28" w:rsidRDefault="007C52C9">
            <w:pPr>
              <w:pStyle w:val="Heading2"/>
              <w:spacing w:before="240" w:after="240"/>
              <w:jc w:val="left"/>
              <w:rPr>
                <w:rFonts w:ascii="Times New Roman" w:eastAsia="Times New Roman" w:hAnsi="Times New Roman" w:cs="Times New Roman"/>
                <w:b w:val="0"/>
                <w:bCs w:val="0"/>
              </w:rPr>
            </w:pPr>
            <w:bookmarkStart w:id="5" w:name="_heading=h.8xey4yfty502" w:colFirst="0" w:colLast="0"/>
            <w:bookmarkEnd w:id="5"/>
            <w:r>
              <w:rPr>
                <w:rFonts w:ascii="Times New Roman" w:eastAsia="Times New Roman" w:hAnsi="Times New Roman" w:cs="Times New Roman"/>
                <w:b w:val="0"/>
                <w:bCs w:val="0"/>
              </w:rPr>
              <w:t>We have revised the abstract to address the reviewer's comments by including key methodological details, such as the databases searched (PubMed and ScienceDirect), the time frame of included studies (2020-2025), and the total number of studies reviewed. We</w:t>
            </w:r>
            <w:r>
              <w:rPr>
                <w:rFonts w:ascii="Times New Roman" w:eastAsia="Times New Roman" w:hAnsi="Times New Roman" w:cs="Times New Roman"/>
                <w:b w:val="0"/>
                <w:bCs w:val="0"/>
              </w:rPr>
              <w:t xml:space="preserve"> have also incorporated more cautious language in line with scholarly writing standards, replacing overstated claims with terms like "may" and "suggests." Additionally, we have merged the final two sentences into one concise concluding statement and includ</w:t>
            </w:r>
            <w:r>
              <w:rPr>
                <w:rFonts w:ascii="Times New Roman" w:eastAsia="Times New Roman" w:hAnsi="Times New Roman" w:cs="Times New Roman"/>
                <w:b w:val="0"/>
                <w:bCs w:val="0"/>
              </w:rPr>
              <w:t>ed the challenges related to stability, standardization, cost-effectiveness, and regulatory compliance that limit the large-scale industrial implementation of natural preservatives.</w:t>
            </w:r>
            <w:r>
              <w:rPr>
                <w:rFonts w:ascii="Times New Roman" w:eastAsia="Times New Roman" w:hAnsi="Times New Roman" w:cs="Times New Roman"/>
                <w:b w:val="0"/>
                <w:bCs w:val="0"/>
              </w:rPr>
              <w:br/>
              <w:t>We also mentioned that Systematic review was adopted in this study.</w:t>
            </w:r>
          </w:p>
          <w:p w:rsidR="00355B28" w:rsidRDefault="00355B28">
            <w:pPr>
              <w:pStyle w:val="Heading2"/>
              <w:jc w:val="left"/>
              <w:rPr>
                <w:rFonts w:ascii="Times New Roman" w:eastAsia="Times New Roman" w:hAnsi="Times New Roman" w:cs="Times New Roman"/>
                <w:b w:val="0"/>
                <w:bCs w:val="0"/>
              </w:rPr>
            </w:pPr>
          </w:p>
        </w:tc>
      </w:tr>
      <w:tr w:rsidR="00355B28">
        <w:trPr>
          <w:trHeight w:val="704"/>
        </w:trPr>
        <w:tc>
          <w:tcPr>
            <w:tcW w:w="5351" w:type="dxa"/>
          </w:tcPr>
          <w:p w:rsidR="00355B28" w:rsidRDefault="007C52C9">
            <w:pPr>
              <w:pStyle w:val="Heading2"/>
              <w:ind w:left="360"/>
              <w:jc w:val="left"/>
              <w:rPr>
                <w:b w:val="0"/>
                <w:bCs w:val="0"/>
                <w:u w:val="single"/>
              </w:rPr>
            </w:pPr>
            <w:r>
              <w:rPr>
                <w:rFonts w:ascii="Times New Roman" w:eastAsia="Times New Roman" w:hAnsi="Times New Roman" w:cs="Times New Roman"/>
              </w:rPr>
              <w:t>Is t</w:t>
            </w:r>
            <w:r>
              <w:rPr>
                <w:rFonts w:ascii="Times New Roman" w:eastAsia="Times New Roman" w:hAnsi="Times New Roman" w:cs="Times New Roman"/>
              </w:rPr>
              <w:t>he manuscript scientifically, correct? Please write here.</w:t>
            </w:r>
          </w:p>
        </w:tc>
        <w:tc>
          <w:tcPr>
            <w:tcW w:w="9357" w:type="dxa"/>
          </w:tcPr>
          <w:p w:rsidR="00355B28" w:rsidRDefault="007C52C9">
            <w:pPr>
              <w:pBdr>
                <w:top w:val="nil"/>
                <w:left w:val="nil"/>
                <w:bottom w:val="nil"/>
                <w:right w:val="nil"/>
                <w:between w:val="nil"/>
              </w:pBdr>
              <w:ind w:left="720"/>
              <w:rPr>
                <w:color w:val="000000"/>
                <w:sz w:val="20"/>
                <w:szCs w:val="20"/>
              </w:rPr>
            </w:pPr>
            <w:r>
              <w:rPr>
                <w:color w:val="000000"/>
                <w:sz w:val="20"/>
                <w:szCs w:val="20"/>
              </w:rPr>
              <w:t>The manuscript is generally scientifically sound and logically structured. The systematic review methodology is described adequately, and PRISMA guidelines are referenced.</w:t>
            </w:r>
          </w:p>
          <w:p w:rsidR="00355B28" w:rsidRDefault="007C52C9">
            <w:pPr>
              <w:pBdr>
                <w:top w:val="nil"/>
                <w:left w:val="nil"/>
                <w:bottom w:val="nil"/>
                <w:right w:val="nil"/>
                <w:between w:val="nil"/>
              </w:pBdr>
              <w:ind w:left="720"/>
              <w:rPr>
                <w:color w:val="000000"/>
                <w:sz w:val="20"/>
                <w:szCs w:val="20"/>
              </w:rPr>
            </w:pPr>
            <w:r>
              <w:rPr>
                <w:color w:val="000000"/>
                <w:sz w:val="20"/>
                <w:szCs w:val="20"/>
              </w:rPr>
              <w:t>However, some scientific c</w:t>
            </w:r>
            <w:r>
              <w:rPr>
                <w:color w:val="000000"/>
                <w:sz w:val="20"/>
                <w:szCs w:val="20"/>
              </w:rPr>
              <w:t>oncerns should be addressed:</w:t>
            </w:r>
          </w:p>
          <w:p w:rsidR="00355B28" w:rsidRDefault="007C52C9">
            <w:pPr>
              <w:numPr>
                <w:ilvl w:val="0"/>
                <w:numId w:val="2"/>
              </w:numPr>
              <w:pBdr>
                <w:top w:val="nil"/>
                <w:left w:val="nil"/>
                <w:bottom w:val="nil"/>
                <w:right w:val="nil"/>
                <w:between w:val="nil"/>
              </w:pBdr>
              <w:rPr>
                <w:color w:val="000000"/>
                <w:sz w:val="20"/>
                <w:szCs w:val="20"/>
              </w:rPr>
            </w:pPr>
            <w:r>
              <w:rPr>
                <w:color w:val="000000"/>
                <w:sz w:val="20"/>
                <w:szCs w:val="20"/>
              </w:rPr>
              <w:t>Only 8 studies were included from 4314 initial records, which may limit the strength of conclusions.</w:t>
            </w:r>
          </w:p>
          <w:p w:rsidR="00355B28" w:rsidRDefault="007C52C9">
            <w:pPr>
              <w:numPr>
                <w:ilvl w:val="0"/>
                <w:numId w:val="2"/>
              </w:numPr>
              <w:pBdr>
                <w:top w:val="nil"/>
                <w:left w:val="nil"/>
                <w:bottom w:val="nil"/>
                <w:right w:val="nil"/>
                <w:between w:val="nil"/>
              </w:pBdr>
              <w:rPr>
                <w:color w:val="000000"/>
                <w:sz w:val="20"/>
                <w:szCs w:val="20"/>
              </w:rPr>
            </w:pPr>
            <w:r>
              <w:rPr>
                <w:color w:val="000000"/>
                <w:sz w:val="20"/>
                <w:szCs w:val="20"/>
              </w:rPr>
              <w:t>No quantitative synthesis or meta-analysis was performed, though shelf-life days are reported numerically.</w:t>
            </w:r>
          </w:p>
          <w:p w:rsidR="00355B28" w:rsidRDefault="007C52C9">
            <w:pPr>
              <w:numPr>
                <w:ilvl w:val="0"/>
                <w:numId w:val="2"/>
              </w:numPr>
              <w:pBdr>
                <w:top w:val="nil"/>
                <w:left w:val="nil"/>
                <w:bottom w:val="nil"/>
                <w:right w:val="nil"/>
                <w:between w:val="nil"/>
              </w:pBdr>
              <w:rPr>
                <w:color w:val="000000"/>
                <w:sz w:val="20"/>
                <w:szCs w:val="20"/>
              </w:rPr>
            </w:pPr>
            <w:r>
              <w:rPr>
                <w:color w:val="000000"/>
                <w:sz w:val="20"/>
                <w:szCs w:val="20"/>
              </w:rPr>
              <w:t>Some claims regarding carcinogenicity and endocrine disruption of synthetic preservatives should be presented more cautiously with stronger supporting evidence.</w:t>
            </w:r>
          </w:p>
          <w:p w:rsidR="00355B28" w:rsidRDefault="007C52C9">
            <w:pPr>
              <w:numPr>
                <w:ilvl w:val="0"/>
                <w:numId w:val="2"/>
              </w:numPr>
              <w:pBdr>
                <w:top w:val="nil"/>
                <w:left w:val="nil"/>
                <w:bottom w:val="nil"/>
                <w:right w:val="nil"/>
                <w:between w:val="nil"/>
              </w:pBdr>
              <w:rPr>
                <w:color w:val="000000"/>
                <w:sz w:val="20"/>
                <w:szCs w:val="20"/>
              </w:rPr>
            </w:pPr>
            <w:r>
              <w:rPr>
                <w:color w:val="000000"/>
                <w:sz w:val="20"/>
                <w:szCs w:val="20"/>
              </w:rPr>
              <w:t>The heterogeneity among included studies is high (different food types, preservatives, evaluati</w:t>
            </w:r>
            <w:r>
              <w:rPr>
                <w:color w:val="000000"/>
                <w:sz w:val="20"/>
                <w:szCs w:val="20"/>
              </w:rPr>
              <w:t>on methods).</w:t>
            </w:r>
          </w:p>
          <w:p w:rsidR="00355B28" w:rsidRDefault="007C52C9">
            <w:pPr>
              <w:pBdr>
                <w:top w:val="nil"/>
                <w:left w:val="nil"/>
                <w:bottom w:val="nil"/>
                <w:right w:val="nil"/>
                <w:between w:val="nil"/>
              </w:pBdr>
              <w:ind w:left="720"/>
              <w:rPr>
                <w:color w:val="000000"/>
                <w:sz w:val="20"/>
                <w:szCs w:val="20"/>
              </w:rPr>
            </w:pPr>
            <w:r>
              <w:rPr>
                <w:color w:val="000000"/>
                <w:sz w:val="20"/>
                <w:szCs w:val="20"/>
              </w:rPr>
              <w:t>Authors should temper strong comparative claims and emphasize limitations.</w:t>
            </w:r>
          </w:p>
          <w:p w:rsidR="00355B28" w:rsidRDefault="00355B28">
            <w:pPr>
              <w:pBdr>
                <w:top w:val="nil"/>
                <w:left w:val="nil"/>
                <w:bottom w:val="nil"/>
                <w:right w:val="nil"/>
                <w:between w:val="nil"/>
              </w:pBdr>
              <w:rPr>
                <w:color w:val="000000"/>
                <w:sz w:val="20"/>
                <w:szCs w:val="20"/>
              </w:rPr>
            </w:pPr>
          </w:p>
        </w:tc>
        <w:tc>
          <w:tcPr>
            <w:tcW w:w="6442" w:type="dxa"/>
          </w:tcPr>
          <w:p w:rsidR="00355B28" w:rsidRDefault="007C52C9">
            <w:pPr>
              <w:pStyle w:val="Heading2"/>
              <w:spacing w:before="240" w:after="240"/>
              <w:jc w:val="left"/>
              <w:rPr>
                <w:rFonts w:ascii="Times New Roman" w:eastAsia="Times New Roman" w:hAnsi="Times New Roman" w:cs="Times New Roman"/>
                <w:b w:val="0"/>
                <w:bCs w:val="0"/>
              </w:rPr>
            </w:pPr>
            <w:bookmarkStart w:id="6" w:name="_heading=h.6kif6lcq7ba3" w:colFirst="0" w:colLast="0"/>
            <w:bookmarkEnd w:id="6"/>
            <w:r>
              <w:rPr>
                <w:rFonts w:ascii="Times New Roman" w:eastAsia="Times New Roman" w:hAnsi="Times New Roman" w:cs="Times New Roman"/>
                <w:b w:val="0"/>
                <w:bCs w:val="0"/>
              </w:rPr>
              <w:t>We have updated the Limitations of the Study under the discussion section to address several of the reviewer’s comments. We clarified the limitation of the small numbe</w:t>
            </w:r>
            <w:r>
              <w:rPr>
                <w:rFonts w:ascii="Times New Roman" w:eastAsia="Times New Roman" w:hAnsi="Times New Roman" w:cs="Times New Roman"/>
                <w:b w:val="0"/>
                <w:bCs w:val="0"/>
              </w:rPr>
              <w:t xml:space="preserve">r of studies (8) due to the databases searched and inclusion criteria and explained why quantitative synthesis (e.g., meta-analysis, effect size comparison) was not feasible.   Overstated claims regarding the safety of natural preservatives were addressed </w:t>
            </w:r>
            <w:r>
              <w:rPr>
                <w:rFonts w:ascii="Times New Roman" w:eastAsia="Times New Roman" w:hAnsi="Times New Roman" w:cs="Times New Roman"/>
                <w:b w:val="0"/>
                <w:bCs w:val="0"/>
              </w:rPr>
              <w:t>to align with scholarly conventions, using terms like “may” and “suggests.”</w:t>
            </w:r>
          </w:p>
        </w:tc>
      </w:tr>
      <w:tr w:rsidR="00355B28">
        <w:trPr>
          <w:trHeight w:val="703"/>
        </w:trPr>
        <w:tc>
          <w:tcPr>
            <w:tcW w:w="5351" w:type="dxa"/>
          </w:tcPr>
          <w:p w:rsidR="00355B28" w:rsidRDefault="007C52C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355B28" w:rsidRDefault="007C52C9">
            <w:pPr>
              <w:pBdr>
                <w:top w:val="nil"/>
                <w:left w:val="nil"/>
                <w:bottom w:val="nil"/>
                <w:right w:val="nil"/>
                <w:between w:val="nil"/>
              </w:pBdr>
              <w:ind w:left="720"/>
              <w:rPr>
                <w:color w:val="000000"/>
                <w:sz w:val="20"/>
                <w:szCs w:val="20"/>
              </w:rPr>
            </w:pPr>
            <w:r>
              <w:rPr>
                <w:color w:val="000000"/>
                <w:sz w:val="20"/>
                <w:szCs w:val="20"/>
              </w:rPr>
              <w:t>Yes, the references are mostly recent (2020–2026), which aligns with the inclusion criteria.</w:t>
            </w:r>
          </w:p>
          <w:p w:rsidR="00355B28" w:rsidRDefault="007C52C9">
            <w:pPr>
              <w:pBdr>
                <w:top w:val="nil"/>
                <w:left w:val="nil"/>
                <w:bottom w:val="nil"/>
                <w:right w:val="nil"/>
                <w:between w:val="nil"/>
              </w:pBdr>
              <w:ind w:left="720"/>
              <w:rPr>
                <w:color w:val="000000"/>
                <w:sz w:val="20"/>
                <w:szCs w:val="20"/>
              </w:rPr>
            </w:pPr>
            <w:r>
              <w:rPr>
                <w:color w:val="000000"/>
                <w:sz w:val="20"/>
                <w:szCs w:val="20"/>
              </w:rPr>
              <w:t>However:</w:t>
            </w:r>
          </w:p>
          <w:p w:rsidR="00355B28" w:rsidRDefault="007C52C9">
            <w:pPr>
              <w:numPr>
                <w:ilvl w:val="0"/>
                <w:numId w:val="3"/>
              </w:numPr>
              <w:pBdr>
                <w:top w:val="nil"/>
                <w:left w:val="nil"/>
                <w:bottom w:val="nil"/>
                <w:right w:val="nil"/>
                <w:between w:val="nil"/>
              </w:pBdr>
              <w:rPr>
                <w:color w:val="000000"/>
                <w:sz w:val="20"/>
                <w:szCs w:val="20"/>
              </w:rPr>
            </w:pPr>
            <w:r>
              <w:rPr>
                <w:color w:val="000000"/>
                <w:sz w:val="20"/>
                <w:szCs w:val="20"/>
              </w:rPr>
              <w:t xml:space="preserve">Some references appear duplicated (e.g., </w:t>
            </w:r>
            <w:proofErr w:type="spellStart"/>
            <w:r>
              <w:rPr>
                <w:color w:val="000000"/>
                <w:sz w:val="20"/>
                <w:szCs w:val="20"/>
              </w:rPr>
              <w:t>Lemoni</w:t>
            </w:r>
            <w:proofErr w:type="spellEnd"/>
            <w:r>
              <w:rPr>
                <w:color w:val="000000"/>
                <w:sz w:val="20"/>
                <w:szCs w:val="20"/>
              </w:rPr>
              <w:t xml:space="preserve"> et al., </w:t>
            </w:r>
            <w:proofErr w:type="spellStart"/>
            <w:r>
              <w:rPr>
                <w:color w:val="000000"/>
                <w:sz w:val="20"/>
                <w:szCs w:val="20"/>
              </w:rPr>
              <w:t>Magomya</w:t>
            </w:r>
            <w:proofErr w:type="spellEnd"/>
            <w:r>
              <w:rPr>
                <w:color w:val="000000"/>
                <w:sz w:val="20"/>
                <w:szCs w:val="20"/>
              </w:rPr>
              <w:t xml:space="preserve"> et al.).</w:t>
            </w:r>
          </w:p>
          <w:p w:rsidR="00355B28" w:rsidRDefault="007C52C9">
            <w:pPr>
              <w:numPr>
                <w:ilvl w:val="0"/>
                <w:numId w:val="3"/>
              </w:numPr>
              <w:pBdr>
                <w:top w:val="nil"/>
                <w:left w:val="nil"/>
                <w:bottom w:val="nil"/>
                <w:right w:val="nil"/>
                <w:between w:val="nil"/>
              </w:pBdr>
              <w:rPr>
                <w:color w:val="000000"/>
                <w:sz w:val="20"/>
                <w:szCs w:val="20"/>
              </w:rPr>
            </w:pPr>
            <w:r>
              <w:rPr>
                <w:color w:val="000000"/>
                <w:sz w:val="20"/>
                <w:szCs w:val="20"/>
              </w:rPr>
              <w:lastRenderedPageBreak/>
              <w:t>A few journal sources appear less standardized.</w:t>
            </w:r>
          </w:p>
          <w:p w:rsidR="00355B28" w:rsidRDefault="007C52C9">
            <w:pPr>
              <w:numPr>
                <w:ilvl w:val="0"/>
                <w:numId w:val="3"/>
              </w:numPr>
              <w:pBdr>
                <w:top w:val="nil"/>
                <w:left w:val="nil"/>
                <w:bottom w:val="nil"/>
                <w:right w:val="nil"/>
                <w:between w:val="nil"/>
              </w:pBdr>
              <w:rPr>
                <w:color w:val="000000"/>
                <w:sz w:val="20"/>
                <w:szCs w:val="20"/>
              </w:rPr>
            </w:pPr>
            <w:r>
              <w:rPr>
                <w:color w:val="000000"/>
                <w:sz w:val="20"/>
                <w:szCs w:val="20"/>
              </w:rPr>
              <w:t xml:space="preserve">It is recommended to cross-check </w:t>
            </w:r>
            <w:r>
              <w:rPr>
                <w:color w:val="000000"/>
                <w:sz w:val="20"/>
                <w:szCs w:val="20"/>
              </w:rPr>
              <w:t>DOI formatting and remove duplicates.</w:t>
            </w:r>
          </w:p>
          <w:p w:rsidR="00355B28" w:rsidRDefault="007C52C9">
            <w:pPr>
              <w:pBdr>
                <w:top w:val="nil"/>
                <w:left w:val="nil"/>
                <w:bottom w:val="nil"/>
                <w:right w:val="nil"/>
                <w:between w:val="nil"/>
              </w:pBdr>
              <w:ind w:left="720"/>
              <w:rPr>
                <w:color w:val="000000"/>
                <w:sz w:val="20"/>
                <w:szCs w:val="20"/>
              </w:rPr>
            </w:pPr>
            <w:r>
              <w:rPr>
                <w:color w:val="000000"/>
                <w:sz w:val="20"/>
                <w:szCs w:val="20"/>
              </w:rPr>
              <w:t>Overall, references are adequate but require careful formatting revision.</w:t>
            </w:r>
          </w:p>
          <w:p w:rsidR="00355B28" w:rsidRDefault="00355B28">
            <w:pPr>
              <w:pBdr>
                <w:top w:val="nil"/>
                <w:left w:val="nil"/>
                <w:bottom w:val="nil"/>
                <w:right w:val="nil"/>
                <w:between w:val="nil"/>
              </w:pBdr>
              <w:rPr>
                <w:color w:val="000000"/>
                <w:sz w:val="20"/>
                <w:szCs w:val="20"/>
              </w:rPr>
            </w:pPr>
          </w:p>
        </w:tc>
        <w:tc>
          <w:tcPr>
            <w:tcW w:w="6442" w:type="dxa"/>
          </w:tcPr>
          <w:p w:rsidR="00355B28" w:rsidRDefault="007C52C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lastRenderedPageBreak/>
              <w:t xml:space="preserve">Duplicate references, such as those from </w:t>
            </w:r>
            <w:proofErr w:type="spellStart"/>
            <w:r>
              <w:rPr>
                <w:rFonts w:ascii="Times New Roman" w:eastAsia="Times New Roman" w:hAnsi="Times New Roman" w:cs="Times New Roman"/>
                <w:b w:val="0"/>
                <w:bCs w:val="0"/>
              </w:rPr>
              <w:t>Lemoni</w:t>
            </w:r>
            <w:proofErr w:type="spellEnd"/>
            <w:r>
              <w:rPr>
                <w:rFonts w:ascii="Times New Roman" w:eastAsia="Times New Roman" w:hAnsi="Times New Roman" w:cs="Times New Roman"/>
                <w:b w:val="0"/>
                <w:bCs w:val="0"/>
              </w:rPr>
              <w:t xml:space="preserve"> et al. and </w:t>
            </w:r>
            <w:proofErr w:type="spellStart"/>
            <w:r>
              <w:rPr>
                <w:rFonts w:ascii="Times New Roman" w:eastAsia="Times New Roman" w:hAnsi="Times New Roman" w:cs="Times New Roman"/>
                <w:b w:val="0"/>
                <w:bCs w:val="0"/>
              </w:rPr>
              <w:t>Magomya</w:t>
            </w:r>
            <w:proofErr w:type="spellEnd"/>
            <w:r>
              <w:rPr>
                <w:rFonts w:ascii="Times New Roman" w:eastAsia="Times New Roman" w:hAnsi="Times New Roman" w:cs="Times New Roman"/>
                <w:b w:val="0"/>
                <w:bCs w:val="0"/>
              </w:rPr>
              <w:t xml:space="preserve"> et al., have been removed. Additionally, we have cross-checked and standardized </w:t>
            </w:r>
            <w:r>
              <w:rPr>
                <w:rFonts w:ascii="Times New Roman" w:eastAsia="Times New Roman" w:hAnsi="Times New Roman" w:cs="Times New Roman"/>
                <w:b w:val="0"/>
                <w:bCs w:val="0"/>
              </w:rPr>
              <w:lastRenderedPageBreak/>
              <w:t>the DOI formatting for consistency. The references have been carefully revised to ensure proper formatting an</w:t>
            </w:r>
            <w:r>
              <w:rPr>
                <w:rFonts w:ascii="Times New Roman" w:eastAsia="Times New Roman" w:hAnsi="Times New Roman" w:cs="Times New Roman"/>
                <w:b w:val="0"/>
                <w:bCs w:val="0"/>
              </w:rPr>
              <w:t>d to meet the required standards.</w:t>
            </w:r>
          </w:p>
        </w:tc>
      </w:tr>
      <w:tr w:rsidR="00355B28">
        <w:trPr>
          <w:trHeight w:val="386"/>
        </w:trPr>
        <w:tc>
          <w:tcPr>
            <w:tcW w:w="5351" w:type="dxa"/>
          </w:tcPr>
          <w:p w:rsidR="00355B28" w:rsidRDefault="007C52C9">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355B28" w:rsidRDefault="00355B28">
            <w:pPr>
              <w:rPr>
                <w:sz w:val="20"/>
                <w:szCs w:val="20"/>
              </w:rPr>
            </w:pPr>
          </w:p>
        </w:tc>
        <w:tc>
          <w:tcPr>
            <w:tcW w:w="9357" w:type="dxa"/>
          </w:tcPr>
          <w:p w:rsidR="00355B28" w:rsidRDefault="007C52C9">
            <w:pPr>
              <w:rPr>
                <w:sz w:val="20"/>
                <w:szCs w:val="20"/>
              </w:rPr>
            </w:pPr>
            <w:r>
              <w:rPr>
                <w:sz w:val="20"/>
                <w:szCs w:val="20"/>
              </w:rPr>
              <w:t xml:space="preserve">The manuscript is understandable but requires </w:t>
            </w:r>
            <w:r>
              <w:rPr>
                <w:b/>
                <w:bCs/>
                <w:sz w:val="20"/>
                <w:szCs w:val="20"/>
              </w:rPr>
              <w:t>minor to moderate language editing</w:t>
            </w:r>
            <w:r>
              <w:rPr>
                <w:sz w:val="20"/>
                <w:szCs w:val="20"/>
              </w:rPr>
              <w:t>.</w:t>
            </w:r>
          </w:p>
          <w:p w:rsidR="00355B28" w:rsidRDefault="007C52C9">
            <w:pPr>
              <w:rPr>
                <w:sz w:val="20"/>
                <w:szCs w:val="20"/>
              </w:rPr>
            </w:pPr>
            <w:r>
              <w:rPr>
                <w:sz w:val="20"/>
                <w:szCs w:val="20"/>
              </w:rPr>
              <w:t>Issues observed:</w:t>
            </w:r>
          </w:p>
          <w:p w:rsidR="00355B28" w:rsidRDefault="007C52C9">
            <w:pPr>
              <w:numPr>
                <w:ilvl w:val="0"/>
                <w:numId w:val="4"/>
              </w:numPr>
              <w:rPr>
                <w:sz w:val="20"/>
                <w:szCs w:val="20"/>
              </w:rPr>
            </w:pPr>
            <w:r>
              <w:rPr>
                <w:sz w:val="20"/>
                <w:szCs w:val="20"/>
              </w:rPr>
              <w:t>Grammatical inconsistencies</w:t>
            </w:r>
          </w:p>
          <w:p w:rsidR="00355B28" w:rsidRDefault="007C52C9">
            <w:pPr>
              <w:numPr>
                <w:ilvl w:val="0"/>
                <w:numId w:val="4"/>
              </w:numPr>
              <w:rPr>
                <w:sz w:val="20"/>
                <w:szCs w:val="20"/>
              </w:rPr>
            </w:pPr>
            <w:r>
              <w:rPr>
                <w:sz w:val="20"/>
                <w:szCs w:val="20"/>
              </w:rPr>
              <w:t>Minor punctuation errors</w:t>
            </w:r>
          </w:p>
          <w:p w:rsidR="00355B28" w:rsidRDefault="007C52C9">
            <w:pPr>
              <w:numPr>
                <w:ilvl w:val="0"/>
                <w:numId w:val="4"/>
              </w:numPr>
              <w:rPr>
                <w:sz w:val="20"/>
                <w:szCs w:val="20"/>
              </w:rPr>
            </w:pPr>
            <w:r>
              <w:rPr>
                <w:sz w:val="20"/>
                <w:szCs w:val="20"/>
              </w:rPr>
              <w:t>Repetition in discussion section</w:t>
            </w:r>
          </w:p>
          <w:p w:rsidR="00355B28" w:rsidRDefault="007C52C9">
            <w:pPr>
              <w:numPr>
                <w:ilvl w:val="0"/>
                <w:numId w:val="4"/>
              </w:numPr>
              <w:rPr>
                <w:sz w:val="20"/>
                <w:szCs w:val="20"/>
              </w:rPr>
            </w:pPr>
            <w:r>
              <w:rPr>
                <w:sz w:val="20"/>
                <w:szCs w:val="20"/>
              </w:rPr>
              <w:t>Occasional overstatement of conclusions</w:t>
            </w:r>
          </w:p>
          <w:p w:rsidR="00355B28" w:rsidRDefault="007C52C9">
            <w:pPr>
              <w:rPr>
                <w:sz w:val="20"/>
                <w:szCs w:val="20"/>
              </w:rPr>
            </w:pPr>
            <w:r>
              <w:rPr>
                <w:sz w:val="20"/>
                <w:szCs w:val="20"/>
              </w:rPr>
              <w:t>Professional English editing is recommended before acceptance.</w:t>
            </w:r>
          </w:p>
          <w:p w:rsidR="00355B28" w:rsidRDefault="00355B28">
            <w:pPr>
              <w:rPr>
                <w:sz w:val="20"/>
                <w:szCs w:val="20"/>
              </w:rPr>
            </w:pPr>
          </w:p>
        </w:tc>
        <w:tc>
          <w:tcPr>
            <w:tcW w:w="6442" w:type="dxa"/>
          </w:tcPr>
          <w:p w:rsidR="00355B28" w:rsidRDefault="007C52C9">
            <w:pPr>
              <w:rPr>
                <w:sz w:val="20"/>
                <w:szCs w:val="20"/>
              </w:rPr>
            </w:pPr>
            <w:r>
              <w:rPr>
                <w:sz w:val="20"/>
                <w:szCs w:val="20"/>
              </w:rPr>
              <w:t>We have revised the manuscript to fix the language issues mentioned by the reviewer. We correc</w:t>
            </w:r>
            <w:r>
              <w:rPr>
                <w:sz w:val="20"/>
                <w:szCs w:val="20"/>
              </w:rPr>
              <w:t>ted grammatical errors, fixed punctuation mistakes, and removed repetition in the discussion. We also made the conclusions more cautious and balanced.</w:t>
            </w:r>
          </w:p>
        </w:tc>
      </w:tr>
      <w:tr w:rsidR="00355B28">
        <w:trPr>
          <w:trHeight w:val="1178"/>
        </w:trPr>
        <w:tc>
          <w:tcPr>
            <w:tcW w:w="5351" w:type="dxa"/>
          </w:tcPr>
          <w:p w:rsidR="00355B28" w:rsidRDefault="007C52C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355B28" w:rsidRDefault="00355B28">
            <w:pPr>
              <w:pStyle w:val="Heading2"/>
              <w:jc w:val="left"/>
              <w:rPr>
                <w:rFonts w:ascii="Times New Roman" w:eastAsia="Times New Roman" w:hAnsi="Times New Roman" w:cs="Times New Roman"/>
                <w:b w:val="0"/>
                <w:bCs w:val="0"/>
              </w:rPr>
            </w:pPr>
          </w:p>
        </w:tc>
        <w:tc>
          <w:tcPr>
            <w:tcW w:w="9357" w:type="dxa"/>
          </w:tcPr>
          <w:p w:rsidR="00355B28" w:rsidRDefault="00355B28">
            <w:pPr>
              <w:pBdr>
                <w:top w:val="nil"/>
                <w:left w:val="nil"/>
                <w:bottom w:val="nil"/>
                <w:right w:val="nil"/>
                <w:between w:val="nil"/>
              </w:pBdr>
              <w:rPr>
                <w:color w:val="000000"/>
                <w:sz w:val="20"/>
                <w:szCs w:val="20"/>
              </w:rPr>
            </w:pPr>
          </w:p>
        </w:tc>
        <w:tc>
          <w:tcPr>
            <w:tcW w:w="6442" w:type="dxa"/>
          </w:tcPr>
          <w:p w:rsidR="00355B28" w:rsidRDefault="00355B28">
            <w:pPr>
              <w:rPr>
                <w:sz w:val="20"/>
                <w:szCs w:val="20"/>
              </w:rPr>
            </w:pPr>
          </w:p>
        </w:tc>
      </w:tr>
    </w:tbl>
    <w:p w:rsidR="00355B28" w:rsidRDefault="00355B28">
      <w:pPr>
        <w:pBdr>
          <w:top w:val="nil"/>
          <w:left w:val="nil"/>
          <w:bottom w:val="nil"/>
          <w:right w:val="nil"/>
          <w:between w:val="nil"/>
        </w:pBdr>
        <w:jc w:val="both"/>
        <w:rPr>
          <w:color w:val="000000"/>
          <w:sz w:val="20"/>
          <w:szCs w:val="20"/>
          <w:u w:val="single"/>
        </w:rPr>
      </w:pPr>
    </w:p>
    <w:p w:rsidR="00355B28" w:rsidRDefault="00355B28">
      <w:pPr>
        <w:pBdr>
          <w:top w:val="nil"/>
          <w:left w:val="nil"/>
          <w:bottom w:val="nil"/>
          <w:right w:val="nil"/>
          <w:between w:val="nil"/>
        </w:pBdr>
        <w:jc w:val="both"/>
        <w:rPr>
          <w:color w:val="000000"/>
          <w:sz w:val="20"/>
          <w:szCs w:val="20"/>
          <w:u w:val="single"/>
        </w:rPr>
      </w:pPr>
    </w:p>
    <w:p w:rsidR="00355B28" w:rsidRDefault="00355B28">
      <w:pPr>
        <w:pBdr>
          <w:top w:val="nil"/>
          <w:left w:val="nil"/>
          <w:bottom w:val="nil"/>
          <w:right w:val="nil"/>
          <w:between w:val="nil"/>
        </w:pBdr>
        <w:jc w:val="both"/>
        <w:rPr>
          <w:color w:val="000000"/>
          <w:sz w:val="20"/>
          <w:szCs w:val="20"/>
          <w:u w:val="single"/>
        </w:rPr>
      </w:pPr>
    </w:p>
    <w:p w:rsidR="00355B28" w:rsidRDefault="00355B28">
      <w:pPr>
        <w:pBdr>
          <w:top w:val="nil"/>
          <w:left w:val="nil"/>
          <w:bottom w:val="nil"/>
          <w:right w:val="nil"/>
          <w:between w:val="nil"/>
        </w:pBdr>
        <w:jc w:val="both"/>
        <w:rPr>
          <w:color w:val="000000"/>
          <w:sz w:val="20"/>
          <w:szCs w:val="20"/>
          <w:u w:val="single"/>
        </w:rPr>
      </w:pPr>
      <w:bookmarkStart w:id="7" w:name="_heading=h.6d7w5g1y2hz4" w:colFirst="0" w:colLast="0"/>
      <w:bookmarkEnd w:id="7"/>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355B28">
        <w:tc>
          <w:tcPr>
            <w:tcW w:w="21150" w:type="dxa"/>
            <w:gridSpan w:val="3"/>
            <w:tcBorders>
              <w:top w:val="nil"/>
              <w:left w:val="nil"/>
              <w:right w:val="nil"/>
            </w:tcBorders>
            <w:tcMar>
              <w:top w:w="0" w:type="dxa"/>
              <w:left w:w="108" w:type="dxa"/>
              <w:bottom w:w="0" w:type="dxa"/>
              <w:right w:w="108" w:type="dxa"/>
            </w:tcMar>
            <w:vAlign w:val="center"/>
          </w:tcPr>
          <w:p w:rsidR="00355B28" w:rsidRDefault="007C52C9">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355B28" w:rsidRDefault="00355B28">
            <w:pPr>
              <w:rPr>
                <w:rFonts w:ascii="Arial" w:eastAsia="Arial" w:hAnsi="Arial" w:cs="Arial"/>
                <w:sz w:val="20"/>
                <w:szCs w:val="20"/>
                <w:u w:val="single"/>
              </w:rPr>
            </w:pPr>
          </w:p>
        </w:tc>
      </w:tr>
      <w:tr w:rsidR="00355B28">
        <w:tc>
          <w:tcPr>
            <w:tcW w:w="6831" w:type="dxa"/>
            <w:tcMar>
              <w:top w:w="0" w:type="dxa"/>
              <w:left w:w="108" w:type="dxa"/>
              <w:bottom w:w="0" w:type="dxa"/>
              <w:right w:w="108" w:type="dxa"/>
            </w:tcMar>
            <w:vAlign w:val="center"/>
          </w:tcPr>
          <w:p w:rsidR="00355B28" w:rsidRDefault="00355B28">
            <w:pPr>
              <w:rPr>
                <w:rFonts w:ascii="Arial" w:eastAsia="Arial" w:hAnsi="Arial" w:cs="Arial"/>
                <w:sz w:val="20"/>
                <w:szCs w:val="20"/>
              </w:rPr>
            </w:pPr>
          </w:p>
        </w:tc>
        <w:tc>
          <w:tcPr>
            <w:tcW w:w="7166" w:type="dxa"/>
            <w:tcMar>
              <w:top w:w="0" w:type="dxa"/>
              <w:left w:w="108" w:type="dxa"/>
              <w:bottom w:w="0" w:type="dxa"/>
              <w:right w:w="108" w:type="dxa"/>
            </w:tcMar>
          </w:tcPr>
          <w:p w:rsidR="00355B28" w:rsidRDefault="007C52C9">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355B28" w:rsidRDefault="007C52C9">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355B28" w:rsidRDefault="00355B28">
            <w:pPr>
              <w:keepNext/>
              <w:rPr>
                <w:rFonts w:ascii="Arial" w:eastAsia="Arial" w:hAnsi="Arial" w:cs="Arial"/>
                <w:sz w:val="20"/>
                <w:szCs w:val="20"/>
              </w:rPr>
            </w:pPr>
          </w:p>
        </w:tc>
      </w:tr>
      <w:tr w:rsidR="00355B28">
        <w:trPr>
          <w:trHeight w:val="890"/>
        </w:trPr>
        <w:tc>
          <w:tcPr>
            <w:tcW w:w="6831" w:type="dxa"/>
            <w:tcMar>
              <w:top w:w="0" w:type="dxa"/>
              <w:left w:w="108" w:type="dxa"/>
              <w:bottom w:w="0" w:type="dxa"/>
              <w:right w:w="108" w:type="dxa"/>
            </w:tcMar>
            <w:vAlign w:val="center"/>
          </w:tcPr>
          <w:p w:rsidR="00355B28" w:rsidRDefault="007C52C9">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355B28" w:rsidRDefault="00355B28">
            <w:pPr>
              <w:rPr>
                <w:rFonts w:ascii="Arial" w:eastAsia="Arial" w:hAnsi="Arial" w:cs="Arial"/>
                <w:sz w:val="20"/>
                <w:szCs w:val="20"/>
              </w:rPr>
            </w:pPr>
          </w:p>
        </w:tc>
        <w:tc>
          <w:tcPr>
            <w:tcW w:w="7166" w:type="dxa"/>
            <w:tcMar>
              <w:top w:w="0" w:type="dxa"/>
              <w:left w:w="108" w:type="dxa"/>
              <w:bottom w:w="0" w:type="dxa"/>
              <w:right w:w="108" w:type="dxa"/>
            </w:tcMar>
            <w:vAlign w:val="center"/>
          </w:tcPr>
          <w:p w:rsidR="00355B28" w:rsidRDefault="007C52C9">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355B28" w:rsidRDefault="00355B28">
            <w:pPr>
              <w:rPr>
                <w:rFonts w:ascii="Arial" w:eastAsia="Arial" w:hAnsi="Arial" w:cs="Arial"/>
                <w:sz w:val="20"/>
                <w:szCs w:val="20"/>
              </w:rPr>
            </w:pPr>
          </w:p>
          <w:p w:rsidR="00355B28" w:rsidRDefault="00355B28">
            <w:pPr>
              <w:rPr>
                <w:rFonts w:ascii="Arial" w:eastAsia="Arial" w:hAnsi="Arial" w:cs="Arial"/>
                <w:sz w:val="20"/>
                <w:szCs w:val="20"/>
              </w:rPr>
            </w:pPr>
          </w:p>
        </w:tc>
        <w:tc>
          <w:tcPr>
            <w:tcW w:w="7153" w:type="dxa"/>
            <w:vAlign w:val="center"/>
          </w:tcPr>
          <w:p w:rsidR="00355B28" w:rsidRDefault="007C52C9">
            <w:pPr>
              <w:rPr>
                <w:rFonts w:ascii="Arial" w:eastAsia="Arial" w:hAnsi="Arial" w:cs="Arial"/>
                <w:sz w:val="20"/>
                <w:szCs w:val="20"/>
              </w:rPr>
            </w:pPr>
            <w:r>
              <w:rPr>
                <w:rFonts w:ascii="Arial" w:eastAsia="Arial" w:hAnsi="Arial" w:cs="Arial"/>
                <w:sz w:val="20"/>
                <w:szCs w:val="20"/>
              </w:rPr>
              <w:t>No comment from the reviewer</w:t>
            </w:r>
          </w:p>
          <w:p w:rsidR="00355B28" w:rsidRDefault="00355B28">
            <w:pPr>
              <w:rPr>
                <w:rFonts w:ascii="Arial" w:eastAsia="Arial" w:hAnsi="Arial" w:cs="Arial"/>
                <w:sz w:val="20"/>
                <w:szCs w:val="20"/>
              </w:rPr>
            </w:pPr>
          </w:p>
          <w:p w:rsidR="00355B28" w:rsidRDefault="00355B28">
            <w:pPr>
              <w:rPr>
                <w:rFonts w:ascii="Arial" w:eastAsia="Arial" w:hAnsi="Arial" w:cs="Arial"/>
                <w:sz w:val="20"/>
                <w:szCs w:val="20"/>
              </w:rPr>
            </w:pPr>
          </w:p>
        </w:tc>
      </w:tr>
    </w:tbl>
    <w:p w:rsidR="00355B28" w:rsidRDefault="00355B28"/>
    <w:p w:rsidR="00355B28" w:rsidRDefault="00355B28"/>
    <w:p w:rsidR="00355B28" w:rsidRDefault="00355B28">
      <w:pPr>
        <w:rPr>
          <w:u w:val="single"/>
        </w:rPr>
      </w:pPr>
    </w:p>
    <w:p w:rsidR="00355B28" w:rsidRDefault="00355B28"/>
    <w:p w:rsidR="00355B28" w:rsidRDefault="00355B28">
      <w:pPr>
        <w:pBdr>
          <w:top w:val="nil"/>
          <w:left w:val="nil"/>
          <w:bottom w:val="nil"/>
          <w:right w:val="nil"/>
          <w:between w:val="nil"/>
        </w:pBdr>
        <w:jc w:val="both"/>
        <w:rPr>
          <w:color w:val="000000"/>
          <w:sz w:val="20"/>
          <w:szCs w:val="20"/>
          <w:u w:val="single"/>
        </w:rPr>
      </w:pPr>
    </w:p>
    <w:sectPr w:rsidR="00355B28">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C52C9" w:rsidRDefault="007C52C9">
      <w:r>
        <w:separator/>
      </w:r>
    </w:p>
  </w:endnote>
  <w:endnote w:type="continuationSeparator" w:id="0">
    <w:p w:rsidR="007C52C9" w:rsidRDefault="007C5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80EF198C-CD48-4B13-BBBE-BF67C2512F2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FAF52621-DEB8-47CD-96F9-792383B21FBA}"/>
    <w:embedBold r:id="rId3" w:fontKey="{0D17E633-CDE6-4939-9E8C-58786FB74C5C}"/>
  </w:font>
  <w:font w:name="Arimo">
    <w:charset w:val="00"/>
    <w:family w:val="auto"/>
    <w:pitch w:val="default"/>
    <w:embedBold r:id="rId4" w:fontKey="{96ADAD3D-0C02-4154-8732-D14D33D5010B}"/>
  </w:font>
  <w:font w:name="Helvetica">
    <w:panose1 w:val="020B0604020202020204"/>
    <w:charset w:val="00"/>
    <w:family w:val="swiss"/>
    <w:pitch w:val="variable"/>
    <w:sig w:usb0="00000003" w:usb1="00000000" w:usb2="00000000" w:usb3="00000000" w:csb0="00000001" w:csb1="00000000"/>
    <w:embedRegular r:id="rId5" w:fontKey="{B06C4A94-7930-4162-A058-37042281ADA3}"/>
    <w:embedBold r:id="rId6" w:fontKey="{9B1F91D6-C3D8-4A15-8A4F-D5180B5AC86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7" w:fontKey="{D51158FD-9E24-4234-8685-F3E10C77BA28}"/>
  </w:font>
  <w:font w:name="Georgia">
    <w:panose1 w:val="02040502050405020303"/>
    <w:charset w:val="00"/>
    <w:family w:val="roman"/>
    <w:pitch w:val="variable"/>
    <w:sig w:usb0="00000287" w:usb1="00000000" w:usb2="00000000" w:usb3="00000000" w:csb0="0000009F" w:csb1="00000000"/>
    <w:embedItalic r:id="rId8" w:fontKey="{8445F003-3B6A-4FAA-8725-1EB8F1E8337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9F6BEB2C-1186-44B8-945A-02364DA6F0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5B28" w:rsidRDefault="007C52C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C52C9" w:rsidRDefault="007C52C9">
      <w:r>
        <w:separator/>
      </w:r>
    </w:p>
  </w:footnote>
  <w:footnote w:type="continuationSeparator" w:id="0">
    <w:p w:rsidR="007C52C9" w:rsidRDefault="007C52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5B28" w:rsidRDefault="00355B28">
    <w:pPr>
      <w:spacing w:after="280"/>
      <w:jc w:val="center"/>
      <w:rPr>
        <w:rFonts w:ascii="Arial" w:eastAsia="Arial" w:hAnsi="Arial" w:cs="Arial"/>
        <w:color w:val="003399"/>
        <w:u w:val="single"/>
      </w:rPr>
    </w:pPr>
  </w:p>
  <w:p w:rsidR="00355B28" w:rsidRDefault="007C52C9">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B612AE"/>
    <w:multiLevelType w:val="multilevel"/>
    <w:tmpl w:val="84E85E8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 w15:restartNumberingAfterBreak="0">
    <w:nsid w:val="525B261A"/>
    <w:multiLevelType w:val="multilevel"/>
    <w:tmpl w:val="C35897D2"/>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 w15:restartNumberingAfterBreak="0">
    <w:nsid w:val="73776FD3"/>
    <w:multiLevelType w:val="multilevel"/>
    <w:tmpl w:val="A324271E"/>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 w15:restartNumberingAfterBreak="0">
    <w:nsid w:val="7ACA67D8"/>
    <w:multiLevelType w:val="multilevel"/>
    <w:tmpl w:val="1F7AD55C"/>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5B28"/>
    <w:rsid w:val="00086FAA"/>
    <w:rsid w:val="00355B28"/>
    <w:rsid w:val="007C52C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42640B1-5578-4304-886F-ED138C40C2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I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sarjnp.com/index.php/SARJNP"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p90+5zzOlrSSxPHDs/g2MQlk6w==">CgMxLjAyDmgudWF1OXh4MmFnd2s5Mg5oLjcyb2Q2MzloMmtlODIOaC44eHJtdGxvbGNiMHgyDmgueTBxeXlub203dDdvMg5oLjh4ZXk0eWZ0eTUwMjIOaC42a2lmNmxjcTdiYTMyDmguNmQ3dzVnMXkyaHo0OAByITFxQldBWTZJN1FKdkhxaTFvTG55WGJBcHZ2YkY5a2F5bQ==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935</Words>
  <Characters>5335</Characters>
  <Application>Microsoft Office Word</Application>
  <DocSecurity>0</DocSecurity>
  <Lines>44</Lines>
  <Paragraphs>12</Paragraphs>
  <ScaleCrop>false</ScaleCrop>
  <Company/>
  <LinksUpToDate>false</LinksUpToDate>
  <CharactersWithSpaces>6258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2026-02-17T21:17:00Z</dcterms:created>
  <dcterms:modified xsi:type="dcterms:W3CDTF">2026-02-21T08:35:00Z</dcterms:modified>
</cp:coreProperties>
</file>