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rsidTr="00107C72">
        <w:trPr>
          <w:trHeight w:val="290"/>
        </w:trPr>
        <w:tc>
          <w:tcPr>
            <w:tcW w:w="5000" w:type="pct"/>
            <w:gridSpan w:val="2"/>
            <w:tcBorders>
              <w:top w:val="nil"/>
              <w:left w:val="nil"/>
              <w:right w:val="nil"/>
            </w:tcBorders>
          </w:tcPr>
          <w:p w:rsidR="008F1B16" w:rsidRPr="001B33CF" w:rsidRDefault="008F1B16" w:rsidP="001B33CF">
            <w:pPr>
              <w:rPr>
                <w:lang w:val="en-GB"/>
              </w:rPr>
            </w:pPr>
            <w:bookmarkStart w:id="0" w:name="_GoBack"/>
            <w:bookmarkEnd w:id="0"/>
          </w:p>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8F1B16" w:rsidRPr="00B05E01" w:rsidRDefault="000F0940" w:rsidP="00E65EB7">
            <w:pPr>
              <w:rPr>
                <w:b/>
                <w:bCs/>
                <w:color w:val="0000CC"/>
                <w:sz w:val="20"/>
                <w:szCs w:val="20"/>
                <w:lang w:val="en-IN"/>
              </w:rPr>
            </w:pPr>
            <w:hyperlink r:id="rId7"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8F1B16" w:rsidRPr="00107C72" w:rsidRDefault="004D3C64" w:rsidP="00F3669D">
            <w:pPr>
              <w:pStyle w:val="NormalWeb"/>
              <w:spacing w:before="0" w:beforeAutospacing="0" w:after="0" w:afterAutospacing="0"/>
              <w:rPr>
                <w:rFonts w:ascii="Times New Roman" w:hAnsi="Times New Roman" w:cs="Times New Roman"/>
                <w:b/>
                <w:bCs/>
                <w:sz w:val="20"/>
                <w:szCs w:val="28"/>
                <w:lang w:val="en-GB"/>
              </w:rPr>
            </w:pPr>
            <w:r w:rsidRPr="004D3C64">
              <w:rPr>
                <w:rFonts w:ascii="Times New Roman" w:hAnsi="Times New Roman" w:cs="Times New Roman"/>
                <w:b/>
                <w:bCs/>
                <w:sz w:val="20"/>
                <w:szCs w:val="28"/>
                <w:lang w:val="en-GB"/>
              </w:rPr>
              <w:t>Ms_JEAI_155491</w:t>
            </w:r>
          </w:p>
        </w:tc>
      </w:tr>
      <w:tr w:rsidR="008F1B16" w:rsidRPr="00107C72" w:rsidTr="00107C72">
        <w:trPr>
          <w:trHeight w:val="65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8F1B16" w:rsidRPr="00107C72" w:rsidRDefault="004D3C64" w:rsidP="000450FC">
            <w:pPr>
              <w:pStyle w:val="NormalWeb"/>
              <w:spacing w:before="0" w:beforeAutospacing="0" w:after="0" w:afterAutospacing="0"/>
              <w:rPr>
                <w:rFonts w:ascii="Times New Roman" w:hAnsi="Times New Roman" w:cs="Times New Roman"/>
                <w:b/>
                <w:sz w:val="20"/>
                <w:szCs w:val="28"/>
                <w:lang w:val="en-GB"/>
              </w:rPr>
            </w:pPr>
            <w:r w:rsidRPr="004D3C64">
              <w:rPr>
                <w:rFonts w:ascii="Times New Roman" w:hAnsi="Times New Roman" w:cs="Times New Roman"/>
                <w:b/>
                <w:sz w:val="20"/>
                <w:szCs w:val="28"/>
                <w:lang w:val="en-GB"/>
              </w:rPr>
              <w:t>Export Composition and Competitiveness of India’s Fresh Mangoes in the Global Market</w:t>
            </w:r>
          </w:p>
        </w:tc>
      </w:tr>
      <w:tr w:rsidR="008F1B16" w:rsidRPr="00107C72" w:rsidTr="00107C72">
        <w:trPr>
          <w:trHeight w:val="332"/>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sz w:val="20"/>
          <w:szCs w:val="20"/>
          <w:lang w:val="en-GB"/>
        </w:rPr>
      </w:pPr>
    </w:p>
    <w:p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8F1B16" w:rsidRPr="00107C72" w:rsidRDefault="008F1B16" w:rsidP="008F1B16">
      <w:pPr>
        <w:pStyle w:val="BodyText"/>
        <w:rPr>
          <w:rFonts w:ascii="Times New Roman" w:hAnsi="Times New Roman"/>
          <w:b/>
          <w:sz w:val="20"/>
          <w:szCs w:val="20"/>
          <w:u w:val="single"/>
          <w:lang w:val="en-GB"/>
        </w:rPr>
      </w:pPr>
    </w:p>
    <w:p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F1B16" w:rsidRPr="00107C72" w:rsidTr="00770EEE">
        <w:tc>
          <w:tcPr>
            <w:tcW w:w="1789" w:type="pct"/>
            <w:noWrap/>
          </w:tcPr>
          <w:p w:rsidR="008F1B16" w:rsidRPr="00107C72" w:rsidRDefault="008F1B16" w:rsidP="00EF2F8A">
            <w:pPr>
              <w:pStyle w:val="Heading2"/>
              <w:jc w:val="left"/>
              <w:rPr>
                <w:rFonts w:ascii="Times New Roman" w:hAnsi="Times New Roman"/>
                <w:lang w:val="en-GB" w:eastAsia="en-US"/>
              </w:rPr>
            </w:pPr>
          </w:p>
        </w:tc>
        <w:tc>
          <w:tcPr>
            <w:tcW w:w="1844" w:type="pct"/>
          </w:tcPr>
          <w:p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8F1B16" w:rsidRPr="00107C72" w:rsidRDefault="008F1B16" w:rsidP="00EF2F8A">
            <w:pPr>
              <w:pStyle w:val="Heading2"/>
              <w:jc w:val="left"/>
              <w:rPr>
                <w:rFonts w:ascii="Times New Roman" w:hAnsi="Times New Roman"/>
                <w:b w:val="0"/>
                <w:lang w:val="en-GB" w:eastAsia="en-US"/>
              </w:rPr>
            </w:pPr>
          </w:p>
        </w:tc>
      </w:tr>
      <w:tr w:rsidR="008F1B16" w:rsidRPr="00107C72" w:rsidTr="00770EEE">
        <w:trPr>
          <w:trHeight w:val="1264"/>
        </w:trPr>
        <w:tc>
          <w:tcPr>
            <w:tcW w:w="1789" w:type="pct"/>
            <w:noWrap/>
          </w:tcPr>
          <w:p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8F1B16" w:rsidRPr="0065161E" w:rsidRDefault="0065161E" w:rsidP="00EF2F8A">
            <w:pPr>
              <w:pStyle w:val="ListParagraph"/>
              <w:ind w:left="0"/>
              <w:rPr>
                <w:bCs/>
                <w:sz w:val="20"/>
                <w:szCs w:val="20"/>
                <w:lang w:val="en-GB"/>
              </w:rPr>
            </w:pPr>
            <w:r w:rsidRPr="0065161E">
              <w:rPr>
                <w:bCs/>
                <w:sz w:val="20"/>
                <w:szCs w:val="20"/>
                <w:lang w:val="en-GB"/>
              </w:rPr>
              <w:t xml:space="preserve">This manuscript provides a systematic, variety-wise analysis of India’s fresh mango exports over a recent and policy‑relevant period (2020–21 to 2023–24), filling a clear gap in the agribusiness and agricultural economics literature where most studies focus either on aggregate mango exports or broader horticultural trade. By combining varietal export composition, growth performance, and formal competitiveness indicators (RCA, RSCA, HHI), it offers an integrated view of how specific cultivars such as Alphonso, Kesar, and </w:t>
            </w:r>
            <w:proofErr w:type="spellStart"/>
            <w:r w:rsidRPr="0065161E">
              <w:rPr>
                <w:bCs/>
                <w:sz w:val="20"/>
                <w:szCs w:val="20"/>
                <w:lang w:val="en-GB"/>
              </w:rPr>
              <w:t>Chausa</w:t>
            </w:r>
            <w:proofErr w:type="spellEnd"/>
            <w:r w:rsidRPr="0065161E">
              <w:rPr>
                <w:bCs/>
                <w:sz w:val="20"/>
                <w:szCs w:val="20"/>
                <w:lang w:val="en-GB"/>
              </w:rPr>
              <w:t xml:space="preserve"> perform in global markets, which is directly useful for exporters, producer organizations, and policymakers. The documentation of a weakening comparative advantage and a highly concentrated market structure centred on the UAE raises important strategic questions for diversification, value addition, and quality upgrading in India’s mango value chain. Overall, the study contributes empirical evidence that can inform export promotion strategies, investment in post‑harvest infrastructure, and varietal promotion policies in one of India’s most important high‑value fruit crops.</w:t>
            </w:r>
          </w:p>
        </w:tc>
        <w:tc>
          <w:tcPr>
            <w:tcW w:w="1367" w:type="pct"/>
          </w:tcPr>
          <w:p w:rsidR="008F1B16" w:rsidRPr="00107C72" w:rsidRDefault="0004328C" w:rsidP="00EF2F8A">
            <w:pPr>
              <w:pStyle w:val="Heading2"/>
              <w:jc w:val="left"/>
              <w:rPr>
                <w:rFonts w:ascii="Times New Roman" w:hAnsi="Times New Roman"/>
                <w:b w:val="0"/>
                <w:lang w:val="en-GB" w:eastAsia="en-US"/>
              </w:rPr>
            </w:pPr>
            <w:r w:rsidRPr="0004328C">
              <w:rPr>
                <w:rFonts w:ascii="Times New Roman" w:hAnsi="Times New Roman"/>
                <w:b w:val="0"/>
                <w:lang w:val="en-GB" w:eastAsia="en-US"/>
              </w:rPr>
              <w:t>The authors sincerely thank the reviewer for the constructive comments and valuable suggestions. The manuscript has been thoroughly revised by incorporating clear research objectives, a comprehensive literature review, and an improved methodology with better justification of analytical tools. Overall, the study has been strengthened in terms of structure, clarity, and analytical rigor.</w:t>
            </w:r>
          </w:p>
        </w:tc>
      </w:tr>
    </w:tbl>
    <w:p w:rsidR="008F1B16" w:rsidRDefault="008F1B16" w:rsidP="008F1B16">
      <w:pPr>
        <w:rPr>
          <w:sz w:val="20"/>
          <w:szCs w:val="20"/>
          <w:lang w:val="en-GB"/>
        </w:rPr>
      </w:pPr>
    </w:p>
    <w:p w:rsidR="008F1B16" w:rsidRDefault="008F1B16" w:rsidP="008F1B16">
      <w:pPr>
        <w:rPr>
          <w:sz w:val="20"/>
          <w:szCs w:val="20"/>
          <w:lang w:val="en-GB"/>
        </w:rPr>
      </w:pPr>
    </w:p>
    <w:p w:rsidR="008F1B16" w:rsidRPr="00107C72" w:rsidRDefault="008F1B16" w:rsidP="008F1B16">
      <w:pPr>
        <w:rPr>
          <w:sz w:val="20"/>
          <w:szCs w:val="20"/>
          <w:lang w:val="en-GB"/>
        </w:rPr>
      </w:pPr>
    </w:p>
    <w:p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F1B16" w:rsidRPr="00107C72" w:rsidTr="00107C72">
        <w:tc>
          <w:tcPr>
            <w:tcW w:w="5000" w:type="pct"/>
            <w:gridSpan w:val="3"/>
            <w:tcBorders>
              <w:top w:val="nil"/>
              <w:left w:val="nil"/>
              <w:right w:val="nil"/>
            </w:tcBorders>
            <w:noWrap/>
          </w:tcPr>
          <w:p w:rsidR="008F1B16" w:rsidRPr="00107C72" w:rsidRDefault="008F1B16" w:rsidP="00177B84">
            <w:pPr>
              <w:rPr>
                <w:lang w:val="en-GB"/>
              </w:rPr>
            </w:pPr>
          </w:p>
          <w:p w:rsidR="008F1B16" w:rsidRPr="00107C72" w:rsidRDefault="008F1B16">
            <w:pPr>
              <w:rPr>
                <w:sz w:val="20"/>
                <w:szCs w:val="20"/>
                <w:lang w:val="en-GB"/>
              </w:rPr>
            </w:pPr>
          </w:p>
        </w:tc>
      </w:tr>
      <w:tr w:rsidR="008F1B16" w:rsidRPr="00107C72" w:rsidTr="00107C72">
        <w:tc>
          <w:tcPr>
            <w:tcW w:w="1790" w:type="pct"/>
            <w:noWrap/>
          </w:tcPr>
          <w:p w:rsidR="008F1B16" w:rsidRPr="00107C72" w:rsidRDefault="008F1B16">
            <w:pPr>
              <w:pStyle w:val="Heading2"/>
              <w:jc w:val="left"/>
              <w:rPr>
                <w:rFonts w:ascii="Times New Roman" w:hAnsi="Times New Roman"/>
                <w:lang w:val="en-GB" w:eastAsia="en-US"/>
              </w:rPr>
            </w:pPr>
          </w:p>
        </w:tc>
        <w:tc>
          <w:tcPr>
            <w:tcW w:w="1843" w:type="pct"/>
          </w:tcPr>
          <w:p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rsidTr="00107C72">
        <w:trPr>
          <w:trHeight w:val="1262"/>
        </w:trPr>
        <w:tc>
          <w:tcPr>
            <w:tcW w:w="1790" w:type="pct"/>
            <w:noWrap/>
          </w:tcPr>
          <w:p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5 (Excellent)</w:t>
            </w:r>
          </w:p>
          <w:p w:rsidR="008F1B16" w:rsidRPr="0065161E" w:rsidRDefault="0065161E" w:rsidP="0065161E">
            <w:pPr>
              <w:rPr>
                <w:bCs/>
                <w:sz w:val="20"/>
                <w:szCs w:val="20"/>
                <w:lang w:val="en-GB"/>
              </w:rPr>
            </w:pPr>
            <w:r w:rsidRPr="0065161E">
              <w:rPr>
                <w:bCs/>
                <w:sz w:val="20"/>
                <w:szCs w:val="20"/>
                <w:lang w:val="en-GB"/>
              </w:rPr>
              <w:t>The title accurately reflects the core focus of the paper: it clearly mentions “Export Composition” and “Competitiveness” of India’s fresh mangoes in the global market, which corresponds directly to the analysis of varietal trade composition, RCA/RSCA, and HHI presented in the manuscript</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The authors sincerely thank the reviewer for the positive evaluation. We are pleased that the title is found to be clear and appropriate, accurately reflecting the scope and analytical focus of the study.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65161E" w:rsidRDefault="0065161E" w:rsidP="0065161E">
            <w:pPr>
              <w:rPr>
                <w:bCs/>
                <w:sz w:val="20"/>
                <w:szCs w:val="20"/>
                <w:lang w:val="en-GB"/>
              </w:rPr>
            </w:pPr>
            <w:r w:rsidRPr="0065161E">
              <w:rPr>
                <w:bCs/>
                <w:sz w:val="20"/>
                <w:szCs w:val="20"/>
              </w:rPr>
              <w:t>Rating: 4 (Good)</w:t>
            </w:r>
            <w:r w:rsidRPr="0065161E">
              <w:rPr>
                <w:bCs/>
                <w:sz w:val="20"/>
                <w:szCs w:val="20"/>
              </w:rPr>
              <w:br/>
              <w:t xml:space="preserve">The abstract concisely presents the period of analysis, data sources (APEDA and ITC Trade Map), main quantitative results on growth (CAGR in volume and value), varietal performance (Kesar, </w:t>
            </w:r>
            <w:proofErr w:type="spellStart"/>
            <w:r w:rsidRPr="0065161E">
              <w:rPr>
                <w:bCs/>
                <w:sz w:val="20"/>
                <w:szCs w:val="20"/>
              </w:rPr>
              <w:t>Chausa</w:t>
            </w:r>
            <w:proofErr w:type="spellEnd"/>
            <w:r w:rsidRPr="0065161E">
              <w:rPr>
                <w:bCs/>
                <w:sz w:val="20"/>
                <w:szCs w:val="20"/>
              </w:rPr>
              <w:t>, Alphonso), declining RCA/RSCA, and market concentration in the UAE. It is comprehensive but could be slightly strengthened by stating the methods (RCA, RSCA, HHI) more explicitly and tightening a couple of long sentences.</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Thank you for the valuable suggestion. The abstract has been revised to explicitly mention the analytical tools used in the study, namely RCA, RSCA, and HHI. Additionally, long sentences have been shortened to improve clarity and readability.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5 (Excellent)</w:t>
            </w:r>
          </w:p>
          <w:p w:rsidR="008F1B16" w:rsidRPr="0065161E" w:rsidRDefault="0065161E" w:rsidP="0065161E">
            <w:pPr>
              <w:rPr>
                <w:bCs/>
                <w:sz w:val="20"/>
                <w:szCs w:val="20"/>
                <w:lang w:val="en-GB"/>
              </w:rPr>
            </w:pPr>
            <w:r w:rsidRPr="0065161E">
              <w:rPr>
                <w:bCs/>
                <w:sz w:val="20"/>
                <w:szCs w:val="20"/>
                <w:lang w:val="en-GB"/>
              </w:rPr>
              <w:t>The keywords (“Mango exports, Trade composition, Market concentration, Revealed Comparative Advantage”) correspond well to the main analytical dimensions of the paper and are standard terms in agribusiness and trade economics, making the manuscript easily discoverable for relevant audiences</w:t>
            </w:r>
            <w:r>
              <w:rPr>
                <w:bCs/>
                <w:sz w:val="20"/>
                <w:szCs w:val="20"/>
                <w:lang w:val="en-GB"/>
              </w:rPr>
              <w:t>.</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The authors appreciate the reviewer’s positive comment. The keywords have been retained as they effectively represent the core themes of the study.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4 (Good)</w:t>
            </w:r>
          </w:p>
          <w:p w:rsidR="008F1B16" w:rsidRPr="0065161E" w:rsidRDefault="0065161E" w:rsidP="0065161E">
            <w:pPr>
              <w:rPr>
                <w:bCs/>
                <w:sz w:val="20"/>
                <w:szCs w:val="20"/>
                <w:lang w:val="en-GB"/>
              </w:rPr>
            </w:pPr>
            <w:r w:rsidRPr="0065161E">
              <w:rPr>
                <w:bCs/>
                <w:sz w:val="20"/>
                <w:szCs w:val="20"/>
                <w:lang w:val="en-GB"/>
              </w:rPr>
              <w:t>The introduction provides adequate global and national context on mango origin, global production, India’s production share, and international trade trends, supported by references. The background is rich and logically structured, though some historical details could be shortened to focus more on the trade and competitiveness problem.</w:t>
            </w:r>
          </w:p>
        </w:tc>
        <w:tc>
          <w:tcPr>
            <w:tcW w:w="1367" w:type="pct"/>
          </w:tcPr>
          <w:p w:rsidR="008F1B16" w:rsidRPr="00107C72" w:rsidRDefault="00DD7E46" w:rsidP="00DD7E46">
            <w:pPr>
              <w:pStyle w:val="Heading2"/>
              <w:jc w:val="left"/>
              <w:rPr>
                <w:rFonts w:ascii="Times New Roman" w:hAnsi="Times New Roman"/>
                <w:b w:val="0"/>
                <w:lang w:val="en-GB" w:eastAsia="en-US"/>
              </w:rPr>
            </w:pPr>
            <w:r w:rsidRPr="00DD7E46">
              <w:rPr>
                <w:rFonts w:ascii="Times New Roman" w:hAnsi="Times New Roman"/>
                <w:b w:val="0"/>
                <w:lang w:val="en-GB" w:eastAsia="en-US"/>
              </w:rPr>
              <w:t xml:space="preserve">Thank you for the constructive suggestion. </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4 (Good)</w:t>
            </w:r>
          </w:p>
          <w:p w:rsidR="008F1B16" w:rsidRPr="0065161E" w:rsidRDefault="0065161E" w:rsidP="0065161E">
            <w:pPr>
              <w:rPr>
                <w:bCs/>
                <w:sz w:val="20"/>
                <w:szCs w:val="20"/>
                <w:lang w:val="en-GB"/>
              </w:rPr>
            </w:pPr>
            <w:r w:rsidRPr="0065161E">
              <w:rPr>
                <w:bCs/>
                <w:sz w:val="20"/>
                <w:szCs w:val="20"/>
                <w:lang w:val="en-GB"/>
              </w:rPr>
              <w:t>The objectives—to analyse trade composition and growth of fresh mango varieties, assess India’s export competitiveness using RCA/RSCA, and evaluate market concentration via HHI—are clearly implied and traceable in the methodology and results sections, even if not formulated as numbered objectives or hypotheses.</w:t>
            </w:r>
          </w:p>
        </w:tc>
        <w:tc>
          <w:tcPr>
            <w:tcW w:w="1367" w:type="pct"/>
          </w:tcPr>
          <w:p w:rsidR="008F1B16" w:rsidRPr="00107C72" w:rsidRDefault="00DD7E46">
            <w:pPr>
              <w:pStyle w:val="Heading2"/>
              <w:jc w:val="left"/>
              <w:rPr>
                <w:rFonts w:ascii="Times New Roman" w:hAnsi="Times New Roman"/>
                <w:b w:val="0"/>
                <w:lang w:val="en-GB" w:eastAsia="en-US"/>
              </w:rPr>
            </w:pPr>
            <w:r w:rsidRPr="00FF3BF1">
              <w:rPr>
                <w:rFonts w:ascii="Times New Roman" w:hAnsi="Times New Roman"/>
                <w:b w:val="0"/>
                <w:lang w:val="en-GB" w:eastAsia="en-US"/>
              </w:rPr>
              <w:t>We thank the reviewer for this observation. The objectives have now been explicitly stated in a separate section in a clear and structured manner for better readability.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4 (Good)</w:t>
            </w:r>
          </w:p>
          <w:p w:rsidR="008F1B16" w:rsidRPr="0065161E" w:rsidRDefault="0065161E" w:rsidP="0065161E">
            <w:pPr>
              <w:rPr>
                <w:bCs/>
                <w:sz w:val="20"/>
                <w:szCs w:val="20"/>
                <w:lang w:val="en-GB"/>
              </w:rPr>
            </w:pPr>
            <w:r w:rsidRPr="0065161E">
              <w:rPr>
                <w:bCs/>
                <w:sz w:val="20"/>
                <w:szCs w:val="20"/>
                <w:lang w:val="en-GB"/>
              </w:rPr>
              <w:t>The manuscript cites relevant work on mango production, global trade, export competitiveness and agricultural export composition, including recent FAO/FAOSTAT and related studies. It is adequate and pertinent, though there is scope to incorporate a few more recent empirical studies specifically on mango export competitiveness.</w:t>
            </w:r>
          </w:p>
        </w:tc>
        <w:tc>
          <w:tcPr>
            <w:tcW w:w="1367" w:type="pct"/>
          </w:tcPr>
          <w:p w:rsidR="008F1B16" w:rsidRPr="00107C72" w:rsidRDefault="00DD7E46">
            <w:pPr>
              <w:pStyle w:val="Heading2"/>
              <w:jc w:val="left"/>
              <w:rPr>
                <w:rFonts w:ascii="Times New Roman" w:hAnsi="Times New Roman"/>
                <w:b w:val="0"/>
                <w:lang w:val="en-GB" w:eastAsia="en-US"/>
              </w:rPr>
            </w:pPr>
            <w:r w:rsidRPr="00FF3BF1">
              <w:rPr>
                <w:rFonts w:ascii="Times New Roman" w:hAnsi="Times New Roman"/>
                <w:b w:val="0"/>
                <w:lang w:val="en-GB" w:eastAsia="en-US"/>
              </w:rPr>
              <w:t>Thank you for the valuable input. Additional recent studies related to mango export competitiveness and horticultural trade have been incorporated to strengthen the literature review.</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5 (Excellent)</w:t>
            </w:r>
          </w:p>
          <w:p w:rsidR="008F1B16" w:rsidRPr="0065161E" w:rsidRDefault="0065161E" w:rsidP="0065161E">
            <w:pPr>
              <w:rPr>
                <w:bCs/>
                <w:sz w:val="20"/>
                <w:szCs w:val="20"/>
                <w:lang w:val="en-GB"/>
              </w:rPr>
            </w:pPr>
            <w:r w:rsidRPr="0065161E">
              <w:rPr>
                <w:bCs/>
                <w:sz w:val="20"/>
                <w:szCs w:val="20"/>
                <w:lang w:val="en-GB"/>
              </w:rPr>
              <w:t>The use of descriptive statistics, Balassa’s RCA, RSCA, and Herfindahl–Hirschman Index is methodologically sound and standard for analysing export performance, comparative advantage, and market concentration in agricultural trade. The chosen tools are well matched to the research questions and data structure.</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The authors are grateful for the positive feedback. No changes were required as the methodology is appropriate and aligned with the study objectives.</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N/A (Not Applicable)</w:t>
            </w:r>
          </w:p>
          <w:p w:rsidR="008F1B16" w:rsidRPr="0065161E" w:rsidRDefault="0065161E" w:rsidP="0065161E">
            <w:pPr>
              <w:rPr>
                <w:bCs/>
                <w:sz w:val="20"/>
                <w:szCs w:val="20"/>
                <w:lang w:val="en-GB"/>
              </w:rPr>
            </w:pPr>
            <w:r w:rsidRPr="0065161E">
              <w:rPr>
                <w:bCs/>
                <w:sz w:val="20"/>
                <w:szCs w:val="20"/>
                <w:lang w:val="en-GB"/>
              </w:rPr>
              <w:t>The study is entirely based on secondary data from official sources and does not involve human or animal subjects, experiments, or primary surveys; therefore, explicit ethical procedures are not applicable in this context.</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As suggested, a statement has been added in the manuscript clarifying that the study is based entirely on secondary data sources and does not involve any ethical concerns.</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 xml:space="preserve">9. Are the results presented clearly?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4 (Good)</w:t>
            </w:r>
          </w:p>
          <w:p w:rsidR="008F1B16" w:rsidRPr="0065161E" w:rsidRDefault="0065161E" w:rsidP="0065161E">
            <w:pPr>
              <w:pStyle w:val="ListParagraph"/>
              <w:ind w:left="0"/>
              <w:rPr>
                <w:bCs/>
                <w:sz w:val="20"/>
                <w:szCs w:val="20"/>
                <w:lang w:val="en-GB"/>
              </w:rPr>
            </w:pPr>
            <w:r w:rsidRPr="0065161E">
              <w:rPr>
                <w:bCs/>
                <w:sz w:val="20"/>
                <w:szCs w:val="20"/>
                <w:lang w:val="en-GB"/>
              </w:rPr>
              <w:t xml:space="preserve">Results are presented in a logical order: varietal growth in volume and value (Tables 1–4), competitiveness indicators over time (Table 5), market shares of importing countries (Table 6), and HHI-based concentration (Table 7). The narrative clearly explains key trends such as the rise of Kesar and </w:t>
            </w:r>
            <w:proofErr w:type="spellStart"/>
            <w:r w:rsidRPr="0065161E">
              <w:rPr>
                <w:bCs/>
                <w:sz w:val="20"/>
                <w:szCs w:val="20"/>
                <w:lang w:val="en-GB"/>
              </w:rPr>
              <w:t>Chausa</w:t>
            </w:r>
            <w:proofErr w:type="spellEnd"/>
            <w:r w:rsidRPr="0065161E">
              <w:rPr>
                <w:bCs/>
                <w:sz w:val="20"/>
                <w:szCs w:val="20"/>
                <w:lang w:val="en-GB"/>
              </w:rPr>
              <w:t>, decline of Alphonso, and declining RCA, although a few sentences could be streamlined for even greater clarity.</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 xml:space="preserve">The authors are grateful for the positive feedback. </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10. Are tables and figures clear, relevant, and necessary?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4 (Good)</w:t>
            </w:r>
          </w:p>
          <w:p w:rsidR="008F1B16" w:rsidRPr="00107C72" w:rsidRDefault="0065161E" w:rsidP="0065161E">
            <w:pPr>
              <w:pStyle w:val="ListParagraph"/>
              <w:ind w:left="0"/>
              <w:rPr>
                <w:bCs/>
                <w:sz w:val="20"/>
                <w:szCs w:val="20"/>
                <w:lang w:val="en-GB"/>
              </w:rPr>
            </w:pPr>
            <w:r w:rsidRPr="0065161E">
              <w:rPr>
                <w:bCs/>
                <w:sz w:val="20"/>
                <w:szCs w:val="20"/>
                <w:lang w:val="en-GB"/>
              </w:rPr>
              <w:t>The tables provide detailed varietal breakdowns, growth rates, competitiveness indices, and market concentration measures that are essential for supporting the conclusions. The figures summarizing percentage shares by variety and value are relevant and helpful, though consistent formatting and clearer labelling of axes and units would further improve presentation.</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 xml:space="preserve">The authors are grateful for the positive feedback. </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11. Does the discussion relate findings to existing literature?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3 (Satisfactory)</w:t>
            </w:r>
          </w:p>
          <w:p w:rsidR="008F1B16" w:rsidRPr="00107C72" w:rsidRDefault="0065161E" w:rsidP="0065161E">
            <w:pPr>
              <w:pStyle w:val="ListParagraph"/>
              <w:ind w:left="0"/>
              <w:rPr>
                <w:bCs/>
                <w:sz w:val="20"/>
                <w:szCs w:val="20"/>
                <w:lang w:val="en-GB"/>
              </w:rPr>
            </w:pPr>
            <w:r w:rsidRPr="0065161E">
              <w:rPr>
                <w:bCs/>
                <w:sz w:val="20"/>
                <w:szCs w:val="20"/>
                <w:lang w:val="en-GB"/>
              </w:rPr>
              <w:t xml:space="preserve">The discussion occasionally links the findings (e.g., declining comparative advantage and export composition) to previous studies such as </w:t>
            </w:r>
            <w:proofErr w:type="spellStart"/>
            <w:r w:rsidRPr="0065161E">
              <w:rPr>
                <w:bCs/>
                <w:sz w:val="20"/>
                <w:szCs w:val="20"/>
                <w:lang w:val="en-GB"/>
              </w:rPr>
              <w:t>Dastagiri</w:t>
            </w:r>
            <w:proofErr w:type="spellEnd"/>
            <w:r w:rsidRPr="0065161E">
              <w:rPr>
                <w:bCs/>
                <w:sz w:val="20"/>
                <w:szCs w:val="20"/>
                <w:lang w:val="en-GB"/>
              </w:rPr>
              <w:t xml:space="preserve"> et al. (2013) and Thomas and Sheikh (2011). However, these comparisons are relatively brief, and the integration with existing literature could be more systematic</w:t>
            </w:r>
          </w:p>
        </w:tc>
        <w:tc>
          <w:tcPr>
            <w:tcW w:w="1367" w:type="pct"/>
          </w:tcPr>
          <w:p w:rsidR="008F1B16" w:rsidRPr="00107C72" w:rsidRDefault="00DD7E46">
            <w:pPr>
              <w:pStyle w:val="Heading2"/>
              <w:jc w:val="left"/>
              <w:rPr>
                <w:rFonts w:ascii="Times New Roman" w:hAnsi="Times New Roman"/>
                <w:b w:val="0"/>
                <w:lang w:val="en-GB" w:eastAsia="en-US"/>
              </w:rPr>
            </w:pPr>
            <w:r w:rsidRPr="00FF3BF1">
              <w:rPr>
                <w:rFonts w:ascii="Times New Roman" w:hAnsi="Times New Roman"/>
                <w:b w:val="0"/>
                <w:lang w:val="en-GB" w:eastAsia="en-US"/>
              </w:rPr>
              <w:t>Thank you for the insightful comment. The discussion section has been strengthened by incorporating more comparisons with existing literature and highlighting similarities and deviations from previous findings.</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12. Are the conclusions supported by the data?</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5 (Excellent)</w:t>
            </w:r>
          </w:p>
          <w:p w:rsidR="008F1B16" w:rsidRPr="00107C72" w:rsidRDefault="0065161E" w:rsidP="0065161E">
            <w:pPr>
              <w:pStyle w:val="ListParagraph"/>
              <w:ind w:left="0"/>
              <w:rPr>
                <w:bCs/>
                <w:sz w:val="20"/>
                <w:szCs w:val="20"/>
                <w:lang w:val="en-GB"/>
              </w:rPr>
            </w:pPr>
            <w:r w:rsidRPr="0065161E">
              <w:rPr>
                <w:bCs/>
                <w:sz w:val="20"/>
                <w:szCs w:val="20"/>
                <w:lang w:val="en-GB"/>
              </w:rPr>
              <w:t>The conclusions about uneven varietal performance, dominance of “Other Mangoes”, weakening comparative advantage (RCA/RSCA), and high market concentration in favour of the UAE are directly supported by the empirical evidence in Tables 1–7. The recommended need for diversification, quality improvement, and market expansion follows logically from the presented results</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The authors thank the reviewer for the positive assessment. No major changes were required as conclusions are well supported by the data.</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13. Are the limitations of the study discussed?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rsidR="0065161E" w:rsidRPr="0065161E" w:rsidRDefault="0065161E" w:rsidP="0065161E">
            <w:pPr>
              <w:rPr>
                <w:bCs/>
                <w:sz w:val="20"/>
                <w:szCs w:val="20"/>
                <w:lang w:val="en-GB"/>
              </w:rPr>
            </w:pPr>
            <w:r w:rsidRPr="0065161E">
              <w:rPr>
                <w:bCs/>
                <w:sz w:val="20"/>
                <w:szCs w:val="20"/>
                <w:lang w:val="en-GB"/>
              </w:rPr>
              <w:lastRenderedPageBreak/>
              <w:t>Rating: 3 (Satisfactory)</w:t>
            </w:r>
          </w:p>
          <w:p w:rsidR="008F1B16" w:rsidRPr="00107C72" w:rsidRDefault="0065161E" w:rsidP="0065161E">
            <w:pPr>
              <w:pStyle w:val="ListParagraph"/>
              <w:ind w:left="0"/>
              <w:rPr>
                <w:bCs/>
                <w:sz w:val="20"/>
                <w:szCs w:val="20"/>
                <w:lang w:val="en-GB"/>
              </w:rPr>
            </w:pPr>
            <w:r w:rsidRPr="0065161E">
              <w:rPr>
                <w:bCs/>
                <w:sz w:val="20"/>
                <w:szCs w:val="20"/>
                <w:lang w:val="en-GB"/>
              </w:rPr>
              <w:t xml:space="preserve">The manuscript alludes to constraints such as limited years of varietal data and reliance on secondary sources, </w:t>
            </w:r>
            <w:r w:rsidRPr="0065161E">
              <w:rPr>
                <w:bCs/>
                <w:sz w:val="20"/>
                <w:szCs w:val="20"/>
                <w:lang w:val="en-GB"/>
              </w:rPr>
              <w:lastRenderedPageBreak/>
              <w:t>but these limitations are not elaborated in a dedicated section. A more explicit statement of limitations (e.g., exclusion of price/competitiveness on cost side, focus only on fresh and not processed mangoes) would strengthen the methodological transparency</w:t>
            </w:r>
            <w:r>
              <w:rPr>
                <w:bCs/>
                <w:sz w:val="20"/>
                <w:szCs w:val="20"/>
                <w:lang w:val="en-GB"/>
              </w:rPr>
              <w:t>.</w:t>
            </w:r>
          </w:p>
        </w:tc>
        <w:tc>
          <w:tcPr>
            <w:tcW w:w="1367" w:type="pct"/>
          </w:tcPr>
          <w:p w:rsidR="00F13984" w:rsidRPr="00107C72" w:rsidRDefault="00DD7E46" w:rsidP="00F13984">
            <w:pPr>
              <w:pStyle w:val="Heading2"/>
              <w:rPr>
                <w:rFonts w:ascii="Times New Roman" w:hAnsi="Times New Roman"/>
                <w:b w:val="0"/>
                <w:lang w:val="en-GB" w:eastAsia="en-US"/>
              </w:rPr>
            </w:pPr>
            <w:r w:rsidRPr="00DD7E46">
              <w:rPr>
                <w:rFonts w:ascii="Times New Roman" w:hAnsi="Times New Roman"/>
                <w:b w:val="0"/>
                <w:lang w:val="en-GB" w:eastAsia="en-US"/>
              </w:rPr>
              <w:lastRenderedPageBreak/>
              <w:t xml:space="preserve">We appreciate this important suggestion. </w:t>
            </w:r>
            <w:r w:rsidR="00F13984">
              <w:rPr>
                <w:rFonts w:ascii="Times New Roman" w:hAnsi="Times New Roman"/>
                <w:b w:val="0"/>
                <w:lang w:val="en-GB" w:eastAsia="en-US"/>
              </w:rPr>
              <w:t>Not applicable.</w:t>
            </w:r>
          </w:p>
          <w:p w:rsidR="008F1B16" w:rsidRPr="00107C72" w:rsidRDefault="008F1B16" w:rsidP="00DD7E46">
            <w:pPr>
              <w:pStyle w:val="Heading2"/>
              <w:jc w:val="left"/>
              <w:rPr>
                <w:rFonts w:ascii="Times New Roman" w:hAnsi="Times New Roman"/>
                <w:b w:val="0"/>
                <w:lang w:val="en-GB" w:eastAsia="en-US"/>
              </w:rPr>
            </w:pP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14. Are the references relevant and sufficient (in number)?</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4 (Good)</w:t>
            </w:r>
          </w:p>
          <w:p w:rsidR="008F1B16" w:rsidRPr="00107C72" w:rsidRDefault="0065161E" w:rsidP="0065161E">
            <w:pPr>
              <w:pStyle w:val="ListParagraph"/>
              <w:ind w:left="0"/>
              <w:rPr>
                <w:bCs/>
                <w:sz w:val="20"/>
                <w:szCs w:val="20"/>
                <w:lang w:val="en-GB"/>
              </w:rPr>
            </w:pPr>
            <w:r w:rsidRPr="0065161E">
              <w:rPr>
                <w:bCs/>
                <w:sz w:val="20"/>
                <w:szCs w:val="20"/>
                <w:lang w:val="en-GB"/>
              </w:rPr>
              <w:t>The references include key scientific and institutional sources relevant to mango production, trade, and competitiveness, and they adequately support the conceptual and empirical framework. While sufficient in number, adding a few more recent empirical studies on horticultural export competitiveness could further reinforce the reference base.</w:t>
            </w:r>
          </w:p>
        </w:tc>
        <w:tc>
          <w:tcPr>
            <w:tcW w:w="1367" w:type="pct"/>
          </w:tcPr>
          <w:p w:rsidR="008F1B16" w:rsidRPr="00107C72" w:rsidRDefault="00DD7E46">
            <w:pPr>
              <w:pStyle w:val="Heading2"/>
              <w:jc w:val="left"/>
              <w:rPr>
                <w:rFonts w:ascii="Times New Roman" w:hAnsi="Times New Roman"/>
                <w:b w:val="0"/>
                <w:lang w:val="en-GB" w:eastAsia="en-US"/>
              </w:rPr>
            </w:pPr>
            <w:r w:rsidRPr="00DD7E46">
              <w:rPr>
                <w:rFonts w:ascii="Times New Roman" w:hAnsi="Times New Roman"/>
                <w:b w:val="0"/>
                <w:lang w:val="en-GB" w:eastAsia="en-US"/>
              </w:rPr>
              <w:t>Thank you for the suggestion. Additional recent and relevant references have been included to further strengthen the manuscript.</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15. Is the manuscript written in clear and understandable language?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5161E" w:rsidRPr="0065161E" w:rsidRDefault="0065161E" w:rsidP="0065161E">
            <w:pPr>
              <w:rPr>
                <w:bCs/>
                <w:sz w:val="20"/>
                <w:szCs w:val="20"/>
                <w:lang w:val="en-GB"/>
              </w:rPr>
            </w:pPr>
            <w:r w:rsidRPr="0065161E">
              <w:rPr>
                <w:bCs/>
                <w:sz w:val="20"/>
                <w:szCs w:val="20"/>
                <w:lang w:val="en-GB"/>
              </w:rPr>
              <w:t>Rating: 4 (Good)</w:t>
            </w:r>
          </w:p>
          <w:p w:rsidR="008F1B16" w:rsidRPr="00107C72" w:rsidRDefault="0065161E" w:rsidP="0065161E">
            <w:pPr>
              <w:pStyle w:val="ListParagraph"/>
              <w:ind w:left="0"/>
              <w:rPr>
                <w:bCs/>
                <w:sz w:val="20"/>
                <w:szCs w:val="20"/>
                <w:lang w:val="en-GB"/>
              </w:rPr>
            </w:pPr>
            <w:r w:rsidRPr="0065161E">
              <w:rPr>
                <w:bCs/>
                <w:sz w:val="20"/>
                <w:szCs w:val="20"/>
                <w:lang w:val="en-GB"/>
              </w:rPr>
              <w:t>The manuscript is generally written in clear, scholarly language suitable for agribusiness and agricultural economics audiences, with appropriate technical terminology. There are a few long or slightly awkward sentences, especially in the introduction and abstract, but these are minor and can be corrected through light language editing.</w:t>
            </w:r>
          </w:p>
        </w:tc>
        <w:tc>
          <w:tcPr>
            <w:tcW w:w="1367" w:type="pct"/>
          </w:tcPr>
          <w:p w:rsidR="008F1B16" w:rsidRPr="00107C72" w:rsidRDefault="0034256F">
            <w:pPr>
              <w:pStyle w:val="Heading2"/>
              <w:jc w:val="left"/>
              <w:rPr>
                <w:rFonts w:ascii="Times New Roman" w:hAnsi="Times New Roman"/>
                <w:b w:val="0"/>
                <w:lang w:val="en-GB" w:eastAsia="en-US"/>
              </w:rPr>
            </w:pPr>
            <w:r w:rsidRPr="0034256F">
              <w:rPr>
                <w:rFonts w:ascii="Times New Roman" w:hAnsi="Times New Roman"/>
                <w:b w:val="0"/>
                <w:lang w:val="en-GB" w:eastAsia="en-US"/>
              </w:rPr>
              <w:t>The manuscript has been carefully edited to improve language, remove grammatical errors, and enhance overall readability.</w:t>
            </w:r>
          </w:p>
        </w:tc>
      </w:tr>
    </w:tbl>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F1B16"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8F1B16" w:rsidRPr="00107C72" w:rsidRDefault="008F1B16">
            <w:pPr>
              <w:pStyle w:val="NormalWeb"/>
              <w:spacing w:before="0" w:beforeAutospacing="0" w:after="0" w:afterAutospacing="0"/>
              <w:rPr>
                <w:rFonts w:ascii="Times New Roman" w:hAnsi="Times New Roman" w:cs="Times New Roman"/>
                <w:b/>
                <w:bCs/>
                <w:sz w:val="20"/>
                <w:szCs w:val="20"/>
                <w:u w:val="single"/>
                <w:lang w:val="en-GB"/>
              </w:rPr>
            </w:pPr>
          </w:p>
        </w:tc>
      </w:tr>
      <w:tr w:rsidR="008F1B16" w:rsidRPr="00107C72" w:rsidTr="00107C72">
        <w:tc>
          <w:tcPr>
            <w:tcW w:w="2784" w:type="pct"/>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F1B16" w:rsidRPr="00107C72" w:rsidTr="00107C72">
        <w:tc>
          <w:tcPr>
            <w:tcW w:w="2784" w:type="pct"/>
            <w:noWrap/>
            <w:tcMar>
              <w:top w:w="0" w:type="dxa"/>
              <w:left w:w="108" w:type="dxa"/>
              <w:bottom w:w="0" w:type="dxa"/>
              <w:right w:w="108" w:type="dxa"/>
            </w:tcMar>
            <w:vAlign w:val="center"/>
          </w:tcPr>
          <w:p w:rsidR="008F1B16" w:rsidRPr="00107C72" w:rsidRDefault="008F1B16">
            <w:pPr>
              <w:pStyle w:val="NormalWeb"/>
              <w:spacing w:before="0" w:beforeAutospacing="0" w:after="0" w:afterAutospacing="0"/>
              <w:rPr>
                <w:rFonts w:ascii="Times New Roman" w:hAnsi="Times New Roman" w:cs="Times New Roman"/>
                <w:sz w:val="20"/>
                <w:szCs w:val="20"/>
                <w:lang w:val="en-GB"/>
              </w:rPr>
            </w:pPr>
          </w:p>
          <w:p w:rsidR="00B92DEE" w:rsidRPr="000B3D68" w:rsidRDefault="00B92DEE" w:rsidP="00B92DEE">
            <w:pPr>
              <w:numPr>
                <w:ilvl w:val="0"/>
                <w:numId w:val="16"/>
              </w:numPr>
              <w:spacing w:line="259" w:lineRule="auto"/>
              <w:jc w:val="both"/>
              <w:rPr>
                <w:sz w:val="20"/>
                <w:szCs w:val="20"/>
              </w:rPr>
            </w:pPr>
            <w:r w:rsidRPr="000B3D68">
              <w:rPr>
                <w:sz w:val="20"/>
                <w:szCs w:val="20"/>
              </w:rPr>
              <w:t>Title: The title is clear, specific, and accurately reflects the main focus on export composition and competitiveness of India’s fresh mangoes in the global market.</w:t>
            </w:r>
          </w:p>
          <w:p w:rsidR="00B92DEE" w:rsidRPr="000B3D68" w:rsidRDefault="00B92DEE" w:rsidP="00B92DEE">
            <w:pPr>
              <w:numPr>
                <w:ilvl w:val="0"/>
                <w:numId w:val="16"/>
              </w:numPr>
              <w:spacing w:line="259" w:lineRule="auto"/>
              <w:jc w:val="both"/>
              <w:rPr>
                <w:sz w:val="20"/>
                <w:szCs w:val="20"/>
              </w:rPr>
            </w:pPr>
            <w:r w:rsidRPr="000B3D68">
              <w:rPr>
                <w:sz w:val="20"/>
                <w:szCs w:val="20"/>
              </w:rPr>
              <w:t>Abstract: The abstract captures the study period, data sources, main varietal trends, and key findings on growth, competitiveness, and market concentration, though the methods could be named more explicitly.</w:t>
            </w:r>
          </w:p>
          <w:p w:rsidR="00B92DEE" w:rsidRPr="000B3D68" w:rsidRDefault="00B92DEE" w:rsidP="00B92DEE">
            <w:pPr>
              <w:numPr>
                <w:ilvl w:val="0"/>
                <w:numId w:val="16"/>
              </w:numPr>
              <w:spacing w:line="259" w:lineRule="auto"/>
              <w:jc w:val="both"/>
              <w:rPr>
                <w:sz w:val="20"/>
                <w:szCs w:val="20"/>
              </w:rPr>
            </w:pPr>
            <w:r w:rsidRPr="000B3D68">
              <w:rPr>
                <w:sz w:val="20"/>
                <w:szCs w:val="20"/>
              </w:rPr>
              <w:t>Keywords: The keywords are well chosen, aligned with the core analytical themes of the paper, and suitable for indexing in agribusiness and agricultural economics databases.</w:t>
            </w:r>
          </w:p>
          <w:p w:rsidR="00B92DEE" w:rsidRPr="000B3D68" w:rsidRDefault="00B92DEE" w:rsidP="00B92DEE">
            <w:pPr>
              <w:numPr>
                <w:ilvl w:val="0"/>
                <w:numId w:val="16"/>
              </w:numPr>
              <w:spacing w:line="259" w:lineRule="auto"/>
              <w:jc w:val="both"/>
              <w:rPr>
                <w:sz w:val="20"/>
                <w:szCs w:val="20"/>
              </w:rPr>
            </w:pPr>
            <w:r w:rsidRPr="000B3D68">
              <w:rPr>
                <w:sz w:val="20"/>
                <w:szCs w:val="20"/>
              </w:rPr>
              <w:t>Background information: The background provides sufficient global and national context on mango production and trade; however, a modest tightening of the historical narrative would sharpen the focus on the trade problem.</w:t>
            </w:r>
          </w:p>
          <w:p w:rsidR="00B92DEE" w:rsidRPr="000B3D68" w:rsidRDefault="00B92DEE" w:rsidP="00B92DEE">
            <w:pPr>
              <w:numPr>
                <w:ilvl w:val="0"/>
                <w:numId w:val="16"/>
              </w:numPr>
              <w:spacing w:line="259" w:lineRule="auto"/>
              <w:jc w:val="both"/>
              <w:rPr>
                <w:sz w:val="20"/>
                <w:szCs w:val="20"/>
              </w:rPr>
            </w:pPr>
            <w:r w:rsidRPr="000B3D68">
              <w:rPr>
                <w:sz w:val="20"/>
                <w:szCs w:val="20"/>
              </w:rPr>
              <w:t>Research objectives/hypotheses: The objectives of analyzing varietal export composition, competitiveness (RCA/RSCA), and market concentration (HHI) are clear, but could be presented more explicitly as formal objectives or hypotheses.</w:t>
            </w:r>
          </w:p>
          <w:p w:rsidR="00B92DEE" w:rsidRPr="000B3D68" w:rsidRDefault="00B92DEE" w:rsidP="00B92DEE">
            <w:pPr>
              <w:numPr>
                <w:ilvl w:val="0"/>
                <w:numId w:val="16"/>
              </w:numPr>
              <w:spacing w:line="259" w:lineRule="auto"/>
              <w:jc w:val="both"/>
              <w:rPr>
                <w:sz w:val="20"/>
                <w:szCs w:val="20"/>
              </w:rPr>
            </w:pPr>
            <w:r w:rsidRPr="000B3D68">
              <w:rPr>
                <w:sz w:val="20"/>
                <w:szCs w:val="20"/>
              </w:rPr>
              <w:t>Literature review: The literature cited is relevant and generally up to date for the topic, although the discussion could engage more directly with recent empirical work on mango export competitiveness.</w:t>
            </w:r>
          </w:p>
          <w:p w:rsidR="00B92DEE" w:rsidRPr="000B3D68" w:rsidRDefault="00B92DEE" w:rsidP="00B92DEE">
            <w:pPr>
              <w:numPr>
                <w:ilvl w:val="0"/>
                <w:numId w:val="16"/>
              </w:numPr>
              <w:spacing w:line="259" w:lineRule="auto"/>
              <w:jc w:val="both"/>
              <w:rPr>
                <w:sz w:val="20"/>
                <w:szCs w:val="20"/>
              </w:rPr>
            </w:pPr>
            <w:r w:rsidRPr="000B3D68">
              <w:rPr>
                <w:sz w:val="20"/>
                <w:szCs w:val="20"/>
              </w:rPr>
              <w:t>Research methodology: The combination of descriptive statistics with RCA, RSCA, and HHI is methodologically appropriate and consistent with standard practice in trade and agricultural economics.</w:t>
            </w:r>
          </w:p>
          <w:p w:rsidR="00B92DEE" w:rsidRPr="000B3D68" w:rsidRDefault="00B92DEE" w:rsidP="00B92DEE">
            <w:pPr>
              <w:numPr>
                <w:ilvl w:val="0"/>
                <w:numId w:val="16"/>
              </w:numPr>
              <w:spacing w:line="259" w:lineRule="auto"/>
              <w:jc w:val="both"/>
              <w:rPr>
                <w:sz w:val="20"/>
                <w:szCs w:val="20"/>
              </w:rPr>
            </w:pPr>
            <w:r w:rsidRPr="000B3D68">
              <w:rPr>
                <w:sz w:val="20"/>
                <w:szCs w:val="20"/>
              </w:rPr>
              <w:t>Ethical issues: The study is based entirely on secondary data from recognized institutions, so no ethical concerns arise; an explicit statement to this effect could be added for completeness.</w:t>
            </w:r>
          </w:p>
          <w:p w:rsidR="00B92DEE" w:rsidRPr="000B3D68" w:rsidRDefault="00B92DEE" w:rsidP="00B92DEE">
            <w:pPr>
              <w:numPr>
                <w:ilvl w:val="0"/>
                <w:numId w:val="16"/>
              </w:numPr>
              <w:spacing w:line="259" w:lineRule="auto"/>
              <w:jc w:val="both"/>
              <w:rPr>
                <w:sz w:val="20"/>
                <w:szCs w:val="20"/>
              </w:rPr>
            </w:pPr>
            <w:r w:rsidRPr="000B3D68">
              <w:rPr>
                <w:sz w:val="20"/>
                <w:szCs w:val="20"/>
              </w:rPr>
              <w:t>Results presentation: Results are logically structured and clearly described, highlighting key varietal trends and changes in competitiveness, though some paragraphs could be slightly condensed for greater clarity.</w:t>
            </w:r>
          </w:p>
          <w:p w:rsidR="00B92DEE" w:rsidRPr="000B3D68" w:rsidRDefault="00B92DEE" w:rsidP="00B92DEE">
            <w:pPr>
              <w:numPr>
                <w:ilvl w:val="0"/>
                <w:numId w:val="16"/>
              </w:numPr>
              <w:spacing w:line="259" w:lineRule="auto"/>
              <w:jc w:val="both"/>
              <w:rPr>
                <w:sz w:val="20"/>
                <w:szCs w:val="20"/>
              </w:rPr>
            </w:pPr>
            <w:r w:rsidRPr="000B3D68">
              <w:rPr>
                <w:sz w:val="20"/>
                <w:szCs w:val="20"/>
              </w:rPr>
              <w:t>Tables and figures: Tables and figures are relevant, necessary, and generally well-constructed, effectively supporting the text; minor improvements in formatting and labelling would further enhance readability.</w:t>
            </w:r>
          </w:p>
          <w:p w:rsidR="00B92DEE" w:rsidRPr="000B3D68" w:rsidRDefault="00B92DEE" w:rsidP="00B92DEE">
            <w:pPr>
              <w:numPr>
                <w:ilvl w:val="0"/>
                <w:numId w:val="16"/>
              </w:numPr>
              <w:spacing w:line="259" w:lineRule="auto"/>
              <w:jc w:val="both"/>
              <w:rPr>
                <w:sz w:val="20"/>
                <w:szCs w:val="20"/>
              </w:rPr>
            </w:pPr>
            <w:r w:rsidRPr="000B3D68">
              <w:rPr>
                <w:sz w:val="20"/>
                <w:szCs w:val="20"/>
              </w:rPr>
              <w:t>Discussion and linkage to literature: The discussion touches on existing literature and notes areas of agreement, but the linkage to previous studies could be deepened to better situate the findings within the broader empirical debate.</w:t>
            </w:r>
          </w:p>
          <w:p w:rsidR="00B92DEE" w:rsidRPr="000B3D68" w:rsidRDefault="00B92DEE" w:rsidP="00B92DEE">
            <w:pPr>
              <w:numPr>
                <w:ilvl w:val="0"/>
                <w:numId w:val="16"/>
              </w:numPr>
              <w:spacing w:line="259" w:lineRule="auto"/>
              <w:jc w:val="both"/>
              <w:rPr>
                <w:sz w:val="20"/>
                <w:szCs w:val="20"/>
              </w:rPr>
            </w:pPr>
            <w:r w:rsidRPr="000B3D68">
              <w:rPr>
                <w:sz w:val="20"/>
                <w:szCs w:val="20"/>
              </w:rPr>
              <w:t>Conclusions and data support: The conclusions are consistent with and well supported by the empirical evidence on varietal performance, RCA/RSCA trends, market shares, and HHI values.</w:t>
            </w:r>
          </w:p>
          <w:p w:rsidR="00B92DEE" w:rsidRPr="000B3D68" w:rsidRDefault="00B92DEE" w:rsidP="00B92DEE">
            <w:pPr>
              <w:numPr>
                <w:ilvl w:val="0"/>
                <w:numId w:val="16"/>
              </w:numPr>
              <w:spacing w:line="259" w:lineRule="auto"/>
              <w:jc w:val="both"/>
              <w:rPr>
                <w:sz w:val="20"/>
                <w:szCs w:val="20"/>
              </w:rPr>
            </w:pPr>
            <w:r w:rsidRPr="000B3D68">
              <w:rPr>
                <w:sz w:val="20"/>
                <w:szCs w:val="20"/>
              </w:rPr>
              <w:t>Limitations: Study limitations are only briefly implied; a short, explicit statement on data constraints and scope (e.g., fresh versus processed, cost/price aspects) would strengthen transparency.</w:t>
            </w:r>
          </w:p>
          <w:p w:rsidR="00B92DEE" w:rsidRPr="000B3D68" w:rsidRDefault="00B92DEE" w:rsidP="00B92DEE">
            <w:pPr>
              <w:numPr>
                <w:ilvl w:val="0"/>
                <w:numId w:val="16"/>
              </w:numPr>
              <w:spacing w:line="259" w:lineRule="auto"/>
              <w:jc w:val="both"/>
              <w:rPr>
                <w:sz w:val="20"/>
                <w:szCs w:val="20"/>
              </w:rPr>
            </w:pPr>
            <w:r w:rsidRPr="000B3D68">
              <w:rPr>
                <w:sz w:val="20"/>
                <w:szCs w:val="20"/>
              </w:rPr>
              <w:t>References: References are adequate in number and appropriate in scope, drawing on both scientific and institutional sources, with some scope to incorporate a few more recent empirical studies.</w:t>
            </w:r>
          </w:p>
          <w:p w:rsidR="008F1B16" w:rsidRPr="00107C72" w:rsidRDefault="00B92DEE" w:rsidP="00E44E84">
            <w:pPr>
              <w:pStyle w:val="NormalWeb"/>
              <w:numPr>
                <w:ilvl w:val="0"/>
                <w:numId w:val="16"/>
              </w:numPr>
              <w:spacing w:before="0" w:beforeAutospacing="0" w:after="0" w:afterAutospacing="0"/>
              <w:rPr>
                <w:rFonts w:ascii="Times New Roman" w:hAnsi="Times New Roman" w:cs="Times New Roman"/>
                <w:sz w:val="20"/>
                <w:szCs w:val="20"/>
                <w:lang w:val="en-GB"/>
              </w:rPr>
            </w:pPr>
            <w:r w:rsidRPr="00D42992">
              <w:rPr>
                <w:sz w:val="20"/>
                <w:szCs w:val="20"/>
              </w:rPr>
              <w:t>Language and clarity: The manuscript is written in generally clear and understandable language suitable for a scientific audience, with only minor stylistic and grammatical issues that could be corrected through light editing.</w:t>
            </w: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p w:rsidR="008F1B16" w:rsidRPr="00107C72" w:rsidRDefault="008F1B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F13984" w:rsidRPr="00F13984" w:rsidRDefault="00F13984" w:rsidP="00F13984">
            <w:pPr>
              <w:pStyle w:val="NormalWeb"/>
              <w:rPr>
                <w:rFonts w:ascii="Times New Roman" w:hAnsi="Times New Roman" w:cs="Times New Roman"/>
                <w:sz w:val="20"/>
                <w:szCs w:val="20"/>
                <w:lang w:val="en-GB"/>
              </w:rPr>
            </w:pPr>
            <w:r w:rsidRPr="00F13984">
              <w:rPr>
                <w:rFonts w:ascii="Times New Roman" w:hAnsi="Times New Roman" w:cs="Times New Roman"/>
                <w:sz w:val="20"/>
                <w:szCs w:val="20"/>
                <w:lang w:val="en-GB"/>
              </w:rPr>
              <w:t>The authors sincerely thank the editor and reviewer for the detailed and constructive comments. All suggested improvements have been carefully addressed, including:</w:t>
            </w:r>
          </w:p>
          <w:p w:rsidR="00F13984" w:rsidRPr="00F13984" w:rsidRDefault="00F13984" w:rsidP="00F13984">
            <w:pPr>
              <w:pStyle w:val="NormalWeb"/>
              <w:rPr>
                <w:rFonts w:ascii="Times New Roman" w:hAnsi="Times New Roman" w:cs="Times New Roman"/>
                <w:sz w:val="20"/>
                <w:szCs w:val="20"/>
                <w:lang w:val="en-GB"/>
              </w:rPr>
            </w:pPr>
            <w:r w:rsidRPr="00F13984">
              <w:rPr>
                <w:rFonts w:ascii="Times New Roman" w:hAnsi="Times New Roman" w:cs="Times New Roman"/>
                <w:sz w:val="20"/>
                <w:szCs w:val="20"/>
                <w:lang w:val="en-GB"/>
              </w:rPr>
              <w:t>Refinement of introduction and background</w:t>
            </w:r>
          </w:p>
          <w:p w:rsidR="00F13984" w:rsidRPr="00F13984" w:rsidRDefault="00F13984" w:rsidP="00F13984">
            <w:pPr>
              <w:pStyle w:val="NormalWeb"/>
              <w:rPr>
                <w:rFonts w:ascii="Times New Roman" w:hAnsi="Times New Roman" w:cs="Times New Roman"/>
                <w:sz w:val="20"/>
                <w:szCs w:val="20"/>
                <w:lang w:val="en-GB"/>
              </w:rPr>
            </w:pPr>
            <w:r w:rsidRPr="00F13984">
              <w:rPr>
                <w:rFonts w:ascii="Times New Roman" w:hAnsi="Times New Roman" w:cs="Times New Roman"/>
                <w:sz w:val="20"/>
                <w:szCs w:val="20"/>
                <w:lang w:val="en-GB"/>
              </w:rPr>
              <w:t>Clear presentation of research objectives</w:t>
            </w:r>
          </w:p>
          <w:p w:rsidR="00F13984" w:rsidRPr="00F13984" w:rsidRDefault="00F13984" w:rsidP="00F13984">
            <w:pPr>
              <w:pStyle w:val="NormalWeb"/>
              <w:rPr>
                <w:rFonts w:ascii="Times New Roman" w:hAnsi="Times New Roman" w:cs="Times New Roman"/>
                <w:sz w:val="20"/>
                <w:szCs w:val="20"/>
                <w:lang w:val="en-GB"/>
              </w:rPr>
            </w:pPr>
            <w:r w:rsidRPr="00F13984">
              <w:rPr>
                <w:rFonts w:ascii="Times New Roman" w:hAnsi="Times New Roman" w:cs="Times New Roman"/>
                <w:sz w:val="20"/>
                <w:szCs w:val="20"/>
                <w:lang w:val="en-GB"/>
              </w:rPr>
              <w:t>Strengthening of literature review</w:t>
            </w:r>
          </w:p>
          <w:p w:rsidR="00F13984" w:rsidRPr="00F13984" w:rsidRDefault="00F13984" w:rsidP="00F13984">
            <w:pPr>
              <w:pStyle w:val="NormalWeb"/>
              <w:rPr>
                <w:rFonts w:ascii="Times New Roman" w:hAnsi="Times New Roman" w:cs="Times New Roman"/>
                <w:sz w:val="20"/>
                <w:szCs w:val="20"/>
                <w:lang w:val="en-GB"/>
              </w:rPr>
            </w:pPr>
            <w:r w:rsidRPr="00F13984">
              <w:rPr>
                <w:rFonts w:ascii="Times New Roman" w:hAnsi="Times New Roman" w:cs="Times New Roman"/>
                <w:sz w:val="20"/>
                <w:szCs w:val="20"/>
                <w:lang w:val="en-GB"/>
              </w:rPr>
              <w:t>Enhanced discussion with better linkage to literature</w:t>
            </w:r>
          </w:p>
          <w:p w:rsidR="00F13984" w:rsidRPr="00F13984" w:rsidRDefault="00F13984" w:rsidP="00F13984">
            <w:pPr>
              <w:pStyle w:val="NormalWeb"/>
              <w:rPr>
                <w:rFonts w:ascii="Times New Roman" w:hAnsi="Times New Roman" w:cs="Times New Roman"/>
                <w:sz w:val="20"/>
                <w:szCs w:val="20"/>
                <w:lang w:val="en-GB"/>
              </w:rPr>
            </w:pPr>
            <w:r w:rsidRPr="00F13984">
              <w:rPr>
                <w:rFonts w:ascii="Times New Roman" w:hAnsi="Times New Roman" w:cs="Times New Roman"/>
                <w:sz w:val="20"/>
                <w:szCs w:val="20"/>
                <w:lang w:val="en-GB"/>
              </w:rPr>
              <w:t>Addition of a dedicated limitations section</w:t>
            </w:r>
          </w:p>
          <w:p w:rsidR="00F13984" w:rsidRPr="00F13984" w:rsidRDefault="00F13984" w:rsidP="00F13984">
            <w:pPr>
              <w:pStyle w:val="NormalWeb"/>
              <w:rPr>
                <w:rFonts w:ascii="Times New Roman" w:hAnsi="Times New Roman" w:cs="Times New Roman"/>
                <w:sz w:val="20"/>
                <w:szCs w:val="20"/>
                <w:lang w:val="en-GB"/>
              </w:rPr>
            </w:pPr>
            <w:r w:rsidRPr="00F13984">
              <w:rPr>
                <w:rFonts w:ascii="Times New Roman" w:hAnsi="Times New Roman" w:cs="Times New Roman"/>
                <w:sz w:val="20"/>
                <w:szCs w:val="20"/>
                <w:lang w:val="en-GB"/>
              </w:rPr>
              <w:t>Minor language and grammatical corrections</w:t>
            </w:r>
          </w:p>
          <w:p w:rsidR="00F13984" w:rsidRPr="00F13984" w:rsidRDefault="00F13984" w:rsidP="00F13984">
            <w:pPr>
              <w:pStyle w:val="NormalWeb"/>
              <w:rPr>
                <w:rFonts w:ascii="Times New Roman" w:hAnsi="Times New Roman" w:cs="Times New Roman"/>
                <w:sz w:val="20"/>
                <w:szCs w:val="20"/>
                <w:lang w:val="en-GB"/>
              </w:rPr>
            </w:pPr>
          </w:p>
          <w:p w:rsidR="008F1B16" w:rsidRPr="00107C72" w:rsidRDefault="00F13984" w:rsidP="00F13984">
            <w:pPr>
              <w:pStyle w:val="NormalWeb"/>
              <w:spacing w:before="0" w:beforeAutospacing="0" w:after="0" w:afterAutospacing="0"/>
              <w:rPr>
                <w:rFonts w:ascii="Times New Roman" w:hAnsi="Times New Roman" w:cs="Times New Roman"/>
                <w:b/>
                <w:bCs/>
                <w:sz w:val="20"/>
                <w:szCs w:val="20"/>
                <w:lang w:val="en-GB"/>
              </w:rPr>
            </w:pPr>
            <w:r w:rsidRPr="00F13984">
              <w:rPr>
                <w:rFonts w:ascii="Times New Roman" w:hAnsi="Times New Roman" w:cs="Times New Roman"/>
                <w:sz w:val="20"/>
                <w:szCs w:val="20"/>
                <w:lang w:val="en-GB"/>
              </w:rPr>
              <w:t>These revisions have significantly improved the clarity, rigor, and overall quality of the manuscript.</w:t>
            </w:r>
          </w:p>
        </w:tc>
      </w:tr>
    </w:tbl>
    <w:p w:rsidR="008F1B16" w:rsidRPr="00107C72" w:rsidRDefault="008F1B16" w:rsidP="008F1B16">
      <w:pPr>
        <w:rPr>
          <w:rFonts w:eastAsia="Arial Unicode MS"/>
          <w:b/>
          <w:bCs/>
          <w:sz w:val="20"/>
          <w:szCs w:val="20"/>
          <w:highlight w:val="yellow"/>
          <w:u w:val="single"/>
          <w:lang w:val="en-GB"/>
        </w:rPr>
      </w:pPr>
    </w:p>
    <w:p w:rsidR="008F1B16" w:rsidRPr="00107C72" w:rsidRDefault="008F1B16" w:rsidP="008F1B16">
      <w:pPr>
        <w:rPr>
          <w:rFonts w:eastAsia="Arial Unicode MS"/>
          <w:b/>
          <w:bCs/>
          <w:sz w:val="20"/>
          <w:szCs w:val="20"/>
          <w:u w:val="single"/>
          <w:lang w:val="en-GB"/>
        </w:rPr>
      </w:pPr>
    </w:p>
    <w:p w:rsidR="008F1B16" w:rsidRDefault="008F1B16" w:rsidP="008F1B16">
      <w:pPr>
        <w:rPr>
          <w:rFonts w:eastAsia="Arial Unicode MS"/>
          <w:b/>
          <w:bCs/>
          <w:sz w:val="20"/>
          <w:szCs w:val="20"/>
          <w:u w:val="single"/>
          <w:lang w:val="en-GB"/>
        </w:rPr>
      </w:pPr>
    </w:p>
    <w:p w:rsidR="00406DC8" w:rsidRDefault="00406DC8" w:rsidP="008F1B16">
      <w:pPr>
        <w:rPr>
          <w:rFonts w:eastAsia="Arial Unicode MS"/>
          <w:b/>
          <w:bCs/>
          <w:sz w:val="20"/>
          <w:szCs w:val="20"/>
          <w:u w:val="single"/>
          <w:lang w:val="en-GB"/>
        </w:rPr>
      </w:pPr>
    </w:p>
    <w:p w:rsidR="00406DC8" w:rsidRPr="00107C72" w:rsidRDefault="00406DC8" w:rsidP="008F1B1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406DC8" w:rsidRPr="00406DC8" w:rsidTr="00406DC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06DC8" w:rsidRPr="00406DC8" w:rsidRDefault="00406DC8" w:rsidP="00406DC8">
            <w:pPr>
              <w:spacing w:line="276" w:lineRule="auto"/>
              <w:rPr>
                <w:rFonts w:ascii="Arial" w:eastAsia="Arial Unicode MS" w:hAnsi="Arial" w:cs="Arial"/>
                <w:b/>
                <w:sz w:val="20"/>
                <w:szCs w:val="20"/>
                <w:u w:val="single"/>
                <w:lang w:val="en-GB"/>
              </w:rPr>
            </w:pPr>
            <w:bookmarkStart w:id="1" w:name="_Hlk156057883"/>
            <w:bookmarkStart w:id="2" w:name="_Hlk156057704"/>
            <w:r w:rsidRPr="00406DC8">
              <w:rPr>
                <w:rFonts w:ascii="Arial" w:eastAsia="Arial Unicode MS" w:hAnsi="Arial" w:cs="Arial"/>
                <w:b/>
                <w:sz w:val="20"/>
                <w:szCs w:val="20"/>
                <w:highlight w:val="yellow"/>
                <w:u w:val="single"/>
                <w:lang w:val="en-GB"/>
              </w:rPr>
              <w:lastRenderedPageBreak/>
              <w:t>PART  3:</w:t>
            </w:r>
            <w:r w:rsidRPr="00406DC8">
              <w:rPr>
                <w:rFonts w:ascii="Arial" w:eastAsia="Arial Unicode MS" w:hAnsi="Arial" w:cs="Arial"/>
                <w:b/>
                <w:sz w:val="20"/>
                <w:szCs w:val="20"/>
                <w:u w:val="single"/>
                <w:lang w:val="en-GB"/>
              </w:rPr>
              <w:t xml:space="preserve"> </w:t>
            </w:r>
          </w:p>
          <w:p w:rsidR="00406DC8" w:rsidRPr="00406DC8" w:rsidRDefault="00406DC8" w:rsidP="00406DC8">
            <w:pPr>
              <w:spacing w:line="276" w:lineRule="auto"/>
              <w:rPr>
                <w:rFonts w:ascii="Arial" w:eastAsia="Arial Unicode MS" w:hAnsi="Arial" w:cs="Arial"/>
                <w:b/>
                <w:sz w:val="20"/>
                <w:szCs w:val="20"/>
                <w:u w:val="single"/>
                <w:lang w:val="en-GB"/>
              </w:rPr>
            </w:pPr>
          </w:p>
        </w:tc>
      </w:tr>
      <w:tr w:rsidR="00406DC8" w:rsidRPr="00406DC8" w:rsidTr="00406DC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06DC8" w:rsidRPr="00406DC8" w:rsidRDefault="00406DC8" w:rsidP="00406DC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06DC8" w:rsidRPr="00406DC8" w:rsidRDefault="00406DC8" w:rsidP="00406DC8">
            <w:pPr>
              <w:keepNext/>
              <w:spacing w:line="276" w:lineRule="auto"/>
              <w:outlineLvl w:val="1"/>
              <w:rPr>
                <w:rFonts w:ascii="Arial" w:eastAsia="MS Mincho" w:hAnsi="Arial" w:cs="Arial"/>
                <w:b/>
                <w:bCs/>
                <w:sz w:val="20"/>
                <w:szCs w:val="20"/>
                <w:lang w:val="en-GB"/>
              </w:rPr>
            </w:pPr>
            <w:r w:rsidRPr="00406DC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406DC8" w:rsidRPr="00406DC8" w:rsidRDefault="00406DC8" w:rsidP="00406DC8">
            <w:pPr>
              <w:spacing w:after="160" w:line="252" w:lineRule="auto"/>
              <w:rPr>
                <w:rFonts w:ascii="Arial" w:eastAsia="Calibri" w:hAnsi="Arial" w:cs="Arial"/>
                <w:kern w:val="2"/>
                <w:sz w:val="20"/>
                <w:szCs w:val="20"/>
                <w:lang w:val="en-IN"/>
              </w:rPr>
            </w:pPr>
            <w:r w:rsidRPr="00406DC8">
              <w:rPr>
                <w:rFonts w:ascii="Arial" w:eastAsia="Calibri" w:hAnsi="Arial" w:cs="Arial"/>
                <w:b/>
                <w:kern w:val="2"/>
                <w:sz w:val="20"/>
                <w:szCs w:val="20"/>
                <w:lang w:val="en-IN"/>
              </w:rPr>
              <w:t>Author’s Feedback</w:t>
            </w:r>
            <w:r w:rsidRPr="00406DC8">
              <w:rPr>
                <w:rFonts w:ascii="Arial" w:eastAsia="Calibri" w:hAnsi="Arial" w:cs="Arial"/>
                <w:kern w:val="2"/>
                <w:sz w:val="20"/>
                <w:szCs w:val="20"/>
                <w:lang w:val="en-IN"/>
              </w:rPr>
              <w:t xml:space="preserve"> (It is mandatory that authors should write his/her feedback here)</w:t>
            </w:r>
          </w:p>
          <w:p w:rsidR="00406DC8" w:rsidRPr="00406DC8" w:rsidRDefault="00406DC8" w:rsidP="00406DC8">
            <w:pPr>
              <w:keepNext/>
              <w:spacing w:line="276" w:lineRule="auto"/>
              <w:outlineLvl w:val="1"/>
              <w:rPr>
                <w:rFonts w:ascii="Arial" w:eastAsia="MS Mincho" w:hAnsi="Arial" w:cs="Arial"/>
                <w:bCs/>
                <w:sz w:val="20"/>
                <w:szCs w:val="20"/>
                <w:lang w:val="en-GB"/>
              </w:rPr>
            </w:pPr>
          </w:p>
        </w:tc>
      </w:tr>
      <w:tr w:rsidR="00406DC8" w:rsidRPr="00406DC8" w:rsidTr="00406DC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06DC8" w:rsidRPr="00406DC8" w:rsidRDefault="00406DC8" w:rsidP="00406DC8">
            <w:pPr>
              <w:spacing w:line="276" w:lineRule="auto"/>
              <w:rPr>
                <w:rFonts w:ascii="Arial" w:eastAsia="Arial Unicode MS" w:hAnsi="Arial" w:cs="Arial"/>
                <w:b/>
                <w:sz w:val="20"/>
                <w:szCs w:val="20"/>
                <w:lang w:val="en-GB"/>
              </w:rPr>
            </w:pPr>
            <w:r w:rsidRPr="00406DC8">
              <w:rPr>
                <w:rFonts w:ascii="Arial" w:eastAsia="Arial Unicode MS" w:hAnsi="Arial" w:cs="Arial"/>
                <w:b/>
                <w:sz w:val="20"/>
                <w:szCs w:val="20"/>
                <w:lang w:val="en-GB"/>
              </w:rPr>
              <w:t xml:space="preserve">Are there ethical issues in this manuscript? </w:t>
            </w:r>
          </w:p>
          <w:p w:rsidR="00406DC8" w:rsidRPr="00406DC8" w:rsidRDefault="00406DC8" w:rsidP="00406DC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06DC8" w:rsidRPr="00406DC8" w:rsidRDefault="00406DC8" w:rsidP="00406DC8">
            <w:pPr>
              <w:spacing w:line="276" w:lineRule="auto"/>
              <w:rPr>
                <w:rFonts w:ascii="Arial" w:eastAsia="Arial Unicode MS" w:hAnsi="Arial" w:cs="Arial"/>
                <w:i/>
                <w:iCs/>
                <w:sz w:val="20"/>
                <w:szCs w:val="20"/>
                <w:u w:val="single"/>
                <w:lang w:val="en-GB"/>
              </w:rPr>
            </w:pPr>
            <w:r w:rsidRPr="00406DC8">
              <w:rPr>
                <w:rFonts w:ascii="Arial" w:eastAsia="Arial Unicode MS" w:hAnsi="Arial" w:cs="Arial"/>
                <w:i/>
                <w:iCs/>
                <w:sz w:val="20"/>
                <w:szCs w:val="20"/>
                <w:u w:val="single"/>
                <w:lang w:val="en-GB"/>
              </w:rPr>
              <w:t xml:space="preserve">(If yes, </w:t>
            </w:r>
            <w:proofErr w:type="gramStart"/>
            <w:r w:rsidRPr="00406DC8">
              <w:rPr>
                <w:rFonts w:ascii="Arial" w:eastAsia="Arial Unicode MS" w:hAnsi="Arial" w:cs="Arial"/>
                <w:i/>
                <w:iCs/>
                <w:sz w:val="20"/>
                <w:szCs w:val="20"/>
                <w:u w:val="single"/>
                <w:lang w:val="en-GB"/>
              </w:rPr>
              <w:t>Kindly</w:t>
            </w:r>
            <w:proofErr w:type="gramEnd"/>
            <w:r w:rsidRPr="00406DC8">
              <w:rPr>
                <w:rFonts w:ascii="Arial" w:eastAsia="Arial Unicode MS" w:hAnsi="Arial" w:cs="Arial"/>
                <w:i/>
                <w:iCs/>
                <w:sz w:val="20"/>
                <w:szCs w:val="20"/>
                <w:u w:val="single"/>
                <w:lang w:val="en-GB"/>
              </w:rPr>
              <w:t xml:space="preserve"> please write down the ethical issues here in details)</w:t>
            </w:r>
          </w:p>
          <w:p w:rsidR="00406DC8" w:rsidRPr="00406DC8" w:rsidRDefault="00406DC8" w:rsidP="00406DC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406DC8" w:rsidRPr="00406DC8" w:rsidRDefault="00406DC8" w:rsidP="00406DC8">
            <w:pPr>
              <w:spacing w:line="276" w:lineRule="auto"/>
              <w:rPr>
                <w:rFonts w:ascii="Arial" w:eastAsia="Arial Unicode MS" w:hAnsi="Arial" w:cs="Arial"/>
                <w:sz w:val="20"/>
                <w:szCs w:val="20"/>
                <w:lang w:val="en-GB"/>
              </w:rPr>
            </w:pPr>
          </w:p>
          <w:p w:rsidR="00406DC8" w:rsidRPr="00406DC8" w:rsidRDefault="00395B5A" w:rsidP="00406DC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406DC8" w:rsidRPr="00406DC8" w:rsidRDefault="00406DC8" w:rsidP="00406DC8">
            <w:pPr>
              <w:spacing w:line="276" w:lineRule="auto"/>
              <w:rPr>
                <w:rFonts w:ascii="Arial" w:eastAsia="Arial Unicode MS" w:hAnsi="Arial" w:cs="Arial"/>
                <w:sz w:val="20"/>
                <w:szCs w:val="20"/>
                <w:lang w:val="en-GB"/>
              </w:rPr>
            </w:pPr>
          </w:p>
        </w:tc>
      </w:tr>
      <w:bookmarkEnd w:id="1"/>
    </w:tbl>
    <w:p w:rsidR="00406DC8" w:rsidRPr="00406DC8" w:rsidRDefault="00406DC8" w:rsidP="00406DC8"/>
    <w:p w:rsidR="00406DC8" w:rsidRPr="00406DC8" w:rsidRDefault="00406DC8" w:rsidP="00406DC8"/>
    <w:p w:rsidR="00406DC8" w:rsidRPr="00406DC8" w:rsidRDefault="00406DC8" w:rsidP="00406DC8">
      <w:pPr>
        <w:rPr>
          <w:bCs/>
          <w:u w:val="single"/>
          <w:lang w:val="en-GB"/>
        </w:rPr>
      </w:pPr>
    </w:p>
    <w:bookmarkEnd w:id="2"/>
    <w:p w:rsidR="00406DC8" w:rsidRPr="00406DC8" w:rsidRDefault="00406DC8" w:rsidP="00406DC8"/>
    <w:p w:rsidR="008913D5" w:rsidRPr="008F1B16" w:rsidRDefault="008913D5" w:rsidP="008F1B16"/>
    <w:p w:rsidR="0065161E" w:rsidRPr="008F1B16" w:rsidRDefault="0065161E"/>
    <w:sectPr w:rsidR="0065161E" w:rsidRPr="008F1B16"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940" w:rsidRPr="0000007A" w:rsidRDefault="000F0940" w:rsidP="0099583E">
      <w:r>
        <w:separator/>
      </w:r>
    </w:p>
  </w:endnote>
  <w:endnote w:type="continuationSeparator" w:id="0">
    <w:p w:rsidR="000F0940" w:rsidRPr="0000007A" w:rsidRDefault="000F094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pStyle w:val="Footer"/>
      <w:jc w:val="right"/>
    </w:pPr>
  </w:p>
  <w:p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E3681">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E3681">
      <w:rPr>
        <w:b/>
        <w:noProof/>
        <w:sz w:val="20"/>
      </w:rPr>
      <w:t>1</w:t>
    </w:r>
    <w:r w:rsidRPr="00585FC6">
      <w:rPr>
        <w:b/>
        <w:sz w:val="20"/>
      </w:rPr>
      <w:fldChar w:fldCharType="end"/>
    </w:r>
  </w:p>
  <w:p w:rsidR="008F1B16" w:rsidRDefault="008F1B16" w:rsidP="008F1B16">
    <w:pPr>
      <w:pStyle w:val="Footer"/>
      <w:jc w:val="right"/>
      <w:rPr>
        <w:b/>
        <w:sz w:val="20"/>
      </w:rPr>
    </w:pPr>
    <w:r>
      <w:rPr>
        <w:b/>
        <w:sz w:val="20"/>
      </w:rPr>
      <w:t>V180326</w:t>
    </w:r>
  </w:p>
  <w:p w:rsidR="008F1B16" w:rsidRDefault="008F1B16" w:rsidP="008F1B1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940" w:rsidRPr="0000007A" w:rsidRDefault="000F0940" w:rsidP="0099583E">
      <w:r>
        <w:separator/>
      </w:r>
    </w:p>
  </w:footnote>
  <w:footnote w:type="continuationSeparator" w:id="0">
    <w:p w:rsidR="000F0940" w:rsidRPr="0000007A" w:rsidRDefault="000F094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spacing w:before="100" w:beforeAutospacing="1" w:after="100" w:afterAutospacing="1"/>
      <w:jc w:val="center"/>
      <w:rPr>
        <w:rFonts w:ascii="Arial" w:hAnsi="Arial" w:cs="Arial"/>
        <w:b/>
        <w:bCs/>
        <w:color w:val="003399"/>
        <w:szCs w:val="20"/>
        <w:u w:val="single"/>
        <w:lang w:val="en-GB"/>
      </w:rPr>
    </w:pPr>
  </w:p>
  <w:p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70375"/>
    <w:multiLevelType w:val="multilevel"/>
    <w:tmpl w:val="04EAF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73659"/>
    <w:multiLevelType w:val="hybridMultilevel"/>
    <w:tmpl w:val="4F5866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26E3321"/>
    <w:multiLevelType w:val="multilevel"/>
    <w:tmpl w:val="57CCA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A1436C6"/>
    <w:multiLevelType w:val="multilevel"/>
    <w:tmpl w:val="04EAF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4"/>
  </w:num>
  <w:num w:numId="9">
    <w:abstractNumId w:val="13"/>
  </w:num>
  <w:num w:numId="10">
    <w:abstractNumId w:val="2"/>
  </w:num>
  <w:num w:numId="11">
    <w:abstractNumId w:val="1"/>
  </w:num>
  <w:num w:numId="12">
    <w:abstractNumId w:val="6"/>
  </w:num>
  <w:num w:numId="13">
    <w:abstractNumId w:val="12"/>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28C"/>
    <w:rsid w:val="00043D0B"/>
    <w:rsid w:val="000450FC"/>
    <w:rsid w:val="00056CB0"/>
    <w:rsid w:val="000577C2"/>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0940"/>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256F"/>
    <w:rsid w:val="00346223"/>
    <w:rsid w:val="0036417A"/>
    <w:rsid w:val="00366BEC"/>
    <w:rsid w:val="0037074A"/>
    <w:rsid w:val="00395B5A"/>
    <w:rsid w:val="003A04E7"/>
    <w:rsid w:val="003A4991"/>
    <w:rsid w:val="003A6E1A"/>
    <w:rsid w:val="003A6E6B"/>
    <w:rsid w:val="003B2172"/>
    <w:rsid w:val="003B3EC4"/>
    <w:rsid w:val="003C059E"/>
    <w:rsid w:val="003E2791"/>
    <w:rsid w:val="003E3C70"/>
    <w:rsid w:val="003E746A"/>
    <w:rsid w:val="00406DC8"/>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433"/>
    <w:rsid w:val="004C3DF1"/>
    <w:rsid w:val="004D2E36"/>
    <w:rsid w:val="004D3C64"/>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161E"/>
    <w:rsid w:val="006532DF"/>
    <w:rsid w:val="0065579D"/>
    <w:rsid w:val="00663792"/>
    <w:rsid w:val="0067046C"/>
    <w:rsid w:val="00676845"/>
    <w:rsid w:val="00680547"/>
    <w:rsid w:val="0068446F"/>
    <w:rsid w:val="006859D0"/>
    <w:rsid w:val="0069428E"/>
    <w:rsid w:val="00696CAD"/>
    <w:rsid w:val="006A5E0B"/>
    <w:rsid w:val="006C3797"/>
    <w:rsid w:val="006D45C2"/>
    <w:rsid w:val="006E3681"/>
    <w:rsid w:val="006E7D6E"/>
    <w:rsid w:val="006F6A43"/>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6094D"/>
    <w:rsid w:val="0087201B"/>
    <w:rsid w:val="00877F10"/>
    <w:rsid w:val="00882091"/>
    <w:rsid w:val="008913D5"/>
    <w:rsid w:val="00893E75"/>
    <w:rsid w:val="008C2778"/>
    <w:rsid w:val="008C2F62"/>
    <w:rsid w:val="008D020E"/>
    <w:rsid w:val="008D0407"/>
    <w:rsid w:val="008D1117"/>
    <w:rsid w:val="008D15A4"/>
    <w:rsid w:val="008D1779"/>
    <w:rsid w:val="008F1B16"/>
    <w:rsid w:val="008F36E4"/>
    <w:rsid w:val="008F6673"/>
    <w:rsid w:val="009022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AF7ADC"/>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92DEE"/>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76C5B"/>
    <w:rsid w:val="00C82466"/>
    <w:rsid w:val="00C84097"/>
    <w:rsid w:val="00C92F3A"/>
    <w:rsid w:val="00C97898"/>
    <w:rsid w:val="00CA67A6"/>
    <w:rsid w:val="00CB429B"/>
    <w:rsid w:val="00CC2753"/>
    <w:rsid w:val="00CD093E"/>
    <w:rsid w:val="00CD1556"/>
    <w:rsid w:val="00CD1FD7"/>
    <w:rsid w:val="00CD5D38"/>
    <w:rsid w:val="00CD6AA8"/>
    <w:rsid w:val="00CE069A"/>
    <w:rsid w:val="00CE0D78"/>
    <w:rsid w:val="00CE199A"/>
    <w:rsid w:val="00CE5AC7"/>
    <w:rsid w:val="00CF0553"/>
    <w:rsid w:val="00CF0BBB"/>
    <w:rsid w:val="00D1283A"/>
    <w:rsid w:val="00D17957"/>
    <w:rsid w:val="00D17979"/>
    <w:rsid w:val="00D2075F"/>
    <w:rsid w:val="00D3257B"/>
    <w:rsid w:val="00D40416"/>
    <w:rsid w:val="00D42992"/>
    <w:rsid w:val="00D45CF7"/>
    <w:rsid w:val="00D4740B"/>
    <w:rsid w:val="00D4782A"/>
    <w:rsid w:val="00D55F09"/>
    <w:rsid w:val="00D717FD"/>
    <w:rsid w:val="00D7603E"/>
    <w:rsid w:val="00D8579C"/>
    <w:rsid w:val="00D90124"/>
    <w:rsid w:val="00D9392F"/>
    <w:rsid w:val="00D961FB"/>
    <w:rsid w:val="00DA41F5"/>
    <w:rsid w:val="00DB5B54"/>
    <w:rsid w:val="00DB7E1B"/>
    <w:rsid w:val="00DC0C7E"/>
    <w:rsid w:val="00DC1D81"/>
    <w:rsid w:val="00DD7E46"/>
    <w:rsid w:val="00E1327B"/>
    <w:rsid w:val="00E174C7"/>
    <w:rsid w:val="00E34922"/>
    <w:rsid w:val="00E44E84"/>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13984"/>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0FF3BF1"/>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2DE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2">
    <w:name w:val="Unresolved Mention2"/>
    <w:basedOn w:val="DefaultParagraphFont"/>
    <w:uiPriority w:val="99"/>
    <w:semiHidden/>
    <w:unhideWhenUsed/>
    <w:rsid w:val="00E44E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946148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5550992">
      <w:bodyDiv w:val="1"/>
      <w:marLeft w:val="0"/>
      <w:marRight w:val="0"/>
      <w:marTop w:val="0"/>
      <w:marBottom w:val="0"/>
      <w:divBdr>
        <w:top w:val="none" w:sz="0" w:space="0" w:color="auto"/>
        <w:left w:val="none" w:sz="0" w:space="0" w:color="auto"/>
        <w:bottom w:val="none" w:sz="0" w:space="0" w:color="auto"/>
        <w:right w:val="none" w:sz="0" w:space="0" w:color="auto"/>
      </w:divBdr>
    </w:div>
    <w:div w:id="8006551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59209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238297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853275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15908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12</cp:revision>
  <dcterms:created xsi:type="dcterms:W3CDTF">2026-03-21T12:08:00Z</dcterms:created>
  <dcterms:modified xsi:type="dcterms:W3CDTF">2026-03-24T10:52:00Z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