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3160"/>
        <w:gridCol w:w="10162"/>
      </w:tblGrid>
      <w:tr w14:paraId="4DF64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14:paraId="0ECC4817">
            <w:pPr>
              <w:rPr>
                <w:lang w:val="en-GB"/>
              </w:rPr>
            </w:pPr>
          </w:p>
        </w:tc>
      </w:tr>
      <w:tr w14:paraId="5CE87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1186" w:type="pct"/>
            <w:shd w:val="clear" w:color="auto" w:fill="EBFFFF"/>
          </w:tcPr>
          <w:p w14:paraId="7C2900A7">
            <w:pPr>
              <w:pStyle w:val="7"/>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4C0AFF14">
            <w:pPr>
              <w:rPr>
                <w:b/>
                <w:bCs/>
                <w:color w:val="0000FF"/>
                <w:sz w:val="20"/>
                <w:szCs w:val="20"/>
                <w:lang w:val="en-GB"/>
              </w:rPr>
            </w:pPr>
            <w:r>
              <w:fldChar w:fldCharType="begin"/>
            </w:r>
            <w:r>
              <w:instrText xml:space="preserve"> HYPERLINK "https://journalijtdh.com" \t "_parent" </w:instrText>
            </w:r>
            <w:r>
              <w:fldChar w:fldCharType="separate"/>
            </w:r>
            <w:r>
              <w:rPr>
                <w:b/>
                <w:bCs/>
                <w:color w:val="0000FF"/>
                <w:sz w:val="20"/>
                <w:szCs w:val="20"/>
                <w:lang w:val="en-GB"/>
              </w:rPr>
              <w:t xml:space="preserve">International Journal of TROPICAL DISEASE &amp; Health </w:t>
            </w:r>
            <w:r>
              <w:rPr>
                <w:b/>
                <w:bCs/>
                <w:color w:val="0000FF"/>
                <w:sz w:val="20"/>
                <w:szCs w:val="20"/>
                <w:lang w:val="en-GB"/>
              </w:rPr>
              <w:fldChar w:fldCharType="end"/>
            </w:r>
          </w:p>
        </w:tc>
      </w:tr>
      <w:tr w14:paraId="2A6D7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5D587034">
            <w:pPr>
              <w:pStyle w:val="7"/>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24D56AC3">
            <w:pPr>
              <w:pStyle w:val="12"/>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Ms_IJTDH_155639</w:t>
            </w:r>
          </w:p>
        </w:tc>
      </w:tr>
      <w:tr w14:paraId="212D0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0" w:hRule="atLeast"/>
        </w:trPr>
        <w:tc>
          <w:tcPr>
            <w:tcW w:w="1186" w:type="pct"/>
            <w:shd w:val="clear" w:color="auto" w:fill="EBFFFF"/>
          </w:tcPr>
          <w:p w14:paraId="4444BE8E">
            <w:pPr>
              <w:pStyle w:val="7"/>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1C4F16DE">
            <w:pPr>
              <w:pStyle w:val="12"/>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PREVALENCE AND CLINICAL SIGNIFICANCE OF THROMBOCYTOPENIA IN MALARIA: A SYSTEMATIC REVIEW AND META-ANALYSIS</w:t>
            </w:r>
          </w:p>
        </w:tc>
      </w:tr>
      <w:tr w14:paraId="39166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trPr>
        <w:tc>
          <w:tcPr>
            <w:tcW w:w="1186" w:type="pct"/>
            <w:shd w:val="clear" w:color="auto" w:fill="EBFFFF"/>
          </w:tcPr>
          <w:p w14:paraId="589F909E">
            <w:pPr>
              <w:pStyle w:val="7"/>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7C7BEBEA">
            <w:pPr>
              <w:pStyle w:val="12"/>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tc>
      </w:tr>
    </w:tbl>
    <w:p w14:paraId="2C65BE98">
      <w:pPr>
        <w:pStyle w:val="7"/>
        <w:rPr>
          <w:rFonts w:ascii="Times New Roman" w:hAnsi="Times New Roman"/>
          <w:b/>
          <w:bCs/>
          <w:sz w:val="20"/>
          <w:szCs w:val="20"/>
          <w:u w:val="single"/>
          <w:lang w:val="en-GB"/>
        </w:rPr>
      </w:pPr>
    </w:p>
    <w:p w14:paraId="564D8FC1">
      <w:pPr>
        <w:pStyle w:val="7"/>
        <w:rPr>
          <w:rFonts w:ascii="Times New Roman" w:hAnsi="Times New Roman"/>
          <w:b/>
          <w:bCs/>
          <w:sz w:val="20"/>
          <w:szCs w:val="20"/>
          <w:u w:val="single"/>
          <w:lang w:val="en-GB"/>
        </w:rPr>
      </w:pPr>
    </w:p>
    <w:p w14:paraId="7AE43E55">
      <w:pPr>
        <w:pStyle w:val="7"/>
        <w:rPr>
          <w:rFonts w:ascii="Times New Roman" w:hAnsi="Times New Roman"/>
          <w:sz w:val="20"/>
          <w:szCs w:val="20"/>
          <w:lang w:val="en-GB"/>
        </w:rPr>
      </w:pPr>
    </w:p>
    <w:p w14:paraId="213831B3">
      <w:pPr>
        <w:pStyle w:val="7"/>
        <w:rPr>
          <w:rFonts w:ascii="Times New Roman" w:hAnsi="Times New Roman"/>
          <w:sz w:val="20"/>
          <w:szCs w:val="20"/>
          <w:lang w:val="en-GB"/>
        </w:rPr>
      </w:pPr>
    </w:p>
    <w:p w14:paraId="03D76C62">
      <w:pPr>
        <w:pStyle w:val="7"/>
        <w:rPr>
          <w:rFonts w:ascii="Times New Roman" w:hAnsi="Times New Roman"/>
          <w:b/>
          <w:sz w:val="20"/>
          <w:szCs w:val="20"/>
          <w:lang w:val="en-GB"/>
        </w:rPr>
      </w:pPr>
      <w:r>
        <w:rPr>
          <w:rFonts w:ascii="Times New Roman" w:hAnsi="Times New Roman"/>
          <w:b/>
          <w:sz w:val="20"/>
          <w:szCs w:val="20"/>
          <w:highlight w:val="yellow"/>
          <w:lang w:val="en-GB"/>
        </w:rPr>
        <w:t>PART 1</w:t>
      </w:r>
    </w:p>
    <w:p w14:paraId="7A65A298">
      <w:pPr>
        <w:pStyle w:val="7"/>
        <w:rPr>
          <w:rFonts w:ascii="Times New Roman" w:hAnsi="Times New Roman"/>
          <w:b/>
          <w:sz w:val="20"/>
          <w:szCs w:val="20"/>
          <w:u w:val="single"/>
          <w:lang w:val="en-GB"/>
        </w:rPr>
      </w:pPr>
    </w:p>
    <w:p w14:paraId="281BADDC">
      <w:pPr>
        <w:pStyle w:val="7"/>
        <w:ind w:left="1440"/>
        <w:rPr>
          <w:rFonts w:ascii="Times New Roman" w:hAnsi="Times New Roman"/>
          <w:bCs/>
          <w:sz w:val="20"/>
          <w:szCs w:val="20"/>
          <w:lang w:val="en-GB"/>
        </w:rPr>
      </w:pPr>
    </w:p>
    <w:tbl>
      <w:tblPr>
        <w:tblStyle w:val="6"/>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966"/>
        <w:gridCol w:w="3682"/>
      </w:tblGrid>
      <w:tr w14:paraId="65D3E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pct"/>
            <w:noWrap/>
          </w:tcPr>
          <w:p w14:paraId="48E9A883">
            <w:pPr>
              <w:pStyle w:val="2"/>
              <w:jc w:val="left"/>
              <w:rPr>
                <w:rFonts w:ascii="Times New Roman" w:hAnsi="Times New Roman"/>
                <w:lang w:val="en-GB" w:eastAsia="en-US"/>
              </w:rPr>
            </w:pPr>
          </w:p>
        </w:tc>
        <w:tc>
          <w:tcPr>
            <w:tcW w:w="1844" w:type="pct"/>
          </w:tcPr>
          <w:p w14:paraId="46F29064">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29A2E4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FED8353">
            <w:pPr>
              <w:pStyle w:val="2"/>
              <w:jc w:val="left"/>
              <w:rPr>
                <w:rFonts w:ascii="Times New Roman" w:hAnsi="Times New Roman"/>
                <w:b w:val="0"/>
                <w:lang w:val="en-GB" w:eastAsia="en-US"/>
              </w:rPr>
            </w:pPr>
          </w:p>
        </w:tc>
      </w:tr>
      <w:tr w14:paraId="10FBC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789" w:type="pct"/>
            <w:noWrap/>
          </w:tcPr>
          <w:p w14:paraId="0EA4685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3865B35">
            <w:pPr>
              <w:pStyle w:val="19"/>
              <w:ind w:left="0"/>
              <w:rPr>
                <w:b/>
                <w:bCs/>
                <w:sz w:val="20"/>
                <w:szCs w:val="20"/>
                <w:lang w:val="en-GB"/>
              </w:rPr>
            </w:pPr>
            <w:r>
              <w:rPr>
                <w:b/>
                <w:bCs/>
                <w:sz w:val="20"/>
                <w:szCs w:val="20"/>
                <w:lang w:val="en-GB"/>
              </w:rPr>
              <w:t>This manuscript addresses a clinically relevant and commonly encountered hematological manifestation of malaria, namely thrombocytopenia, and provides a systematic synthesis of its prevalence across diverse settings. The study is methodologically sound, and incorporates data from multiple endemic regions, which strengthens its external relevance.</w:t>
            </w:r>
          </w:p>
          <w:p w14:paraId="1465CF15">
            <w:pPr>
              <w:pStyle w:val="19"/>
              <w:rPr>
                <w:b/>
                <w:bCs/>
                <w:sz w:val="20"/>
                <w:szCs w:val="20"/>
                <w:lang w:val="en-GB"/>
              </w:rPr>
            </w:pPr>
          </w:p>
          <w:p w14:paraId="20C60F67">
            <w:pPr>
              <w:pStyle w:val="19"/>
              <w:ind w:left="0"/>
              <w:rPr>
                <w:b/>
                <w:bCs/>
                <w:sz w:val="20"/>
                <w:szCs w:val="20"/>
                <w:lang w:val="en-GB"/>
              </w:rPr>
            </w:pPr>
            <w:r>
              <w:rPr>
                <w:b/>
                <w:bCs/>
                <w:sz w:val="20"/>
                <w:szCs w:val="20"/>
                <w:lang w:val="en-GB"/>
              </w:rPr>
              <w:t>The finding that thrombocytopenia is highly prevalent and associated with disease severity rather than bleeding risk is consistent with existing clinical understanding. However, the analytical framework used in the study limits the depth of clinical interpretation, particularly with respect to the prognostic implications of platelet count.</w:t>
            </w:r>
          </w:p>
          <w:p w14:paraId="6949B3CA">
            <w:pPr>
              <w:pStyle w:val="19"/>
              <w:rPr>
                <w:b/>
                <w:bCs/>
                <w:sz w:val="20"/>
                <w:szCs w:val="20"/>
                <w:lang w:val="en-GB"/>
              </w:rPr>
            </w:pPr>
          </w:p>
          <w:p w14:paraId="5443A0A7">
            <w:pPr>
              <w:pStyle w:val="19"/>
              <w:ind w:left="0"/>
              <w:rPr>
                <w:b/>
                <w:bCs/>
                <w:sz w:val="20"/>
                <w:szCs w:val="20"/>
                <w:lang w:val="en-GB"/>
              </w:rPr>
            </w:pPr>
            <w:r>
              <w:rPr>
                <w:b/>
                <w:bCs/>
                <w:sz w:val="20"/>
                <w:szCs w:val="20"/>
                <w:lang w:val="en-GB"/>
              </w:rPr>
              <w:t>Overall, the manuscript is of value, but a key limitation in how thrombocytopenia is operationalized warrants more explicit consideration.</w:t>
            </w:r>
          </w:p>
        </w:tc>
        <w:tc>
          <w:tcPr>
            <w:tcW w:w="1367" w:type="pct"/>
          </w:tcPr>
          <w:p w14:paraId="417718B6">
            <w:pPr>
              <w:pStyle w:val="2"/>
              <w:jc w:val="left"/>
              <w:rPr>
                <w:rFonts w:ascii="Times New Roman" w:hAnsi="Times New Roman"/>
                <w:b w:val="0"/>
                <w:lang w:val="en-GB" w:eastAsia="en-US"/>
              </w:rPr>
            </w:pPr>
            <w:r>
              <w:rPr>
                <w:rFonts w:hint="default" w:ascii="Times New Roman" w:hAnsi="Times New Roman"/>
                <w:b w:val="0"/>
                <w:highlight w:val="yellow"/>
                <w:lang w:val="en-US" w:eastAsia="en-US"/>
              </w:rPr>
              <w:t>Thank you</w:t>
            </w:r>
          </w:p>
        </w:tc>
      </w:tr>
    </w:tbl>
    <w:p w14:paraId="257987A1">
      <w:pPr>
        <w:rPr>
          <w:sz w:val="20"/>
          <w:szCs w:val="20"/>
          <w:lang w:val="en-GB"/>
        </w:rPr>
      </w:pPr>
    </w:p>
    <w:p w14:paraId="4254FFA2">
      <w:pPr>
        <w:rPr>
          <w:sz w:val="20"/>
          <w:szCs w:val="20"/>
          <w:lang w:val="en-GB"/>
        </w:rPr>
      </w:pPr>
    </w:p>
    <w:p w14:paraId="51DFC304">
      <w:pPr>
        <w:rPr>
          <w:sz w:val="20"/>
          <w:szCs w:val="20"/>
          <w:lang w:val="en-GB"/>
        </w:rPr>
      </w:pPr>
    </w:p>
    <w:p w14:paraId="10495024">
      <w:pPr>
        <w:rPr>
          <w:sz w:val="20"/>
          <w:szCs w:val="20"/>
          <w:lang w:val="en-GB"/>
        </w:rPr>
      </w:pPr>
    </w:p>
    <w:p w14:paraId="679426D4">
      <w:pPr>
        <w:rPr>
          <w:sz w:val="20"/>
          <w:szCs w:val="20"/>
          <w:lang w:val="en-GB"/>
        </w:rPr>
      </w:pPr>
    </w:p>
    <w:p w14:paraId="39A2843C">
      <w:pPr>
        <w:rPr>
          <w:sz w:val="20"/>
          <w:szCs w:val="20"/>
          <w:lang w:val="en-GB"/>
        </w:rPr>
      </w:pPr>
    </w:p>
    <w:p w14:paraId="2AB7B6E2">
      <w:pPr>
        <w:rPr>
          <w:sz w:val="20"/>
          <w:szCs w:val="20"/>
          <w:lang w:val="en-GB"/>
        </w:rPr>
      </w:pPr>
    </w:p>
    <w:p w14:paraId="64EFC1B5">
      <w:pPr>
        <w:rPr>
          <w:sz w:val="20"/>
          <w:szCs w:val="20"/>
          <w:lang w:val="en-GB"/>
        </w:rPr>
      </w:pPr>
    </w:p>
    <w:p w14:paraId="5CE73324">
      <w:pPr>
        <w:rPr>
          <w:sz w:val="20"/>
          <w:szCs w:val="20"/>
          <w:lang w:val="en-GB"/>
        </w:rPr>
      </w:pPr>
    </w:p>
    <w:p w14:paraId="2CA1C59E">
      <w:pPr>
        <w:rPr>
          <w:sz w:val="20"/>
          <w:szCs w:val="20"/>
          <w:lang w:val="en-GB"/>
        </w:rPr>
      </w:pPr>
    </w:p>
    <w:p w14:paraId="55271A8F">
      <w:pPr>
        <w:rPr>
          <w:sz w:val="20"/>
          <w:szCs w:val="20"/>
          <w:lang w:val="en-GB"/>
        </w:rPr>
      </w:pPr>
    </w:p>
    <w:p w14:paraId="5832C9D2">
      <w:pPr>
        <w:rPr>
          <w:sz w:val="20"/>
          <w:szCs w:val="20"/>
          <w:lang w:val="en-GB"/>
        </w:rPr>
      </w:pPr>
    </w:p>
    <w:p w14:paraId="2F757061">
      <w:pPr>
        <w:rPr>
          <w:sz w:val="20"/>
          <w:szCs w:val="20"/>
          <w:lang w:val="en-GB"/>
        </w:rPr>
      </w:pPr>
    </w:p>
    <w:p w14:paraId="47651314">
      <w:pPr>
        <w:rPr>
          <w:sz w:val="20"/>
          <w:szCs w:val="20"/>
          <w:lang w:val="en-GB"/>
        </w:rPr>
      </w:pPr>
    </w:p>
    <w:p w14:paraId="0B99B7F1">
      <w:pPr>
        <w:rPr>
          <w:sz w:val="20"/>
          <w:szCs w:val="20"/>
          <w:lang w:val="en-GB"/>
        </w:rPr>
      </w:pPr>
    </w:p>
    <w:p w14:paraId="23324B94">
      <w:pPr>
        <w:rPr>
          <w:sz w:val="20"/>
          <w:szCs w:val="20"/>
          <w:lang w:val="en-GB"/>
        </w:rPr>
      </w:pPr>
    </w:p>
    <w:p w14:paraId="5B8A3AFD">
      <w:pPr>
        <w:rPr>
          <w:sz w:val="20"/>
          <w:szCs w:val="20"/>
          <w:lang w:val="en-GB"/>
        </w:rPr>
      </w:pPr>
    </w:p>
    <w:p w14:paraId="6105EE06">
      <w:pPr>
        <w:rPr>
          <w:sz w:val="20"/>
          <w:szCs w:val="20"/>
          <w:lang w:val="en-GB"/>
        </w:rPr>
      </w:pPr>
    </w:p>
    <w:p w14:paraId="3B894E85">
      <w:pPr>
        <w:rPr>
          <w:sz w:val="20"/>
          <w:szCs w:val="20"/>
          <w:lang w:val="en-GB"/>
        </w:rPr>
      </w:pPr>
    </w:p>
    <w:p w14:paraId="1D962533">
      <w:pPr>
        <w:rPr>
          <w:sz w:val="20"/>
          <w:szCs w:val="20"/>
          <w:lang w:val="en-GB"/>
        </w:rPr>
      </w:pPr>
    </w:p>
    <w:p w14:paraId="241DEA0C">
      <w:pPr>
        <w:rPr>
          <w:sz w:val="20"/>
          <w:szCs w:val="20"/>
          <w:lang w:val="en-GB"/>
        </w:rPr>
      </w:pPr>
    </w:p>
    <w:p w14:paraId="2AA8A401">
      <w:pPr>
        <w:rPr>
          <w:sz w:val="20"/>
          <w:szCs w:val="20"/>
          <w:lang w:val="en-GB"/>
        </w:rPr>
      </w:pPr>
    </w:p>
    <w:p w14:paraId="22A88572">
      <w:pPr>
        <w:rPr>
          <w:sz w:val="20"/>
          <w:szCs w:val="20"/>
          <w:lang w:val="en-GB"/>
        </w:rPr>
      </w:pPr>
    </w:p>
    <w:p w14:paraId="36141A0A">
      <w:pPr>
        <w:rPr>
          <w:sz w:val="20"/>
          <w:szCs w:val="20"/>
          <w:lang w:val="en-GB"/>
        </w:rPr>
      </w:pPr>
    </w:p>
    <w:p w14:paraId="3C37D13E">
      <w:pPr>
        <w:rPr>
          <w:sz w:val="20"/>
          <w:szCs w:val="20"/>
          <w:lang w:val="en-GB"/>
        </w:rPr>
      </w:pPr>
    </w:p>
    <w:p w14:paraId="446308AC">
      <w:pPr>
        <w:rPr>
          <w:sz w:val="20"/>
          <w:szCs w:val="20"/>
          <w:lang w:val="en-GB"/>
        </w:rPr>
      </w:pPr>
    </w:p>
    <w:p w14:paraId="26507D76">
      <w:pPr>
        <w:rPr>
          <w:sz w:val="20"/>
          <w:szCs w:val="20"/>
          <w:lang w:val="en-GB"/>
        </w:rPr>
      </w:pPr>
    </w:p>
    <w:p w14:paraId="78E9DC93">
      <w:pPr>
        <w:rPr>
          <w:sz w:val="20"/>
          <w:szCs w:val="20"/>
          <w:lang w:val="en-GB"/>
        </w:rPr>
      </w:pPr>
    </w:p>
    <w:p w14:paraId="3EBFE2E5">
      <w:pPr>
        <w:rPr>
          <w:sz w:val="20"/>
          <w:szCs w:val="20"/>
          <w:lang w:val="en-GB"/>
        </w:rPr>
      </w:pPr>
    </w:p>
    <w:p w14:paraId="62704FD1">
      <w:pPr>
        <w:rPr>
          <w:sz w:val="20"/>
          <w:szCs w:val="20"/>
          <w:lang w:val="en-GB"/>
        </w:rPr>
      </w:pPr>
    </w:p>
    <w:p w14:paraId="09B302F5">
      <w:pPr>
        <w:rPr>
          <w:sz w:val="20"/>
          <w:szCs w:val="20"/>
          <w:lang w:val="en-GB"/>
        </w:rPr>
      </w:pPr>
    </w:p>
    <w:p w14:paraId="33853869">
      <w:pPr>
        <w:rPr>
          <w:sz w:val="20"/>
          <w:szCs w:val="20"/>
          <w:lang w:val="en-GB"/>
        </w:rPr>
      </w:pPr>
    </w:p>
    <w:p w14:paraId="18D1F1F5">
      <w:pPr>
        <w:rPr>
          <w:sz w:val="20"/>
          <w:szCs w:val="20"/>
          <w:lang w:val="en-GB"/>
        </w:rPr>
      </w:pPr>
    </w:p>
    <w:p w14:paraId="493C075D">
      <w:pPr>
        <w:rPr>
          <w:sz w:val="20"/>
          <w:szCs w:val="20"/>
          <w:lang w:val="en-GB"/>
        </w:rPr>
      </w:pPr>
    </w:p>
    <w:p w14:paraId="1EF35FF1">
      <w:pPr>
        <w:rPr>
          <w:sz w:val="20"/>
          <w:szCs w:val="20"/>
          <w:lang w:val="en-GB"/>
        </w:rPr>
      </w:pPr>
    </w:p>
    <w:p w14:paraId="79B45C44">
      <w:pPr>
        <w:rPr>
          <w:sz w:val="20"/>
          <w:szCs w:val="20"/>
          <w:lang w:val="en-GB"/>
        </w:rPr>
      </w:pPr>
    </w:p>
    <w:p w14:paraId="174493FE">
      <w:pPr>
        <w:rPr>
          <w:sz w:val="20"/>
          <w:szCs w:val="20"/>
          <w:lang w:val="en-GB"/>
        </w:rPr>
      </w:pPr>
    </w:p>
    <w:p w14:paraId="3CEE3158">
      <w:pPr>
        <w:rPr>
          <w:sz w:val="20"/>
          <w:szCs w:val="20"/>
          <w:lang w:val="en-GB"/>
        </w:rPr>
      </w:pPr>
    </w:p>
    <w:p w14:paraId="18E7CE0B">
      <w:pPr>
        <w:rPr>
          <w:sz w:val="20"/>
          <w:szCs w:val="20"/>
          <w:lang w:val="en-GB"/>
        </w:rPr>
      </w:pPr>
    </w:p>
    <w:p w14:paraId="0FD84401">
      <w:pPr>
        <w:rPr>
          <w:sz w:val="20"/>
          <w:szCs w:val="20"/>
          <w:lang w:val="en-GB"/>
        </w:rPr>
      </w:pPr>
    </w:p>
    <w:p w14:paraId="76B5A331">
      <w:pPr>
        <w:rPr>
          <w:sz w:val="20"/>
          <w:szCs w:val="20"/>
          <w:lang w:val="en-GB"/>
        </w:rPr>
      </w:pPr>
    </w:p>
    <w:p w14:paraId="31427DEC">
      <w:pPr>
        <w:rPr>
          <w:sz w:val="20"/>
          <w:szCs w:val="20"/>
          <w:lang w:val="en-GB"/>
        </w:rPr>
      </w:pPr>
    </w:p>
    <w:p w14:paraId="5EE58898">
      <w:pPr>
        <w:rPr>
          <w:sz w:val="20"/>
          <w:szCs w:val="20"/>
          <w:lang w:val="en-GB"/>
        </w:rPr>
      </w:pPr>
    </w:p>
    <w:p w14:paraId="26B62276">
      <w:pPr>
        <w:rPr>
          <w:sz w:val="20"/>
          <w:szCs w:val="20"/>
          <w:lang w:val="en-GB"/>
        </w:rPr>
      </w:pPr>
    </w:p>
    <w:p w14:paraId="3454CA48">
      <w:pPr>
        <w:pStyle w:val="2"/>
        <w:jc w:val="left"/>
        <w:rPr>
          <w:rFonts w:ascii="Times New Roman" w:hAnsi="Times New Roman"/>
          <w:lang w:val="en-GB" w:eastAsia="en-US"/>
        </w:rPr>
      </w:pPr>
      <w:r>
        <w:rPr>
          <w:rFonts w:ascii="Times New Roman" w:hAnsi="Times New Roman"/>
          <w:highlight w:val="yellow"/>
          <w:lang w:val="en-GB" w:eastAsia="en-US"/>
        </w:rPr>
        <w:t>PART  2</w:t>
      </w:r>
    </w:p>
    <w:p w14:paraId="33E0F596">
      <w:pPr>
        <w:rPr>
          <w:sz w:val="20"/>
          <w:szCs w:val="20"/>
          <w:lang w:val="en-GB"/>
        </w:rPr>
      </w:pPr>
    </w:p>
    <w:tbl>
      <w:tblPr>
        <w:tblStyle w:val="6"/>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964"/>
        <w:gridCol w:w="3682"/>
      </w:tblGrid>
      <w:tr w14:paraId="3925F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nil"/>
              <w:left w:val="nil"/>
              <w:right w:val="nil"/>
            </w:tcBorders>
            <w:noWrap/>
          </w:tcPr>
          <w:p w14:paraId="583A55A1">
            <w:pPr>
              <w:rPr>
                <w:lang w:val="en-GB"/>
              </w:rPr>
            </w:pPr>
          </w:p>
          <w:p w14:paraId="50F3EF08">
            <w:pPr>
              <w:rPr>
                <w:sz w:val="20"/>
                <w:szCs w:val="20"/>
                <w:lang w:val="en-GB"/>
              </w:rPr>
            </w:pPr>
          </w:p>
        </w:tc>
      </w:tr>
      <w:tr w14:paraId="2C567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0" w:type="pct"/>
            <w:noWrap/>
          </w:tcPr>
          <w:p w14:paraId="003B8F13">
            <w:pPr>
              <w:pStyle w:val="2"/>
              <w:jc w:val="left"/>
              <w:rPr>
                <w:rFonts w:ascii="Times New Roman" w:hAnsi="Times New Roman"/>
                <w:lang w:val="en-GB" w:eastAsia="en-US"/>
              </w:rPr>
            </w:pPr>
          </w:p>
        </w:tc>
        <w:tc>
          <w:tcPr>
            <w:tcW w:w="1843" w:type="pct"/>
          </w:tcPr>
          <w:p w14:paraId="07EC8992">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8666C53">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178F8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0CF4A745">
            <w:pPr>
              <w:rPr>
                <w:b/>
                <w:bCs/>
                <w:sz w:val="20"/>
                <w:szCs w:val="20"/>
                <w:lang w:val="en-GB"/>
              </w:rPr>
            </w:pPr>
            <w:r>
              <w:rPr>
                <w:b/>
                <w:bCs/>
                <w:sz w:val="20"/>
                <w:szCs w:val="20"/>
                <w:lang w:val="en-GB"/>
              </w:rPr>
              <w:t xml:space="preserve">1. Is the title clear and appropriate for the paper? </w:t>
            </w:r>
          </w:p>
          <w:p w14:paraId="20C1B7D4">
            <w:pPr>
              <w:rPr>
                <w:color w:val="404040"/>
                <w:sz w:val="20"/>
                <w:szCs w:val="20"/>
                <w:shd w:val="clear" w:color="auto" w:fill="FFFFFF"/>
                <w:lang w:val="en-GB"/>
              </w:rPr>
            </w:pPr>
            <w:r>
              <w:rPr>
                <w:color w:val="404040"/>
                <w:sz w:val="20"/>
                <w:szCs w:val="20"/>
                <w:shd w:val="clear" w:color="auto" w:fill="FFFFFF"/>
                <w:lang w:val="en-GB"/>
              </w:rPr>
              <w:t xml:space="preserve">Rating Scale: </w:t>
            </w:r>
          </w:p>
          <w:p w14:paraId="42B6133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0ED646">
            <w:pPr>
              <w:ind w:left="360"/>
              <w:rPr>
                <w:b/>
                <w:bCs/>
                <w:sz w:val="20"/>
                <w:szCs w:val="20"/>
                <w:lang w:val="en-GB"/>
              </w:rPr>
            </w:pPr>
            <w:r>
              <w:rPr>
                <w:b/>
                <w:bCs/>
                <w:sz w:val="20"/>
                <w:szCs w:val="20"/>
                <w:lang w:val="en-GB"/>
              </w:rPr>
              <w:t>YES</w:t>
            </w:r>
          </w:p>
          <w:p w14:paraId="5E0C53AD">
            <w:pPr>
              <w:ind w:left="360"/>
              <w:rPr>
                <w:b/>
                <w:bCs/>
                <w:sz w:val="20"/>
                <w:szCs w:val="20"/>
                <w:lang w:val="en-GB"/>
              </w:rPr>
            </w:pPr>
            <w:r>
              <w:rPr>
                <w:b/>
                <w:bCs/>
                <w:sz w:val="20"/>
                <w:szCs w:val="20"/>
                <w:lang w:val="en-GB"/>
              </w:rPr>
              <w:t>5/5</w:t>
            </w:r>
          </w:p>
        </w:tc>
        <w:tc>
          <w:tcPr>
            <w:tcW w:w="1367" w:type="pct"/>
          </w:tcPr>
          <w:p w14:paraId="19F2ED8A">
            <w:pPr>
              <w:jc w:val="left"/>
              <w:rPr>
                <w:rFonts w:ascii="Times New Roman" w:hAnsi="Times New Roman"/>
                <w:b w:val="0"/>
                <w:lang w:val="en-GB" w:eastAsia="en-US"/>
              </w:rPr>
            </w:pPr>
            <w:r>
              <w:rPr>
                <w:rFonts w:hint="default" w:ascii="Times New Roman" w:hAnsi="Times New Roman"/>
                <w:b w:val="0"/>
                <w:highlight w:val="yellow"/>
                <w:lang w:val="en-US" w:eastAsia="en-US"/>
              </w:rPr>
              <w:t>Thank you</w:t>
            </w:r>
          </w:p>
        </w:tc>
      </w:tr>
      <w:tr w14:paraId="6417A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78CF4847">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314BFA2">
            <w:pPr>
              <w:rPr>
                <w:color w:val="404040"/>
                <w:sz w:val="20"/>
                <w:szCs w:val="20"/>
                <w:shd w:val="clear" w:color="auto" w:fill="FFFFFF"/>
                <w:lang w:val="en-GB"/>
              </w:rPr>
            </w:pPr>
            <w:r>
              <w:rPr>
                <w:color w:val="404040"/>
                <w:sz w:val="20"/>
                <w:szCs w:val="20"/>
                <w:shd w:val="clear" w:color="auto" w:fill="FFFFFF"/>
                <w:lang w:val="en-GB"/>
              </w:rPr>
              <w:t xml:space="preserve">Rating Scale: </w:t>
            </w:r>
          </w:p>
          <w:p w14:paraId="0E087C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ED5498">
            <w:pPr>
              <w:ind w:left="360"/>
              <w:rPr>
                <w:b/>
                <w:bCs/>
                <w:sz w:val="20"/>
                <w:szCs w:val="20"/>
                <w:lang w:val="en-GB"/>
              </w:rPr>
            </w:pPr>
            <w:r>
              <w:rPr>
                <w:b/>
                <w:bCs/>
                <w:sz w:val="20"/>
                <w:szCs w:val="20"/>
                <w:lang w:val="en-GB"/>
              </w:rPr>
              <w:t>4/5</w:t>
            </w:r>
          </w:p>
          <w:p w14:paraId="76A2BB20">
            <w:pPr>
              <w:ind w:left="360"/>
              <w:rPr>
                <w:b/>
                <w:bCs/>
                <w:sz w:val="20"/>
                <w:szCs w:val="20"/>
                <w:lang w:val="en-GB"/>
              </w:rPr>
            </w:pPr>
            <w:r>
              <w:rPr>
                <w:b/>
                <w:bCs/>
                <w:sz w:val="20"/>
                <w:szCs w:val="20"/>
                <w:lang w:val="en-GB"/>
              </w:rPr>
              <w:t>Well structured; however, the clinical implications are presented with a level of confidence that is not fully supported by the analytical depth of the data. A brief acknowledgment of this limitation would improve balance.</w:t>
            </w:r>
          </w:p>
        </w:tc>
        <w:tc>
          <w:tcPr>
            <w:tcW w:w="1367" w:type="pct"/>
          </w:tcPr>
          <w:p w14:paraId="5BF1BE1F">
            <w:pPr>
              <w:jc w:val="left"/>
              <w:rPr>
                <w:rFonts w:ascii="Times New Roman" w:hAnsi="Times New Roman"/>
                <w:b w:val="0"/>
                <w:lang w:val="en-GB" w:eastAsia="en-US"/>
              </w:rPr>
            </w:pPr>
            <w:r>
              <w:rPr>
                <w:rFonts w:hint="default" w:ascii="Times New Roman" w:hAnsi="Times New Roman"/>
                <w:b w:val="0"/>
                <w:highlight w:val="yellow"/>
                <w:lang w:val="en-US" w:eastAsia="en-US"/>
              </w:rPr>
              <w:t>Thank you</w:t>
            </w:r>
          </w:p>
        </w:tc>
      </w:tr>
      <w:tr w14:paraId="407EB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79D7D462">
            <w:pPr>
              <w:pStyle w:val="2"/>
              <w:jc w:val="left"/>
              <w:rPr>
                <w:rFonts w:ascii="Times New Roman" w:hAnsi="Times New Roman"/>
                <w:lang w:val="en-GB"/>
              </w:rPr>
            </w:pPr>
            <w:r>
              <w:rPr>
                <w:rFonts w:ascii="Times New Roman" w:hAnsi="Times New Roman"/>
                <w:lang w:val="en-GB"/>
              </w:rPr>
              <w:t>3. Are the keywords appropriate and useful?</w:t>
            </w:r>
          </w:p>
          <w:p w14:paraId="67FBB48D">
            <w:pPr>
              <w:rPr>
                <w:color w:val="404040"/>
                <w:sz w:val="20"/>
                <w:szCs w:val="20"/>
                <w:shd w:val="clear" w:color="auto" w:fill="FFFFFF"/>
                <w:lang w:val="en-GB"/>
              </w:rPr>
            </w:pPr>
            <w:r>
              <w:rPr>
                <w:color w:val="404040"/>
                <w:sz w:val="20"/>
                <w:szCs w:val="20"/>
                <w:shd w:val="clear" w:color="auto" w:fill="FFFFFF"/>
                <w:lang w:val="en-GB"/>
              </w:rPr>
              <w:t xml:space="preserve">Rating Scale: </w:t>
            </w:r>
          </w:p>
          <w:p w14:paraId="3E4A764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5CA8C5B">
            <w:pPr>
              <w:ind w:left="360"/>
              <w:rPr>
                <w:b/>
                <w:bCs/>
                <w:sz w:val="20"/>
                <w:szCs w:val="20"/>
                <w:lang w:val="en-GB"/>
              </w:rPr>
            </w:pPr>
            <w:r>
              <w:rPr>
                <w:b/>
                <w:bCs/>
                <w:sz w:val="20"/>
                <w:szCs w:val="20"/>
                <w:lang w:val="en-GB"/>
              </w:rPr>
              <w:t>YES</w:t>
            </w:r>
          </w:p>
          <w:p w14:paraId="49A8D265">
            <w:pPr>
              <w:ind w:left="360"/>
              <w:rPr>
                <w:b/>
                <w:bCs/>
                <w:sz w:val="20"/>
                <w:szCs w:val="20"/>
                <w:lang w:val="en-GB"/>
              </w:rPr>
            </w:pPr>
            <w:r>
              <w:rPr>
                <w:b/>
                <w:bCs/>
                <w:sz w:val="20"/>
                <w:szCs w:val="20"/>
                <w:lang w:val="en-GB"/>
              </w:rPr>
              <w:t>4/5</w:t>
            </w:r>
          </w:p>
        </w:tc>
        <w:tc>
          <w:tcPr>
            <w:tcW w:w="1367" w:type="pct"/>
          </w:tcPr>
          <w:p w14:paraId="6C9C3A8A">
            <w:pPr>
              <w:jc w:val="left"/>
              <w:rPr>
                <w:rFonts w:ascii="Times New Roman" w:hAnsi="Times New Roman"/>
                <w:b w:val="0"/>
                <w:lang w:val="en-GB" w:eastAsia="en-US"/>
              </w:rPr>
            </w:pPr>
            <w:r>
              <w:rPr>
                <w:rFonts w:hint="default" w:ascii="Times New Roman" w:hAnsi="Times New Roman"/>
                <w:b w:val="0"/>
                <w:highlight w:val="yellow"/>
                <w:lang w:val="en-US" w:eastAsia="en-US"/>
              </w:rPr>
              <w:t>Thank you</w:t>
            </w:r>
          </w:p>
        </w:tc>
      </w:tr>
      <w:tr w14:paraId="0D00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58102726">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7EBABBCF">
            <w:pPr>
              <w:rPr>
                <w:color w:val="404040"/>
                <w:sz w:val="20"/>
                <w:szCs w:val="20"/>
                <w:shd w:val="clear" w:color="auto" w:fill="FFFFFF"/>
                <w:lang w:val="en-GB"/>
              </w:rPr>
            </w:pPr>
            <w:r>
              <w:rPr>
                <w:color w:val="404040"/>
                <w:sz w:val="20"/>
                <w:szCs w:val="20"/>
                <w:shd w:val="clear" w:color="auto" w:fill="FFFFFF"/>
                <w:lang w:val="en-GB"/>
              </w:rPr>
              <w:t xml:space="preserve">Rating Scale: </w:t>
            </w:r>
          </w:p>
          <w:p w14:paraId="5CC400B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1CD69C9">
            <w:pPr>
              <w:ind w:left="360"/>
              <w:rPr>
                <w:b/>
                <w:bCs/>
                <w:sz w:val="20"/>
                <w:szCs w:val="20"/>
                <w:lang w:val="en-GB"/>
              </w:rPr>
            </w:pPr>
            <w:r>
              <w:rPr>
                <w:b/>
                <w:bCs/>
                <w:sz w:val="20"/>
                <w:szCs w:val="20"/>
                <w:lang w:val="en-GB"/>
              </w:rPr>
              <w:t>YES</w:t>
            </w:r>
          </w:p>
          <w:p w14:paraId="5F1B4B11">
            <w:pPr>
              <w:ind w:left="360"/>
              <w:rPr>
                <w:b/>
                <w:bCs/>
                <w:sz w:val="20"/>
                <w:szCs w:val="20"/>
                <w:lang w:val="en-GB"/>
              </w:rPr>
            </w:pPr>
            <w:r>
              <w:rPr>
                <w:b/>
                <w:bCs/>
                <w:sz w:val="20"/>
                <w:szCs w:val="20"/>
                <w:lang w:val="en-GB"/>
              </w:rPr>
              <w:t>4/5</w:t>
            </w:r>
          </w:p>
          <w:p w14:paraId="665B4FF4">
            <w:pPr>
              <w:ind w:left="360"/>
              <w:rPr>
                <w:b/>
                <w:bCs/>
                <w:sz w:val="20"/>
                <w:szCs w:val="20"/>
                <w:lang w:val="en-GB"/>
              </w:rPr>
            </w:pPr>
            <w:r>
              <w:rPr>
                <w:b/>
                <w:bCs/>
                <w:sz w:val="20"/>
                <w:szCs w:val="20"/>
                <w:lang w:val="en-GB"/>
              </w:rPr>
              <w:t>Comprehensive with general thrombocytopenia discussion. But Earlier focus on malaria-specific relevance would improve precision.</w:t>
            </w:r>
          </w:p>
        </w:tc>
        <w:tc>
          <w:tcPr>
            <w:tcW w:w="1367" w:type="pct"/>
          </w:tcPr>
          <w:p w14:paraId="581732AF">
            <w:pPr>
              <w:jc w:val="left"/>
              <w:rPr>
                <w:rFonts w:ascii="Times New Roman" w:hAnsi="Times New Roman"/>
                <w:b w:val="0"/>
                <w:lang w:val="en-GB" w:eastAsia="en-US"/>
              </w:rPr>
            </w:pPr>
            <w:r>
              <w:rPr>
                <w:rFonts w:hint="default" w:ascii="Times New Roman" w:hAnsi="Times New Roman"/>
                <w:b w:val="0"/>
                <w:highlight w:val="yellow"/>
                <w:lang w:val="en-US" w:eastAsia="en-US"/>
              </w:rPr>
              <w:t>Thank you</w:t>
            </w:r>
          </w:p>
        </w:tc>
      </w:tr>
      <w:tr w14:paraId="20C2B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5E5A9081">
            <w:pPr>
              <w:pStyle w:val="2"/>
              <w:jc w:val="left"/>
              <w:rPr>
                <w:rFonts w:ascii="Times New Roman" w:hAnsi="Times New Roman"/>
                <w:lang w:val="en-GB"/>
              </w:rPr>
            </w:pPr>
            <w:r>
              <w:rPr>
                <w:rFonts w:ascii="Times New Roman" w:hAnsi="Times New Roman"/>
                <w:lang w:val="en-GB"/>
              </w:rPr>
              <w:t>5. Are the objectives clearly stated?</w:t>
            </w:r>
          </w:p>
          <w:p w14:paraId="536690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0BDF28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F686E19">
            <w:pPr>
              <w:ind w:left="360"/>
              <w:rPr>
                <w:b/>
                <w:bCs/>
                <w:sz w:val="20"/>
                <w:szCs w:val="20"/>
                <w:lang w:val="en-GB"/>
              </w:rPr>
            </w:pPr>
            <w:r>
              <w:rPr>
                <w:b/>
                <w:bCs/>
                <w:sz w:val="20"/>
                <w:szCs w:val="20"/>
                <w:lang w:val="en-GB"/>
              </w:rPr>
              <w:t>Yes</w:t>
            </w:r>
          </w:p>
          <w:p w14:paraId="320E8A66">
            <w:pPr>
              <w:ind w:left="360"/>
              <w:rPr>
                <w:b/>
                <w:bCs/>
                <w:sz w:val="20"/>
                <w:szCs w:val="20"/>
                <w:lang w:val="en-GB"/>
              </w:rPr>
            </w:pPr>
            <w:r>
              <w:rPr>
                <w:b/>
                <w:bCs/>
                <w:sz w:val="20"/>
                <w:szCs w:val="20"/>
                <w:lang w:val="en-GB"/>
              </w:rPr>
              <w:t>4/5</w:t>
            </w:r>
          </w:p>
        </w:tc>
        <w:tc>
          <w:tcPr>
            <w:tcW w:w="1367" w:type="pct"/>
          </w:tcPr>
          <w:p w14:paraId="72E044F7">
            <w:pPr>
              <w:jc w:val="left"/>
              <w:rPr>
                <w:rFonts w:ascii="Times New Roman" w:hAnsi="Times New Roman"/>
                <w:b w:val="0"/>
                <w:lang w:val="en-GB" w:eastAsia="en-US"/>
              </w:rPr>
            </w:pPr>
            <w:r>
              <w:rPr>
                <w:rFonts w:hint="default" w:ascii="Times New Roman" w:hAnsi="Times New Roman"/>
                <w:b w:val="0"/>
                <w:highlight w:val="yellow"/>
                <w:lang w:val="en-US" w:eastAsia="en-US"/>
              </w:rPr>
              <w:t>Thank you</w:t>
            </w:r>
          </w:p>
        </w:tc>
      </w:tr>
      <w:tr w14:paraId="2E8E6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68E91FA3">
            <w:pPr>
              <w:pStyle w:val="2"/>
              <w:jc w:val="left"/>
              <w:rPr>
                <w:rFonts w:ascii="Times New Roman" w:hAnsi="Times New Roman"/>
                <w:lang w:val="en-GB"/>
              </w:rPr>
            </w:pPr>
            <w:r>
              <w:rPr>
                <w:rFonts w:ascii="Times New Roman" w:hAnsi="Times New Roman"/>
                <w:lang w:val="en-GB"/>
              </w:rPr>
              <w:t>6. Is the literature review relevant?</w:t>
            </w:r>
          </w:p>
          <w:p w14:paraId="526FAC25">
            <w:pPr>
              <w:rPr>
                <w:color w:val="404040"/>
                <w:sz w:val="20"/>
                <w:szCs w:val="20"/>
                <w:shd w:val="clear" w:color="auto" w:fill="FFFFFF"/>
                <w:lang w:val="en-GB"/>
              </w:rPr>
            </w:pPr>
            <w:r>
              <w:rPr>
                <w:color w:val="404040"/>
                <w:sz w:val="20"/>
                <w:szCs w:val="20"/>
                <w:shd w:val="clear" w:color="auto" w:fill="FFFFFF"/>
                <w:lang w:val="en-GB"/>
              </w:rPr>
              <w:t xml:space="preserve">Rating Scale: </w:t>
            </w:r>
          </w:p>
          <w:p w14:paraId="212BF1E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76DBF25">
            <w:pPr>
              <w:ind w:left="360"/>
              <w:rPr>
                <w:b/>
                <w:bCs/>
                <w:sz w:val="20"/>
                <w:szCs w:val="20"/>
                <w:lang w:val="en-GB"/>
              </w:rPr>
            </w:pPr>
          </w:p>
          <w:p w14:paraId="771F2B30">
            <w:pPr>
              <w:ind w:left="360"/>
              <w:rPr>
                <w:b/>
                <w:bCs/>
                <w:sz w:val="20"/>
                <w:szCs w:val="20"/>
                <w:lang w:val="en-GB"/>
              </w:rPr>
            </w:pPr>
            <w:r>
              <w:rPr>
                <w:b/>
                <w:bCs/>
                <w:sz w:val="20"/>
                <w:szCs w:val="20"/>
                <w:lang w:val="en-GB"/>
              </w:rPr>
              <w:t>Yes</w:t>
            </w:r>
          </w:p>
          <w:p w14:paraId="2DEC7C1F">
            <w:pPr>
              <w:ind w:left="360"/>
              <w:rPr>
                <w:b/>
                <w:bCs/>
                <w:sz w:val="20"/>
                <w:szCs w:val="20"/>
                <w:lang w:val="en-GB"/>
              </w:rPr>
            </w:pPr>
            <w:r>
              <w:rPr>
                <w:b/>
                <w:bCs/>
                <w:sz w:val="20"/>
                <w:szCs w:val="20"/>
                <w:lang w:val="en-GB"/>
              </w:rPr>
              <w:t>5/5</w:t>
            </w:r>
          </w:p>
        </w:tc>
        <w:tc>
          <w:tcPr>
            <w:tcW w:w="1367" w:type="pct"/>
          </w:tcPr>
          <w:p w14:paraId="64626A21">
            <w:pPr>
              <w:jc w:val="left"/>
              <w:rPr>
                <w:rFonts w:ascii="Times New Roman" w:hAnsi="Times New Roman"/>
                <w:b w:val="0"/>
                <w:lang w:val="en-GB" w:eastAsia="en-US"/>
              </w:rPr>
            </w:pPr>
            <w:r>
              <w:rPr>
                <w:rFonts w:hint="default" w:ascii="Times New Roman" w:hAnsi="Times New Roman"/>
                <w:b w:val="0"/>
                <w:highlight w:val="yellow"/>
                <w:lang w:val="en-US" w:eastAsia="en-US"/>
              </w:rPr>
              <w:t>Thank you</w:t>
            </w:r>
          </w:p>
        </w:tc>
      </w:tr>
      <w:tr w14:paraId="2147D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2945F666">
            <w:pPr>
              <w:pStyle w:val="2"/>
              <w:jc w:val="left"/>
              <w:rPr>
                <w:rFonts w:ascii="Times New Roman" w:hAnsi="Times New Roman"/>
                <w:lang w:val="en-GB"/>
              </w:rPr>
            </w:pPr>
            <w:r>
              <w:rPr>
                <w:rFonts w:ascii="Times New Roman" w:hAnsi="Times New Roman"/>
                <w:lang w:val="en-GB"/>
              </w:rPr>
              <w:t>7. Is the literature review recent?</w:t>
            </w:r>
          </w:p>
          <w:p w14:paraId="7C0A69E3">
            <w:pPr>
              <w:rPr>
                <w:color w:val="404040"/>
                <w:sz w:val="20"/>
                <w:szCs w:val="20"/>
                <w:shd w:val="clear" w:color="auto" w:fill="FFFFFF"/>
                <w:lang w:val="en-GB"/>
              </w:rPr>
            </w:pPr>
            <w:r>
              <w:rPr>
                <w:color w:val="404040"/>
                <w:sz w:val="20"/>
                <w:szCs w:val="20"/>
                <w:shd w:val="clear" w:color="auto" w:fill="FFFFFF"/>
                <w:lang w:val="en-GB"/>
              </w:rPr>
              <w:t xml:space="preserve">Rating Scale: </w:t>
            </w:r>
          </w:p>
          <w:p w14:paraId="368D2A91">
            <w:pPr>
              <w:pStyle w:val="2"/>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2C4EB1A">
            <w:pPr>
              <w:ind w:left="360"/>
              <w:rPr>
                <w:b/>
                <w:bCs/>
                <w:sz w:val="20"/>
                <w:szCs w:val="20"/>
                <w:lang w:val="en-GB"/>
              </w:rPr>
            </w:pPr>
            <w:r>
              <w:rPr>
                <w:b/>
                <w:bCs/>
                <w:sz w:val="20"/>
                <w:szCs w:val="20"/>
                <w:lang w:val="en-GB"/>
              </w:rPr>
              <w:t>Yes</w:t>
            </w:r>
          </w:p>
          <w:p w14:paraId="60A6D550">
            <w:pPr>
              <w:ind w:left="360"/>
              <w:rPr>
                <w:b/>
                <w:bCs/>
                <w:sz w:val="20"/>
                <w:szCs w:val="20"/>
                <w:lang w:val="en-GB"/>
              </w:rPr>
            </w:pPr>
            <w:r>
              <w:rPr>
                <w:b/>
                <w:bCs/>
                <w:sz w:val="20"/>
                <w:szCs w:val="20"/>
                <w:lang w:val="en-GB"/>
              </w:rPr>
              <w:t>5/5</w:t>
            </w:r>
          </w:p>
        </w:tc>
        <w:tc>
          <w:tcPr>
            <w:tcW w:w="1367" w:type="pct"/>
          </w:tcPr>
          <w:p w14:paraId="7B5259B1">
            <w:pPr>
              <w:jc w:val="left"/>
              <w:rPr>
                <w:rFonts w:ascii="Times New Roman" w:hAnsi="Times New Roman"/>
                <w:b w:val="0"/>
                <w:lang w:val="en-GB" w:eastAsia="en-US"/>
              </w:rPr>
            </w:pPr>
            <w:r>
              <w:rPr>
                <w:rFonts w:hint="default" w:ascii="Times New Roman" w:hAnsi="Times New Roman"/>
                <w:b w:val="0"/>
                <w:highlight w:val="yellow"/>
                <w:lang w:val="en-US" w:eastAsia="en-US"/>
              </w:rPr>
              <w:t>Thank you</w:t>
            </w:r>
          </w:p>
        </w:tc>
      </w:tr>
      <w:tr w14:paraId="4E72F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5B0D8902">
            <w:pPr>
              <w:pStyle w:val="2"/>
              <w:jc w:val="left"/>
              <w:rPr>
                <w:rFonts w:ascii="Times New Roman" w:hAnsi="Times New Roman"/>
                <w:lang w:val="en-GB"/>
              </w:rPr>
            </w:pPr>
            <w:r>
              <w:rPr>
                <w:rFonts w:ascii="Times New Roman" w:hAnsi="Times New Roman"/>
                <w:lang w:val="en-GB"/>
              </w:rPr>
              <w:t xml:space="preserve">8. Is the literature search methodology explained properly? </w:t>
            </w:r>
          </w:p>
          <w:p w14:paraId="314DF66E">
            <w:pPr>
              <w:rPr>
                <w:color w:val="404040"/>
                <w:sz w:val="20"/>
                <w:szCs w:val="20"/>
                <w:shd w:val="clear" w:color="auto" w:fill="FFFFFF"/>
                <w:lang w:val="en-GB"/>
              </w:rPr>
            </w:pPr>
            <w:r>
              <w:rPr>
                <w:color w:val="404040"/>
                <w:sz w:val="20"/>
                <w:szCs w:val="20"/>
                <w:shd w:val="clear" w:color="auto" w:fill="FFFFFF"/>
                <w:lang w:val="en-GB"/>
              </w:rPr>
              <w:t xml:space="preserve">Rating Scale: </w:t>
            </w:r>
          </w:p>
          <w:p w14:paraId="16F3B8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70A74D">
            <w:pPr>
              <w:ind w:left="360"/>
              <w:rPr>
                <w:b/>
                <w:bCs/>
                <w:sz w:val="20"/>
                <w:szCs w:val="20"/>
                <w:lang w:val="en-GB"/>
              </w:rPr>
            </w:pPr>
            <w:r>
              <w:rPr>
                <w:b/>
                <w:bCs/>
                <w:sz w:val="20"/>
                <w:szCs w:val="20"/>
                <w:lang w:val="en-GB"/>
              </w:rPr>
              <w:t>Yes, 4/5</w:t>
            </w:r>
          </w:p>
          <w:p w14:paraId="1EFD88DF">
            <w:pPr>
              <w:ind w:left="360"/>
              <w:rPr>
                <w:b/>
                <w:bCs/>
                <w:sz w:val="20"/>
                <w:szCs w:val="20"/>
                <w:lang w:val="en-GB"/>
              </w:rPr>
            </w:pPr>
            <w:r>
              <w:rPr>
                <w:b/>
                <w:bCs/>
                <w:sz w:val="20"/>
                <w:szCs w:val="20"/>
                <w:lang w:val="en-GB"/>
              </w:rPr>
              <w:t>some what. Could have added more depth, not by volume, but by depth.</w:t>
            </w:r>
          </w:p>
        </w:tc>
        <w:tc>
          <w:tcPr>
            <w:tcW w:w="1367" w:type="pct"/>
          </w:tcPr>
          <w:p w14:paraId="7F788AD4">
            <w:pPr>
              <w:jc w:val="left"/>
              <w:rPr>
                <w:rFonts w:ascii="Times New Roman" w:hAnsi="Times New Roman"/>
                <w:b w:val="0"/>
                <w:lang w:val="en-GB" w:eastAsia="en-US"/>
              </w:rPr>
            </w:pPr>
            <w:r>
              <w:rPr>
                <w:rFonts w:hint="default" w:ascii="Times New Roman" w:hAnsi="Times New Roman"/>
                <w:b w:val="0"/>
                <w:highlight w:val="yellow"/>
                <w:lang w:val="en-US" w:eastAsia="en-US"/>
              </w:rPr>
              <w:t>Thank you</w:t>
            </w:r>
          </w:p>
        </w:tc>
      </w:tr>
      <w:tr w14:paraId="33AA4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2AF76BAE">
            <w:pPr>
              <w:pStyle w:val="2"/>
              <w:jc w:val="left"/>
              <w:rPr>
                <w:rFonts w:ascii="Times New Roman" w:hAnsi="Times New Roman"/>
                <w:lang w:val="en-GB"/>
              </w:rPr>
            </w:pPr>
            <w:r>
              <w:rPr>
                <w:rFonts w:ascii="Times New Roman" w:hAnsi="Times New Roman"/>
                <w:lang w:val="en-GB"/>
              </w:rPr>
              <w:t>9. Is the Critical analysis of literature done?</w:t>
            </w:r>
          </w:p>
          <w:p w14:paraId="70EAAFCD">
            <w:pPr>
              <w:rPr>
                <w:color w:val="404040"/>
                <w:sz w:val="20"/>
                <w:szCs w:val="20"/>
                <w:shd w:val="clear" w:color="auto" w:fill="FFFFFF"/>
                <w:lang w:val="en-GB"/>
              </w:rPr>
            </w:pPr>
            <w:r>
              <w:rPr>
                <w:color w:val="404040"/>
                <w:sz w:val="20"/>
                <w:szCs w:val="20"/>
                <w:shd w:val="clear" w:color="auto" w:fill="FFFFFF"/>
                <w:lang w:val="en-GB"/>
              </w:rPr>
              <w:t xml:space="preserve">Rating Scale: </w:t>
            </w:r>
          </w:p>
          <w:p w14:paraId="7667312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28F1223">
            <w:pPr>
              <w:ind w:left="360"/>
              <w:rPr>
                <w:b/>
                <w:bCs/>
                <w:sz w:val="20"/>
                <w:szCs w:val="20"/>
                <w:lang w:val="en-GB"/>
              </w:rPr>
            </w:pPr>
            <w:r>
              <w:rPr>
                <w:b/>
                <w:bCs/>
                <w:sz w:val="20"/>
                <w:szCs w:val="20"/>
                <w:lang w:val="en-GB"/>
              </w:rPr>
              <w:t>Yes</w:t>
            </w:r>
          </w:p>
          <w:p w14:paraId="1092728C">
            <w:pPr>
              <w:ind w:left="360"/>
              <w:rPr>
                <w:b/>
                <w:bCs/>
                <w:sz w:val="20"/>
                <w:szCs w:val="20"/>
                <w:lang w:val="en-GB"/>
              </w:rPr>
            </w:pPr>
            <w:r>
              <w:rPr>
                <w:b/>
                <w:bCs/>
                <w:sz w:val="20"/>
                <w:szCs w:val="20"/>
                <w:lang w:val="en-GB"/>
              </w:rPr>
              <w:t>3/5</w:t>
            </w:r>
          </w:p>
          <w:p w14:paraId="1BB004DB">
            <w:pPr>
              <w:ind w:left="360"/>
              <w:rPr>
                <w:b/>
                <w:bCs/>
                <w:sz w:val="20"/>
                <w:szCs w:val="20"/>
                <w:lang w:val="en-GB"/>
              </w:rPr>
            </w:pPr>
            <w:r>
              <w:rPr>
                <w:b/>
                <w:bCs/>
                <w:sz w:val="20"/>
                <w:szCs w:val="20"/>
                <w:lang w:val="en-GB"/>
              </w:rPr>
              <w:t>The principal limitation of the manuscript lies in the use of a binary definition of thrombocytopenia (&lt;150 ×10⁹/L) for pooled analysis without any stratification by severity. While this threshold is standard for defining thrombocytopenia, its use as a sole analytical framework is overly reductive in the context of clinical interpretation.</w:t>
            </w:r>
          </w:p>
          <w:p w14:paraId="4AB704DF">
            <w:pPr>
              <w:ind w:left="360"/>
              <w:rPr>
                <w:b/>
                <w:bCs/>
                <w:sz w:val="20"/>
                <w:szCs w:val="20"/>
                <w:lang w:val="en-GB"/>
              </w:rPr>
            </w:pPr>
          </w:p>
          <w:p w14:paraId="6A42CB81">
            <w:pPr>
              <w:ind w:left="360"/>
              <w:rPr>
                <w:b/>
                <w:bCs/>
                <w:sz w:val="20"/>
                <w:szCs w:val="20"/>
                <w:lang w:val="en-GB"/>
              </w:rPr>
            </w:pPr>
            <w:r>
              <w:rPr>
                <w:b/>
                <w:bCs/>
                <w:sz w:val="20"/>
                <w:szCs w:val="20"/>
                <w:lang w:val="en-GB"/>
              </w:rPr>
              <w:t>In clinical practice, the degree of thrombocytopenia, rather than its mere presence,is what correlates with disease severity, systemic involvement, and clinical decision-making. A platelet count of 140 ×10⁹/L and one of 20 ×10⁹/L are treated equivalently within this analysis, which substantially limits the ability of the study to meaningfully evaluate “clinical significance,” as stated in its objective.</w:t>
            </w:r>
          </w:p>
          <w:p w14:paraId="1F8614AB">
            <w:pPr>
              <w:ind w:left="360"/>
              <w:rPr>
                <w:b/>
                <w:bCs/>
                <w:sz w:val="20"/>
                <w:szCs w:val="20"/>
                <w:lang w:val="en-GB"/>
              </w:rPr>
            </w:pPr>
          </w:p>
          <w:p w14:paraId="6FD56B60">
            <w:pPr>
              <w:ind w:left="360"/>
              <w:rPr>
                <w:b/>
                <w:bCs/>
                <w:sz w:val="20"/>
                <w:szCs w:val="20"/>
                <w:lang w:val="en-GB"/>
              </w:rPr>
            </w:pPr>
            <w:r>
              <w:rPr>
                <w:b/>
                <w:bCs/>
                <w:sz w:val="20"/>
                <w:szCs w:val="20"/>
                <w:lang w:val="en-GB"/>
              </w:rPr>
              <w:t>As a result, the conclusions regarding the prognostic value of thrombocytopenia are only partially supported by the data presented. Stratification by severity thresholds (e.g., &lt;100, &lt;50 ×10⁹/L), or at minimum a more explicit discussion of this limitation, would significantly strengthen the manuscript.</w:t>
            </w:r>
          </w:p>
        </w:tc>
        <w:tc>
          <w:tcPr>
            <w:tcW w:w="1367" w:type="pct"/>
          </w:tcPr>
          <w:p w14:paraId="6985235B">
            <w:pPr>
              <w:pStyle w:val="2"/>
              <w:jc w:val="left"/>
              <w:rPr>
                <w:rFonts w:ascii="Times New Roman" w:hAnsi="Times New Roman"/>
                <w:b w:val="0"/>
                <w:lang w:val="en-GB" w:eastAsia="en-US"/>
              </w:rPr>
            </w:pPr>
            <w:r>
              <w:rPr>
                <w:rFonts w:ascii="Times New Roman" w:hAnsi="Times New Roman"/>
                <w:b w:val="0"/>
                <w:lang w:val="en-GB" w:eastAsia="en-US"/>
              </w:rPr>
              <w:br w:type="textWrapping"/>
            </w:r>
            <w:r>
              <w:rPr>
                <w:rFonts w:ascii="Times New Roman" w:hAnsi="Times New Roman"/>
                <w:b w:val="0"/>
                <w:lang w:val="en-GB" w:eastAsia="en-US"/>
              </w:rPr>
              <w:br w:type="textWrapping"/>
            </w:r>
            <w:r>
              <w:rPr>
                <w:rFonts w:ascii="Times New Roman" w:hAnsi="Times New Roman"/>
                <w:b w:val="0"/>
                <w:lang w:val="en-GB" w:eastAsia="en-US"/>
              </w:rPr>
              <w:br w:type="textWrapping"/>
            </w:r>
            <w:r>
              <w:rPr>
                <w:rFonts w:ascii="Times New Roman" w:hAnsi="Times New Roman"/>
                <w:b w:val="0"/>
                <w:lang w:val="en-GB" w:eastAsia="en-US"/>
              </w:rPr>
              <w:br w:type="textWrapping"/>
            </w:r>
            <w:r>
              <w:rPr>
                <w:rFonts w:ascii="Times New Roman" w:hAnsi="Times New Roman"/>
                <w:b w:val="0"/>
                <w:lang w:val="en-GB" w:eastAsia="en-US"/>
              </w:rPr>
              <w:br w:type="textWrapping"/>
            </w:r>
            <w:r>
              <w:rPr>
                <w:rFonts w:ascii="Times New Roman" w:hAnsi="Times New Roman"/>
                <w:b w:val="0"/>
                <w:lang w:val="en-GB" w:eastAsia="en-US"/>
              </w:rPr>
              <w:br w:type="textWrapping"/>
            </w:r>
            <w:r>
              <w:rPr>
                <w:rFonts w:ascii="Times New Roman" w:hAnsi="Times New Roman"/>
                <w:b w:val="0"/>
                <w:lang w:val="en-GB" w:eastAsia="en-US"/>
              </w:rPr>
              <w:br w:type="textWrapping"/>
            </w:r>
            <w:r>
              <w:rPr>
                <w:rFonts w:ascii="Times New Roman" w:hAnsi="Times New Roman"/>
                <w:b w:val="0"/>
                <w:lang w:val="en-GB" w:eastAsia="en-US"/>
              </w:rPr>
              <w:br w:type="textWrapping"/>
            </w:r>
            <w:r>
              <w:rPr>
                <w:rFonts w:ascii="Times New Roman" w:hAnsi="Times New Roman"/>
                <w:b w:val="0"/>
                <w:lang w:val="en-GB" w:eastAsia="en-US"/>
              </w:rPr>
              <w:br w:type="textWrapping"/>
            </w:r>
            <w:r>
              <w:rPr>
                <w:rFonts w:ascii="Times New Roman" w:hAnsi="Times New Roman"/>
                <w:b w:val="0"/>
                <w:lang w:val="en-GB" w:eastAsia="en-US"/>
              </w:rPr>
              <w:br w:type="textWrapping"/>
            </w:r>
            <w:r>
              <w:rPr>
                <w:rFonts w:ascii="Times New Roman" w:hAnsi="Times New Roman"/>
                <w:b w:val="0"/>
                <w:lang w:val="en-GB" w:eastAsia="en-US"/>
              </w:rPr>
              <w:br w:type="textWrapping"/>
            </w:r>
            <w:r>
              <w:rPr>
                <w:rFonts w:hint="default" w:ascii="Times New Roman" w:hAnsi="Times New Roman"/>
                <w:b w:val="0"/>
                <w:highlight w:val="yellow"/>
                <w:lang w:val="en-US" w:eastAsia="en-US"/>
              </w:rPr>
              <w:t>Thank you</w:t>
            </w:r>
          </w:p>
        </w:tc>
      </w:tr>
      <w:tr w14:paraId="233F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25677B47">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0DF11CC0">
            <w:pPr>
              <w:rPr>
                <w:color w:val="404040"/>
                <w:sz w:val="20"/>
                <w:szCs w:val="20"/>
                <w:shd w:val="clear" w:color="auto" w:fill="FFFFFF"/>
                <w:lang w:val="en-GB"/>
              </w:rPr>
            </w:pPr>
            <w:r>
              <w:rPr>
                <w:color w:val="404040"/>
                <w:sz w:val="20"/>
                <w:szCs w:val="20"/>
                <w:shd w:val="clear" w:color="auto" w:fill="FFFFFF"/>
                <w:lang w:val="en-GB"/>
              </w:rPr>
              <w:t xml:space="preserve">Rating Scale: </w:t>
            </w:r>
          </w:p>
          <w:p w14:paraId="75E8AF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85DACA">
            <w:pPr>
              <w:pStyle w:val="19"/>
              <w:ind w:left="0"/>
              <w:rPr>
                <w:bCs/>
                <w:sz w:val="20"/>
                <w:szCs w:val="20"/>
                <w:lang w:val="en-GB"/>
              </w:rPr>
            </w:pPr>
            <w:r>
              <w:rPr>
                <w:bCs/>
                <w:sz w:val="20"/>
                <w:szCs w:val="20"/>
                <w:lang w:val="en-GB"/>
              </w:rPr>
              <w:t>Yes, 4/5</w:t>
            </w:r>
          </w:p>
          <w:p w14:paraId="7AB2813F">
            <w:pPr>
              <w:pStyle w:val="19"/>
              <w:ind w:left="0"/>
              <w:rPr>
                <w:bCs/>
                <w:sz w:val="20"/>
                <w:szCs w:val="20"/>
                <w:lang w:val="en-GB"/>
              </w:rPr>
            </w:pPr>
            <w:r>
              <w:rPr>
                <w:bCs/>
                <w:sz w:val="20"/>
                <w:szCs w:val="20"/>
                <w:lang w:val="en-GB"/>
              </w:rPr>
              <w:t>Appropriately addressed. Should more clearly emphasize the need for severity-based platelet stratification in future studies.</w:t>
            </w:r>
          </w:p>
        </w:tc>
        <w:tc>
          <w:tcPr>
            <w:tcW w:w="1367" w:type="pct"/>
          </w:tcPr>
          <w:p w14:paraId="2D153FDB">
            <w:pPr>
              <w:jc w:val="left"/>
              <w:rPr>
                <w:rFonts w:ascii="Times New Roman" w:hAnsi="Times New Roman"/>
                <w:b w:val="0"/>
                <w:lang w:val="en-GB" w:eastAsia="en-US"/>
              </w:rPr>
            </w:pPr>
            <w:r>
              <w:rPr>
                <w:rFonts w:hint="default" w:ascii="Times New Roman" w:hAnsi="Times New Roman"/>
                <w:b w:val="0"/>
                <w:highlight w:val="yellow"/>
                <w:lang w:val="en-US" w:eastAsia="en-US"/>
              </w:rPr>
              <w:t>Thank you</w:t>
            </w:r>
          </w:p>
        </w:tc>
      </w:tr>
      <w:tr w14:paraId="1FBB1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541F2094">
            <w:pPr>
              <w:rPr>
                <w:b/>
                <w:sz w:val="20"/>
                <w:szCs w:val="20"/>
                <w:lang w:val="en-GB"/>
              </w:rPr>
            </w:pPr>
            <w:r>
              <w:rPr>
                <w:b/>
                <w:sz w:val="20"/>
                <w:szCs w:val="20"/>
                <w:lang w:val="en-GB"/>
              </w:rPr>
              <w:t>11. Are the conclusions logically arrived?</w:t>
            </w:r>
          </w:p>
          <w:p w14:paraId="49319D6A">
            <w:pPr>
              <w:rPr>
                <w:color w:val="404040"/>
                <w:sz w:val="20"/>
                <w:szCs w:val="20"/>
                <w:shd w:val="clear" w:color="auto" w:fill="FFFFFF"/>
                <w:lang w:val="en-GB"/>
              </w:rPr>
            </w:pPr>
            <w:r>
              <w:rPr>
                <w:color w:val="404040"/>
                <w:sz w:val="20"/>
                <w:szCs w:val="20"/>
                <w:shd w:val="clear" w:color="auto" w:fill="FFFFFF"/>
                <w:lang w:val="en-GB"/>
              </w:rPr>
              <w:t xml:space="preserve">Rating Scale: </w:t>
            </w:r>
          </w:p>
          <w:p w14:paraId="0F70C89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DB1194">
            <w:pPr>
              <w:pStyle w:val="19"/>
              <w:ind w:left="0"/>
              <w:rPr>
                <w:bCs/>
                <w:sz w:val="20"/>
                <w:szCs w:val="20"/>
                <w:lang w:val="en-GB"/>
              </w:rPr>
            </w:pPr>
            <w:r>
              <w:rPr>
                <w:bCs/>
                <w:sz w:val="20"/>
                <w:szCs w:val="20"/>
                <w:lang w:val="en-GB"/>
              </w:rPr>
              <w:t>Yes, some what</w:t>
            </w:r>
          </w:p>
          <w:p w14:paraId="6986A5AD">
            <w:pPr>
              <w:pStyle w:val="19"/>
              <w:ind w:left="0"/>
              <w:rPr>
                <w:bCs/>
                <w:sz w:val="20"/>
                <w:szCs w:val="20"/>
                <w:lang w:val="en-GB"/>
              </w:rPr>
            </w:pPr>
            <w:r>
              <w:rPr>
                <w:bCs/>
                <w:sz w:val="20"/>
                <w:szCs w:val="20"/>
                <w:lang w:val="en-GB"/>
              </w:rPr>
              <w:t>4/5</w:t>
            </w:r>
          </w:p>
          <w:p w14:paraId="74CB5371">
            <w:pPr>
              <w:pStyle w:val="19"/>
              <w:ind w:left="0"/>
              <w:rPr>
                <w:bCs/>
                <w:sz w:val="20"/>
                <w:szCs w:val="20"/>
                <w:lang w:val="en-GB"/>
              </w:rPr>
            </w:pPr>
            <w:r>
              <w:rPr>
                <w:bCs/>
                <w:sz w:val="20"/>
                <w:szCs w:val="20"/>
                <w:lang w:val="en-GB"/>
              </w:rPr>
              <w:t>Logically derived, but somewhat overextended given the analytical limitations. A more measured framing of the clinical significance would have been appropriate.</w:t>
            </w:r>
          </w:p>
        </w:tc>
        <w:tc>
          <w:tcPr>
            <w:tcW w:w="1367" w:type="pct"/>
          </w:tcPr>
          <w:p w14:paraId="374CFE0D">
            <w:pPr>
              <w:jc w:val="left"/>
              <w:rPr>
                <w:rFonts w:ascii="Times New Roman" w:hAnsi="Times New Roman"/>
                <w:b w:val="0"/>
                <w:lang w:val="en-GB" w:eastAsia="en-US"/>
              </w:rPr>
            </w:pPr>
            <w:r>
              <w:rPr>
                <w:rFonts w:hint="default" w:ascii="Times New Roman" w:hAnsi="Times New Roman"/>
                <w:b w:val="0"/>
                <w:highlight w:val="yellow"/>
                <w:lang w:val="en-US" w:eastAsia="en-US"/>
              </w:rPr>
              <w:t>Thank you</w:t>
            </w:r>
          </w:p>
        </w:tc>
      </w:tr>
      <w:tr w14:paraId="01DCC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67706839">
            <w:pPr>
              <w:rPr>
                <w:b/>
                <w:sz w:val="20"/>
                <w:szCs w:val="20"/>
                <w:lang w:val="en-GB"/>
              </w:rPr>
            </w:pPr>
            <w:r>
              <w:rPr>
                <w:b/>
                <w:sz w:val="20"/>
                <w:szCs w:val="20"/>
                <w:lang w:val="en-GB"/>
              </w:rPr>
              <w:t>12. Are the limitations of the paper discussed?</w:t>
            </w:r>
          </w:p>
          <w:p w14:paraId="5E5B4160">
            <w:pPr>
              <w:rPr>
                <w:color w:val="404040"/>
                <w:sz w:val="20"/>
                <w:szCs w:val="20"/>
                <w:shd w:val="clear" w:color="auto" w:fill="FFFFFF"/>
                <w:lang w:val="en-GB"/>
              </w:rPr>
            </w:pPr>
            <w:r>
              <w:rPr>
                <w:color w:val="404040"/>
                <w:sz w:val="20"/>
                <w:szCs w:val="20"/>
                <w:shd w:val="clear" w:color="auto" w:fill="FFFFFF"/>
                <w:lang w:val="en-GB"/>
              </w:rPr>
              <w:t xml:space="preserve">Rating Scale: </w:t>
            </w:r>
          </w:p>
          <w:p w14:paraId="6DE7E4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09FE83">
            <w:pPr>
              <w:pStyle w:val="19"/>
              <w:ind w:left="0"/>
              <w:rPr>
                <w:bCs/>
                <w:sz w:val="20"/>
                <w:szCs w:val="20"/>
                <w:lang w:val="en-GB"/>
              </w:rPr>
            </w:pPr>
            <w:r>
              <w:rPr>
                <w:bCs/>
                <w:sz w:val="20"/>
                <w:szCs w:val="20"/>
                <w:lang w:val="en-GB"/>
              </w:rPr>
              <w:t>Yes</w:t>
            </w:r>
          </w:p>
          <w:p w14:paraId="4A53CB17">
            <w:pPr>
              <w:pStyle w:val="19"/>
              <w:ind w:left="0"/>
              <w:rPr>
                <w:bCs/>
                <w:sz w:val="20"/>
                <w:szCs w:val="20"/>
                <w:lang w:val="en-GB"/>
              </w:rPr>
            </w:pPr>
            <w:r>
              <w:rPr>
                <w:bCs/>
                <w:sz w:val="20"/>
                <w:szCs w:val="20"/>
                <w:lang w:val="en-GB"/>
              </w:rPr>
              <w:t>4/5</w:t>
            </w:r>
          </w:p>
          <w:p w14:paraId="7438E066">
            <w:pPr>
              <w:pStyle w:val="19"/>
              <w:ind w:left="0"/>
              <w:rPr>
                <w:bCs/>
                <w:sz w:val="20"/>
                <w:szCs w:val="20"/>
                <w:lang w:val="en-GB"/>
              </w:rPr>
            </w:pPr>
            <w:r>
              <w:rPr>
                <w:bCs/>
                <w:sz w:val="20"/>
                <w:szCs w:val="20"/>
                <w:lang w:val="en-GB"/>
              </w:rPr>
              <w:t>Several limitations are acknowledged. however, the lack of severity-based stratification of thrombocytopenia should be explicitly highlighted as a central limitation.</w:t>
            </w:r>
          </w:p>
        </w:tc>
        <w:tc>
          <w:tcPr>
            <w:tcW w:w="1367" w:type="pct"/>
          </w:tcPr>
          <w:p w14:paraId="450592C7">
            <w:pPr>
              <w:jc w:val="left"/>
              <w:rPr>
                <w:rFonts w:ascii="Times New Roman" w:hAnsi="Times New Roman"/>
                <w:b w:val="0"/>
                <w:lang w:val="en-GB" w:eastAsia="en-US"/>
              </w:rPr>
            </w:pPr>
            <w:r>
              <w:rPr>
                <w:rFonts w:hint="default" w:ascii="Times New Roman" w:hAnsi="Times New Roman"/>
                <w:b w:val="0"/>
                <w:highlight w:val="yellow"/>
                <w:lang w:val="en-US" w:eastAsia="en-US"/>
              </w:rPr>
              <w:t>Thank you</w:t>
            </w:r>
          </w:p>
        </w:tc>
      </w:tr>
      <w:tr w14:paraId="5262B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0CF8F45F">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5C386F4">
            <w:pPr>
              <w:rPr>
                <w:color w:val="404040"/>
                <w:sz w:val="20"/>
                <w:szCs w:val="20"/>
                <w:shd w:val="clear" w:color="auto" w:fill="FFFFFF"/>
                <w:lang w:val="en-GB"/>
              </w:rPr>
            </w:pPr>
            <w:r>
              <w:rPr>
                <w:color w:val="404040"/>
                <w:sz w:val="20"/>
                <w:szCs w:val="20"/>
                <w:shd w:val="clear" w:color="auto" w:fill="FFFFFF"/>
                <w:lang w:val="en-GB"/>
              </w:rPr>
              <w:t xml:space="preserve">Rating Scale: </w:t>
            </w:r>
          </w:p>
          <w:p w14:paraId="791D101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AFEAAD3">
            <w:pPr>
              <w:rPr>
                <w:sz w:val="20"/>
                <w:szCs w:val="20"/>
                <w:lang w:val="en-GB"/>
              </w:rPr>
            </w:pPr>
            <w:r>
              <w:rPr>
                <w:color w:val="404040"/>
                <w:sz w:val="20"/>
                <w:szCs w:val="20"/>
                <w:shd w:val="clear" w:color="auto" w:fill="FFFFFF"/>
                <w:lang w:val="en-GB"/>
              </w:rPr>
              <w:t>N/A = Not Applicable</w:t>
            </w:r>
          </w:p>
        </w:tc>
        <w:tc>
          <w:tcPr>
            <w:tcW w:w="1843" w:type="pct"/>
          </w:tcPr>
          <w:p w14:paraId="100C7945">
            <w:pPr>
              <w:pStyle w:val="19"/>
              <w:ind w:left="0"/>
              <w:rPr>
                <w:bCs/>
                <w:sz w:val="20"/>
                <w:szCs w:val="20"/>
                <w:lang w:val="en-GB"/>
              </w:rPr>
            </w:pPr>
            <w:r>
              <w:rPr>
                <w:bCs/>
                <w:sz w:val="20"/>
                <w:szCs w:val="20"/>
                <w:lang w:val="en-GB"/>
              </w:rPr>
              <w:t>Good and extensive</w:t>
            </w:r>
          </w:p>
          <w:p w14:paraId="46EC5F81">
            <w:pPr>
              <w:pStyle w:val="19"/>
              <w:ind w:left="0"/>
              <w:rPr>
                <w:bCs/>
                <w:sz w:val="20"/>
                <w:szCs w:val="20"/>
                <w:lang w:val="en-GB"/>
              </w:rPr>
            </w:pPr>
            <w:r>
              <w:rPr>
                <w:bCs/>
                <w:sz w:val="20"/>
                <w:szCs w:val="20"/>
                <w:lang w:val="en-GB"/>
              </w:rPr>
              <w:t>5/5</w:t>
            </w:r>
          </w:p>
        </w:tc>
        <w:tc>
          <w:tcPr>
            <w:tcW w:w="1367" w:type="pct"/>
          </w:tcPr>
          <w:p w14:paraId="7518C5A1">
            <w:pPr>
              <w:jc w:val="left"/>
              <w:rPr>
                <w:rFonts w:ascii="Times New Roman" w:hAnsi="Times New Roman"/>
                <w:b w:val="0"/>
                <w:lang w:val="en-GB" w:eastAsia="en-US"/>
              </w:rPr>
            </w:pPr>
            <w:r>
              <w:rPr>
                <w:rFonts w:hint="default" w:ascii="Times New Roman" w:hAnsi="Times New Roman"/>
                <w:b w:val="0"/>
                <w:highlight w:val="yellow"/>
                <w:lang w:val="en-US" w:eastAsia="en-US"/>
              </w:rPr>
              <w:t>Thank you</w:t>
            </w:r>
          </w:p>
        </w:tc>
      </w:tr>
      <w:tr w14:paraId="4C9D2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2FDFFE1F">
            <w:pPr>
              <w:rPr>
                <w:b/>
                <w:sz w:val="20"/>
                <w:szCs w:val="20"/>
                <w:lang w:val="en-GB"/>
              </w:rPr>
            </w:pPr>
            <w:r>
              <w:rPr>
                <w:b/>
                <w:sz w:val="20"/>
                <w:szCs w:val="20"/>
                <w:lang w:val="en-GB"/>
              </w:rPr>
              <w:t>14. Is the manuscript written in clear and understandable language?</w:t>
            </w:r>
          </w:p>
          <w:p w14:paraId="3F24AA0D">
            <w:pPr>
              <w:rPr>
                <w:color w:val="404040"/>
                <w:sz w:val="20"/>
                <w:szCs w:val="20"/>
                <w:shd w:val="clear" w:color="auto" w:fill="FFFFFF"/>
                <w:lang w:val="en-GB"/>
              </w:rPr>
            </w:pPr>
            <w:r>
              <w:rPr>
                <w:color w:val="404040"/>
                <w:sz w:val="20"/>
                <w:szCs w:val="20"/>
                <w:shd w:val="clear" w:color="auto" w:fill="FFFFFF"/>
                <w:lang w:val="en-GB"/>
              </w:rPr>
              <w:t xml:space="preserve">Rating Scale: </w:t>
            </w:r>
          </w:p>
          <w:p w14:paraId="7C9C96C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E522DC3">
            <w:pPr>
              <w:rPr>
                <w:sz w:val="20"/>
                <w:szCs w:val="20"/>
                <w:lang w:val="en-GB"/>
              </w:rPr>
            </w:pPr>
            <w:r>
              <w:rPr>
                <w:color w:val="404040"/>
                <w:sz w:val="20"/>
                <w:szCs w:val="20"/>
                <w:shd w:val="clear" w:color="auto" w:fill="FFFFFF"/>
                <w:lang w:val="en-GB"/>
              </w:rPr>
              <w:t>N/A = Not Applicable</w:t>
            </w:r>
          </w:p>
        </w:tc>
        <w:tc>
          <w:tcPr>
            <w:tcW w:w="1843" w:type="pct"/>
          </w:tcPr>
          <w:p w14:paraId="1CBA6C80">
            <w:pPr>
              <w:pStyle w:val="19"/>
              <w:ind w:left="0"/>
              <w:rPr>
                <w:bCs/>
                <w:sz w:val="20"/>
                <w:szCs w:val="20"/>
                <w:lang w:val="en-GB"/>
              </w:rPr>
            </w:pPr>
            <w:r>
              <w:rPr>
                <w:bCs/>
                <w:sz w:val="20"/>
                <w:szCs w:val="20"/>
                <w:lang w:val="en-GB"/>
              </w:rPr>
              <w:t>Good</w:t>
            </w:r>
          </w:p>
          <w:p w14:paraId="51B24BE9">
            <w:pPr>
              <w:pStyle w:val="19"/>
              <w:ind w:left="0"/>
              <w:rPr>
                <w:bCs/>
                <w:sz w:val="20"/>
                <w:szCs w:val="20"/>
                <w:lang w:val="en-GB"/>
              </w:rPr>
            </w:pPr>
            <w:r>
              <w:rPr>
                <w:bCs/>
                <w:sz w:val="20"/>
                <w:szCs w:val="20"/>
                <w:lang w:val="en-GB"/>
              </w:rPr>
              <w:t>4/5</w:t>
            </w:r>
          </w:p>
        </w:tc>
        <w:tc>
          <w:tcPr>
            <w:tcW w:w="1367" w:type="pct"/>
          </w:tcPr>
          <w:p w14:paraId="4016FAB8">
            <w:pPr>
              <w:jc w:val="left"/>
              <w:rPr>
                <w:rFonts w:ascii="Times New Roman" w:hAnsi="Times New Roman"/>
                <w:b w:val="0"/>
                <w:lang w:val="en-GB" w:eastAsia="en-US"/>
              </w:rPr>
            </w:pPr>
            <w:r>
              <w:rPr>
                <w:rFonts w:hint="default" w:ascii="Times New Roman" w:hAnsi="Times New Roman"/>
                <w:b w:val="0"/>
                <w:highlight w:val="yellow"/>
                <w:lang w:val="en-US" w:eastAsia="en-US"/>
              </w:rPr>
              <w:t>Thank you</w:t>
            </w:r>
          </w:p>
        </w:tc>
      </w:tr>
    </w:tbl>
    <w:p w14:paraId="44CE7007">
      <w:pPr>
        <w:pStyle w:val="7"/>
        <w:rPr>
          <w:rFonts w:ascii="Times New Roman" w:hAnsi="Times New Roman"/>
          <w:b/>
          <w:bCs/>
          <w:sz w:val="20"/>
          <w:szCs w:val="20"/>
          <w:u w:val="single"/>
          <w:lang w:val="en-GB"/>
        </w:rPr>
      </w:pPr>
    </w:p>
    <w:p w14:paraId="3EAC854C">
      <w:pPr>
        <w:pStyle w:val="7"/>
        <w:rPr>
          <w:rFonts w:ascii="Times New Roman" w:hAnsi="Times New Roman"/>
          <w:b/>
          <w:bCs/>
          <w:sz w:val="20"/>
          <w:szCs w:val="20"/>
          <w:u w:val="single"/>
          <w:lang w:val="en-GB"/>
        </w:rPr>
      </w:pPr>
    </w:p>
    <w:tbl>
      <w:tblPr>
        <w:tblStyle w:val="6"/>
        <w:tblW w:w="46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7228"/>
        <w:gridCol w:w="5955"/>
      </w:tblGrid>
      <w:tr w14:paraId="1D615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532DCAF2">
            <w:pPr>
              <w:pStyle w:val="12"/>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ECF9A5B">
            <w:pPr>
              <w:pStyle w:val="12"/>
              <w:spacing w:before="0" w:beforeAutospacing="0" w:after="0" w:afterAutospacing="0"/>
              <w:rPr>
                <w:rFonts w:ascii="Times New Roman" w:hAnsi="Times New Roman" w:cs="Times New Roman"/>
                <w:b/>
                <w:bCs/>
                <w:sz w:val="20"/>
                <w:szCs w:val="20"/>
                <w:u w:val="single"/>
                <w:lang w:val="en-GB"/>
              </w:rPr>
            </w:pPr>
          </w:p>
        </w:tc>
      </w:tr>
      <w:tr w14:paraId="65CCE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84" w:type="pct"/>
            <w:shd w:val="clear" w:color="auto" w:fill="EBFFFF"/>
            <w:noWrap/>
            <w:tcMar>
              <w:top w:w="0" w:type="dxa"/>
              <w:left w:w="108" w:type="dxa"/>
              <w:bottom w:w="0" w:type="dxa"/>
              <w:right w:w="108" w:type="dxa"/>
            </w:tcMar>
            <w:vAlign w:val="center"/>
          </w:tcPr>
          <w:p w14:paraId="39B52F98">
            <w:pPr>
              <w:pStyle w:val="12"/>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76EFBA59">
            <w:pPr>
              <w:pStyle w:val="12"/>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43093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84" w:type="pct"/>
            <w:shd w:val="clear" w:color="auto" w:fill="EBFFFF"/>
            <w:noWrap/>
            <w:tcMar>
              <w:top w:w="0" w:type="dxa"/>
              <w:left w:w="108" w:type="dxa"/>
              <w:bottom w:w="0" w:type="dxa"/>
              <w:right w:w="108" w:type="dxa"/>
            </w:tcMar>
            <w:vAlign w:val="center"/>
          </w:tcPr>
          <w:p w14:paraId="24B32D84">
            <w:pPr>
              <w:rPr>
                <w:lang w:val="en-GB"/>
              </w:rPr>
            </w:pPr>
            <w:r>
              <w:rPr>
                <w:lang w:val="en-GB"/>
              </w:rPr>
              <w:t>This is a well-conducted systematic review addressing a clinically relevant topic, and the overall methodology is appropriate. The manuscript is suitable for publication. However, the central limitation is the over-simplified binary treatment of thrombocytopenia, which does not align with how platelet counts are interpreted clinically. This restricts the strength of the conclusions regarding clinical significance and represents a missed opportunity to provide more meaningful prognostic insight.</w:t>
            </w:r>
          </w:p>
          <w:p w14:paraId="08E5DDF3">
            <w:pPr>
              <w:rPr>
                <w:lang w:val="en-GB"/>
              </w:rPr>
            </w:pPr>
          </w:p>
          <w:p w14:paraId="75806135">
            <w:pPr>
              <w:rPr>
                <w:lang w:val="en-GB"/>
              </w:rPr>
            </w:pPr>
            <w:r>
              <w:rPr>
                <w:lang w:val="en-GB"/>
              </w:rPr>
              <w:t>I recommend minor revision, with emphasis on explicitly addressing this limitation and, if feasible, incorporating severity-based interpretation into the discussion.</w:t>
            </w:r>
          </w:p>
          <w:p w14:paraId="0143BE79">
            <w:pPr>
              <w:pStyle w:val="12"/>
              <w:spacing w:before="0" w:beforeAutospacing="0" w:after="0" w:afterAutospacing="0"/>
              <w:rPr>
                <w:rFonts w:ascii="Times New Roman" w:hAnsi="Times New Roman" w:cs="Times New Roman"/>
                <w:sz w:val="20"/>
                <w:szCs w:val="20"/>
                <w:lang w:val="en-GB"/>
              </w:rPr>
            </w:pPr>
          </w:p>
          <w:p w14:paraId="1EEEC8EE">
            <w:pPr>
              <w:pStyle w:val="12"/>
              <w:spacing w:before="0" w:beforeAutospacing="0" w:after="0" w:afterAutospacing="0"/>
              <w:rPr>
                <w:rFonts w:ascii="Times New Roman" w:hAnsi="Times New Roman" w:cs="Times New Roman"/>
                <w:sz w:val="20"/>
                <w:szCs w:val="20"/>
                <w:lang w:val="en-GB"/>
              </w:rPr>
            </w:pPr>
          </w:p>
          <w:p w14:paraId="499F02F1">
            <w:pPr>
              <w:pStyle w:val="12"/>
              <w:spacing w:before="0" w:beforeAutospacing="0" w:after="0" w:afterAutospacing="0"/>
              <w:rPr>
                <w:rFonts w:ascii="Times New Roman" w:hAnsi="Times New Roman" w:cs="Times New Roman"/>
                <w:sz w:val="20"/>
                <w:szCs w:val="20"/>
                <w:lang w:val="en-GB"/>
              </w:rPr>
            </w:pPr>
          </w:p>
          <w:p w14:paraId="7440AA88">
            <w:pPr>
              <w:pStyle w:val="12"/>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6FDB16DE">
            <w:pPr>
              <w:pStyle w:val="12"/>
              <w:spacing w:before="0" w:beforeAutospacing="0" w:after="0" w:afterAutospacing="0"/>
              <w:rPr>
                <w:rFonts w:ascii="Times New Roman" w:hAnsi="Times New Roman" w:cs="Times New Roman"/>
                <w:b/>
                <w:bCs/>
                <w:sz w:val="20"/>
                <w:szCs w:val="20"/>
                <w:lang w:val="en-GB"/>
              </w:rPr>
            </w:pPr>
            <w:r>
              <w:rPr>
                <w:rFonts w:hint="default" w:ascii="Times New Roman" w:hAnsi="Times New Roman"/>
                <w:b w:val="0"/>
                <w:highlight w:val="yellow"/>
                <w:lang w:val="en-US" w:eastAsia="en-US"/>
              </w:rPr>
              <w:t>Thank you</w:t>
            </w:r>
            <w:bookmarkStart w:id="0" w:name="_GoBack"/>
            <w:bookmarkEnd w:id="0"/>
          </w:p>
        </w:tc>
      </w:tr>
    </w:tbl>
    <w:p w14:paraId="54D23CE4">
      <w:pPr>
        <w:rPr>
          <w:rFonts w:eastAsia="Arial Unicode MS"/>
          <w:b/>
          <w:bCs/>
          <w:sz w:val="20"/>
          <w:szCs w:val="20"/>
          <w:highlight w:val="yellow"/>
          <w:u w:val="single"/>
          <w:lang w:val="en-GB"/>
        </w:rPr>
      </w:pPr>
    </w:p>
    <w:p w14:paraId="6EFF049E">
      <w:pPr>
        <w:rPr>
          <w:rFonts w:ascii="Arial" w:hAnsi="Arial" w:eastAsia="Arial Unicode MS" w:cs="Arial"/>
          <w:b/>
          <w:sz w:val="20"/>
          <w:szCs w:val="20"/>
          <w:u w:val="single"/>
          <w:lang w:val="en-GB"/>
        </w:rPr>
      </w:pPr>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tbl>
      <w:tblPr>
        <w:tblStyle w:val="6"/>
        <w:tblW w:w="4762"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4363"/>
        <w:gridCol w:w="4722"/>
        <w:gridCol w:w="4415"/>
      </w:tblGrid>
      <w:tr w14:paraId="4CCF5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14:paraId="4861037B">
            <w:pPr>
              <w:rPr>
                <w:rFonts w:ascii="Arial" w:hAnsi="Arial" w:eastAsia="Arial Unicode MS" w:cs="Arial"/>
                <w:b/>
                <w:sz w:val="20"/>
                <w:szCs w:val="20"/>
                <w:u w:val="single"/>
                <w:lang w:val="en-GB"/>
              </w:rPr>
            </w:pPr>
          </w:p>
        </w:tc>
      </w:tr>
      <w:tr w14:paraId="576EF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1616" w:type="pct"/>
            <w:shd w:val="clear" w:color="auto" w:fill="EBFFFF"/>
            <w:noWrap/>
            <w:tcMar>
              <w:top w:w="0" w:type="dxa"/>
              <w:left w:w="108" w:type="dxa"/>
              <w:bottom w:w="0" w:type="dxa"/>
              <w:right w:w="108" w:type="dxa"/>
            </w:tcMar>
            <w:vAlign w:val="center"/>
          </w:tcPr>
          <w:p w14:paraId="493D389D">
            <w:pPr>
              <w:rPr>
                <w:rFonts w:ascii="Arial" w:hAnsi="Arial" w:eastAsia="Arial Unicode MS" w:cs="Arial"/>
                <w:sz w:val="20"/>
                <w:szCs w:val="20"/>
                <w:lang w:val="en-GB"/>
              </w:rPr>
            </w:pPr>
          </w:p>
        </w:tc>
        <w:tc>
          <w:tcPr>
            <w:tcW w:w="1749" w:type="pct"/>
            <w:shd w:val="clear" w:color="auto" w:fill="EBFFFF"/>
            <w:tcMar>
              <w:top w:w="0" w:type="dxa"/>
              <w:left w:w="108" w:type="dxa"/>
              <w:bottom w:w="0" w:type="dxa"/>
              <w:right w:w="108" w:type="dxa"/>
            </w:tcMar>
          </w:tcPr>
          <w:p w14:paraId="4CB1ABFC">
            <w:pPr>
              <w:keepNext/>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35" w:type="pct"/>
            <w:shd w:val="clear" w:color="auto" w:fill="EBFFFF"/>
          </w:tcPr>
          <w:p w14:paraId="571FD14A">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7AACEF8D">
            <w:pPr>
              <w:keepNext/>
              <w:outlineLvl w:val="1"/>
              <w:rPr>
                <w:rFonts w:ascii="Arial" w:hAnsi="Arial" w:eastAsia="MS Mincho" w:cs="Arial"/>
                <w:bCs/>
                <w:sz w:val="20"/>
                <w:szCs w:val="20"/>
                <w:lang w:val="en-GB"/>
              </w:rPr>
            </w:pPr>
          </w:p>
        </w:tc>
      </w:tr>
      <w:tr w14:paraId="11378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890" w:hRule="atLeast"/>
        </w:trPr>
        <w:tc>
          <w:tcPr>
            <w:tcW w:w="1616" w:type="pct"/>
            <w:shd w:val="clear" w:color="auto" w:fill="EBFFFF"/>
            <w:noWrap/>
            <w:tcMar>
              <w:top w:w="0" w:type="dxa"/>
              <w:left w:w="108" w:type="dxa"/>
              <w:bottom w:w="0" w:type="dxa"/>
              <w:right w:w="108" w:type="dxa"/>
            </w:tcMar>
            <w:vAlign w:val="center"/>
          </w:tcPr>
          <w:p w14:paraId="56BDAA1B">
            <w:pPr>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4533A879">
            <w:pPr>
              <w:rPr>
                <w:rFonts w:ascii="Arial" w:hAnsi="Arial" w:eastAsia="Arial Unicode MS" w:cs="Arial"/>
                <w:sz w:val="20"/>
                <w:szCs w:val="20"/>
                <w:lang w:val="en-GB"/>
              </w:rPr>
            </w:pPr>
          </w:p>
        </w:tc>
        <w:tc>
          <w:tcPr>
            <w:tcW w:w="1749" w:type="pct"/>
            <w:shd w:val="clear" w:color="auto" w:fill="EBFFFF"/>
            <w:tcMar>
              <w:top w:w="0" w:type="dxa"/>
              <w:left w:w="108" w:type="dxa"/>
              <w:bottom w:w="0" w:type="dxa"/>
              <w:right w:w="108" w:type="dxa"/>
            </w:tcMar>
            <w:vAlign w:val="center"/>
          </w:tcPr>
          <w:p w14:paraId="69D2FB8D">
            <w:pPr>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5E094901">
            <w:pPr>
              <w:rPr>
                <w:rFonts w:ascii="Arial" w:hAnsi="Arial" w:eastAsia="Arial Unicode MS" w:cs="Arial"/>
                <w:sz w:val="20"/>
                <w:szCs w:val="20"/>
                <w:lang w:val="en-GB"/>
              </w:rPr>
            </w:pPr>
          </w:p>
        </w:tc>
        <w:tc>
          <w:tcPr>
            <w:tcW w:w="1635" w:type="pct"/>
            <w:shd w:val="clear" w:color="auto" w:fill="EBFFFF"/>
            <w:vAlign w:val="center"/>
          </w:tcPr>
          <w:p w14:paraId="2542A413">
            <w:pPr>
              <w:rPr>
                <w:rFonts w:ascii="Arial" w:hAnsi="Arial" w:eastAsia="Arial Unicode MS" w:cs="Arial"/>
                <w:sz w:val="20"/>
                <w:szCs w:val="20"/>
                <w:lang w:val="en-GB"/>
              </w:rPr>
            </w:pPr>
          </w:p>
          <w:p w14:paraId="4154B703">
            <w:pPr>
              <w:pStyle w:val="3"/>
              <w:keepNext w:val="0"/>
              <w:keepLines w:val="0"/>
              <w:spacing w:before="240" w:after="240"/>
              <w:rPr>
                <w:rFonts w:ascii="Arial" w:hAnsi="Arial" w:eastAsia="Arial Unicode MS" w:cs="Arial"/>
                <w:sz w:val="20"/>
                <w:szCs w:val="20"/>
                <w:lang w:val="en-GB"/>
              </w:rPr>
            </w:pPr>
            <w:r>
              <w:rPr>
                <w:rFonts w:ascii="Times New Roman" w:hAnsi="Times New Roman" w:eastAsia="Times New Roman" w:cs="Times New Roman"/>
                <w:color w:val="000000"/>
                <w:sz w:val="24"/>
                <w:szCs w:val="24"/>
              </w:rPr>
              <w:t>This study utilized previously published data and did not involve direct interaction with human participants. Therefore, ethical approval and informed consent were not required.</w:t>
            </w:r>
          </w:p>
          <w:p w14:paraId="1284F1A9">
            <w:pPr>
              <w:rPr>
                <w:rFonts w:ascii="Arial" w:hAnsi="Arial" w:eastAsia="Arial Unicode MS" w:cs="Arial"/>
                <w:sz w:val="20"/>
                <w:szCs w:val="20"/>
                <w:lang w:val="en-GB"/>
              </w:rPr>
            </w:pPr>
          </w:p>
        </w:tc>
      </w:tr>
    </w:tbl>
    <w:p w14:paraId="1A95962E">
      <w:pPr>
        <w:pStyle w:val="7"/>
        <w:rPr>
          <w:rFonts w:ascii="Arial" w:hAnsi="Arial" w:cs="Arial"/>
          <w:b/>
          <w:bCs/>
          <w:sz w:val="20"/>
          <w:szCs w:val="20"/>
          <w:u w:val="single"/>
          <w:lang w:val="en-GB"/>
        </w:rPr>
      </w:pPr>
    </w:p>
    <w:p w14:paraId="77AF2399"/>
    <w:p w14:paraId="14F589F7"/>
    <w:p w14:paraId="48D98571">
      <w:pPr>
        <w:rPr>
          <w:rFonts w:eastAsia="Arial Unicode MS"/>
          <w:b/>
          <w:bCs/>
          <w:sz w:val="20"/>
          <w:szCs w:val="20"/>
          <w:u w:val="single"/>
          <w:lang w:val="en-GB"/>
        </w:rPr>
      </w:pPr>
    </w:p>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86"/>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FE114">
    <w:pPr>
      <w:pStyle w:val="9"/>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br w:type="textWrapping"/>
    </w:r>
    <w:r>
      <w:rPr>
        <w:b/>
        <w:sz w:val="20"/>
      </w:rPr>
      <w:t>V180326</w:t>
    </w:r>
  </w:p>
  <w:p w14:paraId="5CAABCD7">
    <w:pPr>
      <w:pStyle w:val="9"/>
      <w:jc w:val="right"/>
    </w:pPr>
  </w:p>
  <w:p w14:paraId="1D1B789F">
    <w:pPr>
      <w:pStyle w:val="9"/>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4D882">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3DEA2">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4B069">
    <w:pPr>
      <w:spacing w:before="100" w:beforeAutospacing="1" w:after="100" w:afterAutospacing="1"/>
      <w:jc w:val="center"/>
      <w:rPr>
        <w:rFonts w:ascii="Arial" w:hAnsi="Arial" w:cs="Arial"/>
        <w:b/>
        <w:bCs/>
        <w:color w:val="003399"/>
        <w:szCs w:val="20"/>
        <w:u w:val="single"/>
        <w:lang w:val="en-GB"/>
      </w:rPr>
    </w:pPr>
  </w:p>
  <w:p w14:paraId="28108F0D">
    <w:pPr>
      <w:spacing w:before="100" w:beforeAutospacing="1" w:after="100" w:afterAutospacing="1"/>
      <w:jc w:val="center"/>
    </w:pPr>
    <w:r>
      <w:rPr>
        <w:rFonts w:ascii="Arial" w:hAnsi="Arial" w:cs="Arial"/>
        <w:b/>
        <w:bCs/>
        <w:color w:val="003399"/>
        <w:u w:val="single"/>
        <w:lang w:val="en-GB"/>
      </w:rPr>
      <w:t>Review Form-2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19B3B">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63AF6">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ocumentProtection w:enforcement="0"/>
  <w:defaultTabStop w:val="720"/>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37D52"/>
    <w:rsid w:val="000434A4"/>
    <w:rsid w:val="000450FC"/>
    <w:rsid w:val="00056CB0"/>
    <w:rsid w:val="000577C2"/>
    <w:rsid w:val="0006257C"/>
    <w:rsid w:val="000714D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0EB3"/>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3CC8"/>
    <w:rsid w:val="0023696A"/>
    <w:rsid w:val="00240BF8"/>
    <w:rsid w:val="002422CB"/>
    <w:rsid w:val="00245E23"/>
    <w:rsid w:val="0025366D"/>
    <w:rsid w:val="00254F80"/>
    <w:rsid w:val="00262634"/>
    <w:rsid w:val="002643B3"/>
    <w:rsid w:val="0027026A"/>
    <w:rsid w:val="00275984"/>
    <w:rsid w:val="00280EC9"/>
    <w:rsid w:val="00291D08"/>
    <w:rsid w:val="00293482"/>
    <w:rsid w:val="002C2E7B"/>
    <w:rsid w:val="002D7EA9"/>
    <w:rsid w:val="002E1211"/>
    <w:rsid w:val="002E2339"/>
    <w:rsid w:val="002E6D86"/>
    <w:rsid w:val="002F0619"/>
    <w:rsid w:val="002F5CDF"/>
    <w:rsid w:val="002F6935"/>
    <w:rsid w:val="003013B1"/>
    <w:rsid w:val="00312559"/>
    <w:rsid w:val="003204B8"/>
    <w:rsid w:val="00330845"/>
    <w:rsid w:val="00335412"/>
    <w:rsid w:val="0033692F"/>
    <w:rsid w:val="00346223"/>
    <w:rsid w:val="00366BEC"/>
    <w:rsid w:val="0037074A"/>
    <w:rsid w:val="00385771"/>
    <w:rsid w:val="003A04E7"/>
    <w:rsid w:val="003A4991"/>
    <w:rsid w:val="003A6E1A"/>
    <w:rsid w:val="003A6E6B"/>
    <w:rsid w:val="003B2172"/>
    <w:rsid w:val="003C059E"/>
    <w:rsid w:val="003E0444"/>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B5D5F"/>
    <w:rsid w:val="004C3DF1"/>
    <w:rsid w:val="004D2E36"/>
    <w:rsid w:val="004E03AE"/>
    <w:rsid w:val="00503AB6"/>
    <w:rsid w:val="005047C5"/>
    <w:rsid w:val="00510920"/>
    <w:rsid w:val="00512A04"/>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102C"/>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3F15"/>
    <w:rsid w:val="00AD6C51"/>
    <w:rsid w:val="00AF3016"/>
    <w:rsid w:val="00B03A45"/>
    <w:rsid w:val="00B2236C"/>
    <w:rsid w:val="00B22FE6"/>
    <w:rsid w:val="00B3033D"/>
    <w:rsid w:val="00B3217C"/>
    <w:rsid w:val="00B356AF"/>
    <w:rsid w:val="00B35FD2"/>
    <w:rsid w:val="00B55F7D"/>
    <w:rsid w:val="00B62087"/>
    <w:rsid w:val="00B62F41"/>
    <w:rsid w:val="00B65815"/>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121D"/>
    <w:rsid w:val="00C22886"/>
    <w:rsid w:val="00C25C8F"/>
    <w:rsid w:val="00C263C6"/>
    <w:rsid w:val="00C46811"/>
    <w:rsid w:val="00C47F3B"/>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52844"/>
    <w:rsid w:val="00D717FD"/>
    <w:rsid w:val="00D7603E"/>
    <w:rsid w:val="00D8579C"/>
    <w:rsid w:val="00D90124"/>
    <w:rsid w:val="00D9392F"/>
    <w:rsid w:val="00D961FB"/>
    <w:rsid w:val="00DA41F5"/>
    <w:rsid w:val="00DB5B54"/>
    <w:rsid w:val="00DB7E1B"/>
    <w:rsid w:val="00DC0C7E"/>
    <w:rsid w:val="00DC1D81"/>
    <w:rsid w:val="00E1327B"/>
    <w:rsid w:val="00E34922"/>
    <w:rsid w:val="00E41849"/>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 w:val="62CA5DD7"/>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3">
    <w:name w:val="heading 3"/>
    <w:basedOn w:val="1"/>
    <w:next w:val="1"/>
    <w:unhideWhenUsed/>
    <w:qFormat/>
    <w:uiPriority w:val="9"/>
    <w:pPr>
      <w:keepNext/>
      <w:keepLines/>
      <w:spacing w:before="320" w:after="80"/>
      <w:outlineLvl w:val="2"/>
    </w:pPr>
    <w:rPr>
      <w:color w:val="434343"/>
      <w:sz w:val="28"/>
      <w:szCs w:val="28"/>
    </w:rPr>
  </w:style>
  <w:style w:type="paragraph" w:styleId="4">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ody Text"/>
    <w:basedOn w:val="1"/>
    <w:link w:val="16"/>
    <w:qFormat/>
    <w:uiPriority w:val="0"/>
    <w:pPr>
      <w:jc w:val="both"/>
    </w:pPr>
    <w:rPr>
      <w:rFonts w:ascii="Helvetica" w:hAnsi="Helvetica" w:eastAsia="MS Mincho"/>
      <w:lang w:val="fr-FR" w:eastAsia="zh-CN"/>
    </w:rPr>
  </w:style>
  <w:style w:type="character" w:styleId="8">
    <w:name w:val="FollowedHyperlink"/>
    <w:semiHidden/>
    <w:unhideWhenUsed/>
    <w:uiPriority w:val="99"/>
    <w:rPr>
      <w:color w:val="800080"/>
      <w:u w:val="single"/>
    </w:rPr>
  </w:style>
  <w:style w:type="paragraph" w:styleId="9">
    <w:name w:val="footer"/>
    <w:basedOn w:val="1"/>
    <w:link w:val="18"/>
    <w:unhideWhenUsed/>
    <w:qFormat/>
    <w:uiPriority w:val="99"/>
    <w:pPr>
      <w:tabs>
        <w:tab w:val="center" w:pos="4513"/>
        <w:tab w:val="right" w:pos="9026"/>
      </w:tabs>
    </w:pPr>
    <w:rPr>
      <w:lang w:eastAsia="zh-CN"/>
    </w:rPr>
  </w:style>
  <w:style w:type="paragraph" w:styleId="10">
    <w:name w:val="header"/>
    <w:basedOn w:val="1"/>
    <w:link w:val="17"/>
    <w:qFormat/>
    <w:uiPriority w:val="99"/>
    <w:pPr>
      <w:tabs>
        <w:tab w:val="center" w:pos="4680"/>
        <w:tab w:val="right" w:pos="9360"/>
      </w:tabs>
    </w:pPr>
    <w:rPr>
      <w:lang w:eastAsia="zh-CN"/>
    </w:rPr>
  </w:style>
  <w:style w:type="character" w:styleId="11">
    <w:name w:val="Hyperlink"/>
    <w:unhideWhenUsed/>
    <w:qFormat/>
    <w:uiPriority w:val="99"/>
    <w:rPr>
      <w:color w:val="0000FF"/>
      <w:u w:val="single"/>
    </w:rPr>
  </w:style>
  <w:style w:type="paragraph" w:styleId="12">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3">
    <w:name w:val="Table Grid"/>
    <w:basedOn w:val="6"/>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Heading 2 Char"/>
    <w:link w:val="2"/>
    <w:qFormat/>
    <w:uiPriority w:val="0"/>
    <w:rPr>
      <w:rFonts w:ascii="Helvetica" w:hAnsi="Helvetica" w:eastAsia="MS Mincho" w:cs="Helvetica"/>
      <w:b/>
      <w:bCs/>
      <w:sz w:val="20"/>
      <w:szCs w:val="20"/>
      <w:lang w:val="fr-FR"/>
    </w:rPr>
  </w:style>
  <w:style w:type="character" w:customStyle="1" w:styleId="15">
    <w:name w:val="Heading 4 Char"/>
    <w:link w:val="4"/>
    <w:qFormat/>
    <w:uiPriority w:val="0"/>
    <w:rPr>
      <w:rFonts w:ascii="Arial Unicode MS" w:hAnsi="Arial Unicode MS" w:eastAsia="Arial Unicode MS" w:cs="Arial Unicode MS"/>
      <w:b/>
      <w:bCs/>
      <w:sz w:val="24"/>
      <w:szCs w:val="24"/>
      <w:lang w:val="en-US"/>
    </w:rPr>
  </w:style>
  <w:style w:type="character" w:customStyle="1" w:styleId="16">
    <w:name w:val="Body Text Char"/>
    <w:link w:val="7"/>
    <w:qFormat/>
    <w:uiPriority w:val="0"/>
    <w:rPr>
      <w:rFonts w:ascii="Helvetica" w:hAnsi="Helvetica" w:eastAsia="MS Mincho" w:cs="Helvetica"/>
      <w:sz w:val="24"/>
      <w:szCs w:val="24"/>
      <w:lang w:val="fr-FR"/>
    </w:rPr>
  </w:style>
  <w:style w:type="character" w:customStyle="1" w:styleId="17">
    <w:name w:val="Header Char"/>
    <w:link w:val="10"/>
    <w:qFormat/>
    <w:uiPriority w:val="99"/>
    <w:rPr>
      <w:rFonts w:ascii="Times New Roman" w:hAnsi="Times New Roman" w:eastAsia="Times New Roman" w:cs="Times New Roman"/>
      <w:sz w:val="24"/>
      <w:szCs w:val="24"/>
      <w:lang w:val="en-US"/>
    </w:rPr>
  </w:style>
  <w:style w:type="character" w:customStyle="1" w:styleId="18">
    <w:name w:val="Footer Char"/>
    <w:link w:val="9"/>
    <w:qFormat/>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qFormat/>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qFormat/>
    <w:uiPriority w:val="99"/>
    <w:rPr>
      <w:color w:val="605E5C"/>
      <w:shd w:val="clear" w:color="auto" w:fill="E1DFDD"/>
    </w:rPr>
  </w:style>
  <w:style w:type="character" w:customStyle="1" w:styleId="22">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1026</Words>
  <Characters>5854</Characters>
  <Lines>48</Lines>
  <Paragraphs>13</Paragraphs>
  <TotalTime>1</TotalTime>
  <ScaleCrop>false</ScaleCrop>
  <LinksUpToDate>false</LinksUpToDate>
  <CharactersWithSpaces>6867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2026-03-25T05:02:00Z</dcterms:created>
  <dc:creator>Surojit Bera</dc:creator>
  <cp:lastModifiedBy>Alofa Chinwe Melford</cp:lastModifiedBy>
  <dcterms:modified xsi:type="dcterms:W3CDTF">2026-03-25T11:55:07Z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DFF5749D41DC4D6383D41C020FD879A9_12</vt:lpwstr>
  </property>
</Properties>
</file>